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48045" w14:textId="77777777" w:rsidR="002675BD" w:rsidRPr="009E19B7" w:rsidRDefault="00202AF0" w:rsidP="00286F4A">
      <w:pPr>
        <w:spacing w:line="240" w:lineRule="auto"/>
        <w:contextualSpacing/>
        <w:jc w:val="center"/>
        <w:rPr>
          <w:rFonts w:cs="Arial"/>
          <w:b/>
          <w:bCs/>
        </w:rPr>
      </w:pPr>
      <w:r w:rsidRPr="009E19B7">
        <w:rPr>
          <w:rFonts w:cs="Arial"/>
          <w:b/>
          <w:bCs/>
        </w:rPr>
        <w:t xml:space="preserve">INFORME DE DIAGNÓSTICO </w:t>
      </w:r>
    </w:p>
    <w:p w14:paraId="71F9B04E" w14:textId="77777777" w:rsidR="00C15821" w:rsidRPr="009E19B7" w:rsidRDefault="00C15821" w:rsidP="00286F4A">
      <w:pPr>
        <w:spacing w:line="240" w:lineRule="auto"/>
        <w:contextualSpacing/>
        <w:jc w:val="center"/>
        <w:rPr>
          <w:rFonts w:cs="Arial"/>
          <w:b/>
          <w:bCs/>
        </w:rPr>
      </w:pPr>
      <w:r w:rsidRPr="009E19B7">
        <w:rPr>
          <w:rFonts w:cs="Arial"/>
          <w:b/>
          <w:bCs/>
        </w:rPr>
        <w:t>PARTICIPACIÓN DE PROPÓSITO GENERAL</w:t>
      </w:r>
      <w:r w:rsidR="00C133B5" w:rsidRPr="009E19B7">
        <w:rPr>
          <w:rFonts w:cs="Arial"/>
          <w:b/>
          <w:bCs/>
        </w:rPr>
        <w:t xml:space="preserve"> DEL SISTEMA GENERAL DE PARTICIPACIONES</w:t>
      </w:r>
      <w:r w:rsidR="00025EC6">
        <w:rPr>
          <w:rFonts w:cs="Arial"/>
          <w:b/>
          <w:bCs/>
        </w:rPr>
        <w:t>.</w:t>
      </w:r>
    </w:p>
    <w:p w14:paraId="12ED86FE" w14:textId="77777777" w:rsidR="00BB4590" w:rsidRDefault="00202AF0" w:rsidP="00286F4A">
      <w:pPr>
        <w:spacing w:line="240" w:lineRule="auto"/>
        <w:contextualSpacing/>
        <w:jc w:val="center"/>
        <w:rPr>
          <w:rFonts w:cs="Arial"/>
          <w:b/>
          <w:bCs/>
        </w:rPr>
      </w:pPr>
      <w:r w:rsidRPr="009E19B7">
        <w:rPr>
          <w:rFonts w:cs="Arial"/>
          <w:b/>
          <w:bCs/>
        </w:rPr>
        <w:t>MUNICIPIO DE PUERTO LEGUÍZAMO</w:t>
      </w:r>
      <w:r w:rsidR="00C133B5" w:rsidRPr="009E19B7">
        <w:rPr>
          <w:rFonts w:cs="Arial"/>
          <w:b/>
          <w:bCs/>
        </w:rPr>
        <w:t xml:space="preserve"> - </w:t>
      </w:r>
      <w:r w:rsidRPr="009E19B7">
        <w:rPr>
          <w:rFonts w:cs="Arial"/>
          <w:b/>
          <w:bCs/>
        </w:rPr>
        <w:t>DEPARTAMENTO DEL PUTUMAYO</w:t>
      </w:r>
      <w:r w:rsidR="00025EC6">
        <w:rPr>
          <w:rFonts w:cs="Arial"/>
          <w:b/>
          <w:bCs/>
        </w:rPr>
        <w:t>.</w:t>
      </w:r>
    </w:p>
    <w:p w14:paraId="3D606C0E" w14:textId="77777777" w:rsidR="00025EC6" w:rsidRPr="009E19B7" w:rsidRDefault="00025EC6" w:rsidP="00286F4A">
      <w:pPr>
        <w:spacing w:line="240" w:lineRule="auto"/>
        <w:contextualSpacing/>
        <w:rPr>
          <w:rFonts w:cs="Arial"/>
          <w:b/>
          <w:bCs/>
        </w:rPr>
      </w:pPr>
    </w:p>
    <w:tbl>
      <w:tblPr>
        <w:tblW w:w="0" w:type="dxa"/>
        <w:jc w:val="center"/>
        <w:tblBorders>
          <w:top w:val="outset" w:sz="6" w:space="0" w:color="auto"/>
          <w:left w:val="outset" w:sz="6" w:space="0" w:color="auto"/>
          <w:bottom w:val="outset" w:sz="6" w:space="0" w:color="auto"/>
          <w:right w:val="outset" w:sz="6" w:space="0" w:color="auto"/>
        </w:tblBorders>
        <w:shd w:val="clear" w:color="auto" w:fill="D9E2F3"/>
        <w:tblCellMar>
          <w:left w:w="0" w:type="dxa"/>
          <w:right w:w="0" w:type="dxa"/>
        </w:tblCellMar>
        <w:tblLook w:val="04A0" w:firstRow="1" w:lastRow="0" w:firstColumn="1" w:lastColumn="0" w:noHBand="0" w:noVBand="1"/>
      </w:tblPr>
      <w:tblGrid>
        <w:gridCol w:w="4236"/>
        <w:gridCol w:w="4252"/>
      </w:tblGrid>
      <w:tr w:rsidR="0085203A" w:rsidRPr="0085203A" w14:paraId="2885A4F1" w14:textId="77777777" w:rsidTr="00F93C17">
        <w:trPr>
          <w:jc w:val="center"/>
        </w:trPr>
        <w:tc>
          <w:tcPr>
            <w:tcW w:w="4410" w:type="dxa"/>
            <w:tcBorders>
              <w:top w:val="single" w:sz="6" w:space="0" w:color="000000"/>
              <w:left w:val="single" w:sz="6" w:space="0" w:color="000000"/>
              <w:bottom w:val="single" w:sz="6" w:space="0" w:color="000000"/>
              <w:right w:val="single" w:sz="6" w:space="0" w:color="000000"/>
            </w:tcBorders>
            <w:shd w:val="clear" w:color="auto" w:fill="D9E2F3"/>
            <w:hideMark/>
          </w:tcPr>
          <w:p w14:paraId="371E2E40" w14:textId="77777777" w:rsidR="0085203A" w:rsidRPr="0085203A" w:rsidRDefault="0085203A" w:rsidP="00286F4A">
            <w:pPr>
              <w:spacing w:after="0" w:line="240" w:lineRule="auto"/>
              <w:contextualSpacing/>
              <w:textAlignment w:val="baseline"/>
              <w:rPr>
                <w:rFonts w:eastAsia="Times New Roman" w:cs="Arial"/>
                <w:b/>
                <w:bCs/>
                <w:lang w:val="es-CO" w:eastAsia="es-CO"/>
              </w:rPr>
            </w:pPr>
            <w:r w:rsidRPr="0085203A">
              <w:rPr>
                <w:rFonts w:eastAsia="Times New Roman" w:cs="Arial"/>
                <w:b/>
                <w:bCs/>
                <w:i/>
                <w:iCs/>
                <w:lang w:val="es-ES" w:eastAsia="es-CO"/>
              </w:rPr>
              <w:t>Número de Expediente</w:t>
            </w:r>
          </w:p>
        </w:tc>
        <w:tc>
          <w:tcPr>
            <w:tcW w:w="4410" w:type="dxa"/>
            <w:tcBorders>
              <w:top w:val="single" w:sz="6" w:space="0" w:color="000000"/>
              <w:left w:val="nil"/>
              <w:bottom w:val="single" w:sz="6" w:space="0" w:color="000000"/>
              <w:right w:val="single" w:sz="6" w:space="0" w:color="000000"/>
            </w:tcBorders>
            <w:shd w:val="clear" w:color="auto" w:fill="D9E2F3"/>
            <w:hideMark/>
          </w:tcPr>
          <w:p w14:paraId="1BE12CF0" w14:textId="77777777" w:rsidR="0085203A" w:rsidRPr="0085203A" w:rsidRDefault="00F93C17" w:rsidP="00286F4A">
            <w:pPr>
              <w:spacing w:after="0" w:line="240" w:lineRule="auto"/>
              <w:contextualSpacing/>
              <w:textAlignment w:val="baseline"/>
              <w:rPr>
                <w:rFonts w:eastAsia="Times New Roman" w:cs="Arial"/>
                <w:lang w:val="es-CO" w:eastAsia="es-CO"/>
              </w:rPr>
            </w:pPr>
            <w:r w:rsidRPr="00612C47">
              <w:rPr>
                <w:rFonts w:eastAsia="Times New Roman" w:cs="Arial"/>
                <w:lang w:val="es-ES" w:eastAsia="es-CO"/>
              </w:rPr>
              <w:t>17</w:t>
            </w:r>
            <w:r w:rsidR="0085203A" w:rsidRPr="0085203A">
              <w:rPr>
                <w:rFonts w:eastAsia="Times New Roman" w:cs="Arial"/>
                <w:lang w:val="es-ES" w:eastAsia="es-CO"/>
              </w:rPr>
              <w:t>/2021/D028-PREDI</w:t>
            </w:r>
            <w:r w:rsidR="0085203A" w:rsidRPr="0085203A">
              <w:rPr>
                <w:rFonts w:eastAsia="Times New Roman" w:cs="Arial"/>
                <w:lang w:val="es-CO" w:eastAsia="es-CO"/>
              </w:rPr>
              <w:t> </w:t>
            </w:r>
          </w:p>
        </w:tc>
      </w:tr>
      <w:tr w:rsidR="0085203A" w:rsidRPr="0085203A" w14:paraId="15411842" w14:textId="77777777" w:rsidTr="00F93C17">
        <w:trPr>
          <w:jc w:val="center"/>
        </w:trPr>
        <w:tc>
          <w:tcPr>
            <w:tcW w:w="4410" w:type="dxa"/>
            <w:tcBorders>
              <w:top w:val="nil"/>
              <w:left w:val="single" w:sz="6" w:space="0" w:color="000000"/>
              <w:bottom w:val="single" w:sz="6" w:space="0" w:color="000000"/>
              <w:right w:val="single" w:sz="6" w:space="0" w:color="000000"/>
            </w:tcBorders>
            <w:shd w:val="clear" w:color="auto" w:fill="D9E2F3"/>
            <w:hideMark/>
          </w:tcPr>
          <w:p w14:paraId="2A157C68" w14:textId="77777777" w:rsidR="0085203A" w:rsidRPr="0085203A" w:rsidRDefault="0085203A" w:rsidP="00286F4A">
            <w:pPr>
              <w:spacing w:after="0" w:line="240" w:lineRule="auto"/>
              <w:contextualSpacing/>
              <w:textAlignment w:val="baseline"/>
              <w:rPr>
                <w:rFonts w:eastAsia="Times New Roman" w:cs="Arial"/>
                <w:b/>
                <w:bCs/>
                <w:lang w:val="es-CO" w:eastAsia="es-CO"/>
              </w:rPr>
            </w:pPr>
            <w:r w:rsidRPr="0085203A">
              <w:rPr>
                <w:rFonts w:eastAsia="Times New Roman" w:cs="Arial"/>
                <w:b/>
                <w:bCs/>
                <w:i/>
                <w:iCs/>
                <w:lang w:val="es-ES" w:eastAsia="es-CO"/>
              </w:rPr>
              <w:t>Sector</w:t>
            </w:r>
          </w:p>
        </w:tc>
        <w:tc>
          <w:tcPr>
            <w:tcW w:w="4410" w:type="dxa"/>
            <w:tcBorders>
              <w:top w:val="nil"/>
              <w:left w:val="nil"/>
              <w:bottom w:val="single" w:sz="6" w:space="0" w:color="000000"/>
              <w:right w:val="single" w:sz="6" w:space="0" w:color="000000"/>
            </w:tcBorders>
            <w:shd w:val="clear" w:color="auto" w:fill="D9E2F3"/>
            <w:hideMark/>
          </w:tcPr>
          <w:p w14:paraId="155266DE" w14:textId="77777777" w:rsidR="0085203A" w:rsidRPr="0085203A" w:rsidRDefault="0085203A" w:rsidP="00286F4A">
            <w:pPr>
              <w:spacing w:after="0" w:line="240" w:lineRule="auto"/>
              <w:contextualSpacing/>
              <w:textAlignment w:val="baseline"/>
              <w:rPr>
                <w:rFonts w:eastAsia="Times New Roman" w:cs="Arial"/>
                <w:lang w:val="es-CO" w:eastAsia="es-CO"/>
              </w:rPr>
            </w:pPr>
            <w:r w:rsidRPr="0085203A">
              <w:rPr>
                <w:rFonts w:eastAsia="Times New Roman" w:cs="Arial"/>
                <w:lang w:val="es-ES" w:eastAsia="es-CO"/>
              </w:rPr>
              <w:t>Propósito General</w:t>
            </w:r>
          </w:p>
        </w:tc>
      </w:tr>
      <w:tr w:rsidR="0085203A" w:rsidRPr="0085203A" w14:paraId="37BF2B5F" w14:textId="77777777" w:rsidTr="00F93C17">
        <w:trPr>
          <w:jc w:val="center"/>
        </w:trPr>
        <w:tc>
          <w:tcPr>
            <w:tcW w:w="4410" w:type="dxa"/>
            <w:tcBorders>
              <w:top w:val="nil"/>
              <w:left w:val="single" w:sz="6" w:space="0" w:color="000000"/>
              <w:bottom w:val="single" w:sz="6" w:space="0" w:color="000000"/>
              <w:right w:val="single" w:sz="6" w:space="0" w:color="000000"/>
            </w:tcBorders>
            <w:shd w:val="clear" w:color="auto" w:fill="D9E2F3"/>
            <w:hideMark/>
          </w:tcPr>
          <w:p w14:paraId="7D4C6BFF" w14:textId="77777777" w:rsidR="0085203A" w:rsidRPr="0085203A" w:rsidRDefault="0085203A" w:rsidP="00286F4A">
            <w:pPr>
              <w:spacing w:after="0" w:line="240" w:lineRule="auto"/>
              <w:contextualSpacing/>
              <w:textAlignment w:val="baseline"/>
              <w:rPr>
                <w:rFonts w:eastAsia="Times New Roman" w:cs="Arial"/>
                <w:b/>
                <w:bCs/>
                <w:lang w:val="es-CO" w:eastAsia="es-CO"/>
              </w:rPr>
            </w:pPr>
            <w:r w:rsidRPr="0085203A">
              <w:rPr>
                <w:rFonts w:eastAsia="Times New Roman" w:cs="Arial"/>
                <w:b/>
                <w:bCs/>
                <w:i/>
                <w:iCs/>
                <w:lang w:val="es-ES" w:eastAsia="es-CO"/>
              </w:rPr>
              <w:t>Tipo de Entidad</w:t>
            </w:r>
          </w:p>
        </w:tc>
        <w:tc>
          <w:tcPr>
            <w:tcW w:w="4410" w:type="dxa"/>
            <w:tcBorders>
              <w:top w:val="nil"/>
              <w:left w:val="nil"/>
              <w:bottom w:val="single" w:sz="6" w:space="0" w:color="000000"/>
              <w:right w:val="single" w:sz="6" w:space="0" w:color="000000"/>
            </w:tcBorders>
            <w:shd w:val="clear" w:color="auto" w:fill="D9E2F3"/>
            <w:hideMark/>
          </w:tcPr>
          <w:p w14:paraId="77D81589" w14:textId="77777777" w:rsidR="0085203A" w:rsidRPr="0085203A" w:rsidRDefault="0085203A" w:rsidP="00286F4A">
            <w:pPr>
              <w:spacing w:after="0" w:line="240" w:lineRule="auto"/>
              <w:contextualSpacing/>
              <w:jc w:val="both"/>
              <w:textAlignment w:val="baseline"/>
              <w:rPr>
                <w:rFonts w:eastAsia="Times New Roman" w:cs="Arial"/>
                <w:lang w:val="es-CO" w:eastAsia="es-CO"/>
              </w:rPr>
            </w:pPr>
            <w:r w:rsidRPr="0085203A">
              <w:rPr>
                <w:rFonts w:eastAsia="Times New Roman" w:cs="Arial"/>
                <w:lang w:val="es-CO" w:eastAsia="es-CO"/>
              </w:rPr>
              <w:t>Municipio</w:t>
            </w:r>
          </w:p>
        </w:tc>
      </w:tr>
      <w:tr w:rsidR="0085203A" w:rsidRPr="0085203A" w14:paraId="0DF700D9" w14:textId="77777777" w:rsidTr="00F93C17">
        <w:trPr>
          <w:jc w:val="center"/>
        </w:trPr>
        <w:tc>
          <w:tcPr>
            <w:tcW w:w="4410" w:type="dxa"/>
            <w:tcBorders>
              <w:top w:val="nil"/>
              <w:left w:val="single" w:sz="6" w:space="0" w:color="000000"/>
              <w:bottom w:val="single" w:sz="6" w:space="0" w:color="000000"/>
              <w:right w:val="single" w:sz="6" w:space="0" w:color="000000"/>
            </w:tcBorders>
            <w:shd w:val="clear" w:color="auto" w:fill="D9E2F3"/>
            <w:hideMark/>
          </w:tcPr>
          <w:p w14:paraId="3BEFA611" w14:textId="77777777" w:rsidR="0085203A" w:rsidRPr="0085203A" w:rsidRDefault="0085203A" w:rsidP="00286F4A">
            <w:pPr>
              <w:spacing w:after="0" w:line="240" w:lineRule="auto"/>
              <w:contextualSpacing/>
              <w:textAlignment w:val="baseline"/>
              <w:rPr>
                <w:rFonts w:eastAsia="Times New Roman" w:cs="Arial"/>
                <w:b/>
                <w:bCs/>
                <w:lang w:val="es-CO" w:eastAsia="es-CO"/>
              </w:rPr>
            </w:pPr>
            <w:r w:rsidRPr="0085203A">
              <w:rPr>
                <w:rFonts w:eastAsia="Times New Roman" w:cs="Arial"/>
                <w:b/>
                <w:bCs/>
                <w:i/>
                <w:iCs/>
                <w:lang w:val="es-ES" w:eastAsia="es-CO"/>
              </w:rPr>
              <w:t>Entidad</w:t>
            </w:r>
          </w:p>
        </w:tc>
        <w:tc>
          <w:tcPr>
            <w:tcW w:w="4410" w:type="dxa"/>
            <w:tcBorders>
              <w:top w:val="nil"/>
              <w:left w:val="nil"/>
              <w:bottom w:val="single" w:sz="6" w:space="0" w:color="000000"/>
              <w:right w:val="single" w:sz="6" w:space="0" w:color="000000"/>
            </w:tcBorders>
            <w:shd w:val="clear" w:color="auto" w:fill="D9E2F3"/>
            <w:hideMark/>
          </w:tcPr>
          <w:p w14:paraId="73C2A9BF" w14:textId="77777777" w:rsidR="0085203A" w:rsidRPr="0085203A" w:rsidRDefault="00F93C17" w:rsidP="00286F4A">
            <w:pPr>
              <w:spacing w:after="0" w:line="240" w:lineRule="auto"/>
              <w:contextualSpacing/>
              <w:jc w:val="both"/>
              <w:textAlignment w:val="baseline"/>
              <w:rPr>
                <w:rFonts w:eastAsia="Times New Roman" w:cs="Arial"/>
                <w:lang w:val="es-CO" w:eastAsia="es-CO"/>
              </w:rPr>
            </w:pPr>
            <w:r w:rsidRPr="00612C47">
              <w:rPr>
                <w:rFonts w:eastAsia="Times New Roman" w:cs="Arial"/>
                <w:lang w:val="es-CO" w:eastAsia="es-CO"/>
              </w:rPr>
              <w:t>Puerto Leguízamo – Putumayo</w:t>
            </w:r>
          </w:p>
        </w:tc>
      </w:tr>
    </w:tbl>
    <w:p w14:paraId="57E82D11" w14:textId="77777777" w:rsidR="00025EC6" w:rsidRDefault="00025EC6" w:rsidP="00286F4A">
      <w:pPr>
        <w:pStyle w:val="Ttulo1"/>
        <w:spacing w:line="240" w:lineRule="auto"/>
        <w:contextualSpacing/>
        <w:rPr>
          <w:rFonts w:ascii="Arial" w:hAnsi="Arial" w:cs="Arial"/>
          <w:b/>
          <w:bCs/>
          <w:color w:val="auto"/>
          <w:sz w:val="22"/>
          <w:szCs w:val="22"/>
        </w:rPr>
      </w:pPr>
    </w:p>
    <w:p w14:paraId="0115D3C6" w14:textId="77777777" w:rsidR="009E19B7" w:rsidRDefault="00A5580F" w:rsidP="00286F4A">
      <w:pPr>
        <w:pStyle w:val="Ttulo1"/>
        <w:numPr>
          <w:ilvl w:val="0"/>
          <w:numId w:val="4"/>
        </w:numPr>
        <w:spacing w:line="240" w:lineRule="auto"/>
        <w:contextualSpacing/>
        <w:rPr>
          <w:rFonts w:ascii="Arial" w:hAnsi="Arial" w:cs="Arial"/>
          <w:b/>
          <w:bCs/>
          <w:color w:val="auto"/>
          <w:sz w:val="22"/>
          <w:szCs w:val="22"/>
        </w:rPr>
      </w:pPr>
      <w:r w:rsidRPr="009E19B7">
        <w:rPr>
          <w:rFonts w:ascii="Arial" w:hAnsi="Arial" w:cs="Arial"/>
          <w:b/>
          <w:bCs/>
          <w:color w:val="auto"/>
          <w:sz w:val="22"/>
          <w:szCs w:val="22"/>
        </w:rPr>
        <w:t>ANTECEDENTES</w:t>
      </w:r>
      <w:r w:rsidR="00025EC6">
        <w:rPr>
          <w:rFonts w:ascii="Arial" w:hAnsi="Arial" w:cs="Arial"/>
          <w:b/>
          <w:bCs/>
          <w:color w:val="auto"/>
          <w:sz w:val="22"/>
          <w:szCs w:val="22"/>
        </w:rPr>
        <w:t>.</w:t>
      </w:r>
    </w:p>
    <w:p w14:paraId="3D6A0A4D" w14:textId="77777777" w:rsidR="00B27287" w:rsidRDefault="00B27287" w:rsidP="00286F4A">
      <w:pPr>
        <w:spacing w:line="240" w:lineRule="auto"/>
        <w:contextualSpacing/>
        <w:jc w:val="both"/>
      </w:pPr>
    </w:p>
    <w:p w14:paraId="281A0EBB" w14:textId="77777777" w:rsidR="00E7774D" w:rsidRDefault="00B27287" w:rsidP="00286F4A">
      <w:pPr>
        <w:spacing w:line="240" w:lineRule="auto"/>
        <w:contextualSpacing/>
        <w:jc w:val="both"/>
      </w:pPr>
      <w:r>
        <w:t xml:space="preserve">En el marco de la Estrategia de Monitoreo, Seguimiento y Control </w:t>
      </w:r>
      <w:r w:rsidR="000D2CBF">
        <w:t xml:space="preserve">Integral </w:t>
      </w:r>
      <w:r>
        <w:t xml:space="preserve">al uso de los recursos del Sistema General de Participaciones, </w:t>
      </w:r>
      <w:r w:rsidR="000D2CBF">
        <w:t>contenida en</w:t>
      </w:r>
      <w:r>
        <w:t xml:space="preserve"> el Decreto 028 de 2008, el Departamento Nacional de Planeación (en adelante DNP) realizó una visita de monitoreo en campo al </w:t>
      </w:r>
      <w:r w:rsidR="00F65410">
        <w:t>M</w:t>
      </w:r>
      <w:r>
        <w:t xml:space="preserve">unicipio de Puerto Leguízamo – Putumayo los días </w:t>
      </w:r>
      <w:r w:rsidR="00610A22">
        <w:t>28, 29 y 30 de agosto de 2019</w:t>
      </w:r>
      <w:r>
        <w:t xml:space="preserve">. Esta visita tuvo como motivación el Monitoreo General llevado a cabo por el DNP, en el cual identificó a los municipios que presentan alertas de riesgo en nivel crítico alto en el uso de los recursos del Sistema General de Participaciones de Propósito General y las Asignaciones Especiales. De dicha visita de campo surgió el </w:t>
      </w:r>
      <w:r w:rsidR="000D2CBF">
        <w:t>“</w:t>
      </w:r>
      <w:r w:rsidRPr="009962E4">
        <w:rPr>
          <w:i/>
          <w:iCs/>
        </w:rPr>
        <w:t>Informe de monitoreo de campo,</w:t>
      </w:r>
      <w:r w:rsidR="00CF3AF2" w:rsidRPr="009962E4">
        <w:rPr>
          <w:i/>
          <w:iCs/>
        </w:rPr>
        <w:t xml:space="preserve"> Puerto Leguízamo - Putumayo</w:t>
      </w:r>
      <w:r w:rsidRPr="009962E4">
        <w:rPr>
          <w:i/>
          <w:iCs/>
        </w:rPr>
        <w:t>, Vigencias 201</w:t>
      </w:r>
      <w:r w:rsidR="00CF3AF2" w:rsidRPr="009962E4">
        <w:rPr>
          <w:i/>
          <w:iCs/>
        </w:rPr>
        <w:t xml:space="preserve">8 </w:t>
      </w:r>
      <w:r w:rsidRPr="009962E4">
        <w:rPr>
          <w:i/>
          <w:iCs/>
        </w:rPr>
        <w:t>y 201</w:t>
      </w:r>
      <w:r w:rsidR="00CF3AF2" w:rsidRPr="009962E4">
        <w:rPr>
          <w:i/>
          <w:iCs/>
        </w:rPr>
        <w:t>9 (corte junio)</w:t>
      </w:r>
      <w:r w:rsidR="000D2CBF">
        <w:t>”</w:t>
      </w:r>
      <w:r>
        <w:t xml:space="preserve">, el cual fue remitido a la Dirección General de Apoyo Fiscal del Ministerio de Hacienda y Crédito Público mediante </w:t>
      </w:r>
      <w:r w:rsidR="000D2CBF">
        <w:t xml:space="preserve">oficio con </w:t>
      </w:r>
      <w:r>
        <w:t xml:space="preserve">radicado </w:t>
      </w:r>
      <w:r w:rsidR="0097432E">
        <w:rPr>
          <w:rStyle w:val="normaltextrun"/>
          <w:rFonts w:cs="Arial"/>
          <w:color w:val="000000"/>
          <w:shd w:val="clear" w:color="auto" w:fill="FFFFFF"/>
          <w:lang w:val="es-ES"/>
        </w:rPr>
        <w:t>No.</w:t>
      </w:r>
      <w:r w:rsidR="000D2CBF">
        <w:rPr>
          <w:rStyle w:val="normaltextrun"/>
          <w:rFonts w:cs="Arial"/>
          <w:color w:val="000000"/>
          <w:shd w:val="clear" w:color="auto" w:fill="FFFFFF"/>
          <w:lang w:val="es-ES"/>
        </w:rPr>
        <w:t xml:space="preserve"> </w:t>
      </w:r>
      <w:r w:rsidR="0097432E">
        <w:rPr>
          <w:rStyle w:val="normaltextrun"/>
          <w:rFonts w:cs="Arial"/>
          <w:color w:val="000000"/>
          <w:shd w:val="clear" w:color="auto" w:fill="FFFFFF"/>
          <w:lang w:val="es-ES"/>
        </w:rPr>
        <w:t>1-2020-076479 del 26 de agosto de 2020.</w:t>
      </w:r>
      <w:r>
        <w:t xml:space="preserve"> </w:t>
      </w:r>
      <w:r w:rsidR="00F65410">
        <w:t>El citado</w:t>
      </w:r>
      <w:r>
        <w:t xml:space="preserve"> informe fue enviado con el fin de que esta Dirección evaluara la adopción de las </w:t>
      </w:r>
      <w:r w:rsidR="00E7774D">
        <w:t>medida</w:t>
      </w:r>
      <w:r>
        <w:t>s que se consideren pertinentes de acuerdo con el Decreto 028 de 2008.</w:t>
      </w:r>
    </w:p>
    <w:p w14:paraId="0AB3EA50" w14:textId="77777777" w:rsidR="000D2CBF" w:rsidRDefault="000D2CBF" w:rsidP="00286F4A">
      <w:pPr>
        <w:spacing w:line="240" w:lineRule="auto"/>
        <w:contextualSpacing/>
        <w:jc w:val="both"/>
      </w:pPr>
    </w:p>
    <w:p w14:paraId="3330B264" w14:textId="77777777" w:rsidR="00AA289B" w:rsidRDefault="00AA289B" w:rsidP="00286F4A">
      <w:pPr>
        <w:spacing w:line="240" w:lineRule="auto"/>
        <w:contextualSpacing/>
        <w:jc w:val="both"/>
      </w:pPr>
      <w:r>
        <w:t>Por esta razón, en el marco de la</w:t>
      </w:r>
      <w:r w:rsidR="009A65BB">
        <w:t xml:space="preserve">s actividades de seguimiento y control </w:t>
      </w:r>
      <w:r w:rsidR="00C764FF">
        <w:t>en cumplimiento del artículo 2.6.3.</w:t>
      </w:r>
      <w:r w:rsidR="008C03CD">
        <w:t>4.3 del Decreto 1068 de 2015, esta Dirección solicitó información</w:t>
      </w:r>
      <w:r w:rsidR="00F02CCE">
        <w:t xml:space="preserve"> adicional</w:t>
      </w:r>
      <w:r w:rsidR="008C03CD">
        <w:t xml:space="preserve"> al </w:t>
      </w:r>
      <w:r w:rsidR="00B94044">
        <w:t>M</w:t>
      </w:r>
      <w:r w:rsidR="008C03CD">
        <w:t xml:space="preserve">unicipio </w:t>
      </w:r>
      <w:r w:rsidR="00790D47">
        <w:t xml:space="preserve">mediante </w:t>
      </w:r>
      <w:r w:rsidR="000D2CBF">
        <w:t xml:space="preserve">el </w:t>
      </w:r>
      <w:r w:rsidR="00790D47">
        <w:t xml:space="preserve">oficio con radicado No. </w:t>
      </w:r>
      <w:r w:rsidR="00627B5B">
        <w:t>2-2021-</w:t>
      </w:r>
      <w:r w:rsidR="00A512C1">
        <w:t>026239 del 20 de mayo de 2021</w:t>
      </w:r>
      <w:r w:rsidR="003E6A81">
        <w:t xml:space="preserve">, con el fin de profundizar en las problemáticas </w:t>
      </w:r>
      <w:r w:rsidR="00A512C1">
        <w:t xml:space="preserve">identificadas por el DNP en el informe de monitoreo en campo. </w:t>
      </w:r>
      <w:r w:rsidR="005E7389">
        <w:t xml:space="preserve">El </w:t>
      </w:r>
      <w:r w:rsidR="00B94044">
        <w:t>M</w:t>
      </w:r>
      <w:r w:rsidR="005E7389">
        <w:t>unicipio de Puerto Leguízamo – Putumayo re</w:t>
      </w:r>
      <w:r w:rsidR="003F7828">
        <w:t>alizó el envío de</w:t>
      </w:r>
      <w:r w:rsidR="005E7389">
        <w:t xml:space="preserve"> la información solicitada </w:t>
      </w:r>
      <w:r w:rsidR="003F7828">
        <w:t xml:space="preserve">mediante </w:t>
      </w:r>
      <w:r w:rsidR="000D2CBF">
        <w:t xml:space="preserve">los oficios con </w:t>
      </w:r>
      <w:r w:rsidR="003F7828">
        <w:t xml:space="preserve">radicado No. </w:t>
      </w:r>
      <w:r w:rsidR="00DE3BB4">
        <w:t>1-2021-053</w:t>
      </w:r>
      <w:r w:rsidR="004D33E8">
        <w:t xml:space="preserve">320 del </w:t>
      </w:r>
      <w:r w:rsidR="002A0BE2">
        <w:t>22 de junio de 2021</w:t>
      </w:r>
      <w:r w:rsidR="00750E2E">
        <w:t>,</w:t>
      </w:r>
      <w:r w:rsidR="00C80796">
        <w:t xml:space="preserve"> 1-2021-059415 del 12 de julio de 2021</w:t>
      </w:r>
      <w:r w:rsidR="00750E2E">
        <w:t xml:space="preserve"> y </w:t>
      </w:r>
      <w:r w:rsidR="00750E2E" w:rsidRPr="00750E2E">
        <w:t xml:space="preserve">1-2022-038415 </w:t>
      </w:r>
      <w:r w:rsidR="00750E2E">
        <w:t>del</w:t>
      </w:r>
      <w:r w:rsidR="00750E2E" w:rsidRPr="00750E2E">
        <w:t xml:space="preserve"> </w:t>
      </w:r>
      <w:r w:rsidR="00750E2E">
        <w:t>18 de mayo de 2022</w:t>
      </w:r>
      <w:r w:rsidR="00C80796">
        <w:t>.</w:t>
      </w:r>
    </w:p>
    <w:p w14:paraId="6E386A10" w14:textId="77777777" w:rsidR="000D2CBF" w:rsidRDefault="000D2CBF" w:rsidP="00286F4A">
      <w:pPr>
        <w:spacing w:line="240" w:lineRule="auto"/>
        <w:contextualSpacing/>
        <w:jc w:val="both"/>
      </w:pPr>
    </w:p>
    <w:p w14:paraId="0549C973" w14:textId="77777777" w:rsidR="0015696A" w:rsidRDefault="00206A9E" w:rsidP="00286F4A">
      <w:pPr>
        <w:spacing w:line="240" w:lineRule="auto"/>
        <w:contextualSpacing/>
        <w:jc w:val="both"/>
      </w:pPr>
      <w:r w:rsidRPr="00206A9E">
        <w:t>El presente informe contiene el análisis de las problemáticas evidenciadas en el Informe de Monitoreo de Campo remitido por el DNP, en sus respectivos anexos</w:t>
      </w:r>
      <w:r w:rsidR="008B615A">
        <w:t>,</w:t>
      </w:r>
      <w:r w:rsidRPr="00206A9E">
        <w:t xml:space="preserve"> en la información remitida por la Entidad Territorial </w:t>
      </w:r>
      <w:r w:rsidR="008B615A">
        <w:t xml:space="preserve">y en la información consultada por esta Dirección en los sistemas de información nacionales, </w:t>
      </w:r>
      <w:r w:rsidRPr="00206A9E">
        <w:t xml:space="preserve">relacionadas con el uso inadecuado de los recursos de la Participación de Propósito General del Sistema General de Participaciones - SGP en las vigencias 2018, 2019 y 2020. Lo anterior, con el fin de determinar si es </w:t>
      </w:r>
      <w:r w:rsidR="008B615A">
        <w:t>pertinente</w:t>
      </w:r>
      <w:r w:rsidR="008B615A" w:rsidRPr="00206A9E">
        <w:t xml:space="preserve"> </w:t>
      </w:r>
      <w:r w:rsidRPr="00206A9E">
        <w:t>la adopción de una de las medidas de control de las que trata el Decreto 028 de 2008 en el marco de la Estrategia de Monitoreo, Seguimiento y Control Integral al uso de los recursos del Sistema General de Participaciones.</w:t>
      </w:r>
    </w:p>
    <w:p w14:paraId="7AC1E7F6" w14:textId="77777777" w:rsidR="0015696A" w:rsidRPr="009E19B7" w:rsidRDefault="0015696A" w:rsidP="00286F4A">
      <w:pPr>
        <w:spacing w:line="240" w:lineRule="auto"/>
        <w:contextualSpacing/>
        <w:jc w:val="both"/>
      </w:pPr>
    </w:p>
    <w:p w14:paraId="7BECC87E" w14:textId="77777777" w:rsidR="00A5580F" w:rsidRDefault="00A5580F" w:rsidP="00286F4A">
      <w:pPr>
        <w:pStyle w:val="Ttulo1"/>
        <w:numPr>
          <w:ilvl w:val="0"/>
          <w:numId w:val="4"/>
        </w:numPr>
        <w:spacing w:line="240" w:lineRule="auto"/>
        <w:contextualSpacing/>
        <w:rPr>
          <w:rFonts w:ascii="Arial" w:hAnsi="Arial" w:cs="Arial"/>
          <w:b/>
          <w:bCs/>
          <w:color w:val="auto"/>
          <w:sz w:val="22"/>
          <w:szCs w:val="22"/>
        </w:rPr>
      </w:pPr>
      <w:r w:rsidRPr="009E19B7">
        <w:rPr>
          <w:rFonts w:ascii="Arial" w:hAnsi="Arial" w:cs="Arial"/>
          <w:b/>
          <w:bCs/>
          <w:color w:val="auto"/>
          <w:sz w:val="22"/>
          <w:szCs w:val="22"/>
        </w:rPr>
        <w:lastRenderedPageBreak/>
        <w:t>CARACTERIZACIÓN</w:t>
      </w:r>
      <w:r w:rsidR="000D2CBF">
        <w:rPr>
          <w:rFonts w:ascii="Arial" w:hAnsi="Arial" w:cs="Arial"/>
          <w:b/>
          <w:bCs/>
          <w:color w:val="auto"/>
          <w:sz w:val="22"/>
          <w:szCs w:val="22"/>
        </w:rPr>
        <w:t>.</w:t>
      </w:r>
    </w:p>
    <w:p w14:paraId="45D47AFD" w14:textId="77777777" w:rsidR="0041445A" w:rsidRDefault="00C13EE9" w:rsidP="001729F6">
      <w:pPr>
        <w:pStyle w:val="Prrafodelista"/>
        <w:numPr>
          <w:ilvl w:val="0"/>
          <w:numId w:val="33"/>
        </w:numPr>
        <w:spacing w:line="240" w:lineRule="auto"/>
        <w:rPr>
          <w:b/>
          <w:bCs/>
        </w:rPr>
      </w:pPr>
      <w:r w:rsidRPr="00BB3FB3">
        <w:rPr>
          <w:noProof/>
          <w:lang w:val="es-CO" w:eastAsia="es-CO"/>
        </w:rPr>
        <w:drawing>
          <wp:anchor distT="0" distB="0" distL="114300" distR="114300" simplePos="0" relativeHeight="251660291" behindDoc="0" locked="0" layoutInCell="1" allowOverlap="1" wp14:anchorId="6AAC8CBB" wp14:editId="789FE2E2">
            <wp:simplePos x="0" y="0"/>
            <wp:positionH relativeFrom="margin">
              <wp:posOffset>-1105535</wp:posOffset>
            </wp:positionH>
            <wp:positionV relativeFrom="paragraph">
              <wp:posOffset>1181100</wp:posOffset>
            </wp:positionV>
            <wp:extent cx="7836535" cy="5988050"/>
            <wp:effectExtent l="0" t="9207" r="2857" b="2858"/>
            <wp:wrapSquare wrapText="bothSides"/>
            <wp:docPr id="1" name="Imagen 1" descr="Imagen que contiene libr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librer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836535" cy="5988050"/>
                    </a:xfrm>
                    <a:prstGeom prst="rect">
                      <a:avLst/>
                    </a:prstGeom>
                  </pic:spPr>
                </pic:pic>
              </a:graphicData>
            </a:graphic>
          </wp:anchor>
        </w:drawing>
      </w:r>
      <w:r w:rsidR="0041445A">
        <w:rPr>
          <w:b/>
          <w:bCs/>
        </w:rPr>
        <w:t xml:space="preserve">Infografía </w:t>
      </w:r>
    </w:p>
    <w:p w14:paraId="037F2770" w14:textId="77777777" w:rsidR="00C13EE9" w:rsidRPr="00C13EE9" w:rsidRDefault="00C13EE9" w:rsidP="001729F6">
      <w:pPr>
        <w:spacing w:line="240" w:lineRule="auto"/>
        <w:ind w:left="720"/>
        <w:contextualSpacing/>
        <w:rPr>
          <w:b/>
          <w:bCs/>
        </w:rPr>
      </w:pPr>
      <w:r w:rsidRPr="00FB0096">
        <w:rPr>
          <w:noProof/>
          <w:lang w:val="es-CO" w:eastAsia="es-CO"/>
        </w:rPr>
        <w:lastRenderedPageBreak/>
        <w:drawing>
          <wp:anchor distT="0" distB="0" distL="114300" distR="114300" simplePos="0" relativeHeight="251664387" behindDoc="0" locked="0" layoutInCell="1" allowOverlap="1" wp14:anchorId="28CFE918" wp14:editId="4B2E1443">
            <wp:simplePos x="0" y="0"/>
            <wp:positionH relativeFrom="margin">
              <wp:align>center</wp:align>
            </wp:positionH>
            <wp:positionV relativeFrom="paragraph">
              <wp:posOffset>351155</wp:posOffset>
            </wp:positionV>
            <wp:extent cx="6922135" cy="6220460"/>
            <wp:effectExtent l="7938" t="0" r="952" b="953"/>
            <wp:wrapSquare wrapText="bothSides"/>
            <wp:docPr id="6" name="Imagen 6"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922135" cy="6220460"/>
                    </a:xfrm>
                    <a:prstGeom prst="rect">
                      <a:avLst/>
                    </a:prstGeom>
                  </pic:spPr>
                </pic:pic>
              </a:graphicData>
            </a:graphic>
          </wp:anchor>
        </w:drawing>
      </w:r>
    </w:p>
    <w:p w14:paraId="401899E7" w14:textId="77777777" w:rsidR="0041445A" w:rsidRPr="003F3D88" w:rsidRDefault="0041445A" w:rsidP="00286F4A">
      <w:pPr>
        <w:pStyle w:val="Prrafodelista"/>
        <w:numPr>
          <w:ilvl w:val="0"/>
          <w:numId w:val="33"/>
        </w:numPr>
        <w:spacing w:line="240" w:lineRule="auto"/>
        <w:rPr>
          <w:b/>
          <w:bCs/>
        </w:rPr>
      </w:pPr>
      <w:r w:rsidRPr="003F3D88">
        <w:rPr>
          <w:b/>
          <w:bCs/>
        </w:rPr>
        <w:t>Plan de Desarrollo Municipal 2020-2023</w:t>
      </w:r>
      <w:r>
        <w:rPr>
          <w:b/>
          <w:bCs/>
        </w:rPr>
        <w:t>.</w:t>
      </w:r>
    </w:p>
    <w:p w14:paraId="0AD4FED3" w14:textId="77777777" w:rsidR="0041445A" w:rsidRDefault="0041445A">
      <w:pPr>
        <w:spacing w:line="240" w:lineRule="auto"/>
        <w:contextualSpacing/>
        <w:jc w:val="both"/>
      </w:pPr>
    </w:p>
    <w:p w14:paraId="28409834" w14:textId="77777777" w:rsidR="0041445A" w:rsidRDefault="0041445A">
      <w:pPr>
        <w:spacing w:line="240" w:lineRule="auto"/>
        <w:contextualSpacing/>
        <w:jc w:val="both"/>
      </w:pPr>
      <w:r>
        <w:t>El Municipio de Puerto Leguizamo - Putumayo presentó el Plan de Desarrollo “</w:t>
      </w:r>
      <w:r w:rsidRPr="00DF2058">
        <w:rPr>
          <w:i/>
          <w:iCs/>
        </w:rPr>
        <w:t>Gestión y resultados para el desarrollo Integral de Leguizamo 2020-2023</w:t>
      </w:r>
      <w:r>
        <w:t xml:space="preserve">”, adoptado a través del Acuerdo No. 010 del 29 de mayo de 2020. Así mismo, entregó el POAI 2019, el Plan Plurianual de Inversiones y el Plan Indicativo 2020. En este orden de ideas, el Plan de </w:t>
      </w:r>
      <w:r>
        <w:lastRenderedPageBreak/>
        <w:t>Desarrollo Municipal cuenta con el componente general, el diagnóstico del Municipio, el Plan Estratégico y el Plan de Inversiones, cumpliendo a cabalidad la composición que dispone la Ley 152 de 1994.</w:t>
      </w:r>
    </w:p>
    <w:p w14:paraId="511BDB88" w14:textId="77777777" w:rsidR="0041445A" w:rsidRDefault="0041445A">
      <w:pPr>
        <w:spacing w:line="240" w:lineRule="auto"/>
        <w:contextualSpacing/>
        <w:jc w:val="both"/>
      </w:pPr>
    </w:p>
    <w:p w14:paraId="34C1C5AD" w14:textId="77777777" w:rsidR="0041445A" w:rsidRDefault="0041445A">
      <w:pPr>
        <w:spacing w:line="240" w:lineRule="auto"/>
        <w:contextualSpacing/>
        <w:jc w:val="both"/>
      </w:pPr>
      <w:r>
        <w:t>En lo que respecta al componente estratégico, se evidencio la estructuración a través de cinco (5) motores que incluyeron a once (11) sectores, cada uno de ellos compuesto por veintiséis (26) programas que comprende la ruta de acción a ejecutar y que se mencionan a continuación:</w:t>
      </w:r>
    </w:p>
    <w:p w14:paraId="08C94C73" w14:textId="77777777" w:rsidR="0041445A" w:rsidRDefault="0041445A">
      <w:pPr>
        <w:spacing w:line="240" w:lineRule="auto"/>
        <w:contextualSpacing/>
        <w:jc w:val="both"/>
      </w:pPr>
    </w:p>
    <w:p w14:paraId="2D86A002" w14:textId="77777777" w:rsidR="0041445A" w:rsidRPr="00562B6D" w:rsidRDefault="0041445A">
      <w:pPr>
        <w:spacing w:after="0" w:line="240" w:lineRule="auto"/>
        <w:contextualSpacing/>
        <w:jc w:val="center"/>
        <w:rPr>
          <w:b/>
          <w:bCs/>
          <w:sz w:val="20"/>
          <w:szCs w:val="20"/>
        </w:rPr>
      </w:pPr>
      <w:r w:rsidRPr="00562B6D">
        <w:rPr>
          <w:b/>
          <w:bCs/>
          <w:sz w:val="20"/>
          <w:szCs w:val="20"/>
        </w:rPr>
        <w:t xml:space="preserve">Cuadro No. </w:t>
      </w:r>
      <w:r>
        <w:rPr>
          <w:b/>
          <w:bCs/>
          <w:sz w:val="20"/>
          <w:szCs w:val="20"/>
        </w:rPr>
        <w:t>1</w:t>
      </w:r>
    </w:p>
    <w:p w14:paraId="20B54A77" w14:textId="77777777" w:rsidR="0041445A" w:rsidRPr="006C11BD" w:rsidRDefault="0041445A">
      <w:pPr>
        <w:spacing w:after="0" w:line="240" w:lineRule="auto"/>
        <w:contextualSpacing/>
        <w:jc w:val="center"/>
        <w:rPr>
          <w:sz w:val="20"/>
          <w:szCs w:val="20"/>
        </w:rPr>
      </w:pPr>
      <w:r w:rsidRPr="006C11BD">
        <w:rPr>
          <w:sz w:val="20"/>
          <w:szCs w:val="20"/>
        </w:rPr>
        <w:t xml:space="preserve">Estructura del Plan de Desarrollo Territorial </w:t>
      </w:r>
    </w:p>
    <w:p w14:paraId="65F6739F" w14:textId="77777777" w:rsidR="0041445A" w:rsidRPr="006C11BD" w:rsidRDefault="0041445A">
      <w:pPr>
        <w:spacing w:after="0" w:line="240" w:lineRule="auto"/>
        <w:contextualSpacing/>
        <w:jc w:val="center"/>
        <w:rPr>
          <w:sz w:val="20"/>
          <w:szCs w:val="20"/>
        </w:rPr>
      </w:pPr>
      <w:r w:rsidRPr="006C11BD">
        <w:rPr>
          <w:sz w:val="20"/>
          <w:szCs w:val="20"/>
        </w:rPr>
        <w:t>Municipio de Puerto Leguízamo - Putumayo</w:t>
      </w:r>
    </w:p>
    <w:tbl>
      <w:tblPr>
        <w:tblStyle w:val="Tablaconcuadrcula"/>
        <w:tblW w:w="8552" w:type="dxa"/>
        <w:jc w:val="center"/>
        <w:tblLayout w:type="fixed"/>
        <w:tblLook w:val="06A0" w:firstRow="1" w:lastRow="0" w:firstColumn="1" w:lastColumn="0" w:noHBand="1" w:noVBand="1"/>
      </w:tblPr>
      <w:tblGrid>
        <w:gridCol w:w="2895"/>
        <w:gridCol w:w="3252"/>
        <w:gridCol w:w="2405"/>
      </w:tblGrid>
      <w:tr w:rsidR="0041445A" w:rsidRPr="00025B8D" w14:paraId="5C68C470" w14:textId="77777777" w:rsidTr="005654D2">
        <w:trPr>
          <w:trHeight w:val="134"/>
          <w:tblHeader/>
          <w:jc w:val="center"/>
        </w:trPr>
        <w:tc>
          <w:tcPr>
            <w:tcW w:w="2895" w:type="dxa"/>
            <w:tcBorders>
              <w:top w:val="single" w:sz="4" w:space="0" w:color="auto"/>
              <w:left w:val="single" w:sz="4" w:space="0" w:color="auto"/>
              <w:bottom w:val="single" w:sz="4" w:space="0" w:color="auto"/>
              <w:right w:val="single" w:sz="4" w:space="0" w:color="auto"/>
            </w:tcBorders>
            <w:shd w:val="clear" w:color="auto" w:fill="666699"/>
            <w:vAlign w:val="center"/>
          </w:tcPr>
          <w:p w14:paraId="3ABE8409" w14:textId="77777777" w:rsidR="0041445A" w:rsidRPr="00FB27C3" w:rsidRDefault="0041445A">
            <w:pPr>
              <w:contextualSpacing/>
              <w:jc w:val="center"/>
              <w:rPr>
                <w:rFonts w:cs="Arial"/>
                <w:b/>
                <w:bCs/>
                <w:color w:val="FFFFFF" w:themeColor="background1"/>
                <w:sz w:val="18"/>
                <w:szCs w:val="18"/>
              </w:rPr>
            </w:pPr>
            <w:r w:rsidRPr="00FB27C3">
              <w:rPr>
                <w:rFonts w:eastAsia="Calibri" w:cs="Arial"/>
                <w:b/>
                <w:bCs/>
                <w:color w:val="FFFFFF" w:themeColor="background1"/>
                <w:sz w:val="18"/>
                <w:szCs w:val="18"/>
              </w:rPr>
              <w:t>MOTORES</w:t>
            </w:r>
          </w:p>
        </w:tc>
        <w:tc>
          <w:tcPr>
            <w:tcW w:w="3252" w:type="dxa"/>
            <w:tcBorders>
              <w:top w:val="single" w:sz="4" w:space="0" w:color="auto"/>
              <w:left w:val="single" w:sz="4" w:space="0" w:color="auto"/>
              <w:bottom w:val="single" w:sz="4" w:space="0" w:color="auto"/>
              <w:right w:val="single" w:sz="4" w:space="0" w:color="auto"/>
            </w:tcBorders>
            <w:shd w:val="clear" w:color="auto" w:fill="666699"/>
            <w:vAlign w:val="center"/>
          </w:tcPr>
          <w:p w14:paraId="39DC2EFA" w14:textId="77777777" w:rsidR="0041445A" w:rsidRPr="00FB27C3" w:rsidRDefault="0041445A">
            <w:pPr>
              <w:contextualSpacing/>
              <w:jc w:val="center"/>
              <w:rPr>
                <w:rFonts w:cs="Arial"/>
                <w:b/>
                <w:bCs/>
                <w:color w:val="FFFFFF" w:themeColor="background1"/>
                <w:sz w:val="18"/>
                <w:szCs w:val="18"/>
              </w:rPr>
            </w:pPr>
            <w:r w:rsidRPr="00FB27C3">
              <w:rPr>
                <w:rFonts w:eastAsia="Calibri" w:cs="Arial"/>
                <w:b/>
                <w:bCs/>
                <w:color w:val="FFFFFF" w:themeColor="background1"/>
                <w:sz w:val="18"/>
                <w:szCs w:val="18"/>
              </w:rPr>
              <w:t xml:space="preserve">SECTOR </w:t>
            </w:r>
          </w:p>
        </w:tc>
        <w:tc>
          <w:tcPr>
            <w:tcW w:w="2405" w:type="dxa"/>
            <w:tcBorders>
              <w:top w:val="single" w:sz="4" w:space="0" w:color="auto"/>
              <w:left w:val="single" w:sz="4" w:space="0" w:color="auto"/>
              <w:bottom w:val="single" w:sz="4" w:space="0" w:color="auto"/>
              <w:right w:val="single" w:sz="4" w:space="0" w:color="auto"/>
            </w:tcBorders>
            <w:shd w:val="clear" w:color="auto" w:fill="666699"/>
            <w:vAlign w:val="center"/>
          </w:tcPr>
          <w:p w14:paraId="4F030144" w14:textId="77777777" w:rsidR="0041445A" w:rsidRPr="00FB27C3" w:rsidRDefault="0041445A">
            <w:pPr>
              <w:contextualSpacing/>
              <w:jc w:val="center"/>
              <w:rPr>
                <w:rFonts w:cs="Arial"/>
                <w:b/>
                <w:bCs/>
                <w:color w:val="FFFFFF" w:themeColor="background1"/>
                <w:sz w:val="18"/>
                <w:szCs w:val="18"/>
              </w:rPr>
            </w:pPr>
            <w:r w:rsidRPr="00FB27C3">
              <w:rPr>
                <w:rFonts w:eastAsia="Calibri" w:cs="Arial"/>
                <w:b/>
                <w:bCs/>
                <w:color w:val="FFFFFF" w:themeColor="background1"/>
                <w:sz w:val="18"/>
                <w:szCs w:val="18"/>
              </w:rPr>
              <w:t>TOTAL PROYECTADO</w:t>
            </w:r>
          </w:p>
          <w:p w14:paraId="41545C61" w14:textId="77777777" w:rsidR="0041445A" w:rsidRPr="00FB27C3" w:rsidRDefault="0041445A">
            <w:pPr>
              <w:contextualSpacing/>
              <w:jc w:val="center"/>
              <w:rPr>
                <w:rFonts w:eastAsia="Calibri" w:cs="Arial"/>
                <w:b/>
                <w:bCs/>
                <w:color w:val="FFFFFF" w:themeColor="background1"/>
                <w:sz w:val="18"/>
                <w:szCs w:val="18"/>
              </w:rPr>
            </w:pPr>
            <w:r w:rsidRPr="00FB27C3">
              <w:rPr>
                <w:rFonts w:eastAsia="Calibri" w:cs="Arial"/>
                <w:b/>
                <w:bCs/>
                <w:color w:val="FFFFFF" w:themeColor="background1"/>
                <w:sz w:val="18"/>
                <w:szCs w:val="18"/>
              </w:rPr>
              <w:t xml:space="preserve">(cifras en miles) </w:t>
            </w:r>
          </w:p>
        </w:tc>
      </w:tr>
      <w:tr w:rsidR="0041445A" w:rsidRPr="00025B8D" w14:paraId="5C7EF3C7" w14:textId="77777777" w:rsidTr="005654D2">
        <w:trPr>
          <w:trHeight w:val="174"/>
          <w:jc w:val="center"/>
        </w:trPr>
        <w:tc>
          <w:tcPr>
            <w:tcW w:w="2895" w:type="dxa"/>
            <w:tcBorders>
              <w:top w:val="single" w:sz="4" w:space="0" w:color="auto"/>
              <w:left w:val="single" w:sz="4" w:space="0" w:color="auto"/>
              <w:bottom w:val="single" w:sz="4" w:space="0" w:color="auto"/>
              <w:right w:val="single" w:sz="4" w:space="0" w:color="auto"/>
            </w:tcBorders>
            <w:vAlign w:val="center"/>
          </w:tcPr>
          <w:p w14:paraId="3A44D64D" w14:textId="77777777" w:rsidR="0041445A" w:rsidRPr="00FB27C3" w:rsidRDefault="0041445A" w:rsidP="00286F4A">
            <w:pPr>
              <w:contextualSpacing/>
              <w:jc w:val="center"/>
              <w:rPr>
                <w:rFonts w:cs="Arial"/>
                <w:sz w:val="18"/>
                <w:szCs w:val="18"/>
              </w:rPr>
            </w:pPr>
            <w:r w:rsidRPr="00FB27C3">
              <w:rPr>
                <w:rFonts w:eastAsia="Calibri" w:cs="Arial"/>
                <w:color w:val="000000" w:themeColor="text1"/>
                <w:sz w:val="18"/>
                <w:szCs w:val="18"/>
              </w:rPr>
              <w:t>Desarrollo Político Administrativo</w:t>
            </w:r>
          </w:p>
        </w:tc>
        <w:tc>
          <w:tcPr>
            <w:tcW w:w="3252" w:type="dxa"/>
            <w:tcBorders>
              <w:top w:val="single" w:sz="4" w:space="0" w:color="auto"/>
              <w:left w:val="single" w:sz="4" w:space="0" w:color="auto"/>
              <w:bottom w:val="single" w:sz="4" w:space="0" w:color="auto"/>
              <w:right w:val="single" w:sz="4" w:space="0" w:color="auto"/>
            </w:tcBorders>
            <w:vAlign w:val="center"/>
          </w:tcPr>
          <w:p w14:paraId="7DDE2B19"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Gobierno Territorial</w:t>
            </w:r>
          </w:p>
        </w:tc>
        <w:tc>
          <w:tcPr>
            <w:tcW w:w="2405" w:type="dxa"/>
            <w:tcBorders>
              <w:top w:val="single" w:sz="4" w:space="0" w:color="auto"/>
              <w:left w:val="single" w:sz="4" w:space="0" w:color="auto"/>
              <w:bottom w:val="single" w:sz="4" w:space="0" w:color="auto"/>
              <w:right w:val="single" w:sz="4" w:space="0" w:color="auto"/>
            </w:tcBorders>
            <w:vAlign w:val="center"/>
          </w:tcPr>
          <w:p w14:paraId="4F286A33"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$5.628.075</w:t>
            </w:r>
          </w:p>
        </w:tc>
      </w:tr>
      <w:tr w:rsidR="0041445A" w:rsidRPr="00025B8D" w14:paraId="6E5C1772" w14:textId="77777777" w:rsidTr="005654D2">
        <w:trPr>
          <w:trHeight w:val="404"/>
          <w:jc w:val="center"/>
        </w:trPr>
        <w:tc>
          <w:tcPr>
            <w:tcW w:w="2895" w:type="dxa"/>
            <w:vMerge w:val="restart"/>
            <w:tcBorders>
              <w:top w:val="single" w:sz="4" w:space="0" w:color="auto"/>
              <w:left w:val="single" w:sz="4" w:space="0" w:color="auto"/>
              <w:bottom w:val="single" w:sz="4" w:space="0" w:color="auto"/>
              <w:right w:val="single" w:sz="4" w:space="0" w:color="auto"/>
            </w:tcBorders>
            <w:vAlign w:val="center"/>
          </w:tcPr>
          <w:p w14:paraId="0D5AFD8D" w14:textId="77777777" w:rsidR="0041445A" w:rsidRPr="00FB27C3" w:rsidRDefault="0041445A" w:rsidP="00286F4A">
            <w:pPr>
              <w:contextualSpacing/>
              <w:jc w:val="center"/>
              <w:rPr>
                <w:rFonts w:cs="Arial"/>
                <w:sz w:val="18"/>
                <w:szCs w:val="18"/>
              </w:rPr>
            </w:pPr>
            <w:r w:rsidRPr="00FB27C3">
              <w:rPr>
                <w:rFonts w:eastAsia="Calibri" w:cs="Arial"/>
                <w:color w:val="000000" w:themeColor="text1"/>
                <w:sz w:val="18"/>
                <w:szCs w:val="18"/>
              </w:rPr>
              <w:t>Desarrollo Social</w:t>
            </w:r>
          </w:p>
        </w:tc>
        <w:tc>
          <w:tcPr>
            <w:tcW w:w="3252" w:type="dxa"/>
            <w:tcBorders>
              <w:top w:val="single" w:sz="4" w:space="0" w:color="auto"/>
              <w:left w:val="single" w:sz="4" w:space="0" w:color="auto"/>
              <w:bottom w:val="single" w:sz="4" w:space="0" w:color="auto"/>
              <w:right w:val="single" w:sz="4" w:space="0" w:color="auto"/>
            </w:tcBorders>
            <w:vAlign w:val="center"/>
          </w:tcPr>
          <w:p w14:paraId="76BDBF0B"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Salud</w:t>
            </w:r>
          </w:p>
        </w:tc>
        <w:tc>
          <w:tcPr>
            <w:tcW w:w="2405" w:type="dxa"/>
            <w:tcBorders>
              <w:top w:val="single" w:sz="4" w:space="0" w:color="auto"/>
              <w:left w:val="single" w:sz="4" w:space="0" w:color="auto"/>
              <w:bottom w:val="single" w:sz="4" w:space="0" w:color="auto"/>
              <w:right w:val="single" w:sz="4" w:space="0" w:color="auto"/>
            </w:tcBorders>
            <w:vAlign w:val="center"/>
          </w:tcPr>
          <w:p w14:paraId="68570B5F"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$3.684.600</w:t>
            </w:r>
          </w:p>
        </w:tc>
      </w:tr>
      <w:tr w:rsidR="0041445A" w:rsidRPr="00025B8D" w14:paraId="247D554A" w14:textId="77777777" w:rsidTr="005654D2">
        <w:trPr>
          <w:trHeight w:val="87"/>
          <w:jc w:val="center"/>
        </w:trPr>
        <w:tc>
          <w:tcPr>
            <w:tcW w:w="2895" w:type="dxa"/>
            <w:vMerge/>
            <w:vAlign w:val="center"/>
          </w:tcPr>
          <w:p w14:paraId="5DFC6BBF" w14:textId="77777777" w:rsidR="0041445A" w:rsidRPr="00FB27C3" w:rsidRDefault="0041445A">
            <w:pPr>
              <w:contextualSpacing/>
              <w:rPr>
                <w:rFonts w:cs="Arial"/>
                <w:sz w:val="18"/>
                <w:szCs w:val="18"/>
              </w:rPr>
            </w:pPr>
          </w:p>
        </w:tc>
        <w:tc>
          <w:tcPr>
            <w:tcW w:w="3252" w:type="dxa"/>
            <w:tcBorders>
              <w:top w:val="single" w:sz="4" w:space="0" w:color="auto"/>
              <w:left w:val="single" w:sz="4" w:space="0" w:color="auto"/>
              <w:bottom w:val="single" w:sz="4" w:space="0" w:color="auto"/>
              <w:right w:val="single" w:sz="4" w:space="0" w:color="auto"/>
            </w:tcBorders>
            <w:vAlign w:val="center"/>
          </w:tcPr>
          <w:p w14:paraId="37BE57A1"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Promoción Social</w:t>
            </w:r>
          </w:p>
        </w:tc>
        <w:tc>
          <w:tcPr>
            <w:tcW w:w="2405" w:type="dxa"/>
            <w:tcBorders>
              <w:top w:val="single" w:sz="4" w:space="0" w:color="auto"/>
              <w:left w:val="single" w:sz="4" w:space="0" w:color="auto"/>
              <w:bottom w:val="single" w:sz="4" w:space="0" w:color="auto"/>
              <w:right w:val="single" w:sz="4" w:space="0" w:color="auto"/>
            </w:tcBorders>
            <w:vAlign w:val="center"/>
          </w:tcPr>
          <w:p w14:paraId="1C347BC7"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$4.327.700</w:t>
            </w:r>
          </w:p>
        </w:tc>
      </w:tr>
      <w:tr w:rsidR="0041445A" w:rsidRPr="00025B8D" w14:paraId="7A97A48B" w14:textId="77777777" w:rsidTr="005654D2">
        <w:trPr>
          <w:trHeight w:val="120"/>
          <w:jc w:val="center"/>
        </w:trPr>
        <w:tc>
          <w:tcPr>
            <w:tcW w:w="2895" w:type="dxa"/>
            <w:vMerge/>
            <w:vAlign w:val="center"/>
          </w:tcPr>
          <w:p w14:paraId="773DC31C" w14:textId="77777777" w:rsidR="0041445A" w:rsidRPr="00FB27C3" w:rsidRDefault="0041445A">
            <w:pPr>
              <w:contextualSpacing/>
              <w:rPr>
                <w:rFonts w:cs="Arial"/>
                <w:sz w:val="18"/>
                <w:szCs w:val="18"/>
              </w:rPr>
            </w:pPr>
          </w:p>
        </w:tc>
        <w:tc>
          <w:tcPr>
            <w:tcW w:w="3252" w:type="dxa"/>
            <w:tcBorders>
              <w:top w:val="single" w:sz="4" w:space="0" w:color="auto"/>
              <w:left w:val="single" w:sz="4" w:space="0" w:color="auto"/>
              <w:bottom w:val="single" w:sz="4" w:space="0" w:color="auto"/>
              <w:right w:val="single" w:sz="4" w:space="0" w:color="auto"/>
            </w:tcBorders>
            <w:vAlign w:val="center"/>
          </w:tcPr>
          <w:p w14:paraId="1772F11A"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Servicios Públicos</w:t>
            </w:r>
          </w:p>
        </w:tc>
        <w:tc>
          <w:tcPr>
            <w:tcW w:w="2405" w:type="dxa"/>
            <w:tcBorders>
              <w:top w:val="single" w:sz="4" w:space="0" w:color="auto"/>
              <w:left w:val="single" w:sz="4" w:space="0" w:color="auto"/>
              <w:bottom w:val="single" w:sz="4" w:space="0" w:color="auto"/>
              <w:right w:val="single" w:sz="4" w:space="0" w:color="auto"/>
            </w:tcBorders>
            <w:vAlign w:val="center"/>
          </w:tcPr>
          <w:p w14:paraId="2F982386"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$23.775.000</w:t>
            </w:r>
          </w:p>
        </w:tc>
      </w:tr>
      <w:tr w:rsidR="0041445A" w:rsidRPr="00025B8D" w14:paraId="3CF66D60" w14:textId="77777777" w:rsidTr="005654D2">
        <w:trPr>
          <w:trHeight w:val="87"/>
          <w:jc w:val="center"/>
        </w:trPr>
        <w:tc>
          <w:tcPr>
            <w:tcW w:w="2895" w:type="dxa"/>
            <w:vMerge/>
            <w:vAlign w:val="center"/>
          </w:tcPr>
          <w:p w14:paraId="269052AC" w14:textId="77777777" w:rsidR="0041445A" w:rsidRPr="00FB27C3" w:rsidRDefault="0041445A">
            <w:pPr>
              <w:contextualSpacing/>
              <w:rPr>
                <w:rFonts w:cs="Arial"/>
                <w:sz w:val="18"/>
                <w:szCs w:val="18"/>
              </w:rPr>
            </w:pPr>
          </w:p>
        </w:tc>
        <w:tc>
          <w:tcPr>
            <w:tcW w:w="3252" w:type="dxa"/>
            <w:tcBorders>
              <w:top w:val="single" w:sz="4" w:space="0" w:color="auto"/>
              <w:left w:val="single" w:sz="4" w:space="0" w:color="auto"/>
              <w:bottom w:val="single" w:sz="4" w:space="0" w:color="auto"/>
              <w:right w:val="single" w:sz="4" w:space="0" w:color="auto"/>
            </w:tcBorders>
            <w:vAlign w:val="center"/>
          </w:tcPr>
          <w:p w14:paraId="09C052CD"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 xml:space="preserve">Equipamiento Municipal </w:t>
            </w:r>
          </w:p>
        </w:tc>
        <w:tc>
          <w:tcPr>
            <w:tcW w:w="2405" w:type="dxa"/>
            <w:tcBorders>
              <w:top w:val="single" w:sz="4" w:space="0" w:color="auto"/>
              <w:left w:val="single" w:sz="4" w:space="0" w:color="auto"/>
              <w:bottom w:val="single" w:sz="4" w:space="0" w:color="auto"/>
              <w:right w:val="single" w:sz="4" w:space="0" w:color="auto"/>
            </w:tcBorders>
            <w:vAlign w:val="center"/>
          </w:tcPr>
          <w:p w14:paraId="32352C6F"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$12.380.000</w:t>
            </w:r>
          </w:p>
        </w:tc>
      </w:tr>
      <w:tr w:rsidR="0041445A" w:rsidRPr="00025B8D" w14:paraId="5FAC29DA" w14:textId="77777777" w:rsidTr="005654D2">
        <w:trPr>
          <w:trHeight w:val="174"/>
          <w:jc w:val="center"/>
        </w:trPr>
        <w:tc>
          <w:tcPr>
            <w:tcW w:w="2895" w:type="dxa"/>
            <w:vMerge/>
            <w:vAlign w:val="center"/>
          </w:tcPr>
          <w:p w14:paraId="54CEC78D" w14:textId="77777777" w:rsidR="0041445A" w:rsidRPr="00FB27C3" w:rsidRDefault="0041445A">
            <w:pPr>
              <w:contextualSpacing/>
              <w:rPr>
                <w:rFonts w:cs="Arial"/>
                <w:sz w:val="18"/>
                <w:szCs w:val="18"/>
              </w:rPr>
            </w:pPr>
          </w:p>
        </w:tc>
        <w:tc>
          <w:tcPr>
            <w:tcW w:w="3252" w:type="dxa"/>
            <w:tcBorders>
              <w:top w:val="single" w:sz="4" w:space="0" w:color="auto"/>
              <w:left w:val="single" w:sz="4" w:space="0" w:color="auto"/>
              <w:bottom w:val="single" w:sz="4" w:space="0" w:color="auto"/>
              <w:right w:val="single" w:sz="4" w:space="0" w:color="auto"/>
            </w:tcBorders>
            <w:vAlign w:val="center"/>
          </w:tcPr>
          <w:p w14:paraId="1BCA5799"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 xml:space="preserve">Deporte Recreación </w:t>
            </w:r>
          </w:p>
        </w:tc>
        <w:tc>
          <w:tcPr>
            <w:tcW w:w="2405" w:type="dxa"/>
            <w:tcBorders>
              <w:top w:val="single" w:sz="4" w:space="0" w:color="auto"/>
              <w:left w:val="single" w:sz="4" w:space="0" w:color="auto"/>
              <w:bottom w:val="single" w:sz="4" w:space="0" w:color="auto"/>
              <w:right w:val="single" w:sz="4" w:space="0" w:color="auto"/>
            </w:tcBorders>
            <w:vAlign w:val="center"/>
          </w:tcPr>
          <w:p w14:paraId="3C8F4739"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$360.000</w:t>
            </w:r>
          </w:p>
        </w:tc>
      </w:tr>
      <w:tr w:rsidR="0041445A" w:rsidRPr="00025B8D" w14:paraId="62CB63D2" w14:textId="77777777" w:rsidTr="005654D2">
        <w:trPr>
          <w:trHeight w:val="174"/>
          <w:jc w:val="center"/>
        </w:trPr>
        <w:tc>
          <w:tcPr>
            <w:tcW w:w="2895" w:type="dxa"/>
            <w:tcBorders>
              <w:top w:val="single" w:sz="4" w:space="0" w:color="auto"/>
              <w:left w:val="single" w:sz="4" w:space="0" w:color="auto"/>
              <w:bottom w:val="nil"/>
              <w:right w:val="single" w:sz="4" w:space="0" w:color="auto"/>
            </w:tcBorders>
            <w:vAlign w:val="center"/>
          </w:tcPr>
          <w:p w14:paraId="6ACE695C" w14:textId="77777777" w:rsidR="0041445A" w:rsidRPr="00FB27C3" w:rsidRDefault="0041445A" w:rsidP="00286F4A">
            <w:pPr>
              <w:contextualSpacing/>
              <w:jc w:val="center"/>
              <w:rPr>
                <w:rFonts w:cs="Arial"/>
                <w:sz w:val="18"/>
                <w:szCs w:val="18"/>
              </w:rPr>
            </w:pPr>
            <w:r w:rsidRPr="00FB27C3">
              <w:rPr>
                <w:rFonts w:eastAsia="Calibri" w:cs="Arial"/>
                <w:color w:val="000000" w:themeColor="text1"/>
                <w:sz w:val="18"/>
                <w:szCs w:val="18"/>
              </w:rPr>
              <w:t>Desarrollo Cultural</w:t>
            </w:r>
          </w:p>
        </w:tc>
        <w:tc>
          <w:tcPr>
            <w:tcW w:w="3252" w:type="dxa"/>
            <w:tcBorders>
              <w:top w:val="single" w:sz="4" w:space="0" w:color="auto"/>
              <w:left w:val="single" w:sz="4" w:space="0" w:color="auto"/>
              <w:bottom w:val="nil"/>
              <w:right w:val="single" w:sz="4" w:space="0" w:color="auto"/>
            </w:tcBorders>
            <w:vAlign w:val="center"/>
          </w:tcPr>
          <w:p w14:paraId="0BACCE1C"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 xml:space="preserve">Cultura </w:t>
            </w:r>
          </w:p>
        </w:tc>
        <w:tc>
          <w:tcPr>
            <w:tcW w:w="2405" w:type="dxa"/>
            <w:tcBorders>
              <w:top w:val="single" w:sz="4" w:space="0" w:color="auto"/>
              <w:left w:val="single" w:sz="4" w:space="0" w:color="auto"/>
              <w:bottom w:val="nil"/>
              <w:right w:val="single" w:sz="4" w:space="0" w:color="auto"/>
            </w:tcBorders>
            <w:vAlign w:val="center"/>
          </w:tcPr>
          <w:p w14:paraId="7F6BB9FF"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$4.200.000</w:t>
            </w:r>
          </w:p>
        </w:tc>
      </w:tr>
      <w:tr w:rsidR="0041445A" w:rsidRPr="00025B8D" w14:paraId="69F0D5BE" w14:textId="77777777" w:rsidTr="005654D2">
        <w:trPr>
          <w:trHeight w:val="263"/>
          <w:jc w:val="center"/>
        </w:trPr>
        <w:tc>
          <w:tcPr>
            <w:tcW w:w="28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1569E" w14:textId="77777777" w:rsidR="0041445A" w:rsidRPr="00FB27C3" w:rsidRDefault="0041445A" w:rsidP="00286F4A">
            <w:pPr>
              <w:contextualSpacing/>
              <w:jc w:val="center"/>
              <w:rPr>
                <w:rFonts w:cs="Arial"/>
                <w:sz w:val="18"/>
                <w:szCs w:val="18"/>
              </w:rPr>
            </w:pPr>
            <w:r w:rsidRPr="00FB27C3">
              <w:rPr>
                <w:rFonts w:eastAsia="Calibri" w:cs="Arial"/>
                <w:color w:val="000000" w:themeColor="text1"/>
                <w:sz w:val="18"/>
                <w:szCs w:val="18"/>
              </w:rPr>
              <w:t>Desarrollo Educación de Calidad con Enfoques Ambiental Tecnológico</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4B162"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Educación</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5C91A"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$6.895.000</w:t>
            </w:r>
          </w:p>
        </w:tc>
      </w:tr>
      <w:tr w:rsidR="0041445A" w:rsidRPr="00025B8D" w14:paraId="0AE1F247" w14:textId="77777777" w:rsidTr="005654D2">
        <w:trPr>
          <w:trHeight w:val="263"/>
          <w:jc w:val="center"/>
        </w:trPr>
        <w:tc>
          <w:tcPr>
            <w:tcW w:w="28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4B80F" w14:textId="77777777" w:rsidR="0041445A" w:rsidRPr="00FB27C3" w:rsidRDefault="0041445A" w:rsidP="00286F4A">
            <w:pPr>
              <w:contextualSpacing/>
              <w:jc w:val="center"/>
              <w:rPr>
                <w:rFonts w:cs="Arial"/>
                <w:sz w:val="18"/>
                <w:szCs w:val="18"/>
              </w:rPr>
            </w:pPr>
            <w:r w:rsidRPr="00FB27C3">
              <w:rPr>
                <w:rFonts w:eastAsia="Calibri" w:cs="Arial"/>
                <w:color w:val="000000" w:themeColor="text1"/>
                <w:sz w:val="18"/>
                <w:szCs w:val="18"/>
              </w:rPr>
              <w:t xml:space="preserve">Desarrollo Agropecuario, Ambiental y de Desarrollo Económico </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5EFB8"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 xml:space="preserve">Agropecuario </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DA1845"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$2.094.400</w:t>
            </w:r>
          </w:p>
        </w:tc>
      </w:tr>
      <w:tr w:rsidR="0041445A" w:rsidRPr="00025B8D" w14:paraId="6986237A" w14:textId="77777777" w:rsidTr="005654D2">
        <w:trPr>
          <w:trHeight w:val="87"/>
          <w:jc w:val="center"/>
        </w:trPr>
        <w:tc>
          <w:tcPr>
            <w:tcW w:w="2895" w:type="dxa"/>
            <w:vMerge/>
            <w:vAlign w:val="center"/>
          </w:tcPr>
          <w:p w14:paraId="191844CB" w14:textId="77777777" w:rsidR="0041445A" w:rsidRPr="00FB27C3" w:rsidRDefault="0041445A">
            <w:pPr>
              <w:contextualSpacing/>
              <w:rPr>
                <w:rFonts w:cs="Arial"/>
                <w:sz w:val="18"/>
                <w:szCs w:val="18"/>
              </w:rPr>
            </w:pP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3DFA9"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Ambiente</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782DE9"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$1.430.000</w:t>
            </w:r>
          </w:p>
        </w:tc>
      </w:tr>
      <w:tr w:rsidR="0041445A" w:rsidRPr="00025B8D" w14:paraId="5C729273" w14:textId="77777777" w:rsidTr="005654D2">
        <w:trPr>
          <w:trHeight w:val="87"/>
          <w:jc w:val="center"/>
        </w:trPr>
        <w:tc>
          <w:tcPr>
            <w:tcW w:w="2895" w:type="dxa"/>
            <w:vMerge/>
            <w:vAlign w:val="center"/>
          </w:tcPr>
          <w:p w14:paraId="5A0BE55F" w14:textId="77777777" w:rsidR="0041445A" w:rsidRPr="00FB27C3" w:rsidRDefault="0041445A">
            <w:pPr>
              <w:contextualSpacing/>
              <w:rPr>
                <w:rFonts w:cs="Arial"/>
                <w:sz w:val="18"/>
                <w:szCs w:val="18"/>
              </w:rPr>
            </w:pP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6B567D"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Desarrollo Económico</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1BF3E" w14:textId="77777777" w:rsidR="0041445A" w:rsidRPr="00FB27C3" w:rsidRDefault="0041445A">
            <w:pPr>
              <w:contextualSpacing/>
              <w:jc w:val="center"/>
              <w:rPr>
                <w:rFonts w:cs="Arial"/>
                <w:sz w:val="18"/>
                <w:szCs w:val="18"/>
              </w:rPr>
            </w:pPr>
            <w:r w:rsidRPr="00FB27C3">
              <w:rPr>
                <w:rFonts w:eastAsia="Calibri" w:cs="Arial"/>
                <w:color w:val="000000" w:themeColor="text1"/>
                <w:sz w:val="18"/>
                <w:szCs w:val="18"/>
              </w:rPr>
              <w:t>$3.110.000</w:t>
            </w:r>
          </w:p>
        </w:tc>
      </w:tr>
      <w:tr w:rsidR="0041445A" w:rsidRPr="00025B8D" w14:paraId="73EFE66C" w14:textId="77777777" w:rsidTr="005654D2">
        <w:trPr>
          <w:trHeight w:val="87"/>
          <w:jc w:val="center"/>
        </w:trPr>
        <w:tc>
          <w:tcPr>
            <w:tcW w:w="61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99"/>
            <w:vAlign w:val="center"/>
          </w:tcPr>
          <w:p w14:paraId="32693951" w14:textId="77777777" w:rsidR="0041445A" w:rsidRPr="00FB27C3" w:rsidRDefault="0041445A" w:rsidP="00286F4A">
            <w:pPr>
              <w:contextualSpacing/>
              <w:jc w:val="center"/>
              <w:rPr>
                <w:rFonts w:cs="Arial"/>
                <w:b/>
                <w:bCs/>
                <w:color w:val="FFFFFF" w:themeColor="background1"/>
                <w:sz w:val="18"/>
                <w:szCs w:val="18"/>
              </w:rPr>
            </w:pPr>
            <w:r w:rsidRPr="00FB27C3">
              <w:rPr>
                <w:rFonts w:eastAsia="Calibri" w:cs="Arial"/>
                <w:b/>
                <w:bCs/>
                <w:color w:val="FFFFFF" w:themeColor="background1"/>
                <w:sz w:val="18"/>
                <w:szCs w:val="18"/>
              </w:rPr>
              <w:t>TOTAL</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6699"/>
            <w:vAlign w:val="center"/>
          </w:tcPr>
          <w:p w14:paraId="09C8B5B7" w14:textId="77777777" w:rsidR="0041445A" w:rsidRPr="00FB27C3" w:rsidRDefault="0041445A">
            <w:pPr>
              <w:contextualSpacing/>
              <w:jc w:val="center"/>
              <w:rPr>
                <w:rFonts w:eastAsia="Calibri" w:cs="Arial"/>
                <w:b/>
                <w:bCs/>
                <w:color w:val="FFFFFF" w:themeColor="background1"/>
                <w:sz w:val="18"/>
                <w:szCs w:val="18"/>
              </w:rPr>
            </w:pPr>
            <w:r w:rsidRPr="00FB27C3">
              <w:rPr>
                <w:rFonts w:eastAsia="Calibri" w:cs="Arial"/>
                <w:b/>
                <w:bCs/>
                <w:color w:val="FFFFFF" w:themeColor="background1"/>
                <w:sz w:val="18"/>
                <w:szCs w:val="18"/>
              </w:rPr>
              <w:t>$67.884.775</w:t>
            </w:r>
          </w:p>
        </w:tc>
      </w:tr>
    </w:tbl>
    <w:p w14:paraId="5567BF3C" w14:textId="77777777" w:rsidR="0041445A" w:rsidRPr="00FB27C3" w:rsidRDefault="0041445A" w:rsidP="00286F4A">
      <w:pPr>
        <w:spacing w:line="240" w:lineRule="auto"/>
        <w:contextualSpacing/>
        <w:jc w:val="center"/>
        <w:rPr>
          <w:rFonts w:eastAsia="Arial" w:cs="Arial"/>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el Plan de Desarrollo Territorial remitido por la </w:t>
      </w:r>
      <w:r>
        <w:rPr>
          <w:rFonts w:eastAsia="Arial" w:cs="Arial"/>
          <w:sz w:val="16"/>
          <w:szCs w:val="16"/>
          <w:lang w:val="es"/>
        </w:rPr>
        <w:t>E</w:t>
      </w:r>
      <w:r w:rsidRPr="00FB27C3">
        <w:rPr>
          <w:rFonts w:eastAsia="Arial" w:cs="Arial"/>
          <w:sz w:val="16"/>
          <w:szCs w:val="16"/>
          <w:lang w:val="es"/>
        </w:rPr>
        <w:t xml:space="preserve">ntidad </w:t>
      </w:r>
      <w:r>
        <w:rPr>
          <w:rFonts w:eastAsia="Arial" w:cs="Arial"/>
          <w:sz w:val="16"/>
          <w:szCs w:val="16"/>
          <w:lang w:val="es"/>
        </w:rPr>
        <w:t>T</w:t>
      </w:r>
      <w:r w:rsidRPr="00FB27C3">
        <w:rPr>
          <w:rFonts w:eastAsia="Arial" w:cs="Arial"/>
          <w:sz w:val="16"/>
          <w:szCs w:val="16"/>
          <w:lang w:val="es"/>
        </w:rPr>
        <w:t>erritorial.</w:t>
      </w:r>
    </w:p>
    <w:p w14:paraId="08204056" w14:textId="77777777" w:rsidR="0041445A" w:rsidRPr="00FB27C3" w:rsidRDefault="0041445A">
      <w:pPr>
        <w:spacing w:line="240" w:lineRule="auto"/>
        <w:contextualSpacing/>
      </w:pPr>
    </w:p>
    <w:p w14:paraId="5850C70F" w14:textId="77777777" w:rsidR="0041445A" w:rsidRDefault="0041445A">
      <w:pPr>
        <w:spacing w:line="240" w:lineRule="auto"/>
        <w:contextualSpacing/>
        <w:jc w:val="both"/>
      </w:pPr>
      <w:r>
        <w:t>Frente a la revisión del Plan Plurianual de Inversiones, se observó que el costo total del Plan de Desarrollo para el periodo 2020-2023 se proyectó por valor de $66.733.975.000. No obstante, al realizar la sumatoria de cada uno de los programas con sus distintas fuentes de financiación, se encontró que el costo total asciende a $67.884.775.000, generando una diferencia de $1.550.800.000. De este modo, se encuentra el caso en particular del Subprograma para la Primera Infancia, perteneciente al Programa de Política Social, en donde se estableció en el Plan Plurianual de Inversiones un costo total estimado de $511.000.000 para los cuatro años, pero al realizar la sumatoria de las fuentes de financiación se encontró que se tiene proyectado financiar $469.800.000 con recursos de SGP y $450.000.000 por medio de cofinanciación, que arroja un total de $919.800.000.</w:t>
      </w:r>
    </w:p>
    <w:p w14:paraId="2DF15D8C" w14:textId="77777777" w:rsidR="0041445A" w:rsidRDefault="0041445A">
      <w:pPr>
        <w:spacing w:line="240" w:lineRule="auto"/>
        <w:contextualSpacing/>
        <w:jc w:val="both"/>
      </w:pPr>
    </w:p>
    <w:p w14:paraId="1F9E8832" w14:textId="77777777" w:rsidR="0041445A" w:rsidRDefault="0041445A">
      <w:pPr>
        <w:spacing w:line="240" w:lineRule="auto"/>
        <w:contextualSpacing/>
        <w:jc w:val="both"/>
      </w:pPr>
      <w:r>
        <w:t>En este orden de ideas, para la elaboración de este informe, se tomó como referencia el valor de $67.884.775.000, que corresponde a la sumatoria de todos los programas con su respectiva fuente de financiación. Al desagregar el monto total, estimado por fuente de financiación, se observa que $15.257.301.000 (22,5</w:t>
      </w:r>
      <w:r w:rsidR="004C2CE2">
        <w:t xml:space="preserve"> </w:t>
      </w:r>
      <w:r>
        <w:t>%) corresponde al Sistema General de Participaciones; $2.705.219.000 (4</w:t>
      </w:r>
      <w:r w:rsidR="004C2CE2">
        <w:t xml:space="preserve"> </w:t>
      </w:r>
      <w:r>
        <w:t>%) a recursos propios; $4.600.000.000 (6,8</w:t>
      </w:r>
      <w:r w:rsidR="004C2CE2">
        <w:t xml:space="preserve"> </w:t>
      </w:r>
      <w:r>
        <w:t>%) al Sistema General de Regalías; $990.000.000 (1,5</w:t>
      </w:r>
      <w:r w:rsidR="004C2CE2">
        <w:t xml:space="preserve"> </w:t>
      </w:r>
      <w:r>
        <w:t>%)a otros recursos y el restante $44.332.255.000 (65,3</w:t>
      </w:r>
      <w:r w:rsidR="004C2CE2">
        <w:t xml:space="preserve"> </w:t>
      </w:r>
      <w:r>
        <w:t>%) a cofinanciación. De este modo, se puede determinar que no se tiene proyectada la realización de créditos y la principal fuente de ingresos proyectada en el Plan de Desarrollo Territorial es la cofinanciación, seguida del Sistema General de Participaciones.</w:t>
      </w:r>
    </w:p>
    <w:p w14:paraId="1FDBB2D1" w14:textId="77777777" w:rsidR="0041445A" w:rsidRDefault="0041445A">
      <w:pPr>
        <w:spacing w:line="240" w:lineRule="auto"/>
        <w:contextualSpacing/>
        <w:jc w:val="both"/>
      </w:pPr>
    </w:p>
    <w:p w14:paraId="4A67CECC" w14:textId="77777777" w:rsidR="0041445A" w:rsidRDefault="0041445A">
      <w:pPr>
        <w:spacing w:line="240" w:lineRule="auto"/>
        <w:contextualSpacing/>
        <w:jc w:val="both"/>
      </w:pPr>
      <w:r>
        <w:lastRenderedPageBreak/>
        <w:t>Así mismo, se logró evidenciar que el Sector de Servicios Públicos es al que más se le tiene proyectado invertir recursos debido a que representa el 30,7 % de los $15.257.301.000 de SGP, y el 35 % de la totalidad del Plan Plurianual de Inversiones. Del mismo modo, se pudo determinar que los Sectores Deporte, Recreación y Actividad Física y Ambiente representan 0,5 % y 2,1 % respectivamente frente al total proyectado, siendo estos los más rezagados en cuanto a asignación de recursos.</w:t>
      </w:r>
    </w:p>
    <w:p w14:paraId="0B753DE8" w14:textId="77777777" w:rsidR="0041445A" w:rsidRDefault="0041445A">
      <w:pPr>
        <w:spacing w:line="240" w:lineRule="auto"/>
        <w:contextualSpacing/>
        <w:jc w:val="both"/>
      </w:pPr>
    </w:p>
    <w:p w14:paraId="2BD49FEF" w14:textId="77777777" w:rsidR="0041445A" w:rsidRDefault="0041445A">
      <w:pPr>
        <w:spacing w:line="240" w:lineRule="auto"/>
        <w:contextualSpacing/>
        <w:jc w:val="both"/>
      </w:pPr>
      <w:r>
        <w:t>A continuación, se presenta la distribución de fuentes de financiación para los once (11) sectores que fueron presentados en el PPI:</w:t>
      </w:r>
    </w:p>
    <w:p w14:paraId="17086593" w14:textId="77777777" w:rsidR="0041445A" w:rsidRDefault="0041445A" w:rsidP="001729F6">
      <w:pPr>
        <w:spacing w:line="240" w:lineRule="auto"/>
        <w:contextualSpacing/>
      </w:pPr>
    </w:p>
    <w:p w14:paraId="382D7266" w14:textId="77777777" w:rsidR="0041445A" w:rsidRPr="009D28C7" w:rsidRDefault="0041445A" w:rsidP="00286F4A">
      <w:pPr>
        <w:spacing w:after="0" w:line="240" w:lineRule="auto"/>
        <w:contextualSpacing/>
        <w:jc w:val="center"/>
        <w:rPr>
          <w:b/>
          <w:bCs/>
          <w:sz w:val="20"/>
          <w:szCs w:val="20"/>
        </w:rPr>
      </w:pPr>
      <w:r w:rsidRPr="009D28C7">
        <w:rPr>
          <w:b/>
          <w:bCs/>
          <w:sz w:val="20"/>
          <w:szCs w:val="20"/>
        </w:rPr>
        <w:t xml:space="preserve">Gráfico No. </w:t>
      </w:r>
      <w:r w:rsidR="00C6112F">
        <w:rPr>
          <w:b/>
          <w:bCs/>
          <w:sz w:val="20"/>
          <w:szCs w:val="20"/>
        </w:rPr>
        <w:t>1</w:t>
      </w:r>
    </w:p>
    <w:p w14:paraId="428A7D29" w14:textId="77777777" w:rsidR="0041445A" w:rsidRPr="009D28C7" w:rsidRDefault="0041445A">
      <w:pPr>
        <w:spacing w:after="0" w:line="240" w:lineRule="auto"/>
        <w:contextualSpacing/>
        <w:jc w:val="center"/>
        <w:rPr>
          <w:sz w:val="20"/>
          <w:szCs w:val="20"/>
        </w:rPr>
      </w:pPr>
      <w:r w:rsidRPr="009D28C7">
        <w:rPr>
          <w:sz w:val="20"/>
          <w:szCs w:val="20"/>
        </w:rPr>
        <w:t xml:space="preserve">Distribución de recursos por </w:t>
      </w:r>
      <w:r>
        <w:rPr>
          <w:sz w:val="20"/>
          <w:szCs w:val="20"/>
        </w:rPr>
        <w:t>S</w:t>
      </w:r>
      <w:r w:rsidRPr="009D28C7">
        <w:rPr>
          <w:sz w:val="20"/>
          <w:szCs w:val="20"/>
        </w:rPr>
        <w:t xml:space="preserve">ectores del Plan de Desarrollo Municipal </w:t>
      </w:r>
    </w:p>
    <w:p w14:paraId="55F05A05" w14:textId="77777777" w:rsidR="0041445A" w:rsidRPr="00D45DE0" w:rsidRDefault="0041445A">
      <w:pPr>
        <w:spacing w:after="0" w:line="240" w:lineRule="auto"/>
        <w:contextualSpacing/>
        <w:jc w:val="center"/>
        <w:rPr>
          <w:sz w:val="20"/>
          <w:szCs w:val="20"/>
        </w:rPr>
      </w:pPr>
      <w:r w:rsidRPr="009D28C7">
        <w:rPr>
          <w:noProof/>
          <w:sz w:val="20"/>
          <w:szCs w:val="20"/>
          <w:lang w:val="es-CO" w:eastAsia="es-CO"/>
        </w:rPr>
        <w:drawing>
          <wp:anchor distT="0" distB="0" distL="114300" distR="114300" simplePos="0" relativeHeight="251662339" behindDoc="0" locked="0" layoutInCell="1" allowOverlap="1" wp14:anchorId="41CC2050" wp14:editId="4F006BF6">
            <wp:simplePos x="0" y="0"/>
            <wp:positionH relativeFrom="column">
              <wp:posOffset>-446747</wp:posOffset>
            </wp:positionH>
            <wp:positionV relativeFrom="paragraph">
              <wp:posOffset>220247</wp:posOffset>
            </wp:positionV>
            <wp:extent cx="6312877" cy="2590800"/>
            <wp:effectExtent l="0" t="0" r="0" b="0"/>
            <wp:wrapSquare wrapText="bothSides"/>
            <wp:docPr id="2" name="Gráfico 2">
              <a:extLst xmlns:a="http://schemas.openxmlformats.org/drawingml/2006/main">
                <a:ext uri="{FF2B5EF4-FFF2-40B4-BE49-F238E27FC236}">
                  <a16:creationId xmlns:a16="http://schemas.microsoft.com/office/drawing/2014/main" id="{CBF85BB8-1B21-4917-B367-5DDE1F9AC9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9D28C7">
        <w:rPr>
          <w:sz w:val="20"/>
          <w:szCs w:val="20"/>
        </w:rPr>
        <w:t>Municipio de Puerto Leguízamo – Putumayo</w:t>
      </w:r>
      <w:r w:rsidRPr="00D45DE0">
        <w:rPr>
          <w:sz w:val="20"/>
          <w:szCs w:val="20"/>
        </w:rPr>
        <w:t xml:space="preserve"> </w:t>
      </w:r>
    </w:p>
    <w:p w14:paraId="00BA60A4" w14:textId="77777777" w:rsidR="0041445A" w:rsidRPr="00FB27C3" w:rsidRDefault="0041445A">
      <w:pPr>
        <w:spacing w:line="240" w:lineRule="auto"/>
        <w:contextualSpacing/>
        <w:jc w:val="center"/>
        <w:rPr>
          <w:rFonts w:eastAsia="Arial" w:cs="Arial"/>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el Plan de Desarrollo Territorial remitido por la </w:t>
      </w:r>
      <w:r>
        <w:rPr>
          <w:rFonts w:eastAsia="Arial" w:cs="Arial"/>
          <w:sz w:val="16"/>
          <w:szCs w:val="16"/>
          <w:lang w:val="es"/>
        </w:rPr>
        <w:t>E</w:t>
      </w:r>
      <w:r w:rsidRPr="00FB27C3">
        <w:rPr>
          <w:rFonts w:eastAsia="Arial" w:cs="Arial"/>
          <w:sz w:val="16"/>
          <w:szCs w:val="16"/>
          <w:lang w:val="es"/>
        </w:rPr>
        <w:t xml:space="preserve">ntidad </w:t>
      </w:r>
      <w:r>
        <w:rPr>
          <w:rFonts w:eastAsia="Arial" w:cs="Arial"/>
          <w:sz w:val="16"/>
          <w:szCs w:val="16"/>
          <w:lang w:val="es"/>
        </w:rPr>
        <w:t>T</w:t>
      </w:r>
      <w:r w:rsidRPr="00FB27C3">
        <w:rPr>
          <w:rFonts w:eastAsia="Arial" w:cs="Arial"/>
          <w:sz w:val="16"/>
          <w:szCs w:val="16"/>
          <w:lang w:val="es"/>
        </w:rPr>
        <w:t>erritorial.</w:t>
      </w:r>
      <w:r w:rsidRPr="00FB27C3">
        <w:rPr>
          <w:rFonts w:eastAsia="Arial" w:cs="Arial"/>
          <w:sz w:val="16"/>
          <w:szCs w:val="16"/>
        </w:rPr>
        <w:t xml:space="preserve"> </w:t>
      </w:r>
    </w:p>
    <w:p w14:paraId="091A197F" w14:textId="77777777" w:rsidR="007155AC" w:rsidRDefault="007155AC">
      <w:pPr>
        <w:spacing w:line="240" w:lineRule="auto"/>
        <w:contextualSpacing/>
      </w:pPr>
    </w:p>
    <w:p w14:paraId="4950CD2B" w14:textId="77777777" w:rsidR="003B736F" w:rsidRDefault="002C2958">
      <w:pPr>
        <w:pStyle w:val="Ttulo1"/>
        <w:numPr>
          <w:ilvl w:val="0"/>
          <w:numId w:val="4"/>
        </w:numPr>
        <w:spacing w:before="0" w:line="240" w:lineRule="auto"/>
        <w:contextualSpacing/>
        <w:rPr>
          <w:rFonts w:ascii="Arial" w:hAnsi="Arial" w:cs="Arial"/>
          <w:b/>
          <w:bCs/>
          <w:color w:val="auto"/>
          <w:sz w:val="22"/>
          <w:szCs w:val="22"/>
        </w:rPr>
      </w:pPr>
      <w:r w:rsidRPr="009E19B7">
        <w:rPr>
          <w:rFonts w:ascii="Arial" w:hAnsi="Arial" w:cs="Arial"/>
          <w:b/>
          <w:bCs/>
          <w:color w:val="auto"/>
          <w:sz w:val="22"/>
          <w:szCs w:val="22"/>
        </w:rPr>
        <w:t>ANÁLISIS FINANCIERO</w:t>
      </w:r>
      <w:r w:rsidR="000D2CBF">
        <w:rPr>
          <w:rFonts w:ascii="Arial" w:hAnsi="Arial" w:cs="Arial"/>
          <w:b/>
          <w:bCs/>
          <w:color w:val="auto"/>
          <w:sz w:val="22"/>
          <w:szCs w:val="22"/>
        </w:rPr>
        <w:t>.</w:t>
      </w:r>
    </w:p>
    <w:p w14:paraId="3BDBBA28" w14:textId="77777777" w:rsidR="005F75CF" w:rsidRDefault="005F75CF">
      <w:pPr>
        <w:spacing w:line="240" w:lineRule="auto"/>
        <w:contextualSpacing/>
      </w:pPr>
    </w:p>
    <w:p w14:paraId="77817648" w14:textId="77777777" w:rsidR="001959AE" w:rsidRDefault="001959AE">
      <w:pPr>
        <w:spacing w:line="240" w:lineRule="auto"/>
        <w:contextualSpacing/>
        <w:jc w:val="both"/>
      </w:pPr>
      <w:r w:rsidRPr="001959AE">
        <w:t xml:space="preserve">En primer lugar, el presente informe incluye un análisis financiero de la programación y ejecución de los recursos de la Participación de Propósito General por parte del </w:t>
      </w:r>
      <w:r w:rsidR="00B94044">
        <w:t>M</w:t>
      </w:r>
      <w:r w:rsidRPr="001959AE">
        <w:t xml:space="preserve">unicipio </w:t>
      </w:r>
      <w:r>
        <w:t>de Puerto Leguízamo - Putumayo</w:t>
      </w:r>
      <w:r w:rsidRPr="001959AE">
        <w:t xml:space="preserve">. Este análisis comprende la asignación realizada en los Documentos de Distribución No. SGP-23-2017, SGP-26-2018, SGP-33-2018, SGP-36-2019, SGP-39-2019, SGP-43-2020 y SGP-48-2020 del Sistema General de Participaciones, la incorporación de ingresos, la ejecución de gastos y el cierre fiscal de las vigencias analizadas. Así mismo, se realiza un análisis del reporte de la información presupuestal y financiera del Municipio en el Formulario </w:t>
      </w:r>
      <w:r w:rsidR="00346452">
        <w:t>Ú</w:t>
      </w:r>
      <w:r w:rsidRPr="001959AE">
        <w:t xml:space="preserve">nico </w:t>
      </w:r>
      <w:r w:rsidR="00346452">
        <w:t>T</w:t>
      </w:r>
      <w:r w:rsidRPr="001959AE">
        <w:t>erritorial – FUT y el manejo de estos recursos a través de la Cuenta Maestra dispuesta para su administración.</w:t>
      </w:r>
    </w:p>
    <w:p w14:paraId="3CA39B9F" w14:textId="77777777" w:rsidR="000D2CBF" w:rsidRDefault="000D2CBF">
      <w:pPr>
        <w:spacing w:line="240" w:lineRule="auto"/>
        <w:contextualSpacing/>
        <w:jc w:val="both"/>
      </w:pPr>
    </w:p>
    <w:p w14:paraId="6B95F927" w14:textId="77777777" w:rsidR="007316E3" w:rsidRDefault="005F75CF">
      <w:pPr>
        <w:spacing w:line="240" w:lineRule="auto"/>
        <w:contextualSpacing/>
        <w:jc w:val="both"/>
        <w:rPr>
          <w:b/>
          <w:bCs/>
        </w:rPr>
      </w:pPr>
      <w:r w:rsidRPr="00FB27C3">
        <w:rPr>
          <w:b/>
          <w:bCs/>
        </w:rPr>
        <w:t>3.1 INGRESOS</w:t>
      </w:r>
      <w:r w:rsidR="000D2CBF">
        <w:rPr>
          <w:b/>
          <w:bCs/>
        </w:rPr>
        <w:t>.</w:t>
      </w:r>
    </w:p>
    <w:p w14:paraId="73843790" w14:textId="77777777" w:rsidR="000D2CBF" w:rsidRPr="00FB27C3" w:rsidRDefault="000D2CBF">
      <w:pPr>
        <w:spacing w:line="240" w:lineRule="auto"/>
        <w:contextualSpacing/>
        <w:jc w:val="both"/>
        <w:rPr>
          <w:b/>
          <w:bCs/>
        </w:rPr>
      </w:pPr>
    </w:p>
    <w:p w14:paraId="32548CD2" w14:textId="77777777" w:rsidR="001113E8" w:rsidRDefault="001113E8">
      <w:pPr>
        <w:pStyle w:val="Prrafodelista"/>
        <w:numPr>
          <w:ilvl w:val="0"/>
          <w:numId w:val="6"/>
        </w:numPr>
        <w:spacing w:line="240" w:lineRule="auto"/>
        <w:rPr>
          <w:b/>
          <w:bCs/>
        </w:rPr>
      </w:pPr>
      <w:r w:rsidRPr="003B736F">
        <w:rPr>
          <w:b/>
          <w:bCs/>
        </w:rPr>
        <w:t xml:space="preserve">Análisis </w:t>
      </w:r>
      <w:r w:rsidR="003B736F" w:rsidRPr="003B736F">
        <w:rPr>
          <w:b/>
          <w:bCs/>
        </w:rPr>
        <w:t xml:space="preserve">de </w:t>
      </w:r>
      <w:r w:rsidR="00346452">
        <w:rPr>
          <w:b/>
          <w:bCs/>
        </w:rPr>
        <w:t xml:space="preserve">la </w:t>
      </w:r>
      <w:r w:rsidR="003B736F" w:rsidRPr="003B736F">
        <w:rPr>
          <w:b/>
          <w:bCs/>
        </w:rPr>
        <w:t>asignación de la Par</w:t>
      </w:r>
      <w:r w:rsidR="003B736F">
        <w:rPr>
          <w:b/>
          <w:bCs/>
        </w:rPr>
        <w:t>ticipación de Propósito General</w:t>
      </w:r>
      <w:r w:rsidR="000D2CBF">
        <w:rPr>
          <w:b/>
          <w:bCs/>
        </w:rPr>
        <w:t>.</w:t>
      </w:r>
    </w:p>
    <w:p w14:paraId="70AB115A" w14:textId="77777777" w:rsidR="000D2CBF" w:rsidRDefault="000D2CBF">
      <w:pPr>
        <w:spacing w:line="240" w:lineRule="auto"/>
        <w:contextualSpacing/>
        <w:jc w:val="both"/>
      </w:pPr>
    </w:p>
    <w:p w14:paraId="6DC5AB52" w14:textId="77777777" w:rsidR="007316E3" w:rsidRDefault="00DC7EF4">
      <w:pPr>
        <w:spacing w:line="240" w:lineRule="auto"/>
        <w:contextualSpacing/>
        <w:jc w:val="both"/>
      </w:pPr>
      <w:r>
        <w:lastRenderedPageBreak/>
        <w:t xml:space="preserve">El </w:t>
      </w:r>
      <w:r w:rsidR="00B94044">
        <w:t>M</w:t>
      </w:r>
      <w:r>
        <w:t xml:space="preserve">unicipio de Puerto Leguízamo – Putumayo presentó una variación </w:t>
      </w:r>
      <w:r w:rsidR="00346452">
        <w:t xml:space="preserve">positiva </w:t>
      </w:r>
      <w:r>
        <w:t xml:space="preserve">de </w:t>
      </w:r>
      <w:r w:rsidR="00500E23">
        <w:t xml:space="preserve">la </w:t>
      </w:r>
      <w:r w:rsidR="00B34BB8">
        <w:t>a</w:t>
      </w:r>
      <w:r w:rsidR="00500E23">
        <w:t xml:space="preserve">signación por concepto </w:t>
      </w:r>
      <w:r w:rsidR="00346452">
        <w:t xml:space="preserve">de la </w:t>
      </w:r>
      <w:r w:rsidR="00B34BB8">
        <w:t>P</w:t>
      </w:r>
      <w:r w:rsidR="00346452">
        <w:t xml:space="preserve">articipación de </w:t>
      </w:r>
      <w:r w:rsidR="00500E23">
        <w:t xml:space="preserve">Propósito General de </w:t>
      </w:r>
      <w:r w:rsidR="00723405">
        <w:t>un 9</w:t>
      </w:r>
      <w:r w:rsidR="00B34BB8">
        <w:t xml:space="preserve"> </w:t>
      </w:r>
      <w:r w:rsidR="00723405">
        <w:t>% entre las vigencias 2018 y 2019</w:t>
      </w:r>
      <w:r w:rsidR="002E5E5C">
        <w:t xml:space="preserve">, y una disminución de </w:t>
      </w:r>
      <w:r w:rsidR="00971BEB">
        <w:t>3</w:t>
      </w:r>
      <w:r w:rsidR="00B34BB8">
        <w:t xml:space="preserve"> </w:t>
      </w:r>
      <w:r w:rsidR="00971BEB">
        <w:t xml:space="preserve">% entre las vigencias 2019 y 2020. </w:t>
      </w:r>
      <w:r w:rsidR="00757ACD">
        <w:t xml:space="preserve">Como se puede observar en el </w:t>
      </w:r>
      <w:r w:rsidR="00B34BB8">
        <w:t>G</w:t>
      </w:r>
      <w:r w:rsidR="00757ACD">
        <w:t xml:space="preserve">rafico No. </w:t>
      </w:r>
      <w:r w:rsidR="00C6112F">
        <w:t>2</w:t>
      </w:r>
      <w:r w:rsidR="00757ACD">
        <w:t xml:space="preserve">, la asignación fue de </w:t>
      </w:r>
      <w:r w:rsidR="003C02E0" w:rsidRPr="003C02E0">
        <w:t>$2.454.254.907</w:t>
      </w:r>
      <w:r w:rsidR="003C02E0">
        <w:t xml:space="preserve"> en 2018, </w:t>
      </w:r>
      <w:r w:rsidR="00523B7E" w:rsidRPr="00523B7E">
        <w:t>$2.665.867.399</w:t>
      </w:r>
      <w:r w:rsidR="00523B7E">
        <w:t xml:space="preserve"> en 2019 y </w:t>
      </w:r>
      <w:r w:rsidR="0081291A" w:rsidRPr="0081291A">
        <w:t>$2.592.212.781</w:t>
      </w:r>
      <w:r w:rsidR="0081291A">
        <w:t xml:space="preserve"> en 2020. </w:t>
      </w:r>
      <w:r w:rsidR="0012729C">
        <w:t xml:space="preserve">A nivel de destinación de los recursos, </w:t>
      </w:r>
      <w:r w:rsidR="005E3A9E">
        <w:t>los componentes de Libre Destinación y de Libre Inversión presentaron esta misma fluctuación, puesto que</w:t>
      </w:r>
      <w:r w:rsidR="00346452">
        <w:t xml:space="preserve"> se</w:t>
      </w:r>
      <w:r w:rsidR="005E3A9E">
        <w:t xml:space="preserve"> incrementaron </w:t>
      </w:r>
      <w:r w:rsidR="00D6374B">
        <w:t>10</w:t>
      </w:r>
      <w:r w:rsidR="00B34BB8">
        <w:t xml:space="preserve"> </w:t>
      </w:r>
      <w:r w:rsidR="00D6374B">
        <w:t>% y 11</w:t>
      </w:r>
      <w:r w:rsidR="00B34BB8">
        <w:t xml:space="preserve"> </w:t>
      </w:r>
      <w:r w:rsidR="00D6374B">
        <w:t>% respectivamente en 2019 y disminuyeron 4</w:t>
      </w:r>
      <w:r w:rsidR="00B34BB8">
        <w:t xml:space="preserve"> </w:t>
      </w:r>
      <w:r w:rsidR="00D6374B">
        <w:t>% y 10</w:t>
      </w:r>
      <w:r w:rsidR="00B34BB8">
        <w:t xml:space="preserve"> </w:t>
      </w:r>
      <w:r w:rsidR="00D6374B">
        <w:t>% para 2020. Mientras</w:t>
      </w:r>
      <w:r w:rsidR="00D97DD2">
        <w:t>,</w:t>
      </w:r>
      <w:r w:rsidR="00D6374B">
        <w:t xml:space="preserve"> en el caso de las destinaciones mínimas para Deporte y Cultura</w:t>
      </w:r>
      <w:r w:rsidR="001D27C0">
        <w:t>, para 2020</w:t>
      </w:r>
      <w:r w:rsidR="00D6374B">
        <w:t xml:space="preserve"> se presentó un incremento significativo de</w:t>
      </w:r>
      <w:r w:rsidR="00DF249A">
        <w:t xml:space="preserve"> más de</w:t>
      </w:r>
      <w:r w:rsidR="00D6374B">
        <w:t xml:space="preserve"> </w:t>
      </w:r>
      <w:r w:rsidR="00DF249A">
        <w:t>160</w:t>
      </w:r>
      <w:r w:rsidR="00B34BB8">
        <w:t xml:space="preserve"> </w:t>
      </w:r>
      <w:r w:rsidR="00DF249A">
        <w:t xml:space="preserve">% frente a lo asignado en </w:t>
      </w:r>
      <w:r w:rsidR="001D27C0">
        <w:t>2019</w:t>
      </w:r>
      <w:r w:rsidR="00DF249A">
        <w:t>.</w:t>
      </w:r>
    </w:p>
    <w:p w14:paraId="534A4BEB" w14:textId="77777777" w:rsidR="00B34BB8" w:rsidRPr="00DC7EF4" w:rsidRDefault="00B34BB8">
      <w:pPr>
        <w:spacing w:line="240" w:lineRule="auto"/>
        <w:contextualSpacing/>
        <w:jc w:val="both"/>
      </w:pPr>
    </w:p>
    <w:p w14:paraId="644F5C32" w14:textId="77777777" w:rsidR="004A175E" w:rsidRDefault="00AB2C11">
      <w:pPr>
        <w:spacing w:after="0" w:line="240" w:lineRule="auto"/>
        <w:ind w:left="360"/>
        <w:contextualSpacing/>
        <w:jc w:val="center"/>
        <w:rPr>
          <w:b/>
          <w:bCs/>
          <w:sz w:val="20"/>
          <w:szCs w:val="20"/>
        </w:rPr>
      </w:pPr>
      <w:r>
        <w:rPr>
          <w:b/>
          <w:bCs/>
          <w:sz w:val="20"/>
          <w:szCs w:val="20"/>
        </w:rPr>
        <w:t>Gráfic</w:t>
      </w:r>
      <w:r w:rsidR="00DC173B">
        <w:rPr>
          <w:b/>
          <w:bCs/>
          <w:sz w:val="20"/>
          <w:szCs w:val="20"/>
        </w:rPr>
        <w:t xml:space="preserve">o </w:t>
      </w:r>
      <w:r>
        <w:rPr>
          <w:b/>
          <w:bCs/>
          <w:sz w:val="20"/>
          <w:szCs w:val="20"/>
        </w:rPr>
        <w:t xml:space="preserve">No. </w:t>
      </w:r>
      <w:r w:rsidR="00C6112F">
        <w:rPr>
          <w:b/>
          <w:bCs/>
          <w:sz w:val="20"/>
          <w:szCs w:val="20"/>
        </w:rPr>
        <w:t>2</w:t>
      </w:r>
    </w:p>
    <w:p w14:paraId="5390E499" w14:textId="77777777" w:rsidR="00AB2C11" w:rsidRDefault="003753B7">
      <w:pPr>
        <w:spacing w:after="0" w:line="240" w:lineRule="auto"/>
        <w:ind w:left="360"/>
        <w:contextualSpacing/>
        <w:jc w:val="center"/>
        <w:rPr>
          <w:sz w:val="20"/>
          <w:szCs w:val="20"/>
        </w:rPr>
      </w:pPr>
      <w:r>
        <w:rPr>
          <w:sz w:val="20"/>
          <w:szCs w:val="20"/>
        </w:rPr>
        <w:t xml:space="preserve">Variación nominal de la Participación de Propósito General </w:t>
      </w:r>
    </w:p>
    <w:p w14:paraId="789E93C6" w14:textId="77777777" w:rsidR="003753B7" w:rsidRPr="00AB2C11" w:rsidRDefault="003753B7">
      <w:pPr>
        <w:spacing w:after="0" w:line="240" w:lineRule="auto"/>
        <w:ind w:left="360"/>
        <w:contextualSpacing/>
        <w:jc w:val="center"/>
        <w:rPr>
          <w:sz w:val="20"/>
          <w:szCs w:val="20"/>
        </w:rPr>
      </w:pPr>
      <w:r>
        <w:rPr>
          <w:sz w:val="20"/>
          <w:szCs w:val="20"/>
        </w:rPr>
        <w:t xml:space="preserve">Municipio de Puerto Leguizamo – Putumayo </w:t>
      </w:r>
    </w:p>
    <w:p w14:paraId="76981D18" w14:textId="77777777" w:rsidR="004A175E" w:rsidRDefault="001D7E3C">
      <w:pPr>
        <w:spacing w:after="0" w:line="240" w:lineRule="auto"/>
        <w:ind w:left="360"/>
        <w:contextualSpacing/>
        <w:jc w:val="center"/>
        <w:rPr>
          <w:b/>
          <w:bCs/>
          <w:sz w:val="20"/>
          <w:szCs w:val="20"/>
        </w:rPr>
      </w:pPr>
      <w:r>
        <w:rPr>
          <w:noProof/>
          <w:lang w:val="es-CO" w:eastAsia="es-CO"/>
        </w:rPr>
        <w:drawing>
          <wp:inline distT="0" distB="0" distL="0" distR="0" wp14:anchorId="5E3AA078" wp14:editId="0A2B0F36">
            <wp:extent cx="4762831" cy="1987826"/>
            <wp:effectExtent l="0" t="0" r="0" b="0"/>
            <wp:docPr id="8" name="Gráfico 8">
              <a:extLst xmlns:a="http://schemas.openxmlformats.org/drawingml/2006/main">
                <a:ext uri="{FF2B5EF4-FFF2-40B4-BE49-F238E27FC236}">
                  <a16:creationId xmlns:a16="http://schemas.microsoft.com/office/drawing/2014/main" id="{2DE4CAA9-EB71-493A-A97B-F2902C270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A11FD3" w14:textId="77777777" w:rsidR="00F26EC2" w:rsidRPr="00FB27C3" w:rsidRDefault="00F26EC2">
      <w:pPr>
        <w:spacing w:line="240" w:lineRule="auto"/>
        <w:contextualSpacing/>
        <w:jc w:val="center"/>
        <w:rPr>
          <w:sz w:val="16"/>
          <w:szCs w:val="16"/>
        </w:rPr>
      </w:pPr>
      <w:r w:rsidRPr="00FB27C3">
        <w:rPr>
          <w:b/>
          <w:bCs/>
          <w:sz w:val="16"/>
          <w:szCs w:val="16"/>
        </w:rPr>
        <w:t xml:space="preserve">Fuente: </w:t>
      </w:r>
      <w:r w:rsidRPr="00FB27C3">
        <w:rPr>
          <w:sz w:val="16"/>
          <w:szCs w:val="16"/>
        </w:rPr>
        <w:t>Elaboración DAF con base en la información de distribución de</w:t>
      </w:r>
      <w:r w:rsidRPr="00FB27C3">
        <w:rPr>
          <w:b/>
          <w:bCs/>
          <w:sz w:val="16"/>
          <w:szCs w:val="16"/>
        </w:rPr>
        <w:t xml:space="preserve"> </w:t>
      </w:r>
      <w:r w:rsidRPr="00FB27C3">
        <w:rPr>
          <w:sz w:val="16"/>
          <w:szCs w:val="16"/>
        </w:rPr>
        <w:t>SICODIS - DNP</w:t>
      </w:r>
    </w:p>
    <w:p w14:paraId="744EB019" w14:textId="77777777" w:rsidR="00B34BB8" w:rsidRDefault="00B34BB8">
      <w:pPr>
        <w:spacing w:after="0" w:line="240" w:lineRule="auto"/>
        <w:contextualSpacing/>
        <w:jc w:val="both"/>
      </w:pPr>
    </w:p>
    <w:p w14:paraId="09C6B61B" w14:textId="77777777" w:rsidR="004A175E" w:rsidRDefault="001504C5">
      <w:pPr>
        <w:spacing w:after="0" w:line="240" w:lineRule="auto"/>
        <w:contextualSpacing/>
        <w:jc w:val="both"/>
      </w:pPr>
      <w:r w:rsidRPr="00EF7F79">
        <w:t xml:space="preserve">En cuanto a la asignación </w:t>
      </w:r>
      <w:r w:rsidR="008D49DB" w:rsidRPr="00EF7F79">
        <w:t xml:space="preserve">de la Participación de Propósito General desagregada por </w:t>
      </w:r>
      <w:r w:rsidR="0057549D">
        <w:t xml:space="preserve">los </w:t>
      </w:r>
      <w:r w:rsidR="008D49DB" w:rsidRPr="00EF7F79">
        <w:t>criterio</w:t>
      </w:r>
      <w:r w:rsidR="0057549D">
        <w:t xml:space="preserve">s </w:t>
      </w:r>
      <w:r w:rsidR="00C420C6">
        <w:t>utilizado</w:t>
      </w:r>
      <w:r w:rsidR="00F1081C">
        <w:t>s</w:t>
      </w:r>
      <w:r w:rsidR="00C420C6">
        <w:t xml:space="preserve"> por el DNP (</w:t>
      </w:r>
      <w:r w:rsidR="00B34BB8">
        <w:t>P</w:t>
      </w:r>
      <w:r w:rsidR="00C420C6">
        <w:t xml:space="preserve">oblación, </w:t>
      </w:r>
      <w:r w:rsidR="00B34BB8">
        <w:t>P</w:t>
      </w:r>
      <w:r w:rsidR="00C420C6">
        <w:t xml:space="preserve">obreza </w:t>
      </w:r>
      <w:r w:rsidR="00B34BB8">
        <w:t>R</w:t>
      </w:r>
      <w:r w:rsidR="00C420C6">
        <w:t xml:space="preserve">elativa, </w:t>
      </w:r>
      <w:r w:rsidR="00B34BB8">
        <w:t>E</w:t>
      </w:r>
      <w:r w:rsidR="00C420C6">
        <w:t xml:space="preserve">ficiencia </w:t>
      </w:r>
      <w:r w:rsidR="00B34BB8">
        <w:t>F</w:t>
      </w:r>
      <w:r w:rsidR="00C420C6">
        <w:t xml:space="preserve">iscal y </w:t>
      </w:r>
      <w:r w:rsidR="00B34BB8">
        <w:t>E</w:t>
      </w:r>
      <w:r w:rsidR="00C420C6">
        <w:t xml:space="preserve">ficiencia </w:t>
      </w:r>
      <w:r w:rsidR="00B34BB8">
        <w:t>A</w:t>
      </w:r>
      <w:r w:rsidR="00C420C6">
        <w:t>dministrativa)</w:t>
      </w:r>
      <w:r w:rsidR="00B428A7">
        <w:rPr>
          <w:rStyle w:val="Refdenotaalpie"/>
        </w:rPr>
        <w:footnoteReference w:id="2"/>
      </w:r>
      <w:r w:rsidR="008D49DB" w:rsidRPr="00EF7F79">
        <w:t xml:space="preserve">, se puede evidenciar que el </w:t>
      </w:r>
      <w:r w:rsidR="00B34BB8">
        <w:t>M</w:t>
      </w:r>
      <w:r w:rsidR="008D49DB" w:rsidRPr="00EF7F79">
        <w:t>unicipio presentó un</w:t>
      </w:r>
      <w:r w:rsidR="003820E1" w:rsidRPr="00EF7F79">
        <w:t xml:space="preserve">a </w:t>
      </w:r>
      <w:r w:rsidR="00322ECA" w:rsidRPr="00EF7F79">
        <w:t>variación</w:t>
      </w:r>
      <w:r w:rsidR="00282ADE">
        <w:t>,</w:t>
      </w:r>
      <w:r w:rsidR="00322ECA" w:rsidRPr="00EF7F79">
        <w:t xml:space="preserve"> </w:t>
      </w:r>
      <w:r w:rsidR="00322ECA">
        <w:t>resultad</w:t>
      </w:r>
      <w:r w:rsidR="00346452">
        <w:t>o</w:t>
      </w:r>
      <w:r w:rsidR="003820E1" w:rsidRPr="00EF7F79">
        <w:t xml:space="preserve"> de la aplicación de</w:t>
      </w:r>
      <w:r w:rsidR="00322ECA">
        <w:t xml:space="preserve">l </w:t>
      </w:r>
      <w:r w:rsidR="003820E1" w:rsidRPr="00EF7F79">
        <w:t xml:space="preserve">nuevo censo poblacional de 2018. </w:t>
      </w:r>
      <w:r w:rsidR="0068493D">
        <w:t>Particularmente</w:t>
      </w:r>
      <w:r w:rsidR="003820E1" w:rsidRPr="00EF7F79">
        <w:t xml:space="preserve">, el impacto </w:t>
      </w:r>
      <w:r w:rsidR="00B17486" w:rsidRPr="00EF7F79">
        <w:t>más significativo se dio en el cambio de población</w:t>
      </w:r>
      <w:r w:rsidR="00983459">
        <w:t xml:space="preserve"> de</w:t>
      </w:r>
      <w:r w:rsidR="00B34BB8">
        <w:t xml:space="preserve"> </w:t>
      </w:r>
      <w:r w:rsidR="00983459">
        <w:t>l</w:t>
      </w:r>
      <w:r w:rsidR="00B34BB8">
        <w:t>a</w:t>
      </w:r>
      <w:r w:rsidR="00983459">
        <w:t xml:space="preserve"> </w:t>
      </w:r>
      <w:r w:rsidR="00B34BB8">
        <w:t>Entidad</w:t>
      </w:r>
      <w:r w:rsidR="00B17486" w:rsidRPr="00EF7F79">
        <w:t xml:space="preserve">, </w:t>
      </w:r>
      <w:r w:rsidR="00F8500F">
        <w:t>debido a que</w:t>
      </w:r>
      <w:r w:rsidR="00B17486" w:rsidRPr="00EF7F79">
        <w:t xml:space="preserve"> pasó de </w:t>
      </w:r>
      <w:r w:rsidR="004E0F03" w:rsidRPr="00EF7F79">
        <w:t xml:space="preserve">tener una proyección según el DANE de 15.371 habitantes en 2019, </w:t>
      </w:r>
      <w:r w:rsidR="000C0352" w:rsidRPr="00EF7F79">
        <w:t xml:space="preserve">a 29.494 en 2020. Esto repercutió en que para esta última vigencia el </w:t>
      </w:r>
      <w:r w:rsidR="00B34BB8">
        <w:t>M</w:t>
      </w:r>
      <w:r w:rsidR="000C0352" w:rsidRPr="00EF7F79">
        <w:t xml:space="preserve">unicipio dejara de recibir la asignación dirigida a los municipios que cuentan con población inferior a 25.000 habitantes. </w:t>
      </w:r>
      <w:r w:rsidR="008D3CA9">
        <w:t xml:space="preserve">Sin embargo, esta disminución de recursos se vio compensada por el incremento en la asignación </w:t>
      </w:r>
      <w:r w:rsidR="001A769F">
        <w:t>derivada</w:t>
      </w:r>
      <w:r w:rsidR="008D3CA9">
        <w:t xml:space="preserve"> </w:t>
      </w:r>
      <w:r w:rsidR="001A769F">
        <w:t>d</w:t>
      </w:r>
      <w:r w:rsidR="008D3CA9">
        <w:t xml:space="preserve">el incremento de su población en </w:t>
      </w:r>
      <w:r w:rsidR="007F0F9C">
        <w:t>aproximadamente 70</w:t>
      </w:r>
      <w:r w:rsidR="00B34BB8">
        <w:t xml:space="preserve"> </w:t>
      </w:r>
      <w:r w:rsidR="00D059FC">
        <w:t xml:space="preserve">% y </w:t>
      </w:r>
      <w:r w:rsidR="00D05881">
        <w:t>porque</w:t>
      </w:r>
      <w:r w:rsidR="00EA25C5" w:rsidRPr="00EA25C5">
        <w:t xml:space="preserve"> </w:t>
      </w:r>
      <w:r w:rsidR="00EA25C5">
        <w:t>el Índice de Necesidades Básicas Insatisfechas</w:t>
      </w:r>
      <w:r w:rsidR="00B34BB8">
        <w:t xml:space="preserve"> - INBS</w:t>
      </w:r>
      <w:r w:rsidR="00EA25C5">
        <w:t>, a pesar de haber disminuido en un 10</w:t>
      </w:r>
      <w:r w:rsidR="00B34BB8">
        <w:t xml:space="preserve"> </w:t>
      </w:r>
      <w:r w:rsidR="00EA25C5">
        <w:t>%</w:t>
      </w:r>
      <w:r w:rsidR="007F0F9C">
        <w:t xml:space="preserve"> para el </w:t>
      </w:r>
      <w:r w:rsidR="00B34BB8">
        <w:t>M</w:t>
      </w:r>
      <w:r w:rsidR="007F0F9C">
        <w:t>unicipio</w:t>
      </w:r>
      <w:r w:rsidR="00EA25C5">
        <w:t xml:space="preserve">, recibió un incremento en su asignación </w:t>
      </w:r>
      <w:r w:rsidR="001756D2">
        <w:t>del 3</w:t>
      </w:r>
      <w:r w:rsidR="00DC4D60">
        <w:t>5</w:t>
      </w:r>
      <w:r w:rsidR="00B34BB8">
        <w:t xml:space="preserve"> </w:t>
      </w:r>
      <w:r w:rsidR="001756D2">
        <w:t>%.</w:t>
      </w:r>
    </w:p>
    <w:p w14:paraId="2744E993" w14:textId="77777777" w:rsidR="00DC173B" w:rsidRDefault="00DC173B">
      <w:pPr>
        <w:spacing w:after="0" w:line="240" w:lineRule="auto"/>
        <w:contextualSpacing/>
        <w:jc w:val="both"/>
      </w:pPr>
    </w:p>
    <w:p w14:paraId="19C175FC" w14:textId="77777777" w:rsidR="00A30BE4" w:rsidRDefault="00DC173B">
      <w:pPr>
        <w:spacing w:after="0" w:line="240" w:lineRule="auto"/>
        <w:contextualSpacing/>
        <w:jc w:val="both"/>
      </w:pPr>
      <w:r>
        <w:t>Adicionalmente,</w:t>
      </w:r>
      <w:r w:rsidR="000F586A">
        <w:t xml:space="preserve"> como</w:t>
      </w:r>
      <w:r>
        <w:t xml:space="preserve"> se puede observar en el </w:t>
      </w:r>
      <w:r w:rsidR="00B34BB8">
        <w:t>G</w:t>
      </w:r>
      <w:r>
        <w:t>ráfico No. 2</w:t>
      </w:r>
      <w:r w:rsidR="000F586A">
        <w:t>,</w:t>
      </w:r>
      <w:r>
        <w:t xml:space="preserve"> la </w:t>
      </w:r>
      <w:r w:rsidR="00B34BB8">
        <w:t>E</w:t>
      </w:r>
      <w:r>
        <w:t xml:space="preserve">ntidad </w:t>
      </w:r>
      <w:r w:rsidR="00B34BB8">
        <w:t>T</w:t>
      </w:r>
      <w:r>
        <w:t>erritorial no recib</w:t>
      </w:r>
      <w:r w:rsidR="00C76C2C">
        <w:t>ió</w:t>
      </w:r>
      <w:r>
        <w:t xml:space="preserve"> asignación por criterio de Eficiencia Fiscal en las últimas </w:t>
      </w:r>
      <w:r w:rsidR="00A74E6A">
        <w:t>tres (</w:t>
      </w:r>
      <w:r>
        <w:t>3</w:t>
      </w:r>
      <w:r w:rsidR="00A74E6A">
        <w:t>)</w:t>
      </w:r>
      <w:r>
        <w:t xml:space="preserve"> vigencias y </w:t>
      </w:r>
      <w:r w:rsidR="00990775">
        <w:t xml:space="preserve">durante 2018 y 2019 no recibió asignación por el criterio de Eficiencia Administrativa. </w:t>
      </w:r>
      <w:r w:rsidR="000F586A">
        <w:t xml:space="preserve">Esto significa, por un lado, que el </w:t>
      </w:r>
      <w:r w:rsidR="00A74E6A">
        <w:t>M</w:t>
      </w:r>
      <w:r w:rsidR="000F586A">
        <w:t xml:space="preserve">unicipio no ha presentado un incremento </w:t>
      </w:r>
      <w:r w:rsidR="000F586A" w:rsidRPr="00FB27C3">
        <w:rPr>
          <w:i/>
          <w:iCs/>
        </w:rPr>
        <w:t>per cápita</w:t>
      </w:r>
      <w:r w:rsidR="000F586A">
        <w:t xml:space="preserve"> de </w:t>
      </w:r>
      <w:r w:rsidR="00F32EC6">
        <w:t xml:space="preserve">recaudo en </w:t>
      </w:r>
      <w:r w:rsidR="000F586A">
        <w:t xml:space="preserve">los ingresos tributarios en las últimas </w:t>
      </w:r>
      <w:r w:rsidR="00A74E6A">
        <w:t>tres (</w:t>
      </w:r>
      <w:r w:rsidR="000F586A">
        <w:t>3</w:t>
      </w:r>
      <w:r w:rsidR="00A74E6A">
        <w:t>)</w:t>
      </w:r>
      <w:r w:rsidR="000F586A">
        <w:t xml:space="preserve"> vigencias. </w:t>
      </w:r>
      <w:r w:rsidR="008B4B71">
        <w:t>Por otro lado</w:t>
      </w:r>
      <w:r w:rsidR="00191271">
        <w:t xml:space="preserve">, se evidencia que el Municipio no recibió asignación por </w:t>
      </w:r>
      <w:r w:rsidR="00A74E6A">
        <w:t>E</w:t>
      </w:r>
      <w:r w:rsidR="00191271">
        <w:t xml:space="preserve">ficiencia </w:t>
      </w:r>
      <w:r w:rsidR="00A74E6A">
        <w:t>A</w:t>
      </w:r>
      <w:r w:rsidR="008B4B71">
        <w:t xml:space="preserve">dministrativa </w:t>
      </w:r>
      <w:r w:rsidR="00191271">
        <w:t xml:space="preserve">debido a que en </w:t>
      </w:r>
      <w:r w:rsidR="00CE0391">
        <w:t xml:space="preserve">el indicador utilizado para </w:t>
      </w:r>
      <w:r w:rsidR="00191271">
        <w:t>la vigencia 201</w:t>
      </w:r>
      <w:r w:rsidR="00A56FAE">
        <w:t>8</w:t>
      </w:r>
      <w:r w:rsidR="00191271">
        <w:t xml:space="preserve"> no cumplió con el límite de gasto de </w:t>
      </w:r>
      <w:r w:rsidR="00191271">
        <w:lastRenderedPageBreak/>
        <w:t xml:space="preserve">funcionamiento establecido según su categoría </w:t>
      </w:r>
      <w:r w:rsidR="00C5474A">
        <w:t>de la Ley 617 del 2000</w:t>
      </w:r>
      <w:r w:rsidR="00A56FAE">
        <w:t xml:space="preserve"> y para 2019 no se le asignó debido a que la Contraloría General de la República</w:t>
      </w:r>
      <w:r w:rsidR="003A7AC8">
        <w:t xml:space="preserve"> -</w:t>
      </w:r>
      <w:r w:rsidR="00A74E6A">
        <w:t xml:space="preserve"> </w:t>
      </w:r>
      <w:r w:rsidR="003A7AC8">
        <w:t>CGR</w:t>
      </w:r>
      <w:r w:rsidR="00DC7CED">
        <w:t xml:space="preserve"> </w:t>
      </w:r>
      <w:r w:rsidR="00A56FAE">
        <w:t xml:space="preserve">no certificó el cumplimiento </w:t>
      </w:r>
      <w:r w:rsidR="00CE0391">
        <w:t xml:space="preserve">de este límite </w:t>
      </w:r>
      <w:r w:rsidR="00A56FAE">
        <w:t xml:space="preserve">por reporte de información </w:t>
      </w:r>
      <w:r w:rsidR="00F32EC6">
        <w:t xml:space="preserve">incompleto o erróneo. </w:t>
      </w:r>
      <w:r w:rsidR="00D935A7">
        <w:t>Para 2019 se corrigió esta situación</w:t>
      </w:r>
      <w:r w:rsidR="003A7AC8">
        <w:t xml:space="preserve"> y</w:t>
      </w:r>
      <w:r w:rsidR="003A7AC8" w:rsidRPr="003A7AC8">
        <w:t xml:space="preserve"> </w:t>
      </w:r>
      <w:r w:rsidR="003A7AC8">
        <w:t>la CGR certificó</w:t>
      </w:r>
      <w:r w:rsidR="003A7AC8" w:rsidRPr="003A7AC8">
        <w:t xml:space="preserve"> </w:t>
      </w:r>
      <w:r w:rsidR="003A7AC8">
        <w:t>el cumplimiento del límite de gasto</w:t>
      </w:r>
      <w:r w:rsidR="000E3C38">
        <w:t>, p</w:t>
      </w:r>
      <w:r w:rsidR="003A7AC8">
        <w:t xml:space="preserve">or lo cual </w:t>
      </w:r>
      <w:r w:rsidR="00D935A7">
        <w:t xml:space="preserve">el </w:t>
      </w:r>
      <w:r w:rsidR="00A74E6A">
        <w:t>M</w:t>
      </w:r>
      <w:r w:rsidR="00D935A7">
        <w:t xml:space="preserve">unicipio recibió </w:t>
      </w:r>
      <w:r w:rsidR="00743CB5">
        <w:t xml:space="preserve">en la vigencia 2020 </w:t>
      </w:r>
      <w:r w:rsidR="00D935A7">
        <w:t xml:space="preserve">asignación por el indicador de </w:t>
      </w:r>
      <w:r w:rsidR="00A74E6A">
        <w:t>E</w:t>
      </w:r>
      <w:r w:rsidR="00D935A7">
        <w:t xml:space="preserve">ficiencia </w:t>
      </w:r>
      <w:r w:rsidR="00A74E6A">
        <w:t>A</w:t>
      </w:r>
      <w:r w:rsidR="00D935A7">
        <w:t>dministrativa</w:t>
      </w:r>
      <w:r w:rsidR="003A7AC8">
        <w:t xml:space="preserve"> </w:t>
      </w:r>
      <w:r w:rsidR="000E3C38">
        <w:t>y una compensación adicional de $</w:t>
      </w:r>
      <w:r w:rsidR="00CD6826">
        <w:t>1</w:t>
      </w:r>
      <w:r w:rsidR="000E3C38">
        <w:t>3</w:t>
      </w:r>
      <w:r w:rsidR="00CD6826">
        <w:t>.174.409 por la actualización del S</w:t>
      </w:r>
      <w:r w:rsidR="00A74E6A">
        <w:t>isbén</w:t>
      </w:r>
      <w:r w:rsidR="00CD6826">
        <w:t>.</w:t>
      </w:r>
    </w:p>
    <w:p w14:paraId="2DD80643" w14:textId="77777777" w:rsidR="0028409B" w:rsidRDefault="0028409B">
      <w:pPr>
        <w:spacing w:after="0" w:line="240" w:lineRule="auto"/>
        <w:contextualSpacing/>
        <w:jc w:val="both"/>
      </w:pPr>
    </w:p>
    <w:p w14:paraId="5374F747" w14:textId="77777777" w:rsidR="00CB610C" w:rsidRDefault="00CD6826">
      <w:pPr>
        <w:spacing w:after="0" w:line="240" w:lineRule="auto"/>
        <w:contextualSpacing/>
        <w:jc w:val="both"/>
      </w:pPr>
      <w:r>
        <w:t>E</w:t>
      </w:r>
      <w:r w:rsidR="00CB610C">
        <w:t>n conclusión, e</w:t>
      </w:r>
      <w:r>
        <w:t xml:space="preserve">l </w:t>
      </w:r>
      <w:r w:rsidR="00A74E6A">
        <w:t>M</w:t>
      </w:r>
      <w:r>
        <w:t xml:space="preserve">unicipio de Puerto Leguízamo – Putumayo debe </w:t>
      </w:r>
      <w:r w:rsidR="00801E9B">
        <w:t xml:space="preserve">trabajar en mejorar la gestión tributaria </w:t>
      </w:r>
      <w:r w:rsidR="00EA5170">
        <w:t xml:space="preserve">para lograr alcanzar </w:t>
      </w:r>
      <w:r w:rsidR="00CB610C">
        <w:t>un crecimiento en sus ingresos tributarios</w:t>
      </w:r>
      <w:r w:rsidR="00635DFD">
        <w:t xml:space="preserve"> y garantizar que se mantenga el cumplimiento de los límites de gasto de funcionamiento</w:t>
      </w:r>
      <w:r w:rsidR="00FF0751">
        <w:t xml:space="preserve"> frente a los Ingresos Corrientes de Libre Destinación</w:t>
      </w:r>
      <w:r w:rsidR="00635DFD">
        <w:t xml:space="preserve"> </w:t>
      </w:r>
      <w:r w:rsidR="00A74E6A">
        <w:t xml:space="preserve">– ICLD </w:t>
      </w:r>
      <w:r w:rsidR="00635DFD">
        <w:t xml:space="preserve">y su adecuado reporte </w:t>
      </w:r>
      <w:r w:rsidR="00866C50">
        <w:t xml:space="preserve">de información </w:t>
      </w:r>
      <w:r w:rsidR="00635DFD">
        <w:t>para la certificación de la CGR</w:t>
      </w:r>
      <w:r w:rsidR="00CB610C">
        <w:t>.</w:t>
      </w:r>
    </w:p>
    <w:p w14:paraId="493F4ECF" w14:textId="77777777" w:rsidR="00CB610C" w:rsidRPr="00CB610C" w:rsidRDefault="00CB610C">
      <w:pPr>
        <w:spacing w:after="0" w:line="240" w:lineRule="auto"/>
        <w:contextualSpacing/>
        <w:jc w:val="both"/>
      </w:pPr>
    </w:p>
    <w:p w14:paraId="1CBF4A3F" w14:textId="77777777" w:rsidR="0051567F" w:rsidRDefault="000B5086">
      <w:pPr>
        <w:spacing w:after="0" w:line="240" w:lineRule="auto"/>
        <w:ind w:left="360"/>
        <w:contextualSpacing/>
        <w:jc w:val="center"/>
        <w:rPr>
          <w:b/>
          <w:bCs/>
          <w:sz w:val="20"/>
          <w:szCs w:val="20"/>
        </w:rPr>
      </w:pPr>
      <w:r w:rsidRPr="000B5086">
        <w:rPr>
          <w:b/>
          <w:bCs/>
          <w:sz w:val="20"/>
          <w:szCs w:val="20"/>
        </w:rPr>
        <w:t xml:space="preserve">Gráfico No. </w:t>
      </w:r>
      <w:r w:rsidR="00C6112F">
        <w:rPr>
          <w:b/>
          <w:bCs/>
          <w:sz w:val="20"/>
          <w:szCs w:val="20"/>
        </w:rPr>
        <w:t>3</w:t>
      </w:r>
    </w:p>
    <w:p w14:paraId="71900DB4" w14:textId="77777777" w:rsidR="0051567F" w:rsidRPr="0052280D" w:rsidRDefault="0051567F">
      <w:pPr>
        <w:spacing w:after="0" w:line="240" w:lineRule="auto"/>
        <w:contextualSpacing/>
        <w:jc w:val="center"/>
        <w:rPr>
          <w:sz w:val="20"/>
          <w:szCs w:val="20"/>
        </w:rPr>
      </w:pPr>
      <w:r w:rsidRPr="0052280D">
        <w:rPr>
          <w:sz w:val="20"/>
          <w:szCs w:val="20"/>
        </w:rPr>
        <w:t xml:space="preserve">Análisis de la </w:t>
      </w:r>
      <w:r w:rsidR="00A74E6A">
        <w:rPr>
          <w:sz w:val="20"/>
          <w:szCs w:val="20"/>
        </w:rPr>
        <w:t>a</w:t>
      </w:r>
      <w:r w:rsidRPr="0052280D">
        <w:rPr>
          <w:sz w:val="20"/>
          <w:szCs w:val="20"/>
        </w:rPr>
        <w:t>signación por criterios de la Participación de Propósito General</w:t>
      </w:r>
      <w:r w:rsidR="00A74E6A">
        <w:rPr>
          <w:sz w:val="20"/>
          <w:szCs w:val="20"/>
        </w:rPr>
        <w:t>.</w:t>
      </w:r>
    </w:p>
    <w:p w14:paraId="3E6AA2C9" w14:textId="77777777" w:rsidR="00A61836" w:rsidRPr="00FA2926" w:rsidRDefault="0051567F">
      <w:pPr>
        <w:spacing w:line="240" w:lineRule="auto"/>
        <w:contextualSpacing/>
        <w:jc w:val="center"/>
        <w:rPr>
          <w:b/>
          <w:bCs/>
          <w:sz w:val="20"/>
          <w:szCs w:val="20"/>
        </w:rPr>
      </w:pPr>
      <w:r w:rsidRPr="0052280D">
        <w:rPr>
          <w:sz w:val="20"/>
          <w:szCs w:val="20"/>
        </w:rPr>
        <w:t xml:space="preserve">Municipio de </w:t>
      </w:r>
      <w:r w:rsidR="00FA2926" w:rsidRPr="0052280D">
        <w:rPr>
          <w:sz w:val="20"/>
          <w:szCs w:val="20"/>
        </w:rPr>
        <w:t>Puerto Leguízamo - Putumayo</w:t>
      </w:r>
      <w:r w:rsidR="00431C2F">
        <w:rPr>
          <w:noProof/>
          <w:lang w:val="es-CO" w:eastAsia="es-CO"/>
        </w:rPr>
        <w:drawing>
          <wp:inline distT="0" distB="0" distL="0" distR="0" wp14:anchorId="30F34882" wp14:editId="00317E6B">
            <wp:extent cx="5732891" cy="2488758"/>
            <wp:effectExtent l="0" t="0" r="1270" b="6985"/>
            <wp:docPr id="3" name="Gráfico 3">
              <a:extLst xmlns:a="http://schemas.openxmlformats.org/drawingml/2006/main">
                <a:ext uri="{FF2B5EF4-FFF2-40B4-BE49-F238E27FC236}">
                  <a16:creationId xmlns:a16="http://schemas.microsoft.com/office/drawing/2014/main" id="{A27FB4CC-C1B0-45E2-8B1A-E3BE6CE4D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F3BE2E" w14:textId="77777777" w:rsidR="00FB2C2F" w:rsidRDefault="00261D87">
      <w:pPr>
        <w:spacing w:line="240" w:lineRule="auto"/>
        <w:contextualSpacing/>
        <w:jc w:val="center"/>
        <w:rPr>
          <w:sz w:val="16"/>
          <w:szCs w:val="16"/>
        </w:rPr>
      </w:pPr>
      <w:r w:rsidRPr="00FB27C3">
        <w:rPr>
          <w:b/>
          <w:bCs/>
          <w:sz w:val="16"/>
          <w:szCs w:val="16"/>
        </w:rPr>
        <w:t>Fuente:</w:t>
      </w:r>
      <w:r w:rsidR="007D589D" w:rsidRPr="00FB27C3">
        <w:rPr>
          <w:b/>
          <w:bCs/>
          <w:sz w:val="16"/>
          <w:szCs w:val="16"/>
        </w:rPr>
        <w:t xml:space="preserve"> </w:t>
      </w:r>
      <w:r w:rsidR="00DC445E" w:rsidRPr="00FB27C3">
        <w:rPr>
          <w:sz w:val="16"/>
          <w:szCs w:val="16"/>
        </w:rPr>
        <w:t xml:space="preserve">Elaboración </w:t>
      </w:r>
      <w:r w:rsidR="008C081E" w:rsidRPr="00FB27C3">
        <w:rPr>
          <w:sz w:val="16"/>
          <w:szCs w:val="16"/>
        </w:rPr>
        <w:t>DAF</w:t>
      </w:r>
      <w:r w:rsidR="00DC445E" w:rsidRPr="00FB27C3">
        <w:rPr>
          <w:sz w:val="16"/>
          <w:szCs w:val="16"/>
        </w:rPr>
        <w:t xml:space="preserve"> con base en la información de distribución de</w:t>
      </w:r>
      <w:r w:rsidRPr="00FB27C3">
        <w:rPr>
          <w:b/>
          <w:bCs/>
          <w:sz w:val="16"/>
          <w:szCs w:val="16"/>
        </w:rPr>
        <w:t xml:space="preserve"> </w:t>
      </w:r>
      <w:r w:rsidRPr="00FB27C3">
        <w:rPr>
          <w:sz w:val="16"/>
          <w:szCs w:val="16"/>
        </w:rPr>
        <w:t>SICODIS</w:t>
      </w:r>
      <w:r w:rsidR="00DC445E" w:rsidRPr="00FB27C3">
        <w:rPr>
          <w:sz w:val="16"/>
          <w:szCs w:val="16"/>
        </w:rPr>
        <w:t xml:space="preserve"> </w:t>
      </w:r>
      <w:r w:rsidR="00E44ECB" w:rsidRPr="00FB27C3">
        <w:rPr>
          <w:sz w:val="16"/>
          <w:szCs w:val="16"/>
        </w:rPr>
        <w:t>–</w:t>
      </w:r>
      <w:r w:rsidR="00DC445E" w:rsidRPr="00FB27C3">
        <w:rPr>
          <w:sz w:val="16"/>
          <w:szCs w:val="16"/>
        </w:rPr>
        <w:t xml:space="preserve"> </w:t>
      </w:r>
      <w:r w:rsidRPr="00FB27C3">
        <w:rPr>
          <w:sz w:val="16"/>
          <w:szCs w:val="16"/>
        </w:rPr>
        <w:t>DNP</w:t>
      </w:r>
      <w:r w:rsidR="006F2123" w:rsidRPr="00FB27C3">
        <w:rPr>
          <w:sz w:val="16"/>
          <w:szCs w:val="16"/>
        </w:rPr>
        <w:t>.</w:t>
      </w:r>
      <w:r w:rsidR="00E44ECB" w:rsidRPr="00FB27C3">
        <w:rPr>
          <w:sz w:val="16"/>
          <w:szCs w:val="16"/>
        </w:rPr>
        <w:t xml:space="preserve"> </w:t>
      </w:r>
      <w:r w:rsidR="006F2123" w:rsidRPr="00FB27C3">
        <w:rPr>
          <w:sz w:val="16"/>
          <w:szCs w:val="16"/>
        </w:rPr>
        <w:t>Los datos corresponden a once doceavas</w:t>
      </w:r>
      <w:r w:rsidR="00E44ECB" w:rsidRPr="00FB27C3">
        <w:rPr>
          <w:sz w:val="16"/>
          <w:szCs w:val="16"/>
        </w:rPr>
        <w:t>.</w:t>
      </w:r>
    </w:p>
    <w:p w14:paraId="70D3B749" w14:textId="77777777" w:rsidR="00B6513B" w:rsidRPr="001729F6" w:rsidRDefault="00B6513B" w:rsidP="001729F6">
      <w:pPr>
        <w:spacing w:line="240" w:lineRule="auto"/>
        <w:contextualSpacing/>
        <w:jc w:val="both"/>
        <w:rPr>
          <w:szCs w:val="16"/>
        </w:rPr>
      </w:pPr>
    </w:p>
    <w:p w14:paraId="052B5DCA" w14:textId="77777777" w:rsidR="000433DE" w:rsidRDefault="003B736F">
      <w:pPr>
        <w:pStyle w:val="Prrafodelista"/>
        <w:numPr>
          <w:ilvl w:val="0"/>
          <w:numId w:val="6"/>
        </w:numPr>
        <w:spacing w:line="240" w:lineRule="auto"/>
        <w:rPr>
          <w:b/>
          <w:bCs/>
        </w:rPr>
      </w:pPr>
      <w:r>
        <w:rPr>
          <w:b/>
          <w:bCs/>
        </w:rPr>
        <w:t>A</w:t>
      </w:r>
      <w:r w:rsidR="000123F7">
        <w:rPr>
          <w:b/>
          <w:bCs/>
        </w:rPr>
        <w:t>nálisis de incorporación de ingresos</w:t>
      </w:r>
      <w:r w:rsidR="00A74E6A">
        <w:rPr>
          <w:b/>
          <w:bCs/>
        </w:rPr>
        <w:t>.</w:t>
      </w:r>
    </w:p>
    <w:p w14:paraId="6BB9C202" w14:textId="77777777" w:rsidR="00B6513B" w:rsidRDefault="00B6513B">
      <w:pPr>
        <w:spacing w:line="240" w:lineRule="auto"/>
        <w:contextualSpacing/>
        <w:jc w:val="both"/>
        <w:rPr>
          <w:rFonts w:eastAsia="Times New Roman" w:cs="Arial"/>
          <w:lang w:eastAsia="es-CO"/>
        </w:rPr>
      </w:pPr>
    </w:p>
    <w:p w14:paraId="5054A656" w14:textId="77777777" w:rsidR="000433DE" w:rsidRDefault="009A332E">
      <w:pPr>
        <w:spacing w:line="240" w:lineRule="auto"/>
        <w:contextualSpacing/>
        <w:jc w:val="both"/>
        <w:rPr>
          <w:rFonts w:eastAsia="Times New Roman" w:cs="Arial"/>
          <w:lang w:eastAsia="es-CO"/>
        </w:rPr>
      </w:pPr>
      <w:r>
        <w:rPr>
          <w:rFonts w:eastAsia="Times New Roman" w:cs="Arial"/>
          <w:lang w:eastAsia="es-CO"/>
        </w:rPr>
        <w:t xml:space="preserve">El </w:t>
      </w:r>
      <w:r w:rsidR="00A74E6A">
        <w:rPr>
          <w:rFonts w:eastAsia="Times New Roman" w:cs="Arial"/>
          <w:lang w:eastAsia="es-CO"/>
        </w:rPr>
        <w:t>M</w:t>
      </w:r>
      <w:r>
        <w:rPr>
          <w:rFonts w:eastAsia="Times New Roman" w:cs="Arial"/>
          <w:lang w:eastAsia="es-CO"/>
        </w:rPr>
        <w:t xml:space="preserve">unicipio de Puerto Leguízamo - Putumayo presenta una incorporación adecuada de los recursos de la Participación de Propósito General durante las tres vigencias analizadas. Al comparar los montos asignados a través de los Documentos de Distribución No. </w:t>
      </w:r>
      <w:r w:rsidRPr="00436BF3">
        <w:rPr>
          <w:rFonts w:eastAsia="Times New Roman" w:cs="Arial"/>
          <w:lang w:eastAsia="es-CO"/>
        </w:rPr>
        <w:t>SGP-23-2017, SGP-26-2018, SGP-33-2018</w:t>
      </w:r>
      <w:r>
        <w:rPr>
          <w:rFonts w:eastAsia="Times New Roman" w:cs="Arial"/>
          <w:lang w:eastAsia="es-CO"/>
        </w:rPr>
        <w:t xml:space="preserve">, </w:t>
      </w:r>
      <w:r w:rsidRPr="00436BF3">
        <w:rPr>
          <w:rFonts w:eastAsia="Times New Roman" w:cs="Arial"/>
          <w:lang w:eastAsia="es-CO"/>
        </w:rPr>
        <w:t>SGP-36-201</w:t>
      </w:r>
      <w:r>
        <w:rPr>
          <w:rFonts w:eastAsia="Times New Roman" w:cs="Arial"/>
          <w:lang w:eastAsia="es-CO"/>
        </w:rPr>
        <w:t xml:space="preserve">9, </w:t>
      </w:r>
      <w:r w:rsidRPr="00A931F4">
        <w:rPr>
          <w:rFonts w:eastAsia="Times New Roman" w:cs="Arial"/>
          <w:lang w:eastAsia="es-CO"/>
        </w:rPr>
        <w:t>SGP-39-2019</w:t>
      </w:r>
      <w:r>
        <w:rPr>
          <w:rFonts w:eastAsia="Times New Roman" w:cs="Arial"/>
          <w:lang w:eastAsia="es-CO"/>
        </w:rPr>
        <w:t xml:space="preserve">, </w:t>
      </w:r>
      <w:r w:rsidRPr="009B14F7">
        <w:rPr>
          <w:rFonts w:eastAsia="Times New Roman" w:cs="Arial"/>
          <w:lang w:eastAsia="es-CO"/>
        </w:rPr>
        <w:t>SGP-43-2020</w:t>
      </w:r>
      <w:r>
        <w:rPr>
          <w:rFonts w:eastAsia="Times New Roman" w:cs="Arial"/>
          <w:lang w:eastAsia="es-CO"/>
        </w:rPr>
        <w:t xml:space="preserve"> y SAGP-48-2020, con las ejecuciones presupuestales enviadas por la Entidad Territorial, se puede evidenciar que estos fueron incluidos en el presupuesto definitivo de cada vigencia.</w:t>
      </w:r>
      <w:r w:rsidR="007730F1">
        <w:rPr>
          <w:rFonts w:eastAsia="Times New Roman" w:cs="Arial"/>
          <w:lang w:eastAsia="es-CO"/>
        </w:rPr>
        <w:t xml:space="preserve"> </w:t>
      </w:r>
      <w:r w:rsidR="00AF4B1C">
        <w:rPr>
          <w:rFonts w:eastAsia="Times New Roman" w:cs="Arial"/>
          <w:lang w:eastAsia="es-CO"/>
        </w:rPr>
        <w:t>No obstante, e</w:t>
      </w:r>
      <w:r w:rsidR="007730F1">
        <w:rPr>
          <w:rFonts w:eastAsia="Times New Roman" w:cs="Arial"/>
          <w:lang w:eastAsia="es-CO"/>
        </w:rPr>
        <w:t>n 2018 se presenta</w:t>
      </w:r>
      <w:r w:rsidR="00361232">
        <w:rPr>
          <w:rFonts w:eastAsia="Times New Roman" w:cs="Arial"/>
          <w:lang w:eastAsia="es-CO"/>
        </w:rPr>
        <w:t xml:space="preserve"> una</w:t>
      </w:r>
      <w:r w:rsidR="007730F1">
        <w:rPr>
          <w:rFonts w:eastAsia="Times New Roman" w:cs="Arial"/>
          <w:lang w:eastAsia="es-CO"/>
        </w:rPr>
        <w:t xml:space="preserve"> diferencia </w:t>
      </w:r>
      <w:r w:rsidR="00361232">
        <w:rPr>
          <w:rFonts w:eastAsia="Times New Roman" w:cs="Arial"/>
          <w:lang w:eastAsia="es-CO"/>
        </w:rPr>
        <w:t xml:space="preserve">por valor de $126.984.749 </w:t>
      </w:r>
      <w:r w:rsidR="007730F1">
        <w:rPr>
          <w:rFonts w:eastAsia="Times New Roman" w:cs="Arial"/>
          <w:lang w:eastAsia="es-CO"/>
        </w:rPr>
        <w:t xml:space="preserve">entre el monto </w:t>
      </w:r>
      <w:r w:rsidR="00EF2326">
        <w:rPr>
          <w:rFonts w:eastAsia="Times New Roman" w:cs="Arial"/>
          <w:lang w:eastAsia="es-CO"/>
        </w:rPr>
        <w:t>asignado y el presupuesto definitivo</w:t>
      </w:r>
      <w:r w:rsidR="006F513B">
        <w:rPr>
          <w:rFonts w:eastAsia="Times New Roman" w:cs="Arial"/>
          <w:lang w:eastAsia="es-CO"/>
        </w:rPr>
        <w:t xml:space="preserve"> de aproximadamente 5</w:t>
      </w:r>
      <w:r w:rsidR="00A74E6A">
        <w:rPr>
          <w:rFonts w:eastAsia="Times New Roman" w:cs="Arial"/>
          <w:lang w:eastAsia="es-CO"/>
        </w:rPr>
        <w:t xml:space="preserve"> </w:t>
      </w:r>
      <w:r w:rsidR="006F513B">
        <w:rPr>
          <w:rFonts w:eastAsia="Times New Roman" w:cs="Arial"/>
          <w:lang w:eastAsia="es-CO"/>
        </w:rPr>
        <w:t>%</w:t>
      </w:r>
      <w:r w:rsidR="00A74E6A">
        <w:rPr>
          <w:rFonts w:eastAsia="Times New Roman" w:cs="Arial"/>
          <w:lang w:eastAsia="es-CO"/>
        </w:rPr>
        <w:t>;</w:t>
      </w:r>
      <w:r w:rsidR="00231D91">
        <w:rPr>
          <w:rFonts w:eastAsia="Times New Roman" w:cs="Arial"/>
          <w:lang w:eastAsia="es-CO"/>
        </w:rPr>
        <w:t xml:space="preserve"> es decir, se presupuestaron $</w:t>
      </w:r>
      <w:r w:rsidR="00231D91" w:rsidRPr="00231D91">
        <w:rPr>
          <w:rFonts w:eastAsia="Times New Roman" w:cs="Arial"/>
          <w:lang w:eastAsia="es-CO"/>
        </w:rPr>
        <w:t>2.581.239.656</w:t>
      </w:r>
      <w:r w:rsidR="00231D91">
        <w:rPr>
          <w:rFonts w:eastAsia="Times New Roman" w:cs="Arial"/>
          <w:lang w:eastAsia="es-CO"/>
        </w:rPr>
        <w:t xml:space="preserve"> mientras que la asignación fue de </w:t>
      </w:r>
      <w:r w:rsidR="00EF75E5">
        <w:rPr>
          <w:rFonts w:eastAsia="Times New Roman" w:cs="Arial"/>
          <w:lang w:eastAsia="es-CO"/>
        </w:rPr>
        <w:t>$</w:t>
      </w:r>
      <w:r w:rsidR="00EF75E5" w:rsidRPr="00EF75E5">
        <w:rPr>
          <w:rFonts w:eastAsia="Times New Roman" w:cs="Arial"/>
          <w:lang w:eastAsia="es-CO"/>
        </w:rPr>
        <w:t>2.454.254.907</w:t>
      </w:r>
      <w:r w:rsidR="00EF75E5">
        <w:rPr>
          <w:rFonts w:eastAsia="Times New Roman" w:cs="Arial"/>
          <w:lang w:eastAsia="es-CO"/>
        </w:rPr>
        <w:t xml:space="preserve">. </w:t>
      </w:r>
      <w:r w:rsidR="00D23AB3">
        <w:rPr>
          <w:rFonts w:eastAsia="Times New Roman" w:cs="Arial"/>
          <w:lang w:eastAsia="es-CO"/>
        </w:rPr>
        <w:t xml:space="preserve">La diferencia se </w:t>
      </w:r>
      <w:r w:rsidR="009778D3">
        <w:rPr>
          <w:rFonts w:eastAsia="Times New Roman" w:cs="Arial"/>
          <w:lang w:eastAsia="es-CO"/>
        </w:rPr>
        <w:t xml:space="preserve">da en los recursos de Libre Destinación, con un presupuesto que supera en </w:t>
      </w:r>
      <w:r w:rsidR="00F95C33">
        <w:rPr>
          <w:rFonts w:eastAsia="Times New Roman" w:cs="Arial"/>
          <w:lang w:eastAsia="es-CO"/>
        </w:rPr>
        <w:t>$</w:t>
      </w:r>
      <w:r w:rsidR="00F95C33" w:rsidRPr="00F95C33">
        <w:rPr>
          <w:rFonts w:eastAsia="Times New Roman" w:cs="Arial"/>
          <w:lang w:eastAsia="es-CO"/>
        </w:rPr>
        <w:t>88.659.240</w:t>
      </w:r>
      <w:r w:rsidR="00F95C33">
        <w:rPr>
          <w:rFonts w:eastAsia="Times New Roman" w:cs="Arial"/>
          <w:lang w:eastAsia="es-CO"/>
        </w:rPr>
        <w:t xml:space="preserve"> al monto asignado.</w:t>
      </w:r>
    </w:p>
    <w:p w14:paraId="5A7E0263" w14:textId="77777777" w:rsidR="0083533B" w:rsidRDefault="0083533B">
      <w:pPr>
        <w:spacing w:line="240" w:lineRule="auto"/>
        <w:contextualSpacing/>
        <w:jc w:val="both"/>
        <w:rPr>
          <w:rFonts w:eastAsia="Times New Roman" w:cs="Arial"/>
          <w:lang w:eastAsia="es-CO"/>
        </w:rPr>
      </w:pPr>
    </w:p>
    <w:p w14:paraId="2F2E854E" w14:textId="77777777" w:rsidR="00CD5A96" w:rsidRPr="005C38C0" w:rsidRDefault="00CD5A96">
      <w:pPr>
        <w:pStyle w:val="NormalWeb"/>
        <w:spacing w:before="0" w:beforeAutospacing="0" w:after="0" w:afterAutospacing="0"/>
        <w:contextualSpacing/>
        <w:jc w:val="center"/>
        <w:rPr>
          <w:rFonts w:ascii="Arial" w:hAnsi="Arial" w:cs="Arial"/>
          <w:b/>
          <w:bCs/>
          <w:color w:val="000000"/>
          <w:sz w:val="20"/>
          <w:szCs w:val="20"/>
        </w:rPr>
      </w:pPr>
      <w:r w:rsidRPr="005C38C0">
        <w:rPr>
          <w:rFonts w:ascii="Arial" w:hAnsi="Arial" w:cs="Arial"/>
          <w:b/>
          <w:bCs/>
          <w:color w:val="000000"/>
          <w:sz w:val="20"/>
          <w:szCs w:val="20"/>
        </w:rPr>
        <w:lastRenderedPageBreak/>
        <w:t xml:space="preserve">Cuadro No. </w:t>
      </w:r>
      <w:r w:rsidR="0083533B">
        <w:rPr>
          <w:rFonts w:ascii="Arial" w:hAnsi="Arial" w:cs="Arial"/>
          <w:b/>
          <w:bCs/>
          <w:color w:val="000000"/>
          <w:sz w:val="20"/>
          <w:szCs w:val="20"/>
        </w:rPr>
        <w:t>2</w:t>
      </w:r>
    </w:p>
    <w:p w14:paraId="26BCC60C" w14:textId="77777777" w:rsidR="00CD5A96" w:rsidRPr="005C38C0" w:rsidRDefault="00CD5A96">
      <w:pPr>
        <w:pStyle w:val="NormalWeb"/>
        <w:spacing w:before="0" w:beforeAutospacing="0" w:after="0" w:afterAutospacing="0"/>
        <w:contextualSpacing/>
        <w:jc w:val="center"/>
        <w:rPr>
          <w:rFonts w:ascii="Arial" w:hAnsi="Arial" w:cs="Arial"/>
          <w:color w:val="000000"/>
          <w:sz w:val="20"/>
          <w:szCs w:val="20"/>
        </w:rPr>
      </w:pPr>
      <w:r w:rsidRPr="005C38C0">
        <w:rPr>
          <w:rFonts w:ascii="Arial" w:hAnsi="Arial" w:cs="Arial"/>
          <w:color w:val="000000"/>
          <w:sz w:val="20"/>
          <w:szCs w:val="20"/>
        </w:rPr>
        <w:t xml:space="preserve">Análisis de </w:t>
      </w:r>
      <w:r>
        <w:rPr>
          <w:rFonts w:ascii="Arial" w:hAnsi="Arial" w:cs="Arial"/>
          <w:color w:val="000000"/>
          <w:sz w:val="20"/>
          <w:szCs w:val="20"/>
        </w:rPr>
        <w:t xml:space="preserve">incorporación de </w:t>
      </w:r>
      <w:r w:rsidRPr="005C38C0">
        <w:rPr>
          <w:rFonts w:ascii="Arial" w:hAnsi="Arial" w:cs="Arial"/>
          <w:color w:val="000000"/>
          <w:sz w:val="20"/>
          <w:szCs w:val="20"/>
        </w:rPr>
        <w:t>ingresos</w:t>
      </w:r>
      <w:r>
        <w:rPr>
          <w:rFonts w:ascii="Arial" w:hAnsi="Arial" w:cs="Arial"/>
          <w:color w:val="000000"/>
          <w:sz w:val="20"/>
          <w:szCs w:val="20"/>
        </w:rPr>
        <w:t xml:space="preserve"> </w:t>
      </w:r>
    </w:p>
    <w:p w14:paraId="3306837E" w14:textId="77777777" w:rsidR="00CD5A96" w:rsidRPr="008E1565" w:rsidRDefault="00CD5A96">
      <w:pPr>
        <w:spacing w:after="0" w:line="240" w:lineRule="auto"/>
        <w:contextualSpacing/>
        <w:jc w:val="center"/>
        <w:rPr>
          <w:sz w:val="20"/>
          <w:szCs w:val="20"/>
          <w:lang w:val="es-CO"/>
        </w:rPr>
      </w:pPr>
      <w:r w:rsidRPr="008E1565">
        <w:rPr>
          <w:sz w:val="20"/>
          <w:szCs w:val="20"/>
          <w:lang w:val="es-CO"/>
        </w:rPr>
        <w:t>Municipio de Puerto Leguízamo - Putumayo</w:t>
      </w:r>
    </w:p>
    <w:tbl>
      <w:tblPr>
        <w:tblW w:w="5566" w:type="pct"/>
        <w:jc w:val="center"/>
        <w:tblCellMar>
          <w:top w:w="15" w:type="dxa"/>
          <w:left w:w="70" w:type="dxa"/>
          <w:bottom w:w="15" w:type="dxa"/>
          <w:right w:w="70" w:type="dxa"/>
        </w:tblCellMar>
        <w:tblLook w:val="04A0" w:firstRow="1" w:lastRow="0" w:firstColumn="1" w:lastColumn="0" w:noHBand="0" w:noVBand="1"/>
      </w:tblPr>
      <w:tblGrid>
        <w:gridCol w:w="2046"/>
        <w:gridCol w:w="1235"/>
        <w:gridCol w:w="1235"/>
        <w:gridCol w:w="1235"/>
        <w:gridCol w:w="1235"/>
        <w:gridCol w:w="1235"/>
        <w:gridCol w:w="1235"/>
      </w:tblGrid>
      <w:tr w:rsidR="00CD5A96" w:rsidRPr="00E16BEF" w14:paraId="431F524D" w14:textId="77777777" w:rsidTr="00594449">
        <w:trPr>
          <w:trHeight w:val="285"/>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1BEF370B"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 xml:space="preserve">Sector Propósito General </w:t>
            </w:r>
            <w:r w:rsidRPr="00FB27C3">
              <w:rPr>
                <w:rFonts w:ascii="Arial Narrow" w:eastAsia="Times New Roman" w:hAnsi="Arial Narrow" w:cs="Calibri"/>
                <w:b/>
                <w:bCs/>
                <w:i/>
                <w:iCs/>
                <w:color w:val="FFFFFF"/>
                <w:sz w:val="18"/>
                <w:szCs w:val="18"/>
                <w:lang w:val="es-CO" w:eastAsia="es-CO"/>
              </w:rPr>
              <w:t>(cifras en pesos)</w:t>
            </w:r>
          </w:p>
        </w:tc>
      </w:tr>
      <w:tr w:rsidR="00CD5A96" w:rsidRPr="00E16BEF" w14:paraId="730E70BC" w14:textId="77777777" w:rsidTr="00594449">
        <w:trPr>
          <w:trHeight w:val="300"/>
          <w:jc w:val="center"/>
        </w:trPr>
        <w:tc>
          <w:tcPr>
            <w:tcW w:w="1082" w:type="pct"/>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23A51B62" w14:textId="77777777" w:rsidR="00CD5A96" w:rsidRPr="00FB27C3" w:rsidRDefault="00CD5A96"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Conceptos</w:t>
            </w:r>
          </w:p>
        </w:tc>
        <w:tc>
          <w:tcPr>
            <w:tcW w:w="1306" w:type="pct"/>
            <w:gridSpan w:val="2"/>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1018360D"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2018</w:t>
            </w:r>
          </w:p>
        </w:tc>
        <w:tc>
          <w:tcPr>
            <w:tcW w:w="1306" w:type="pct"/>
            <w:gridSpan w:val="2"/>
            <w:tcBorders>
              <w:top w:val="single" w:sz="4" w:space="0" w:color="auto"/>
              <w:left w:val="single" w:sz="4" w:space="0" w:color="auto"/>
              <w:bottom w:val="single" w:sz="4" w:space="0" w:color="auto"/>
              <w:right w:val="single" w:sz="4" w:space="0" w:color="auto"/>
            </w:tcBorders>
            <w:shd w:val="clear" w:color="000000" w:fill="666699"/>
            <w:vAlign w:val="center"/>
            <w:hideMark/>
          </w:tcPr>
          <w:p w14:paraId="0BDE5416"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2019</w:t>
            </w:r>
          </w:p>
        </w:tc>
        <w:tc>
          <w:tcPr>
            <w:tcW w:w="1306" w:type="pct"/>
            <w:gridSpan w:val="2"/>
            <w:tcBorders>
              <w:top w:val="single" w:sz="4" w:space="0" w:color="auto"/>
              <w:left w:val="single" w:sz="4" w:space="0" w:color="auto"/>
              <w:bottom w:val="single" w:sz="4" w:space="0" w:color="auto"/>
              <w:right w:val="single" w:sz="4" w:space="0" w:color="auto"/>
            </w:tcBorders>
            <w:shd w:val="clear" w:color="000000" w:fill="666699"/>
            <w:vAlign w:val="center"/>
            <w:hideMark/>
          </w:tcPr>
          <w:p w14:paraId="6B4C8EC8"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2020</w:t>
            </w:r>
          </w:p>
        </w:tc>
      </w:tr>
      <w:tr w:rsidR="00CD5A96" w:rsidRPr="00E16BEF" w14:paraId="657BCF22" w14:textId="77777777" w:rsidTr="00594449">
        <w:trPr>
          <w:trHeight w:val="814"/>
          <w:jc w:val="center"/>
        </w:trPr>
        <w:tc>
          <w:tcPr>
            <w:tcW w:w="1082" w:type="pct"/>
            <w:vMerge/>
            <w:tcBorders>
              <w:top w:val="single" w:sz="4" w:space="0" w:color="auto"/>
              <w:left w:val="single" w:sz="4" w:space="0" w:color="auto"/>
              <w:bottom w:val="single" w:sz="4" w:space="0" w:color="auto"/>
              <w:right w:val="single" w:sz="4" w:space="0" w:color="auto"/>
            </w:tcBorders>
            <w:vAlign w:val="center"/>
            <w:hideMark/>
          </w:tcPr>
          <w:p w14:paraId="0C07D3A9" w14:textId="77777777" w:rsidR="00CD5A96" w:rsidRPr="00FB27C3" w:rsidRDefault="00CD5A96">
            <w:pPr>
              <w:spacing w:after="0" w:line="240" w:lineRule="auto"/>
              <w:contextualSpacing/>
              <w:rPr>
                <w:rFonts w:ascii="Arial Narrow" w:eastAsia="Times New Roman" w:hAnsi="Arial Narrow" w:cs="Calibri"/>
                <w:b/>
                <w:bCs/>
                <w:color w:val="FFFFFF"/>
                <w:sz w:val="18"/>
                <w:szCs w:val="18"/>
                <w:lang w:val="es-CO" w:eastAsia="es-CO"/>
              </w:rPr>
            </w:pPr>
          </w:p>
        </w:tc>
        <w:tc>
          <w:tcPr>
            <w:tcW w:w="653"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234FBB82"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Documentos Distribución</w:t>
            </w:r>
          </w:p>
        </w:tc>
        <w:tc>
          <w:tcPr>
            <w:tcW w:w="653"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44D93E25"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Presupuesto definitivo</w:t>
            </w:r>
          </w:p>
        </w:tc>
        <w:tc>
          <w:tcPr>
            <w:tcW w:w="653"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5D31FC10"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Documentos Distribución</w:t>
            </w:r>
          </w:p>
        </w:tc>
        <w:tc>
          <w:tcPr>
            <w:tcW w:w="653"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619FDDDB"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Presupuesto definitivo</w:t>
            </w:r>
          </w:p>
        </w:tc>
        <w:tc>
          <w:tcPr>
            <w:tcW w:w="653"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4D0F17EA"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Documentos Distribución</w:t>
            </w:r>
          </w:p>
        </w:tc>
        <w:tc>
          <w:tcPr>
            <w:tcW w:w="653"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5715416D" w14:textId="77777777" w:rsidR="00CD5A96" w:rsidRPr="00FB27C3" w:rsidRDefault="00CD5A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Presupuesto definitivo</w:t>
            </w:r>
          </w:p>
        </w:tc>
      </w:tr>
      <w:tr w:rsidR="00CD5A96" w:rsidRPr="00E16BEF" w14:paraId="21F1FB84" w14:textId="77777777" w:rsidTr="00594449">
        <w:trPr>
          <w:trHeight w:val="271"/>
          <w:jc w:val="center"/>
        </w:trPr>
        <w:tc>
          <w:tcPr>
            <w:tcW w:w="1082" w:type="pct"/>
            <w:tcBorders>
              <w:top w:val="single" w:sz="4" w:space="0" w:color="auto"/>
              <w:left w:val="single" w:sz="4" w:space="0" w:color="auto"/>
              <w:bottom w:val="single" w:sz="4" w:space="0" w:color="auto"/>
              <w:right w:val="single" w:sz="4" w:space="0" w:color="auto"/>
            </w:tcBorders>
            <w:shd w:val="clear" w:color="000000" w:fill="E5E5FF"/>
            <w:vAlign w:val="center"/>
            <w:hideMark/>
          </w:tcPr>
          <w:p w14:paraId="59C631B4" w14:textId="77777777" w:rsidR="00CD5A96" w:rsidRPr="00FB27C3" w:rsidRDefault="00CD5A96" w:rsidP="00286F4A">
            <w:pPr>
              <w:spacing w:after="0" w:line="240" w:lineRule="auto"/>
              <w:contextualSpacing/>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1. Ingresos Corrientes</w:t>
            </w:r>
          </w:p>
        </w:tc>
        <w:tc>
          <w:tcPr>
            <w:tcW w:w="653" w:type="pct"/>
            <w:tcBorders>
              <w:top w:val="single" w:sz="4" w:space="0" w:color="auto"/>
              <w:left w:val="single" w:sz="4" w:space="0" w:color="auto"/>
              <w:bottom w:val="single" w:sz="4" w:space="0" w:color="auto"/>
              <w:right w:val="single" w:sz="4" w:space="0" w:color="auto"/>
            </w:tcBorders>
            <w:shd w:val="clear" w:color="000000" w:fill="E5E5FF"/>
            <w:vAlign w:val="center"/>
            <w:hideMark/>
          </w:tcPr>
          <w:p w14:paraId="236DA4E1" w14:textId="77777777" w:rsidR="00CD5A96" w:rsidRPr="00FB27C3" w:rsidRDefault="00CD5A96">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 xml:space="preserve"> 2.454.254.907 </w:t>
            </w:r>
          </w:p>
        </w:tc>
        <w:tc>
          <w:tcPr>
            <w:tcW w:w="653" w:type="pct"/>
            <w:tcBorders>
              <w:top w:val="single" w:sz="4" w:space="0" w:color="auto"/>
              <w:left w:val="single" w:sz="4" w:space="0" w:color="auto"/>
              <w:bottom w:val="single" w:sz="4" w:space="0" w:color="auto"/>
              <w:right w:val="single" w:sz="4" w:space="0" w:color="auto"/>
            </w:tcBorders>
            <w:shd w:val="clear" w:color="000000" w:fill="E5E5FF"/>
            <w:vAlign w:val="center"/>
            <w:hideMark/>
          </w:tcPr>
          <w:p w14:paraId="405B0116" w14:textId="77777777" w:rsidR="00CD5A96" w:rsidRPr="00FB27C3" w:rsidRDefault="00CD5A96">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 xml:space="preserve"> 2.581.239.656 </w:t>
            </w:r>
          </w:p>
        </w:tc>
        <w:tc>
          <w:tcPr>
            <w:tcW w:w="653" w:type="pct"/>
            <w:tcBorders>
              <w:top w:val="single" w:sz="4" w:space="0" w:color="auto"/>
              <w:left w:val="single" w:sz="4" w:space="0" w:color="auto"/>
              <w:bottom w:val="single" w:sz="4" w:space="0" w:color="auto"/>
              <w:right w:val="single" w:sz="4" w:space="0" w:color="auto"/>
            </w:tcBorders>
            <w:shd w:val="clear" w:color="000000" w:fill="E5E5FF"/>
            <w:vAlign w:val="center"/>
            <w:hideMark/>
          </w:tcPr>
          <w:p w14:paraId="7E458F6A" w14:textId="77777777" w:rsidR="00CD5A96" w:rsidRPr="00FB27C3" w:rsidRDefault="00CD5A96">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 xml:space="preserve"> 2.665.867.399 </w:t>
            </w:r>
          </w:p>
        </w:tc>
        <w:tc>
          <w:tcPr>
            <w:tcW w:w="653" w:type="pct"/>
            <w:tcBorders>
              <w:top w:val="single" w:sz="4" w:space="0" w:color="auto"/>
              <w:left w:val="single" w:sz="4" w:space="0" w:color="auto"/>
              <w:bottom w:val="single" w:sz="4" w:space="0" w:color="auto"/>
              <w:right w:val="single" w:sz="4" w:space="0" w:color="auto"/>
            </w:tcBorders>
            <w:shd w:val="clear" w:color="000000" w:fill="E5E5FF"/>
            <w:vAlign w:val="center"/>
            <w:hideMark/>
          </w:tcPr>
          <w:p w14:paraId="4D9BE153" w14:textId="77777777" w:rsidR="00CD5A96" w:rsidRPr="00FB27C3" w:rsidRDefault="00CD5A96">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 xml:space="preserve"> 2.665.867.399 </w:t>
            </w:r>
          </w:p>
        </w:tc>
        <w:tc>
          <w:tcPr>
            <w:tcW w:w="653" w:type="pct"/>
            <w:tcBorders>
              <w:top w:val="single" w:sz="4" w:space="0" w:color="auto"/>
              <w:left w:val="single" w:sz="4" w:space="0" w:color="auto"/>
              <w:bottom w:val="single" w:sz="4" w:space="0" w:color="auto"/>
              <w:right w:val="single" w:sz="4" w:space="0" w:color="auto"/>
            </w:tcBorders>
            <w:shd w:val="clear" w:color="000000" w:fill="E5E5FF"/>
            <w:vAlign w:val="center"/>
            <w:hideMark/>
          </w:tcPr>
          <w:p w14:paraId="702004E4" w14:textId="77777777" w:rsidR="00CD5A96" w:rsidRPr="00FB27C3" w:rsidRDefault="00CD5A96">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 xml:space="preserve"> 2.592.212.781 </w:t>
            </w:r>
          </w:p>
        </w:tc>
        <w:tc>
          <w:tcPr>
            <w:tcW w:w="653" w:type="pct"/>
            <w:tcBorders>
              <w:top w:val="single" w:sz="4" w:space="0" w:color="auto"/>
              <w:left w:val="single" w:sz="4" w:space="0" w:color="auto"/>
              <w:bottom w:val="single" w:sz="4" w:space="0" w:color="auto"/>
              <w:right w:val="single" w:sz="4" w:space="0" w:color="auto"/>
            </w:tcBorders>
            <w:shd w:val="clear" w:color="000000" w:fill="E5E5FF"/>
            <w:vAlign w:val="center"/>
            <w:hideMark/>
          </w:tcPr>
          <w:p w14:paraId="17689392" w14:textId="77777777" w:rsidR="00CD5A96" w:rsidRPr="00FB27C3" w:rsidRDefault="00CD5A96">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 xml:space="preserve"> 2.592.212.781 </w:t>
            </w:r>
          </w:p>
        </w:tc>
      </w:tr>
      <w:tr w:rsidR="00CD5A96" w:rsidRPr="00E16BEF" w14:paraId="60583262" w14:textId="77777777" w:rsidTr="00594449">
        <w:trPr>
          <w:trHeight w:val="500"/>
          <w:jc w:val="center"/>
        </w:trPr>
        <w:tc>
          <w:tcPr>
            <w:tcW w:w="1082" w:type="pct"/>
            <w:tcBorders>
              <w:top w:val="single" w:sz="4" w:space="0" w:color="auto"/>
              <w:left w:val="single" w:sz="4" w:space="0" w:color="auto"/>
              <w:bottom w:val="single" w:sz="4" w:space="0" w:color="auto"/>
              <w:right w:val="single" w:sz="4" w:space="0" w:color="auto"/>
            </w:tcBorders>
            <w:noWrap/>
            <w:vAlign w:val="center"/>
            <w:hideMark/>
          </w:tcPr>
          <w:p w14:paraId="5B4AC8A0" w14:textId="77777777" w:rsidR="00CD5A96" w:rsidRPr="00FB27C3" w:rsidRDefault="00CD5A96"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1.1. Libre Destinación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5EFF7B83"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1.036.872.694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0A32452F"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1.125.531.934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4594C177"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1.138.572.465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76CEBE34"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1.138.572.465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7463D822"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1.088.729.369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35678B4F"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1.088.729.369 </w:t>
            </w:r>
          </w:p>
        </w:tc>
      </w:tr>
      <w:tr w:rsidR="00CD5A96" w:rsidRPr="00E16BEF" w14:paraId="48641667" w14:textId="77777777" w:rsidTr="00594449">
        <w:trPr>
          <w:trHeight w:val="500"/>
          <w:jc w:val="center"/>
        </w:trPr>
        <w:tc>
          <w:tcPr>
            <w:tcW w:w="1082" w:type="pct"/>
            <w:tcBorders>
              <w:top w:val="single" w:sz="4" w:space="0" w:color="auto"/>
              <w:left w:val="single" w:sz="4" w:space="0" w:color="auto"/>
              <w:bottom w:val="single" w:sz="4" w:space="0" w:color="auto"/>
              <w:right w:val="single" w:sz="4" w:space="0" w:color="auto"/>
            </w:tcBorders>
            <w:noWrap/>
            <w:vAlign w:val="center"/>
            <w:hideMark/>
          </w:tcPr>
          <w:p w14:paraId="3291CDE4" w14:textId="77777777" w:rsidR="00CD5A96" w:rsidRPr="00FB27C3" w:rsidRDefault="00CD5A96"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1.2. Libre Inversión</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1E947A13"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1.314.660.989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411BE100"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1.344.876.928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65939C62"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1.452.925.954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6AE33E34"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1.452.925.954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2AD65298"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1.303.490.150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7B2B54E0"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1.303.490.150 </w:t>
            </w:r>
          </w:p>
        </w:tc>
      </w:tr>
      <w:tr w:rsidR="00CD5A96" w:rsidRPr="00E16BEF" w14:paraId="75C2701F" w14:textId="77777777" w:rsidTr="00594449">
        <w:trPr>
          <w:trHeight w:val="271"/>
          <w:jc w:val="center"/>
        </w:trPr>
        <w:tc>
          <w:tcPr>
            <w:tcW w:w="1082" w:type="pct"/>
            <w:tcBorders>
              <w:top w:val="single" w:sz="4" w:space="0" w:color="auto"/>
              <w:left w:val="single" w:sz="4" w:space="0" w:color="auto"/>
              <w:bottom w:val="single" w:sz="4" w:space="0" w:color="auto"/>
              <w:right w:val="single" w:sz="4" w:space="0" w:color="auto"/>
            </w:tcBorders>
            <w:noWrap/>
            <w:vAlign w:val="center"/>
            <w:hideMark/>
          </w:tcPr>
          <w:p w14:paraId="42BC3F2A" w14:textId="77777777" w:rsidR="00CD5A96" w:rsidRPr="00FB27C3" w:rsidRDefault="00CD5A96"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1.3. Deporte y Recreación</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4AD00E9E"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58.697.842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2ACD8D81"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63.331.882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2ABA59FE"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42.496.560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4A1B2DBB"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42.496.560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0FB62B37"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114.281.864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5AA48D02"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114.281.864 </w:t>
            </w:r>
          </w:p>
        </w:tc>
      </w:tr>
      <w:tr w:rsidR="00CD5A96" w:rsidRPr="00E16BEF" w14:paraId="499B5817" w14:textId="77777777" w:rsidTr="00594449">
        <w:trPr>
          <w:trHeight w:val="500"/>
          <w:jc w:val="center"/>
        </w:trPr>
        <w:tc>
          <w:tcPr>
            <w:tcW w:w="1082" w:type="pct"/>
            <w:tcBorders>
              <w:top w:val="single" w:sz="4" w:space="0" w:color="auto"/>
              <w:left w:val="single" w:sz="4" w:space="0" w:color="auto"/>
              <w:bottom w:val="single" w:sz="4" w:space="0" w:color="auto"/>
              <w:right w:val="single" w:sz="4" w:space="0" w:color="auto"/>
            </w:tcBorders>
            <w:noWrap/>
            <w:vAlign w:val="center"/>
            <w:hideMark/>
          </w:tcPr>
          <w:p w14:paraId="3F5452C4" w14:textId="77777777" w:rsidR="00CD5A96" w:rsidRPr="00FB27C3" w:rsidRDefault="00CD5A96"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1.4. Cultura</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20F80CA3"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44.023.382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67097E1D"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47.498.912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72380183"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31.872.420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699EFCC4"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31.872.420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1353E6EA"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85.711.398 </w:t>
            </w:r>
          </w:p>
        </w:tc>
        <w:tc>
          <w:tcPr>
            <w:tcW w:w="653" w:type="pct"/>
            <w:tcBorders>
              <w:top w:val="single" w:sz="4" w:space="0" w:color="auto"/>
              <w:left w:val="single" w:sz="4" w:space="0" w:color="auto"/>
              <w:bottom w:val="single" w:sz="4" w:space="0" w:color="auto"/>
              <w:right w:val="single" w:sz="4" w:space="0" w:color="auto"/>
            </w:tcBorders>
            <w:noWrap/>
            <w:vAlign w:val="center"/>
            <w:hideMark/>
          </w:tcPr>
          <w:p w14:paraId="14CE4E37" w14:textId="77777777" w:rsidR="00CD5A96" w:rsidRPr="00FB27C3" w:rsidRDefault="00CD5A96">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 85.711.398 </w:t>
            </w:r>
          </w:p>
        </w:tc>
      </w:tr>
    </w:tbl>
    <w:p w14:paraId="678F4877" w14:textId="77777777" w:rsidR="00CD5A96" w:rsidRDefault="00CD5A96" w:rsidP="00286F4A">
      <w:pPr>
        <w:spacing w:line="240" w:lineRule="auto"/>
        <w:contextualSpacing/>
        <w:jc w:val="center"/>
        <w:rPr>
          <w:rFonts w:cs="Arial"/>
          <w:color w:val="000000"/>
          <w:sz w:val="16"/>
          <w:szCs w:val="16"/>
        </w:rPr>
      </w:pPr>
      <w:r w:rsidRPr="00FB27C3">
        <w:rPr>
          <w:rFonts w:cs="Arial"/>
          <w:color w:val="000000"/>
          <w:sz w:val="16"/>
          <w:szCs w:val="16"/>
        </w:rPr>
        <w:t xml:space="preserve">Elaboración DAF con base en las ejecuciones presupuestales de ingresos de la Entidad Territorial y los </w:t>
      </w:r>
      <w:r w:rsidR="00A74E6A">
        <w:rPr>
          <w:rFonts w:cs="Arial"/>
          <w:color w:val="000000"/>
          <w:sz w:val="16"/>
          <w:szCs w:val="16"/>
        </w:rPr>
        <w:t>D</w:t>
      </w:r>
      <w:r w:rsidRPr="00FB27C3">
        <w:rPr>
          <w:rFonts w:cs="Arial"/>
          <w:color w:val="000000"/>
          <w:sz w:val="16"/>
          <w:szCs w:val="16"/>
        </w:rPr>
        <w:t xml:space="preserve">ocumentos de </w:t>
      </w:r>
      <w:r w:rsidR="00A74E6A">
        <w:rPr>
          <w:rFonts w:cs="Arial"/>
          <w:color w:val="000000"/>
          <w:sz w:val="16"/>
          <w:szCs w:val="16"/>
        </w:rPr>
        <w:t>D</w:t>
      </w:r>
      <w:r w:rsidRPr="00FB27C3">
        <w:rPr>
          <w:rFonts w:cs="Arial"/>
          <w:color w:val="000000"/>
          <w:sz w:val="16"/>
          <w:szCs w:val="16"/>
        </w:rPr>
        <w:t>istribución SGP-23-2017, SGP-26-2018, SGP-33-2018, SGP-36-2019, SGP-39-2019, SGP-43-2020 y SAGP-48-2020.</w:t>
      </w:r>
    </w:p>
    <w:p w14:paraId="7EDBDC76" w14:textId="77777777" w:rsidR="00A74E6A" w:rsidRPr="00A77447" w:rsidRDefault="00A74E6A">
      <w:pPr>
        <w:spacing w:line="240" w:lineRule="auto"/>
        <w:contextualSpacing/>
        <w:rPr>
          <w:b/>
          <w:bCs/>
        </w:rPr>
      </w:pPr>
    </w:p>
    <w:p w14:paraId="53A595E6" w14:textId="77777777" w:rsidR="000123F7" w:rsidRDefault="000123F7">
      <w:pPr>
        <w:pStyle w:val="Prrafodelista"/>
        <w:numPr>
          <w:ilvl w:val="0"/>
          <w:numId w:val="6"/>
        </w:numPr>
        <w:spacing w:line="240" w:lineRule="auto"/>
        <w:rPr>
          <w:b/>
          <w:bCs/>
        </w:rPr>
      </w:pPr>
      <w:r>
        <w:rPr>
          <w:b/>
          <w:bCs/>
        </w:rPr>
        <w:t>Análisis presupuestal</w:t>
      </w:r>
      <w:r w:rsidR="00A74E6A">
        <w:rPr>
          <w:b/>
          <w:bCs/>
        </w:rPr>
        <w:t>.</w:t>
      </w:r>
    </w:p>
    <w:p w14:paraId="12747C4A" w14:textId="77777777" w:rsidR="00A74E6A" w:rsidRDefault="00A74E6A">
      <w:pPr>
        <w:spacing w:line="240" w:lineRule="auto"/>
        <w:contextualSpacing/>
        <w:jc w:val="both"/>
      </w:pPr>
    </w:p>
    <w:p w14:paraId="19D0CD4B" w14:textId="77777777" w:rsidR="008A7647" w:rsidRDefault="008A7647">
      <w:pPr>
        <w:spacing w:line="240" w:lineRule="auto"/>
        <w:contextualSpacing/>
        <w:jc w:val="both"/>
      </w:pPr>
      <w:r>
        <w:t>Los recursos de la Participación de Propósito General representan aproximadamente el 10</w:t>
      </w:r>
      <w:r w:rsidR="00A74E6A">
        <w:t xml:space="preserve"> </w:t>
      </w:r>
      <w:r>
        <w:t xml:space="preserve">% del presupuesto total del </w:t>
      </w:r>
      <w:r w:rsidR="00A74E6A">
        <w:t>M</w:t>
      </w:r>
      <w:r>
        <w:t xml:space="preserve">unicipio. </w:t>
      </w:r>
      <w:r w:rsidR="00800C2C">
        <w:t xml:space="preserve">Cabe resaltar que </w:t>
      </w:r>
      <w:r w:rsidR="00A74E6A">
        <w:t>la Entidad</w:t>
      </w:r>
      <w:r w:rsidR="00800C2C">
        <w:t xml:space="preserve"> maneja de manera separada en sus ejecuciones presupuestales los recursos provenientes de las 11 doceavas y los provenientes de la última doceava </w:t>
      </w:r>
      <w:r w:rsidR="005A67B2">
        <w:t xml:space="preserve">para cada vigencia, por lo cual para el presente informe se agregan estos componentes en un solo rubro. Además, </w:t>
      </w:r>
      <w:r w:rsidR="00D12D1E">
        <w:t>el</w:t>
      </w:r>
      <w:r w:rsidR="00D12D1E" w:rsidRPr="00D12D1E">
        <w:t xml:space="preserve"> </w:t>
      </w:r>
      <w:r w:rsidR="00A74E6A">
        <w:t>M</w:t>
      </w:r>
      <w:r w:rsidR="00D12D1E" w:rsidRPr="00D12D1E">
        <w:t>unicipio u</w:t>
      </w:r>
      <w:r w:rsidR="00D12D1E">
        <w:t>ti</w:t>
      </w:r>
      <w:r w:rsidR="00D12D1E" w:rsidRPr="00D12D1E">
        <w:t xml:space="preserve">liza en la ejecución de gastos dos cuentas para </w:t>
      </w:r>
      <w:r w:rsidR="00D12D1E">
        <w:t xml:space="preserve">registrar los </w:t>
      </w:r>
      <w:r w:rsidR="00D12D1E" w:rsidRPr="00D12D1E">
        <w:t>recursos del balance</w:t>
      </w:r>
      <w:r w:rsidR="006F2123">
        <w:t>:</w:t>
      </w:r>
      <w:r w:rsidR="00D12D1E" w:rsidRPr="00D12D1E">
        <w:t xml:space="preserve"> una denominada recursos del balance</w:t>
      </w:r>
      <w:r w:rsidR="00D12D1E">
        <w:t>,</w:t>
      </w:r>
      <w:r w:rsidR="00D12D1E" w:rsidRPr="00D12D1E">
        <w:t xml:space="preserve"> en donde se incluye el superávit </w:t>
      </w:r>
      <w:r w:rsidR="00D12D1E">
        <w:t xml:space="preserve">fiscal </w:t>
      </w:r>
      <w:r w:rsidR="00D12D1E" w:rsidRPr="00D12D1E">
        <w:t xml:space="preserve">y otra </w:t>
      </w:r>
      <w:r w:rsidR="00D12D1E">
        <w:t>denominada</w:t>
      </w:r>
      <w:r w:rsidR="00D12D1E" w:rsidRPr="00D12D1E">
        <w:t xml:space="preserve"> distribución de recursos del balance.</w:t>
      </w:r>
      <w:r w:rsidR="00D12D1E">
        <w:t xml:space="preserve"> </w:t>
      </w:r>
      <w:r w:rsidR="00D12D1E" w:rsidRPr="00D12D1E">
        <w:t>No es clara la diferencia</w:t>
      </w:r>
      <w:r w:rsidR="00D12D1E">
        <w:t xml:space="preserve"> entre estos dos </w:t>
      </w:r>
      <w:r w:rsidR="00877C8C">
        <w:t>rubros</w:t>
      </w:r>
      <w:r w:rsidR="00D12D1E" w:rsidRPr="00D12D1E">
        <w:t xml:space="preserve"> pues</w:t>
      </w:r>
      <w:r w:rsidR="00877C8C">
        <w:t>to que</w:t>
      </w:r>
      <w:r w:rsidR="00D12D1E" w:rsidRPr="00D12D1E">
        <w:t xml:space="preserve"> en </w:t>
      </w:r>
      <w:r w:rsidR="00877C8C">
        <w:t>ambos se pueden encontrar cuentas con información asociada a recursos de la Participación de Propósito General del Sistema General de Participaciones.</w:t>
      </w:r>
    </w:p>
    <w:p w14:paraId="7A6088BD" w14:textId="77777777" w:rsidR="00A74E6A" w:rsidRDefault="00A74E6A">
      <w:pPr>
        <w:spacing w:line="240" w:lineRule="auto"/>
        <w:contextualSpacing/>
        <w:jc w:val="both"/>
      </w:pPr>
    </w:p>
    <w:p w14:paraId="646ABA56" w14:textId="77777777" w:rsidR="00ED71EA" w:rsidRDefault="0050425A">
      <w:pPr>
        <w:spacing w:line="240" w:lineRule="auto"/>
        <w:contextualSpacing/>
        <w:jc w:val="both"/>
        <w:rPr>
          <w:lang w:val="es-CO"/>
        </w:rPr>
      </w:pPr>
      <w:r>
        <w:rPr>
          <w:lang w:val="es-CO"/>
        </w:rPr>
        <w:t xml:space="preserve">De acuerdo con la información contenida en las ejecuciones presupuestales, el </w:t>
      </w:r>
      <w:r w:rsidR="00C768F5">
        <w:rPr>
          <w:lang w:val="es-CO"/>
        </w:rPr>
        <w:t>M</w:t>
      </w:r>
      <w:r>
        <w:rPr>
          <w:lang w:val="es-CO"/>
        </w:rPr>
        <w:t xml:space="preserve">unicipio de Puerto Leguízamo – Putumayo </w:t>
      </w:r>
      <w:r w:rsidR="00F37774">
        <w:rPr>
          <w:lang w:val="es-CO"/>
        </w:rPr>
        <w:t>re</w:t>
      </w:r>
      <w:r w:rsidR="00711E9E">
        <w:rPr>
          <w:lang w:val="es-CO"/>
        </w:rPr>
        <w:t xml:space="preserve">caudó un total de </w:t>
      </w:r>
      <w:r w:rsidR="001A499F">
        <w:rPr>
          <w:lang w:val="es-CO"/>
        </w:rPr>
        <w:t xml:space="preserve">ingresos </w:t>
      </w:r>
      <w:r w:rsidR="00F951B4">
        <w:rPr>
          <w:lang w:val="es-CO"/>
        </w:rPr>
        <w:t xml:space="preserve">por concepto de </w:t>
      </w:r>
      <w:r w:rsidR="004F5333">
        <w:rPr>
          <w:lang w:val="es-CO"/>
        </w:rPr>
        <w:t xml:space="preserve">la Participación de Propósito </w:t>
      </w:r>
      <w:r w:rsidR="0085057F">
        <w:rPr>
          <w:lang w:val="es-CO"/>
        </w:rPr>
        <w:t xml:space="preserve">General </w:t>
      </w:r>
      <w:r w:rsidR="003E6229">
        <w:rPr>
          <w:lang w:val="es-CO"/>
        </w:rPr>
        <w:t>de $</w:t>
      </w:r>
      <w:r w:rsidR="003E6229" w:rsidRPr="003E6229">
        <w:rPr>
          <w:lang w:val="es-CO"/>
        </w:rPr>
        <w:t>2.667.517.145</w:t>
      </w:r>
      <w:r w:rsidR="003E6229">
        <w:rPr>
          <w:lang w:val="es-CO"/>
        </w:rPr>
        <w:t xml:space="preserve"> en </w:t>
      </w:r>
      <w:r w:rsidR="00417649">
        <w:rPr>
          <w:lang w:val="es-CO"/>
        </w:rPr>
        <w:t xml:space="preserve">2018, </w:t>
      </w:r>
      <w:r w:rsidR="007E34DC">
        <w:rPr>
          <w:lang w:val="es-CO"/>
        </w:rPr>
        <w:t>$</w:t>
      </w:r>
      <w:r w:rsidR="007E34DC" w:rsidRPr="007E34DC">
        <w:rPr>
          <w:lang w:val="es-CO"/>
        </w:rPr>
        <w:t>2.596.624.840</w:t>
      </w:r>
      <w:r w:rsidR="007E34DC">
        <w:rPr>
          <w:lang w:val="es-CO"/>
        </w:rPr>
        <w:t xml:space="preserve"> en 2019 y $</w:t>
      </w:r>
      <w:r w:rsidR="00B65FFE" w:rsidRPr="00B65FFE">
        <w:rPr>
          <w:lang w:val="es-CO"/>
        </w:rPr>
        <w:t>2.592.212.781</w:t>
      </w:r>
      <w:r w:rsidR="00B65FFE">
        <w:rPr>
          <w:lang w:val="es-CO"/>
        </w:rPr>
        <w:t xml:space="preserve"> en 2020</w:t>
      </w:r>
      <w:r w:rsidR="001B6E1C">
        <w:rPr>
          <w:lang w:val="es-CO"/>
        </w:rPr>
        <w:t xml:space="preserve">. </w:t>
      </w:r>
      <w:r w:rsidR="00225C8B" w:rsidRPr="00225C8B">
        <w:rPr>
          <w:lang w:val="es-CO"/>
        </w:rPr>
        <w:t>Del total de estos recursos, en promedio el 9</w:t>
      </w:r>
      <w:r w:rsidR="00B90224">
        <w:rPr>
          <w:lang w:val="es-CO"/>
        </w:rPr>
        <w:t>2</w:t>
      </w:r>
      <w:r w:rsidR="00C768F5">
        <w:rPr>
          <w:lang w:val="es-CO"/>
        </w:rPr>
        <w:t xml:space="preserve"> </w:t>
      </w:r>
      <w:r w:rsidR="00225C8B" w:rsidRPr="00225C8B">
        <w:rPr>
          <w:lang w:val="es-CO"/>
        </w:rPr>
        <w:t xml:space="preserve">% corresponde a ingresos corrientes y el </w:t>
      </w:r>
      <w:r w:rsidR="00B90224">
        <w:rPr>
          <w:lang w:val="es-CO"/>
        </w:rPr>
        <w:t>8</w:t>
      </w:r>
      <w:r w:rsidR="00C768F5">
        <w:rPr>
          <w:lang w:val="es-CO"/>
        </w:rPr>
        <w:t xml:space="preserve"> </w:t>
      </w:r>
      <w:r w:rsidR="00225C8B" w:rsidRPr="00225C8B">
        <w:rPr>
          <w:lang w:val="es-CO"/>
        </w:rPr>
        <w:t>% restante a recursos de capital.</w:t>
      </w:r>
    </w:p>
    <w:p w14:paraId="6D7B62DC" w14:textId="77777777" w:rsidR="00B6513B" w:rsidRDefault="00B6513B">
      <w:pPr>
        <w:rPr>
          <w:rFonts w:ascii="Times New Roman" w:eastAsia="Times New Roman" w:hAnsi="Times New Roman" w:cs="Times New Roman"/>
          <w:sz w:val="24"/>
          <w:szCs w:val="24"/>
          <w:lang w:val="es-CO" w:eastAsia="es-CO"/>
        </w:rPr>
      </w:pPr>
      <w:r>
        <w:br w:type="page"/>
      </w:r>
    </w:p>
    <w:p w14:paraId="318C8829" w14:textId="77777777" w:rsidR="008E1565" w:rsidRPr="005C38C0" w:rsidRDefault="008E1565">
      <w:pPr>
        <w:pStyle w:val="NormalWeb"/>
        <w:spacing w:before="0" w:beforeAutospacing="0" w:after="0" w:afterAutospacing="0"/>
        <w:contextualSpacing/>
        <w:jc w:val="center"/>
        <w:rPr>
          <w:rFonts w:ascii="Arial" w:hAnsi="Arial" w:cs="Arial"/>
          <w:b/>
          <w:bCs/>
          <w:color w:val="000000"/>
          <w:sz w:val="20"/>
          <w:szCs w:val="20"/>
        </w:rPr>
      </w:pPr>
      <w:r w:rsidRPr="005C38C0">
        <w:rPr>
          <w:rFonts w:ascii="Arial" w:hAnsi="Arial" w:cs="Arial"/>
          <w:b/>
          <w:bCs/>
          <w:color w:val="000000"/>
          <w:sz w:val="20"/>
          <w:szCs w:val="20"/>
        </w:rPr>
        <w:lastRenderedPageBreak/>
        <w:t xml:space="preserve">Cuadro No. </w:t>
      </w:r>
      <w:r w:rsidR="0066565A">
        <w:rPr>
          <w:rFonts w:ascii="Arial" w:hAnsi="Arial" w:cs="Arial"/>
          <w:b/>
          <w:bCs/>
          <w:color w:val="000000"/>
          <w:sz w:val="20"/>
          <w:szCs w:val="20"/>
        </w:rPr>
        <w:t>3</w:t>
      </w:r>
    </w:p>
    <w:p w14:paraId="775058A5" w14:textId="77777777" w:rsidR="008E1565" w:rsidRPr="005C38C0" w:rsidRDefault="008E1565">
      <w:pPr>
        <w:pStyle w:val="NormalWeb"/>
        <w:spacing w:before="0" w:beforeAutospacing="0" w:after="0" w:afterAutospacing="0"/>
        <w:contextualSpacing/>
        <w:jc w:val="center"/>
        <w:rPr>
          <w:rFonts w:ascii="Arial" w:hAnsi="Arial" w:cs="Arial"/>
          <w:color w:val="000000"/>
          <w:sz w:val="20"/>
          <w:szCs w:val="20"/>
        </w:rPr>
      </w:pPr>
      <w:r w:rsidRPr="005C38C0">
        <w:rPr>
          <w:rFonts w:ascii="Arial" w:hAnsi="Arial" w:cs="Arial"/>
          <w:color w:val="000000"/>
          <w:sz w:val="20"/>
          <w:szCs w:val="20"/>
        </w:rPr>
        <w:t>Análisis de ingresos</w:t>
      </w:r>
    </w:p>
    <w:p w14:paraId="6065A448" w14:textId="77777777" w:rsidR="008E1565" w:rsidRPr="008E1565" w:rsidRDefault="008E1565">
      <w:pPr>
        <w:spacing w:after="0" w:line="240" w:lineRule="auto"/>
        <w:contextualSpacing/>
        <w:jc w:val="center"/>
        <w:rPr>
          <w:sz w:val="20"/>
          <w:szCs w:val="20"/>
          <w:lang w:val="es-CO"/>
        </w:rPr>
      </w:pPr>
      <w:r w:rsidRPr="008E1565">
        <w:rPr>
          <w:sz w:val="20"/>
          <w:szCs w:val="20"/>
          <w:lang w:val="es-CO"/>
        </w:rPr>
        <w:t>Municipio de Puerto Leguízamo - Putumayo</w:t>
      </w:r>
    </w:p>
    <w:tbl>
      <w:tblPr>
        <w:tblW w:w="5404" w:type="pct"/>
        <w:jc w:val="center"/>
        <w:tblCellMar>
          <w:left w:w="70" w:type="dxa"/>
          <w:right w:w="70" w:type="dxa"/>
        </w:tblCellMar>
        <w:tblLook w:val="04A0" w:firstRow="1" w:lastRow="0" w:firstColumn="1" w:lastColumn="0" w:noHBand="0" w:noVBand="1"/>
      </w:tblPr>
      <w:tblGrid>
        <w:gridCol w:w="2044"/>
        <w:gridCol w:w="1190"/>
        <w:gridCol w:w="1190"/>
        <w:gridCol w:w="1190"/>
        <w:gridCol w:w="1190"/>
        <w:gridCol w:w="1190"/>
        <w:gridCol w:w="1186"/>
      </w:tblGrid>
      <w:tr w:rsidR="00565DF7" w:rsidRPr="00E16BEF" w14:paraId="0BF0F6E6" w14:textId="77777777" w:rsidTr="00FB2028">
        <w:trPr>
          <w:trHeight w:val="2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365C3F30"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 xml:space="preserve">Sector Propósito General </w:t>
            </w:r>
            <w:r w:rsidRPr="00FB27C3">
              <w:rPr>
                <w:rFonts w:ascii="Arial Narrow" w:eastAsia="Times New Roman" w:hAnsi="Arial Narrow" w:cs="Calibri"/>
                <w:b/>
                <w:bCs/>
                <w:i/>
                <w:iCs/>
                <w:color w:val="FFFFFF"/>
                <w:sz w:val="18"/>
                <w:szCs w:val="18"/>
                <w:lang w:val="es-CO" w:eastAsia="es-CO"/>
              </w:rPr>
              <w:t>(cifras en pesos)</w:t>
            </w:r>
          </w:p>
        </w:tc>
      </w:tr>
      <w:tr w:rsidR="00565DF7" w:rsidRPr="00E16BEF" w14:paraId="5B96BF20" w14:textId="77777777" w:rsidTr="00FB2028">
        <w:trPr>
          <w:trHeight w:val="227"/>
          <w:jc w:val="center"/>
        </w:trPr>
        <w:tc>
          <w:tcPr>
            <w:tcW w:w="1114" w:type="pct"/>
            <w:vMerge w:val="restart"/>
            <w:tcBorders>
              <w:top w:val="nil"/>
              <w:left w:val="single" w:sz="4" w:space="0" w:color="auto"/>
              <w:bottom w:val="single" w:sz="4" w:space="0" w:color="auto"/>
              <w:right w:val="single" w:sz="4" w:space="0" w:color="auto"/>
            </w:tcBorders>
            <w:shd w:val="clear" w:color="000000" w:fill="666699"/>
            <w:vAlign w:val="center"/>
            <w:hideMark/>
          </w:tcPr>
          <w:p w14:paraId="363C7C98" w14:textId="77777777" w:rsidR="00565DF7" w:rsidRPr="00FB27C3" w:rsidRDefault="00565DF7"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Conceptos</w:t>
            </w:r>
          </w:p>
        </w:tc>
        <w:tc>
          <w:tcPr>
            <w:tcW w:w="1295" w:type="pct"/>
            <w:gridSpan w:val="2"/>
            <w:tcBorders>
              <w:top w:val="single" w:sz="4" w:space="0" w:color="auto"/>
              <w:left w:val="nil"/>
              <w:bottom w:val="single" w:sz="4" w:space="0" w:color="auto"/>
              <w:right w:val="single" w:sz="4" w:space="0" w:color="auto"/>
            </w:tcBorders>
            <w:shd w:val="clear" w:color="000000" w:fill="666699"/>
            <w:noWrap/>
            <w:vAlign w:val="center"/>
            <w:hideMark/>
          </w:tcPr>
          <w:p w14:paraId="49849F0C"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2018</w:t>
            </w:r>
          </w:p>
        </w:tc>
        <w:tc>
          <w:tcPr>
            <w:tcW w:w="1295" w:type="pct"/>
            <w:gridSpan w:val="2"/>
            <w:tcBorders>
              <w:top w:val="single" w:sz="4" w:space="0" w:color="auto"/>
              <w:left w:val="nil"/>
              <w:bottom w:val="single" w:sz="4" w:space="0" w:color="auto"/>
              <w:right w:val="single" w:sz="4" w:space="0" w:color="auto"/>
            </w:tcBorders>
            <w:shd w:val="clear" w:color="000000" w:fill="666699"/>
            <w:vAlign w:val="center"/>
            <w:hideMark/>
          </w:tcPr>
          <w:p w14:paraId="7FD6624D"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2019</w:t>
            </w:r>
          </w:p>
        </w:tc>
        <w:tc>
          <w:tcPr>
            <w:tcW w:w="1295" w:type="pct"/>
            <w:gridSpan w:val="2"/>
            <w:tcBorders>
              <w:top w:val="single" w:sz="4" w:space="0" w:color="auto"/>
              <w:left w:val="nil"/>
              <w:bottom w:val="single" w:sz="4" w:space="0" w:color="auto"/>
              <w:right w:val="single" w:sz="4" w:space="0" w:color="auto"/>
            </w:tcBorders>
            <w:shd w:val="clear" w:color="000000" w:fill="666699"/>
            <w:vAlign w:val="center"/>
            <w:hideMark/>
          </w:tcPr>
          <w:p w14:paraId="5E862718"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2020</w:t>
            </w:r>
          </w:p>
        </w:tc>
      </w:tr>
      <w:tr w:rsidR="00565DF7" w:rsidRPr="00E16BEF" w14:paraId="338A7C91" w14:textId="77777777" w:rsidTr="00FB2028">
        <w:trPr>
          <w:trHeight w:val="618"/>
          <w:jc w:val="center"/>
        </w:trPr>
        <w:tc>
          <w:tcPr>
            <w:tcW w:w="1114" w:type="pct"/>
            <w:vMerge/>
            <w:tcBorders>
              <w:top w:val="nil"/>
              <w:left w:val="single" w:sz="4" w:space="0" w:color="auto"/>
              <w:bottom w:val="single" w:sz="4" w:space="0" w:color="auto"/>
              <w:right w:val="single" w:sz="4" w:space="0" w:color="auto"/>
            </w:tcBorders>
            <w:vAlign w:val="center"/>
            <w:hideMark/>
          </w:tcPr>
          <w:p w14:paraId="412F0EAF" w14:textId="77777777" w:rsidR="00565DF7" w:rsidRPr="00FB27C3" w:rsidRDefault="00565DF7">
            <w:pPr>
              <w:spacing w:after="0" w:line="240" w:lineRule="auto"/>
              <w:contextualSpacing/>
              <w:rPr>
                <w:rFonts w:ascii="Arial Narrow" w:eastAsia="Times New Roman" w:hAnsi="Arial Narrow" w:cs="Calibri"/>
                <w:b/>
                <w:bCs/>
                <w:color w:val="FFFFFF"/>
                <w:sz w:val="18"/>
                <w:szCs w:val="18"/>
                <w:lang w:val="es-CO" w:eastAsia="es-CO"/>
              </w:rPr>
            </w:pPr>
          </w:p>
        </w:tc>
        <w:tc>
          <w:tcPr>
            <w:tcW w:w="648" w:type="pct"/>
            <w:tcBorders>
              <w:top w:val="nil"/>
              <w:left w:val="nil"/>
              <w:bottom w:val="single" w:sz="4" w:space="0" w:color="auto"/>
              <w:right w:val="single" w:sz="4" w:space="0" w:color="auto"/>
            </w:tcBorders>
            <w:shd w:val="clear" w:color="000000" w:fill="666699"/>
            <w:vAlign w:val="center"/>
            <w:hideMark/>
          </w:tcPr>
          <w:p w14:paraId="4553242B"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Presupuesto definitivo</w:t>
            </w:r>
          </w:p>
        </w:tc>
        <w:tc>
          <w:tcPr>
            <w:tcW w:w="648" w:type="pct"/>
            <w:tcBorders>
              <w:top w:val="nil"/>
              <w:left w:val="nil"/>
              <w:bottom w:val="single" w:sz="4" w:space="0" w:color="auto"/>
              <w:right w:val="single" w:sz="4" w:space="0" w:color="auto"/>
            </w:tcBorders>
            <w:shd w:val="clear" w:color="000000" w:fill="666699"/>
            <w:noWrap/>
            <w:vAlign w:val="center"/>
            <w:hideMark/>
          </w:tcPr>
          <w:p w14:paraId="219F623C"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Recaudo</w:t>
            </w:r>
          </w:p>
        </w:tc>
        <w:tc>
          <w:tcPr>
            <w:tcW w:w="648" w:type="pct"/>
            <w:tcBorders>
              <w:top w:val="nil"/>
              <w:left w:val="nil"/>
              <w:bottom w:val="single" w:sz="4" w:space="0" w:color="auto"/>
              <w:right w:val="single" w:sz="4" w:space="0" w:color="auto"/>
            </w:tcBorders>
            <w:shd w:val="clear" w:color="000000" w:fill="666699"/>
            <w:vAlign w:val="center"/>
            <w:hideMark/>
          </w:tcPr>
          <w:p w14:paraId="7A885EC0"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Presupuesto definitivo</w:t>
            </w:r>
          </w:p>
        </w:tc>
        <w:tc>
          <w:tcPr>
            <w:tcW w:w="648" w:type="pct"/>
            <w:tcBorders>
              <w:top w:val="nil"/>
              <w:left w:val="nil"/>
              <w:bottom w:val="single" w:sz="4" w:space="0" w:color="auto"/>
              <w:right w:val="single" w:sz="4" w:space="0" w:color="auto"/>
            </w:tcBorders>
            <w:shd w:val="clear" w:color="000000" w:fill="666699"/>
            <w:vAlign w:val="center"/>
            <w:hideMark/>
          </w:tcPr>
          <w:p w14:paraId="5CA7EC7A"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Recaudo</w:t>
            </w:r>
          </w:p>
        </w:tc>
        <w:tc>
          <w:tcPr>
            <w:tcW w:w="648" w:type="pct"/>
            <w:tcBorders>
              <w:top w:val="nil"/>
              <w:left w:val="nil"/>
              <w:bottom w:val="single" w:sz="4" w:space="0" w:color="auto"/>
              <w:right w:val="single" w:sz="4" w:space="0" w:color="auto"/>
            </w:tcBorders>
            <w:shd w:val="clear" w:color="000000" w:fill="666699"/>
            <w:vAlign w:val="center"/>
            <w:hideMark/>
          </w:tcPr>
          <w:p w14:paraId="3127E08F"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Presupuesto definitivo</w:t>
            </w:r>
          </w:p>
        </w:tc>
        <w:tc>
          <w:tcPr>
            <w:tcW w:w="648" w:type="pct"/>
            <w:tcBorders>
              <w:top w:val="nil"/>
              <w:left w:val="nil"/>
              <w:bottom w:val="single" w:sz="4" w:space="0" w:color="auto"/>
              <w:right w:val="single" w:sz="4" w:space="0" w:color="auto"/>
            </w:tcBorders>
            <w:shd w:val="clear" w:color="000000" w:fill="666699"/>
            <w:vAlign w:val="center"/>
            <w:hideMark/>
          </w:tcPr>
          <w:p w14:paraId="61DE986D"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Recaudo</w:t>
            </w:r>
          </w:p>
        </w:tc>
      </w:tr>
      <w:tr w:rsidR="00565DF7" w:rsidRPr="00E16BEF" w14:paraId="7BA174D9" w14:textId="77777777" w:rsidTr="00FB2028">
        <w:trPr>
          <w:trHeight w:val="208"/>
          <w:jc w:val="center"/>
        </w:trPr>
        <w:tc>
          <w:tcPr>
            <w:tcW w:w="1114" w:type="pct"/>
            <w:tcBorders>
              <w:top w:val="nil"/>
              <w:left w:val="single" w:sz="4" w:space="0" w:color="auto"/>
              <w:bottom w:val="single" w:sz="4" w:space="0" w:color="auto"/>
              <w:right w:val="single" w:sz="4" w:space="0" w:color="auto"/>
            </w:tcBorders>
            <w:shd w:val="clear" w:color="000000" w:fill="666699"/>
            <w:vAlign w:val="center"/>
            <w:hideMark/>
          </w:tcPr>
          <w:p w14:paraId="62D9A0E3" w14:textId="77777777" w:rsidR="00565DF7" w:rsidRPr="00FB27C3" w:rsidRDefault="00565DF7"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Propósito General</w:t>
            </w:r>
          </w:p>
        </w:tc>
        <w:tc>
          <w:tcPr>
            <w:tcW w:w="648" w:type="pct"/>
            <w:tcBorders>
              <w:top w:val="nil"/>
              <w:left w:val="nil"/>
              <w:bottom w:val="single" w:sz="4" w:space="0" w:color="auto"/>
              <w:right w:val="single" w:sz="4" w:space="0" w:color="auto"/>
            </w:tcBorders>
            <w:shd w:val="clear" w:color="000000" w:fill="666699"/>
            <w:vAlign w:val="center"/>
            <w:hideMark/>
          </w:tcPr>
          <w:p w14:paraId="51FE18FA"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2.880.919.704</w:t>
            </w:r>
          </w:p>
        </w:tc>
        <w:tc>
          <w:tcPr>
            <w:tcW w:w="648" w:type="pct"/>
            <w:tcBorders>
              <w:top w:val="nil"/>
              <w:left w:val="nil"/>
              <w:bottom w:val="single" w:sz="4" w:space="0" w:color="auto"/>
              <w:right w:val="single" w:sz="4" w:space="0" w:color="auto"/>
            </w:tcBorders>
            <w:shd w:val="clear" w:color="000000" w:fill="666699"/>
            <w:vAlign w:val="center"/>
            <w:hideMark/>
          </w:tcPr>
          <w:p w14:paraId="1C1119F8" w14:textId="77777777" w:rsidR="00565DF7" w:rsidRPr="00FB27C3" w:rsidRDefault="00351C9D">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2.753.934.551</w:t>
            </w:r>
          </w:p>
        </w:tc>
        <w:tc>
          <w:tcPr>
            <w:tcW w:w="648" w:type="pct"/>
            <w:tcBorders>
              <w:top w:val="nil"/>
              <w:left w:val="nil"/>
              <w:bottom w:val="single" w:sz="4" w:space="0" w:color="auto"/>
              <w:right w:val="single" w:sz="4" w:space="0" w:color="auto"/>
            </w:tcBorders>
            <w:shd w:val="clear" w:color="000000" w:fill="666699"/>
            <w:vAlign w:val="center"/>
            <w:hideMark/>
          </w:tcPr>
          <w:p w14:paraId="571E0F31"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2.819.576.234</w:t>
            </w:r>
          </w:p>
        </w:tc>
        <w:tc>
          <w:tcPr>
            <w:tcW w:w="648" w:type="pct"/>
            <w:tcBorders>
              <w:top w:val="nil"/>
              <w:left w:val="nil"/>
              <w:bottom w:val="single" w:sz="4" w:space="0" w:color="auto"/>
              <w:right w:val="single" w:sz="4" w:space="0" w:color="auto"/>
            </w:tcBorders>
            <w:shd w:val="clear" w:color="000000" w:fill="666699"/>
            <w:vAlign w:val="center"/>
            <w:hideMark/>
          </w:tcPr>
          <w:p w14:paraId="3739AB4F"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2.596.624.840</w:t>
            </w:r>
          </w:p>
        </w:tc>
        <w:tc>
          <w:tcPr>
            <w:tcW w:w="648" w:type="pct"/>
            <w:tcBorders>
              <w:top w:val="nil"/>
              <w:left w:val="nil"/>
              <w:bottom w:val="single" w:sz="4" w:space="0" w:color="auto"/>
              <w:right w:val="single" w:sz="4" w:space="0" w:color="auto"/>
            </w:tcBorders>
            <w:shd w:val="clear" w:color="000000" w:fill="666699"/>
            <w:vAlign w:val="center"/>
            <w:hideMark/>
          </w:tcPr>
          <w:p w14:paraId="3A6DCDBE"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2.746.706.138</w:t>
            </w:r>
          </w:p>
        </w:tc>
        <w:tc>
          <w:tcPr>
            <w:tcW w:w="648" w:type="pct"/>
            <w:tcBorders>
              <w:top w:val="nil"/>
              <w:left w:val="nil"/>
              <w:bottom w:val="single" w:sz="4" w:space="0" w:color="auto"/>
              <w:right w:val="single" w:sz="4" w:space="0" w:color="auto"/>
            </w:tcBorders>
            <w:shd w:val="clear" w:color="000000" w:fill="666699"/>
            <w:vAlign w:val="center"/>
            <w:hideMark/>
          </w:tcPr>
          <w:p w14:paraId="217AB5E9" w14:textId="77777777" w:rsidR="00565DF7" w:rsidRPr="00FB27C3" w:rsidRDefault="00565DF7">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2.592.212.781</w:t>
            </w:r>
          </w:p>
        </w:tc>
      </w:tr>
      <w:tr w:rsidR="00565DF7" w:rsidRPr="00E16BEF" w14:paraId="0B335347" w14:textId="77777777" w:rsidTr="00FB2028">
        <w:trPr>
          <w:trHeight w:val="382"/>
          <w:jc w:val="center"/>
        </w:trPr>
        <w:tc>
          <w:tcPr>
            <w:tcW w:w="1114" w:type="pct"/>
            <w:tcBorders>
              <w:top w:val="nil"/>
              <w:left w:val="single" w:sz="4" w:space="0" w:color="auto"/>
              <w:bottom w:val="single" w:sz="4" w:space="0" w:color="auto"/>
              <w:right w:val="single" w:sz="4" w:space="0" w:color="auto"/>
            </w:tcBorders>
            <w:shd w:val="clear" w:color="000000" w:fill="CCCCFF"/>
            <w:vAlign w:val="center"/>
            <w:hideMark/>
          </w:tcPr>
          <w:p w14:paraId="7C0C946D" w14:textId="77777777" w:rsidR="00565DF7" w:rsidRPr="00FB27C3" w:rsidRDefault="00565DF7" w:rsidP="00286F4A">
            <w:pPr>
              <w:spacing w:after="0" w:line="240" w:lineRule="auto"/>
              <w:contextualSpacing/>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1. Ingresos Corrientes</w:t>
            </w:r>
          </w:p>
        </w:tc>
        <w:tc>
          <w:tcPr>
            <w:tcW w:w="648" w:type="pct"/>
            <w:tcBorders>
              <w:top w:val="nil"/>
              <w:left w:val="nil"/>
              <w:bottom w:val="single" w:sz="4" w:space="0" w:color="auto"/>
              <w:right w:val="single" w:sz="4" w:space="0" w:color="auto"/>
            </w:tcBorders>
            <w:shd w:val="clear" w:color="000000" w:fill="CCCCFF"/>
            <w:vAlign w:val="center"/>
            <w:hideMark/>
          </w:tcPr>
          <w:p w14:paraId="09A71382"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2.581.239.656</w:t>
            </w:r>
          </w:p>
        </w:tc>
        <w:tc>
          <w:tcPr>
            <w:tcW w:w="648" w:type="pct"/>
            <w:tcBorders>
              <w:top w:val="nil"/>
              <w:left w:val="nil"/>
              <w:bottom w:val="single" w:sz="4" w:space="0" w:color="auto"/>
              <w:right w:val="single" w:sz="4" w:space="0" w:color="auto"/>
            </w:tcBorders>
            <w:shd w:val="clear" w:color="000000" w:fill="CCCCFF"/>
            <w:vAlign w:val="center"/>
            <w:hideMark/>
          </w:tcPr>
          <w:p w14:paraId="69A42A15" w14:textId="77777777" w:rsidR="00565DF7" w:rsidRPr="00FB27C3" w:rsidRDefault="000F5E7E">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2.454.254.503</w:t>
            </w:r>
          </w:p>
        </w:tc>
        <w:tc>
          <w:tcPr>
            <w:tcW w:w="648" w:type="pct"/>
            <w:tcBorders>
              <w:top w:val="nil"/>
              <w:left w:val="nil"/>
              <w:bottom w:val="single" w:sz="4" w:space="0" w:color="auto"/>
              <w:right w:val="single" w:sz="4" w:space="0" w:color="auto"/>
            </w:tcBorders>
            <w:shd w:val="clear" w:color="000000" w:fill="CCCCFF"/>
            <w:vAlign w:val="center"/>
            <w:hideMark/>
          </w:tcPr>
          <w:p w14:paraId="59EF48E2"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2.665.867.399</w:t>
            </w:r>
          </w:p>
        </w:tc>
        <w:tc>
          <w:tcPr>
            <w:tcW w:w="648" w:type="pct"/>
            <w:tcBorders>
              <w:top w:val="nil"/>
              <w:left w:val="nil"/>
              <w:bottom w:val="single" w:sz="4" w:space="0" w:color="auto"/>
              <w:right w:val="single" w:sz="4" w:space="0" w:color="auto"/>
            </w:tcBorders>
            <w:shd w:val="clear" w:color="000000" w:fill="CCCCFF"/>
            <w:vAlign w:val="center"/>
            <w:hideMark/>
          </w:tcPr>
          <w:p w14:paraId="4BCBFD76"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2.442.916.006</w:t>
            </w:r>
          </w:p>
        </w:tc>
        <w:tc>
          <w:tcPr>
            <w:tcW w:w="648" w:type="pct"/>
            <w:tcBorders>
              <w:top w:val="nil"/>
              <w:left w:val="nil"/>
              <w:bottom w:val="single" w:sz="4" w:space="0" w:color="auto"/>
              <w:right w:val="single" w:sz="4" w:space="0" w:color="auto"/>
            </w:tcBorders>
            <w:shd w:val="clear" w:color="000000" w:fill="CCCCFF"/>
            <w:vAlign w:val="center"/>
            <w:hideMark/>
          </w:tcPr>
          <w:p w14:paraId="6BC77F44"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2.592.212.781</w:t>
            </w:r>
          </w:p>
        </w:tc>
        <w:tc>
          <w:tcPr>
            <w:tcW w:w="648" w:type="pct"/>
            <w:tcBorders>
              <w:top w:val="nil"/>
              <w:left w:val="nil"/>
              <w:bottom w:val="single" w:sz="4" w:space="0" w:color="auto"/>
              <w:right w:val="single" w:sz="4" w:space="0" w:color="auto"/>
            </w:tcBorders>
            <w:shd w:val="clear" w:color="000000" w:fill="CCCCFF"/>
            <w:vAlign w:val="center"/>
            <w:hideMark/>
          </w:tcPr>
          <w:p w14:paraId="5F6A4704"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2.592.212.781</w:t>
            </w:r>
          </w:p>
        </w:tc>
      </w:tr>
      <w:tr w:rsidR="00565DF7" w:rsidRPr="00E16BEF" w14:paraId="188570DC" w14:textId="77777777" w:rsidTr="00FB2028">
        <w:trPr>
          <w:trHeight w:val="382"/>
          <w:jc w:val="center"/>
        </w:trPr>
        <w:tc>
          <w:tcPr>
            <w:tcW w:w="1114" w:type="pct"/>
            <w:tcBorders>
              <w:top w:val="nil"/>
              <w:left w:val="single" w:sz="4" w:space="0" w:color="auto"/>
              <w:bottom w:val="single" w:sz="4" w:space="0" w:color="auto"/>
              <w:right w:val="single" w:sz="4" w:space="0" w:color="auto"/>
            </w:tcBorders>
            <w:shd w:val="clear" w:color="auto" w:fill="auto"/>
            <w:noWrap/>
            <w:vAlign w:val="center"/>
            <w:hideMark/>
          </w:tcPr>
          <w:p w14:paraId="4B0E70B5" w14:textId="77777777" w:rsidR="00565DF7" w:rsidRPr="00FB27C3" w:rsidRDefault="00565DF7"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1.1. Libre Destinación </w:t>
            </w:r>
          </w:p>
        </w:tc>
        <w:tc>
          <w:tcPr>
            <w:tcW w:w="648" w:type="pct"/>
            <w:tcBorders>
              <w:top w:val="nil"/>
              <w:left w:val="nil"/>
              <w:bottom w:val="single" w:sz="4" w:space="0" w:color="auto"/>
              <w:right w:val="single" w:sz="4" w:space="0" w:color="auto"/>
            </w:tcBorders>
            <w:shd w:val="clear" w:color="auto" w:fill="auto"/>
            <w:noWrap/>
            <w:vAlign w:val="center"/>
            <w:hideMark/>
          </w:tcPr>
          <w:p w14:paraId="0406A626"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1.125.531.934</w:t>
            </w:r>
          </w:p>
        </w:tc>
        <w:tc>
          <w:tcPr>
            <w:tcW w:w="648" w:type="pct"/>
            <w:tcBorders>
              <w:top w:val="nil"/>
              <w:left w:val="nil"/>
              <w:bottom w:val="single" w:sz="4" w:space="0" w:color="auto"/>
              <w:right w:val="single" w:sz="4" w:space="0" w:color="auto"/>
            </w:tcBorders>
            <w:shd w:val="clear" w:color="auto" w:fill="auto"/>
            <w:noWrap/>
            <w:vAlign w:val="center"/>
            <w:hideMark/>
          </w:tcPr>
          <w:p w14:paraId="0E20C3D8"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1.036.872.693</w:t>
            </w:r>
          </w:p>
        </w:tc>
        <w:tc>
          <w:tcPr>
            <w:tcW w:w="648" w:type="pct"/>
            <w:tcBorders>
              <w:top w:val="nil"/>
              <w:left w:val="nil"/>
              <w:bottom w:val="single" w:sz="4" w:space="0" w:color="auto"/>
              <w:right w:val="single" w:sz="4" w:space="0" w:color="auto"/>
            </w:tcBorders>
            <w:shd w:val="clear" w:color="auto" w:fill="auto"/>
            <w:noWrap/>
            <w:vAlign w:val="center"/>
            <w:hideMark/>
          </w:tcPr>
          <w:p w14:paraId="1A05E640"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1.138.572.465</w:t>
            </w:r>
          </w:p>
        </w:tc>
        <w:tc>
          <w:tcPr>
            <w:tcW w:w="648" w:type="pct"/>
            <w:tcBorders>
              <w:top w:val="nil"/>
              <w:left w:val="nil"/>
              <w:bottom w:val="single" w:sz="4" w:space="0" w:color="auto"/>
              <w:right w:val="single" w:sz="4" w:space="0" w:color="auto"/>
            </w:tcBorders>
            <w:shd w:val="clear" w:color="auto" w:fill="auto"/>
            <w:noWrap/>
            <w:vAlign w:val="center"/>
            <w:hideMark/>
          </w:tcPr>
          <w:p w14:paraId="6F5EE23D"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1.043.125.810</w:t>
            </w:r>
          </w:p>
        </w:tc>
        <w:tc>
          <w:tcPr>
            <w:tcW w:w="648" w:type="pct"/>
            <w:tcBorders>
              <w:top w:val="nil"/>
              <w:left w:val="nil"/>
              <w:bottom w:val="single" w:sz="4" w:space="0" w:color="auto"/>
              <w:right w:val="single" w:sz="4" w:space="0" w:color="auto"/>
            </w:tcBorders>
            <w:shd w:val="clear" w:color="auto" w:fill="auto"/>
            <w:noWrap/>
            <w:vAlign w:val="center"/>
            <w:hideMark/>
          </w:tcPr>
          <w:p w14:paraId="261A38D2"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1.088.729.369</w:t>
            </w:r>
          </w:p>
        </w:tc>
        <w:tc>
          <w:tcPr>
            <w:tcW w:w="648" w:type="pct"/>
            <w:tcBorders>
              <w:top w:val="nil"/>
              <w:left w:val="nil"/>
              <w:bottom w:val="single" w:sz="4" w:space="0" w:color="auto"/>
              <w:right w:val="single" w:sz="4" w:space="0" w:color="auto"/>
            </w:tcBorders>
            <w:shd w:val="clear" w:color="auto" w:fill="auto"/>
            <w:noWrap/>
            <w:vAlign w:val="center"/>
            <w:hideMark/>
          </w:tcPr>
          <w:p w14:paraId="5702911A"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1.088.729.369</w:t>
            </w:r>
          </w:p>
        </w:tc>
      </w:tr>
      <w:tr w:rsidR="00565DF7" w:rsidRPr="00E16BEF" w14:paraId="7649144E" w14:textId="77777777" w:rsidTr="00FB2028">
        <w:trPr>
          <w:trHeight w:val="208"/>
          <w:jc w:val="center"/>
        </w:trPr>
        <w:tc>
          <w:tcPr>
            <w:tcW w:w="1114" w:type="pct"/>
            <w:tcBorders>
              <w:top w:val="nil"/>
              <w:left w:val="single" w:sz="4" w:space="0" w:color="auto"/>
              <w:bottom w:val="single" w:sz="4" w:space="0" w:color="auto"/>
              <w:right w:val="single" w:sz="4" w:space="0" w:color="auto"/>
            </w:tcBorders>
            <w:shd w:val="clear" w:color="auto" w:fill="auto"/>
            <w:noWrap/>
            <w:vAlign w:val="center"/>
            <w:hideMark/>
          </w:tcPr>
          <w:p w14:paraId="5247564D" w14:textId="77777777" w:rsidR="00565DF7" w:rsidRPr="00FB27C3" w:rsidRDefault="00565DF7"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1.2. Libre Inversión</w:t>
            </w:r>
          </w:p>
        </w:tc>
        <w:tc>
          <w:tcPr>
            <w:tcW w:w="648" w:type="pct"/>
            <w:tcBorders>
              <w:top w:val="nil"/>
              <w:left w:val="nil"/>
              <w:bottom w:val="single" w:sz="4" w:space="0" w:color="auto"/>
              <w:right w:val="single" w:sz="4" w:space="0" w:color="auto"/>
            </w:tcBorders>
            <w:shd w:val="clear" w:color="auto" w:fill="auto"/>
            <w:noWrap/>
            <w:vAlign w:val="center"/>
            <w:hideMark/>
          </w:tcPr>
          <w:p w14:paraId="15C6B286"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1.344.876.928</w:t>
            </w:r>
          </w:p>
        </w:tc>
        <w:tc>
          <w:tcPr>
            <w:tcW w:w="648" w:type="pct"/>
            <w:tcBorders>
              <w:top w:val="nil"/>
              <w:left w:val="nil"/>
              <w:bottom w:val="single" w:sz="4" w:space="0" w:color="auto"/>
              <w:right w:val="single" w:sz="4" w:space="0" w:color="auto"/>
            </w:tcBorders>
            <w:shd w:val="clear" w:color="auto" w:fill="auto"/>
            <w:noWrap/>
            <w:vAlign w:val="center"/>
            <w:hideMark/>
          </w:tcPr>
          <w:p w14:paraId="02BB7D66" w14:textId="77777777" w:rsidR="00565DF7" w:rsidRPr="00FB27C3" w:rsidRDefault="000F5E7E">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1.314.660.989</w:t>
            </w:r>
          </w:p>
        </w:tc>
        <w:tc>
          <w:tcPr>
            <w:tcW w:w="648" w:type="pct"/>
            <w:tcBorders>
              <w:top w:val="nil"/>
              <w:left w:val="nil"/>
              <w:bottom w:val="single" w:sz="4" w:space="0" w:color="auto"/>
              <w:right w:val="single" w:sz="4" w:space="0" w:color="auto"/>
            </w:tcBorders>
            <w:shd w:val="clear" w:color="auto" w:fill="auto"/>
            <w:noWrap/>
            <w:vAlign w:val="center"/>
            <w:hideMark/>
          </w:tcPr>
          <w:p w14:paraId="6DC666CD"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1.452.925.954</w:t>
            </w:r>
          </w:p>
        </w:tc>
        <w:tc>
          <w:tcPr>
            <w:tcW w:w="648" w:type="pct"/>
            <w:tcBorders>
              <w:top w:val="nil"/>
              <w:left w:val="nil"/>
              <w:bottom w:val="single" w:sz="4" w:space="0" w:color="auto"/>
              <w:right w:val="single" w:sz="4" w:space="0" w:color="auto"/>
            </w:tcBorders>
            <w:shd w:val="clear" w:color="auto" w:fill="auto"/>
            <w:noWrap/>
            <w:vAlign w:val="center"/>
            <w:hideMark/>
          </w:tcPr>
          <w:p w14:paraId="6F62C1E1"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1.331.444.805</w:t>
            </w:r>
          </w:p>
        </w:tc>
        <w:tc>
          <w:tcPr>
            <w:tcW w:w="648" w:type="pct"/>
            <w:tcBorders>
              <w:top w:val="nil"/>
              <w:left w:val="nil"/>
              <w:bottom w:val="single" w:sz="4" w:space="0" w:color="auto"/>
              <w:right w:val="single" w:sz="4" w:space="0" w:color="auto"/>
            </w:tcBorders>
            <w:shd w:val="clear" w:color="auto" w:fill="auto"/>
            <w:noWrap/>
            <w:vAlign w:val="center"/>
            <w:hideMark/>
          </w:tcPr>
          <w:p w14:paraId="3AB4CBCD"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1.303.490.150</w:t>
            </w:r>
          </w:p>
        </w:tc>
        <w:tc>
          <w:tcPr>
            <w:tcW w:w="648" w:type="pct"/>
            <w:tcBorders>
              <w:top w:val="nil"/>
              <w:left w:val="nil"/>
              <w:bottom w:val="single" w:sz="4" w:space="0" w:color="auto"/>
              <w:right w:val="single" w:sz="4" w:space="0" w:color="auto"/>
            </w:tcBorders>
            <w:shd w:val="clear" w:color="auto" w:fill="auto"/>
            <w:noWrap/>
            <w:vAlign w:val="center"/>
            <w:hideMark/>
          </w:tcPr>
          <w:p w14:paraId="44FB4313"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1.303.490.150</w:t>
            </w:r>
          </w:p>
        </w:tc>
      </w:tr>
      <w:tr w:rsidR="00565DF7" w:rsidRPr="00E16BEF" w14:paraId="0C7E69E1" w14:textId="77777777" w:rsidTr="00FB2028">
        <w:trPr>
          <w:trHeight w:val="382"/>
          <w:jc w:val="center"/>
        </w:trPr>
        <w:tc>
          <w:tcPr>
            <w:tcW w:w="1114" w:type="pct"/>
            <w:tcBorders>
              <w:top w:val="nil"/>
              <w:left w:val="single" w:sz="4" w:space="0" w:color="auto"/>
              <w:bottom w:val="single" w:sz="4" w:space="0" w:color="auto"/>
              <w:right w:val="single" w:sz="4" w:space="0" w:color="auto"/>
            </w:tcBorders>
            <w:shd w:val="clear" w:color="auto" w:fill="auto"/>
            <w:noWrap/>
            <w:vAlign w:val="center"/>
            <w:hideMark/>
          </w:tcPr>
          <w:p w14:paraId="6C9CDD75" w14:textId="77777777" w:rsidR="00565DF7" w:rsidRPr="00FB27C3" w:rsidRDefault="00565DF7"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1.3. Deporte y Recreación</w:t>
            </w:r>
          </w:p>
        </w:tc>
        <w:tc>
          <w:tcPr>
            <w:tcW w:w="648" w:type="pct"/>
            <w:tcBorders>
              <w:top w:val="nil"/>
              <w:left w:val="nil"/>
              <w:bottom w:val="single" w:sz="4" w:space="0" w:color="auto"/>
              <w:right w:val="single" w:sz="4" w:space="0" w:color="auto"/>
            </w:tcBorders>
            <w:shd w:val="clear" w:color="auto" w:fill="auto"/>
            <w:noWrap/>
            <w:vAlign w:val="center"/>
            <w:hideMark/>
          </w:tcPr>
          <w:p w14:paraId="58E8CBB6"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63.331.882</w:t>
            </w:r>
          </w:p>
        </w:tc>
        <w:tc>
          <w:tcPr>
            <w:tcW w:w="648" w:type="pct"/>
            <w:tcBorders>
              <w:top w:val="nil"/>
              <w:left w:val="nil"/>
              <w:bottom w:val="single" w:sz="4" w:space="0" w:color="auto"/>
              <w:right w:val="single" w:sz="4" w:space="0" w:color="auto"/>
            </w:tcBorders>
            <w:shd w:val="clear" w:color="auto" w:fill="auto"/>
            <w:noWrap/>
            <w:vAlign w:val="center"/>
            <w:hideMark/>
          </w:tcPr>
          <w:p w14:paraId="75DBE8D8"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58.697.840</w:t>
            </w:r>
          </w:p>
        </w:tc>
        <w:tc>
          <w:tcPr>
            <w:tcW w:w="648" w:type="pct"/>
            <w:tcBorders>
              <w:top w:val="nil"/>
              <w:left w:val="nil"/>
              <w:bottom w:val="single" w:sz="4" w:space="0" w:color="auto"/>
              <w:right w:val="single" w:sz="4" w:space="0" w:color="auto"/>
            </w:tcBorders>
            <w:shd w:val="clear" w:color="auto" w:fill="auto"/>
            <w:noWrap/>
            <w:vAlign w:val="center"/>
            <w:hideMark/>
          </w:tcPr>
          <w:p w14:paraId="10809D9C"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42.496.560</w:t>
            </w:r>
          </w:p>
        </w:tc>
        <w:tc>
          <w:tcPr>
            <w:tcW w:w="648" w:type="pct"/>
            <w:tcBorders>
              <w:top w:val="nil"/>
              <w:left w:val="nil"/>
              <w:bottom w:val="single" w:sz="4" w:space="0" w:color="auto"/>
              <w:right w:val="single" w:sz="4" w:space="0" w:color="auto"/>
            </w:tcBorders>
            <w:shd w:val="clear" w:color="auto" w:fill="auto"/>
            <w:noWrap/>
            <w:vAlign w:val="center"/>
            <w:hideMark/>
          </w:tcPr>
          <w:p w14:paraId="312B15F5"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39.054.510</w:t>
            </w:r>
          </w:p>
        </w:tc>
        <w:tc>
          <w:tcPr>
            <w:tcW w:w="648" w:type="pct"/>
            <w:tcBorders>
              <w:top w:val="nil"/>
              <w:left w:val="nil"/>
              <w:bottom w:val="single" w:sz="4" w:space="0" w:color="auto"/>
              <w:right w:val="single" w:sz="4" w:space="0" w:color="auto"/>
            </w:tcBorders>
            <w:shd w:val="clear" w:color="auto" w:fill="auto"/>
            <w:noWrap/>
            <w:vAlign w:val="center"/>
            <w:hideMark/>
          </w:tcPr>
          <w:p w14:paraId="5CF618E4"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114.281.864</w:t>
            </w:r>
          </w:p>
        </w:tc>
        <w:tc>
          <w:tcPr>
            <w:tcW w:w="648" w:type="pct"/>
            <w:tcBorders>
              <w:top w:val="nil"/>
              <w:left w:val="nil"/>
              <w:bottom w:val="single" w:sz="4" w:space="0" w:color="auto"/>
              <w:right w:val="single" w:sz="4" w:space="0" w:color="auto"/>
            </w:tcBorders>
            <w:shd w:val="clear" w:color="auto" w:fill="auto"/>
            <w:noWrap/>
            <w:vAlign w:val="center"/>
            <w:hideMark/>
          </w:tcPr>
          <w:p w14:paraId="6825C834"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114.281.864</w:t>
            </w:r>
          </w:p>
        </w:tc>
      </w:tr>
      <w:tr w:rsidR="00565DF7" w:rsidRPr="00E16BEF" w14:paraId="3162FD63" w14:textId="77777777" w:rsidTr="00FB2028">
        <w:trPr>
          <w:trHeight w:val="382"/>
          <w:jc w:val="center"/>
        </w:trPr>
        <w:tc>
          <w:tcPr>
            <w:tcW w:w="1114" w:type="pct"/>
            <w:tcBorders>
              <w:top w:val="nil"/>
              <w:left w:val="single" w:sz="4" w:space="0" w:color="auto"/>
              <w:bottom w:val="single" w:sz="4" w:space="0" w:color="auto"/>
              <w:right w:val="single" w:sz="4" w:space="0" w:color="auto"/>
            </w:tcBorders>
            <w:shd w:val="clear" w:color="auto" w:fill="auto"/>
            <w:noWrap/>
            <w:vAlign w:val="center"/>
            <w:hideMark/>
          </w:tcPr>
          <w:p w14:paraId="68B0A14C" w14:textId="77777777" w:rsidR="00565DF7" w:rsidRPr="00FB27C3" w:rsidRDefault="00565DF7"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1.4. Cultura</w:t>
            </w:r>
          </w:p>
        </w:tc>
        <w:tc>
          <w:tcPr>
            <w:tcW w:w="648" w:type="pct"/>
            <w:tcBorders>
              <w:top w:val="nil"/>
              <w:left w:val="nil"/>
              <w:bottom w:val="single" w:sz="4" w:space="0" w:color="auto"/>
              <w:right w:val="single" w:sz="4" w:space="0" w:color="auto"/>
            </w:tcBorders>
            <w:shd w:val="clear" w:color="auto" w:fill="auto"/>
            <w:noWrap/>
            <w:vAlign w:val="center"/>
            <w:hideMark/>
          </w:tcPr>
          <w:p w14:paraId="5B28C22A"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47.498.912</w:t>
            </w:r>
          </w:p>
        </w:tc>
        <w:tc>
          <w:tcPr>
            <w:tcW w:w="648" w:type="pct"/>
            <w:tcBorders>
              <w:top w:val="nil"/>
              <w:left w:val="nil"/>
              <w:bottom w:val="single" w:sz="4" w:space="0" w:color="auto"/>
              <w:right w:val="single" w:sz="4" w:space="0" w:color="auto"/>
            </w:tcBorders>
            <w:shd w:val="clear" w:color="auto" w:fill="auto"/>
            <w:noWrap/>
            <w:vAlign w:val="center"/>
            <w:hideMark/>
          </w:tcPr>
          <w:p w14:paraId="45ADB221"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44.022.981</w:t>
            </w:r>
          </w:p>
        </w:tc>
        <w:tc>
          <w:tcPr>
            <w:tcW w:w="648" w:type="pct"/>
            <w:tcBorders>
              <w:top w:val="nil"/>
              <w:left w:val="nil"/>
              <w:bottom w:val="single" w:sz="4" w:space="0" w:color="auto"/>
              <w:right w:val="single" w:sz="4" w:space="0" w:color="auto"/>
            </w:tcBorders>
            <w:shd w:val="clear" w:color="auto" w:fill="auto"/>
            <w:noWrap/>
            <w:vAlign w:val="center"/>
            <w:hideMark/>
          </w:tcPr>
          <w:p w14:paraId="339772E8"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31.872.420</w:t>
            </w:r>
          </w:p>
        </w:tc>
        <w:tc>
          <w:tcPr>
            <w:tcW w:w="648" w:type="pct"/>
            <w:tcBorders>
              <w:top w:val="nil"/>
              <w:left w:val="nil"/>
              <w:bottom w:val="single" w:sz="4" w:space="0" w:color="auto"/>
              <w:right w:val="single" w:sz="4" w:space="0" w:color="auto"/>
            </w:tcBorders>
            <w:shd w:val="clear" w:color="auto" w:fill="auto"/>
            <w:noWrap/>
            <w:vAlign w:val="center"/>
            <w:hideMark/>
          </w:tcPr>
          <w:p w14:paraId="541FFCBB"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29.290.880</w:t>
            </w:r>
          </w:p>
        </w:tc>
        <w:tc>
          <w:tcPr>
            <w:tcW w:w="648" w:type="pct"/>
            <w:tcBorders>
              <w:top w:val="nil"/>
              <w:left w:val="nil"/>
              <w:bottom w:val="single" w:sz="4" w:space="0" w:color="auto"/>
              <w:right w:val="single" w:sz="4" w:space="0" w:color="auto"/>
            </w:tcBorders>
            <w:shd w:val="clear" w:color="auto" w:fill="auto"/>
            <w:noWrap/>
            <w:vAlign w:val="center"/>
            <w:hideMark/>
          </w:tcPr>
          <w:p w14:paraId="6A2F7297"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85.711.398</w:t>
            </w:r>
          </w:p>
        </w:tc>
        <w:tc>
          <w:tcPr>
            <w:tcW w:w="648" w:type="pct"/>
            <w:tcBorders>
              <w:top w:val="nil"/>
              <w:left w:val="nil"/>
              <w:bottom w:val="single" w:sz="4" w:space="0" w:color="auto"/>
              <w:right w:val="single" w:sz="4" w:space="0" w:color="auto"/>
            </w:tcBorders>
            <w:shd w:val="clear" w:color="auto" w:fill="auto"/>
            <w:noWrap/>
            <w:vAlign w:val="center"/>
            <w:hideMark/>
          </w:tcPr>
          <w:p w14:paraId="394BF0D5"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85.711.398</w:t>
            </w:r>
          </w:p>
        </w:tc>
      </w:tr>
      <w:tr w:rsidR="00565DF7" w:rsidRPr="00E16BEF" w14:paraId="6439D459" w14:textId="77777777" w:rsidTr="00FB2028">
        <w:trPr>
          <w:trHeight w:val="208"/>
          <w:jc w:val="center"/>
        </w:trPr>
        <w:tc>
          <w:tcPr>
            <w:tcW w:w="1114" w:type="pct"/>
            <w:tcBorders>
              <w:top w:val="nil"/>
              <w:left w:val="single" w:sz="4" w:space="0" w:color="auto"/>
              <w:bottom w:val="single" w:sz="4" w:space="0" w:color="auto"/>
              <w:right w:val="single" w:sz="4" w:space="0" w:color="auto"/>
            </w:tcBorders>
            <w:shd w:val="clear" w:color="000000" w:fill="CCCCFF"/>
            <w:vAlign w:val="center"/>
            <w:hideMark/>
          </w:tcPr>
          <w:p w14:paraId="3D9F88EB" w14:textId="77777777" w:rsidR="00565DF7" w:rsidRPr="00FB27C3" w:rsidRDefault="00565DF7" w:rsidP="00286F4A">
            <w:pPr>
              <w:spacing w:after="0" w:line="240" w:lineRule="auto"/>
              <w:contextualSpacing/>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 xml:space="preserve">2. Recursos de Capital </w:t>
            </w:r>
          </w:p>
        </w:tc>
        <w:tc>
          <w:tcPr>
            <w:tcW w:w="648" w:type="pct"/>
            <w:tcBorders>
              <w:top w:val="nil"/>
              <w:left w:val="nil"/>
              <w:bottom w:val="single" w:sz="4" w:space="0" w:color="auto"/>
              <w:right w:val="single" w:sz="4" w:space="0" w:color="auto"/>
            </w:tcBorders>
            <w:shd w:val="clear" w:color="000000" w:fill="CCCCFF"/>
            <w:vAlign w:val="center"/>
            <w:hideMark/>
          </w:tcPr>
          <w:p w14:paraId="2C5483ED"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299.680.048</w:t>
            </w:r>
          </w:p>
        </w:tc>
        <w:tc>
          <w:tcPr>
            <w:tcW w:w="648" w:type="pct"/>
            <w:tcBorders>
              <w:top w:val="nil"/>
              <w:left w:val="nil"/>
              <w:bottom w:val="single" w:sz="4" w:space="0" w:color="auto"/>
              <w:right w:val="single" w:sz="4" w:space="0" w:color="auto"/>
            </w:tcBorders>
            <w:shd w:val="clear" w:color="000000" w:fill="CCCCFF"/>
            <w:vAlign w:val="center"/>
            <w:hideMark/>
          </w:tcPr>
          <w:p w14:paraId="4155EBCC"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299.680.048</w:t>
            </w:r>
          </w:p>
        </w:tc>
        <w:tc>
          <w:tcPr>
            <w:tcW w:w="648" w:type="pct"/>
            <w:tcBorders>
              <w:top w:val="nil"/>
              <w:left w:val="nil"/>
              <w:bottom w:val="single" w:sz="4" w:space="0" w:color="auto"/>
              <w:right w:val="single" w:sz="4" w:space="0" w:color="auto"/>
            </w:tcBorders>
            <w:shd w:val="clear" w:color="000000" w:fill="CCCCFF"/>
            <w:vAlign w:val="center"/>
            <w:hideMark/>
          </w:tcPr>
          <w:p w14:paraId="1843BCA4"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153.708.835</w:t>
            </w:r>
          </w:p>
        </w:tc>
        <w:tc>
          <w:tcPr>
            <w:tcW w:w="648" w:type="pct"/>
            <w:tcBorders>
              <w:top w:val="nil"/>
              <w:left w:val="nil"/>
              <w:bottom w:val="single" w:sz="4" w:space="0" w:color="auto"/>
              <w:right w:val="single" w:sz="4" w:space="0" w:color="auto"/>
            </w:tcBorders>
            <w:shd w:val="clear" w:color="000000" w:fill="CCCCFF"/>
            <w:vAlign w:val="center"/>
            <w:hideMark/>
          </w:tcPr>
          <w:p w14:paraId="79A896A6"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153.708.835</w:t>
            </w:r>
          </w:p>
        </w:tc>
        <w:tc>
          <w:tcPr>
            <w:tcW w:w="648" w:type="pct"/>
            <w:tcBorders>
              <w:top w:val="nil"/>
              <w:left w:val="nil"/>
              <w:bottom w:val="single" w:sz="4" w:space="0" w:color="auto"/>
              <w:right w:val="single" w:sz="4" w:space="0" w:color="auto"/>
            </w:tcBorders>
            <w:shd w:val="clear" w:color="000000" w:fill="CCCCFF"/>
            <w:vAlign w:val="center"/>
            <w:hideMark/>
          </w:tcPr>
          <w:p w14:paraId="53A84B8D"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154.493.357</w:t>
            </w:r>
          </w:p>
        </w:tc>
        <w:tc>
          <w:tcPr>
            <w:tcW w:w="648" w:type="pct"/>
            <w:tcBorders>
              <w:top w:val="nil"/>
              <w:left w:val="nil"/>
              <w:bottom w:val="single" w:sz="4" w:space="0" w:color="auto"/>
              <w:right w:val="single" w:sz="4" w:space="0" w:color="auto"/>
            </w:tcBorders>
            <w:shd w:val="clear" w:color="000000" w:fill="CCCCFF"/>
            <w:vAlign w:val="center"/>
            <w:hideMark/>
          </w:tcPr>
          <w:p w14:paraId="7A6733C4"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0</w:t>
            </w:r>
          </w:p>
        </w:tc>
      </w:tr>
      <w:tr w:rsidR="00565DF7" w:rsidRPr="00E16BEF" w14:paraId="29AF7067" w14:textId="77777777" w:rsidTr="00FB2028">
        <w:trPr>
          <w:trHeight w:val="382"/>
          <w:jc w:val="center"/>
        </w:trPr>
        <w:tc>
          <w:tcPr>
            <w:tcW w:w="1114" w:type="pct"/>
            <w:tcBorders>
              <w:top w:val="nil"/>
              <w:left w:val="single" w:sz="4" w:space="0" w:color="auto"/>
              <w:bottom w:val="single" w:sz="4" w:space="0" w:color="auto"/>
              <w:right w:val="single" w:sz="4" w:space="0" w:color="auto"/>
            </w:tcBorders>
            <w:shd w:val="clear" w:color="000000" w:fill="E5E5FF"/>
            <w:vAlign w:val="center"/>
            <w:hideMark/>
          </w:tcPr>
          <w:p w14:paraId="199434C6" w14:textId="77777777" w:rsidR="00565DF7" w:rsidRPr="00FB27C3" w:rsidRDefault="00565DF7" w:rsidP="00286F4A">
            <w:pPr>
              <w:spacing w:after="0" w:line="240" w:lineRule="auto"/>
              <w:contextualSpacing/>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2.1 Superávit fiscal</w:t>
            </w:r>
          </w:p>
        </w:tc>
        <w:tc>
          <w:tcPr>
            <w:tcW w:w="648" w:type="pct"/>
            <w:tcBorders>
              <w:top w:val="nil"/>
              <w:left w:val="nil"/>
              <w:bottom w:val="single" w:sz="4" w:space="0" w:color="auto"/>
              <w:right w:val="single" w:sz="4" w:space="0" w:color="auto"/>
            </w:tcBorders>
            <w:shd w:val="clear" w:color="000000" w:fill="E5E5FF"/>
            <w:vAlign w:val="center"/>
            <w:hideMark/>
          </w:tcPr>
          <w:p w14:paraId="65B94C9F"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299.680.048</w:t>
            </w:r>
          </w:p>
        </w:tc>
        <w:tc>
          <w:tcPr>
            <w:tcW w:w="648" w:type="pct"/>
            <w:tcBorders>
              <w:top w:val="nil"/>
              <w:left w:val="nil"/>
              <w:bottom w:val="single" w:sz="4" w:space="0" w:color="auto"/>
              <w:right w:val="single" w:sz="4" w:space="0" w:color="auto"/>
            </w:tcBorders>
            <w:shd w:val="clear" w:color="000000" w:fill="E5E5FF"/>
            <w:vAlign w:val="center"/>
            <w:hideMark/>
          </w:tcPr>
          <w:p w14:paraId="10BD4E8D"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299.680.048</w:t>
            </w:r>
          </w:p>
        </w:tc>
        <w:tc>
          <w:tcPr>
            <w:tcW w:w="648" w:type="pct"/>
            <w:tcBorders>
              <w:top w:val="nil"/>
              <w:left w:val="nil"/>
              <w:bottom w:val="single" w:sz="4" w:space="0" w:color="auto"/>
              <w:right w:val="single" w:sz="4" w:space="0" w:color="auto"/>
            </w:tcBorders>
            <w:shd w:val="clear" w:color="000000" w:fill="E5E5FF"/>
            <w:vAlign w:val="center"/>
            <w:hideMark/>
          </w:tcPr>
          <w:p w14:paraId="497B2215"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153.708.835</w:t>
            </w:r>
          </w:p>
        </w:tc>
        <w:tc>
          <w:tcPr>
            <w:tcW w:w="648" w:type="pct"/>
            <w:tcBorders>
              <w:top w:val="nil"/>
              <w:left w:val="nil"/>
              <w:bottom w:val="single" w:sz="4" w:space="0" w:color="auto"/>
              <w:right w:val="single" w:sz="4" w:space="0" w:color="auto"/>
            </w:tcBorders>
            <w:shd w:val="clear" w:color="000000" w:fill="E5E5FF"/>
            <w:vAlign w:val="center"/>
            <w:hideMark/>
          </w:tcPr>
          <w:p w14:paraId="13D75593"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153.708.835</w:t>
            </w:r>
          </w:p>
        </w:tc>
        <w:tc>
          <w:tcPr>
            <w:tcW w:w="648" w:type="pct"/>
            <w:tcBorders>
              <w:top w:val="nil"/>
              <w:left w:val="nil"/>
              <w:bottom w:val="single" w:sz="4" w:space="0" w:color="auto"/>
              <w:right w:val="single" w:sz="4" w:space="0" w:color="auto"/>
            </w:tcBorders>
            <w:shd w:val="clear" w:color="000000" w:fill="E5E5FF"/>
            <w:vAlign w:val="center"/>
            <w:hideMark/>
          </w:tcPr>
          <w:p w14:paraId="46FAA8FE"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154.493.357</w:t>
            </w:r>
          </w:p>
        </w:tc>
        <w:tc>
          <w:tcPr>
            <w:tcW w:w="648" w:type="pct"/>
            <w:tcBorders>
              <w:top w:val="nil"/>
              <w:left w:val="nil"/>
              <w:bottom w:val="single" w:sz="4" w:space="0" w:color="auto"/>
              <w:right w:val="single" w:sz="4" w:space="0" w:color="auto"/>
            </w:tcBorders>
            <w:shd w:val="clear" w:color="000000" w:fill="E5E5FF"/>
            <w:vAlign w:val="center"/>
            <w:hideMark/>
          </w:tcPr>
          <w:p w14:paraId="1931E1C8" w14:textId="77777777" w:rsidR="00565DF7" w:rsidRPr="00FB27C3" w:rsidRDefault="00565DF7">
            <w:pPr>
              <w:spacing w:after="0" w:line="240" w:lineRule="auto"/>
              <w:contextualSpacing/>
              <w:jc w:val="center"/>
              <w:rPr>
                <w:rFonts w:ascii="Arial Narrow" w:eastAsia="Times New Roman" w:hAnsi="Arial Narrow" w:cs="Calibri"/>
                <w:b/>
                <w:bCs/>
                <w:color w:val="000000"/>
                <w:sz w:val="18"/>
                <w:szCs w:val="18"/>
                <w:lang w:val="es-CO" w:eastAsia="es-CO"/>
              </w:rPr>
            </w:pPr>
            <w:r w:rsidRPr="00FB27C3">
              <w:rPr>
                <w:rFonts w:ascii="Arial Narrow" w:eastAsia="Times New Roman" w:hAnsi="Arial Narrow" w:cs="Calibri"/>
                <w:b/>
                <w:bCs/>
                <w:color w:val="000000"/>
                <w:sz w:val="18"/>
                <w:szCs w:val="18"/>
                <w:lang w:val="es-CO" w:eastAsia="es-CO"/>
              </w:rPr>
              <w:t>0</w:t>
            </w:r>
          </w:p>
        </w:tc>
      </w:tr>
      <w:tr w:rsidR="00565DF7" w:rsidRPr="00E16BEF" w14:paraId="12B67C92" w14:textId="77777777" w:rsidTr="00FB2028">
        <w:trPr>
          <w:trHeight w:val="382"/>
          <w:jc w:val="center"/>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4A77E27A" w14:textId="77777777" w:rsidR="00565DF7" w:rsidRPr="00FB27C3" w:rsidRDefault="00565DF7"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xml:space="preserve">2.1.1. Libre Destinación </w:t>
            </w:r>
          </w:p>
        </w:tc>
        <w:tc>
          <w:tcPr>
            <w:tcW w:w="648" w:type="pct"/>
            <w:tcBorders>
              <w:top w:val="nil"/>
              <w:left w:val="nil"/>
              <w:bottom w:val="single" w:sz="4" w:space="0" w:color="auto"/>
              <w:right w:val="single" w:sz="4" w:space="0" w:color="auto"/>
            </w:tcBorders>
            <w:shd w:val="clear" w:color="auto" w:fill="auto"/>
            <w:noWrap/>
            <w:vAlign w:val="center"/>
            <w:hideMark/>
          </w:tcPr>
          <w:p w14:paraId="743851F6" w14:textId="77777777" w:rsidR="00565DF7" w:rsidRPr="00FB27C3" w:rsidRDefault="00A26072">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0</w:t>
            </w:r>
            <w:r w:rsidR="00565DF7" w:rsidRPr="00FB27C3">
              <w:rPr>
                <w:rFonts w:ascii="Arial Narrow" w:eastAsia="Times New Roman" w:hAnsi="Arial Narrow" w:cs="Calibri"/>
                <w:sz w:val="18"/>
                <w:szCs w:val="18"/>
                <w:lang w:val="es-CO" w:eastAsia="es-CO"/>
              </w:rPr>
              <w:t> </w:t>
            </w:r>
          </w:p>
        </w:tc>
        <w:tc>
          <w:tcPr>
            <w:tcW w:w="648" w:type="pct"/>
            <w:tcBorders>
              <w:top w:val="nil"/>
              <w:left w:val="nil"/>
              <w:bottom w:val="single" w:sz="4" w:space="0" w:color="auto"/>
              <w:right w:val="single" w:sz="4" w:space="0" w:color="auto"/>
            </w:tcBorders>
            <w:shd w:val="clear" w:color="auto" w:fill="auto"/>
            <w:noWrap/>
            <w:vAlign w:val="center"/>
            <w:hideMark/>
          </w:tcPr>
          <w:p w14:paraId="2FAD3CEF" w14:textId="77777777" w:rsidR="00565DF7" w:rsidRPr="00FB27C3" w:rsidRDefault="00A26072">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0</w:t>
            </w:r>
            <w:r w:rsidR="00565DF7" w:rsidRPr="00FB27C3">
              <w:rPr>
                <w:rFonts w:ascii="Arial Narrow" w:eastAsia="Times New Roman" w:hAnsi="Arial Narrow" w:cs="Calibri"/>
                <w:sz w:val="18"/>
                <w:szCs w:val="18"/>
                <w:lang w:val="es-CO" w:eastAsia="es-CO"/>
              </w:rPr>
              <w:t> </w:t>
            </w:r>
          </w:p>
        </w:tc>
        <w:tc>
          <w:tcPr>
            <w:tcW w:w="648" w:type="pct"/>
            <w:tcBorders>
              <w:top w:val="nil"/>
              <w:left w:val="nil"/>
              <w:bottom w:val="single" w:sz="4" w:space="0" w:color="auto"/>
              <w:right w:val="single" w:sz="4" w:space="0" w:color="auto"/>
            </w:tcBorders>
            <w:shd w:val="clear" w:color="auto" w:fill="auto"/>
            <w:noWrap/>
            <w:vAlign w:val="center"/>
            <w:hideMark/>
          </w:tcPr>
          <w:p w14:paraId="24076C53"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101.878.329</w:t>
            </w:r>
          </w:p>
        </w:tc>
        <w:tc>
          <w:tcPr>
            <w:tcW w:w="648" w:type="pct"/>
            <w:tcBorders>
              <w:top w:val="nil"/>
              <w:left w:val="nil"/>
              <w:bottom w:val="single" w:sz="4" w:space="0" w:color="auto"/>
              <w:right w:val="single" w:sz="4" w:space="0" w:color="auto"/>
            </w:tcBorders>
            <w:shd w:val="clear" w:color="auto" w:fill="auto"/>
            <w:noWrap/>
            <w:vAlign w:val="center"/>
            <w:hideMark/>
          </w:tcPr>
          <w:p w14:paraId="4BD37B47"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101.878.329</w:t>
            </w:r>
          </w:p>
        </w:tc>
        <w:tc>
          <w:tcPr>
            <w:tcW w:w="648" w:type="pct"/>
            <w:tcBorders>
              <w:top w:val="nil"/>
              <w:left w:val="nil"/>
              <w:bottom w:val="single" w:sz="4" w:space="0" w:color="auto"/>
              <w:right w:val="single" w:sz="4" w:space="0" w:color="auto"/>
            </w:tcBorders>
            <w:shd w:val="clear" w:color="auto" w:fill="auto"/>
            <w:noWrap/>
            <w:vAlign w:val="center"/>
            <w:hideMark/>
          </w:tcPr>
          <w:p w14:paraId="0B2D2571"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0</w:t>
            </w:r>
          </w:p>
        </w:tc>
        <w:tc>
          <w:tcPr>
            <w:tcW w:w="648" w:type="pct"/>
            <w:tcBorders>
              <w:top w:val="nil"/>
              <w:left w:val="nil"/>
              <w:bottom w:val="single" w:sz="4" w:space="0" w:color="auto"/>
              <w:right w:val="single" w:sz="4" w:space="0" w:color="auto"/>
            </w:tcBorders>
            <w:shd w:val="clear" w:color="auto" w:fill="auto"/>
            <w:noWrap/>
            <w:vAlign w:val="center"/>
            <w:hideMark/>
          </w:tcPr>
          <w:p w14:paraId="5E0220F0"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0</w:t>
            </w:r>
          </w:p>
        </w:tc>
      </w:tr>
      <w:tr w:rsidR="00565DF7" w:rsidRPr="00E16BEF" w14:paraId="36DD4199" w14:textId="77777777" w:rsidTr="00FB2028">
        <w:trPr>
          <w:trHeight w:val="208"/>
          <w:jc w:val="center"/>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7DD5974C" w14:textId="77777777" w:rsidR="00565DF7" w:rsidRPr="00FB27C3" w:rsidRDefault="00565DF7"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2.1.2. Libre Inversión</w:t>
            </w:r>
          </w:p>
        </w:tc>
        <w:tc>
          <w:tcPr>
            <w:tcW w:w="648" w:type="pct"/>
            <w:tcBorders>
              <w:top w:val="nil"/>
              <w:left w:val="nil"/>
              <w:bottom w:val="single" w:sz="4" w:space="0" w:color="auto"/>
              <w:right w:val="single" w:sz="4" w:space="0" w:color="auto"/>
            </w:tcBorders>
            <w:shd w:val="clear" w:color="auto" w:fill="auto"/>
            <w:noWrap/>
            <w:vAlign w:val="center"/>
            <w:hideMark/>
          </w:tcPr>
          <w:p w14:paraId="061A2989"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252.330.699</w:t>
            </w:r>
          </w:p>
        </w:tc>
        <w:tc>
          <w:tcPr>
            <w:tcW w:w="648" w:type="pct"/>
            <w:tcBorders>
              <w:top w:val="nil"/>
              <w:left w:val="nil"/>
              <w:bottom w:val="single" w:sz="4" w:space="0" w:color="auto"/>
              <w:right w:val="single" w:sz="4" w:space="0" w:color="auto"/>
            </w:tcBorders>
            <w:shd w:val="clear" w:color="auto" w:fill="auto"/>
            <w:noWrap/>
            <w:vAlign w:val="center"/>
            <w:hideMark/>
          </w:tcPr>
          <w:p w14:paraId="34B8280A"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252.330.699</w:t>
            </w:r>
          </w:p>
        </w:tc>
        <w:tc>
          <w:tcPr>
            <w:tcW w:w="648" w:type="pct"/>
            <w:tcBorders>
              <w:top w:val="nil"/>
              <w:left w:val="nil"/>
              <w:bottom w:val="single" w:sz="4" w:space="0" w:color="auto"/>
              <w:right w:val="single" w:sz="4" w:space="0" w:color="auto"/>
            </w:tcBorders>
            <w:shd w:val="clear" w:color="auto" w:fill="auto"/>
            <w:noWrap/>
            <w:vAlign w:val="center"/>
            <w:hideMark/>
          </w:tcPr>
          <w:p w14:paraId="17E4D51D"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42.206.994</w:t>
            </w:r>
          </w:p>
        </w:tc>
        <w:tc>
          <w:tcPr>
            <w:tcW w:w="648" w:type="pct"/>
            <w:tcBorders>
              <w:top w:val="nil"/>
              <w:left w:val="nil"/>
              <w:bottom w:val="single" w:sz="4" w:space="0" w:color="auto"/>
              <w:right w:val="single" w:sz="4" w:space="0" w:color="auto"/>
            </w:tcBorders>
            <w:shd w:val="clear" w:color="auto" w:fill="auto"/>
            <w:noWrap/>
            <w:vAlign w:val="center"/>
            <w:hideMark/>
          </w:tcPr>
          <w:p w14:paraId="40D065F8"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42.206.994</w:t>
            </w:r>
          </w:p>
        </w:tc>
        <w:tc>
          <w:tcPr>
            <w:tcW w:w="648" w:type="pct"/>
            <w:tcBorders>
              <w:top w:val="nil"/>
              <w:left w:val="nil"/>
              <w:bottom w:val="single" w:sz="4" w:space="0" w:color="auto"/>
              <w:right w:val="single" w:sz="4" w:space="0" w:color="auto"/>
            </w:tcBorders>
            <w:shd w:val="clear" w:color="auto" w:fill="auto"/>
            <w:noWrap/>
            <w:vAlign w:val="center"/>
            <w:hideMark/>
          </w:tcPr>
          <w:p w14:paraId="15E4A9EC"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108.465.959</w:t>
            </w:r>
          </w:p>
        </w:tc>
        <w:tc>
          <w:tcPr>
            <w:tcW w:w="648" w:type="pct"/>
            <w:tcBorders>
              <w:top w:val="nil"/>
              <w:left w:val="nil"/>
              <w:bottom w:val="single" w:sz="4" w:space="0" w:color="auto"/>
              <w:right w:val="single" w:sz="4" w:space="0" w:color="auto"/>
            </w:tcBorders>
            <w:shd w:val="clear" w:color="auto" w:fill="auto"/>
            <w:noWrap/>
            <w:vAlign w:val="center"/>
            <w:hideMark/>
          </w:tcPr>
          <w:p w14:paraId="00577983"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0</w:t>
            </w:r>
          </w:p>
        </w:tc>
      </w:tr>
      <w:tr w:rsidR="00565DF7" w:rsidRPr="00E16BEF" w14:paraId="032C5FB2" w14:textId="77777777" w:rsidTr="00FB2028">
        <w:trPr>
          <w:trHeight w:val="382"/>
          <w:jc w:val="center"/>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612A6E76" w14:textId="77777777" w:rsidR="00565DF7" w:rsidRPr="00FB27C3" w:rsidRDefault="00565DF7"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2.1.3. Deporte y Recreación</w:t>
            </w:r>
          </w:p>
        </w:tc>
        <w:tc>
          <w:tcPr>
            <w:tcW w:w="648" w:type="pct"/>
            <w:tcBorders>
              <w:top w:val="nil"/>
              <w:left w:val="nil"/>
              <w:bottom w:val="single" w:sz="4" w:space="0" w:color="auto"/>
              <w:right w:val="single" w:sz="4" w:space="0" w:color="auto"/>
            </w:tcBorders>
            <w:shd w:val="clear" w:color="auto" w:fill="auto"/>
            <w:noWrap/>
            <w:vAlign w:val="center"/>
            <w:hideMark/>
          </w:tcPr>
          <w:p w14:paraId="33DC91F7"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47.349.348</w:t>
            </w:r>
          </w:p>
        </w:tc>
        <w:tc>
          <w:tcPr>
            <w:tcW w:w="648" w:type="pct"/>
            <w:tcBorders>
              <w:top w:val="nil"/>
              <w:left w:val="nil"/>
              <w:bottom w:val="single" w:sz="4" w:space="0" w:color="auto"/>
              <w:right w:val="single" w:sz="4" w:space="0" w:color="auto"/>
            </w:tcBorders>
            <w:shd w:val="clear" w:color="auto" w:fill="auto"/>
            <w:noWrap/>
            <w:vAlign w:val="center"/>
            <w:hideMark/>
          </w:tcPr>
          <w:p w14:paraId="2FD87631"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47.349.348</w:t>
            </w:r>
          </w:p>
        </w:tc>
        <w:tc>
          <w:tcPr>
            <w:tcW w:w="648" w:type="pct"/>
            <w:tcBorders>
              <w:top w:val="nil"/>
              <w:left w:val="nil"/>
              <w:bottom w:val="single" w:sz="4" w:space="0" w:color="auto"/>
              <w:right w:val="single" w:sz="4" w:space="0" w:color="auto"/>
            </w:tcBorders>
            <w:shd w:val="clear" w:color="auto" w:fill="auto"/>
            <w:noWrap/>
            <w:vAlign w:val="center"/>
            <w:hideMark/>
          </w:tcPr>
          <w:p w14:paraId="1E3AF7E4"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695.831</w:t>
            </w:r>
          </w:p>
        </w:tc>
        <w:tc>
          <w:tcPr>
            <w:tcW w:w="648" w:type="pct"/>
            <w:tcBorders>
              <w:top w:val="nil"/>
              <w:left w:val="nil"/>
              <w:bottom w:val="single" w:sz="4" w:space="0" w:color="auto"/>
              <w:right w:val="single" w:sz="4" w:space="0" w:color="auto"/>
            </w:tcBorders>
            <w:shd w:val="clear" w:color="auto" w:fill="auto"/>
            <w:noWrap/>
            <w:vAlign w:val="center"/>
            <w:hideMark/>
          </w:tcPr>
          <w:p w14:paraId="5744A13F"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695.831</w:t>
            </w:r>
          </w:p>
        </w:tc>
        <w:tc>
          <w:tcPr>
            <w:tcW w:w="648" w:type="pct"/>
            <w:tcBorders>
              <w:top w:val="nil"/>
              <w:left w:val="nil"/>
              <w:bottom w:val="single" w:sz="4" w:space="0" w:color="auto"/>
              <w:right w:val="single" w:sz="4" w:space="0" w:color="auto"/>
            </w:tcBorders>
            <w:shd w:val="clear" w:color="auto" w:fill="auto"/>
            <w:noWrap/>
            <w:vAlign w:val="center"/>
            <w:hideMark/>
          </w:tcPr>
          <w:p w14:paraId="7EEAC94C"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24.314.911</w:t>
            </w:r>
          </w:p>
        </w:tc>
        <w:tc>
          <w:tcPr>
            <w:tcW w:w="648" w:type="pct"/>
            <w:tcBorders>
              <w:top w:val="nil"/>
              <w:left w:val="nil"/>
              <w:bottom w:val="single" w:sz="4" w:space="0" w:color="auto"/>
              <w:right w:val="single" w:sz="4" w:space="0" w:color="auto"/>
            </w:tcBorders>
            <w:shd w:val="clear" w:color="auto" w:fill="auto"/>
            <w:noWrap/>
            <w:vAlign w:val="center"/>
            <w:hideMark/>
          </w:tcPr>
          <w:p w14:paraId="10395988"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0</w:t>
            </w:r>
          </w:p>
        </w:tc>
      </w:tr>
      <w:tr w:rsidR="00565DF7" w:rsidRPr="00E16BEF" w14:paraId="5857DE7B" w14:textId="77777777" w:rsidTr="00FB2028">
        <w:trPr>
          <w:trHeight w:val="208"/>
          <w:jc w:val="center"/>
        </w:trPr>
        <w:tc>
          <w:tcPr>
            <w:tcW w:w="1114" w:type="pct"/>
            <w:tcBorders>
              <w:top w:val="nil"/>
              <w:left w:val="single" w:sz="4" w:space="0" w:color="auto"/>
              <w:bottom w:val="single" w:sz="4" w:space="0" w:color="auto"/>
              <w:right w:val="single" w:sz="4" w:space="0" w:color="auto"/>
            </w:tcBorders>
            <w:shd w:val="clear" w:color="auto" w:fill="auto"/>
            <w:vAlign w:val="center"/>
            <w:hideMark/>
          </w:tcPr>
          <w:p w14:paraId="585FE65C" w14:textId="77777777" w:rsidR="00565DF7" w:rsidRPr="00FB27C3" w:rsidRDefault="00565DF7" w:rsidP="00286F4A">
            <w:pPr>
              <w:spacing w:after="0" w:line="240" w:lineRule="auto"/>
              <w:contextualSpacing/>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2.1.4. Cultura</w:t>
            </w:r>
          </w:p>
        </w:tc>
        <w:tc>
          <w:tcPr>
            <w:tcW w:w="648" w:type="pct"/>
            <w:tcBorders>
              <w:top w:val="nil"/>
              <w:left w:val="nil"/>
              <w:bottom w:val="single" w:sz="4" w:space="0" w:color="auto"/>
              <w:right w:val="single" w:sz="4" w:space="0" w:color="auto"/>
            </w:tcBorders>
            <w:shd w:val="clear" w:color="auto" w:fill="auto"/>
            <w:noWrap/>
            <w:vAlign w:val="center"/>
            <w:hideMark/>
          </w:tcPr>
          <w:p w14:paraId="72154830"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 </w:t>
            </w:r>
            <w:r w:rsidR="00A26072" w:rsidRPr="00FB27C3">
              <w:rPr>
                <w:rFonts w:ascii="Arial Narrow" w:eastAsia="Times New Roman" w:hAnsi="Arial Narrow" w:cs="Calibri"/>
                <w:sz w:val="18"/>
                <w:szCs w:val="18"/>
                <w:lang w:val="es-CO" w:eastAsia="es-CO"/>
              </w:rPr>
              <w:t>0</w:t>
            </w:r>
          </w:p>
        </w:tc>
        <w:tc>
          <w:tcPr>
            <w:tcW w:w="648" w:type="pct"/>
            <w:tcBorders>
              <w:top w:val="nil"/>
              <w:left w:val="nil"/>
              <w:bottom w:val="single" w:sz="4" w:space="0" w:color="auto"/>
              <w:right w:val="single" w:sz="4" w:space="0" w:color="auto"/>
            </w:tcBorders>
            <w:shd w:val="clear" w:color="auto" w:fill="auto"/>
            <w:noWrap/>
            <w:vAlign w:val="center"/>
            <w:hideMark/>
          </w:tcPr>
          <w:p w14:paraId="357F5871" w14:textId="77777777" w:rsidR="00565DF7" w:rsidRPr="00FB27C3" w:rsidRDefault="00A26072">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0</w:t>
            </w:r>
            <w:r w:rsidR="00565DF7" w:rsidRPr="00FB27C3">
              <w:rPr>
                <w:rFonts w:ascii="Arial Narrow" w:eastAsia="Times New Roman" w:hAnsi="Arial Narrow" w:cs="Calibri"/>
                <w:sz w:val="18"/>
                <w:szCs w:val="18"/>
                <w:lang w:val="es-CO" w:eastAsia="es-CO"/>
              </w:rPr>
              <w:t> </w:t>
            </w:r>
          </w:p>
        </w:tc>
        <w:tc>
          <w:tcPr>
            <w:tcW w:w="648" w:type="pct"/>
            <w:tcBorders>
              <w:top w:val="nil"/>
              <w:left w:val="nil"/>
              <w:bottom w:val="single" w:sz="4" w:space="0" w:color="auto"/>
              <w:right w:val="single" w:sz="4" w:space="0" w:color="auto"/>
            </w:tcBorders>
            <w:shd w:val="clear" w:color="auto" w:fill="auto"/>
            <w:noWrap/>
            <w:vAlign w:val="center"/>
            <w:hideMark/>
          </w:tcPr>
          <w:p w14:paraId="7170BC64"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8.927.680</w:t>
            </w:r>
          </w:p>
        </w:tc>
        <w:tc>
          <w:tcPr>
            <w:tcW w:w="648" w:type="pct"/>
            <w:tcBorders>
              <w:top w:val="nil"/>
              <w:left w:val="nil"/>
              <w:bottom w:val="single" w:sz="4" w:space="0" w:color="auto"/>
              <w:right w:val="single" w:sz="4" w:space="0" w:color="auto"/>
            </w:tcBorders>
            <w:shd w:val="clear" w:color="auto" w:fill="auto"/>
            <w:noWrap/>
            <w:vAlign w:val="center"/>
            <w:hideMark/>
          </w:tcPr>
          <w:p w14:paraId="0CF84443"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8.927.680</w:t>
            </w:r>
          </w:p>
        </w:tc>
        <w:tc>
          <w:tcPr>
            <w:tcW w:w="648" w:type="pct"/>
            <w:tcBorders>
              <w:top w:val="nil"/>
              <w:left w:val="nil"/>
              <w:bottom w:val="single" w:sz="4" w:space="0" w:color="auto"/>
              <w:right w:val="single" w:sz="4" w:space="0" w:color="auto"/>
            </w:tcBorders>
            <w:shd w:val="clear" w:color="auto" w:fill="auto"/>
            <w:noWrap/>
            <w:vAlign w:val="center"/>
            <w:hideMark/>
          </w:tcPr>
          <w:p w14:paraId="2B5F829A"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21.712.487</w:t>
            </w:r>
          </w:p>
        </w:tc>
        <w:tc>
          <w:tcPr>
            <w:tcW w:w="648" w:type="pct"/>
            <w:tcBorders>
              <w:top w:val="nil"/>
              <w:left w:val="nil"/>
              <w:bottom w:val="single" w:sz="4" w:space="0" w:color="auto"/>
              <w:right w:val="single" w:sz="4" w:space="0" w:color="auto"/>
            </w:tcBorders>
            <w:shd w:val="clear" w:color="auto" w:fill="auto"/>
            <w:noWrap/>
            <w:vAlign w:val="center"/>
            <w:hideMark/>
          </w:tcPr>
          <w:p w14:paraId="0A2213A2" w14:textId="77777777" w:rsidR="00565DF7" w:rsidRPr="00FB27C3" w:rsidRDefault="00565DF7">
            <w:pPr>
              <w:spacing w:after="0" w:line="240" w:lineRule="auto"/>
              <w:contextualSpacing/>
              <w:jc w:val="center"/>
              <w:rPr>
                <w:rFonts w:ascii="Arial Narrow" w:eastAsia="Times New Roman" w:hAnsi="Arial Narrow" w:cs="Calibri"/>
                <w:sz w:val="18"/>
                <w:szCs w:val="18"/>
                <w:lang w:val="es-CO" w:eastAsia="es-CO"/>
              </w:rPr>
            </w:pPr>
            <w:r w:rsidRPr="00FB27C3">
              <w:rPr>
                <w:rFonts w:ascii="Arial Narrow" w:eastAsia="Times New Roman" w:hAnsi="Arial Narrow" w:cs="Calibri"/>
                <w:sz w:val="18"/>
                <w:szCs w:val="18"/>
                <w:lang w:val="es-CO" w:eastAsia="es-CO"/>
              </w:rPr>
              <w:t>0</w:t>
            </w:r>
          </w:p>
        </w:tc>
      </w:tr>
    </w:tbl>
    <w:p w14:paraId="3DFEEA1A" w14:textId="77777777" w:rsidR="00FB2028" w:rsidRPr="00FB27C3" w:rsidRDefault="00FB2028" w:rsidP="00286F4A">
      <w:pPr>
        <w:pStyle w:val="NormalWeb"/>
        <w:spacing w:before="0" w:beforeAutospacing="0" w:after="0" w:afterAutospacing="0"/>
        <w:contextualSpacing/>
        <w:jc w:val="center"/>
        <w:rPr>
          <w:rFonts w:ascii="Arial" w:hAnsi="Arial" w:cs="Arial"/>
          <w:color w:val="000000"/>
          <w:sz w:val="16"/>
          <w:szCs w:val="16"/>
        </w:rPr>
      </w:pPr>
      <w:r w:rsidRPr="00FB27C3">
        <w:rPr>
          <w:rFonts w:ascii="Arial" w:hAnsi="Arial" w:cs="Arial"/>
          <w:b/>
          <w:bCs/>
          <w:color w:val="000000"/>
          <w:sz w:val="16"/>
          <w:szCs w:val="16"/>
        </w:rPr>
        <w:t xml:space="preserve">Fuente: </w:t>
      </w:r>
      <w:r w:rsidRPr="00FB27C3">
        <w:rPr>
          <w:rFonts w:ascii="Arial" w:hAnsi="Arial" w:cs="Arial"/>
          <w:color w:val="000000"/>
          <w:sz w:val="16"/>
          <w:szCs w:val="16"/>
        </w:rPr>
        <w:t>Elaboración DAF con base en las ejecuciones presupuestales de ingresos de la Entidad Territorial.</w:t>
      </w:r>
    </w:p>
    <w:p w14:paraId="7767C3FB" w14:textId="77777777" w:rsidR="005966DC" w:rsidRPr="00FB27C3" w:rsidRDefault="005966DC">
      <w:pPr>
        <w:pStyle w:val="NormalWeb"/>
        <w:spacing w:before="0" w:beforeAutospacing="0" w:after="0" w:afterAutospacing="0"/>
        <w:contextualSpacing/>
        <w:rPr>
          <w:rFonts w:ascii="Arial" w:hAnsi="Arial" w:cs="Arial"/>
          <w:color w:val="000000"/>
          <w:sz w:val="22"/>
          <w:szCs w:val="22"/>
        </w:rPr>
      </w:pPr>
    </w:p>
    <w:p w14:paraId="62D65A89" w14:textId="77777777" w:rsidR="00FF70DB" w:rsidRDefault="005966DC">
      <w:pPr>
        <w:spacing w:line="240" w:lineRule="auto"/>
        <w:contextualSpacing/>
        <w:jc w:val="both"/>
        <w:rPr>
          <w:lang w:val="es-CO"/>
        </w:rPr>
      </w:pPr>
      <w:r>
        <w:rPr>
          <w:lang w:val="es-CO"/>
        </w:rPr>
        <w:t xml:space="preserve">Como se puede observar en el </w:t>
      </w:r>
      <w:r w:rsidR="00C768F5">
        <w:rPr>
          <w:lang w:val="es-CO"/>
        </w:rPr>
        <w:t>C</w:t>
      </w:r>
      <w:r>
        <w:rPr>
          <w:lang w:val="es-CO"/>
        </w:rPr>
        <w:t xml:space="preserve">uadro No. </w:t>
      </w:r>
      <w:r w:rsidR="0066565A">
        <w:rPr>
          <w:lang w:val="es-CO"/>
        </w:rPr>
        <w:t>3</w:t>
      </w:r>
      <w:r w:rsidR="00CD392B">
        <w:rPr>
          <w:lang w:val="es-CO"/>
        </w:rPr>
        <w:t xml:space="preserve">, el </w:t>
      </w:r>
      <w:r w:rsidR="00C768F5">
        <w:rPr>
          <w:lang w:val="es-CO"/>
        </w:rPr>
        <w:t>M</w:t>
      </w:r>
      <w:r w:rsidR="00CD392B">
        <w:rPr>
          <w:lang w:val="es-CO"/>
        </w:rPr>
        <w:t xml:space="preserve">unicipio </w:t>
      </w:r>
      <w:r w:rsidR="00BE5A65">
        <w:rPr>
          <w:lang w:val="es-CO"/>
        </w:rPr>
        <w:t>de Puerto Leguízamo – Putumayo presenta diferencias entre el presupuesto definitivo y el valor recaudado</w:t>
      </w:r>
      <w:r w:rsidR="00B83BC9">
        <w:rPr>
          <w:lang w:val="es-CO"/>
        </w:rPr>
        <w:t xml:space="preserve"> en todas las vigencias </w:t>
      </w:r>
      <w:r w:rsidR="00BC64D3">
        <w:rPr>
          <w:lang w:val="es-CO"/>
        </w:rPr>
        <w:t>analizadas</w:t>
      </w:r>
      <w:r w:rsidR="00B83BC9">
        <w:rPr>
          <w:lang w:val="es-CO"/>
        </w:rPr>
        <w:t xml:space="preserve">. </w:t>
      </w:r>
      <w:r w:rsidR="002642E6">
        <w:rPr>
          <w:lang w:val="es-CO"/>
        </w:rPr>
        <w:t>Esta</w:t>
      </w:r>
      <w:r w:rsidR="004C2EDD">
        <w:rPr>
          <w:lang w:val="es-CO"/>
        </w:rPr>
        <w:t>s</w:t>
      </w:r>
      <w:r w:rsidR="002642E6">
        <w:rPr>
          <w:lang w:val="es-CO"/>
        </w:rPr>
        <w:t xml:space="preserve"> diferencia</w:t>
      </w:r>
      <w:r w:rsidR="004C2EDD">
        <w:rPr>
          <w:lang w:val="es-CO"/>
        </w:rPr>
        <w:t>s</w:t>
      </w:r>
      <w:r w:rsidR="002642E6">
        <w:rPr>
          <w:lang w:val="es-CO"/>
        </w:rPr>
        <w:t xml:space="preserve"> asciend</w:t>
      </w:r>
      <w:r w:rsidR="004C2EDD">
        <w:rPr>
          <w:lang w:val="es-CO"/>
        </w:rPr>
        <w:t>en</w:t>
      </w:r>
      <w:r w:rsidR="002642E6">
        <w:rPr>
          <w:lang w:val="es-CO"/>
        </w:rPr>
        <w:t xml:space="preserve"> a</w:t>
      </w:r>
      <w:r w:rsidR="004C2EDD">
        <w:rPr>
          <w:lang w:val="es-CO"/>
        </w:rPr>
        <w:t xml:space="preserve"> </w:t>
      </w:r>
      <w:r w:rsidR="00AE534E">
        <w:rPr>
          <w:lang w:val="es-CO"/>
        </w:rPr>
        <w:t>$</w:t>
      </w:r>
      <w:r w:rsidR="00C05C3D" w:rsidRPr="00C05C3D">
        <w:rPr>
          <w:lang w:val="es-CO"/>
        </w:rPr>
        <w:t>126.985.153</w:t>
      </w:r>
      <w:r w:rsidR="00C05C3D">
        <w:rPr>
          <w:lang w:val="es-CO"/>
        </w:rPr>
        <w:t xml:space="preserve"> </w:t>
      </w:r>
      <w:r w:rsidR="00AE534E">
        <w:rPr>
          <w:lang w:val="es-CO"/>
        </w:rPr>
        <w:t>en 2018, $</w:t>
      </w:r>
      <w:r w:rsidR="00AE534E" w:rsidRPr="004C2EDD">
        <w:rPr>
          <w:lang w:val="es-CO"/>
        </w:rPr>
        <w:t>222.951.393</w:t>
      </w:r>
      <w:r w:rsidR="00AE534E">
        <w:rPr>
          <w:lang w:val="es-CO"/>
        </w:rPr>
        <w:t xml:space="preserve"> en 2019 y $</w:t>
      </w:r>
      <w:r w:rsidR="0023303A" w:rsidRPr="0023303A">
        <w:rPr>
          <w:lang w:val="es-CO"/>
        </w:rPr>
        <w:t>154.493.357</w:t>
      </w:r>
      <w:r w:rsidR="0023303A">
        <w:rPr>
          <w:lang w:val="es-CO"/>
        </w:rPr>
        <w:t xml:space="preserve"> en 2020. </w:t>
      </w:r>
      <w:r w:rsidR="0068346A">
        <w:rPr>
          <w:lang w:val="es-CO"/>
        </w:rPr>
        <w:t xml:space="preserve">En el caso de las vigencias 2018 y 2019 la diferencia se presenta en los ingresos corrientes de la Participación de Propósito General, lo cual es inconsistente teniendo en cuenta que el giro que se realiza </w:t>
      </w:r>
      <w:r w:rsidR="003D1CDA">
        <w:rPr>
          <w:lang w:val="es-CO"/>
        </w:rPr>
        <w:t xml:space="preserve">de los recursos comprende la totalidad del monto asignado a través de los </w:t>
      </w:r>
      <w:r w:rsidR="00C768F5">
        <w:rPr>
          <w:lang w:val="es-CO"/>
        </w:rPr>
        <w:t>d</w:t>
      </w:r>
      <w:r w:rsidR="003D1CDA">
        <w:rPr>
          <w:lang w:val="es-CO"/>
        </w:rPr>
        <w:t xml:space="preserve">ocumentos de </w:t>
      </w:r>
      <w:r w:rsidR="00C768F5">
        <w:rPr>
          <w:lang w:val="es-CO"/>
        </w:rPr>
        <w:t>d</w:t>
      </w:r>
      <w:r w:rsidR="003D1CDA">
        <w:rPr>
          <w:lang w:val="es-CO"/>
        </w:rPr>
        <w:t>istribución</w:t>
      </w:r>
      <w:r w:rsidR="0038264C">
        <w:rPr>
          <w:lang w:val="es-CO"/>
        </w:rPr>
        <w:t xml:space="preserve">, por lo </w:t>
      </w:r>
      <w:r w:rsidR="00FF70DB">
        <w:rPr>
          <w:lang w:val="es-CO"/>
        </w:rPr>
        <w:t xml:space="preserve">cual se puede observar una inconsistencia entre el presupuesto que realiza la </w:t>
      </w:r>
      <w:r w:rsidR="00C768F5">
        <w:rPr>
          <w:lang w:val="es-CO"/>
        </w:rPr>
        <w:t>E</w:t>
      </w:r>
      <w:r w:rsidR="00FF70DB">
        <w:rPr>
          <w:lang w:val="es-CO"/>
        </w:rPr>
        <w:t xml:space="preserve">ntidad </w:t>
      </w:r>
      <w:r w:rsidR="00C768F5">
        <w:rPr>
          <w:lang w:val="es-CO"/>
        </w:rPr>
        <w:t>T</w:t>
      </w:r>
      <w:r w:rsidR="00FF70DB">
        <w:rPr>
          <w:lang w:val="es-CO"/>
        </w:rPr>
        <w:t>erritorial y el recaudo efectivo de lo que se asigna a través de los documentos de distribución</w:t>
      </w:r>
      <w:r w:rsidR="003D1CDA">
        <w:rPr>
          <w:lang w:val="es-CO"/>
        </w:rPr>
        <w:t xml:space="preserve">. </w:t>
      </w:r>
    </w:p>
    <w:p w14:paraId="545C1867" w14:textId="77777777" w:rsidR="00C768F5" w:rsidRDefault="00C768F5">
      <w:pPr>
        <w:spacing w:line="240" w:lineRule="auto"/>
        <w:contextualSpacing/>
        <w:jc w:val="both"/>
        <w:rPr>
          <w:lang w:val="es-CO"/>
        </w:rPr>
      </w:pPr>
    </w:p>
    <w:p w14:paraId="6C211111" w14:textId="77777777" w:rsidR="00E017EA" w:rsidRDefault="00EB27C7">
      <w:pPr>
        <w:spacing w:line="240" w:lineRule="auto"/>
        <w:contextualSpacing/>
        <w:jc w:val="both"/>
        <w:rPr>
          <w:lang w:val="es-CO"/>
        </w:rPr>
      </w:pPr>
      <w:r>
        <w:rPr>
          <w:lang w:val="es-CO"/>
        </w:rPr>
        <w:t>En 2020 la diferencia se presenta en los recursos de capital, en donde se registra un superávit fiscal por $</w:t>
      </w:r>
      <w:r w:rsidRPr="00EB27C7">
        <w:rPr>
          <w:lang w:val="es-CO"/>
        </w:rPr>
        <w:t>154.493.357</w:t>
      </w:r>
      <w:r>
        <w:rPr>
          <w:lang w:val="es-CO"/>
        </w:rPr>
        <w:t xml:space="preserve"> en el presupuesto definitivo que no </w:t>
      </w:r>
      <w:r w:rsidR="005C4FA3">
        <w:rPr>
          <w:lang w:val="es-CO"/>
        </w:rPr>
        <w:t xml:space="preserve">se reconoce en el recaudo. Esta situación también llama la atención </w:t>
      </w:r>
      <w:r w:rsidR="00D64481">
        <w:rPr>
          <w:lang w:val="es-CO"/>
        </w:rPr>
        <w:t>dado que,</w:t>
      </w:r>
      <w:r w:rsidR="005C4FA3">
        <w:rPr>
          <w:lang w:val="es-CO"/>
        </w:rPr>
        <w:t xml:space="preserve"> al tratarse de recursos del balance</w:t>
      </w:r>
      <w:r w:rsidR="006F2123">
        <w:rPr>
          <w:lang w:val="es-CO"/>
        </w:rPr>
        <w:t>,</w:t>
      </w:r>
      <w:r w:rsidR="005C4FA3">
        <w:rPr>
          <w:lang w:val="es-CO"/>
        </w:rPr>
        <w:t xml:space="preserve"> estos ya fueron recaudados por la </w:t>
      </w:r>
      <w:r w:rsidR="00C768F5">
        <w:rPr>
          <w:lang w:val="es-CO"/>
        </w:rPr>
        <w:t>E</w:t>
      </w:r>
      <w:r w:rsidR="005C4FA3">
        <w:rPr>
          <w:lang w:val="es-CO"/>
        </w:rPr>
        <w:t xml:space="preserve">ntidad </w:t>
      </w:r>
      <w:r w:rsidR="00C768F5">
        <w:rPr>
          <w:lang w:val="es-CO"/>
        </w:rPr>
        <w:t>T</w:t>
      </w:r>
      <w:r w:rsidR="005C4FA3">
        <w:rPr>
          <w:lang w:val="es-CO"/>
        </w:rPr>
        <w:t>erritorial en la vigencia anterior</w:t>
      </w:r>
      <w:r w:rsidR="009D0401">
        <w:rPr>
          <w:lang w:val="es-CO"/>
        </w:rPr>
        <w:t xml:space="preserve">, por lo cual su recaudo no debería ser </w:t>
      </w:r>
      <w:r w:rsidR="00200CD6">
        <w:rPr>
          <w:lang w:val="es-CO"/>
        </w:rPr>
        <w:t>cero</w:t>
      </w:r>
      <w:r w:rsidR="005C4FA3">
        <w:rPr>
          <w:lang w:val="es-CO"/>
        </w:rPr>
        <w:t>.</w:t>
      </w:r>
    </w:p>
    <w:p w14:paraId="4B98975C" w14:textId="77777777" w:rsidR="00C768F5" w:rsidRDefault="00C768F5">
      <w:pPr>
        <w:spacing w:line="240" w:lineRule="auto"/>
        <w:contextualSpacing/>
        <w:jc w:val="both"/>
        <w:rPr>
          <w:lang w:val="es-CO"/>
        </w:rPr>
      </w:pPr>
    </w:p>
    <w:p w14:paraId="37F38AB3" w14:textId="77777777" w:rsidR="004D1724" w:rsidRDefault="00A402A8">
      <w:pPr>
        <w:spacing w:line="240" w:lineRule="auto"/>
        <w:contextualSpacing/>
        <w:jc w:val="both"/>
        <w:rPr>
          <w:lang w:val="es-CO"/>
        </w:rPr>
      </w:pPr>
      <w:r>
        <w:rPr>
          <w:lang w:val="es-CO"/>
        </w:rPr>
        <w:t xml:space="preserve">Frente a los recursos de capital, se puede observar que el </w:t>
      </w:r>
      <w:r w:rsidR="00C768F5">
        <w:rPr>
          <w:lang w:val="es-CO"/>
        </w:rPr>
        <w:t>M</w:t>
      </w:r>
      <w:r>
        <w:rPr>
          <w:lang w:val="es-CO"/>
        </w:rPr>
        <w:t>unicipio de Puerto Leguízamo – Putumay</w:t>
      </w:r>
      <w:r w:rsidRPr="37CA52DC">
        <w:rPr>
          <w:rFonts w:eastAsia="Arial" w:cs="Arial"/>
          <w:lang w:val="es-CO"/>
        </w:rPr>
        <w:t xml:space="preserve">o </w:t>
      </w:r>
      <w:r w:rsidR="00020E12" w:rsidRPr="37CA52DC">
        <w:rPr>
          <w:rFonts w:eastAsia="Arial" w:cs="Arial"/>
          <w:lang w:val="es-CO"/>
        </w:rPr>
        <w:t>únicamente registra recursos del balance derivados del superávit fiscal de la vigencia anterior</w:t>
      </w:r>
      <w:r w:rsidR="00B31F94">
        <w:rPr>
          <w:rFonts w:eastAsia="Arial" w:cs="Arial"/>
          <w:lang w:val="es-CO"/>
        </w:rPr>
        <w:t xml:space="preserve"> y</w:t>
      </w:r>
      <w:r w:rsidR="00020E12" w:rsidRPr="37CA52DC">
        <w:rPr>
          <w:rFonts w:eastAsia="Arial" w:cs="Arial"/>
          <w:lang w:val="es-CO"/>
        </w:rPr>
        <w:t xml:space="preserve"> en las ejecuciones presupuestales no se reconocen ni se incorporan los rendimientos financieros. </w:t>
      </w:r>
      <w:r w:rsidR="008B5961" w:rsidRPr="37CA52DC">
        <w:rPr>
          <w:rFonts w:eastAsia="Arial" w:cs="Arial"/>
          <w:lang w:val="es-CO"/>
        </w:rPr>
        <w:t xml:space="preserve">Esto </w:t>
      </w:r>
      <w:r w:rsidR="0013324F" w:rsidRPr="37CA52DC">
        <w:rPr>
          <w:rFonts w:eastAsia="Arial" w:cs="Arial"/>
          <w:lang w:val="es-CO"/>
        </w:rPr>
        <w:t>es inconsistente</w:t>
      </w:r>
      <w:r w:rsidR="008B5961" w:rsidRPr="37CA52DC">
        <w:rPr>
          <w:rFonts w:eastAsia="Arial" w:cs="Arial"/>
          <w:lang w:val="es-CO"/>
        </w:rPr>
        <w:t xml:space="preserve"> debido a que la normativa vigente relacionada con el manejo de las </w:t>
      </w:r>
      <w:r w:rsidR="00C768F5">
        <w:rPr>
          <w:rFonts w:eastAsia="Arial" w:cs="Arial"/>
          <w:lang w:val="es-CO"/>
        </w:rPr>
        <w:t>C</w:t>
      </w:r>
      <w:r w:rsidR="008B5961" w:rsidRPr="37CA52DC">
        <w:rPr>
          <w:rFonts w:eastAsia="Arial" w:cs="Arial"/>
          <w:lang w:val="es-CO"/>
        </w:rPr>
        <w:t xml:space="preserve">uentas </w:t>
      </w:r>
      <w:r w:rsidR="00C768F5">
        <w:rPr>
          <w:rFonts w:eastAsia="Arial" w:cs="Arial"/>
          <w:lang w:val="es-CO"/>
        </w:rPr>
        <w:t>M</w:t>
      </w:r>
      <w:r w:rsidR="008B5961" w:rsidRPr="37CA52DC">
        <w:rPr>
          <w:rFonts w:eastAsia="Arial" w:cs="Arial"/>
          <w:lang w:val="es-CO"/>
        </w:rPr>
        <w:t xml:space="preserve">aestras </w:t>
      </w:r>
      <w:r w:rsidR="008B5961" w:rsidRPr="7B72B5AC">
        <w:rPr>
          <w:lang w:val="es-CO"/>
        </w:rPr>
        <w:t xml:space="preserve">(Resolución 4835 de 2015) estipula que deben reconocerse rendimientos financieros </w:t>
      </w:r>
      <w:r w:rsidR="008B5961">
        <w:rPr>
          <w:lang w:val="es-CO"/>
        </w:rPr>
        <w:t>en</w:t>
      </w:r>
      <w:r w:rsidR="008B5961" w:rsidRPr="7B72B5AC">
        <w:rPr>
          <w:lang w:val="es-CO"/>
        </w:rPr>
        <w:t xml:space="preserve"> las cuentas en donde se manejan los recursos del SGP por parte de las entidades financieras.</w:t>
      </w:r>
    </w:p>
    <w:p w14:paraId="151CCC8C" w14:textId="77777777" w:rsidR="00C768F5" w:rsidRDefault="00C768F5">
      <w:pPr>
        <w:spacing w:line="240" w:lineRule="auto"/>
        <w:contextualSpacing/>
        <w:jc w:val="both"/>
        <w:rPr>
          <w:lang w:val="es-CO"/>
        </w:rPr>
      </w:pPr>
    </w:p>
    <w:p w14:paraId="0CDFD055" w14:textId="77777777" w:rsidR="00A80D6F" w:rsidRDefault="008B5961">
      <w:pPr>
        <w:spacing w:line="240" w:lineRule="auto"/>
        <w:contextualSpacing/>
        <w:jc w:val="both"/>
        <w:rPr>
          <w:lang w:val="es-CO"/>
        </w:rPr>
      </w:pPr>
      <w:r w:rsidRPr="00EC5F42">
        <w:rPr>
          <w:lang w:val="es-CO"/>
        </w:rPr>
        <w:lastRenderedPageBreak/>
        <w:t>Según los extractos bancarios</w:t>
      </w:r>
      <w:r>
        <w:rPr>
          <w:lang w:val="es-CO"/>
        </w:rPr>
        <w:t xml:space="preserve"> de la Cuenta Maestra de Propósito General se están reconociendo mes a mes los intereses por parte de la entidad bancaria,</w:t>
      </w:r>
      <w:r w:rsidR="00A80D6F">
        <w:rPr>
          <w:lang w:val="es-CO"/>
        </w:rPr>
        <w:t xml:space="preserve"> </w:t>
      </w:r>
      <w:r w:rsidR="00A908C9">
        <w:rPr>
          <w:lang w:val="es-CO"/>
        </w:rPr>
        <w:t>por ejemplo</w:t>
      </w:r>
      <w:r w:rsidR="00A908C9" w:rsidRPr="00EC5F42">
        <w:rPr>
          <w:lang w:val="es-CO"/>
        </w:rPr>
        <w:t xml:space="preserve">, </w:t>
      </w:r>
      <w:r w:rsidR="00A908C9">
        <w:rPr>
          <w:lang w:val="es-CO"/>
        </w:rPr>
        <w:t>en</w:t>
      </w:r>
      <w:r w:rsidR="00A908C9" w:rsidRPr="00EC5F42">
        <w:rPr>
          <w:lang w:val="es-CO"/>
        </w:rPr>
        <w:t xml:space="preserve"> diciembre de 201</w:t>
      </w:r>
      <w:r w:rsidR="00A908C9">
        <w:rPr>
          <w:lang w:val="es-CO"/>
        </w:rPr>
        <w:t>8</w:t>
      </w:r>
      <w:r w:rsidR="00A908C9" w:rsidRPr="00EC5F42">
        <w:rPr>
          <w:lang w:val="es-CO"/>
        </w:rPr>
        <w:t xml:space="preserve"> se abonaron $</w:t>
      </w:r>
      <w:r w:rsidR="004676B3">
        <w:rPr>
          <w:lang w:val="es-CO"/>
        </w:rPr>
        <w:t>177.242</w:t>
      </w:r>
      <w:r w:rsidR="00A908C9">
        <w:rPr>
          <w:lang w:val="es-CO"/>
        </w:rPr>
        <w:t xml:space="preserve"> </w:t>
      </w:r>
      <w:r w:rsidR="00A908C9" w:rsidRPr="00EC5F42">
        <w:rPr>
          <w:lang w:val="es-CO"/>
        </w:rPr>
        <w:t xml:space="preserve">por concepto de intereses en la Cuenta Maestra, </w:t>
      </w:r>
      <w:r w:rsidR="00A908C9">
        <w:rPr>
          <w:lang w:val="es-CO"/>
        </w:rPr>
        <w:t>en</w:t>
      </w:r>
      <w:r w:rsidR="00A908C9" w:rsidRPr="00EC5F42">
        <w:rPr>
          <w:lang w:val="es-CO"/>
        </w:rPr>
        <w:t xml:space="preserve"> diciembre de 201</w:t>
      </w:r>
      <w:r w:rsidR="00A908C9">
        <w:rPr>
          <w:lang w:val="es-CO"/>
        </w:rPr>
        <w:t>9</w:t>
      </w:r>
      <w:r w:rsidR="00A908C9" w:rsidRPr="00EC5F42">
        <w:rPr>
          <w:lang w:val="es-CO"/>
        </w:rPr>
        <w:t>, se abonaron $</w:t>
      </w:r>
      <w:r w:rsidR="003843E3">
        <w:rPr>
          <w:lang w:val="es-CO"/>
        </w:rPr>
        <w:t>2</w:t>
      </w:r>
      <w:r w:rsidR="00ED6E2D">
        <w:rPr>
          <w:lang w:val="es-CO"/>
        </w:rPr>
        <w:t>6.205</w:t>
      </w:r>
      <w:r w:rsidR="00A908C9">
        <w:rPr>
          <w:lang w:val="es-CO"/>
        </w:rPr>
        <w:t xml:space="preserve"> y en diciembre de 2020 los intereses reconocidos ascendieron a $</w:t>
      </w:r>
      <w:r w:rsidR="00ED6E2D">
        <w:rPr>
          <w:lang w:val="es-CO"/>
        </w:rPr>
        <w:t>130.637.</w:t>
      </w:r>
      <w:r w:rsidR="004D1724">
        <w:rPr>
          <w:lang w:val="es-CO"/>
        </w:rPr>
        <w:t xml:space="preserve"> </w:t>
      </w:r>
      <w:r w:rsidR="00A80D6F" w:rsidRPr="000A1B75">
        <w:rPr>
          <w:lang w:val="es-CO"/>
        </w:rPr>
        <w:t>Por lo tanto, hay un manejo presupuestal inadecuado de dichos recursos ya que no se están registrando y no se separan de acuerdo con su naturaleza.</w:t>
      </w:r>
    </w:p>
    <w:p w14:paraId="01480C92" w14:textId="77777777" w:rsidR="00C768F5" w:rsidRDefault="00C768F5">
      <w:pPr>
        <w:spacing w:line="240" w:lineRule="auto"/>
        <w:contextualSpacing/>
        <w:jc w:val="both"/>
        <w:rPr>
          <w:lang w:val="es-CO"/>
        </w:rPr>
      </w:pPr>
    </w:p>
    <w:p w14:paraId="4416FFA7" w14:textId="77777777" w:rsidR="00FB37FA" w:rsidRPr="00FB27C3" w:rsidRDefault="005F75CF">
      <w:pPr>
        <w:spacing w:line="240" w:lineRule="auto"/>
        <w:contextualSpacing/>
        <w:jc w:val="both"/>
        <w:rPr>
          <w:b/>
          <w:bCs/>
        </w:rPr>
      </w:pPr>
      <w:r w:rsidRPr="00FB27C3">
        <w:rPr>
          <w:b/>
          <w:bCs/>
        </w:rPr>
        <w:t>3.2 GASTOS</w:t>
      </w:r>
      <w:r w:rsidR="00C768F5">
        <w:rPr>
          <w:b/>
          <w:bCs/>
        </w:rPr>
        <w:t>.</w:t>
      </w:r>
    </w:p>
    <w:p w14:paraId="415A6F81" w14:textId="77777777" w:rsidR="00C768F5" w:rsidRDefault="00C768F5">
      <w:pPr>
        <w:spacing w:line="240" w:lineRule="auto"/>
        <w:contextualSpacing/>
        <w:jc w:val="both"/>
      </w:pPr>
    </w:p>
    <w:p w14:paraId="457471E4" w14:textId="77777777" w:rsidR="00FB37FA" w:rsidRDefault="00FB37FA">
      <w:pPr>
        <w:spacing w:line="240" w:lineRule="auto"/>
        <w:contextualSpacing/>
        <w:jc w:val="both"/>
      </w:pPr>
      <w:r>
        <w:t xml:space="preserve">En las ejecuciones </w:t>
      </w:r>
      <w:r w:rsidR="009C055F">
        <w:t xml:space="preserve">presupuestales </w:t>
      </w:r>
      <w:r>
        <w:t xml:space="preserve">de gastos </w:t>
      </w:r>
      <w:r w:rsidR="00811CC7">
        <w:t xml:space="preserve">remitidas por el </w:t>
      </w:r>
      <w:r w:rsidR="00C768F5">
        <w:t>M</w:t>
      </w:r>
      <w:r w:rsidR="00811CC7">
        <w:t>unicipio de Puerto Leguízamo – Putumayo se presenta</w:t>
      </w:r>
      <w:r w:rsidR="009C055F">
        <w:t>n</w:t>
      </w:r>
      <w:r w:rsidR="00811CC7">
        <w:t xml:space="preserve"> de manera separada las apropiaciones </w:t>
      </w:r>
      <w:r w:rsidR="009C055F">
        <w:t>con</w:t>
      </w:r>
      <w:r w:rsidR="00811CC7">
        <w:t xml:space="preserve"> cargo </w:t>
      </w:r>
      <w:r w:rsidR="009C055F">
        <w:t>a</w:t>
      </w:r>
      <w:r w:rsidR="00811CC7">
        <w:t xml:space="preserve"> las 11 doceavas y l</w:t>
      </w:r>
      <w:r w:rsidR="000A1342">
        <w:t>a</w:t>
      </w:r>
      <w:r w:rsidR="00811CC7">
        <w:t>s provenientes de la última doceava</w:t>
      </w:r>
      <w:r w:rsidR="009C055F">
        <w:t>, así como los recursos del balance</w:t>
      </w:r>
      <w:r w:rsidR="00811CC7">
        <w:t xml:space="preserve"> para cada vigencia, por lo cual</w:t>
      </w:r>
      <w:r w:rsidR="009C055F">
        <w:t>,</w:t>
      </w:r>
      <w:r w:rsidR="00811CC7">
        <w:t xml:space="preserve"> para el presente informe se agregan estos componentes en un solo rubro.</w:t>
      </w:r>
    </w:p>
    <w:p w14:paraId="1F42235A" w14:textId="77777777" w:rsidR="00C768F5" w:rsidRDefault="00C768F5">
      <w:pPr>
        <w:spacing w:line="240" w:lineRule="auto"/>
        <w:contextualSpacing/>
        <w:jc w:val="both"/>
      </w:pPr>
    </w:p>
    <w:p w14:paraId="47530046" w14:textId="77777777" w:rsidR="005F75CF" w:rsidRDefault="005F75CF">
      <w:pPr>
        <w:pStyle w:val="Prrafodelista"/>
        <w:numPr>
          <w:ilvl w:val="0"/>
          <w:numId w:val="8"/>
        </w:numPr>
        <w:spacing w:line="240" w:lineRule="auto"/>
        <w:rPr>
          <w:b/>
          <w:bCs/>
        </w:rPr>
      </w:pPr>
      <w:r>
        <w:rPr>
          <w:b/>
          <w:bCs/>
        </w:rPr>
        <w:t xml:space="preserve">Análisis </w:t>
      </w:r>
      <w:r w:rsidR="005579DE">
        <w:rPr>
          <w:b/>
          <w:bCs/>
        </w:rPr>
        <w:t>presupuestal</w:t>
      </w:r>
      <w:r w:rsidR="00C768F5">
        <w:rPr>
          <w:b/>
          <w:bCs/>
        </w:rPr>
        <w:t>.</w:t>
      </w:r>
    </w:p>
    <w:p w14:paraId="563E4955" w14:textId="77777777" w:rsidR="00C768F5" w:rsidRDefault="00C768F5">
      <w:pPr>
        <w:spacing w:line="240" w:lineRule="auto"/>
        <w:contextualSpacing/>
        <w:jc w:val="both"/>
      </w:pPr>
    </w:p>
    <w:p w14:paraId="2E901BCB" w14:textId="77777777" w:rsidR="005E1D45" w:rsidRDefault="005E1D45">
      <w:pPr>
        <w:spacing w:line="240" w:lineRule="auto"/>
        <w:contextualSpacing/>
        <w:jc w:val="both"/>
      </w:pPr>
      <w:r>
        <w:t xml:space="preserve">De acuerdo con la información contenida en estas ejecuciones, el </w:t>
      </w:r>
      <w:r w:rsidR="00C768F5">
        <w:t>M</w:t>
      </w:r>
      <w:r>
        <w:t>unicipio comprometió el 91</w:t>
      </w:r>
      <w:r w:rsidR="00C768F5">
        <w:t xml:space="preserve"> </w:t>
      </w:r>
      <w:r>
        <w:t>% de lo presupuestado en la vigencia 2018, en 2019 ejecutó el 99</w:t>
      </w:r>
      <w:r w:rsidR="00C768F5">
        <w:t xml:space="preserve"> </w:t>
      </w:r>
      <w:r>
        <w:t>% del presupuesto de gastos, y en 2020, el monto comprometido fue de 9</w:t>
      </w:r>
      <w:r w:rsidR="00C52734">
        <w:t>6</w:t>
      </w:r>
      <w:r w:rsidR="00C768F5">
        <w:t xml:space="preserve"> </w:t>
      </w:r>
      <w:r>
        <w:t>%. En cuanto a los saldos sin comprometer, estos presentaron una disminución significativa entre 2018 y 2019, ya que pasaron de $</w:t>
      </w:r>
      <w:r w:rsidR="00A90404" w:rsidRPr="00A90404">
        <w:t>277.010.268</w:t>
      </w:r>
      <w:r w:rsidR="00A90404">
        <w:t xml:space="preserve"> </w:t>
      </w:r>
      <w:r>
        <w:t>a $</w:t>
      </w:r>
      <w:r w:rsidRPr="00E50CA4">
        <w:t>16.837.171</w:t>
      </w:r>
      <w:r>
        <w:t>; mientras, en 2020 incrementaron</w:t>
      </w:r>
      <w:r w:rsidR="00A90404">
        <w:t xml:space="preserve"> nuevamente</w:t>
      </w:r>
      <w:r>
        <w:t xml:space="preserve"> a $</w:t>
      </w:r>
      <w:r w:rsidR="00A90404" w:rsidRPr="00A90404">
        <w:t>114.690.421</w:t>
      </w:r>
      <w:r>
        <w:t>. Lo anterior, refleja una disminución en el nivel de ejecución para la última vigencia analizada. En cuanto a los niveles de ejecución por destinación, para los casos de Libre Destinación y Libre Inversión, en las tres vigencias analizadas estos se mantuvieron por encima del 90</w:t>
      </w:r>
      <w:r w:rsidR="00C768F5">
        <w:t xml:space="preserve"> </w:t>
      </w:r>
      <w:r>
        <w:t>%. En los casos de Deporte y Recreación y Cultura, en la vigencia 2020 se reportó una disminución en la ejecución, la cual fue del 68</w:t>
      </w:r>
      <w:r w:rsidR="00C768F5">
        <w:t xml:space="preserve"> </w:t>
      </w:r>
      <w:r>
        <w:t>% de los recursos para Deporte y 57</w:t>
      </w:r>
      <w:r w:rsidR="00C768F5">
        <w:t xml:space="preserve"> </w:t>
      </w:r>
      <w:r>
        <w:t>% para Cultura.</w:t>
      </w:r>
    </w:p>
    <w:p w14:paraId="69871362" w14:textId="77777777" w:rsidR="00C768F5" w:rsidRPr="005E1D45" w:rsidRDefault="00C768F5">
      <w:pPr>
        <w:spacing w:line="240" w:lineRule="auto"/>
        <w:contextualSpacing/>
        <w:jc w:val="both"/>
        <w:rPr>
          <w:b/>
          <w:bCs/>
        </w:rPr>
      </w:pPr>
    </w:p>
    <w:p w14:paraId="7DFF923B" w14:textId="77777777" w:rsidR="00C806CA" w:rsidRPr="00567AAE" w:rsidRDefault="00C806CA">
      <w:pPr>
        <w:spacing w:after="0" w:line="240" w:lineRule="auto"/>
        <w:contextualSpacing/>
        <w:jc w:val="center"/>
        <w:textAlignment w:val="baseline"/>
        <w:rPr>
          <w:rFonts w:eastAsia="Times New Roman" w:cs="Arial"/>
          <w:b/>
          <w:bCs/>
          <w:sz w:val="20"/>
          <w:szCs w:val="20"/>
          <w:lang w:val="es-CO" w:eastAsia="es-CO"/>
        </w:rPr>
      </w:pPr>
      <w:r w:rsidRPr="00567AAE">
        <w:rPr>
          <w:rFonts w:eastAsia="Times New Roman" w:cs="Arial"/>
          <w:b/>
          <w:bCs/>
          <w:sz w:val="20"/>
          <w:szCs w:val="20"/>
          <w:lang w:val="es-CO" w:eastAsia="es-CO"/>
        </w:rPr>
        <w:t xml:space="preserve">Cuadro No. </w:t>
      </w:r>
      <w:r w:rsidR="0066565A">
        <w:rPr>
          <w:rFonts w:eastAsia="Times New Roman" w:cs="Arial"/>
          <w:b/>
          <w:bCs/>
          <w:sz w:val="20"/>
          <w:szCs w:val="20"/>
          <w:lang w:val="es-CO" w:eastAsia="es-CO"/>
        </w:rPr>
        <w:t>4</w:t>
      </w:r>
    </w:p>
    <w:p w14:paraId="5099D665" w14:textId="77777777" w:rsidR="00C806CA" w:rsidRDefault="00C806CA">
      <w:pPr>
        <w:spacing w:after="0" w:line="240" w:lineRule="auto"/>
        <w:contextualSpacing/>
        <w:jc w:val="center"/>
        <w:textAlignment w:val="baseline"/>
        <w:rPr>
          <w:rFonts w:eastAsia="Times New Roman" w:cs="Arial"/>
          <w:sz w:val="20"/>
          <w:szCs w:val="20"/>
          <w:lang w:val="es-CO" w:eastAsia="es-CO"/>
        </w:rPr>
      </w:pPr>
      <w:r w:rsidRPr="00567AAE">
        <w:rPr>
          <w:rFonts w:eastAsia="Times New Roman" w:cs="Arial"/>
          <w:sz w:val="20"/>
          <w:szCs w:val="20"/>
          <w:lang w:val="es-CO" w:eastAsia="es-CO"/>
        </w:rPr>
        <w:t>Análisis de gastos</w:t>
      </w:r>
    </w:p>
    <w:p w14:paraId="38C2CF5C" w14:textId="77777777" w:rsidR="00C806CA" w:rsidRDefault="00C806CA">
      <w:pPr>
        <w:spacing w:after="0" w:line="240" w:lineRule="auto"/>
        <w:contextualSpacing/>
        <w:jc w:val="center"/>
        <w:textAlignment w:val="baseline"/>
        <w:rPr>
          <w:rFonts w:eastAsia="Times New Roman" w:cs="Arial"/>
          <w:sz w:val="20"/>
          <w:szCs w:val="20"/>
          <w:lang w:val="es-CO" w:eastAsia="es-CO"/>
        </w:rPr>
      </w:pPr>
      <w:r>
        <w:rPr>
          <w:rFonts w:eastAsia="Times New Roman" w:cs="Arial"/>
          <w:sz w:val="20"/>
          <w:szCs w:val="20"/>
          <w:lang w:val="es-CO" w:eastAsia="es-CO"/>
        </w:rPr>
        <w:t>Municipio de Puerto Leguízamo – Putumayo</w:t>
      </w:r>
    </w:p>
    <w:tbl>
      <w:tblPr>
        <w:tblW w:w="5446" w:type="pct"/>
        <w:jc w:val="center"/>
        <w:tblCellMar>
          <w:left w:w="70" w:type="dxa"/>
          <w:right w:w="70" w:type="dxa"/>
        </w:tblCellMar>
        <w:tblLook w:val="04A0" w:firstRow="1" w:lastRow="0" w:firstColumn="1" w:lastColumn="0" w:noHBand="0" w:noVBand="1"/>
      </w:tblPr>
      <w:tblGrid>
        <w:gridCol w:w="748"/>
        <w:gridCol w:w="2232"/>
        <w:gridCol w:w="1292"/>
        <w:gridCol w:w="1351"/>
        <w:gridCol w:w="1292"/>
        <w:gridCol w:w="1292"/>
        <w:gridCol w:w="1141"/>
        <w:gridCol w:w="1480"/>
      </w:tblGrid>
      <w:tr w:rsidR="002C042B" w:rsidRPr="002C042B" w14:paraId="3E5E6743" w14:textId="77777777" w:rsidTr="00FB27C3">
        <w:trPr>
          <w:trHeight w:val="220"/>
          <w:tblHeader/>
          <w:jc w:val="center"/>
        </w:trPr>
        <w:tc>
          <w:tcPr>
            <w:tcW w:w="5000" w:type="pct"/>
            <w:gridSpan w:val="8"/>
            <w:tcBorders>
              <w:top w:val="nil"/>
              <w:left w:val="single" w:sz="4" w:space="0" w:color="auto"/>
              <w:bottom w:val="single" w:sz="4" w:space="0" w:color="auto"/>
              <w:right w:val="nil"/>
            </w:tcBorders>
            <w:shd w:val="clear" w:color="000000" w:fill="666699"/>
            <w:noWrap/>
            <w:vAlign w:val="center"/>
            <w:hideMark/>
          </w:tcPr>
          <w:p w14:paraId="2499E121" w14:textId="77777777" w:rsidR="002C042B" w:rsidRPr="002C042B" w:rsidRDefault="002C042B">
            <w:pPr>
              <w:spacing w:after="0" w:line="240" w:lineRule="auto"/>
              <w:contextualSpacing/>
              <w:jc w:val="center"/>
              <w:rPr>
                <w:rFonts w:ascii="Arial Narrow" w:eastAsia="Times New Roman" w:hAnsi="Arial Narrow" w:cs="Calibri"/>
                <w:b/>
                <w:bCs/>
                <w:color w:val="FFFFFF"/>
                <w:sz w:val="18"/>
                <w:szCs w:val="18"/>
                <w:lang w:val="es-CO" w:eastAsia="es-CO"/>
              </w:rPr>
            </w:pPr>
            <w:r w:rsidRPr="002C042B">
              <w:rPr>
                <w:rFonts w:ascii="Arial Narrow" w:eastAsia="Times New Roman" w:hAnsi="Arial Narrow" w:cs="Calibri"/>
                <w:b/>
                <w:bCs/>
                <w:color w:val="FFFFFF"/>
                <w:sz w:val="18"/>
                <w:szCs w:val="18"/>
                <w:lang w:val="es-CO" w:eastAsia="es-CO"/>
              </w:rPr>
              <w:t xml:space="preserve">Sector Propósito General </w:t>
            </w:r>
            <w:r w:rsidRPr="002C042B">
              <w:rPr>
                <w:rFonts w:ascii="Arial Narrow" w:eastAsia="Times New Roman" w:hAnsi="Arial Narrow" w:cs="Calibri"/>
                <w:b/>
                <w:bCs/>
                <w:i/>
                <w:iCs/>
                <w:color w:val="FFFFFF"/>
                <w:sz w:val="18"/>
                <w:szCs w:val="18"/>
                <w:lang w:val="es-CO" w:eastAsia="es-CO"/>
              </w:rPr>
              <w:t>(cifras en pesos)</w:t>
            </w:r>
          </w:p>
        </w:tc>
      </w:tr>
      <w:tr w:rsidR="00221657" w:rsidRPr="002C042B" w14:paraId="36FB2F35" w14:textId="77777777" w:rsidTr="00FB27C3">
        <w:trPr>
          <w:trHeight w:val="551"/>
          <w:tblHeader/>
          <w:jc w:val="center"/>
        </w:trPr>
        <w:tc>
          <w:tcPr>
            <w:tcW w:w="345" w:type="pct"/>
            <w:tcBorders>
              <w:top w:val="nil"/>
              <w:left w:val="single" w:sz="4" w:space="0" w:color="auto"/>
              <w:bottom w:val="single" w:sz="4" w:space="0" w:color="auto"/>
              <w:right w:val="single" w:sz="4" w:space="0" w:color="auto"/>
            </w:tcBorders>
            <w:shd w:val="clear" w:color="000000" w:fill="666699"/>
            <w:vAlign w:val="center"/>
            <w:hideMark/>
          </w:tcPr>
          <w:p w14:paraId="46AC38A0" w14:textId="77777777" w:rsidR="002C042B" w:rsidRPr="002C042B" w:rsidRDefault="002C042B"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2C042B">
              <w:rPr>
                <w:rFonts w:ascii="Arial Narrow" w:eastAsia="Times New Roman" w:hAnsi="Arial Narrow" w:cs="Calibri"/>
                <w:b/>
                <w:bCs/>
                <w:color w:val="FFFFFF"/>
                <w:sz w:val="18"/>
                <w:szCs w:val="18"/>
                <w:lang w:val="es-CO" w:eastAsia="es-CO"/>
              </w:rPr>
              <w:t>Vigencia</w:t>
            </w:r>
          </w:p>
        </w:tc>
        <w:tc>
          <w:tcPr>
            <w:tcW w:w="1031" w:type="pct"/>
            <w:tcBorders>
              <w:top w:val="nil"/>
              <w:left w:val="nil"/>
              <w:bottom w:val="single" w:sz="4" w:space="0" w:color="auto"/>
              <w:right w:val="single" w:sz="4" w:space="0" w:color="auto"/>
            </w:tcBorders>
            <w:shd w:val="clear" w:color="000000" w:fill="666699"/>
            <w:vAlign w:val="center"/>
            <w:hideMark/>
          </w:tcPr>
          <w:p w14:paraId="5805304F" w14:textId="77777777" w:rsidR="002C042B" w:rsidRPr="002C042B" w:rsidRDefault="002C042B">
            <w:pPr>
              <w:spacing w:after="0" w:line="240" w:lineRule="auto"/>
              <w:contextualSpacing/>
              <w:jc w:val="center"/>
              <w:rPr>
                <w:rFonts w:eastAsia="Times New Roman" w:cs="Arial"/>
                <w:b/>
                <w:bCs/>
                <w:color w:val="FFFFFF"/>
                <w:sz w:val="18"/>
                <w:szCs w:val="18"/>
                <w:lang w:val="es-CO" w:eastAsia="es-CO"/>
              </w:rPr>
            </w:pPr>
            <w:r w:rsidRPr="002C042B">
              <w:rPr>
                <w:rFonts w:eastAsia="Times New Roman" w:cs="Arial"/>
                <w:b/>
                <w:bCs/>
                <w:color w:val="FFFFFF"/>
                <w:sz w:val="18"/>
                <w:szCs w:val="18"/>
                <w:lang w:val="es-CO" w:eastAsia="es-CO"/>
              </w:rPr>
              <w:t>Concepto</w:t>
            </w:r>
          </w:p>
        </w:tc>
        <w:tc>
          <w:tcPr>
            <w:tcW w:w="596" w:type="pct"/>
            <w:tcBorders>
              <w:top w:val="nil"/>
              <w:left w:val="nil"/>
              <w:bottom w:val="single" w:sz="4" w:space="0" w:color="auto"/>
              <w:right w:val="single" w:sz="4" w:space="0" w:color="auto"/>
            </w:tcBorders>
            <w:shd w:val="clear" w:color="000000" w:fill="666699"/>
            <w:vAlign w:val="center"/>
            <w:hideMark/>
          </w:tcPr>
          <w:p w14:paraId="5A1B2CE6" w14:textId="77777777" w:rsidR="002C042B" w:rsidRPr="002C042B" w:rsidRDefault="002C042B">
            <w:pPr>
              <w:spacing w:after="0" w:line="240" w:lineRule="auto"/>
              <w:contextualSpacing/>
              <w:jc w:val="center"/>
              <w:rPr>
                <w:rFonts w:eastAsia="Times New Roman" w:cs="Arial"/>
                <w:b/>
                <w:bCs/>
                <w:color w:val="FFFFFF"/>
                <w:sz w:val="18"/>
                <w:szCs w:val="18"/>
                <w:lang w:val="es-CO" w:eastAsia="es-CO"/>
              </w:rPr>
            </w:pPr>
            <w:r w:rsidRPr="002C042B">
              <w:rPr>
                <w:rFonts w:eastAsia="Times New Roman" w:cs="Arial"/>
                <w:b/>
                <w:bCs/>
                <w:color w:val="FFFFFF"/>
                <w:sz w:val="18"/>
                <w:szCs w:val="18"/>
                <w:lang w:val="es-CO" w:eastAsia="es-CO"/>
              </w:rPr>
              <w:t>Presupuesto Definitivo</w:t>
            </w:r>
          </w:p>
        </w:tc>
        <w:tc>
          <w:tcPr>
            <w:tcW w:w="624" w:type="pct"/>
            <w:tcBorders>
              <w:top w:val="nil"/>
              <w:left w:val="nil"/>
              <w:bottom w:val="single" w:sz="4" w:space="0" w:color="auto"/>
              <w:right w:val="single" w:sz="4" w:space="0" w:color="auto"/>
            </w:tcBorders>
            <w:shd w:val="clear" w:color="000000" w:fill="666699"/>
            <w:vAlign w:val="center"/>
            <w:hideMark/>
          </w:tcPr>
          <w:p w14:paraId="5F966A77" w14:textId="77777777" w:rsidR="002C042B" w:rsidRPr="002C042B" w:rsidRDefault="002C042B">
            <w:pPr>
              <w:spacing w:after="0" w:line="240" w:lineRule="auto"/>
              <w:contextualSpacing/>
              <w:jc w:val="center"/>
              <w:rPr>
                <w:rFonts w:eastAsia="Times New Roman" w:cs="Arial"/>
                <w:b/>
                <w:bCs/>
                <w:color w:val="FFFFFF"/>
                <w:sz w:val="18"/>
                <w:szCs w:val="18"/>
                <w:lang w:val="es-CO" w:eastAsia="es-CO"/>
              </w:rPr>
            </w:pPr>
            <w:r w:rsidRPr="002C042B">
              <w:rPr>
                <w:rFonts w:eastAsia="Times New Roman" w:cs="Arial"/>
                <w:b/>
                <w:bCs/>
                <w:color w:val="FFFFFF"/>
                <w:sz w:val="18"/>
                <w:szCs w:val="18"/>
                <w:lang w:val="es-CO" w:eastAsia="es-CO"/>
              </w:rPr>
              <w:t>Compromisos</w:t>
            </w:r>
          </w:p>
        </w:tc>
        <w:tc>
          <w:tcPr>
            <w:tcW w:w="596" w:type="pct"/>
            <w:tcBorders>
              <w:top w:val="nil"/>
              <w:left w:val="nil"/>
              <w:bottom w:val="single" w:sz="4" w:space="0" w:color="auto"/>
              <w:right w:val="single" w:sz="4" w:space="0" w:color="auto"/>
            </w:tcBorders>
            <w:shd w:val="clear" w:color="000000" w:fill="666699"/>
            <w:vAlign w:val="center"/>
            <w:hideMark/>
          </w:tcPr>
          <w:p w14:paraId="287F3B30" w14:textId="77777777" w:rsidR="002C042B" w:rsidRPr="002C042B" w:rsidRDefault="002C042B">
            <w:pPr>
              <w:spacing w:after="0" w:line="240" w:lineRule="auto"/>
              <w:contextualSpacing/>
              <w:jc w:val="center"/>
              <w:rPr>
                <w:rFonts w:eastAsia="Times New Roman" w:cs="Arial"/>
                <w:b/>
                <w:bCs/>
                <w:color w:val="FFFFFF"/>
                <w:sz w:val="18"/>
                <w:szCs w:val="18"/>
                <w:lang w:val="es-CO" w:eastAsia="es-CO"/>
              </w:rPr>
            </w:pPr>
            <w:r w:rsidRPr="002C042B">
              <w:rPr>
                <w:rFonts w:eastAsia="Times New Roman" w:cs="Arial"/>
                <w:b/>
                <w:bCs/>
                <w:color w:val="FFFFFF"/>
                <w:sz w:val="18"/>
                <w:szCs w:val="18"/>
                <w:lang w:val="es-CO" w:eastAsia="es-CO"/>
              </w:rPr>
              <w:t>Obligaciones</w:t>
            </w:r>
          </w:p>
        </w:tc>
        <w:tc>
          <w:tcPr>
            <w:tcW w:w="596" w:type="pct"/>
            <w:tcBorders>
              <w:top w:val="nil"/>
              <w:left w:val="nil"/>
              <w:bottom w:val="single" w:sz="4" w:space="0" w:color="auto"/>
              <w:right w:val="single" w:sz="4" w:space="0" w:color="auto"/>
            </w:tcBorders>
            <w:shd w:val="clear" w:color="000000" w:fill="666699"/>
            <w:vAlign w:val="center"/>
            <w:hideMark/>
          </w:tcPr>
          <w:p w14:paraId="340E5FC1" w14:textId="77777777" w:rsidR="002C042B" w:rsidRPr="002C042B" w:rsidRDefault="002C042B">
            <w:pPr>
              <w:spacing w:after="0" w:line="240" w:lineRule="auto"/>
              <w:contextualSpacing/>
              <w:jc w:val="center"/>
              <w:rPr>
                <w:rFonts w:eastAsia="Times New Roman" w:cs="Arial"/>
                <w:b/>
                <w:bCs/>
                <w:color w:val="FFFFFF"/>
                <w:sz w:val="18"/>
                <w:szCs w:val="18"/>
                <w:lang w:val="es-CO" w:eastAsia="es-CO"/>
              </w:rPr>
            </w:pPr>
            <w:r w:rsidRPr="002C042B">
              <w:rPr>
                <w:rFonts w:eastAsia="Times New Roman" w:cs="Arial"/>
                <w:b/>
                <w:bCs/>
                <w:color w:val="FFFFFF"/>
                <w:sz w:val="18"/>
                <w:szCs w:val="18"/>
                <w:lang w:val="es-CO" w:eastAsia="es-CO"/>
              </w:rPr>
              <w:t>Pagos</w:t>
            </w:r>
          </w:p>
        </w:tc>
        <w:tc>
          <w:tcPr>
            <w:tcW w:w="527" w:type="pct"/>
            <w:tcBorders>
              <w:top w:val="nil"/>
              <w:left w:val="nil"/>
              <w:bottom w:val="single" w:sz="4" w:space="0" w:color="auto"/>
              <w:right w:val="single" w:sz="4" w:space="0" w:color="auto"/>
            </w:tcBorders>
            <w:shd w:val="clear" w:color="000000" w:fill="666699"/>
            <w:vAlign w:val="center"/>
            <w:hideMark/>
          </w:tcPr>
          <w:p w14:paraId="267C3540" w14:textId="77777777" w:rsidR="002C042B" w:rsidRPr="002C042B" w:rsidRDefault="002C042B">
            <w:pPr>
              <w:spacing w:after="0" w:line="240" w:lineRule="auto"/>
              <w:contextualSpacing/>
              <w:jc w:val="center"/>
              <w:rPr>
                <w:rFonts w:eastAsia="Times New Roman" w:cs="Arial"/>
                <w:b/>
                <w:bCs/>
                <w:color w:val="FFFFFF"/>
                <w:sz w:val="18"/>
                <w:szCs w:val="18"/>
                <w:lang w:val="es-CO" w:eastAsia="es-CO"/>
              </w:rPr>
            </w:pPr>
            <w:r w:rsidRPr="002C042B">
              <w:rPr>
                <w:rFonts w:eastAsia="Times New Roman" w:cs="Arial"/>
                <w:b/>
                <w:bCs/>
                <w:color w:val="FFFFFF"/>
                <w:sz w:val="18"/>
                <w:szCs w:val="18"/>
                <w:lang w:val="es-CO" w:eastAsia="es-CO"/>
              </w:rPr>
              <w:t>Cuentas por pagar</w:t>
            </w:r>
          </w:p>
        </w:tc>
        <w:tc>
          <w:tcPr>
            <w:tcW w:w="683" w:type="pct"/>
            <w:tcBorders>
              <w:top w:val="nil"/>
              <w:left w:val="nil"/>
              <w:bottom w:val="single" w:sz="4" w:space="0" w:color="auto"/>
              <w:right w:val="single" w:sz="4" w:space="0" w:color="auto"/>
            </w:tcBorders>
            <w:shd w:val="clear" w:color="000000" w:fill="666699"/>
            <w:vAlign w:val="center"/>
            <w:hideMark/>
          </w:tcPr>
          <w:p w14:paraId="06138C54" w14:textId="77777777" w:rsidR="002C042B" w:rsidRPr="002C042B" w:rsidRDefault="002C042B">
            <w:pPr>
              <w:spacing w:after="0" w:line="240" w:lineRule="auto"/>
              <w:contextualSpacing/>
              <w:jc w:val="center"/>
              <w:rPr>
                <w:rFonts w:eastAsia="Times New Roman" w:cs="Arial"/>
                <w:b/>
                <w:bCs/>
                <w:color w:val="FFFFFF"/>
                <w:sz w:val="18"/>
                <w:szCs w:val="18"/>
                <w:lang w:val="es-CO" w:eastAsia="es-CO"/>
              </w:rPr>
            </w:pPr>
            <w:r w:rsidRPr="002C042B">
              <w:rPr>
                <w:rFonts w:eastAsia="Times New Roman" w:cs="Arial"/>
                <w:b/>
                <w:bCs/>
                <w:color w:val="FFFFFF"/>
                <w:sz w:val="18"/>
                <w:szCs w:val="18"/>
                <w:lang w:val="es-CO" w:eastAsia="es-CO"/>
              </w:rPr>
              <w:t>Reservas</w:t>
            </w:r>
            <w:r w:rsidRPr="002C042B">
              <w:rPr>
                <w:rFonts w:eastAsia="Times New Roman" w:cs="Arial"/>
                <w:b/>
                <w:bCs/>
                <w:color w:val="FFFFFF"/>
                <w:sz w:val="18"/>
                <w:szCs w:val="18"/>
                <w:lang w:val="es-CO" w:eastAsia="es-CO"/>
              </w:rPr>
              <w:br/>
              <w:t>(Comprometido - Obligado)</w:t>
            </w:r>
          </w:p>
        </w:tc>
      </w:tr>
      <w:tr w:rsidR="00221657" w:rsidRPr="002C042B" w14:paraId="1B959EEA" w14:textId="77777777" w:rsidTr="00221657">
        <w:trPr>
          <w:trHeight w:val="390"/>
          <w:jc w:val="center"/>
        </w:trPr>
        <w:tc>
          <w:tcPr>
            <w:tcW w:w="345" w:type="pct"/>
            <w:vMerge w:val="restart"/>
            <w:tcBorders>
              <w:top w:val="nil"/>
              <w:left w:val="single" w:sz="4" w:space="0" w:color="auto"/>
              <w:bottom w:val="single" w:sz="4" w:space="0" w:color="auto"/>
              <w:right w:val="single" w:sz="4" w:space="0" w:color="auto"/>
            </w:tcBorders>
            <w:shd w:val="clear" w:color="000000" w:fill="666699"/>
            <w:vAlign w:val="center"/>
            <w:hideMark/>
          </w:tcPr>
          <w:p w14:paraId="5D4EE309" w14:textId="77777777" w:rsidR="002C042B" w:rsidRPr="002C042B" w:rsidRDefault="002C042B"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2C042B">
              <w:rPr>
                <w:rFonts w:ascii="Arial Narrow" w:eastAsia="Times New Roman" w:hAnsi="Arial Narrow" w:cs="Calibri"/>
                <w:b/>
                <w:bCs/>
                <w:color w:val="FFFFFF"/>
                <w:sz w:val="18"/>
                <w:szCs w:val="18"/>
                <w:lang w:val="es-CO" w:eastAsia="es-CO"/>
              </w:rPr>
              <w:t>Año 2018</w:t>
            </w:r>
          </w:p>
        </w:tc>
        <w:tc>
          <w:tcPr>
            <w:tcW w:w="1031" w:type="pct"/>
            <w:tcBorders>
              <w:top w:val="nil"/>
              <w:left w:val="nil"/>
              <w:bottom w:val="single" w:sz="4" w:space="0" w:color="auto"/>
              <w:right w:val="single" w:sz="4" w:space="0" w:color="auto"/>
            </w:tcBorders>
            <w:shd w:val="clear" w:color="000000" w:fill="CCCCFF"/>
            <w:vAlign w:val="center"/>
            <w:hideMark/>
          </w:tcPr>
          <w:p w14:paraId="3668C7DB"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1. Propósito General*</w:t>
            </w:r>
          </w:p>
        </w:tc>
        <w:tc>
          <w:tcPr>
            <w:tcW w:w="596" w:type="pct"/>
            <w:tcBorders>
              <w:top w:val="nil"/>
              <w:left w:val="nil"/>
              <w:bottom w:val="single" w:sz="4" w:space="0" w:color="auto"/>
              <w:right w:val="single" w:sz="4" w:space="0" w:color="auto"/>
            </w:tcBorders>
            <w:shd w:val="clear" w:color="000000" w:fill="CCCCFF"/>
            <w:vAlign w:val="center"/>
            <w:hideMark/>
          </w:tcPr>
          <w:p w14:paraId="6CC7F280"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2.967.936.962</w:t>
            </w:r>
          </w:p>
        </w:tc>
        <w:tc>
          <w:tcPr>
            <w:tcW w:w="624" w:type="pct"/>
            <w:tcBorders>
              <w:top w:val="nil"/>
              <w:left w:val="nil"/>
              <w:bottom w:val="single" w:sz="4" w:space="0" w:color="auto"/>
              <w:right w:val="single" w:sz="4" w:space="0" w:color="auto"/>
            </w:tcBorders>
            <w:shd w:val="clear" w:color="000000" w:fill="CCCCFF"/>
            <w:vAlign w:val="center"/>
            <w:hideMark/>
          </w:tcPr>
          <w:p w14:paraId="4DAEFF73"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2.690.926.693</w:t>
            </w:r>
          </w:p>
        </w:tc>
        <w:tc>
          <w:tcPr>
            <w:tcW w:w="596" w:type="pct"/>
            <w:tcBorders>
              <w:top w:val="nil"/>
              <w:left w:val="nil"/>
              <w:bottom w:val="single" w:sz="4" w:space="0" w:color="auto"/>
              <w:right w:val="single" w:sz="4" w:space="0" w:color="auto"/>
            </w:tcBorders>
            <w:shd w:val="clear" w:color="000000" w:fill="CCCCFF"/>
            <w:vAlign w:val="center"/>
            <w:hideMark/>
          </w:tcPr>
          <w:p w14:paraId="4D8ACECB"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2.662.005.656</w:t>
            </w:r>
          </w:p>
        </w:tc>
        <w:tc>
          <w:tcPr>
            <w:tcW w:w="596" w:type="pct"/>
            <w:tcBorders>
              <w:top w:val="nil"/>
              <w:left w:val="nil"/>
              <w:bottom w:val="single" w:sz="4" w:space="0" w:color="auto"/>
              <w:right w:val="single" w:sz="4" w:space="0" w:color="auto"/>
            </w:tcBorders>
            <w:shd w:val="clear" w:color="000000" w:fill="CCCCFF"/>
            <w:vAlign w:val="center"/>
            <w:hideMark/>
          </w:tcPr>
          <w:p w14:paraId="612C30CA"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2.561.425.585</w:t>
            </w:r>
          </w:p>
        </w:tc>
        <w:tc>
          <w:tcPr>
            <w:tcW w:w="527" w:type="pct"/>
            <w:tcBorders>
              <w:top w:val="nil"/>
              <w:left w:val="nil"/>
              <w:bottom w:val="single" w:sz="4" w:space="0" w:color="auto"/>
              <w:right w:val="single" w:sz="4" w:space="0" w:color="auto"/>
            </w:tcBorders>
            <w:shd w:val="clear" w:color="000000" w:fill="CCCCFF"/>
            <w:vAlign w:val="center"/>
            <w:hideMark/>
          </w:tcPr>
          <w:p w14:paraId="77589690"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100.580.071</w:t>
            </w:r>
          </w:p>
        </w:tc>
        <w:tc>
          <w:tcPr>
            <w:tcW w:w="683" w:type="pct"/>
            <w:tcBorders>
              <w:top w:val="nil"/>
              <w:left w:val="nil"/>
              <w:bottom w:val="single" w:sz="4" w:space="0" w:color="auto"/>
              <w:right w:val="single" w:sz="4" w:space="0" w:color="auto"/>
            </w:tcBorders>
            <w:shd w:val="clear" w:color="000000" w:fill="CCCCFF"/>
            <w:vAlign w:val="center"/>
            <w:hideMark/>
          </w:tcPr>
          <w:p w14:paraId="1C9502B5"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28.921.038</w:t>
            </w:r>
          </w:p>
        </w:tc>
      </w:tr>
      <w:tr w:rsidR="002C042B" w:rsidRPr="002C042B" w14:paraId="04967DFC" w14:textId="77777777" w:rsidTr="00221657">
        <w:trPr>
          <w:trHeight w:val="103"/>
          <w:jc w:val="center"/>
        </w:trPr>
        <w:tc>
          <w:tcPr>
            <w:tcW w:w="345" w:type="pct"/>
            <w:vMerge/>
            <w:tcBorders>
              <w:top w:val="nil"/>
              <w:left w:val="single" w:sz="4" w:space="0" w:color="auto"/>
              <w:bottom w:val="single" w:sz="4" w:space="0" w:color="auto"/>
              <w:right w:val="single" w:sz="4" w:space="0" w:color="auto"/>
            </w:tcBorders>
            <w:vAlign w:val="center"/>
            <w:hideMark/>
          </w:tcPr>
          <w:p w14:paraId="55FE4395"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16739D66"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1.1. Libre Destinación</w:t>
            </w:r>
          </w:p>
        </w:tc>
        <w:tc>
          <w:tcPr>
            <w:tcW w:w="596" w:type="pct"/>
            <w:tcBorders>
              <w:top w:val="nil"/>
              <w:left w:val="nil"/>
              <w:bottom w:val="single" w:sz="4" w:space="0" w:color="auto"/>
              <w:right w:val="single" w:sz="4" w:space="0" w:color="auto"/>
            </w:tcBorders>
            <w:shd w:val="clear" w:color="auto" w:fill="auto"/>
            <w:noWrap/>
            <w:vAlign w:val="center"/>
            <w:hideMark/>
          </w:tcPr>
          <w:p w14:paraId="6C6A059A"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1.126.131.786</w:t>
            </w:r>
          </w:p>
        </w:tc>
        <w:tc>
          <w:tcPr>
            <w:tcW w:w="624" w:type="pct"/>
            <w:tcBorders>
              <w:top w:val="nil"/>
              <w:left w:val="nil"/>
              <w:bottom w:val="single" w:sz="4" w:space="0" w:color="auto"/>
              <w:right w:val="single" w:sz="4" w:space="0" w:color="auto"/>
            </w:tcBorders>
            <w:shd w:val="clear" w:color="auto" w:fill="auto"/>
            <w:noWrap/>
            <w:vAlign w:val="bottom"/>
            <w:hideMark/>
          </w:tcPr>
          <w:p w14:paraId="3A65E3F3"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1.009.443.024</w:t>
            </w:r>
          </w:p>
        </w:tc>
        <w:tc>
          <w:tcPr>
            <w:tcW w:w="596" w:type="pct"/>
            <w:tcBorders>
              <w:top w:val="nil"/>
              <w:left w:val="nil"/>
              <w:bottom w:val="single" w:sz="4" w:space="0" w:color="auto"/>
              <w:right w:val="single" w:sz="4" w:space="0" w:color="auto"/>
            </w:tcBorders>
            <w:shd w:val="clear" w:color="auto" w:fill="auto"/>
            <w:noWrap/>
            <w:vAlign w:val="bottom"/>
            <w:hideMark/>
          </w:tcPr>
          <w:p w14:paraId="71E6B69E"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1.009.709.324</w:t>
            </w:r>
          </w:p>
        </w:tc>
        <w:tc>
          <w:tcPr>
            <w:tcW w:w="596" w:type="pct"/>
            <w:tcBorders>
              <w:top w:val="nil"/>
              <w:left w:val="nil"/>
              <w:bottom w:val="single" w:sz="4" w:space="0" w:color="auto"/>
              <w:right w:val="single" w:sz="4" w:space="0" w:color="auto"/>
            </w:tcBorders>
            <w:shd w:val="clear" w:color="auto" w:fill="auto"/>
            <w:noWrap/>
            <w:vAlign w:val="bottom"/>
            <w:hideMark/>
          </w:tcPr>
          <w:p w14:paraId="3AF8C755"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984.778.320</w:t>
            </w:r>
          </w:p>
        </w:tc>
        <w:tc>
          <w:tcPr>
            <w:tcW w:w="527" w:type="pct"/>
            <w:tcBorders>
              <w:top w:val="nil"/>
              <w:left w:val="nil"/>
              <w:bottom w:val="single" w:sz="4" w:space="0" w:color="auto"/>
              <w:right w:val="single" w:sz="4" w:space="0" w:color="auto"/>
            </w:tcBorders>
            <w:shd w:val="clear" w:color="auto" w:fill="auto"/>
            <w:noWrap/>
            <w:vAlign w:val="bottom"/>
            <w:hideMark/>
          </w:tcPr>
          <w:p w14:paraId="7503CC23"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24.931.004</w:t>
            </w:r>
          </w:p>
        </w:tc>
        <w:tc>
          <w:tcPr>
            <w:tcW w:w="683" w:type="pct"/>
            <w:tcBorders>
              <w:top w:val="nil"/>
              <w:left w:val="nil"/>
              <w:bottom w:val="single" w:sz="4" w:space="0" w:color="auto"/>
              <w:right w:val="single" w:sz="4" w:space="0" w:color="auto"/>
            </w:tcBorders>
            <w:shd w:val="clear" w:color="auto" w:fill="auto"/>
            <w:noWrap/>
            <w:vAlign w:val="bottom"/>
            <w:hideMark/>
          </w:tcPr>
          <w:p w14:paraId="2DBB46C3"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-266.300</w:t>
            </w:r>
          </w:p>
        </w:tc>
      </w:tr>
      <w:tr w:rsidR="002C042B" w:rsidRPr="002C042B" w14:paraId="0513B887" w14:textId="77777777" w:rsidTr="00221657">
        <w:trPr>
          <w:trHeight w:val="220"/>
          <w:jc w:val="center"/>
        </w:trPr>
        <w:tc>
          <w:tcPr>
            <w:tcW w:w="345" w:type="pct"/>
            <w:vMerge/>
            <w:tcBorders>
              <w:top w:val="nil"/>
              <w:left w:val="single" w:sz="4" w:space="0" w:color="auto"/>
              <w:bottom w:val="single" w:sz="4" w:space="0" w:color="auto"/>
              <w:right w:val="single" w:sz="4" w:space="0" w:color="auto"/>
            </w:tcBorders>
            <w:vAlign w:val="center"/>
            <w:hideMark/>
          </w:tcPr>
          <w:p w14:paraId="1C6BE98A"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72EB276D"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1.2. Libre Inversión</w:t>
            </w:r>
          </w:p>
        </w:tc>
        <w:tc>
          <w:tcPr>
            <w:tcW w:w="596" w:type="pct"/>
            <w:tcBorders>
              <w:top w:val="nil"/>
              <w:left w:val="nil"/>
              <w:bottom w:val="single" w:sz="4" w:space="0" w:color="auto"/>
              <w:right w:val="single" w:sz="4" w:space="0" w:color="auto"/>
            </w:tcBorders>
            <w:shd w:val="clear" w:color="auto" w:fill="auto"/>
            <w:noWrap/>
            <w:vAlign w:val="center"/>
            <w:hideMark/>
          </w:tcPr>
          <w:p w14:paraId="425467B3"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1.683.625.033</w:t>
            </w:r>
          </w:p>
        </w:tc>
        <w:tc>
          <w:tcPr>
            <w:tcW w:w="624" w:type="pct"/>
            <w:tcBorders>
              <w:top w:val="nil"/>
              <w:left w:val="nil"/>
              <w:bottom w:val="single" w:sz="4" w:space="0" w:color="auto"/>
              <w:right w:val="single" w:sz="4" w:space="0" w:color="auto"/>
            </w:tcBorders>
            <w:shd w:val="clear" w:color="auto" w:fill="auto"/>
            <w:noWrap/>
            <w:vAlign w:val="bottom"/>
            <w:hideMark/>
          </w:tcPr>
          <w:p w14:paraId="3B1B1578"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1.533.036.905</w:t>
            </w:r>
          </w:p>
        </w:tc>
        <w:tc>
          <w:tcPr>
            <w:tcW w:w="596" w:type="pct"/>
            <w:tcBorders>
              <w:top w:val="nil"/>
              <w:left w:val="nil"/>
              <w:bottom w:val="single" w:sz="4" w:space="0" w:color="auto"/>
              <w:right w:val="single" w:sz="4" w:space="0" w:color="auto"/>
            </w:tcBorders>
            <w:shd w:val="clear" w:color="auto" w:fill="auto"/>
            <w:noWrap/>
            <w:vAlign w:val="bottom"/>
            <w:hideMark/>
          </w:tcPr>
          <w:p w14:paraId="19137576"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1.503.849.567</w:t>
            </w:r>
          </w:p>
        </w:tc>
        <w:tc>
          <w:tcPr>
            <w:tcW w:w="596" w:type="pct"/>
            <w:tcBorders>
              <w:top w:val="nil"/>
              <w:left w:val="nil"/>
              <w:bottom w:val="single" w:sz="4" w:space="0" w:color="auto"/>
              <w:right w:val="single" w:sz="4" w:space="0" w:color="auto"/>
            </w:tcBorders>
            <w:shd w:val="clear" w:color="auto" w:fill="auto"/>
            <w:noWrap/>
            <w:vAlign w:val="bottom"/>
            <w:hideMark/>
          </w:tcPr>
          <w:p w14:paraId="1A8DF3AE"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1.428.200.500</w:t>
            </w:r>
          </w:p>
        </w:tc>
        <w:tc>
          <w:tcPr>
            <w:tcW w:w="527" w:type="pct"/>
            <w:tcBorders>
              <w:top w:val="nil"/>
              <w:left w:val="nil"/>
              <w:bottom w:val="single" w:sz="4" w:space="0" w:color="auto"/>
              <w:right w:val="single" w:sz="4" w:space="0" w:color="auto"/>
            </w:tcBorders>
            <w:shd w:val="clear" w:color="auto" w:fill="auto"/>
            <w:noWrap/>
            <w:vAlign w:val="bottom"/>
            <w:hideMark/>
          </w:tcPr>
          <w:p w14:paraId="52CA1C72"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75.649.067</w:t>
            </w:r>
          </w:p>
        </w:tc>
        <w:tc>
          <w:tcPr>
            <w:tcW w:w="683" w:type="pct"/>
            <w:tcBorders>
              <w:top w:val="nil"/>
              <w:left w:val="nil"/>
              <w:bottom w:val="single" w:sz="4" w:space="0" w:color="auto"/>
              <w:right w:val="single" w:sz="4" w:space="0" w:color="auto"/>
            </w:tcBorders>
            <w:shd w:val="clear" w:color="auto" w:fill="auto"/>
            <w:noWrap/>
            <w:vAlign w:val="bottom"/>
            <w:hideMark/>
          </w:tcPr>
          <w:p w14:paraId="2EB23122"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29.187.338</w:t>
            </w:r>
          </w:p>
        </w:tc>
      </w:tr>
      <w:tr w:rsidR="002C042B" w:rsidRPr="002C042B" w14:paraId="55C7F964" w14:textId="77777777" w:rsidTr="00221657">
        <w:trPr>
          <w:trHeight w:val="220"/>
          <w:jc w:val="center"/>
        </w:trPr>
        <w:tc>
          <w:tcPr>
            <w:tcW w:w="345" w:type="pct"/>
            <w:vMerge/>
            <w:tcBorders>
              <w:top w:val="nil"/>
              <w:left w:val="single" w:sz="4" w:space="0" w:color="auto"/>
              <w:bottom w:val="single" w:sz="4" w:space="0" w:color="auto"/>
              <w:right w:val="single" w:sz="4" w:space="0" w:color="auto"/>
            </w:tcBorders>
            <w:vAlign w:val="center"/>
            <w:hideMark/>
          </w:tcPr>
          <w:p w14:paraId="609AB7FB"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2A910714"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1.3. Deporte y Recreación</w:t>
            </w:r>
          </w:p>
        </w:tc>
        <w:tc>
          <w:tcPr>
            <w:tcW w:w="596" w:type="pct"/>
            <w:tcBorders>
              <w:top w:val="nil"/>
              <w:left w:val="nil"/>
              <w:bottom w:val="single" w:sz="4" w:space="0" w:color="auto"/>
              <w:right w:val="single" w:sz="4" w:space="0" w:color="auto"/>
            </w:tcBorders>
            <w:shd w:val="clear" w:color="auto" w:fill="auto"/>
            <w:noWrap/>
            <w:vAlign w:val="center"/>
            <w:hideMark/>
          </w:tcPr>
          <w:p w14:paraId="18C95D84"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110.681.230</w:t>
            </w:r>
          </w:p>
        </w:tc>
        <w:tc>
          <w:tcPr>
            <w:tcW w:w="624" w:type="pct"/>
            <w:tcBorders>
              <w:top w:val="nil"/>
              <w:left w:val="nil"/>
              <w:bottom w:val="single" w:sz="4" w:space="0" w:color="auto"/>
              <w:right w:val="single" w:sz="4" w:space="0" w:color="auto"/>
            </w:tcBorders>
            <w:shd w:val="clear" w:color="auto" w:fill="auto"/>
            <w:noWrap/>
            <w:vAlign w:val="bottom"/>
            <w:hideMark/>
          </w:tcPr>
          <w:p w14:paraId="00153CDE" w14:textId="77777777" w:rsidR="002C042B" w:rsidRPr="002C042B" w:rsidRDefault="002C042B">
            <w:pPr>
              <w:spacing w:after="0" w:line="240" w:lineRule="auto"/>
              <w:contextualSpacing/>
              <w:jc w:val="center"/>
              <w:rPr>
                <w:rFonts w:eastAsia="Times New Roman" w:cs="Arial"/>
                <w:color w:val="000000"/>
                <w:sz w:val="18"/>
                <w:szCs w:val="18"/>
                <w:lang w:val="es-CO" w:eastAsia="es-CO"/>
              </w:rPr>
            </w:pPr>
            <w:r w:rsidRPr="002C042B">
              <w:rPr>
                <w:rFonts w:eastAsia="Times New Roman" w:cs="Arial"/>
                <w:color w:val="000000"/>
                <w:sz w:val="18"/>
                <w:szCs w:val="18"/>
                <w:lang w:val="es-CO" w:eastAsia="es-CO"/>
              </w:rPr>
              <w:t>105.233.764</w:t>
            </w:r>
          </w:p>
        </w:tc>
        <w:tc>
          <w:tcPr>
            <w:tcW w:w="596" w:type="pct"/>
            <w:tcBorders>
              <w:top w:val="nil"/>
              <w:left w:val="nil"/>
              <w:bottom w:val="single" w:sz="4" w:space="0" w:color="auto"/>
              <w:right w:val="single" w:sz="4" w:space="0" w:color="auto"/>
            </w:tcBorders>
            <w:shd w:val="clear" w:color="auto" w:fill="auto"/>
            <w:noWrap/>
            <w:vAlign w:val="bottom"/>
            <w:hideMark/>
          </w:tcPr>
          <w:p w14:paraId="49CCAEB2" w14:textId="77777777" w:rsidR="002C042B" w:rsidRPr="002C042B" w:rsidRDefault="002C042B">
            <w:pPr>
              <w:spacing w:after="0" w:line="240" w:lineRule="auto"/>
              <w:contextualSpacing/>
              <w:jc w:val="center"/>
              <w:rPr>
                <w:rFonts w:eastAsia="Times New Roman" w:cs="Arial"/>
                <w:color w:val="000000"/>
                <w:sz w:val="18"/>
                <w:szCs w:val="18"/>
                <w:lang w:val="es-CO" w:eastAsia="es-CO"/>
              </w:rPr>
            </w:pPr>
            <w:r w:rsidRPr="002C042B">
              <w:rPr>
                <w:rFonts w:eastAsia="Times New Roman" w:cs="Arial"/>
                <w:color w:val="000000"/>
                <w:sz w:val="18"/>
                <w:szCs w:val="18"/>
                <w:lang w:val="es-CO" w:eastAsia="es-CO"/>
              </w:rPr>
              <w:t>105.233.764</w:t>
            </w:r>
          </w:p>
        </w:tc>
        <w:tc>
          <w:tcPr>
            <w:tcW w:w="596" w:type="pct"/>
            <w:tcBorders>
              <w:top w:val="nil"/>
              <w:left w:val="nil"/>
              <w:bottom w:val="single" w:sz="4" w:space="0" w:color="auto"/>
              <w:right w:val="single" w:sz="4" w:space="0" w:color="auto"/>
            </w:tcBorders>
            <w:shd w:val="clear" w:color="auto" w:fill="auto"/>
            <w:noWrap/>
            <w:vAlign w:val="bottom"/>
            <w:hideMark/>
          </w:tcPr>
          <w:p w14:paraId="4C56B649" w14:textId="77777777" w:rsidR="002C042B" w:rsidRPr="002C042B" w:rsidRDefault="002C042B">
            <w:pPr>
              <w:spacing w:after="0" w:line="240" w:lineRule="auto"/>
              <w:contextualSpacing/>
              <w:jc w:val="center"/>
              <w:rPr>
                <w:rFonts w:eastAsia="Times New Roman" w:cs="Arial"/>
                <w:color w:val="000000"/>
                <w:sz w:val="18"/>
                <w:szCs w:val="18"/>
                <w:lang w:val="es-CO" w:eastAsia="es-CO"/>
              </w:rPr>
            </w:pPr>
            <w:r w:rsidRPr="002C042B">
              <w:rPr>
                <w:rFonts w:eastAsia="Times New Roman" w:cs="Arial"/>
                <w:color w:val="000000"/>
                <w:sz w:val="18"/>
                <w:szCs w:val="18"/>
                <w:lang w:val="es-CO" w:eastAsia="es-CO"/>
              </w:rPr>
              <w:t>105.233.764</w:t>
            </w:r>
          </w:p>
        </w:tc>
        <w:tc>
          <w:tcPr>
            <w:tcW w:w="527" w:type="pct"/>
            <w:tcBorders>
              <w:top w:val="nil"/>
              <w:left w:val="nil"/>
              <w:bottom w:val="single" w:sz="4" w:space="0" w:color="auto"/>
              <w:right w:val="single" w:sz="4" w:space="0" w:color="auto"/>
            </w:tcBorders>
            <w:shd w:val="clear" w:color="auto" w:fill="auto"/>
            <w:noWrap/>
            <w:vAlign w:val="bottom"/>
            <w:hideMark/>
          </w:tcPr>
          <w:p w14:paraId="359BEAE8"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c>
          <w:tcPr>
            <w:tcW w:w="683" w:type="pct"/>
            <w:tcBorders>
              <w:top w:val="nil"/>
              <w:left w:val="nil"/>
              <w:bottom w:val="single" w:sz="4" w:space="0" w:color="auto"/>
              <w:right w:val="single" w:sz="4" w:space="0" w:color="auto"/>
            </w:tcBorders>
            <w:shd w:val="clear" w:color="auto" w:fill="auto"/>
            <w:noWrap/>
            <w:vAlign w:val="bottom"/>
            <w:hideMark/>
          </w:tcPr>
          <w:p w14:paraId="398F9EB3"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r>
      <w:tr w:rsidR="002C042B" w:rsidRPr="002C042B" w14:paraId="1E82D9DF" w14:textId="77777777" w:rsidTr="00221657">
        <w:trPr>
          <w:trHeight w:val="141"/>
          <w:jc w:val="center"/>
        </w:trPr>
        <w:tc>
          <w:tcPr>
            <w:tcW w:w="345" w:type="pct"/>
            <w:vMerge/>
            <w:tcBorders>
              <w:top w:val="nil"/>
              <w:left w:val="single" w:sz="4" w:space="0" w:color="auto"/>
              <w:bottom w:val="single" w:sz="4" w:space="0" w:color="auto"/>
              <w:right w:val="single" w:sz="4" w:space="0" w:color="auto"/>
            </w:tcBorders>
            <w:vAlign w:val="center"/>
            <w:hideMark/>
          </w:tcPr>
          <w:p w14:paraId="73B74C4A"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59F6A05A"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1.4. Cultura</w:t>
            </w:r>
          </w:p>
        </w:tc>
        <w:tc>
          <w:tcPr>
            <w:tcW w:w="596" w:type="pct"/>
            <w:tcBorders>
              <w:top w:val="nil"/>
              <w:left w:val="nil"/>
              <w:bottom w:val="single" w:sz="4" w:space="0" w:color="auto"/>
              <w:right w:val="single" w:sz="4" w:space="0" w:color="auto"/>
            </w:tcBorders>
            <w:shd w:val="clear" w:color="auto" w:fill="auto"/>
            <w:noWrap/>
            <w:vAlign w:val="center"/>
            <w:hideMark/>
          </w:tcPr>
          <w:p w14:paraId="65728512"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47.498.912</w:t>
            </w:r>
          </w:p>
        </w:tc>
        <w:tc>
          <w:tcPr>
            <w:tcW w:w="624" w:type="pct"/>
            <w:tcBorders>
              <w:top w:val="nil"/>
              <w:left w:val="nil"/>
              <w:bottom w:val="single" w:sz="4" w:space="0" w:color="auto"/>
              <w:right w:val="single" w:sz="4" w:space="0" w:color="auto"/>
            </w:tcBorders>
            <w:shd w:val="clear" w:color="auto" w:fill="auto"/>
            <w:noWrap/>
            <w:vAlign w:val="bottom"/>
            <w:hideMark/>
          </w:tcPr>
          <w:p w14:paraId="7567DE59"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43.213.000</w:t>
            </w:r>
          </w:p>
        </w:tc>
        <w:tc>
          <w:tcPr>
            <w:tcW w:w="596" w:type="pct"/>
            <w:tcBorders>
              <w:top w:val="nil"/>
              <w:left w:val="nil"/>
              <w:bottom w:val="single" w:sz="4" w:space="0" w:color="auto"/>
              <w:right w:val="single" w:sz="4" w:space="0" w:color="auto"/>
            </w:tcBorders>
            <w:shd w:val="clear" w:color="auto" w:fill="auto"/>
            <w:noWrap/>
            <w:vAlign w:val="bottom"/>
            <w:hideMark/>
          </w:tcPr>
          <w:p w14:paraId="2CCA023B"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43.213.000</w:t>
            </w:r>
          </w:p>
        </w:tc>
        <w:tc>
          <w:tcPr>
            <w:tcW w:w="596" w:type="pct"/>
            <w:tcBorders>
              <w:top w:val="nil"/>
              <w:left w:val="nil"/>
              <w:bottom w:val="single" w:sz="4" w:space="0" w:color="auto"/>
              <w:right w:val="single" w:sz="4" w:space="0" w:color="auto"/>
            </w:tcBorders>
            <w:shd w:val="clear" w:color="auto" w:fill="auto"/>
            <w:noWrap/>
            <w:vAlign w:val="bottom"/>
            <w:hideMark/>
          </w:tcPr>
          <w:p w14:paraId="5CC45BB0"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43.213.000</w:t>
            </w:r>
          </w:p>
        </w:tc>
        <w:tc>
          <w:tcPr>
            <w:tcW w:w="527" w:type="pct"/>
            <w:tcBorders>
              <w:top w:val="nil"/>
              <w:left w:val="nil"/>
              <w:bottom w:val="single" w:sz="4" w:space="0" w:color="auto"/>
              <w:right w:val="single" w:sz="4" w:space="0" w:color="auto"/>
            </w:tcBorders>
            <w:shd w:val="clear" w:color="auto" w:fill="auto"/>
            <w:noWrap/>
            <w:vAlign w:val="bottom"/>
            <w:hideMark/>
          </w:tcPr>
          <w:p w14:paraId="73FE4900"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c>
          <w:tcPr>
            <w:tcW w:w="683" w:type="pct"/>
            <w:tcBorders>
              <w:top w:val="nil"/>
              <w:left w:val="nil"/>
              <w:bottom w:val="single" w:sz="4" w:space="0" w:color="auto"/>
              <w:right w:val="single" w:sz="4" w:space="0" w:color="auto"/>
            </w:tcBorders>
            <w:shd w:val="clear" w:color="auto" w:fill="auto"/>
            <w:noWrap/>
            <w:vAlign w:val="bottom"/>
            <w:hideMark/>
          </w:tcPr>
          <w:p w14:paraId="7D436B93"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r>
      <w:tr w:rsidR="00221657" w:rsidRPr="002C042B" w14:paraId="7891638A" w14:textId="77777777" w:rsidTr="00221657">
        <w:trPr>
          <w:trHeight w:val="390"/>
          <w:jc w:val="center"/>
        </w:trPr>
        <w:tc>
          <w:tcPr>
            <w:tcW w:w="345" w:type="pct"/>
            <w:vMerge w:val="restart"/>
            <w:tcBorders>
              <w:top w:val="nil"/>
              <w:left w:val="single" w:sz="4" w:space="0" w:color="auto"/>
              <w:bottom w:val="single" w:sz="4" w:space="0" w:color="auto"/>
              <w:right w:val="single" w:sz="4" w:space="0" w:color="auto"/>
            </w:tcBorders>
            <w:shd w:val="clear" w:color="000000" w:fill="666699"/>
            <w:vAlign w:val="center"/>
            <w:hideMark/>
          </w:tcPr>
          <w:p w14:paraId="1CECF00B" w14:textId="77777777" w:rsidR="002C042B" w:rsidRPr="002C042B" w:rsidRDefault="002C042B"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2C042B">
              <w:rPr>
                <w:rFonts w:ascii="Arial Narrow" w:eastAsia="Times New Roman" w:hAnsi="Arial Narrow" w:cs="Calibri"/>
                <w:b/>
                <w:bCs/>
                <w:color w:val="FFFFFF"/>
                <w:sz w:val="18"/>
                <w:szCs w:val="18"/>
                <w:lang w:val="es-CO" w:eastAsia="es-CO"/>
              </w:rPr>
              <w:t>Año 2019</w:t>
            </w:r>
          </w:p>
        </w:tc>
        <w:tc>
          <w:tcPr>
            <w:tcW w:w="1031" w:type="pct"/>
            <w:tcBorders>
              <w:top w:val="nil"/>
              <w:left w:val="nil"/>
              <w:bottom w:val="single" w:sz="4" w:space="0" w:color="auto"/>
              <w:right w:val="single" w:sz="4" w:space="0" w:color="auto"/>
            </w:tcBorders>
            <w:shd w:val="clear" w:color="000000" w:fill="CCCCFF"/>
            <w:vAlign w:val="center"/>
            <w:hideMark/>
          </w:tcPr>
          <w:p w14:paraId="48C19A08"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1. Propósito General*</w:t>
            </w:r>
          </w:p>
        </w:tc>
        <w:tc>
          <w:tcPr>
            <w:tcW w:w="596" w:type="pct"/>
            <w:tcBorders>
              <w:top w:val="nil"/>
              <w:left w:val="nil"/>
              <w:bottom w:val="single" w:sz="4" w:space="0" w:color="auto"/>
              <w:right w:val="single" w:sz="4" w:space="0" w:color="auto"/>
            </w:tcBorders>
            <w:shd w:val="clear" w:color="000000" w:fill="CCCCFF"/>
            <w:vAlign w:val="center"/>
            <w:hideMark/>
          </w:tcPr>
          <w:p w14:paraId="463EFC0C"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2.819.576.234</w:t>
            </w:r>
          </w:p>
        </w:tc>
        <w:tc>
          <w:tcPr>
            <w:tcW w:w="624" w:type="pct"/>
            <w:tcBorders>
              <w:top w:val="nil"/>
              <w:left w:val="nil"/>
              <w:bottom w:val="single" w:sz="4" w:space="0" w:color="auto"/>
              <w:right w:val="single" w:sz="4" w:space="0" w:color="auto"/>
            </w:tcBorders>
            <w:shd w:val="clear" w:color="000000" w:fill="CCCCFF"/>
            <w:vAlign w:val="center"/>
            <w:hideMark/>
          </w:tcPr>
          <w:p w14:paraId="79583BB6"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2.802.739.063</w:t>
            </w:r>
          </w:p>
        </w:tc>
        <w:tc>
          <w:tcPr>
            <w:tcW w:w="596" w:type="pct"/>
            <w:tcBorders>
              <w:top w:val="nil"/>
              <w:left w:val="nil"/>
              <w:bottom w:val="single" w:sz="4" w:space="0" w:color="auto"/>
              <w:right w:val="single" w:sz="4" w:space="0" w:color="auto"/>
            </w:tcBorders>
            <w:shd w:val="clear" w:color="000000" w:fill="CCCCFF"/>
            <w:vAlign w:val="center"/>
            <w:hideMark/>
          </w:tcPr>
          <w:p w14:paraId="48F7AFC6"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2.781.239.067</w:t>
            </w:r>
          </w:p>
        </w:tc>
        <w:tc>
          <w:tcPr>
            <w:tcW w:w="596" w:type="pct"/>
            <w:tcBorders>
              <w:top w:val="nil"/>
              <w:left w:val="nil"/>
              <w:bottom w:val="single" w:sz="4" w:space="0" w:color="auto"/>
              <w:right w:val="single" w:sz="4" w:space="0" w:color="auto"/>
            </w:tcBorders>
            <w:shd w:val="clear" w:color="000000" w:fill="CCCCFF"/>
            <w:vAlign w:val="center"/>
            <w:hideMark/>
          </w:tcPr>
          <w:p w14:paraId="611F261B"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2.727.192.761</w:t>
            </w:r>
          </w:p>
        </w:tc>
        <w:tc>
          <w:tcPr>
            <w:tcW w:w="527" w:type="pct"/>
            <w:tcBorders>
              <w:top w:val="nil"/>
              <w:left w:val="nil"/>
              <w:bottom w:val="single" w:sz="4" w:space="0" w:color="auto"/>
              <w:right w:val="single" w:sz="4" w:space="0" w:color="auto"/>
            </w:tcBorders>
            <w:shd w:val="clear" w:color="000000" w:fill="CCCCFF"/>
            <w:vAlign w:val="center"/>
            <w:hideMark/>
          </w:tcPr>
          <w:p w14:paraId="0305B839"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54.046.306</w:t>
            </w:r>
          </w:p>
        </w:tc>
        <w:tc>
          <w:tcPr>
            <w:tcW w:w="683" w:type="pct"/>
            <w:tcBorders>
              <w:top w:val="nil"/>
              <w:left w:val="nil"/>
              <w:bottom w:val="single" w:sz="4" w:space="0" w:color="auto"/>
              <w:right w:val="single" w:sz="4" w:space="0" w:color="auto"/>
            </w:tcBorders>
            <w:shd w:val="clear" w:color="000000" w:fill="CCCCFF"/>
            <w:vAlign w:val="center"/>
            <w:hideMark/>
          </w:tcPr>
          <w:p w14:paraId="0D791117"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21.499.996</w:t>
            </w:r>
          </w:p>
        </w:tc>
      </w:tr>
      <w:tr w:rsidR="002C042B" w:rsidRPr="002C042B" w14:paraId="646900FC" w14:textId="77777777" w:rsidTr="00221657">
        <w:trPr>
          <w:trHeight w:val="220"/>
          <w:jc w:val="center"/>
        </w:trPr>
        <w:tc>
          <w:tcPr>
            <w:tcW w:w="345" w:type="pct"/>
            <w:vMerge/>
            <w:tcBorders>
              <w:top w:val="nil"/>
              <w:left w:val="single" w:sz="4" w:space="0" w:color="auto"/>
              <w:bottom w:val="single" w:sz="4" w:space="0" w:color="auto"/>
              <w:right w:val="single" w:sz="4" w:space="0" w:color="auto"/>
            </w:tcBorders>
            <w:vAlign w:val="center"/>
            <w:hideMark/>
          </w:tcPr>
          <w:p w14:paraId="7CA4A136"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52C98D07"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1.1. Libre Destinación</w:t>
            </w:r>
          </w:p>
        </w:tc>
        <w:tc>
          <w:tcPr>
            <w:tcW w:w="596" w:type="pct"/>
            <w:tcBorders>
              <w:top w:val="nil"/>
              <w:left w:val="nil"/>
              <w:bottom w:val="single" w:sz="4" w:space="0" w:color="auto"/>
              <w:right w:val="single" w:sz="4" w:space="0" w:color="auto"/>
            </w:tcBorders>
            <w:shd w:val="clear" w:color="auto" w:fill="auto"/>
            <w:noWrap/>
            <w:vAlign w:val="center"/>
            <w:hideMark/>
          </w:tcPr>
          <w:p w14:paraId="19341B7D"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1.240.450.794</w:t>
            </w:r>
          </w:p>
        </w:tc>
        <w:tc>
          <w:tcPr>
            <w:tcW w:w="624" w:type="pct"/>
            <w:tcBorders>
              <w:top w:val="nil"/>
              <w:left w:val="nil"/>
              <w:bottom w:val="single" w:sz="4" w:space="0" w:color="auto"/>
              <w:right w:val="single" w:sz="4" w:space="0" w:color="auto"/>
            </w:tcBorders>
            <w:shd w:val="clear" w:color="auto" w:fill="auto"/>
            <w:noWrap/>
            <w:vAlign w:val="center"/>
            <w:hideMark/>
          </w:tcPr>
          <w:p w14:paraId="7F0F4AFF"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1.235.554.822</w:t>
            </w:r>
          </w:p>
        </w:tc>
        <w:tc>
          <w:tcPr>
            <w:tcW w:w="596" w:type="pct"/>
            <w:tcBorders>
              <w:top w:val="nil"/>
              <w:left w:val="nil"/>
              <w:bottom w:val="single" w:sz="4" w:space="0" w:color="auto"/>
              <w:right w:val="single" w:sz="4" w:space="0" w:color="auto"/>
            </w:tcBorders>
            <w:shd w:val="clear" w:color="auto" w:fill="auto"/>
            <w:noWrap/>
            <w:vAlign w:val="center"/>
            <w:hideMark/>
          </w:tcPr>
          <w:p w14:paraId="08BD0882"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1.235.554.822</w:t>
            </w:r>
          </w:p>
        </w:tc>
        <w:tc>
          <w:tcPr>
            <w:tcW w:w="596" w:type="pct"/>
            <w:tcBorders>
              <w:top w:val="nil"/>
              <w:left w:val="nil"/>
              <w:bottom w:val="single" w:sz="4" w:space="0" w:color="auto"/>
              <w:right w:val="single" w:sz="4" w:space="0" w:color="auto"/>
            </w:tcBorders>
            <w:shd w:val="clear" w:color="auto" w:fill="auto"/>
            <w:noWrap/>
            <w:vAlign w:val="center"/>
            <w:hideMark/>
          </w:tcPr>
          <w:p w14:paraId="56FC1E0B"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1.212.033.516</w:t>
            </w:r>
          </w:p>
        </w:tc>
        <w:tc>
          <w:tcPr>
            <w:tcW w:w="527" w:type="pct"/>
            <w:tcBorders>
              <w:top w:val="nil"/>
              <w:left w:val="nil"/>
              <w:bottom w:val="single" w:sz="4" w:space="0" w:color="auto"/>
              <w:right w:val="single" w:sz="4" w:space="0" w:color="auto"/>
            </w:tcBorders>
            <w:shd w:val="clear" w:color="auto" w:fill="auto"/>
            <w:noWrap/>
            <w:vAlign w:val="bottom"/>
            <w:hideMark/>
          </w:tcPr>
          <w:p w14:paraId="21197C64"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23.521.306</w:t>
            </w:r>
          </w:p>
        </w:tc>
        <w:tc>
          <w:tcPr>
            <w:tcW w:w="683" w:type="pct"/>
            <w:tcBorders>
              <w:top w:val="nil"/>
              <w:left w:val="nil"/>
              <w:bottom w:val="single" w:sz="4" w:space="0" w:color="auto"/>
              <w:right w:val="single" w:sz="4" w:space="0" w:color="auto"/>
            </w:tcBorders>
            <w:shd w:val="clear" w:color="auto" w:fill="auto"/>
            <w:noWrap/>
            <w:vAlign w:val="bottom"/>
            <w:hideMark/>
          </w:tcPr>
          <w:p w14:paraId="69C5CD7C"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r>
      <w:tr w:rsidR="002C042B" w:rsidRPr="002C042B" w14:paraId="57A7E9ED" w14:textId="77777777" w:rsidTr="00221657">
        <w:trPr>
          <w:trHeight w:val="168"/>
          <w:jc w:val="center"/>
        </w:trPr>
        <w:tc>
          <w:tcPr>
            <w:tcW w:w="345" w:type="pct"/>
            <w:vMerge/>
            <w:tcBorders>
              <w:top w:val="nil"/>
              <w:left w:val="single" w:sz="4" w:space="0" w:color="auto"/>
              <w:bottom w:val="single" w:sz="4" w:space="0" w:color="auto"/>
              <w:right w:val="single" w:sz="4" w:space="0" w:color="auto"/>
            </w:tcBorders>
            <w:vAlign w:val="center"/>
            <w:hideMark/>
          </w:tcPr>
          <w:p w14:paraId="2B57B5D0"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5EE6C67A"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1.2. Libre Inversión</w:t>
            </w:r>
          </w:p>
        </w:tc>
        <w:tc>
          <w:tcPr>
            <w:tcW w:w="596" w:type="pct"/>
            <w:tcBorders>
              <w:top w:val="nil"/>
              <w:left w:val="nil"/>
              <w:bottom w:val="single" w:sz="4" w:space="0" w:color="auto"/>
              <w:right w:val="single" w:sz="4" w:space="0" w:color="auto"/>
            </w:tcBorders>
            <w:shd w:val="clear" w:color="auto" w:fill="auto"/>
            <w:noWrap/>
            <w:vAlign w:val="center"/>
            <w:hideMark/>
          </w:tcPr>
          <w:p w14:paraId="56590EF6"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1.495.132.948</w:t>
            </w:r>
          </w:p>
        </w:tc>
        <w:tc>
          <w:tcPr>
            <w:tcW w:w="624" w:type="pct"/>
            <w:tcBorders>
              <w:top w:val="nil"/>
              <w:left w:val="nil"/>
              <w:bottom w:val="single" w:sz="4" w:space="0" w:color="auto"/>
              <w:right w:val="single" w:sz="4" w:space="0" w:color="auto"/>
            </w:tcBorders>
            <w:shd w:val="clear" w:color="auto" w:fill="auto"/>
            <w:noWrap/>
            <w:vAlign w:val="center"/>
            <w:hideMark/>
          </w:tcPr>
          <w:p w14:paraId="319FC8A3"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1.491.664.169</w:t>
            </w:r>
          </w:p>
        </w:tc>
        <w:tc>
          <w:tcPr>
            <w:tcW w:w="596" w:type="pct"/>
            <w:tcBorders>
              <w:top w:val="nil"/>
              <w:left w:val="nil"/>
              <w:bottom w:val="single" w:sz="4" w:space="0" w:color="auto"/>
              <w:right w:val="single" w:sz="4" w:space="0" w:color="auto"/>
            </w:tcBorders>
            <w:shd w:val="clear" w:color="auto" w:fill="auto"/>
            <w:noWrap/>
            <w:vAlign w:val="center"/>
            <w:hideMark/>
          </w:tcPr>
          <w:p w14:paraId="59E0E3D0"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1.470.164.173</w:t>
            </w:r>
          </w:p>
        </w:tc>
        <w:tc>
          <w:tcPr>
            <w:tcW w:w="596" w:type="pct"/>
            <w:tcBorders>
              <w:top w:val="nil"/>
              <w:left w:val="nil"/>
              <w:bottom w:val="single" w:sz="4" w:space="0" w:color="auto"/>
              <w:right w:val="single" w:sz="4" w:space="0" w:color="auto"/>
            </w:tcBorders>
            <w:shd w:val="clear" w:color="auto" w:fill="auto"/>
            <w:noWrap/>
            <w:vAlign w:val="center"/>
            <w:hideMark/>
          </w:tcPr>
          <w:p w14:paraId="23909129"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1.439.639.173</w:t>
            </w:r>
          </w:p>
        </w:tc>
        <w:tc>
          <w:tcPr>
            <w:tcW w:w="527" w:type="pct"/>
            <w:tcBorders>
              <w:top w:val="nil"/>
              <w:left w:val="nil"/>
              <w:bottom w:val="single" w:sz="4" w:space="0" w:color="auto"/>
              <w:right w:val="single" w:sz="4" w:space="0" w:color="auto"/>
            </w:tcBorders>
            <w:shd w:val="clear" w:color="auto" w:fill="auto"/>
            <w:noWrap/>
            <w:vAlign w:val="bottom"/>
            <w:hideMark/>
          </w:tcPr>
          <w:p w14:paraId="7C1D8943"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30.525.000</w:t>
            </w:r>
          </w:p>
        </w:tc>
        <w:tc>
          <w:tcPr>
            <w:tcW w:w="683" w:type="pct"/>
            <w:tcBorders>
              <w:top w:val="nil"/>
              <w:left w:val="nil"/>
              <w:bottom w:val="single" w:sz="4" w:space="0" w:color="auto"/>
              <w:right w:val="single" w:sz="4" w:space="0" w:color="auto"/>
            </w:tcBorders>
            <w:shd w:val="clear" w:color="auto" w:fill="auto"/>
            <w:noWrap/>
            <w:vAlign w:val="bottom"/>
            <w:hideMark/>
          </w:tcPr>
          <w:p w14:paraId="1427D876"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21.499.996</w:t>
            </w:r>
          </w:p>
        </w:tc>
      </w:tr>
      <w:tr w:rsidR="002C042B" w:rsidRPr="002C042B" w14:paraId="09B72BE7" w14:textId="77777777" w:rsidTr="00221657">
        <w:trPr>
          <w:trHeight w:val="220"/>
          <w:jc w:val="center"/>
        </w:trPr>
        <w:tc>
          <w:tcPr>
            <w:tcW w:w="345" w:type="pct"/>
            <w:vMerge/>
            <w:tcBorders>
              <w:top w:val="nil"/>
              <w:left w:val="single" w:sz="4" w:space="0" w:color="auto"/>
              <w:bottom w:val="single" w:sz="4" w:space="0" w:color="auto"/>
              <w:right w:val="single" w:sz="4" w:space="0" w:color="auto"/>
            </w:tcBorders>
            <w:vAlign w:val="center"/>
            <w:hideMark/>
          </w:tcPr>
          <w:p w14:paraId="5FC618BD"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4DAFFD3A"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1.3. Deporte y Recreación</w:t>
            </w:r>
          </w:p>
        </w:tc>
        <w:tc>
          <w:tcPr>
            <w:tcW w:w="596" w:type="pct"/>
            <w:tcBorders>
              <w:top w:val="nil"/>
              <w:left w:val="nil"/>
              <w:bottom w:val="single" w:sz="4" w:space="0" w:color="auto"/>
              <w:right w:val="single" w:sz="4" w:space="0" w:color="auto"/>
            </w:tcBorders>
            <w:shd w:val="clear" w:color="auto" w:fill="auto"/>
            <w:noWrap/>
            <w:vAlign w:val="center"/>
            <w:hideMark/>
          </w:tcPr>
          <w:p w14:paraId="7392697E"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43.192.391</w:t>
            </w:r>
          </w:p>
        </w:tc>
        <w:tc>
          <w:tcPr>
            <w:tcW w:w="624" w:type="pct"/>
            <w:tcBorders>
              <w:top w:val="nil"/>
              <w:left w:val="nil"/>
              <w:bottom w:val="single" w:sz="4" w:space="0" w:color="auto"/>
              <w:right w:val="single" w:sz="4" w:space="0" w:color="auto"/>
            </w:tcBorders>
            <w:shd w:val="clear" w:color="auto" w:fill="auto"/>
            <w:noWrap/>
            <w:vAlign w:val="bottom"/>
            <w:hideMark/>
          </w:tcPr>
          <w:p w14:paraId="52E5F54B" w14:textId="77777777" w:rsidR="002C042B" w:rsidRPr="002C042B" w:rsidRDefault="002C042B">
            <w:pPr>
              <w:spacing w:after="0" w:line="240" w:lineRule="auto"/>
              <w:contextualSpacing/>
              <w:jc w:val="center"/>
              <w:rPr>
                <w:rFonts w:eastAsia="Times New Roman" w:cs="Arial"/>
                <w:color w:val="000000"/>
                <w:sz w:val="18"/>
                <w:szCs w:val="18"/>
                <w:lang w:val="es-CO" w:eastAsia="es-CO"/>
              </w:rPr>
            </w:pPr>
            <w:r w:rsidRPr="002C042B">
              <w:rPr>
                <w:rFonts w:eastAsia="Times New Roman" w:cs="Arial"/>
                <w:color w:val="000000"/>
                <w:sz w:val="18"/>
                <w:szCs w:val="18"/>
                <w:lang w:val="es-CO" w:eastAsia="es-CO"/>
              </w:rPr>
              <w:t>43.192.391</w:t>
            </w:r>
          </w:p>
        </w:tc>
        <w:tc>
          <w:tcPr>
            <w:tcW w:w="596" w:type="pct"/>
            <w:tcBorders>
              <w:top w:val="nil"/>
              <w:left w:val="nil"/>
              <w:bottom w:val="single" w:sz="4" w:space="0" w:color="auto"/>
              <w:right w:val="single" w:sz="4" w:space="0" w:color="auto"/>
            </w:tcBorders>
            <w:shd w:val="clear" w:color="auto" w:fill="auto"/>
            <w:noWrap/>
            <w:vAlign w:val="bottom"/>
            <w:hideMark/>
          </w:tcPr>
          <w:p w14:paraId="5B001516" w14:textId="77777777" w:rsidR="002C042B" w:rsidRPr="002C042B" w:rsidRDefault="002C042B">
            <w:pPr>
              <w:spacing w:after="0" w:line="240" w:lineRule="auto"/>
              <w:contextualSpacing/>
              <w:jc w:val="center"/>
              <w:rPr>
                <w:rFonts w:eastAsia="Times New Roman" w:cs="Arial"/>
                <w:color w:val="000000"/>
                <w:sz w:val="18"/>
                <w:szCs w:val="18"/>
                <w:lang w:val="es-CO" w:eastAsia="es-CO"/>
              </w:rPr>
            </w:pPr>
            <w:r w:rsidRPr="002C042B">
              <w:rPr>
                <w:rFonts w:eastAsia="Times New Roman" w:cs="Arial"/>
                <w:color w:val="000000"/>
                <w:sz w:val="18"/>
                <w:szCs w:val="18"/>
                <w:lang w:val="es-CO" w:eastAsia="es-CO"/>
              </w:rPr>
              <w:t>43.192.391</w:t>
            </w:r>
          </w:p>
        </w:tc>
        <w:tc>
          <w:tcPr>
            <w:tcW w:w="596" w:type="pct"/>
            <w:tcBorders>
              <w:top w:val="nil"/>
              <w:left w:val="nil"/>
              <w:bottom w:val="single" w:sz="4" w:space="0" w:color="auto"/>
              <w:right w:val="single" w:sz="4" w:space="0" w:color="auto"/>
            </w:tcBorders>
            <w:shd w:val="clear" w:color="auto" w:fill="auto"/>
            <w:noWrap/>
            <w:vAlign w:val="bottom"/>
            <w:hideMark/>
          </w:tcPr>
          <w:p w14:paraId="2D35DAD7" w14:textId="77777777" w:rsidR="002C042B" w:rsidRPr="002C042B" w:rsidRDefault="002C042B">
            <w:pPr>
              <w:spacing w:after="0" w:line="240" w:lineRule="auto"/>
              <w:contextualSpacing/>
              <w:jc w:val="center"/>
              <w:rPr>
                <w:rFonts w:eastAsia="Times New Roman" w:cs="Arial"/>
                <w:color w:val="000000"/>
                <w:sz w:val="18"/>
                <w:szCs w:val="18"/>
                <w:lang w:val="es-CO" w:eastAsia="es-CO"/>
              </w:rPr>
            </w:pPr>
            <w:r w:rsidRPr="002C042B">
              <w:rPr>
                <w:rFonts w:eastAsia="Times New Roman" w:cs="Arial"/>
                <w:color w:val="000000"/>
                <w:sz w:val="18"/>
                <w:szCs w:val="18"/>
                <w:lang w:val="es-CO" w:eastAsia="es-CO"/>
              </w:rPr>
              <w:t>43.192.391</w:t>
            </w:r>
          </w:p>
        </w:tc>
        <w:tc>
          <w:tcPr>
            <w:tcW w:w="527" w:type="pct"/>
            <w:tcBorders>
              <w:top w:val="nil"/>
              <w:left w:val="nil"/>
              <w:bottom w:val="single" w:sz="4" w:space="0" w:color="auto"/>
              <w:right w:val="single" w:sz="4" w:space="0" w:color="auto"/>
            </w:tcBorders>
            <w:shd w:val="clear" w:color="auto" w:fill="auto"/>
            <w:noWrap/>
            <w:vAlign w:val="bottom"/>
            <w:hideMark/>
          </w:tcPr>
          <w:p w14:paraId="06192886"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c>
          <w:tcPr>
            <w:tcW w:w="683" w:type="pct"/>
            <w:tcBorders>
              <w:top w:val="nil"/>
              <w:left w:val="nil"/>
              <w:bottom w:val="single" w:sz="4" w:space="0" w:color="auto"/>
              <w:right w:val="single" w:sz="4" w:space="0" w:color="auto"/>
            </w:tcBorders>
            <w:shd w:val="clear" w:color="auto" w:fill="auto"/>
            <w:noWrap/>
            <w:vAlign w:val="bottom"/>
            <w:hideMark/>
          </w:tcPr>
          <w:p w14:paraId="0E345BEC"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r>
      <w:tr w:rsidR="002C042B" w:rsidRPr="002C042B" w14:paraId="1904599E" w14:textId="77777777" w:rsidTr="00221657">
        <w:trPr>
          <w:trHeight w:val="220"/>
          <w:jc w:val="center"/>
        </w:trPr>
        <w:tc>
          <w:tcPr>
            <w:tcW w:w="345" w:type="pct"/>
            <w:vMerge/>
            <w:tcBorders>
              <w:top w:val="nil"/>
              <w:left w:val="single" w:sz="4" w:space="0" w:color="auto"/>
              <w:bottom w:val="single" w:sz="4" w:space="0" w:color="auto"/>
              <w:right w:val="single" w:sz="4" w:space="0" w:color="auto"/>
            </w:tcBorders>
            <w:vAlign w:val="center"/>
            <w:hideMark/>
          </w:tcPr>
          <w:p w14:paraId="531BF51D"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72973C37"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1.4. Cultura</w:t>
            </w:r>
          </w:p>
        </w:tc>
        <w:tc>
          <w:tcPr>
            <w:tcW w:w="596" w:type="pct"/>
            <w:tcBorders>
              <w:top w:val="nil"/>
              <w:left w:val="nil"/>
              <w:bottom w:val="single" w:sz="4" w:space="0" w:color="auto"/>
              <w:right w:val="single" w:sz="4" w:space="0" w:color="auto"/>
            </w:tcBorders>
            <w:shd w:val="clear" w:color="auto" w:fill="auto"/>
            <w:noWrap/>
            <w:vAlign w:val="center"/>
            <w:hideMark/>
          </w:tcPr>
          <w:p w14:paraId="2EEDEC4A"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40.800.100</w:t>
            </w:r>
          </w:p>
        </w:tc>
        <w:tc>
          <w:tcPr>
            <w:tcW w:w="624" w:type="pct"/>
            <w:tcBorders>
              <w:top w:val="nil"/>
              <w:left w:val="nil"/>
              <w:bottom w:val="single" w:sz="4" w:space="0" w:color="auto"/>
              <w:right w:val="single" w:sz="4" w:space="0" w:color="auto"/>
            </w:tcBorders>
            <w:shd w:val="clear" w:color="auto" w:fill="auto"/>
            <w:noWrap/>
            <w:vAlign w:val="bottom"/>
            <w:hideMark/>
          </w:tcPr>
          <w:p w14:paraId="788E9258"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32.327.680</w:t>
            </w:r>
          </w:p>
        </w:tc>
        <w:tc>
          <w:tcPr>
            <w:tcW w:w="596" w:type="pct"/>
            <w:tcBorders>
              <w:top w:val="nil"/>
              <w:left w:val="nil"/>
              <w:bottom w:val="single" w:sz="4" w:space="0" w:color="auto"/>
              <w:right w:val="single" w:sz="4" w:space="0" w:color="auto"/>
            </w:tcBorders>
            <w:shd w:val="clear" w:color="auto" w:fill="auto"/>
            <w:noWrap/>
            <w:vAlign w:val="bottom"/>
            <w:hideMark/>
          </w:tcPr>
          <w:p w14:paraId="10913468"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32.327.680</w:t>
            </w:r>
          </w:p>
        </w:tc>
        <w:tc>
          <w:tcPr>
            <w:tcW w:w="596" w:type="pct"/>
            <w:tcBorders>
              <w:top w:val="nil"/>
              <w:left w:val="nil"/>
              <w:bottom w:val="single" w:sz="4" w:space="0" w:color="auto"/>
              <w:right w:val="single" w:sz="4" w:space="0" w:color="auto"/>
            </w:tcBorders>
            <w:shd w:val="clear" w:color="auto" w:fill="auto"/>
            <w:noWrap/>
            <w:vAlign w:val="bottom"/>
            <w:hideMark/>
          </w:tcPr>
          <w:p w14:paraId="2D9425C4"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32.327.680</w:t>
            </w:r>
          </w:p>
        </w:tc>
        <w:tc>
          <w:tcPr>
            <w:tcW w:w="527" w:type="pct"/>
            <w:tcBorders>
              <w:top w:val="nil"/>
              <w:left w:val="nil"/>
              <w:bottom w:val="single" w:sz="4" w:space="0" w:color="auto"/>
              <w:right w:val="single" w:sz="4" w:space="0" w:color="auto"/>
            </w:tcBorders>
            <w:shd w:val="clear" w:color="auto" w:fill="auto"/>
            <w:noWrap/>
            <w:vAlign w:val="bottom"/>
            <w:hideMark/>
          </w:tcPr>
          <w:p w14:paraId="27799B95"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c>
          <w:tcPr>
            <w:tcW w:w="683" w:type="pct"/>
            <w:tcBorders>
              <w:top w:val="nil"/>
              <w:left w:val="nil"/>
              <w:bottom w:val="single" w:sz="4" w:space="0" w:color="auto"/>
              <w:right w:val="single" w:sz="4" w:space="0" w:color="auto"/>
            </w:tcBorders>
            <w:shd w:val="clear" w:color="auto" w:fill="auto"/>
            <w:noWrap/>
            <w:vAlign w:val="bottom"/>
            <w:hideMark/>
          </w:tcPr>
          <w:p w14:paraId="7F5272A0"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r>
      <w:tr w:rsidR="00221657" w:rsidRPr="002C042B" w14:paraId="3BACD9A7" w14:textId="77777777" w:rsidTr="00221657">
        <w:trPr>
          <w:trHeight w:val="448"/>
          <w:jc w:val="center"/>
        </w:trPr>
        <w:tc>
          <w:tcPr>
            <w:tcW w:w="345" w:type="pct"/>
            <w:vMerge w:val="restart"/>
            <w:tcBorders>
              <w:top w:val="nil"/>
              <w:left w:val="single" w:sz="4" w:space="0" w:color="auto"/>
              <w:bottom w:val="single" w:sz="4" w:space="0" w:color="auto"/>
              <w:right w:val="single" w:sz="4" w:space="0" w:color="auto"/>
            </w:tcBorders>
            <w:shd w:val="clear" w:color="000000" w:fill="666699"/>
            <w:vAlign w:val="center"/>
            <w:hideMark/>
          </w:tcPr>
          <w:p w14:paraId="56EEAEAE" w14:textId="77777777" w:rsidR="002C042B" w:rsidRPr="002C042B" w:rsidRDefault="002C042B"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2C042B">
              <w:rPr>
                <w:rFonts w:ascii="Arial Narrow" w:eastAsia="Times New Roman" w:hAnsi="Arial Narrow" w:cs="Calibri"/>
                <w:b/>
                <w:bCs/>
                <w:color w:val="FFFFFF"/>
                <w:sz w:val="18"/>
                <w:szCs w:val="18"/>
                <w:lang w:val="es-CO" w:eastAsia="es-CO"/>
              </w:rPr>
              <w:t>Año 2020</w:t>
            </w:r>
          </w:p>
        </w:tc>
        <w:tc>
          <w:tcPr>
            <w:tcW w:w="1031" w:type="pct"/>
            <w:tcBorders>
              <w:top w:val="nil"/>
              <w:left w:val="nil"/>
              <w:bottom w:val="single" w:sz="4" w:space="0" w:color="auto"/>
              <w:right w:val="single" w:sz="4" w:space="0" w:color="auto"/>
            </w:tcBorders>
            <w:shd w:val="clear" w:color="000000" w:fill="CCCCFF"/>
            <w:vAlign w:val="center"/>
            <w:hideMark/>
          </w:tcPr>
          <w:p w14:paraId="1DB03077"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1. Propósito General*</w:t>
            </w:r>
          </w:p>
        </w:tc>
        <w:tc>
          <w:tcPr>
            <w:tcW w:w="596" w:type="pct"/>
            <w:tcBorders>
              <w:top w:val="nil"/>
              <w:left w:val="nil"/>
              <w:bottom w:val="single" w:sz="4" w:space="0" w:color="auto"/>
              <w:right w:val="single" w:sz="4" w:space="0" w:color="auto"/>
            </w:tcBorders>
            <w:shd w:val="clear" w:color="000000" w:fill="CCCCFF"/>
            <w:vAlign w:val="center"/>
            <w:hideMark/>
          </w:tcPr>
          <w:p w14:paraId="0B400440"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2.746.706.137</w:t>
            </w:r>
          </w:p>
        </w:tc>
        <w:tc>
          <w:tcPr>
            <w:tcW w:w="624" w:type="pct"/>
            <w:tcBorders>
              <w:top w:val="nil"/>
              <w:left w:val="nil"/>
              <w:bottom w:val="single" w:sz="4" w:space="0" w:color="auto"/>
              <w:right w:val="single" w:sz="4" w:space="0" w:color="auto"/>
            </w:tcBorders>
            <w:shd w:val="clear" w:color="000000" w:fill="CCCCFF"/>
            <w:vAlign w:val="center"/>
            <w:hideMark/>
          </w:tcPr>
          <w:p w14:paraId="31EFB583"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2.632.015.716</w:t>
            </w:r>
          </w:p>
        </w:tc>
        <w:tc>
          <w:tcPr>
            <w:tcW w:w="596" w:type="pct"/>
            <w:tcBorders>
              <w:top w:val="nil"/>
              <w:left w:val="nil"/>
              <w:bottom w:val="single" w:sz="4" w:space="0" w:color="auto"/>
              <w:right w:val="single" w:sz="4" w:space="0" w:color="auto"/>
            </w:tcBorders>
            <w:shd w:val="clear" w:color="000000" w:fill="CCCCFF"/>
            <w:vAlign w:val="center"/>
            <w:hideMark/>
          </w:tcPr>
          <w:p w14:paraId="54132726"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2.570.064.025</w:t>
            </w:r>
          </w:p>
        </w:tc>
        <w:tc>
          <w:tcPr>
            <w:tcW w:w="596" w:type="pct"/>
            <w:tcBorders>
              <w:top w:val="nil"/>
              <w:left w:val="nil"/>
              <w:bottom w:val="single" w:sz="4" w:space="0" w:color="auto"/>
              <w:right w:val="single" w:sz="4" w:space="0" w:color="auto"/>
            </w:tcBorders>
            <w:shd w:val="clear" w:color="000000" w:fill="CCCCFF"/>
            <w:vAlign w:val="center"/>
            <w:hideMark/>
          </w:tcPr>
          <w:p w14:paraId="7DD1BE5C"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2.499.773.908</w:t>
            </w:r>
          </w:p>
        </w:tc>
        <w:tc>
          <w:tcPr>
            <w:tcW w:w="527" w:type="pct"/>
            <w:tcBorders>
              <w:top w:val="nil"/>
              <w:left w:val="nil"/>
              <w:bottom w:val="single" w:sz="4" w:space="0" w:color="auto"/>
              <w:right w:val="single" w:sz="4" w:space="0" w:color="auto"/>
            </w:tcBorders>
            <w:shd w:val="clear" w:color="000000" w:fill="CCCCFF"/>
            <w:vAlign w:val="center"/>
            <w:hideMark/>
          </w:tcPr>
          <w:p w14:paraId="7280BC4A"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70.290.117</w:t>
            </w:r>
          </w:p>
        </w:tc>
        <w:tc>
          <w:tcPr>
            <w:tcW w:w="683" w:type="pct"/>
            <w:tcBorders>
              <w:top w:val="nil"/>
              <w:left w:val="nil"/>
              <w:bottom w:val="single" w:sz="4" w:space="0" w:color="auto"/>
              <w:right w:val="single" w:sz="4" w:space="0" w:color="auto"/>
            </w:tcBorders>
            <w:shd w:val="clear" w:color="000000" w:fill="CCCCFF"/>
            <w:vAlign w:val="center"/>
            <w:hideMark/>
          </w:tcPr>
          <w:p w14:paraId="4FC4603D" w14:textId="77777777" w:rsidR="002C042B" w:rsidRPr="002C042B" w:rsidRDefault="002C042B">
            <w:pPr>
              <w:spacing w:after="0" w:line="240" w:lineRule="auto"/>
              <w:contextualSpacing/>
              <w:jc w:val="center"/>
              <w:rPr>
                <w:rFonts w:eastAsia="Times New Roman" w:cs="Arial"/>
                <w:b/>
                <w:bCs/>
                <w:color w:val="000000"/>
                <w:sz w:val="18"/>
                <w:szCs w:val="18"/>
                <w:lang w:val="es-CO" w:eastAsia="es-CO"/>
              </w:rPr>
            </w:pPr>
            <w:r w:rsidRPr="002C042B">
              <w:rPr>
                <w:rFonts w:eastAsia="Times New Roman" w:cs="Arial"/>
                <w:b/>
                <w:bCs/>
                <w:color w:val="000000"/>
                <w:sz w:val="18"/>
                <w:szCs w:val="18"/>
                <w:lang w:val="es-CO" w:eastAsia="es-CO"/>
              </w:rPr>
              <w:t>61.951.690</w:t>
            </w:r>
          </w:p>
        </w:tc>
      </w:tr>
      <w:tr w:rsidR="002C042B" w:rsidRPr="002C042B" w14:paraId="114BD40F" w14:textId="77777777" w:rsidTr="00221657">
        <w:trPr>
          <w:trHeight w:val="252"/>
          <w:jc w:val="center"/>
        </w:trPr>
        <w:tc>
          <w:tcPr>
            <w:tcW w:w="345" w:type="pct"/>
            <w:vMerge/>
            <w:tcBorders>
              <w:top w:val="nil"/>
              <w:left w:val="single" w:sz="4" w:space="0" w:color="auto"/>
              <w:bottom w:val="single" w:sz="4" w:space="0" w:color="auto"/>
              <w:right w:val="single" w:sz="4" w:space="0" w:color="auto"/>
            </w:tcBorders>
            <w:vAlign w:val="center"/>
            <w:hideMark/>
          </w:tcPr>
          <w:p w14:paraId="7126BF2C"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7680DD36"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1.1. Libre Destinación</w:t>
            </w:r>
          </w:p>
        </w:tc>
        <w:tc>
          <w:tcPr>
            <w:tcW w:w="596" w:type="pct"/>
            <w:tcBorders>
              <w:top w:val="nil"/>
              <w:left w:val="nil"/>
              <w:bottom w:val="single" w:sz="4" w:space="0" w:color="auto"/>
              <w:right w:val="single" w:sz="4" w:space="0" w:color="auto"/>
            </w:tcBorders>
            <w:shd w:val="clear" w:color="auto" w:fill="auto"/>
            <w:noWrap/>
            <w:vAlign w:val="center"/>
            <w:hideMark/>
          </w:tcPr>
          <w:p w14:paraId="48B365EA"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1.088.729.369</w:t>
            </w:r>
          </w:p>
        </w:tc>
        <w:tc>
          <w:tcPr>
            <w:tcW w:w="624" w:type="pct"/>
            <w:tcBorders>
              <w:top w:val="nil"/>
              <w:left w:val="nil"/>
              <w:bottom w:val="single" w:sz="4" w:space="0" w:color="auto"/>
              <w:right w:val="single" w:sz="4" w:space="0" w:color="auto"/>
            </w:tcBorders>
            <w:shd w:val="clear" w:color="auto" w:fill="auto"/>
            <w:noWrap/>
            <w:vAlign w:val="center"/>
            <w:hideMark/>
          </w:tcPr>
          <w:p w14:paraId="2559A13E"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1.082.264.487</w:t>
            </w:r>
          </w:p>
        </w:tc>
        <w:tc>
          <w:tcPr>
            <w:tcW w:w="596" w:type="pct"/>
            <w:tcBorders>
              <w:top w:val="nil"/>
              <w:left w:val="nil"/>
              <w:bottom w:val="single" w:sz="4" w:space="0" w:color="auto"/>
              <w:right w:val="single" w:sz="4" w:space="0" w:color="auto"/>
            </w:tcBorders>
            <w:shd w:val="clear" w:color="auto" w:fill="auto"/>
            <w:noWrap/>
            <w:vAlign w:val="center"/>
            <w:hideMark/>
          </w:tcPr>
          <w:p w14:paraId="7A8B9C30"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1.065.472.753</w:t>
            </w:r>
          </w:p>
        </w:tc>
        <w:tc>
          <w:tcPr>
            <w:tcW w:w="596" w:type="pct"/>
            <w:tcBorders>
              <w:top w:val="nil"/>
              <w:left w:val="nil"/>
              <w:bottom w:val="single" w:sz="4" w:space="0" w:color="auto"/>
              <w:right w:val="single" w:sz="4" w:space="0" w:color="auto"/>
            </w:tcBorders>
            <w:shd w:val="clear" w:color="auto" w:fill="auto"/>
            <w:noWrap/>
            <w:vAlign w:val="center"/>
            <w:hideMark/>
          </w:tcPr>
          <w:p w14:paraId="58F3E761"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1.035.417.600</w:t>
            </w:r>
          </w:p>
        </w:tc>
        <w:tc>
          <w:tcPr>
            <w:tcW w:w="527" w:type="pct"/>
            <w:tcBorders>
              <w:top w:val="nil"/>
              <w:left w:val="nil"/>
              <w:bottom w:val="single" w:sz="4" w:space="0" w:color="auto"/>
              <w:right w:val="single" w:sz="4" w:space="0" w:color="auto"/>
            </w:tcBorders>
            <w:shd w:val="clear" w:color="auto" w:fill="auto"/>
            <w:noWrap/>
            <w:vAlign w:val="bottom"/>
            <w:hideMark/>
          </w:tcPr>
          <w:p w14:paraId="20005D84"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30.055.153</w:t>
            </w:r>
          </w:p>
        </w:tc>
        <w:tc>
          <w:tcPr>
            <w:tcW w:w="683" w:type="pct"/>
            <w:tcBorders>
              <w:top w:val="nil"/>
              <w:left w:val="nil"/>
              <w:bottom w:val="single" w:sz="4" w:space="0" w:color="auto"/>
              <w:right w:val="single" w:sz="4" w:space="0" w:color="auto"/>
            </w:tcBorders>
            <w:shd w:val="clear" w:color="auto" w:fill="auto"/>
            <w:noWrap/>
            <w:vAlign w:val="bottom"/>
            <w:hideMark/>
          </w:tcPr>
          <w:p w14:paraId="49104C4C"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16.791.734</w:t>
            </w:r>
          </w:p>
        </w:tc>
      </w:tr>
      <w:tr w:rsidR="002C042B" w:rsidRPr="002C042B" w14:paraId="1CA3479A" w14:textId="77777777" w:rsidTr="00221657">
        <w:trPr>
          <w:trHeight w:val="220"/>
          <w:jc w:val="center"/>
        </w:trPr>
        <w:tc>
          <w:tcPr>
            <w:tcW w:w="345" w:type="pct"/>
            <w:vMerge/>
            <w:tcBorders>
              <w:top w:val="nil"/>
              <w:left w:val="single" w:sz="4" w:space="0" w:color="auto"/>
              <w:bottom w:val="single" w:sz="4" w:space="0" w:color="auto"/>
              <w:right w:val="single" w:sz="4" w:space="0" w:color="auto"/>
            </w:tcBorders>
            <w:vAlign w:val="center"/>
            <w:hideMark/>
          </w:tcPr>
          <w:p w14:paraId="2512EBC3"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61EB670A"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1.2. Libre Inversión</w:t>
            </w:r>
          </w:p>
        </w:tc>
        <w:tc>
          <w:tcPr>
            <w:tcW w:w="596" w:type="pct"/>
            <w:tcBorders>
              <w:top w:val="nil"/>
              <w:left w:val="nil"/>
              <w:bottom w:val="single" w:sz="4" w:space="0" w:color="auto"/>
              <w:right w:val="single" w:sz="4" w:space="0" w:color="auto"/>
            </w:tcBorders>
            <w:shd w:val="clear" w:color="auto" w:fill="auto"/>
            <w:noWrap/>
            <w:vAlign w:val="center"/>
            <w:hideMark/>
          </w:tcPr>
          <w:p w14:paraId="1EDCC440"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1.411.956.108</w:t>
            </w:r>
          </w:p>
        </w:tc>
        <w:tc>
          <w:tcPr>
            <w:tcW w:w="624" w:type="pct"/>
            <w:tcBorders>
              <w:top w:val="nil"/>
              <w:left w:val="nil"/>
              <w:bottom w:val="single" w:sz="4" w:space="0" w:color="auto"/>
              <w:right w:val="single" w:sz="4" w:space="0" w:color="auto"/>
            </w:tcBorders>
            <w:shd w:val="clear" w:color="auto" w:fill="auto"/>
            <w:noWrap/>
            <w:vAlign w:val="center"/>
            <w:hideMark/>
          </w:tcPr>
          <w:p w14:paraId="16618805"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1.393.449.720</w:t>
            </w:r>
          </w:p>
        </w:tc>
        <w:tc>
          <w:tcPr>
            <w:tcW w:w="596" w:type="pct"/>
            <w:tcBorders>
              <w:top w:val="nil"/>
              <w:left w:val="nil"/>
              <w:bottom w:val="single" w:sz="4" w:space="0" w:color="auto"/>
              <w:right w:val="single" w:sz="4" w:space="0" w:color="auto"/>
            </w:tcBorders>
            <w:shd w:val="clear" w:color="auto" w:fill="auto"/>
            <w:noWrap/>
            <w:vAlign w:val="center"/>
            <w:hideMark/>
          </w:tcPr>
          <w:p w14:paraId="36ABE735"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1.369.239.554</w:t>
            </w:r>
          </w:p>
        </w:tc>
        <w:tc>
          <w:tcPr>
            <w:tcW w:w="596" w:type="pct"/>
            <w:tcBorders>
              <w:top w:val="nil"/>
              <w:left w:val="nil"/>
              <w:bottom w:val="single" w:sz="4" w:space="0" w:color="auto"/>
              <w:right w:val="single" w:sz="4" w:space="0" w:color="auto"/>
            </w:tcBorders>
            <w:shd w:val="clear" w:color="auto" w:fill="auto"/>
            <w:noWrap/>
            <w:vAlign w:val="center"/>
            <w:hideMark/>
          </w:tcPr>
          <w:p w14:paraId="7BD1A95A"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1.352.264.554</w:t>
            </w:r>
          </w:p>
        </w:tc>
        <w:tc>
          <w:tcPr>
            <w:tcW w:w="527" w:type="pct"/>
            <w:tcBorders>
              <w:top w:val="nil"/>
              <w:left w:val="nil"/>
              <w:bottom w:val="single" w:sz="4" w:space="0" w:color="auto"/>
              <w:right w:val="single" w:sz="4" w:space="0" w:color="auto"/>
            </w:tcBorders>
            <w:shd w:val="clear" w:color="auto" w:fill="auto"/>
            <w:noWrap/>
            <w:vAlign w:val="bottom"/>
            <w:hideMark/>
          </w:tcPr>
          <w:p w14:paraId="355ADE61"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16.975.000</w:t>
            </w:r>
          </w:p>
        </w:tc>
        <w:tc>
          <w:tcPr>
            <w:tcW w:w="683" w:type="pct"/>
            <w:tcBorders>
              <w:top w:val="nil"/>
              <w:left w:val="nil"/>
              <w:bottom w:val="single" w:sz="4" w:space="0" w:color="auto"/>
              <w:right w:val="single" w:sz="4" w:space="0" w:color="auto"/>
            </w:tcBorders>
            <w:shd w:val="clear" w:color="auto" w:fill="auto"/>
            <w:noWrap/>
            <w:vAlign w:val="bottom"/>
            <w:hideMark/>
          </w:tcPr>
          <w:p w14:paraId="7A11EC4D"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24.210.166</w:t>
            </w:r>
          </w:p>
        </w:tc>
      </w:tr>
      <w:tr w:rsidR="002C042B" w:rsidRPr="002C042B" w14:paraId="14BF779B" w14:textId="77777777" w:rsidTr="00221657">
        <w:trPr>
          <w:trHeight w:val="230"/>
          <w:jc w:val="center"/>
        </w:trPr>
        <w:tc>
          <w:tcPr>
            <w:tcW w:w="345" w:type="pct"/>
            <w:vMerge/>
            <w:tcBorders>
              <w:top w:val="nil"/>
              <w:left w:val="single" w:sz="4" w:space="0" w:color="auto"/>
              <w:bottom w:val="single" w:sz="4" w:space="0" w:color="auto"/>
              <w:right w:val="single" w:sz="4" w:space="0" w:color="auto"/>
            </w:tcBorders>
            <w:vAlign w:val="center"/>
            <w:hideMark/>
          </w:tcPr>
          <w:p w14:paraId="3EFE9BB6"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48A87ADF"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1.3. Deporte y Recreación</w:t>
            </w:r>
          </w:p>
        </w:tc>
        <w:tc>
          <w:tcPr>
            <w:tcW w:w="596" w:type="pct"/>
            <w:tcBorders>
              <w:top w:val="nil"/>
              <w:left w:val="nil"/>
              <w:bottom w:val="single" w:sz="4" w:space="0" w:color="auto"/>
              <w:right w:val="single" w:sz="4" w:space="0" w:color="auto"/>
            </w:tcBorders>
            <w:shd w:val="clear" w:color="auto" w:fill="auto"/>
            <w:noWrap/>
            <w:vAlign w:val="center"/>
            <w:hideMark/>
          </w:tcPr>
          <w:p w14:paraId="027E8A1E"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138.596.775</w:t>
            </w:r>
          </w:p>
        </w:tc>
        <w:tc>
          <w:tcPr>
            <w:tcW w:w="624" w:type="pct"/>
            <w:tcBorders>
              <w:top w:val="nil"/>
              <w:left w:val="nil"/>
              <w:bottom w:val="single" w:sz="4" w:space="0" w:color="auto"/>
              <w:right w:val="single" w:sz="4" w:space="0" w:color="auto"/>
            </w:tcBorders>
            <w:shd w:val="clear" w:color="auto" w:fill="auto"/>
            <w:noWrap/>
            <w:vAlign w:val="center"/>
            <w:hideMark/>
          </w:tcPr>
          <w:p w14:paraId="4B8550DA"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94.642.655</w:t>
            </w:r>
          </w:p>
        </w:tc>
        <w:tc>
          <w:tcPr>
            <w:tcW w:w="596" w:type="pct"/>
            <w:tcBorders>
              <w:top w:val="nil"/>
              <w:left w:val="nil"/>
              <w:bottom w:val="single" w:sz="4" w:space="0" w:color="auto"/>
              <w:right w:val="single" w:sz="4" w:space="0" w:color="auto"/>
            </w:tcBorders>
            <w:shd w:val="clear" w:color="auto" w:fill="auto"/>
            <w:noWrap/>
            <w:vAlign w:val="center"/>
            <w:hideMark/>
          </w:tcPr>
          <w:p w14:paraId="547B9EA0"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94.589.754</w:t>
            </w:r>
          </w:p>
        </w:tc>
        <w:tc>
          <w:tcPr>
            <w:tcW w:w="596" w:type="pct"/>
            <w:tcBorders>
              <w:top w:val="nil"/>
              <w:left w:val="nil"/>
              <w:bottom w:val="single" w:sz="4" w:space="0" w:color="auto"/>
              <w:right w:val="single" w:sz="4" w:space="0" w:color="auto"/>
            </w:tcBorders>
            <w:shd w:val="clear" w:color="auto" w:fill="auto"/>
            <w:noWrap/>
            <w:vAlign w:val="center"/>
            <w:hideMark/>
          </w:tcPr>
          <w:p w14:paraId="25815265"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94.589.754</w:t>
            </w:r>
          </w:p>
        </w:tc>
        <w:tc>
          <w:tcPr>
            <w:tcW w:w="527" w:type="pct"/>
            <w:tcBorders>
              <w:top w:val="nil"/>
              <w:left w:val="nil"/>
              <w:bottom w:val="single" w:sz="4" w:space="0" w:color="auto"/>
              <w:right w:val="single" w:sz="4" w:space="0" w:color="auto"/>
            </w:tcBorders>
            <w:shd w:val="clear" w:color="auto" w:fill="auto"/>
            <w:noWrap/>
            <w:vAlign w:val="bottom"/>
            <w:hideMark/>
          </w:tcPr>
          <w:p w14:paraId="6D42A03D"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0</w:t>
            </w:r>
          </w:p>
        </w:tc>
        <w:tc>
          <w:tcPr>
            <w:tcW w:w="683" w:type="pct"/>
            <w:tcBorders>
              <w:top w:val="nil"/>
              <w:left w:val="nil"/>
              <w:bottom w:val="single" w:sz="4" w:space="0" w:color="auto"/>
              <w:right w:val="single" w:sz="4" w:space="0" w:color="auto"/>
            </w:tcBorders>
            <w:shd w:val="clear" w:color="auto" w:fill="auto"/>
            <w:noWrap/>
            <w:vAlign w:val="bottom"/>
            <w:hideMark/>
          </w:tcPr>
          <w:p w14:paraId="300A432A"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52.900</w:t>
            </w:r>
          </w:p>
        </w:tc>
      </w:tr>
      <w:tr w:rsidR="002C042B" w:rsidRPr="002C042B" w14:paraId="077AE2A8" w14:textId="77777777" w:rsidTr="00221657">
        <w:trPr>
          <w:trHeight w:val="220"/>
          <w:jc w:val="center"/>
        </w:trPr>
        <w:tc>
          <w:tcPr>
            <w:tcW w:w="345" w:type="pct"/>
            <w:vMerge/>
            <w:tcBorders>
              <w:top w:val="nil"/>
              <w:left w:val="single" w:sz="4" w:space="0" w:color="auto"/>
              <w:bottom w:val="single" w:sz="4" w:space="0" w:color="auto"/>
              <w:right w:val="single" w:sz="4" w:space="0" w:color="auto"/>
            </w:tcBorders>
            <w:vAlign w:val="center"/>
            <w:hideMark/>
          </w:tcPr>
          <w:p w14:paraId="105C2484" w14:textId="77777777" w:rsidR="002C042B" w:rsidRPr="002C042B" w:rsidRDefault="002C042B">
            <w:pPr>
              <w:spacing w:after="0" w:line="240" w:lineRule="auto"/>
              <w:contextualSpacing/>
              <w:rPr>
                <w:rFonts w:ascii="Arial Narrow" w:eastAsia="Times New Roman" w:hAnsi="Arial Narrow" w:cs="Calibri"/>
                <w:b/>
                <w:bCs/>
                <w:color w:val="FFFFFF"/>
                <w:sz w:val="18"/>
                <w:szCs w:val="18"/>
                <w:lang w:val="es-CO" w:eastAsia="es-CO"/>
              </w:rPr>
            </w:pPr>
          </w:p>
        </w:tc>
        <w:tc>
          <w:tcPr>
            <w:tcW w:w="1031" w:type="pct"/>
            <w:tcBorders>
              <w:top w:val="nil"/>
              <w:left w:val="nil"/>
              <w:bottom w:val="single" w:sz="4" w:space="0" w:color="auto"/>
              <w:right w:val="single" w:sz="4" w:space="0" w:color="auto"/>
            </w:tcBorders>
            <w:shd w:val="clear" w:color="auto" w:fill="auto"/>
            <w:noWrap/>
            <w:vAlign w:val="bottom"/>
            <w:hideMark/>
          </w:tcPr>
          <w:p w14:paraId="39F1A010" w14:textId="77777777" w:rsidR="002C042B" w:rsidRPr="002C042B" w:rsidRDefault="002C042B">
            <w:pPr>
              <w:spacing w:after="0" w:line="240" w:lineRule="auto"/>
              <w:contextualSpacing/>
              <w:rPr>
                <w:rFonts w:eastAsia="Times New Roman" w:cs="Arial"/>
                <w:sz w:val="18"/>
                <w:szCs w:val="18"/>
                <w:lang w:val="es-CO" w:eastAsia="es-CO"/>
              </w:rPr>
            </w:pPr>
            <w:r w:rsidRPr="002C042B">
              <w:rPr>
                <w:rFonts w:eastAsia="Times New Roman" w:cs="Arial"/>
                <w:sz w:val="18"/>
                <w:szCs w:val="18"/>
                <w:lang w:val="es-CO" w:eastAsia="es-CO"/>
              </w:rPr>
              <w:t>1.4. Cultura</w:t>
            </w:r>
          </w:p>
        </w:tc>
        <w:tc>
          <w:tcPr>
            <w:tcW w:w="596" w:type="pct"/>
            <w:tcBorders>
              <w:top w:val="nil"/>
              <w:left w:val="nil"/>
              <w:bottom w:val="single" w:sz="4" w:space="0" w:color="auto"/>
              <w:right w:val="single" w:sz="4" w:space="0" w:color="auto"/>
            </w:tcBorders>
            <w:shd w:val="clear" w:color="auto" w:fill="auto"/>
            <w:noWrap/>
            <w:vAlign w:val="center"/>
            <w:hideMark/>
          </w:tcPr>
          <w:p w14:paraId="059663ED"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107.423.885</w:t>
            </w:r>
          </w:p>
        </w:tc>
        <w:tc>
          <w:tcPr>
            <w:tcW w:w="624" w:type="pct"/>
            <w:tcBorders>
              <w:top w:val="nil"/>
              <w:left w:val="nil"/>
              <w:bottom w:val="single" w:sz="4" w:space="0" w:color="auto"/>
              <w:right w:val="single" w:sz="4" w:space="0" w:color="auto"/>
            </w:tcBorders>
            <w:shd w:val="clear" w:color="auto" w:fill="auto"/>
            <w:noWrap/>
            <w:vAlign w:val="center"/>
            <w:hideMark/>
          </w:tcPr>
          <w:p w14:paraId="758433F7"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61.658.854</w:t>
            </w:r>
          </w:p>
        </w:tc>
        <w:tc>
          <w:tcPr>
            <w:tcW w:w="596" w:type="pct"/>
            <w:tcBorders>
              <w:top w:val="nil"/>
              <w:left w:val="nil"/>
              <w:bottom w:val="single" w:sz="4" w:space="0" w:color="auto"/>
              <w:right w:val="single" w:sz="4" w:space="0" w:color="auto"/>
            </w:tcBorders>
            <w:shd w:val="clear" w:color="auto" w:fill="auto"/>
            <w:noWrap/>
            <w:vAlign w:val="center"/>
            <w:hideMark/>
          </w:tcPr>
          <w:p w14:paraId="6BCA85C3"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40.761.964</w:t>
            </w:r>
          </w:p>
        </w:tc>
        <w:tc>
          <w:tcPr>
            <w:tcW w:w="596" w:type="pct"/>
            <w:tcBorders>
              <w:top w:val="nil"/>
              <w:left w:val="nil"/>
              <w:bottom w:val="single" w:sz="4" w:space="0" w:color="auto"/>
              <w:right w:val="single" w:sz="4" w:space="0" w:color="auto"/>
            </w:tcBorders>
            <w:shd w:val="clear" w:color="auto" w:fill="auto"/>
            <w:noWrap/>
            <w:vAlign w:val="center"/>
            <w:hideMark/>
          </w:tcPr>
          <w:p w14:paraId="537A6D92"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17.502.000</w:t>
            </w:r>
          </w:p>
        </w:tc>
        <w:tc>
          <w:tcPr>
            <w:tcW w:w="527" w:type="pct"/>
            <w:tcBorders>
              <w:top w:val="nil"/>
              <w:left w:val="nil"/>
              <w:bottom w:val="single" w:sz="4" w:space="0" w:color="auto"/>
              <w:right w:val="single" w:sz="4" w:space="0" w:color="auto"/>
            </w:tcBorders>
            <w:shd w:val="clear" w:color="auto" w:fill="auto"/>
            <w:noWrap/>
            <w:vAlign w:val="bottom"/>
            <w:hideMark/>
          </w:tcPr>
          <w:p w14:paraId="1ACA4AE4"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23.259.964</w:t>
            </w:r>
          </w:p>
        </w:tc>
        <w:tc>
          <w:tcPr>
            <w:tcW w:w="683" w:type="pct"/>
            <w:tcBorders>
              <w:top w:val="nil"/>
              <w:left w:val="nil"/>
              <w:bottom w:val="single" w:sz="4" w:space="0" w:color="auto"/>
              <w:right w:val="single" w:sz="4" w:space="0" w:color="auto"/>
            </w:tcBorders>
            <w:shd w:val="clear" w:color="auto" w:fill="auto"/>
            <w:noWrap/>
            <w:vAlign w:val="bottom"/>
            <w:hideMark/>
          </w:tcPr>
          <w:p w14:paraId="5DA7BFEE" w14:textId="77777777" w:rsidR="002C042B" w:rsidRPr="002C042B" w:rsidRDefault="002C042B">
            <w:pPr>
              <w:spacing w:after="0" w:line="240" w:lineRule="auto"/>
              <w:contextualSpacing/>
              <w:jc w:val="center"/>
              <w:rPr>
                <w:rFonts w:eastAsia="Times New Roman" w:cs="Arial"/>
                <w:sz w:val="18"/>
                <w:szCs w:val="18"/>
                <w:lang w:val="es-CO" w:eastAsia="es-CO"/>
              </w:rPr>
            </w:pPr>
            <w:r w:rsidRPr="002C042B">
              <w:rPr>
                <w:rFonts w:eastAsia="Times New Roman" w:cs="Arial"/>
                <w:sz w:val="18"/>
                <w:szCs w:val="18"/>
                <w:lang w:val="es-CO" w:eastAsia="es-CO"/>
              </w:rPr>
              <w:t>20.896.890</w:t>
            </w:r>
          </w:p>
        </w:tc>
      </w:tr>
    </w:tbl>
    <w:p w14:paraId="10560EAA" w14:textId="77777777" w:rsidR="00074E62" w:rsidRPr="00FB27C3" w:rsidRDefault="00D71DA2" w:rsidP="00286F4A">
      <w:pPr>
        <w:pStyle w:val="NormalWeb"/>
        <w:spacing w:before="0" w:beforeAutospacing="0" w:after="0" w:afterAutospacing="0"/>
        <w:contextualSpacing/>
        <w:jc w:val="center"/>
        <w:rPr>
          <w:rFonts w:ascii="Arial" w:hAnsi="Arial" w:cs="Arial"/>
          <w:color w:val="000000"/>
          <w:sz w:val="16"/>
          <w:szCs w:val="16"/>
        </w:rPr>
      </w:pPr>
      <w:r w:rsidRPr="00FB27C3">
        <w:rPr>
          <w:rFonts w:ascii="Arial" w:hAnsi="Arial" w:cs="Arial"/>
          <w:b/>
          <w:bCs/>
          <w:color w:val="000000"/>
          <w:sz w:val="16"/>
          <w:szCs w:val="16"/>
        </w:rPr>
        <w:t xml:space="preserve">Fuente: </w:t>
      </w:r>
      <w:r w:rsidRPr="00FB27C3">
        <w:rPr>
          <w:rFonts w:ascii="Arial" w:hAnsi="Arial" w:cs="Arial"/>
          <w:color w:val="000000"/>
          <w:sz w:val="16"/>
          <w:szCs w:val="16"/>
        </w:rPr>
        <w:t>Elaboración DAF con base en las ejecuciones presupuestales de gastos de la Entidad Territorial.</w:t>
      </w:r>
    </w:p>
    <w:p w14:paraId="507D5C1C" w14:textId="77777777" w:rsidR="00221657" w:rsidRPr="00FB27C3" w:rsidRDefault="00221657">
      <w:pPr>
        <w:pStyle w:val="NormalWeb"/>
        <w:spacing w:before="0" w:beforeAutospacing="0" w:after="0" w:afterAutospacing="0"/>
        <w:contextualSpacing/>
        <w:rPr>
          <w:rFonts w:ascii="Arial" w:hAnsi="Arial" w:cs="Arial"/>
          <w:color w:val="000000"/>
          <w:sz w:val="22"/>
          <w:szCs w:val="22"/>
        </w:rPr>
      </w:pPr>
    </w:p>
    <w:p w14:paraId="74437B88" w14:textId="77777777" w:rsidR="00D7565B" w:rsidRDefault="0039074E">
      <w:pPr>
        <w:pStyle w:val="NormalWeb"/>
        <w:spacing w:before="0" w:beforeAutospacing="0" w:after="0" w:afterAutospacing="0"/>
        <w:contextualSpacing/>
        <w:jc w:val="both"/>
        <w:rPr>
          <w:rFonts w:ascii="Arial" w:hAnsi="Arial" w:cs="Arial"/>
          <w:color w:val="000000"/>
          <w:sz w:val="22"/>
          <w:szCs w:val="22"/>
        </w:rPr>
      </w:pPr>
      <w:r>
        <w:rPr>
          <w:rFonts w:ascii="Arial" w:hAnsi="Arial" w:cs="Arial"/>
          <w:color w:val="000000"/>
          <w:sz w:val="22"/>
          <w:szCs w:val="22"/>
        </w:rPr>
        <w:t xml:space="preserve">En </w:t>
      </w:r>
      <w:r w:rsidR="00C91FE2">
        <w:rPr>
          <w:rFonts w:ascii="Arial" w:hAnsi="Arial" w:cs="Arial"/>
          <w:color w:val="000000"/>
          <w:sz w:val="22"/>
          <w:szCs w:val="22"/>
        </w:rPr>
        <w:t>la vigencia</w:t>
      </w:r>
      <w:r w:rsidR="00D7565B">
        <w:rPr>
          <w:rFonts w:ascii="Arial" w:hAnsi="Arial" w:cs="Arial"/>
          <w:color w:val="000000"/>
          <w:sz w:val="22"/>
          <w:szCs w:val="22"/>
        </w:rPr>
        <w:t xml:space="preserve"> 2018 </w:t>
      </w:r>
      <w:r w:rsidR="00C91FE2">
        <w:rPr>
          <w:rFonts w:ascii="Arial" w:hAnsi="Arial" w:cs="Arial"/>
          <w:color w:val="000000"/>
          <w:sz w:val="22"/>
          <w:szCs w:val="22"/>
        </w:rPr>
        <w:t xml:space="preserve">el </w:t>
      </w:r>
      <w:r w:rsidR="00E16BEF">
        <w:rPr>
          <w:rFonts w:ascii="Arial" w:hAnsi="Arial" w:cs="Arial"/>
          <w:color w:val="000000"/>
          <w:sz w:val="22"/>
          <w:szCs w:val="22"/>
        </w:rPr>
        <w:t>M</w:t>
      </w:r>
      <w:r w:rsidR="00C91FE2">
        <w:rPr>
          <w:rFonts w:ascii="Arial" w:hAnsi="Arial" w:cs="Arial"/>
          <w:color w:val="000000"/>
          <w:sz w:val="22"/>
          <w:szCs w:val="22"/>
        </w:rPr>
        <w:t xml:space="preserve">unicipio </w:t>
      </w:r>
      <w:r w:rsidR="005A4DD0">
        <w:rPr>
          <w:rFonts w:ascii="Arial" w:hAnsi="Arial" w:cs="Arial"/>
          <w:color w:val="000000"/>
          <w:sz w:val="22"/>
          <w:szCs w:val="22"/>
        </w:rPr>
        <w:t>presupuestó $</w:t>
      </w:r>
      <w:r w:rsidR="004F0B38" w:rsidRPr="004F0B38">
        <w:rPr>
          <w:rFonts w:ascii="Arial" w:hAnsi="Arial" w:cs="Arial"/>
          <w:color w:val="000000"/>
          <w:sz w:val="22"/>
          <w:szCs w:val="22"/>
        </w:rPr>
        <w:t>2.967.936.962</w:t>
      </w:r>
      <w:r w:rsidR="004F0B38">
        <w:rPr>
          <w:rFonts w:ascii="Arial" w:hAnsi="Arial" w:cs="Arial"/>
          <w:color w:val="000000"/>
          <w:sz w:val="22"/>
          <w:szCs w:val="22"/>
        </w:rPr>
        <w:t xml:space="preserve"> </w:t>
      </w:r>
      <w:r w:rsidR="009032C9">
        <w:rPr>
          <w:rFonts w:ascii="Arial" w:hAnsi="Arial" w:cs="Arial"/>
          <w:color w:val="000000"/>
          <w:sz w:val="22"/>
          <w:szCs w:val="22"/>
        </w:rPr>
        <w:t>y comprometió $</w:t>
      </w:r>
      <w:r w:rsidR="004F0B38" w:rsidRPr="004F0B38">
        <w:rPr>
          <w:rFonts w:ascii="Arial" w:hAnsi="Arial" w:cs="Arial"/>
          <w:color w:val="000000"/>
          <w:sz w:val="22"/>
          <w:szCs w:val="22"/>
        </w:rPr>
        <w:t>2.690.926.693</w:t>
      </w:r>
      <w:r w:rsidR="004F0B38">
        <w:rPr>
          <w:rFonts w:ascii="Arial" w:hAnsi="Arial" w:cs="Arial"/>
          <w:color w:val="000000"/>
          <w:sz w:val="22"/>
          <w:szCs w:val="22"/>
        </w:rPr>
        <w:t xml:space="preserve"> </w:t>
      </w:r>
      <w:r w:rsidR="005A4DD0">
        <w:rPr>
          <w:rFonts w:ascii="Arial" w:hAnsi="Arial" w:cs="Arial"/>
          <w:color w:val="000000"/>
          <w:sz w:val="22"/>
          <w:szCs w:val="22"/>
        </w:rPr>
        <w:t xml:space="preserve">con cargo a </w:t>
      </w:r>
      <w:r w:rsidR="0064478C">
        <w:rPr>
          <w:rFonts w:ascii="Arial" w:hAnsi="Arial" w:cs="Arial"/>
          <w:color w:val="000000"/>
          <w:sz w:val="22"/>
          <w:szCs w:val="22"/>
        </w:rPr>
        <w:t>Propósito General</w:t>
      </w:r>
      <w:r w:rsidR="009032C9">
        <w:rPr>
          <w:rFonts w:ascii="Arial" w:hAnsi="Arial" w:cs="Arial"/>
          <w:color w:val="000000"/>
          <w:sz w:val="22"/>
          <w:szCs w:val="22"/>
        </w:rPr>
        <w:t xml:space="preserve">. Llama la atención que para </w:t>
      </w:r>
      <w:r w:rsidR="0013039E">
        <w:rPr>
          <w:rFonts w:ascii="Arial" w:hAnsi="Arial" w:cs="Arial"/>
          <w:color w:val="000000"/>
          <w:sz w:val="22"/>
          <w:szCs w:val="22"/>
        </w:rPr>
        <w:t xml:space="preserve">las vigencias </w:t>
      </w:r>
      <w:r w:rsidR="006C42E0">
        <w:rPr>
          <w:rFonts w:ascii="Arial" w:hAnsi="Arial" w:cs="Arial"/>
          <w:color w:val="000000"/>
          <w:sz w:val="22"/>
          <w:szCs w:val="22"/>
        </w:rPr>
        <w:t>2019 y 2020</w:t>
      </w:r>
      <w:r w:rsidR="008C76E7">
        <w:rPr>
          <w:rFonts w:ascii="Arial" w:hAnsi="Arial" w:cs="Arial"/>
          <w:color w:val="000000"/>
          <w:sz w:val="22"/>
          <w:szCs w:val="22"/>
        </w:rPr>
        <w:t xml:space="preserve"> se presenta un monto mayor de gastos</w:t>
      </w:r>
      <w:r w:rsidR="006C3B4A">
        <w:rPr>
          <w:rFonts w:ascii="Arial" w:hAnsi="Arial" w:cs="Arial"/>
          <w:color w:val="000000"/>
          <w:sz w:val="22"/>
          <w:szCs w:val="22"/>
        </w:rPr>
        <w:t xml:space="preserve"> al que se reporta</w:t>
      </w:r>
      <w:r w:rsidR="0013039E" w:rsidRPr="0013039E">
        <w:rPr>
          <w:rFonts w:ascii="Arial" w:hAnsi="Arial" w:cs="Arial"/>
          <w:color w:val="000000"/>
          <w:sz w:val="22"/>
          <w:szCs w:val="22"/>
        </w:rPr>
        <w:t xml:space="preserve"> </w:t>
      </w:r>
      <w:r w:rsidR="0013039E">
        <w:rPr>
          <w:rFonts w:ascii="Arial" w:hAnsi="Arial" w:cs="Arial"/>
          <w:color w:val="000000"/>
          <w:sz w:val="22"/>
          <w:szCs w:val="22"/>
        </w:rPr>
        <w:t>en los ingresos</w:t>
      </w:r>
      <w:r w:rsidR="00D14D3E">
        <w:rPr>
          <w:rFonts w:ascii="Arial" w:hAnsi="Arial" w:cs="Arial"/>
          <w:color w:val="000000"/>
          <w:sz w:val="22"/>
          <w:szCs w:val="22"/>
        </w:rPr>
        <w:t>.</w:t>
      </w:r>
      <w:r w:rsidR="005D7A77">
        <w:rPr>
          <w:rFonts w:ascii="Arial" w:hAnsi="Arial" w:cs="Arial"/>
          <w:color w:val="000000"/>
          <w:sz w:val="22"/>
          <w:szCs w:val="22"/>
        </w:rPr>
        <w:t xml:space="preserve"> </w:t>
      </w:r>
      <w:r w:rsidR="00720111">
        <w:rPr>
          <w:rFonts w:ascii="Arial" w:hAnsi="Arial" w:cs="Arial"/>
          <w:color w:val="000000"/>
          <w:sz w:val="22"/>
          <w:szCs w:val="22"/>
        </w:rPr>
        <w:t xml:space="preserve">Para </w:t>
      </w:r>
      <w:r w:rsidR="003F505E">
        <w:rPr>
          <w:rFonts w:ascii="Arial" w:hAnsi="Arial" w:cs="Arial"/>
          <w:color w:val="000000"/>
          <w:sz w:val="22"/>
          <w:szCs w:val="22"/>
        </w:rPr>
        <w:t xml:space="preserve">la vigencia 2019, </w:t>
      </w:r>
      <w:r w:rsidR="00D05F4D">
        <w:rPr>
          <w:rFonts w:ascii="Arial" w:hAnsi="Arial" w:cs="Arial"/>
          <w:color w:val="000000"/>
          <w:sz w:val="22"/>
          <w:szCs w:val="22"/>
        </w:rPr>
        <w:t>según la información de las ejecu</w:t>
      </w:r>
      <w:r w:rsidR="002E43BE">
        <w:rPr>
          <w:rFonts w:ascii="Arial" w:hAnsi="Arial" w:cs="Arial"/>
          <w:color w:val="000000"/>
          <w:sz w:val="22"/>
          <w:szCs w:val="22"/>
        </w:rPr>
        <w:t xml:space="preserve">ciones presupuestales, el </w:t>
      </w:r>
      <w:r w:rsidR="00E16BEF">
        <w:rPr>
          <w:rFonts w:ascii="Arial" w:hAnsi="Arial" w:cs="Arial"/>
          <w:color w:val="000000"/>
          <w:sz w:val="22"/>
          <w:szCs w:val="22"/>
        </w:rPr>
        <w:t>M</w:t>
      </w:r>
      <w:r w:rsidR="002E43BE">
        <w:rPr>
          <w:rFonts w:ascii="Arial" w:hAnsi="Arial" w:cs="Arial"/>
          <w:color w:val="000000"/>
          <w:sz w:val="22"/>
          <w:szCs w:val="22"/>
        </w:rPr>
        <w:t>unicipio comprometió $</w:t>
      </w:r>
      <w:r w:rsidR="00D05F4D" w:rsidRPr="00D05F4D">
        <w:rPr>
          <w:rFonts w:ascii="Arial" w:hAnsi="Arial" w:cs="Arial"/>
          <w:color w:val="000000"/>
          <w:sz w:val="22"/>
          <w:szCs w:val="22"/>
        </w:rPr>
        <w:t>206.114.223</w:t>
      </w:r>
      <w:r w:rsidR="002E43BE">
        <w:rPr>
          <w:rFonts w:ascii="Arial" w:hAnsi="Arial" w:cs="Arial"/>
          <w:color w:val="000000"/>
          <w:sz w:val="22"/>
          <w:szCs w:val="22"/>
        </w:rPr>
        <w:t xml:space="preserve"> por encima del recaudo registrado. </w:t>
      </w:r>
      <w:r w:rsidR="00CD135A">
        <w:rPr>
          <w:rFonts w:ascii="Arial" w:hAnsi="Arial" w:cs="Arial"/>
          <w:color w:val="000000"/>
          <w:sz w:val="22"/>
          <w:szCs w:val="22"/>
        </w:rPr>
        <w:t>En la vigencia 2020, la diferencia entre el monto de ingresos y los gastos comprometidos es de $</w:t>
      </w:r>
      <w:r w:rsidR="008E0BC9" w:rsidRPr="008E0BC9">
        <w:rPr>
          <w:rFonts w:ascii="Arial" w:hAnsi="Arial" w:cs="Arial"/>
          <w:color w:val="000000"/>
          <w:sz w:val="22"/>
          <w:szCs w:val="22"/>
        </w:rPr>
        <w:t>39.802.935</w:t>
      </w:r>
      <w:r w:rsidR="008E0BC9">
        <w:rPr>
          <w:rFonts w:ascii="Arial" w:hAnsi="Arial" w:cs="Arial"/>
          <w:color w:val="000000"/>
          <w:sz w:val="22"/>
          <w:szCs w:val="22"/>
        </w:rPr>
        <w:t>.</w:t>
      </w:r>
      <w:r w:rsidR="006C42E0">
        <w:rPr>
          <w:rFonts w:ascii="Arial" w:hAnsi="Arial" w:cs="Arial"/>
          <w:color w:val="000000"/>
          <w:sz w:val="22"/>
          <w:szCs w:val="22"/>
        </w:rPr>
        <w:t xml:space="preserve"> </w:t>
      </w:r>
      <w:r w:rsidR="00350F71">
        <w:rPr>
          <w:rFonts w:ascii="Arial" w:hAnsi="Arial" w:cs="Arial"/>
          <w:color w:val="000000"/>
          <w:sz w:val="22"/>
          <w:szCs w:val="22"/>
        </w:rPr>
        <w:t xml:space="preserve">Esta situación refleja un riesgo en el uso de los recursos puesto que se están ejecutando recursos </w:t>
      </w:r>
      <w:r w:rsidR="0028697D">
        <w:rPr>
          <w:rFonts w:ascii="Arial" w:hAnsi="Arial" w:cs="Arial"/>
          <w:color w:val="000000"/>
          <w:sz w:val="22"/>
          <w:szCs w:val="22"/>
        </w:rPr>
        <w:t>que no cuentan con un respaldo desde el presupuesto de ingresos</w:t>
      </w:r>
      <w:r w:rsidR="009E5238">
        <w:rPr>
          <w:rFonts w:ascii="Arial" w:hAnsi="Arial" w:cs="Arial"/>
          <w:color w:val="000000"/>
          <w:sz w:val="22"/>
          <w:szCs w:val="22"/>
        </w:rPr>
        <w:t xml:space="preserve"> y</w:t>
      </w:r>
      <w:r w:rsidR="00654D34">
        <w:rPr>
          <w:rFonts w:ascii="Arial" w:hAnsi="Arial" w:cs="Arial"/>
          <w:color w:val="000000"/>
          <w:sz w:val="22"/>
          <w:szCs w:val="22"/>
        </w:rPr>
        <w:t xml:space="preserve">, como se verá más adelante, derivan en un escenario de desequilibrio fiscal </w:t>
      </w:r>
      <w:r w:rsidR="005D39B6">
        <w:rPr>
          <w:rFonts w:ascii="Arial" w:hAnsi="Arial" w:cs="Arial"/>
          <w:color w:val="000000"/>
          <w:sz w:val="22"/>
          <w:szCs w:val="22"/>
        </w:rPr>
        <w:t xml:space="preserve">del </w:t>
      </w:r>
      <w:r w:rsidR="00E16BEF">
        <w:rPr>
          <w:rFonts w:ascii="Arial" w:hAnsi="Arial" w:cs="Arial"/>
          <w:color w:val="000000"/>
          <w:sz w:val="22"/>
          <w:szCs w:val="22"/>
        </w:rPr>
        <w:t>M</w:t>
      </w:r>
      <w:r w:rsidR="005D39B6">
        <w:rPr>
          <w:rFonts w:ascii="Arial" w:hAnsi="Arial" w:cs="Arial"/>
          <w:color w:val="000000"/>
          <w:sz w:val="22"/>
          <w:szCs w:val="22"/>
        </w:rPr>
        <w:t>unicipio.</w:t>
      </w:r>
    </w:p>
    <w:p w14:paraId="5BE6F6AF" w14:textId="77777777" w:rsidR="00D7565B" w:rsidRDefault="00D7565B">
      <w:pPr>
        <w:pStyle w:val="NormalWeb"/>
        <w:spacing w:before="0" w:beforeAutospacing="0" w:after="0" w:afterAutospacing="0"/>
        <w:contextualSpacing/>
        <w:jc w:val="both"/>
        <w:rPr>
          <w:rFonts w:ascii="Arial" w:hAnsi="Arial" w:cs="Arial"/>
          <w:color w:val="000000"/>
          <w:sz w:val="22"/>
          <w:szCs w:val="22"/>
        </w:rPr>
      </w:pPr>
    </w:p>
    <w:p w14:paraId="46926F2A" w14:textId="77777777" w:rsidR="005D230E" w:rsidRDefault="005D39B6">
      <w:pPr>
        <w:pStyle w:val="NormalWeb"/>
        <w:spacing w:before="0" w:beforeAutospacing="0" w:after="0" w:afterAutospacing="0"/>
        <w:contextualSpacing/>
        <w:jc w:val="both"/>
        <w:rPr>
          <w:rFonts w:ascii="Arial" w:hAnsi="Arial" w:cs="Arial"/>
          <w:color w:val="000000"/>
          <w:sz w:val="22"/>
          <w:szCs w:val="22"/>
        </w:rPr>
      </w:pPr>
      <w:r>
        <w:rPr>
          <w:rFonts w:ascii="Arial" w:hAnsi="Arial" w:cs="Arial"/>
          <w:color w:val="000000"/>
          <w:sz w:val="22"/>
          <w:szCs w:val="22"/>
        </w:rPr>
        <w:t>Adicionalmente, e</w:t>
      </w:r>
      <w:r w:rsidR="00074E62">
        <w:rPr>
          <w:rFonts w:ascii="Arial" w:hAnsi="Arial" w:cs="Arial"/>
          <w:color w:val="000000"/>
          <w:sz w:val="22"/>
          <w:szCs w:val="22"/>
        </w:rPr>
        <w:t xml:space="preserve">l escenario presupuestal de gastos del </w:t>
      </w:r>
      <w:r w:rsidR="00302CEE">
        <w:rPr>
          <w:rFonts w:ascii="Arial" w:hAnsi="Arial" w:cs="Arial"/>
          <w:color w:val="000000"/>
          <w:sz w:val="22"/>
          <w:szCs w:val="22"/>
        </w:rPr>
        <w:t>M</w:t>
      </w:r>
      <w:r w:rsidR="00074E62">
        <w:rPr>
          <w:rFonts w:ascii="Arial" w:hAnsi="Arial" w:cs="Arial"/>
          <w:color w:val="000000"/>
          <w:sz w:val="22"/>
          <w:szCs w:val="22"/>
        </w:rPr>
        <w:t xml:space="preserve">unicipio de Puerto Leguízamo – Putumayo </w:t>
      </w:r>
      <w:r w:rsidR="00BD173E">
        <w:rPr>
          <w:rFonts w:ascii="Arial" w:hAnsi="Arial" w:cs="Arial"/>
          <w:color w:val="000000"/>
          <w:sz w:val="22"/>
          <w:szCs w:val="22"/>
        </w:rPr>
        <w:t xml:space="preserve">refleja una inconsistencia en el </w:t>
      </w:r>
      <w:r w:rsidR="00F25B8B">
        <w:rPr>
          <w:rFonts w:ascii="Arial" w:hAnsi="Arial" w:cs="Arial"/>
          <w:color w:val="000000"/>
          <w:sz w:val="22"/>
          <w:szCs w:val="22"/>
        </w:rPr>
        <w:t>monto de las obligaciones que se registra en la vigencia 2018 para el componente de Libre Destinación</w:t>
      </w:r>
      <w:r w:rsidR="000A1342">
        <w:rPr>
          <w:rFonts w:ascii="Arial" w:hAnsi="Arial" w:cs="Arial"/>
          <w:color w:val="000000"/>
          <w:sz w:val="22"/>
          <w:szCs w:val="22"/>
        </w:rPr>
        <w:t>,</w:t>
      </w:r>
      <w:r w:rsidR="00F25B8B">
        <w:rPr>
          <w:rFonts w:ascii="Arial" w:hAnsi="Arial" w:cs="Arial"/>
          <w:color w:val="000000"/>
          <w:sz w:val="22"/>
          <w:szCs w:val="22"/>
        </w:rPr>
        <w:t xml:space="preserve"> debido a que este supera en $</w:t>
      </w:r>
      <w:r w:rsidR="00F25B8B" w:rsidRPr="00F25B8B">
        <w:rPr>
          <w:rFonts w:ascii="Arial" w:hAnsi="Arial" w:cs="Arial"/>
          <w:color w:val="000000"/>
          <w:sz w:val="22"/>
          <w:szCs w:val="22"/>
        </w:rPr>
        <w:t>266.300</w:t>
      </w:r>
      <w:r w:rsidR="000A1342">
        <w:rPr>
          <w:rFonts w:ascii="Arial" w:hAnsi="Arial" w:cs="Arial"/>
          <w:color w:val="000000"/>
          <w:sz w:val="22"/>
          <w:szCs w:val="22"/>
        </w:rPr>
        <w:t xml:space="preserve"> al monto de compromisos informado</w:t>
      </w:r>
      <w:r w:rsidR="00137E65">
        <w:rPr>
          <w:rFonts w:ascii="Arial" w:hAnsi="Arial" w:cs="Arial"/>
          <w:color w:val="000000"/>
          <w:sz w:val="22"/>
          <w:szCs w:val="22"/>
        </w:rPr>
        <w:t>.</w:t>
      </w:r>
      <w:r w:rsidR="00527DDB" w:rsidRPr="00527DDB">
        <w:t xml:space="preserve"> </w:t>
      </w:r>
      <w:r w:rsidR="00527DDB" w:rsidRPr="00527DDB">
        <w:rPr>
          <w:rFonts w:ascii="Arial" w:hAnsi="Arial" w:cs="Arial"/>
          <w:color w:val="000000"/>
          <w:sz w:val="22"/>
          <w:szCs w:val="22"/>
        </w:rPr>
        <w:t>Lo anterior</w:t>
      </w:r>
      <w:r w:rsidR="00527DDB">
        <w:rPr>
          <w:rFonts w:ascii="Arial" w:hAnsi="Arial" w:cs="Arial"/>
          <w:color w:val="000000"/>
          <w:sz w:val="22"/>
          <w:szCs w:val="22"/>
        </w:rPr>
        <w:t xml:space="preserve"> se considera</w:t>
      </w:r>
      <w:r w:rsidR="00527DDB" w:rsidRPr="00527DDB">
        <w:rPr>
          <w:rFonts w:ascii="Arial" w:hAnsi="Arial" w:cs="Arial"/>
          <w:color w:val="000000"/>
          <w:sz w:val="22"/>
          <w:szCs w:val="22"/>
        </w:rPr>
        <w:t xml:space="preserve"> una inconsistencia debido a que el Municipio no puede realizar pagos por bienes o servicios que no han sido entregados efectivamente a la Entidad Territoria</w:t>
      </w:r>
      <w:r w:rsidR="002A727C">
        <w:rPr>
          <w:rFonts w:ascii="Arial" w:hAnsi="Arial" w:cs="Arial"/>
          <w:color w:val="000000"/>
          <w:sz w:val="22"/>
          <w:szCs w:val="22"/>
        </w:rPr>
        <w:t>l</w:t>
      </w:r>
      <w:r w:rsidR="00D7565B">
        <w:rPr>
          <w:rFonts w:ascii="Arial" w:hAnsi="Arial" w:cs="Arial"/>
          <w:color w:val="000000"/>
          <w:sz w:val="22"/>
          <w:szCs w:val="22"/>
        </w:rPr>
        <w:t>.</w:t>
      </w:r>
      <w:r w:rsidR="009E0F3F">
        <w:rPr>
          <w:rFonts w:ascii="Arial" w:hAnsi="Arial" w:cs="Arial"/>
          <w:color w:val="000000"/>
          <w:sz w:val="22"/>
          <w:szCs w:val="22"/>
        </w:rPr>
        <w:t xml:space="preserve"> </w:t>
      </w:r>
      <w:r w:rsidR="00171E50">
        <w:rPr>
          <w:rFonts w:ascii="Arial" w:hAnsi="Arial" w:cs="Arial"/>
          <w:color w:val="000000"/>
          <w:sz w:val="22"/>
          <w:szCs w:val="22"/>
        </w:rPr>
        <w:t>En las vigencias 2019 y 2020 no se presenta esta inconsistencia.</w:t>
      </w:r>
    </w:p>
    <w:p w14:paraId="7ABF850E" w14:textId="77777777" w:rsidR="0056128A" w:rsidRDefault="0056128A">
      <w:pPr>
        <w:pStyle w:val="NormalWeb"/>
        <w:spacing w:before="0" w:beforeAutospacing="0" w:after="0" w:afterAutospacing="0"/>
        <w:contextualSpacing/>
        <w:jc w:val="both"/>
        <w:rPr>
          <w:rFonts w:ascii="Arial" w:hAnsi="Arial" w:cs="Arial"/>
          <w:color w:val="000000"/>
          <w:sz w:val="22"/>
          <w:szCs w:val="22"/>
        </w:rPr>
      </w:pPr>
    </w:p>
    <w:p w14:paraId="20607262" w14:textId="77777777" w:rsidR="005E2D8B" w:rsidRDefault="000B4DFF">
      <w:pPr>
        <w:pStyle w:val="NormalWeb"/>
        <w:spacing w:before="0" w:beforeAutospacing="0" w:after="0" w:afterAutospacing="0"/>
        <w:contextualSpacing/>
        <w:jc w:val="both"/>
        <w:rPr>
          <w:rFonts w:ascii="Arial" w:hAnsi="Arial" w:cs="Arial"/>
          <w:color w:val="000000"/>
          <w:sz w:val="22"/>
          <w:szCs w:val="22"/>
        </w:rPr>
      </w:pPr>
      <w:r>
        <w:rPr>
          <w:rFonts w:ascii="Arial" w:hAnsi="Arial" w:cs="Arial"/>
          <w:color w:val="000000"/>
          <w:sz w:val="22"/>
          <w:szCs w:val="22"/>
        </w:rPr>
        <w:t>Por otra parte</w:t>
      </w:r>
      <w:r w:rsidR="00B6318D">
        <w:rPr>
          <w:rFonts w:ascii="Arial" w:hAnsi="Arial" w:cs="Arial"/>
          <w:color w:val="000000"/>
          <w:sz w:val="22"/>
          <w:szCs w:val="22"/>
        </w:rPr>
        <w:t xml:space="preserve">, </w:t>
      </w:r>
      <w:r w:rsidR="007610E3">
        <w:rPr>
          <w:rFonts w:ascii="Arial" w:hAnsi="Arial" w:cs="Arial"/>
          <w:color w:val="000000"/>
          <w:sz w:val="22"/>
          <w:szCs w:val="22"/>
        </w:rPr>
        <w:t>para las vigencias 2018 y 2019</w:t>
      </w:r>
      <w:r w:rsidR="0026351B">
        <w:rPr>
          <w:rFonts w:ascii="Arial" w:hAnsi="Arial" w:cs="Arial"/>
          <w:color w:val="000000"/>
          <w:sz w:val="22"/>
          <w:szCs w:val="22"/>
        </w:rPr>
        <w:t>,</w:t>
      </w:r>
      <w:r w:rsidR="007610E3">
        <w:rPr>
          <w:rFonts w:ascii="Arial" w:hAnsi="Arial" w:cs="Arial"/>
          <w:color w:val="000000"/>
          <w:sz w:val="22"/>
          <w:szCs w:val="22"/>
        </w:rPr>
        <w:t xml:space="preserve"> </w:t>
      </w:r>
      <w:r w:rsidR="0026351B">
        <w:rPr>
          <w:rFonts w:ascii="Arial" w:hAnsi="Arial" w:cs="Arial"/>
          <w:color w:val="000000"/>
          <w:sz w:val="22"/>
          <w:szCs w:val="22"/>
        </w:rPr>
        <w:t xml:space="preserve">con base </w:t>
      </w:r>
      <w:r w:rsidR="007610E3">
        <w:rPr>
          <w:rFonts w:ascii="Arial" w:hAnsi="Arial" w:cs="Arial"/>
          <w:color w:val="000000"/>
          <w:sz w:val="22"/>
          <w:szCs w:val="22"/>
        </w:rPr>
        <w:t>en l</w:t>
      </w:r>
      <w:r w:rsidR="005E2D8B">
        <w:rPr>
          <w:rFonts w:ascii="Arial" w:hAnsi="Arial" w:cs="Arial"/>
          <w:color w:val="000000"/>
          <w:sz w:val="22"/>
          <w:szCs w:val="22"/>
        </w:rPr>
        <w:t>as relaciones de lo</w:t>
      </w:r>
      <w:r w:rsidR="007610E3">
        <w:rPr>
          <w:rFonts w:ascii="Arial" w:hAnsi="Arial" w:cs="Arial"/>
          <w:color w:val="000000"/>
          <w:sz w:val="22"/>
          <w:szCs w:val="22"/>
        </w:rPr>
        <w:t xml:space="preserve">s </w:t>
      </w:r>
      <w:r w:rsidR="00302CEE">
        <w:rPr>
          <w:rFonts w:ascii="Arial" w:hAnsi="Arial" w:cs="Arial"/>
          <w:color w:val="000000"/>
          <w:sz w:val="22"/>
          <w:szCs w:val="22"/>
        </w:rPr>
        <w:t>c</w:t>
      </w:r>
      <w:r w:rsidR="00860F52">
        <w:rPr>
          <w:rFonts w:ascii="Arial" w:hAnsi="Arial" w:cs="Arial"/>
          <w:color w:val="000000"/>
          <w:sz w:val="22"/>
          <w:szCs w:val="22"/>
        </w:rPr>
        <w:t xml:space="preserve">ertificados de </w:t>
      </w:r>
      <w:r w:rsidR="00302CEE">
        <w:rPr>
          <w:rFonts w:ascii="Arial" w:hAnsi="Arial" w:cs="Arial"/>
          <w:color w:val="000000"/>
          <w:sz w:val="22"/>
          <w:szCs w:val="22"/>
        </w:rPr>
        <w:t>d</w:t>
      </w:r>
      <w:r w:rsidR="00860F52">
        <w:rPr>
          <w:rFonts w:ascii="Arial" w:hAnsi="Arial" w:cs="Arial"/>
          <w:color w:val="000000"/>
          <w:sz w:val="22"/>
          <w:szCs w:val="22"/>
        </w:rPr>
        <w:t xml:space="preserve">isponibilidad </w:t>
      </w:r>
      <w:r w:rsidR="00302CEE">
        <w:rPr>
          <w:rFonts w:ascii="Arial" w:hAnsi="Arial" w:cs="Arial"/>
          <w:color w:val="000000"/>
          <w:sz w:val="22"/>
          <w:szCs w:val="22"/>
        </w:rPr>
        <w:t>p</w:t>
      </w:r>
      <w:r w:rsidR="00860F52">
        <w:rPr>
          <w:rFonts w:ascii="Arial" w:hAnsi="Arial" w:cs="Arial"/>
          <w:color w:val="000000"/>
          <w:sz w:val="22"/>
          <w:szCs w:val="22"/>
        </w:rPr>
        <w:t xml:space="preserve">resupuestal </w:t>
      </w:r>
      <w:r w:rsidR="00302CEE">
        <w:rPr>
          <w:rFonts w:ascii="Arial" w:hAnsi="Arial" w:cs="Arial"/>
          <w:color w:val="000000"/>
          <w:sz w:val="22"/>
          <w:szCs w:val="22"/>
        </w:rPr>
        <w:t xml:space="preserve">- </w:t>
      </w:r>
      <w:r w:rsidR="00860F52">
        <w:rPr>
          <w:rFonts w:ascii="Arial" w:hAnsi="Arial" w:cs="Arial"/>
          <w:color w:val="000000"/>
          <w:sz w:val="22"/>
          <w:szCs w:val="22"/>
        </w:rPr>
        <w:t>CDP</w:t>
      </w:r>
      <w:r w:rsidR="00E81F4B">
        <w:rPr>
          <w:rFonts w:ascii="Arial" w:hAnsi="Arial" w:cs="Arial"/>
          <w:color w:val="000000"/>
          <w:sz w:val="22"/>
          <w:szCs w:val="22"/>
        </w:rPr>
        <w:t xml:space="preserve"> y </w:t>
      </w:r>
      <w:r w:rsidR="00302CEE">
        <w:rPr>
          <w:rFonts w:ascii="Arial" w:hAnsi="Arial" w:cs="Arial"/>
          <w:color w:val="000000"/>
          <w:sz w:val="22"/>
          <w:szCs w:val="22"/>
        </w:rPr>
        <w:t>los r</w:t>
      </w:r>
      <w:r w:rsidR="00860F52">
        <w:rPr>
          <w:rFonts w:ascii="Arial" w:hAnsi="Arial" w:cs="Arial"/>
          <w:color w:val="000000"/>
          <w:sz w:val="22"/>
          <w:szCs w:val="22"/>
        </w:rPr>
        <w:t xml:space="preserve">egistros </w:t>
      </w:r>
      <w:r w:rsidR="00302CEE">
        <w:rPr>
          <w:rFonts w:ascii="Arial" w:hAnsi="Arial" w:cs="Arial"/>
          <w:color w:val="000000"/>
          <w:sz w:val="22"/>
          <w:szCs w:val="22"/>
        </w:rPr>
        <w:t>p</w:t>
      </w:r>
      <w:r w:rsidR="00860F52">
        <w:rPr>
          <w:rFonts w:ascii="Arial" w:hAnsi="Arial" w:cs="Arial"/>
          <w:color w:val="000000"/>
          <w:sz w:val="22"/>
          <w:szCs w:val="22"/>
        </w:rPr>
        <w:t xml:space="preserve">resupuestales </w:t>
      </w:r>
      <w:r w:rsidR="00302CEE">
        <w:rPr>
          <w:rFonts w:ascii="Arial" w:hAnsi="Arial" w:cs="Arial"/>
          <w:color w:val="000000"/>
          <w:sz w:val="22"/>
          <w:szCs w:val="22"/>
        </w:rPr>
        <w:t xml:space="preserve">- </w:t>
      </w:r>
      <w:r w:rsidR="00860F52">
        <w:rPr>
          <w:rFonts w:ascii="Arial" w:hAnsi="Arial" w:cs="Arial"/>
          <w:color w:val="000000"/>
          <w:sz w:val="22"/>
          <w:szCs w:val="22"/>
        </w:rPr>
        <w:t xml:space="preserve">RP </w:t>
      </w:r>
      <w:r w:rsidR="000A1342">
        <w:rPr>
          <w:rFonts w:ascii="Arial" w:hAnsi="Arial" w:cs="Arial"/>
          <w:color w:val="000000"/>
          <w:sz w:val="22"/>
          <w:szCs w:val="22"/>
        </w:rPr>
        <w:t xml:space="preserve">remitidos por el </w:t>
      </w:r>
      <w:r w:rsidR="00302CEE">
        <w:rPr>
          <w:rFonts w:ascii="Arial" w:hAnsi="Arial" w:cs="Arial"/>
          <w:color w:val="000000"/>
          <w:sz w:val="22"/>
          <w:szCs w:val="22"/>
        </w:rPr>
        <w:t>M</w:t>
      </w:r>
      <w:r w:rsidR="000A1342">
        <w:rPr>
          <w:rFonts w:ascii="Arial" w:hAnsi="Arial" w:cs="Arial"/>
          <w:color w:val="000000"/>
          <w:sz w:val="22"/>
          <w:szCs w:val="22"/>
        </w:rPr>
        <w:t xml:space="preserve">unicipio, </w:t>
      </w:r>
      <w:r w:rsidR="00542CFE">
        <w:rPr>
          <w:rFonts w:ascii="Arial" w:hAnsi="Arial" w:cs="Arial"/>
          <w:color w:val="000000"/>
          <w:sz w:val="22"/>
          <w:szCs w:val="22"/>
        </w:rPr>
        <w:t xml:space="preserve">al comparar el monto de </w:t>
      </w:r>
      <w:r w:rsidR="007E2627">
        <w:rPr>
          <w:rFonts w:ascii="Arial" w:hAnsi="Arial" w:cs="Arial"/>
          <w:color w:val="000000"/>
          <w:sz w:val="22"/>
          <w:szCs w:val="22"/>
        </w:rPr>
        <w:t xml:space="preserve">estos </w:t>
      </w:r>
      <w:r w:rsidR="00542CFE">
        <w:rPr>
          <w:rFonts w:ascii="Arial" w:hAnsi="Arial" w:cs="Arial"/>
          <w:color w:val="000000"/>
          <w:sz w:val="22"/>
          <w:szCs w:val="22"/>
        </w:rPr>
        <w:t>CDP y RP con los saldos comprometidos</w:t>
      </w:r>
      <w:r w:rsidR="0026351B">
        <w:rPr>
          <w:rFonts w:ascii="Arial" w:hAnsi="Arial" w:cs="Arial"/>
          <w:color w:val="000000"/>
          <w:sz w:val="22"/>
          <w:szCs w:val="22"/>
        </w:rPr>
        <w:t>,</w:t>
      </w:r>
      <w:r w:rsidR="00542CFE">
        <w:rPr>
          <w:rFonts w:ascii="Arial" w:hAnsi="Arial" w:cs="Arial"/>
          <w:color w:val="000000"/>
          <w:sz w:val="22"/>
          <w:szCs w:val="22"/>
        </w:rPr>
        <w:t xml:space="preserve"> se</w:t>
      </w:r>
      <w:r w:rsidR="00B6318D">
        <w:rPr>
          <w:rFonts w:ascii="Arial" w:hAnsi="Arial" w:cs="Arial"/>
          <w:color w:val="000000"/>
          <w:sz w:val="22"/>
          <w:szCs w:val="22"/>
        </w:rPr>
        <w:t xml:space="preserve"> identificó una diferencia entre el monto de </w:t>
      </w:r>
      <w:r w:rsidR="005E2D8B">
        <w:rPr>
          <w:rFonts w:ascii="Arial" w:hAnsi="Arial" w:cs="Arial"/>
          <w:color w:val="000000"/>
          <w:sz w:val="22"/>
          <w:szCs w:val="22"/>
        </w:rPr>
        <w:t>estas relaciones y</w:t>
      </w:r>
      <w:r w:rsidR="00B6318D">
        <w:rPr>
          <w:rFonts w:ascii="Arial" w:hAnsi="Arial" w:cs="Arial"/>
          <w:color w:val="000000"/>
          <w:sz w:val="22"/>
          <w:szCs w:val="22"/>
        </w:rPr>
        <w:t xml:space="preserve"> los </w:t>
      </w:r>
      <w:r w:rsidR="00C35CE8">
        <w:rPr>
          <w:rFonts w:ascii="Arial" w:hAnsi="Arial" w:cs="Arial"/>
          <w:color w:val="000000"/>
          <w:sz w:val="22"/>
          <w:szCs w:val="22"/>
        </w:rPr>
        <w:t>valores de los compromisos que se reportan en las ejecuciones presupuestales</w:t>
      </w:r>
      <w:r w:rsidR="0070040C">
        <w:rPr>
          <w:rFonts w:ascii="Arial" w:hAnsi="Arial" w:cs="Arial"/>
          <w:color w:val="000000"/>
          <w:sz w:val="22"/>
          <w:szCs w:val="22"/>
        </w:rPr>
        <w:t>.</w:t>
      </w:r>
    </w:p>
    <w:p w14:paraId="2F10DCAA" w14:textId="77777777" w:rsidR="005E2D8B" w:rsidRDefault="005E2D8B">
      <w:pPr>
        <w:pStyle w:val="NormalWeb"/>
        <w:spacing w:before="0" w:beforeAutospacing="0" w:after="0" w:afterAutospacing="0"/>
        <w:contextualSpacing/>
        <w:jc w:val="both"/>
        <w:rPr>
          <w:rFonts w:ascii="Arial" w:hAnsi="Arial" w:cs="Arial"/>
          <w:color w:val="000000"/>
          <w:sz w:val="22"/>
          <w:szCs w:val="22"/>
        </w:rPr>
      </w:pPr>
    </w:p>
    <w:p w14:paraId="34EE2F0A" w14:textId="77777777" w:rsidR="00B6318D" w:rsidRDefault="0070040C">
      <w:pPr>
        <w:pStyle w:val="NormalWeb"/>
        <w:spacing w:before="0" w:beforeAutospacing="0" w:after="0" w:afterAutospacing="0"/>
        <w:contextualSpacing/>
        <w:jc w:val="both"/>
        <w:rPr>
          <w:rFonts w:ascii="Arial" w:hAnsi="Arial" w:cs="Arial"/>
          <w:color w:val="000000"/>
          <w:sz w:val="22"/>
          <w:szCs w:val="22"/>
        </w:rPr>
      </w:pPr>
      <w:r>
        <w:rPr>
          <w:rFonts w:ascii="Arial" w:hAnsi="Arial" w:cs="Arial"/>
          <w:color w:val="000000"/>
          <w:sz w:val="22"/>
          <w:szCs w:val="22"/>
        </w:rPr>
        <w:t xml:space="preserve">Por ejemplo, en 2018 el </w:t>
      </w:r>
      <w:r w:rsidR="00302CEE">
        <w:rPr>
          <w:rFonts w:ascii="Arial" w:hAnsi="Arial" w:cs="Arial"/>
          <w:color w:val="000000"/>
          <w:sz w:val="22"/>
          <w:szCs w:val="22"/>
        </w:rPr>
        <w:t>M</w:t>
      </w:r>
      <w:r>
        <w:rPr>
          <w:rFonts w:ascii="Arial" w:hAnsi="Arial" w:cs="Arial"/>
          <w:color w:val="000000"/>
          <w:sz w:val="22"/>
          <w:szCs w:val="22"/>
        </w:rPr>
        <w:t>unicipio present</w:t>
      </w:r>
      <w:r w:rsidR="00964C6D">
        <w:rPr>
          <w:rFonts w:ascii="Arial" w:hAnsi="Arial" w:cs="Arial"/>
          <w:color w:val="000000"/>
          <w:sz w:val="22"/>
          <w:szCs w:val="22"/>
        </w:rPr>
        <w:t>a</w:t>
      </w:r>
      <w:r>
        <w:rPr>
          <w:rFonts w:ascii="Arial" w:hAnsi="Arial" w:cs="Arial"/>
          <w:color w:val="000000"/>
          <w:sz w:val="22"/>
          <w:szCs w:val="22"/>
        </w:rPr>
        <w:t xml:space="preserve"> un </w:t>
      </w:r>
      <w:r w:rsidR="00964C6D">
        <w:rPr>
          <w:rFonts w:ascii="Arial" w:hAnsi="Arial" w:cs="Arial"/>
          <w:color w:val="000000"/>
          <w:sz w:val="22"/>
          <w:szCs w:val="22"/>
        </w:rPr>
        <w:t xml:space="preserve">valor </w:t>
      </w:r>
      <w:r>
        <w:rPr>
          <w:rFonts w:ascii="Arial" w:hAnsi="Arial" w:cs="Arial"/>
          <w:color w:val="000000"/>
          <w:sz w:val="22"/>
          <w:szCs w:val="22"/>
        </w:rPr>
        <w:t>de CDP con cargo a Propósito General de $</w:t>
      </w:r>
      <w:r w:rsidR="00964C6D" w:rsidRPr="00964C6D">
        <w:rPr>
          <w:rFonts w:ascii="Arial" w:hAnsi="Arial" w:cs="Arial"/>
          <w:color w:val="000000"/>
          <w:sz w:val="22"/>
          <w:szCs w:val="22"/>
        </w:rPr>
        <w:t>2.782.049.480</w:t>
      </w:r>
      <w:r w:rsidR="000545DE">
        <w:rPr>
          <w:rFonts w:ascii="Arial" w:hAnsi="Arial" w:cs="Arial"/>
          <w:color w:val="000000"/>
          <w:sz w:val="22"/>
          <w:szCs w:val="22"/>
        </w:rPr>
        <w:t xml:space="preserve"> </w:t>
      </w:r>
      <w:r w:rsidR="00964C6D">
        <w:rPr>
          <w:rFonts w:ascii="Arial" w:hAnsi="Arial" w:cs="Arial"/>
          <w:color w:val="000000"/>
          <w:sz w:val="22"/>
          <w:szCs w:val="22"/>
        </w:rPr>
        <w:t>mientras que el monto de RP para la misma vigencia asciende a $</w:t>
      </w:r>
      <w:r w:rsidR="002579A5" w:rsidRPr="002579A5">
        <w:rPr>
          <w:rFonts w:ascii="Arial" w:hAnsi="Arial" w:cs="Arial"/>
          <w:color w:val="000000"/>
          <w:sz w:val="22"/>
          <w:szCs w:val="22"/>
        </w:rPr>
        <w:t>2.778.349.480</w:t>
      </w:r>
      <w:r w:rsidR="00844FDE">
        <w:rPr>
          <w:rFonts w:ascii="Arial" w:hAnsi="Arial" w:cs="Arial"/>
          <w:color w:val="000000"/>
          <w:sz w:val="22"/>
          <w:szCs w:val="22"/>
        </w:rPr>
        <w:t>.</w:t>
      </w:r>
      <w:r w:rsidR="005E2D8B">
        <w:rPr>
          <w:rFonts w:ascii="Arial" w:hAnsi="Arial" w:cs="Arial"/>
          <w:color w:val="000000"/>
          <w:sz w:val="22"/>
          <w:szCs w:val="22"/>
        </w:rPr>
        <w:t xml:space="preserve"> </w:t>
      </w:r>
      <w:r w:rsidR="0027329C">
        <w:rPr>
          <w:rFonts w:ascii="Arial" w:hAnsi="Arial" w:cs="Arial"/>
          <w:color w:val="000000"/>
          <w:sz w:val="22"/>
          <w:szCs w:val="22"/>
        </w:rPr>
        <w:t>La</w:t>
      </w:r>
      <w:r w:rsidR="008F5491">
        <w:rPr>
          <w:rFonts w:ascii="Arial" w:hAnsi="Arial" w:cs="Arial"/>
          <w:color w:val="000000"/>
          <w:sz w:val="22"/>
          <w:szCs w:val="22"/>
        </w:rPr>
        <w:t xml:space="preserve"> misma situación se presenta en los </w:t>
      </w:r>
      <w:r w:rsidR="00302CEE">
        <w:rPr>
          <w:rFonts w:ascii="Arial" w:hAnsi="Arial" w:cs="Arial"/>
          <w:color w:val="000000"/>
          <w:sz w:val="22"/>
          <w:szCs w:val="22"/>
        </w:rPr>
        <w:t>r</w:t>
      </w:r>
      <w:r w:rsidR="008F5491">
        <w:rPr>
          <w:rFonts w:ascii="Arial" w:hAnsi="Arial" w:cs="Arial"/>
          <w:color w:val="000000"/>
          <w:sz w:val="22"/>
          <w:szCs w:val="22"/>
        </w:rPr>
        <w:t xml:space="preserve">egistros </w:t>
      </w:r>
      <w:r w:rsidR="00302CEE">
        <w:rPr>
          <w:rFonts w:ascii="Arial" w:hAnsi="Arial" w:cs="Arial"/>
          <w:color w:val="000000"/>
          <w:sz w:val="22"/>
          <w:szCs w:val="22"/>
        </w:rPr>
        <w:t>p</w:t>
      </w:r>
      <w:r w:rsidR="008F5491">
        <w:rPr>
          <w:rFonts w:ascii="Arial" w:hAnsi="Arial" w:cs="Arial"/>
          <w:color w:val="000000"/>
          <w:sz w:val="22"/>
          <w:szCs w:val="22"/>
        </w:rPr>
        <w:t xml:space="preserve">resupuestales de las vigencias 2018, 2019 y 2020. </w:t>
      </w:r>
      <w:r w:rsidR="00C75C31">
        <w:rPr>
          <w:rFonts w:ascii="Arial" w:hAnsi="Arial" w:cs="Arial"/>
          <w:color w:val="000000"/>
          <w:sz w:val="22"/>
          <w:szCs w:val="22"/>
        </w:rPr>
        <w:t xml:space="preserve">Si bien en las vigencias 2019 y 2020 </w:t>
      </w:r>
      <w:r w:rsidR="00590970">
        <w:rPr>
          <w:rFonts w:ascii="Arial" w:hAnsi="Arial" w:cs="Arial"/>
          <w:color w:val="000000"/>
          <w:sz w:val="22"/>
          <w:szCs w:val="22"/>
        </w:rPr>
        <w:t>el monto de los CDP y RP coinciden</w:t>
      </w:r>
      <w:r w:rsidR="00EB4042">
        <w:rPr>
          <w:rFonts w:ascii="Arial" w:hAnsi="Arial" w:cs="Arial"/>
          <w:color w:val="000000"/>
          <w:sz w:val="22"/>
          <w:szCs w:val="22"/>
        </w:rPr>
        <w:t xml:space="preserve"> entre sí</w:t>
      </w:r>
      <w:r w:rsidR="00590970">
        <w:rPr>
          <w:rFonts w:ascii="Arial" w:hAnsi="Arial" w:cs="Arial"/>
          <w:color w:val="000000"/>
          <w:sz w:val="22"/>
          <w:szCs w:val="22"/>
        </w:rPr>
        <w:t>, se mantienen las diferencias con el monto de los compromisos contenidos en la ejecución presupuestal, las cuales son de</w:t>
      </w:r>
      <w:r w:rsidR="00B30D16">
        <w:rPr>
          <w:rFonts w:ascii="Arial" w:hAnsi="Arial" w:cs="Arial"/>
          <w:color w:val="000000"/>
          <w:sz w:val="22"/>
          <w:szCs w:val="22"/>
        </w:rPr>
        <w:t xml:space="preserve"> </w:t>
      </w:r>
      <w:r w:rsidR="00B30D16" w:rsidRPr="00B30D16">
        <w:rPr>
          <w:rFonts w:ascii="Arial" w:hAnsi="Arial" w:cs="Arial"/>
          <w:color w:val="000000"/>
          <w:sz w:val="22"/>
          <w:szCs w:val="22"/>
        </w:rPr>
        <w:t>$91.122.787</w:t>
      </w:r>
      <w:r w:rsidR="00B30D16">
        <w:rPr>
          <w:rFonts w:ascii="Arial" w:hAnsi="Arial" w:cs="Arial"/>
          <w:color w:val="000000"/>
          <w:sz w:val="22"/>
          <w:szCs w:val="22"/>
        </w:rPr>
        <w:t xml:space="preserve"> en 2018,</w:t>
      </w:r>
      <w:r w:rsidR="00590970">
        <w:rPr>
          <w:rFonts w:ascii="Arial" w:hAnsi="Arial" w:cs="Arial"/>
          <w:color w:val="000000"/>
          <w:sz w:val="22"/>
          <w:szCs w:val="22"/>
        </w:rPr>
        <w:t xml:space="preserve"> $</w:t>
      </w:r>
      <w:r w:rsidR="002C552C" w:rsidRPr="002C552C">
        <w:rPr>
          <w:rFonts w:ascii="Arial" w:hAnsi="Arial" w:cs="Arial"/>
          <w:color w:val="000000"/>
          <w:sz w:val="22"/>
          <w:szCs w:val="22"/>
        </w:rPr>
        <w:t>362.886.791</w:t>
      </w:r>
      <w:r w:rsidR="00590970">
        <w:rPr>
          <w:rFonts w:ascii="Arial" w:hAnsi="Arial" w:cs="Arial"/>
          <w:color w:val="000000"/>
          <w:sz w:val="22"/>
          <w:szCs w:val="22"/>
        </w:rPr>
        <w:t xml:space="preserve"> para 2019 y $</w:t>
      </w:r>
      <w:r w:rsidR="001E475E" w:rsidRPr="001E475E">
        <w:rPr>
          <w:rFonts w:ascii="Arial" w:hAnsi="Arial" w:cs="Arial"/>
          <w:color w:val="000000"/>
          <w:sz w:val="22"/>
          <w:szCs w:val="22"/>
        </w:rPr>
        <w:t>153.524.397</w:t>
      </w:r>
      <w:r w:rsidR="00590970">
        <w:rPr>
          <w:rFonts w:ascii="Arial" w:hAnsi="Arial" w:cs="Arial"/>
          <w:color w:val="000000"/>
          <w:sz w:val="22"/>
          <w:szCs w:val="22"/>
        </w:rPr>
        <w:t xml:space="preserve"> para 2020.</w:t>
      </w:r>
    </w:p>
    <w:p w14:paraId="308F5ED6" w14:textId="77777777" w:rsidR="00E6435C" w:rsidRDefault="00E6435C">
      <w:pPr>
        <w:pStyle w:val="NormalWeb"/>
        <w:spacing w:before="0" w:beforeAutospacing="0" w:after="0" w:afterAutospacing="0"/>
        <w:contextualSpacing/>
        <w:jc w:val="both"/>
        <w:rPr>
          <w:rFonts w:ascii="Arial" w:hAnsi="Arial" w:cs="Arial"/>
          <w:color w:val="000000"/>
          <w:sz w:val="22"/>
          <w:szCs w:val="22"/>
        </w:rPr>
      </w:pPr>
    </w:p>
    <w:p w14:paraId="0736072C" w14:textId="77777777" w:rsidR="009E0F3F" w:rsidRDefault="00094816">
      <w:pPr>
        <w:pStyle w:val="NormalWeb"/>
        <w:spacing w:before="0" w:beforeAutospacing="0" w:after="0" w:afterAutospacing="0"/>
        <w:contextualSpacing/>
        <w:jc w:val="both"/>
        <w:rPr>
          <w:rFonts w:ascii="Arial" w:hAnsi="Arial" w:cs="Arial"/>
          <w:color w:val="000000"/>
          <w:sz w:val="22"/>
          <w:szCs w:val="22"/>
        </w:rPr>
      </w:pPr>
      <w:r>
        <w:rPr>
          <w:rFonts w:ascii="Arial" w:hAnsi="Arial" w:cs="Arial"/>
          <w:color w:val="000000"/>
          <w:sz w:val="22"/>
          <w:szCs w:val="22"/>
        </w:rPr>
        <w:t xml:space="preserve">Por otro lado, se identificó en la información de gastos de la </w:t>
      </w:r>
      <w:r w:rsidR="00302CEE">
        <w:rPr>
          <w:rFonts w:ascii="Arial" w:hAnsi="Arial" w:cs="Arial"/>
          <w:color w:val="000000"/>
          <w:sz w:val="22"/>
          <w:szCs w:val="22"/>
        </w:rPr>
        <w:t>E</w:t>
      </w:r>
      <w:r>
        <w:rPr>
          <w:rFonts w:ascii="Arial" w:hAnsi="Arial" w:cs="Arial"/>
          <w:color w:val="000000"/>
          <w:sz w:val="22"/>
          <w:szCs w:val="22"/>
        </w:rPr>
        <w:t xml:space="preserve">ntidad </w:t>
      </w:r>
      <w:r w:rsidR="00302CEE">
        <w:rPr>
          <w:rFonts w:ascii="Arial" w:hAnsi="Arial" w:cs="Arial"/>
          <w:color w:val="000000"/>
          <w:sz w:val="22"/>
          <w:szCs w:val="22"/>
        </w:rPr>
        <w:t>T</w:t>
      </w:r>
      <w:r>
        <w:rPr>
          <w:rFonts w:ascii="Arial" w:hAnsi="Arial" w:cs="Arial"/>
          <w:color w:val="000000"/>
          <w:sz w:val="22"/>
          <w:szCs w:val="22"/>
        </w:rPr>
        <w:t xml:space="preserve">erritorial que se registran rubros dirigidos a </w:t>
      </w:r>
      <w:r w:rsidR="00295514">
        <w:rPr>
          <w:rFonts w:ascii="Arial" w:hAnsi="Arial" w:cs="Arial"/>
          <w:color w:val="000000"/>
          <w:sz w:val="22"/>
          <w:szCs w:val="22"/>
        </w:rPr>
        <w:t>cubrir las obligaciones derivadas de un empréstito con el Banco Popular</w:t>
      </w:r>
      <w:r w:rsidR="00476038">
        <w:rPr>
          <w:rFonts w:ascii="Arial" w:hAnsi="Arial" w:cs="Arial"/>
          <w:color w:val="000000"/>
          <w:sz w:val="22"/>
          <w:szCs w:val="22"/>
        </w:rPr>
        <w:t xml:space="preserve"> (Código </w:t>
      </w:r>
      <w:r w:rsidR="00222582" w:rsidRPr="00222582">
        <w:rPr>
          <w:rFonts w:ascii="Arial" w:hAnsi="Arial" w:cs="Arial"/>
          <w:color w:val="000000"/>
          <w:sz w:val="22"/>
          <w:szCs w:val="22"/>
        </w:rPr>
        <w:t>2.4</w:t>
      </w:r>
      <w:r w:rsidR="00222582">
        <w:rPr>
          <w:rFonts w:ascii="Arial" w:hAnsi="Arial" w:cs="Arial"/>
          <w:color w:val="000000"/>
          <w:sz w:val="22"/>
          <w:szCs w:val="22"/>
        </w:rPr>
        <w:t>.</w:t>
      </w:r>
      <w:r w:rsidR="00222582" w:rsidRPr="00222582">
        <w:rPr>
          <w:rFonts w:ascii="Arial" w:hAnsi="Arial" w:cs="Arial"/>
          <w:color w:val="000000"/>
          <w:sz w:val="22"/>
          <w:szCs w:val="22"/>
        </w:rPr>
        <w:t>7.13)</w:t>
      </w:r>
      <w:r w:rsidR="00295514">
        <w:rPr>
          <w:rFonts w:ascii="Arial" w:hAnsi="Arial" w:cs="Arial"/>
          <w:color w:val="000000"/>
          <w:sz w:val="22"/>
          <w:szCs w:val="22"/>
        </w:rPr>
        <w:t xml:space="preserve">, los cuales </w:t>
      </w:r>
      <w:r w:rsidR="005F2F67">
        <w:rPr>
          <w:rFonts w:ascii="Arial" w:hAnsi="Arial" w:cs="Arial"/>
          <w:color w:val="000000"/>
          <w:sz w:val="22"/>
          <w:szCs w:val="22"/>
        </w:rPr>
        <w:t>se cubren con cargo a los recursos de Libre Inversión de la Participación de Propósito General</w:t>
      </w:r>
      <w:r w:rsidR="00222582">
        <w:rPr>
          <w:rFonts w:ascii="Arial" w:hAnsi="Arial" w:cs="Arial"/>
          <w:color w:val="000000"/>
          <w:sz w:val="22"/>
          <w:szCs w:val="22"/>
        </w:rPr>
        <w:t xml:space="preserve"> (Código 2.4.7)</w:t>
      </w:r>
      <w:r w:rsidR="00476038">
        <w:rPr>
          <w:rFonts w:ascii="Arial" w:hAnsi="Arial" w:cs="Arial"/>
          <w:color w:val="000000"/>
          <w:sz w:val="22"/>
          <w:szCs w:val="22"/>
        </w:rPr>
        <w:t xml:space="preserve">. </w:t>
      </w:r>
      <w:r w:rsidR="00D0686F">
        <w:rPr>
          <w:rFonts w:ascii="Arial" w:hAnsi="Arial" w:cs="Arial"/>
          <w:color w:val="000000"/>
          <w:sz w:val="22"/>
          <w:szCs w:val="22"/>
        </w:rPr>
        <w:t>Estos rubros ascienden a $</w:t>
      </w:r>
      <w:r w:rsidR="007A7B74" w:rsidRPr="007A7B74">
        <w:rPr>
          <w:rFonts w:ascii="Arial" w:hAnsi="Arial" w:cs="Arial"/>
          <w:color w:val="000000"/>
          <w:sz w:val="22"/>
          <w:szCs w:val="22"/>
        </w:rPr>
        <w:t>135.593.311</w:t>
      </w:r>
      <w:r w:rsidR="007A7B74">
        <w:rPr>
          <w:rFonts w:ascii="Arial" w:hAnsi="Arial" w:cs="Arial"/>
          <w:color w:val="000000"/>
          <w:sz w:val="22"/>
          <w:szCs w:val="22"/>
        </w:rPr>
        <w:t xml:space="preserve"> en 2018, a </w:t>
      </w:r>
      <w:r w:rsidR="007A7B74" w:rsidRPr="007A7B74">
        <w:rPr>
          <w:rFonts w:ascii="Arial" w:hAnsi="Arial" w:cs="Arial"/>
          <w:color w:val="000000"/>
          <w:sz w:val="22"/>
          <w:szCs w:val="22"/>
        </w:rPr>
        <w:t>$126.035.989</w:t>
      </w:r>
      <w:r w:rsidR="007A7B74">
        <w:rPr>
          <w:rFonts w:ascii="Arial" w:hAnsi="Arial" w:cs="Arial"/>
          <w:color w:val="000000"/>
          <w:sz w:val="22"/>
          <w:szCs w:val="22"/>
        </w:rPr>
        <w:t xml:space="preserve"> en 2019 y a </w:t>
      </w:r>
      <w:r w:rsidR="007A7B74" w:rsidRPr="007A7B74">
        <w:rPr>
          <w:rFonts w:ascii="Arial" w:hAnsi="Arial" w:cs="Arial"/>
          <w:color w:val="000000"/>
          <w:sz w:val="22"/>
          <w:szCs w:val="22"/>
        </w:rPr>
        <w:t>$124.999.996</w:t>
      </w:r>
      <w:r w:rsidR="007A7B74">
        <w:rPr>
          <w:rFonts w:ascii="Arial" w:hAnsi="Arial" w:cs="Arial"/>
          <w:color w:val="000000"/>
          <w:sz w:val="22"/>
          <w:szCs w:val="22"/>
        </w:rPr>
        <w:t xml:space="preserve">. </w:t>
      </w:r>
      <w:r w:rsidR="00D74EBE">
        <w:rPr>
          <w:rFonts w:ascii="Arial" w:hAnsi="Arial" w:cs="Arial"/>
          <w:color w:val="000000"/>
          <w:sz w:val="22"/>
          <w:szCs w:val="22"/>
        </w:rPr>
        <w:t>Al indagar</w:t>
      </w:r>
      <w:r w:rsidR="008F4C09">
        <w:rPr>
          <w:rFonts w:ascii="Arial" w:hAnsi="Arial" w:cs="Arial"/>
          <w:color w:val="000000"/>
          <w:sz w:val="22"/>
          <w:szCs w:val="22"/>
        </w:rPr>
        <w:t xml:space="preserve"> con el </w:t>
      </w:r>
      <w:r w:rsidR="00302CEE">
        <w:rPr>
          <w:rFonts w:ascii="Arial" w:hAnsi="Arial" w:cs="Arial"/>
          <w:color w:val="000000"/>
          <w:sz w:val="22"/>
          <w:szCs w:val="22"/>
        </w:rPr>
        <w:t>M</w:t>
      </w:r>
      <w:r w:rsidR="008F4C09">
        <w:rPr>
          <w:rFonts w:ascii="Arial" w:hAnsi="Arial" w:cs="Arial"/>
          <w:color w:val="000000"/>
          <w:sz w:val="22"/>
          <w:szCs w:val="22"/>
        </w:rPr>
        <w:t>unicipio acerca del origen y la naturaleza de este empré</w:t>
      </w:r>
      <w:r w:rsidR="008F4C09" w:rsidRPr="00BD27ED">
        <w:rPr>
          <w:rFonts w:ascii="Arial" w:hAnsi="Arial" w:cs="Arial"/>
          <w:color w:val="000000"/>
          <w:sz w:val="22"/>
          <w:szCs w:val="22"/>
        </w:rPr>
        <w:t>stito</w:t>
      </w:r>
      <w:r w:rsidR="00DB26BF" w:rsidRPr="00BD27ED">
        <w:rPr>
          <w:rFonts w:ascii="Arial" w:hAnsi="Arial" w:cs="Arial"/>
          <w:color w:val="000000"/>
          <w:sz w:val="22"/>
          <w:szCs w:val="22"/>
        </w:rPr>
        <w:t xml:space="preserve">, </w:t>
      </w:r>
      <w:r w:rsidR="00DB26BF" w:rsidRPr="00BD27ED">
        <w:rPr>
          <w:rFonts w:ascii="Arial" w:eastAsiaTheme="minorEastAsia" w:hAnsi="Arial"/>
          <w:bCs/>
          <w:sz w:val="22"/>
          <w:szCs w:val="22"/>
          <w:lang w:val="es-MX"/>
        </w:rPr>
        <w:t xml:space="preserve">señalaron que se trata de un crédito que se dio con el fin de realizar la remodelación de la galería municipal enmarcados en el </w:t>
      </w:r>
      <w:r w:rsidR="00302CEE">
        <w:rPr>
          <w:rFonts w:ascii="Arial" w:eastAsiaTheme="minorEastAsia" w:hAnsi="Arial"/>
          <w:bCs/>
          <w:sz w:val="22"/>
          <w:szCs w:val="22"/>
          <w:lang w:val="es-MX"/>
        </w:rPr>
        <w:t>S</w:t>
      </w:r>
      <w:r w:rsidR="00DB26BF" w:rsidRPr="00BD27ED">
        <w:rPr>
          <w:rFonts w:ascii="Arial" w:eastAsiaTheme="minorEastAsia" w:hAnsi="Arial"/>
          <w:bCs/>
          <w:sz w:val="22"/>
          <w:szCs w:val="22"/>
          <w:lang w:val="es-MX"/>
        </w:rPr>
        <w:t>ector de Equipamiento Municipal.</w:t>
      </w:r>
    </w:p>
    <w:p w14:paraId="3EBDC4C7" w14:textId="77777777" w:rsidR="00C91FE2" w:rsidRPr="005D230E" w:rsidRDefault="00C91FE2">
      <w:pPr>
        <w:pStyle w:val="NormalWeb"/>
        <w:spacing w:before="0" w:beforeAutospacing="0" w:after="0" w:afterAutospacing="0"/>
        <w:contextualSpacing/>
        <w:jc w:val="both"/>
        <w:rPr>
          <w:rFonts w:ascii="Arial" w:hAnsi="Arial" w:cs="Arial"/>
          <w:color w:val="000000"/>
          <w:sz w:val="22"/>
          <w:szCs w:val="22"/>
        </w:rPr>
      </w:pPr>
    </w:p>
    <w:p w14:paraId="1132DD10" w14:textId="77777777" w:rsidR="005579DE" w:rsidRDefault="005579DE">
      <w:pPr>
        <w:pStyle w:val="Prrafodelista"/>
        <w:numPr>
          <w:ilvl w:val="0"/>
          <w:numId w:val="8"/>
        </w:numPr>
        <w:spacing w:line="240" w:lineRule="auto"/>
        <w:rPr>
          <w:b/>
          <w:bCs/>
        </w:rPr>
      </w:pPr>
      <w:r>
        <w:rPr>
          <w:b/>
          <w:bCs/>
        </w:rPr>
        <w:t>Patrones de inversión</w:t>
      </w:r>
      <w:r w:rsidR="00302CEE">
        <w:rPr>
          <w:b/>
          <w:bCs/>
        </w:rPr>
        <w:t>.</w:t>
      </w:r>
    </w:p>
    <w:p w14:paraId="67576F53" w14:textId="77777777" w:rsidR="00302CEE" w:rsidRDefault="00302CEE">
      <w:pPr>
        <w:spacing w:line="240" w:lineRule="auto"/>
        <w:contextualSpacing/>
        <w:jc w:val="both"/>
      </w:pPr>
    </w:p>
    <w:p w14:paraId="2056AC0E" w14:textId="77777777" w:rsidR="00A8239D" w:rsidRDefault="00A8239D">
      <w:pPr>
        <w:spacing w:line="240" w:lineRule="auto"/>
        <w:contextualSpacing/>
        <w:jc w:val="both"/>
      </w:pPr>
      <w:r>
        <w:t xml:space="preserve">A continuación, se presenta el análisis de patrones de inversión por sector </w:t>
      </w:r>
      <w:r w:rsidR="00E21CAB">
        <w:t>financiados con los recursos de Propósito General.</w:t>
      </w:r>
    </w:p>
    <w:p w14:paraId="381353F4" w14:textId="77777777" w:rsidR="00302CEE" w:rsidRPr="00A8239D" w:rsidRDefault="00302CEE">
      <w:pPr>
        <w:spacing w:line="240" w:lineRule="auto"/>
        <w:contextualSpacing/>
        <w:jc w:val="both"/>
      </w:pPr>
    </w:p>
    <w:p w14:paraId="58887A53" w14:textId="77777777" w:rsidR="00143F31" w:rsidRPr="00567AAE" w:rsidRDefault="00143F31">
      <w:pPr>
        <w:spacing w:after="0" w:line="240" w:lineRule="auto"/>
        <w:contextualSpacing/>
        <w:jc w:val="center"/>
        <w:textAlignment w:val="baseline"/>
        <w:rPr>
          <w:rFonts w:eastAsia="Times New Roman" w:cs="Arial"/>
          <w:b/>
          <w:bCs/>
          <w:sz w:val="20"/>
          <w:szCs w:val="20"/>
          <w:lang w:val="es-CO" w:eastAsia="es-CO"/>
        </w:rPr>
      </w:pPr>
      <w:r>
        <w:rPr>
          <w:rFonts w:eastAsia="Times New Roman" w:cs="Arial"/>
          <w:b/>
          <w:bCs/>
          <w:sz w:val="20"/>
          <w:szCs w:val="20"/>
          <w:lang w:val="es-CO" w:eastAsia="es-CO"/>
        </w:rPr>
        <w:t>Gráfico</w:t>
      </w:r>
      <w:r w:rsidRPr="00567AAE">
        <w:rPr>
          <w:rFonts w:eastAsia="Times New Roman" w:cs="Arial"/>
          <w:b/>
          <w:bCs/>
          <w:sz w:val="20"/>
          <w:szCs w:val="20"/>
          <w:lang w:val="es-CO" w:eastAsia="es-CO"/>
        </w:rPr>
        <w:t xml:space="preserve"> No. </w:t>
      </w:r>
      <w:r w:rsidR="0066565A">
        <w:rPr>
          <w:rFonts w:eastAsia="Times New Roman" w:cs="Arial"/>
          <w:b/>
          <w:bCs/>
          <w:sz w:val="20"/>
          <w:szCs w:val="20"/>
          <w:lang w:val="es-CO" w:eastAsia="es-CO"/>
        </w:rPr>
        <w:t>4</w:t>
      </w:r>
    </w:p>
    <w:p w14:paraId="06C9B552" w14:textId="77777777" w:rsidR="00143F31" w:rsidRDefault="00143F31">
      <w:pPr>
        <w:spacing w:after="0" w:line="240" w:lineRule="auto"/>
        <w:contextualSpacing/>
        <w:jc w:val="center"/>
        <w:textAlignment w:val="baseline"/>
        <w:rPr>
          <w:rFonts w:eastAsia="Times New Roman" w:cs="Arial"/>
          <w:sz w:val="20"/>
          <w:szCs w:val="20"/>
          <w:lang w:val="es-CO" w:eastAsia="es-CO"/>
        </w:rPr>
      </w:pPr>
      <w:r w:rsidRPr="00A909F3">
        <w:rPr>
          <w:rFonts w:eastAsia="Times New Roman" w:cs="Arial"/>
          <w:sz w:val="20"/>
          <w:szCs w:val="20"/>
          <w:lang w:val="es-CO" w:eastAsia="es-CO"/>
        </w:rPr>
        <w:t>Patrones de inversión de la Participación de Propósito General</w:t>
      </w:r>
    </w:p>
    <w:p w14:paraId="033DC53D" w14:textId="77777777" w:rsidR="00143F31" w:rsidRDefault="008F4C09">
      <w:pPr>
        <w:spacing w:after="0" w:line="240" w:lineRule="auto"/>
        <w:contextualSpacing/>
        <w:jc w:val="center"/>
        <w:textAlignment w:val="baseline"/>
        <w:rPr>
          <w:rFonts w:eastAsia="Times New Roman" w:cs="Arial"/>
          <w:lang w:val="es-CO" w:eastAsia="es-CO"/>
        </w:rPr>
      </w:pPr>
      <w:r>
        <w:rPr>
          <w:noProof/>
          <w:lang w:val="es-CO" w:eastAsia="es-CO"/>
        </w:rPr>
        <w:drawing>
          <wp:anchor distT="0" distB="0" distL="114300" distR="114300" simplePos="0" relativeHeight="251658243" behindDoc="0" locked="0" layoutInCell="1" allowOverlap="1" wp14:anchorId="05CB8486" wp14:editId="6BA7BE41">
            <wp:simplePos x="0" y="0"/>
            <wp:positionH relativeFrom="margin">
              <wp:posOffset>-80917</wp:posOffset>
            </wp:positionH>
            <wp:positionV relativeFrom="paragraph">
              <wp:posOffset>187143</wp:posOffset>
            </wp:positionV>
            <wp:extent cx="5676900" cy="3140075"/>
            <wp:effectExtent l="0" t="0" r="0" b="3175"/>
            <wp:wrapSquare wrapText="bothSides"/>
            <wp:docPr id="5" name="Gráfico 5">
              <a:extLst xmlns:a="http://schemas.openxmlformats.org/drawingml/2006/main">
                <a:ext uri="{FF2B5EF4-FFF2-40B4-BE49-F238E27FC236}">
                  <a16:creationId xmlns:a16="http://schemas.microsoft.com/office/drawing/2014/main" id="{D8856390-A30C-4CD6-B158-1FF3C50761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143F31" w:rsidRPr="00567AAE">
        <w:rPr>
          <w:rFonts w:eastAsia="Times New Roman" w:cs="Arial"/>
          <w:sz w:val="20"/>
          <w:szCs w:val="20"/>
          <w:lang w:val="es-CO" w:eastAsia="es-CO"/>
        </w:rPr>
        <w:t xml:space="preserve">Municipio de </w:t>
      </w:r>
      <w:r w:rsidR="00143F31">
        <w:rPr>
          <w:rFonts w:eastAsia="Times New Roman" w:cs="Arial"/>
          <w:sz w:val="20"/>
          <w:szCs w:val="20"/>
          <w:lang w:val="es-CO" w:eastAsia="es-CO"/>
        </w:rPr>
        <w:t>Puerto Leguízamo – Putumayo</w:t>
      </w:r>
      <w:r w:rsidR="00302CEE">
        <w:rPr>
          <w:rFonts w:eastAsia="Times New Roman" w:cs="Arial"/>
          <w:sz w:val="20"/>
          <w:szCs w:val="20"/>
          <w:lang w:val="es-CO" w:eastAsia="es-CO"/>
        </w:rPr>
        <w:t>.</w:t>
      </w:r>
    </w:p>
    <w:p w14:paraId="73C45C58" w14:textId="77777777" w:rsidR="001309BD" w:rsidRPr="00FB27C3" w:rsidRDefault="001309BD">
      <w:pPr>
        <w:spacing w:line="240" w:lineRule="auto"/>
        <w:contextualSpacing/>
        <w:jc w:val="center"/>
        <w:rPr>
          <w:rFonts w:cs="Arial"/>
          <w:color w:val="000000"/>
          <w:sz w:val="16"/>
          <w:szCs w:val="16"/>
        </w:rPr>
      </w:pPr>
      <w:r w:rsidRPr="00FB27C3">
        <w:rPr>
          <w:rFonts w:cs="Arial"/>
          <w:b/>
          <w:bCs/>
          <w:color w:val="000000"/>
          <w:sz w:val="16"/>
          <w:szCs w:val="16"/>
        </w:rPr>
        <w:t xml:space="preserve">Fuente: </w:t>
      </w:r>
      <w:r w:rsidRPr="00FB27C3">
        <w:rPr>
          <w:rFonts w:cs="Arial"/>
          <w:color w:val="000000"/>
          <w:sz w:val="16"/>
          <w:szCs w:val="16"/>
        </w:rPr>
        <w:t>Elaboración DAF con base en las ejecuciones presupuestales de gastos de la Entidad Territorial.</w:t>
      </w:r>
    </w:p>
    <w:p w14:paraId="4F179C19" w14:textId="77777777" w:rsidR="00302CEE" w:rsidRDefault="00302CEE">
      <w:pPr>
        <w:spacing w:line="240" w:lineRule="auto"/>
        <w:contextualSpacing/>
        <w:jc w:val="both"/>
        <w:rPr>
          <w:rFonts w:cs="Arial"/>
          <w:color w:val="000000" w:themeColor="text1"/>
        </w:rPr>
      </w:pPr>
    </w:p>
    <w:p w14:paraId="57CC4CDD" w14:textId="77777777" w:rsidR="00463DC6" w:rsidRDefault="00084E04">
      <w:pPr>
        <w:spacing w:line="240" w:lineRule="auto"/>
        <w:contextualSpacing/>
        <w:jc w:val="both"/>
        <w:rPr>
          <w:rFonts w:cs="Arial"/>
          <w:color w:val="000000" w:themeColor="text1"/>
        </w:rPr>
      </w:pPr>
      <w:r w:rsidRPr="37CA52DC">
        <w:rPr>
          <w:rFonts w:cs="Arial"/>
          <w:color w:val="000000" w:themeColor="text1"/>
        </w:rPr>
        <w:t>Como se puede observar en el gráfico anterior</w:t>
      </w:r>
      <w:r w:rsidR="0026351B">
        <w:rPr>
          <w:rFonts w:cs="Arial"/>
          <w:color w:val="000000" w:themeColor="text1"/>
        </w:rPr>
        <w:t>,</w:t>
      </w:r>
      <w:r w:rsidRPr="37CA52DC">
        <w:rPr>
          <w:rFonts w:cs="Arial"/>
          <w:color w:val="000000" w:themeColor="text1"/>
        </w:rPr>
        <w:t xml:space="preserve"> </w:t>
      </w:r>
      <w:r w:rsidR="00807E63" w:rsidRPr="37CA52DC">
        <w:rPr>
          <w:rFonts w:cs="Arial"/>
          <w:color w:val="000000" w:themeColor="text1"/>
        </w:rPr>
        <w:t xml:space="preserve">el principal sector al que se dirige la inversión de los recursos de Propósito General en el </w:t>
      </w:r>
      <w:r w:rsidR="00302CEE">
        <w:rPr>
          <w:rFonts w:cs="Arial"/>
          <w:color w:val="000000" w:themeColor="text1"/>
        </w:rPr>
        <w:t>M</w:t>
      </w:r>
      <w:r w:rsidR="00807E63" w:rsidRPr="37CA52DC">
        <w:rPr>
          <w:rFonts w:cs="Arial"/>
          <w:color w:val="000000" w:themeColor="text1"/>
        </w:rPr>
        <w:t xml:space="preserve">unicipio de Puerto Leguízamo – Putumayo es el </w:t>
      </w:r>
      <w:r w:rsidR="00302CEE">
        <w:rPr>
          <w:rFonts w:cs="Arial"/>
          <w:color w:val="000000" w:themeColor="text1"/>
        </w:rPr>
        <w:t>S</w:t>
      </w:r>
      <w:r w:rsidR="00807E63" w:rsidRPr="37CA52DC">
        <w:rPr>
          <w:rFonts w:cs="Arial"/>
          <w:color w:val="000000" w:themeColor="text1"/>
        </w:rPr>
        <w:t xml:space="preserve">ector de Atención a Grupos Vulnerables, el cual representa en promedio el </w:t>
      </w:r>
      <w:r w:rsidR="007157E7" w:rsidRPr="37CA52DC">
        <w:rPr>
          <w:rFonts w:cs="Arial"/>
          <w:color w:val="000000" w:themeColor="text1"/>
        </w:rPr>
        <w:t>21</w:t>
      </w:r>
      <w:r w:rsidR="00302CEE">
        <w:rPr>
          <w:rFonts w:cs="Arial"/>
          <w:color w:val="000000" w:themeColor="text1"/>
        </w:rPr>
        <w:t xml:space="preserve"> </w:t>
      </w:r>
      <w:r w:rsidR="007157E7" w:rsidRPr="37CA52DC">
        <w:rPr>
          <w:rFonts w:cs="Arial"/>
          <w:color w:val="000000" w:themeColor="text1"/>
        </w:rPr>
        <w:t xml:space="preserve">% de la inversión durante las vigencias analizadas. </w:t>
      </w:r>
      <w:r w:rsidR="00085021" w:rsidRPr="37CA52DC">
        <w:rPr>
          <w:rFonts w:cs="Arial"/>
          <w:color w:val="000000" w:themeColor="text1"/>
        </w:rPr>
        <w:t xml:space="preserve">En segundo lugar, </w:t>
      </w:r>
      <w:r w:rsidR="004F3C1B" w:rsidRPr="37CA52DC">
        <w:rPr>
          <w:rFonts w:cs="Arial"/>
          <w:color w:val="000000" w:themeColor="text1"/>
        </w:rPr>
        <w:t xml:space="preserve">con una participación </w:t>
      </w:r>
      <w:r w:rsidR="00375AB8" w:rsidRPr="37CA52DC">
        <w:rPr>
          <w:rFonts w:cs="Arial"/>
          <w:color w:val="000000" w:themeColor="text1"/>
        </w:rPr>
        <w:t xml:space="preserve">promedio </w:t>
      </w:r>
      <w:r w:rsidR="004F3C1B" w:rsidRPr="37CA52DC">
        <w:rPr>
          <w:rFonts w:cs="Arial"/>
          <w:color w:val="000000" w:themeColor="text1"/>
        </w:rPr>
        <w:t>de</w:t>
      </w:r>
      <w:r w:rsidR="00FD3EDA" w:rsidRPr="37CA52DC">
        <w:rPr>
          <w:rFonts w:cs="Arial"/>
          <w:color w:val="000000" w:themeColor="text1"/>
        </w:rPr>
        <w:t>l 1</w:t>
      </w:r>
      <w:r w:rsidR="00463DC6" w:rsidRPr="37CA52DC">
        <w:rPr>
          <w:rFonts w:cs="Arial"/>
          <w:color w:val="000000" w:themeColor="text1"/>
        </w:rPr>
        <w:t>4</w:t>
      </w:r>
      <w:r w:rsidR="00302CEE">
        <w:rPr>
          <w:rFonts w:cs="Arial"/>
          <w:color w:val="000000" w:themeColor="text1"/>
        </w:rPr>
        <w:t xml:space="preserve"> </w:t>
      </w:r>
      <w:r w:rsidR="00812966" w:rsidRPr="37CA52DC">
        <w:rPr>
          <w:rFonts w:cs="Arial"/>
          <w:color w:val="000000" w:themeColor="text1"/>
        </w:rPr>
        <w:t>%</w:t>
      </w:r>
      <w:r w:rsidR="00375AB8" w:rsidRPr="37CA52DC">
        <w:rPr>
          <w:rFonts w:cs="Arial"/>
          <w:color w:val="000000" w:themeColor="text1"/>
        </w:rPr>
        <w:t xml:space="preserve">, se encuentra el </w:t>
      </w:r>
      <w:r w:rsidR="00302CEE">
        <w:rPr>
          <w:rFonts w:cs="Arial"/>
          <w:color w:val="000000" w:themeColor="text1"/>
        </w:rPr>
        <w:t>S</w:t>
      </w:r>
      <w:r w:rsidR="00375AB8" w:rsidRPr="37CA52DC">
        <w:rPr>
          <w:rFonts w:cs="Arial"/>
          <w:color w:val="000000" w:themeColor="text1"/>
        </w:rPr>
        <w:t>ector de Justicia</w:t>
      </w:r>
      <w:r w:rsidR="00FD1DF3" w:rsidRPr="37CA52DC">
        <w:rPr>
          <w:rFonts w:cs="Arial"/>
          <w:color w:val="000000" w:themeColor="text1"/>
        </w:rPr>
        <w:t>. En tercer lugar</w:t>
      </w:r>
      <w:r w:rsidR="13905659" w:rsidRPr="37CA52DC">
        <w:rPr>
          <w:rFonts w:cs="Arial"/>
          <w:color w:val="000000" w:themeColor="text1"/>
        </w:rPr>
        <w:t>,</w:t>
      </w:r>
      <w:r w:rsidR="00FD1DF3" w:rsidRPr="37CA52DC">
        <w:rPr>
          <w:rFonts w:cs="Arial"/>
          <w:color w:val="000000" w:themeColor="text1"/>
        </w:rPr>
        <w:t xml:space="preserve"> se encuentra el </w:t>
      </w:r>
      <w:r w:rsidR="00302CEE">
        <w:rPr>
          <w:rFonts w:cs="Arial"/>
          <w:color w:val="000000" w:themeColor="text1"/>
        </w:rPr>
        <w:t>S</w:t>
      </w:r>
      <w:r w:rsidR="00FD1DF3" w:rsidRPr="37CA52DC">
        <w:rPr>
          <w:rFonts w:cs="Arial"/>
          <w:color w:val="000000" w:themeColor="text1"/>
        </w:rPr>
        <w:t>ector de Centro</w:t>
      </w:r>
      <w:r w:rsidR="0026351B">
        <w:rPr>
          <w:rFonts w:cs="Arial"/>
          <w:color w:val="000000" w:themeColor="text1"/>
        </w:rPr>
        <w:t>s</w:t>
      </w:r>
      <w:r w:rsidR="00FD1DF3" w:rsidRPr="37CA52DC">
        <w:rPr>
          <w:rFonts w:cs="Arial"/>
          <w:color w:val="000000" w:themeColor="text1"/>
        </w:rPr>
        <w:t xml:space="preserve"> de Reclusión, con una participación promedio del </w:t>
      </w:r>
      <w:r w:rsidR="00463DC6" w:rsidRPr="37CA52DC">
        <w:rPr>
          <w:rFonts w:cs="Arial"/>
          <w:color w:val="000000" w:themeColor="text1"/>
        </w:rPr>
        <w:t>12</w:t>
      </w:r>
      <w:r w:rsidR="00302CEE">
        <w:rPr>
          <w:rFonts w:cs="Arial"/>
          <w:color w:val="000000" w:themeColor="text1"/>
        </w:rPr>
        <w:t xml:space="preserve"> </w:t>
      </w:r>
      <w:r w:rsidR="00463DC6" w:rsidRPr="37CA52DC">
        <w:rPr>
          <w:rFonts w:cs="Arial"/>
          <w:color w:val="000000" w:themeColor="text1"/>
        </w:rPr>
        <w:t>% de los recursos de inversión dirigidos a su financiación.</w:t>
      </w:r>
      <w:r w:rsidR="00C2691B" w:rsidRPr="37CA52DC">
        <w:rPr>
          <w:rFonts w:cs="Arial"/>
          <w:color w:val="000000" w:themeColor="text1"/>
        </w:rPr>
        <w:t xml:space="preserve"> Por último, </w:t>
      </w:r>
      <w:r w:rsidR="008F0D64" w:rsidRPr="37CA52DC">
        <w:rPr>
          <w:rFonts w:cs="Arial"/>
          <w:color w:val="000000" w:themeColor="text1"/>
        </w:rPr>
        <w:t>otro sector que tiene una participación significativa (10</w:t>
      </w:r>
      <w:r w:rsidR="00302CEE">
        <w:rPr>
          <w:rFonts w:cs="Arial"/>
          <w:color w:val="000000" w:themeColor="text1"/>
        </w:rPr>
        <w:t xml:space="preserve"> </w:t>
      </w:r>
      <w:r w:rsidR="008F0D64" w:rsidRPr="37CA52DC">
        <w:rPr>
          <w:rFonts w:cs="Arial"/>
          <w:color w:val="000000" w:themeColor="text1"/>
        </w:rPr>
        <w:t>% en promedio)</w:t>
      </w:r>
      <w:r w:rsidR="007154DC" w:rsidRPr="37CA52DC">
        <w:rPr>
          <w:rFonts w:cs="Arial"/>
          <w:color w:val="000000" w:themeColor="text1"/>
        </w:rPr>
        <w:t xml:space="preserve"> es el </w:t>
      </w:r>
      <w:r w:rsidR="00302CEE">
        <w:rPr>
          <w:rFonts w:cs="Arial"/>
          <w:color w:val="000000" w:themeColor="text1"/>
        </w:rPr>
        <w:t>S</w:t>
      </w:r>
      <w:r w:rsidR="007154DC" w:rsidRPr="37CA52DC">
        <w:rPr>
          <w:rFonts w:cs="Arial"/>
          <w:color w:val="000000" w:themeColor="text1"/>
        </w:rPr>
        <w:t>ector de Fortalecimiento Institucional.</w:t>
      </w:r>
    </w:p>
    <w:p w14:paraId="53AD95B2" w14:textId="77777777" w:rsidR="00302CEE" w:rsidRPr="004A3FC6" w:rsidRDefault="00302CEE">
      <w:pPr>
        <w:spacing w:line="240" w:lineRule="auto"/>
        <w:contextualSpacing/>
        <w:jc w:val="both"/>
        <w:rPr>
          <w:rFonts w:cs="Arial"/>
          <w:color w:val="000000"/>
        </w:rPr>
      </w:pPr>
    </w:p>
    <w:p w14:paraId="4554BE95" w14:textId="77777777" w:rsidR="007154DC" w:rsidRDefault="00000E9A">
      <w:pPr>
        <w:spacing w:line="240" w:lineRule="auto"/>
        <w:contextualSpacing/>
        <w:jc w:val="both"/>
        <w:rPr>
          <w:rFonts w:cs="Arial"/>
          <w:color w:val="000000"/>
        </w:rPr>
      </w:pPr>
      <w:r w:rsidRPr="004A3FC6">
        <w:rPr>
          <w:rFonts w:cs="Arial"/>
          <w:color w:val="000000"/>
        </w:rPr>
        <w:t xml:space="preserve">En cuanto al </w:t>
      </w:r>
      <w:r w:rsidR="00302CEE">
        <w:rPr>
          <w:rFonts w:cs="Arial"/>
          <w:color w:val="000000"/>
        </w:rPr>
        <w:t>S</w:t>
      </w:r>
      <w:r w:rsidRPr="004A3FC6">
        <w:rPr>
          <w:rFonts w:cs="Arial"/>
          <w:color w:val="000000"/>
        </w:rPr>
        <w:t xml:space="preserve">ector de Atención a Grupos Vulnerables </w:t>
      </w:r>
      <w:r w:rsidR="003E5B48" w:rsidRPr="004A3FC6">
        <w:rPr>
          <w:rFonts w:cs="Arial"/>
          <w:color w:val="000000"/>
        </w:rPr>
        <w:t>se puede evidenciar una tendencia decreciente a lo largo del periodo analizado,</w:t>
      </w:r>
      <w:r w:rsidR="003D0772">
        <w:rPr>
          <w:rFonts w:cs="Arial"/>
          <w:color w:val="000000"/>
        </w:rPr>
        <w:t xml:space="preserve"> presentando una disminución del 14</w:t>
      </w:r>
      <w:r w:rsidR="008558F8">
        <w:rPr>
          <w:rFonts w:cs="Arial"/>
          <w:color w:val="000000"/>
        </w:rPr>
        <w:t xml:space="preserve"> </w:t>
      </w:r>
      <w:r w:rsidR="003D0772">
        <w:rPr>
          <w:rFonts w:cs="Arial"/>
          <w:color w:val="000000"/>
        </w:rPr>
        <w:t xml:space="preserve">% entre 2018 y 2020. </w:t>
      </w:r>
      <w:r w:rsidR="00297145">
        <w:rPr>
          <w:rFonts w:cs="Arial"/>
          <w:color w:val="000000"/>
        </w:rPr>
        <w:t xml:space="preserve">Mientras, </w:t>
      </w:r>
      <w:r w:rsidR="003E5B48" w:rsidRPr="004A3FC6">
        <w:rPr>
          <w:rFonts w:cs="Arial"/>
          <w:color w:val="000000"/>
        </w:rPr>
        <w:t xml:space="preserve">el </w:t>
      </w:r>
      <w:r w:rsidR="008558F8">
        <w:rPr>
          <w:rFonts w:cs="Arial"/>
          <w:color w:val="000000"/>
        </w:rPr>
        <w:t>S</w:t>
      </w:r>
      <w:r w:rsidR="003E5B48" w:rsidRPr="004A3FC6">
        <w:rPr>
          <w:rFonts w:cs="Arial"/>
          <w:color w:val="000000"/>
        </w:rPr>
        <w:t xml:space="preserve">ector Justicia </w:t>
      </w:r>
      <w:r w:rsidR="00634A2C" w:rsidRPr="004A3FC6">
        <w:rPr>
          <w:rFonts w:cs="Arial"/>
          <w:color w:val="000000"/>
        </w:rPr>
        <w:t xml:space="preserve">y Fortalecimiento Institucional </w:t>
      </w:r>
      <w:r w:rsidR="00AB6727" w:rsidRPr="004A3FC6">
        <w:rPr>
          <w:rFonts w:cs="Arial"/>
          <w:color w:val="000000"/>
        </w:rPr>
        <w:t>present</w:t>
      </w:r>
      <w:r w:rsidR="00297145">
        <w:rPr>
          <w:rFonts w:cs="Arial"/>
          <w:color w:val="000000"/>
        </w:rPr>
        <w:t>aron</w:t>
      </w:r>
      <w:r w:rsidR="00AB6727" w:rsidRPr="004A3FC6">
        <w:rPr>
          <w:rFonts w:cs="Arial"/>
          <w:color w:val="000000"/>
        </w:rPr>
        <w:t xml:space="preserve"> un aumento cuyo pico se alcanzó en el año 2020. En el caso de</w:t>
      </w:r>
      <w:r w:rsidR="008558F8">
        <w:rPr>
          <w:rFonts w:cs="Arial"/>
          <w:color w:val="000000"/>
        </w:rPr>
        <w:t>l Sector de</w:t>
      </w:r>
      <w:r w:rsidR="00AB6727" w:rsidRPr="004A3FC6">
        <w:rPr>
          <w:rFonts w:cs="Arial"/>
          <w:color w:val="000000"/>
        </w:rPr>
        <w:t xml:space="preserve"> Centros de Reclusión, se vio un aumento entre las vigencias 2018 y 2019 y una leve disminución para 2020. </w:t>
      </w:r>
      <w:r w:rsidR="002D524A">
        <w:rPr>
          <w:rFonts w:cs="Arial"/>
          <w:color w:val="000000"/>
        </w:rPr>
        <w:t xml:space="preserve">En </w:t>
      </w:r>
      <w:r w:rsidR="00903825" w:rsidRPr="004A3FC6">
        <w:rPr>
          <w:rFonts w:cs="Arial"/>
          <w:color w:val="000000"/>
        </w:rPr>
        <w:t xml:space="preserve">el </w:t>
      </w:r>
      <w:r w:rsidR="008558F8">
        <w:rPr>
          <w:rFonts w:cs="Arial"/>
          <w:color w:val="000000"/>
        </w:rPr>
        <w:t>S</w:t>
      </w:r>
      <w:r w:rsidR="00903825" w:rsidRPr="004A3FC6">
        <w:rPr>
          <w:rFonts w:cs="Arial"/>
          <w:color w:val="000000"/>
        </w:rPr>
        <w:t xml:space="preserve">ector de Prevención y Atención de Desastres, </w:t>
      </w:r>
      <w:r w:rsidR="00F27B7D">
        <w:rPr>
          <w:rFonts w:cs="Arial"/>
          <w:color w:val="000000"/>
        </w:rPr>
        <w:t>se evidencia</w:t>
      </w:r>
      <w:r w:rsidR="00903825" w:rsidRPr="004A3FC6">
        <w:rPr>
          <w:rFonts w:cs="Arial"/>
          <w:color w:val="000000"/>
        </w:rPr>
        <w:t xml:space="preserve"> un incremento del 103</w:t>
      </w:r>
      <w:r w:rsidR="008558F8">
        <w:rPr>
          <w:rFonts w:cs="Arial"/>
          <w:color w:val="000000"/>
        </w:rPr>
        <w:t xml:space="preserve"> </w:t>
      </w:r>
      <w:r w:rsidR="00903825" w:rsidRPr="004A3FC6">
        <w:rPr>
          <w:rFonts w:cs="Arial"/>
          <w:color w:val="000000"/>
        </w:rPr>
        <w:t>% entre 2019 y 2020</w:t>
      </w:r>
      <w:r w:rsidR="00903E71" w:rsidRPr="004A3FC6">
        <w:rPr>
          <w:rFonts w:cs="Arial"/>
          <w:color w:val="000000"/>
        </w:rPr>
        <w:t>.</w:t>
      </w:r>
    </w:p>
    <w:p w14:paraId="5F2029B4" w14:textId="77777777" w:rsidR="008558F8" w:rsidRPr="004A3FC6" w:rsidRDefault="008558F8">
      <w:pPr>
        <w:spacing w:line="240" w:lineRule="auto"/>
        <w:contextualSpacing/>
        <w:jc w:val="both"/>
        <w:rPr>
          <w:rFonts w:cs="Arial"/>
          <w:color w:val="000000"/>
        </w:rPr>
      </w:pPr>
    </w:p>
    <w:p w14:paraId="6FECB47B" w14:textId="77777777" w:rsidR="005F524D" w:rsidRDefault="00270971">
      <w:pPr>
        <w:spacing w:line="240" w:lineRule="auto"/>
        <w:contextualSpacing/>
        <w:jc w:val="both"/>
        <w:rPr>
          <w:rFonts w:cs="Arial"/>
          <w:i/>
          <w:iCs/>
          <w:color w:val="000000"/>
        </w:rPr>
      </w:pPr>
      <w:r w:rsidRPr="004A3FC6">
        <w:rPr>
          <w:rFonts w:cs="Arial"/>
          <w:color w:val="000000"/>
        </w:rPr>
        <w:t xml:space="preserve">Al analizar los principales </w:t>
      </w:r>
      <w:r w:rsidR="00D86AA4" w:rsidRPr="004A3FC6">
        <w:rPr>
          <w:rFonts w:cs="Arial"/>
          <w:color w:val="000000"/>
        </w:rPr>
        <w:t xml:space="preserve">objetos de gasto financiados en estos sectores se </w:t>
      </w:r>
      <w:r w:rsidR="00D54343" w:rsidRPr="004A3FC6">
        <w:rPr>
          <w:rFonts w:cs="Arial"/>
          <w:color w:val="000000"/>
        </w:rPr>
        <w:t>puede evidenciar que, para el caso de</w:t>
      </w:r>
      <w:r w:rsidR="008558F8">
        <w:rPr>
          <w:rFonts w:cs="Arial"/>
          <w:color w:val="000000"/>
        </w:rPr>
        <w:t>l Sector</w:t>
      </w:r>
      <w:r w:rsidR="00D54343" w:rsidRPr="004A3FC6">
        <w:rPr>
          <w:rFonts w:cs="Arial"/>
          <w:color w:val="000000"/>
        </w:rPr>
        <w:t xml:space="preserve"> Atención a Grupos Vulnerables,</w:t>
      </w:r>
      <w:r w:rsidR="004A3FC6" w:rsidRPr="004A3FC6">
        <w:rPr>
          <w:rFonts w:cs="Arial"/>
          <w:color w:val="000000"/>
        </w:rPr>
        <w:t xml:space="preserve"> </w:t>
      </w:r>
      <w:r w:rsidR="004A3FC6" w:rsidRPr="004A3FC6">
        <w:rPr>
          <w:rFonts w:eastAsia="Times New Roman" w:cs="Arial"/>
          <w:lang w:val="es-CO" w:eastAsia="es-CO"/>
        </w:rPr>
        <w:t>la mayoría de la inversión se</w:t>
      </w:r>
      <w:r w:rsidR="007D22B1">
        <w:rPr>
          <w:rFonts w:eastAsia="Times New Roman" w:cs="Arial"/>
          <w:lang w:val="es-CO" w:eastAsia="es-CO"/>
        </w:rPr>
        <w:t xml:space="preserve"> dirigen a la protección de la niñez</w:t>
      </w:r>
      <w:r w:rsidR="002E0DA1">
        <w:rPr>
          <w:rFonts w:eastAsia="Times New Roman" w:cs="Arial"/>
          <w:lang w:val="es-CO" w:eastAsia="es-CO"/>
        </w:rPr>
        <w:t xml:space="preserve">, la atención y apoyo a la población víctima y la atención y apoyo a los grupos indígenas. En el caso del </w:t>
      </w:r>
      <w:r w:rsidR="008558F8">
        <w:rPr>
          <w:rFonts w:eastAsia="Times New Roman" w:cs="Arial"/>
          <w:lang w:val="es-CO" w:eastAsia="es-CO"/>
        </w:rPr>
        <w:t>S</w:t>
      </w:r>
      <w:r w:rsidR="002E0DA1">
        <w:rPr>
          <w:rFonts w:eastAsia="Times New Roman" w:cs="Arial"/>
          <w:lang w:val="es-CO" w:eastAsia="es-CO"/>
        </w:rPr>
        <w:t xml:space="preserve">ector </w:t>
      </w:r>
      <w:r w:rsidR="00110DA4">
        <w:rPr>
          <w:rFonts w:eastAsia="Times New Roman" w:cs="Arial"/>
          <w:lang w:val="es-CO" w:eastAsia="es-CO"/>
        </w:rPr>
        <w:t>J</w:t>
      </w:r>
      <w:r w:rsidR="002E0DA1">
        <w:rPr>
          <w:rFonts w:eastAsia="Times New Roman" w:cs="Arial"/>
          <w:lang w:val="es-CO" w:eastAsia="es-CO"/>
        </w:rPr>
        <w:t>usticia</w:t>
      </w:r>
      <w:r w:rsidR="00110DA4">
        <w:rPr>
          <w:rFonts w:eastAsia="Times New Roman" w:cs="Arial"/>
          <w:lang w:val="es-CO" w:eastAsia="es-CO"/>
        </w:rPr>
        <w:t xml:space="preserve"> y Seguridad</w:t>
      </w:r>
      <w:r w:rsidR="002E0DA1">
        <w:rPr>
          <w:rFonts w:eastAsia="Times New Roman" w:cs="Arial"/>
          <w:lang w:val="es-CO" w:eastAsia="es-CO"/>
        </w:rPr>
        <w:t>, la mayoría de los gastos se</w:t>
      </w:r>
      <w:r w:rsidR="004A3FC6" w:rsidRPr="004A3FC6">
        <w:rPr>
          <w:rFonts w:eastAsia="Times New Roman" w:cs="Arial"/>
          <w:lang w:val="es-CO" w:eastAsia="es-CO"/>
        </w:rPr>
        <w:t xml:space="preserve"> ampara bajo la cuenta</w:t>
      </w:r>
      <w:r w:rsidRPr="004A3FC6">
        <w:rPr>
          <w:rFonts w:cs="Arial"/>
          <w:color w:val="000000"/>
        </w:rPr>
        <w:t xml:space="preserve"> </w:t>
      </w:r>
      <w:r w:rsidR="00110DA4">
        <w:rPr>
          <w:rFonts w:cs="Arial"/>
          <w:color w:val="000000"/>
        </w:rPr>
        <w:t>de “</w:t>
      </w:r>
      <w:r w:rsidR="00110DA4">
        <w:rPr>
          <w:rFonts w:cs="Arial"/>
          <w:i/>
          <w:iCs/>
          <w:color w:val="000000"/>
        </w:rPr>
        <w:t xml:space="preserve">Pago de inspectores </w:t>
      </w:r>
      <w:r w:rsidR="00110DA4">
        <w:rPr>
          <w:rFonts w:cs="Arial"/>
          <w:i/>
          <w:iCs/>
          <w:color w:val="000000"/>
        </w:rPr>
        <w:lastRenderedPageBreak/>
        <w:t>de policía”</w:t>
      </w:r>
      <w:r w:rsidR="00B425BC">
        <w:rPr>
          <w:rFonts w:cs="Arial"/>
          <w:color w:val="000000"/>
        </w:rPr>
        <w:t>. Frente a</w:t>
      </w:r>
      <w:r w:rsidR="008558F8">
        <w:rPr>
          <w:rFonts w:cs="Arial"/>
          <w:color w:val="000000"/>
        </w:rPr>
        <w:t xml:space="preserve">l </w:t>
      </w:r>
      <w:r w:rsidR="003F7F51">
        <w:rPr>
          <w:rFonts w:cs="Arial"/>
          <w:color w:val="000000"/>
        </w:rPr>
        <w:t>S</w:t>
      </w:r>
      <w:r w:rsidR="008558F8">
        <w:rPr>
          <w:rFonts w:cs="Arial"/>
          <w:color w:val="000000"/>
        </w:rPr>
        <w:t xml:space="preserve">ector de </w:t>
      </w:r>
      <w:r w:rsidR="00B425BC">
        <w:rPr>
          <w:rFonts w:cs="Arial"/>
          <w:color w:val="000000"/>
        </w:rPr>
        <w:t xml:space="preserve">Centros de Reclusión, la inversión se dirige de manera prioritaria a la </w:t>
      </w:r>
      <w:r w:rsidR="003C342B">
        <w:rPr>
          <w:rFonts w:cs="Arial"/>
          <w:color w:val="000000"/>
        </w:rPr>
        <w:t xml:space="preserve">alimentación para las personas detenidas. Y, por último, en </w:t>
      </w:r>
      <w:r w:rsidR="008558F8">
        <w:rPr>
          <w:rFonts w:cs="Arial"/>
          <w:color w:val="000000"/>
        </w:rPr>
        <w:t xml:space="preserve">el sector de </w:t>
      </w:r>
      <w:r w:rsidR="003C342B">
        <w:rPr>
          <w:rFonts w:cs="Arial"/>
          <w:color w:val="000000"/>
        </w:rPr>
        <w:t>Fortalecimiento Institucional</w:t>
      </w:r>
      <w:r w:rsidR="00620098">
        <w:rPr>
          <w:rFonts w:cs="Arial"/>
          <w:color w:val="000000"/>
        </w:rPr>
        <w:t>, los gastos se relacionan con los “</w:t>
      </w:r>
      <w:r w:rsidR="00620098" w:rsidRPr="00620098">
        <w:rPr>
          <w:rFonts w:cs="Arial"/>
          <w:i/>
          <w:iCs/>
          <w:color w:val="000000"/>
        </w:rPr>
        <w:t>procesos integrales de evaluación institucional y reorganización administrativa”</w:t>
      </w:r>
      <w:r w:rsidR="00620098">
        <w:rPr>
          <w:rFonts w:cs="Arial"/>
          <w:color w:val="000000"/>
        </w:rPr>
        <w:t xml:space="preserve"> y la </w:t>
      </w:r>
      <w:r w:rsidR="00620098" w:rsidRPr="00620098">
        <w:rPr>
          <w:rFonts w:cs="Arial"/>
          <w:i/>
          <w:iCs/>
          <w:color w:val="000000"/>
        </w:rPr>
        <w:t>“elaboración y actualización del plan de desarrollo</w:t>
      </w:r>
      <w:r w:rsidR="001D7D74">
        <w:rPr>
          <w:rFonts w:cs="Arial"/>
          <w:i/>
          <w:iCs/>
          <w:color w:val="000000"/>
        </w:rPr>
        <w:t>”.</w:t>
      </w:r>
    </w:p>
    <w:p w14:paraId="66D4C792" w14:textId="77777777" w:rsidR="008558F8" w:rsidRPr="005F524D" w:rsidRDefault="008558F8">
      <w:pPr>
        <w:spacing w:line="240" w:lineRule="auto"/>
        <w:contextualSpacing/>
        <w:jc w:val="both"/>
        <w:rPr>
          <w:b/>
          <w:bCs/>
        </w:rPr>
      </w:pPr>
    </w:p>
    <w:p w14:paraId="0BF913AB" w14:textId="77777777" w:rsidR="005579DE" w:rsidRPr="00FB27C3" w:rsidRDefault="005F524D">
      <w:pPr>
        <w:pStyle w:val="Prrafodelista"/>
        <w:numPr>
          <w:ilvl w:val="1"/>
          <w:numId w:val="4"/>
        </w:numPr>
        <w:spacing w:line="240" w:lineRule="auto"/>
        <w:rPr>
          <w:b/>
          <w:bCs/>
        </w:rPr>
      </w:pPr>
      <w:r w:rsidRPr="00FB27C3">
        <w:rPr>
          <w:b/>
          <w:bCs/>
        </w:rPr>
        <w:t>CIERRE FISCAL</w:t>
      </w:r>
      <w:r w:rsidR="008558F8">
        <w:rPr>
          <w:b/>
          <w:bCs/>
        </w:rPr>
        <w:t>.</w:t>
      </w:r>
    </w:p>
    <w:p w14:paraId="6D74429D" w14:textId="77777777" w:rsidR="008558F8" w:rsidRDefault="008558F8">
      <w:pPr>
        <w:spacing w:line="240" w:lineRule="auto"/>
        <w:contextualSpacing/>
        <w:jc w:val="both"/>
      </w:pPr>
    </w:p>
    <w:p w14:paraId="202C636B" w14:textId="77777777" w:rsidR="00055868" w:rsidRDefault="00BE6A40">
      <w:pPr>
        <w:spacing w:line="240" w:lineRule="auto"/>
        <w:contextualSpacing/>
        <w:jc w:val="both"/>
      </w:pPr>
      <w:r>
        <w:t xml:space="preserve">Al realizar el ejercicio de cálculos de </w:t>
      </w:r>
      <w:r w:rsidR="003F7F51">
        <w:t>c</w:t>
      </w:r>
      <w:r>
        <w:t xml:space="preserve">ierre </w:t>
      </w:r>
      <w:r w:rsidR="003F7F51">
        <w:t>f</w:t>
      </w:r>
      <w:r>
        <w:t xml:space="preserve">iscal con la información suministrada por el </w:t>
      </w:r>
      <w:r w:rsidR="003F7F51">
        <w:t>M</w:t>
      </w:r>
      <w:r>
        <w:t>unicipio de Puerto Leguízamo – Putumayo, esta Dirección</w:t>
      </w:r>
      <w:r w:rsidR="00114825">
        <w:t xml:space="preserve"> encontró que</w:t>
      </w:r>
      <w:r w:rsidR="00A017CD">
        <w:t>,</w:t>
      </w:r>
      <w:r w:rsidR="00114825">
        <w:t xml:space="preserve"> en la</w:t>
      </w:r>
      <w:r w:rsidR="003F76D7">
        <w:t>s</w:t>
      </w:r>
      <w:r w:rsidR="00114825">
        <w:t xml:space="preserve"> vigencia</w:t>
      </w:r>
      <w:r w:rsidR="003F76D7">
        <w:t>s analizadas</w:t>
      </w:r>
      <w:r w:rsidR="00505B2E">
        <w:t>,</w:t>
      </w:r>
      <w:r w:rsidR="00114825">
        <w:t xml:space="preserve"> la </w:t>
      </w:r>
      <w:r w:rsidR="003F7F51">
        <w:t>E</w:t>
      </w:r>
      <w:r w:rsidR="00114825">
        <w:t xml:space="preserve">ntidad </w:t>
      </w:r>
      <w:r w:rsidR="003F7F51">
        <w:t>T</w:t>
      </w:r>
      <w:r w:rsidR="00114825">
        <w:t xml:space="preserve">erritorial </w:t>
      </w:r>
      <w:r w:rsidR="00505B2E">
        <w:t>arroja</w:t>
      </w:r>
      <w:r w:rsidR="00114825">
        <w:t xml:space="preserve"> un resultado </w:t>
      </w:r>
      <w:r w:rsidR="001119AE">
        <w:t xml:space="preserve">presupuestal </w:t>
      </w:r>
      <w:r w:rsidR="002270B5">
        <w:t>de déficit</w:t>
      </w:r>
      <w:r w:rsidR="00894B34">
        <w:t xml:space="preserve"> por </w:t>
      </w:r>
      <w:r w:rsidR="00926F37">
        <w:t>valor de</w:t>
      </w:r>
      <w:r w:rsidR="006A6684">
        <w:t xml:space="preserve"> $</w:t>
      </w:r>
      <w:r w:rsidR="006A6684" w:rsidRPr="006A6684">
        <w:t>206.114.223</w:t>
      </w:r>
      <w:r w:rsidR="006A6684">
        <w:t xml:space="preserve"> en 2019 y</w:t>
      </w:r>
      <w:r w:rsidR="009C4450">
        <w:t xml:space="preserve"> $</w:t>
      </w:r>
      <w:r w:rsidR="006A6684" w:rsidRPr="006A6684">
        <w:t>39.802.935</w:t>
      </w:r>
      <w:r w:rsidR="009C4450">
        <w:t xml:space="preserve"> en 2020</w:t>
      </w:r>
      <w:r w:rsidR="002270B5">
        <w:t xml:space="preserve">, </w:t>
      </w:r>
      <w:r w:rsidR="009C4450">
        <w:t>al registrar</w:t>
      </w:r>
      <w:r w:rsidR="002270B5">
        <w:t xml:space="preserve"> un mayor monto de compromisos </w:t>
      </w:r>
      <w:r w:rsidR="00894B34">
        <w:t xml:space="preserve">frente a los ingresos de </w:t>
      </w:r>
      <w:r w:rsidR="009C4450">
        <w:t xml:space="preserve">cada </w:t>
      </w:r>
      <w:r w:rsidR="00894B34">
        <w:t xml:space="preserve">vigencia. </w:t>
      </w:r>
      <w:r w:rsidR="00926F37">
        <w:t>Mientras, en la vigencia 2018, el ejercicio muestra un resultado presupuestal superavitario de $</w:t>
      </w:r>
      <w:r w:rsidR="00926F37" w:rsidRPr="00926F37">
        <w:t>63.007.857</w:t>
      </w:r>
      <w:r w:rsidR="00926F37">
        <w:t>.</w:t>
      </w:r>
      <w:r w:rsidR="00266A7F">
        <w:t xml:space="preserve"> Esta situación demuestra una inconsistencia en la información presupuestal, debido a que en el presupuesto de rentas y gastos de las vigencias analizadas no se hace referencia a una situación de déficit fiscal</w:t>
      </w:r>
      <w:r w:rsidR="00055868">
        <w:t xml:space="preserve">. Cabe resaltar que el Decreto 111 de 1996, </w:t>
      </w:r>
      <w:r w:rsidR="004A0C20">
        <w:t>que</w:t>
      </w:r>
      <w:r w:rsidR="00067B82">
        <w:t xml:space="preserve"> según</w:t>
      </w:r>
      <w:r w:rsidR="00067B82" w:rsidRPr="00067B82">
        <w:t xml:space="preserve"> </w:t>
      </w:r>
      <w:r w:rsidR="00067B82">
        <w:t>los artículos</w:t>
      </w:r>
      <w:r w:rsidR="00067B82" w:rsidRPr="00067B82">
        <w:t xml:space="preserve"> </w:t>
      </w:r>
      <w:r w:rsidR="00067B82">
        <w:t xml:space="preserve">104 y </w:t>
      </w:r>
      <w:r w:rsidR="00067B82" w:rsidRPr="00067B82">
        <w:t>109 las Entidades Territoriales deberán tener en cuenta para la expedición de sus normas presupuestales</w:t>
      </w:r>
      <w:r w:rsidR="00067B82">
        <w:t xml:space="preserve">, establece </w:t>
      </w:r>
      <w:r w:rsidR="00055868">
        <w:t>en su artículo 46 que:</w:t>
      </w:r>
    </w:p>
    <w:p w14:paraId="61EEC660" w14:textId="77777777" w:rsidR="003F7F51" w:rsidRDefault="003F7F51">
      <w:pPr>
        <w:spacing w:line="240" w:lineRule="auto"/>
        <w:contextualSpacing/>
        <w:jc w:val="both"/>
      </w:pPr>
    </w:p>
    <w:p w14:paraId="203D4E28" w14:textId="77777777" w:rsidR="00EE5167" w:rsidRDefault="00055868">
      <w:pPr>
        <w:spacing w:line="240" w:lineRule="auto"/>
        <w:ind w:left="709"/>
        <w:contextualSpacing/>
        <w:jc w:val="both"/>
        <w:rPr>
          <w:i/>
          <w:iCs/>
          <w:sz w:val="18"/>
          <w:szCs w:val="18"/>
        </w:rPr>
      </w:pPr>
      <w:r w:rsidRPr="00FB27C3">
        <w:rPr>
          <w:i/>
          <w:iCs/>
          <w:sz w:val="18"/>
          <w:szCs w:val="18"/>
        </w:rPr>
        <w:t>“Cuando en el ejercicio fiscal anterior a aquel en el cual se prepara el proyecto de presupuesto resultare un déficit fiscal, el Ministerio de Hacienda y Crédito Público incluirá forzosamente la partida necesaria para saldarlo. La no inclusión de esta partida será motivo para que la comisión respectiva devuelva el proyecto”.</w:t>
      </w:r>
    </w:p>
    <w:p w14:paraId="6AEC22FB" w14:textId="77777777" w:rsidR="00B6513B" w:rsidRPr="001729F6" w:rsidRDefault="00B6513B" w:rsidP="001729F6">
      <w:pPr>
        <w:spacing w:line="240" w:lineRule="auto"/>
        <w:contextualSpacing/>
        <w:jc w:val="both"/>
        <w:rPr>
          <w:iCs/>
        </w:rPr>
      </w:pPr>
    </w:p>
    <w:p w14:paraId="0006D7D8" w14:textId="77777777" w:rsidR="004C5D08" w:rsidRPr="004C5D08" w:rsidRDefault="004C5D08">
      <w:pPr>
        <w:pStyle w:val="Prrafodelista"/>
        <w:spacing w:after="0" w:line="240" w:lineRule="auto"/>
        <w:ind w:left="360"/>
        <w:jc w:val="center"/>
        <w:textAlignment w:val="baseline"/>
        <w:rPr>
          <w:rFonts w:eastAsia="Times New Roman" w:cs="Arial"/>
          <w:b/>
          <w:bCs/>
          <w:sz w:val="20"/>
          <w:szCs w:val="20"/>
          <w:lang w:val="es-CO" w:eastAsia="es-CO"/>
        </w:rPr>
      </w:pPr>
      <w:r w:rsidRPr="004C5D08">
        <w:rPr>
          <w:rFonts w:eastAsia="Times New Roman" w:cs="Arial"/>
          <w:b/>
          <w:bCs/>
          <w:sz w:val="20"/>
          <w:szCs w:val="20"/>
          <w:lang w:val="es-CO" w:eastAsia="es-CO"/>
        </w:rPr>
        <w:t xml:space="preserve">Cuadro No. </w:t>
      </w:r>
      <w:r w:rsidR="00A15913">
        <w:rPr>
          <w:rFonts w:eastAsia="Times New Roman" w:cs="Arial"/>
          <w:b/>
          <w:bCs/>
          <w:sz w:val="20"/>
          <w:szCs w:val="20"/>
          <w:lang w:val="es-CO" w:eastAsia="es-CO"/>
        </w:rPr>
        <w:t>5</w:t>
      </w:r>
    </w:p>
    <w:p w14:paraId="2193393C" w14:textId="77777777" w:rsidR="004C5D08" w:rsidRPr="004C5D08" w:rsidRDefault="004C5D08">
      <w:pPr>
        <w:pStyle w:val="Prrafodelista"/>
        <w:spacing w:after="0" w:line="240" w:lineRule="auto"/>
        <w:ind w:left="360"/>
        <w:jc w:val="center"/>
        <w:textAlignment w:val="baseline"/>
        <w:rPr>
          <w:rFonts w:eastAsia="Times New Roman" w:cs="Arial"/>
          <w:sz w:val="20"/>
          <w:szCs w:val="20"/>
          <w:lang w:val="es-CO" w:eastAsia="es-CO"/>
        </w:rPr>
      </w:pPr>
      <w:r w:rsidRPr="004C5D08">
        <w:rPr>
          <w:rFonts w:eastAsia="Times New Roman" w:cs="Arial"/>
          <w:sz w:val="20"/>
          <w:szCs w:val="20"/>
          <w:lang w:val="es-CO" w:eastAsia="es-CO"/>
        </w:rPr>
        <w:t>Cierre fiscal de la Participación de Propósito General</w:t>
      </w:r>
    </w:p>
    <w:p w14:paraId="28077C61" w14:textId="77777777" w:rsidR="004C5D08" w:rsidRDefault="004C5D08">
      <w:pPr>
        <w:spacing w:after="0" w:line="240" w:lineRule="auto"/>
        <w:contextualSpacing/>
        <w:jc w:val="center"/>
        <w:rPr>
          <w:sz w:val="20"/>
          <w:szCs w:val="20"/>
          <w:lang w:val="es-CO"/>
        </w:rPr>
      </w:pPr>
      <w:r w:rsidRPr="004C5D08">
        <w:rPr>
          <w:sz w:val="20"/>
          <w:szCs w:val="20"/>
          <w:lang w:val="es-CO"/>
        </w:rPr>
        <w:t xml:space="preserve">Municipio de Puerto Leguízamo </w:t>
      </w:r>
      <w:r w:rsidR="004F6B4F">
        <w:rPr>
          <w:sz w:val="20"/>
          <w:szCs w:val="20"/>
          <w:lang w:val="es-CO"/>
        </w:rPr>
        <w:t>–</w:t>
      </w:r>
      <w:r w:rsidRPr="004C5D08">
        <w:rPr>
          <w:sz w:val="20"/>
          <w:szCs w:val="20"/>
          <w:lang w:val="es-CO"/>
        </w:rPr>
        <w:t xml:space="preserve"> Putumayo</w:t>
      </w:r>
    </w:p>
    <w:tbl>
      <w:tblPr>
        <w:tblW w:w="7280" w:type="dxa"/>
        <w:jc w:val="center"/>
        <w:tblCellMar>
          <w:left w:w="70" w:type="dxa"/>
          <w:right w:w="70" w:type="dxa"/>
        </w:tblCellMar>
        <w:tblLook w:val="04A0" w:firstRow="1" w:lastRow="0" w:firstColumn="1" w:lastColumn="0" w:noHBand="0" w:noVBand="1"/>
      </w:tblPr>
      <w:tblGrid>
        <w:gridCol w:w="2320"/>
        <w:gridCol w:w="1540"/>
        <w:gridCol w:w="1700"/>
        <w:gridCol w:w="1720"/>
      </w:tblGrid>
      <w:tr w:rsidR="005A2296" w:rsidRPr="006D2A8C" w14:paraId="4918223D" w14:textId="77777777" w:rsidTr="00FB27C3">
        <w:trPr>
          <w:trHeight w:val="450"/>
          <w:tblHeader/>
          <w:jc w:val="center"/>
        </w:trPr>
        <w:tc>
          <w:tcPr>
            <w:tcW w:w="2320"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423B6496" w14:textId="77777777" w:rsidR="005A2296" w:rsidRPr="00FB27C3" w:rsidRDefault="005A229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CONCEPTO </w:t>
            </w:r>
          </w:p>
        </w:tc>
        <w:tc>
          <w:tcPr>
            <w:tcW w:w="1540" w:type="dxa"/>
            <w:tcBorders>
              <w:top w:val="single" w:sz="4" w:space="0" w:color="auto"/>
              <w:left w:val="nil"/>
              <w:bottom w:val="single" w:sz="4" w:space="0" w:color="auto"/>
              <w:right w:val="single" w:sz="4" w:space="0" w:color="auto"/>
            </w:tcBorders>
            <w:shd w:val="clear" w:color="000000" w:fill="666699"/>
            <w:vAlign w:val="center"/>
            <w:hideMark/>
          </w:tcPr>
          <w:p w14:paraId="7B8EB60A" w14:textId="77777777" w:rsidR="005A2296" w:rsidRPr="00FB27C3" w:rsidRDefault="005A229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2018</w:t>
            </w:r>
          </w:p>
        </w:tc>
        <w:tc>
          <w:tcPr>
            <w:tcW w:w="1700" w:type="dxa"/>
            <w:tcBorders>
              <w:top w:val="single" w:sz="4" w:space="0" w:color="auto"/>
              <w:left w:val="nil"/>
              <w:bottom w:val="single" w:sz="4" w:space="0" w:color="auto"/>
              <w:right w:val="single" w:sz="4" w:space="0" w:color="auto"/>
            </w:tcBorders>
            <w:shd w:val="clear" w:color="000000" w:fill="666699"/>
            <w:vAlign w:val="center"/>
            <w:hideMark/>
          </w:tcPr>
          <w:p w14:paraId="2CEA9EE3" w14:textId="77777777" w:rsidR="005A2296" w:rsidRPr="00FB27C3" w:rsidRDefault="005A229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2019</w:t>
            </w:r>
          </w:p>
        </w:tc>
        <w:tc>
          <w:tcPr>
            <w:tcW w:w="1720" w:type="dxa"/>
            <w:tcBorders>
              <w:top w:val="single" w:sz="4" w:space="0" w:color="auto"/>
              <w:left w:val="nil"/>
              <w:bottom w:val="single" w:sz="4" w:space="0" w:color="auto"/>
              <w:right w:val="single" w:sz="4" w:space="0" w:color="auto"/>
            </w:tcBorders>
            <w:shd w:val="clear" w:color="000000" w:fill="666699"/>
            <w:vAlign w:val="center"/>
            <w:hideMark/>
          </w:tcPr>
          <w:p w14:paraId="3FDE2AAE" w14:textId="77777777" w:rsidR="005A2296" w:rsidRPr="00FB27C3" w:rsidRDefault="005A229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2020</w:t>
            </w:r>
          </w:p>
        </w:tc>
      </w:tr>
      <w:tr w:rsidR="005A2296" w:rsidRPr="006D2A8C" w14:paraId="36D45F0A" w14:textId="77777777" w:rsidTr="005A2296">
        <w:trPr>
          <w:trHeight w:val="288"/>
          <w:jc w:val="center"/>
        </w:trPr>
        <w:tc>
          <w:tcPr>
            <w:tcW w:w="2320" w:type="dxa"/>
            <w:tcBorders>
              <w:top w:val="nil"/>
              <w:left w:val="single" w:sz="4" w:space="0" w:color="auto"/>
              <w:bottom w:val="single" w:sz="4" w:space="0" w:color="auto"/>
              <w:right w:val="single" w:sz="4" w:space="0" w:color="auto"/>
            </w:tcBorders>
            <w:shd w:val="clear" w:color="000000" w:fill="666699"/>
            <w:vAlign w:val="center"/>
            <w:hideMark/>
          </w:tcPr>
          <w:p w14:paraId="3DE64D82" w14:textId="77777777" w:rsidR="005A2296" w:rsidRPr="00FB27C3" w:rsidRDefault="005A229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TotaI Ingresos</w:t>
            </w:r>
          </w:p>
        </w:tc>
        <w:tc>
          <w:tcPr>
            <w:tcW w:w="1540" w:type="dxa"/>
            <w:tcBorders>
              <w:top w:val="nil"/>
              <w:left w:val="nil"/>
              <w:bottom w:val="single" w:sz="4" w:space="0" w:color="auto"/>
              <w:right w:val="single" w:sz="4" w:space="0" w:color="auto"/>
            </w:tcBorders>
            <w:shd w:val="clear" w:color="000000" w:fill="666699"/>
            <w:vAlign w:val="center"/>
            <w:hideMark/>
          </w:tcPr>
          <w:p w14:paraId="47385BC7"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2.880.919.704</w:t>
            </w:r>
          </w:p>
        </w:tc>
        <w:tc>
          <w:tcPr>
            <w:tcW w:w="1700" w:type="dxa"/>
            <w:tcBorders>
              <w:top w:val="nil"/>
              <w:left w:val="nil"/>
              <w:bottom w:val="single" w:sz="4" w:space="0" w:color="auto"/>
              <w:right w:val="single" w:sz="4" w:space="0" w:color="auto"/>
            </w:tcBorders>
            <w:shd w:val="clear" w:color="000000" w:fill="666699"/>
            <w:vAlign w:val="center"/>
            <w:hideMark/>
          </w:tcPr>
          <w:p w14:paraId="5825BC2E"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2.819.576.234</w:t>
            </w:r>
          </w:p>
        </w:tc>
        <w:tc>
          <w:tcPr>
            <w:tcW w:w="1720" w:type="dxa"/>
            <w:tcBorders>
              <w:top w:val="nil"/>
              <w:left w:val="nil"/>
              <w:bottom w:val="single" w:sz="4" w:space="0" w:color="auto"/>
              <w:right w:val="single" w:sz="4" w:space="0" w:color="auto"/>
            </w:tcBorders>
            <w:shd w:val="clear" w:color="000000" w:fill="666699"/>
            <w:vAlign w:val="center"/>
            <w:hideMark/>
          </w:tcPr>
          <w:p w14:paraId="3AB11737"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2.745.921.616</w:t>
            </w:r>
          </w:p>
        </w:tc>
      </w:tr>
      <w:tr w:rsidR="005A2296" w:rsidRPr="006D2A8C" w14:paraId="57A37A31" w14:textId="77777777" w:rsidTr="005A2296">
        <w:trPr>
          <w:trHeight w:val="288"/>
          <w:jc w:val="center"/>
        </w:trPr>
        <w:tc>
          <w:tcPr>
            <w:tcW w:w="2320" w:type="dxa"/>
            <w:tcBorders>
              <w:top w:val="nil"/>
              <w:left w:val="single" w:sz="4" w:space="0" w:color="auto"/>
              <w:bottom w:val="single" w:sz="4" w:space="0" w:color="auto"/>
              <w:right w:val="single" w:sz="4" w:space="0" w:color="auto"/>
            </w:tcBorders>
            <w:shd w:val="clear" w:color="000000" w:fill="666699"/>
            <w:vAlign w:val="center"/>
            <w:hideMark/>
          </w:tcPr>
          <w:p w14:paraId="0C4ED61B" w14:textId="77777777" w:rsidR="005A2296" w:rsidRPr="00FB27C3" w:rsidRDefault="005A229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Total Recaudado</w:t>
            </w:r>
          </w:p>
        </w:tc>
        <w:tc>
          <w:tcPr>
            <w:tcW w:w="1540" w:type="dxa"/>
            <w:tcBorders>
              <w:top w:val="nil"/>
              <w:left w:val="nil"/>
              <w:bottom w:val="single" w:sz="4" w:space="0" w:color="auto"/>
              <w:right w:val="single" w:sz="4" w:space="0" w:color="auto"/>
            </w:tcBorders>
            <w:shd w:val="clear" w:color="000000" w:fill="666699"/>
            <w:vAlign w:val="center"/>
            <w:hideMark/>
          </w:tcPr>
          <w:p w14:paraId="47788A9F"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2.753.934.551</w:t>
            </w:r>
          </w:p>
        </w:tc>
        <w:tc>
          <w:tcPr>
            <w:tcW w:w="1700" w:type="dxa"/>
            <w:tcBorders>
              <w:top w:val="nil"/>
              <w:left w:val="nil"/>
              <w:bottom w:val="single" w:sz="4" w:space="0" w:color="auto"/>
              <w:right w:val="single" w:sz="4" w:space="0" w:color="auto"/>
            </w:tcBorders>
            <w:shd w:val="clear" w:color="000000" w:fill="666699"/>
            <w:vAlign w:val="center"/>
            <w:hideMark/>
          </w:tcPr>
          <w:p w14:paraId="766AD42B"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2.596.624.840</w:t>
            </w:r>
          </w:p>
        </w:tc>
        <w:tc>
          <w:tcPr>
            <w:tcW w:w="1720" w:type="dxa"/>
            <w:tcBorders>
              <w:top w:val="nil"/>
              <w:left w:val="nil"/>
              <w:bottom w:val="single" w:sz="4" w:space="0" w:color="auto"/>
              <w:right w:val="single" w:sz="4" w:space="0" w:color="auto"/>
            </w:tcBorders>
            <w:shd w:val="clear" w:color="000000" w:fill="666699"/>
            <w:vAlign w:val="center"/>
            <w:hideMark/>
          </w:tcPr>
          <w:p w14:paraId="7B5A70BA"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2.592.212.781</w:t>
            </w:r>
          </w:p>
        </w:tc>
      </w:tr>
      <w:tr w:rsidR="005A2296" w:rsidRPr="006D2A8C" w14:paraId="58CF72E5" w14:textId="77777777" w:rsidTr="005A2296">
        <w:trPr>
          <w:trHeight w:val="480"/>
          <w:jc w:val="center"/>
        </w:trPr>
        <w:tc>
          <w:tcPr>
            <w:tcW w:w="2320" w:type="dxa"/>
            <w:tcBorders>
              <w:top w:val="nil"/>
              <w:left w:val="single" w:sz="4" w:space="0" w:color="auto"/>
              <w:bottom w:val="single" w:sz="4" w:space="0" w:color="auto"/>
              <w:right w:val="single" w:sz="4" w:space="0" w:color="auto"/>
            </w:tcBorders>
            <w:shd w:val="clear" w:color="000000" w:fill="666699"/>
            <w:vAlign w:val="center"/>
            <w:hideMark/>
          </w:tcPr>
          <w:p w14:paraId="359395EC" w14:textId="77777777" w:rsidR="006D2A8C" w:rsidRDefault="005A229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Documento</w:t>
            </w:r>
          </w:p>
          <w:p w14:paraId="79EB5CB1" w14:textId="77777777" w:rsidR="005A2296" w:rsidRPr="00FB27C3" w:rsidRDefault="005A229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 Distribución (A)</w:t>
            </w:r>
          </w:p>
        </w:tc>
        <w:tc>
          <w:tcPr>
            <w:tcW w:w="1540" w:type="dxa"/>
            <w:tcBorders>
              <w:top w:val="nil"/>
              <w:left w:val="nil"/>
              <w:bottom w:val="single" w:sz="4" w:space="0" w:color="auto"/>
              <w:right w:val="single" w:sz="4" w:space="0" w:color="auto"/>
            </w:tcBorders>
            <w:shd w:val="clear" w:color="000000" w:fill="666699"/>
            <w:vAlign w:val="center"/>
            <w:hideMark/>
          </w:tcPr>
          <w:p w14:paraId="554FE9F6"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2.454.254.907</w:t>
            </w:r>
          </w:p>
        </w:tc>
        <w:tc>
          <w:tcPr>
            <w:tcW w:w="1700" w:type="dxa"/>
            <w:tcBorders>
              <w:top w:val="nil"/>
              <w:left w:val="nil"/>
              <w:bottom w:val="single" w:sz="4" w:space="0" w:color="auto"/>
              <w:right w:val="single" w:sz="4" w:space="0" w:color="auto"/>
            </w:tcBorders>
            <w:shd w:val="clear" w:color="000000" w:fill="666699"/>
            <w:vAlign w:val="center"/>
            <w:hideMark/>
          </w:tcPr>
          <w:p w14:paraId="75CF5F5A"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2.665.867.399</w:t>
            </w:r>
          </w:p>
        </w:tc>
        <w:tc>
          <w:tcPr>
            <w:tcW w:w="1720" w:type="dxa"/>
            <w:tcBorders>
              <w:top w:val="nil"/>
              <w:left w:val="nil"/>
              <w:bottom w:val="single" w:sz="4" w:space="0" w:color="auto"/>
              <w:right w:val="single" w:sz="4" w:space="0" w:color="auto"/>
            </w:tcBorders>
            <w:shd w:val="clear" w:color="000000" w:fill="666699"/>
            <w:vAlign w:val="center"/>
            <w:hideMark/>
          </w:tcPr>
          <w:p w14:paraId="2F89E97F"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2.592.212.781</w:t>
            </w:r>
          </w:p>
        </w:tc>
      </w:tr>
      <w:tr w:rsidR="005A2296" w:rsidRPr="006D2A8C" w14:paraId="73EB2D6A" w14:textId="77777777" w:rsidTr="005A2296">
        <w:trPr>
          <w:trHeight w:val="480"/>
          <w:jc w:val="center"/>
        </w:trPr>
        <w:tc>
          <w:tcPr>
            <w:tcW w:w="2320" w:type="dxa"/>
            <w:tcBorders>
              <w:top w:val="nil"/>
              <w:left w:val="single" w:sz="4" w:space="0" w:color="auto"/>
              <w:bottom w:val="single" w:sz="4" w:space="0" w:color="auto"/>
              <w:right w:val="single" w:sz="4" w:space="0" w:color="auto"/>
            </w:tcBorders>
            <w:shd w:val="clear" w:color="000000" w:fill="666699"/>
            <w:vAlign w:val="center"/>
            <w:hideMark/>
          </w:tcPr>
          <w:p w14:paraId="29779927" w14:textId="77777777" w:rsidR="006D2A8C" w:rsidRDefault="005A229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Ingresos Corrientes</w:t>
            </w:r>
          </w:p>
          <w:p w14:paraId="6C3B3E76" w14:textId="77777777" w:rsidR="005A2296" w:rsidRPr="00FB27C3" w:rsidRDefault="005A229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(B)</w:t>
            </w:r>
          </w:p>
        </w:tc>
        <w:tc>
          <w:tcPr>
            <w:tcW w:w="1540" w:type="dxa"/>
            <w:tcBorders>
              <w:top w:val="nil"/>
              <w:left w:val="nil"/>
              <w:bottom w:val="single" w:sz="4" w:space="0" w:color="auto"/>
              <w:right w:val="single" w:sz="4" w:space="0" w:color="auto"/>
            </w:tcBorders>
            <w:shd w:val="clear" w:color="000000" w:fill="666699"/>
            <w:vAlign w:val="center"/>
            <w:hideMark/>
          </w:tcPr>
          <w:p w14:paraId="37D83824"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2.581.239.656</w:t>
            </w:r>
          </w:p>
        </w:tc>
        <w:tc>
          <w:tcPr>
            <w:tcW w:w="1700" w:type="dxa"/>
            <w:tcBorders>
              <w:top w:val="nil"/>
              <w:left w:val="nil"/>
              <w:bottom w:val="single" w:sz="4" w:space="0" w:color="auto"/>
              <w:right w:val="single" w:sz="4" w:space="0" w:color="auto"/>
            </w:tcBorders>
            <w:shd w:val="clear" w:color="000000" w:fill="666699"/>
            <w:vAlign w:val="center"/>
            <w:hideMark/>
          </w:tcPr>
          <w:p w14:paraId="7CEE9FE8"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2.665.867.399</w:t>
            </w:r>
          </w:p>
        </w:tc>
        <w:tc>
          <w:tcPr>
            <w:tcW w:w="1720" w:type="dxa"/>
            <w:tcBorders>
              <w:top w:val="nil"/>
              <w:left w:val="nil"/>
              <w:bottom w:val="single" w:sz="4" w:space="0" w:color="auto"/>
              <w:right w:val="single" w:sz="4" w:space="0" w:color="auto"/>
            </w:tcBorders>
            <w:shd w:val="clear" w:color="000000" w:fill="666699"/>
            <w:vAlign w:val="center"/>
            <w:hideMark/>
          </w:tcPr>
          <w:p w14:paraId="69797786"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2.592.212.781</w:t>
            </w:r>
          </w:p>
        </w:tc>
      </w:tr>
      <w:tr w:rsidR="005A2296" w:rsidRPr="006D2A8C" w14:paraId="07A790A9" w14:textId="77777777" w:rsidTr="005A2296">
        <w:trPr>
          <w:trHeight w:val="480"/>
          <w:jc w:val="center"/>
        </w:trPr>
        <w:tc>
          <w:tcPr>
            <w:tcW w:w="2320" w:type="dxa"/>
            <w:tcBorders>
              <w:top w:val="nil"/>
              <w:left w:val="single" w:sz="4" w:space="0" w:color="auto"/>
              <w:bottom w:val="single" w:sz="4" w:space="0" w:color="auto"/>
              <w:right w:val="single" w:sz="4" w:space="0" w:color="auto"/>
            </w:tcBorders>
            <w:shd w:val="clear" w:color="000000" w:fill="CCCCFF"/>
            <w:vAlign w:val="center"/>
            <w:hideMark/>
          </w:tcPr>
          <w:p w14:paraId="203A1E44" w14:textId="77777777" w:rsidR="006D2A8C"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Recaudo Efectivo</w:t>
            </w:r>
          </w:p>
          <w:p w14:paraId="70A7D9C3" w14:textId="77777777" w:rsidR="005A2296" w:rsidRPr="00FB27C3" w:rsidRDefault="005A229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de Ingresos Corrientes</w:t>
            </w:r>
          </w:p>
        </w:tc>
        <w:tc>
          <w:tcPr>
            <w:tcW w:w="1540" w:type="dxa"/>
            <w:tcBorders>
              <w:top w:val="nil"/>
              <w:left w:val="nil"/>
              <w:bottom w:val="single" w:sz="4" w:space="0" w:color="auto"/>
              <w:right w:val="single" w:sz="4" w:space="0" w:color="auto"/>
            </w:tcBorders>
            <w:shd w:val="clear" w:color="auto" w:fill="auto"/>
            <w:noWrap/>
            <w:vAlign w:val="center"/>
            <w:hideMark/>
          </w:tcPr>
          <w:p w14:paraId="7259FD7B" w14:textId="77777777" w:rsidR="005A2296" w:rsidRPr="00FB27C3" w:rsidRDefault="005A229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2.454.254.503</w:t>
            </w:r>
          </w:p>
        </w:tc>
        <w:tc>
          <w:tcPr>
            <w:tcW w:w="1700" w:type="dxa"/>
            <w:tcBorders>
              <w:top w:val="nil"/>
              <w:left w:val="nil"/>
              <w:bottom w:val="single" w:sz="4" w:space="0" w:color="auto"/>
              <w:right w:val="single" w:sz="4" w:space="0" w:color="auto"/>
            </w:tcBorders>
            <w:shd w:val="clear" w:color="auto" w:fill="auto"/>
            <w:noWrap/>
            <w:vAlign w:val="center"/>
            <w:hideMark/>
          </w:tcPr>
          <w:p w14:paraId="015E4A67" w14:textId="77777777" w:rsidR="005A2296" w:rsidRPr="00FB27C3" w:rsidRDefault="005A229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2.442.916.006</w:t>
            </w:r>
          </w:p>
        </w:tc>
        <w:tc>
          <w:tcPr>
            <w:tcW w:w="1720" w:type="dxa"/>
            <w:tcBorders>
              <w:top w:val="nil"/>
              <w:left w:val="nil"/>
              <w:bottom w:val="single" w:sz="4" w:space="0" w:color="auto"/>
              <w:right w:val="single" w:sz="4" w:space="0" w:color="auto"/>
            </w:tcBorders>
            <w:shd w:val="clear" w:color="auto" w:fill="auto"/>
            <w:noWrap/>
            <w:vAlign w:val="center"/>
            <w:hideMark/>
          </w:tcPr>
          <w:p w14:paraId="1959087E" w14:textId="77777777" w:rsidR="005A2296" w:rsidRPr="00FB27C3" w:rsidRDefault="005A229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2.592.212.781</w:t>
            </w:r>
          </w:p>
        </w:tc>
      </w:tr>
      <w:tr w:rsidR="005A2296" w:rsidRPr="006D2A8C" w14:paraId="40DBA1B0" w14:textId="77777777" w:rsidTr="005A2296">
        <w:trPr>
          <w:trHeight w:val="480"/>
          <w:jc w:val="center"/>
        </w:trPr>
        <w:tc>
          <w:tcPr>
            <w:tcW w:w="2320" w:type="dxa"/>
            <w:tcBorders>
              <w:top w:val="nil"/>
              <w:left w:val="single" w:sz="4" w:space="0" w:color="auto"/>
              <w:bottom w:val="single" w:sz="4" w:space="0" w:color="auto"/>
              <w:right w:val="single" w:sz="4" w:space="0" w:color="auto"/>
            </w:tcBorders>
            <w:shd w:val="clear" w:color="000000" w:fill="E5E5FF"/>
            <w:vAlign w:val="center"/>
            <w:hideMark/>
          </w:tcPr>
          <w:p w14:paraId="42655BEE" w14:textId="77777777" w:rsidR="006D2A8C"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Diferencia</w:t>
            </w:r>
          </w:p>
          <w:p w14:paraId="458481F4" w14:textId="77777777" w:rsidR="005A2296" w:rsidRPr="00FB27C3" w:rsidRDefault="005A229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 = B-A)</w:t>
            </w:r>
          </w:p>
        </w:tc>
        <w:tc>
          <w:tcPr>
            <w:tcW w:w="1540" w:type="dxa"/>
            <w:tcBorders>
              <w:top w:val="nil"/>
              <w:left w:val="nil"/>
              <w:bottom w:val="single" w:sz="4" w:space="0" w:color="auto"/>
              <w:right w:val="single" w:sz="4" w:space="0" w:color="auto"/>
            </w:tcBorders>
            <w:shd w:val="clear" w:color="auto" w:fill="auto"/>
            <w:noWrap/>
            <w:vAlign w:val="center"/>
            <w:hideMark/>
          </w:tcPr>
          <w:p w14:paraId="077A508D" w14:textId="77777777" w:rsidR="005A2296" w:rsidRPr="00FB27C3" w:rsidRDefault="005A229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126.984.749</w:t>
            </w:r>
          </w:p>
        </w:tc>
        <w:tc>
          <w:tcPr>
            <w:tcW w:w="1700" w:type="dxa"/>
            <w:tcBorders>
              <w:top w:val="nil"/>
              <w:left w:val="nil"/>
              <w:bottom w:val="single" w:sz="4" w:space="0" w:color="auto"/>
              <w:right w:val="single" w:sz="4" w:space="0" w:color="auto"/>
            </w:tcBorders>
            <w:shd w:val="clear" w:color="auto" w:fill="auto"/>
            <w:noWrap/>
            <w:vAlign w:val="center"/>
            <w:hideMark/>
          </w:tcPr>
          <w:p w14:paraId="7A70DBB4" w14:textId="77777777" w:rsidR="005A2296" w:rsidRPr="00FB27C3" w:rsidRDefault="005A229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0</w:t>
            </w:r>
          </w:p>
        </w:tc>
        <w:tc>
          <w:tcPr>
            <w:tcW w:w="1720" w:type="dxa"/>
            <w:tcBorders>
              <w:top w:val="nil"/>
              <w:left w:val="nil"/>
              <w:bottom w:val="single" w:sz="4" w:space="0" w:color="auto"/>
              <w:right w:val="single" w:sz="4" w:space="0" w:color="auto"/>
            </w:tcBorders>
            <w:shd w:val="clear" w:color="auto" w:fill="auto"/>
            <w:noWrap/>
            <w:vAlign w:val="center"/>
            <w:hideMark/>
          </w:tcPr>
          <w:p w14:paraId="56A98838" w14:textId="77777777" w:rsidR="005A2296" w:rsidRPr="00FB27C3" w:rsidRDefault="005A229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0</w:t>
            </w:r>
          </w:p>
        </w:tc>
      </w:tr>
      <w:tr w:rsidR="005A2296" w:rsidRPr="006D2A8C" w14:paraId="21B9A422" w14:textId="77777777" w:rsidTr="005A2296">
        <w:trPr>
          <w:trHeight w:val="288"/>
          <w:jc w:val="center"/>
        </w:trPr>
        <w:tc>
          <w:tcPr>
            <w:tcW w:w="2320" w:type="dxa"/>
            <w:tcBorders>
              <w:top w:val="nil"/>
              <w:left w:val="single" w:sz="4" w:space="0" w:color="auto"/>
              <w:bottom w:val="single" w:sz="4" w:space="0" w:color="auto"/>
              <w:right w:val="single" w:sz="4" w:space="0" w:color="auto"/>
            </w:tcBorders>
            <w:shd w:val="clear" w:color="000000" w:fill="666699"/>
            <w:vAlign w:val="center"/>
            <w:hideMark/>
          </w:tcPr>
          <w:p w14:paraId="44D6B281" w14:textId="77777777" w:rsidR="005A2296" w:rsidRPr="00FB27C3" w:rsidRDefault="005A229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Recursos del Capital</w:t>
            </w:r>
          </w:p>
        </w:tc>
        <w:tc>
          <w:tcPr>
            <w:tcW w:w="1540" w:type="dxa"/>
            <w:tcBorders>
              <w:top w:val="nil"/>
              <w:left w:val="nil"/>
              <w:bottom w:val="single" w:sz="4" w:space="0" w:color="auto"/>
              <w:right w:val="single" w:sz="4" w:space="0" w:color="auto"/>
            </w:tcBorders>
            <w:shd w:val="clear" w:color="000000" w:fill="666699"/>
            <w:vAlign w:val="center"/>
            <w:hideMark/>
          </w:tcPr>
          <w:p w14:paraId="7B8AE955"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299.680.048</w:t>
            </w:r>
          </w:p>
        </w:tc>
        <w:tc>
          <w:tcPr>
            <w:tcW w:w="1700" w:type="dxa"/>
            <w:tcBorders>
              <w:top w:val="nil"/>
              <w:left w:val="nil"/>
              <w:bottom w:val="single" w:sz="4" w:space="0" w:color="auto"/>
              <w:right w:val="single" w:sz="4" w:space="0" w:color="auto"/>
            </w:tcBorders>
            <w:shd w:val="clear" w:color="000000" w:fill="666699"/>
            <w:vAlign w:val="center"/>
            <w:hideMark/>
          </w:tcPr>
          <w:p w14:paraId="1B26665B"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153.708.835</w:t>
            </w:r>
          </w:p>
        </w:tc>
        <w:tc>
          <w:tcPr>
            <w:tcW w:w="1720" w:type="dxa"/>
            <w:tcBorders>
              <w:top w:val="nil"/>
              <w:left w:val="nil"/>
              <w:bottom w:val="single" w:sz="4" w:space="0" w:color="auto"/>
              <w:right w:val="single" w:sz="4" w:space="0" w:color="auto"/>
            </w:tcBorders>
            <w:shd w:val="clear" w:color="000000" w:fill="666699"/>
            <w:vAlign w:val="center"/>
            <w:hideMark/>
          </w:tcPr>
          <w:p w14:paraId="2B3169EE"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153.708.835</w:t>
            </w:r>
          </w:p>
        </w:tc>
      </w:tr>
      <w:tr w:rsidR="005A2296" w:rsidRPr="006D2A8C" w14:paraId="6332BFFF" w14:textId="77777777" w:rsidTr="005A2296">
        <w:trPr>
          <w:trHeight w:val="480"/>
          <w:jc w:val="center"/>
        </w:trPr>
        <w:tc>
          <w:tcPr>
            <w:tcW w:w="2320" w:type="dxa"/>
            <w:tcBorders>
              <w:top w:val="nil"/>
              <w:left w:val="single" w:sz="4" w:space="0" w:color="auto"/>
              <w:bottom w:val="single" w:sz="4" w:space="0" w:color="auto"/>
              <w:right w:val="single" w:sz="4" w:space="0" w:color="auto"/>
            </w:tcBorders>
            <w:shd w:val="clear" w:color="000000" w:fill="CCCCFF"/>
            <w:vAlign w:val="center"/>
            <w:hideMark/>
          </w:tcPr>
          <w:p w14:paraId="69DA6991" w14:textId="77777777" w:rsidR="006D2A8C"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Recaudo Efectivo</w:t>
            </w:r>
          </w:p>
          <w:p w14:paraId="7B10C8DF" w14:textId="77777777" w:rsidR="005A2296" w:rsidRPr="00FB27C3" w:rsidRDefault="005A229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de Ingresos de Capital.</w:t>
            </w:r>
          </w:p>
        </w:tc>
        <w:tc>
          <w:tcPr>
            <w:tcW w:w="1540" w:type="dxa"/>
            <w:tcBorders>
              <w:top w:val="nil"/>
              <w:left w:val="nil"/>
              <w:bottom w:val="single" w:sz="4" w:space="0" w:color="auto"/>
              <w:right w:val="single" w:sz="4" w:space="0" w:color="auto"/>
            </w:tcBorders>
            <w:shd w:val="clear" w:color="auto" w:fill="auto"/>
            <w:noWrap/>
            <w:vAlign w:val="center"/>
            <w:hideMark/>
          </w:tcPr>
          <w:p w14:paraId="4DF7141D"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299.680.048</w:t>
            </w:r>
          </w:p>
        </w:tc>
        <w:tc>
          <w:tcPr>
            <w:tcW w:w="1700" w:type="dxa"/>
            <w:tcBorders>
              <w:top w:val="nil"/>
              <w:left w:val="nil"/>
              <w:bottom w:val="single" w:sz="4" w:space="0" w:color="auto"/>
              <w:right w:val="single" w:sz="4" w:space="0" w:color="auto"/>
            </w:tcBorders>
            <w:shd w:val="clear" w:color="auto" w:fill="auto"/>
            <w:noWrap/>
            <w:vAlign w:val="center"/>
            <w:hideMark/>
          </w:tcPr>
          <w:p w14:paraId="1ACB752E"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153.708.835</w:t>
            </w:r>
          </w:p>
        </w:tc>
        <w:tc>
          <w:tcPr>
            <w:tcW w:w="1720" w:type="dxa"/>
            <w:tcBorders>
              <w:top w:val="nil"/>
              <w:left w:val="nil"/>
              <w:bottom w:val="single" w:sz="4" w:space="0" w:color="auto"/>
              <w:right w:val="single" w:sz="4" w:space="0" w:color="auto"/>
            </w:tcBorders>
            <w:shd w:val="clear" w:color="auto" w:fill="auto"/>
            <w:noWrap/>
            <w:vAlign w:val="center"/>
            <w:hideMark/>
          </w:tcPr>
          <w:p w14:paraId="0A5B149F"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0</w:t>
            </w:r>
          </w:p>
        </w:tc>
      </w:tr>
      <w:tr w:rsidR="005A2296" w:rsidRPr="006D2A8C" w14:paraId="35337441" w14:textId="77777777" w:rsidTr="005A2296">
        <w:trPr>
          <w:trHeight w:val="585"/>
          <w:jc w:val="center"/>
        </w:trPr>
        <w:tc>
          <w:tcPr>
            <w:tcW w:w="2320" w:type="dxa"/>
            <w:tcBorders>
              <w:top w:val="nil"/>
              <w:left w:val="single" w:sz="4" w:space="0" w:color="auto"/>
              <w:bottom w:val="single" w:sz="4" w:space="0" w:color="auto"/>
              <w:right w:val="single" w:sz="4" w:space="0" w:color="auto"/>
            </w:tcBorders>
            <w:shd w:val="clear" w:color="000000" w:fill="666699"/>
            <w:vAlign w:val="center"/>
            <w:hideMark/>
          </w:tcPr>
          <w:p w14:paraId="2CFC883B" w14:textId="77777777" w:rsidR="005A2296" w:rsidRPr="00FB27C3" w:rsidRDefault="005A229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Total Gastos Apropiados</w:t>
            </w:r>
          </w:p>
        </w:tc>
        <w:tc>
          <w:tcPr>
            <w:tcW w:w="1540" w:type="dxa"/>
            <w:tcBorders>
              <w:top w:val="nil"/>
              <w:left w:val="nil"/>
              <w:bottom w:val="single" w:sz="4" w:space="0" w:color="auto"/>
              <w:right w:val="single" w:sz="4" w:space="0" w:color="auto"/>
            </w:tcBorders>
            <w:shd w:val="clear" w:color="000000" w:fill="666699"/>
            <w:vAlign w:val="center"/>
            <w:hideMark/>
          </w:tcPr>
          <w:p w14:paraId="6F031D2B"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2.967.936.962</w:t>
            </w:r>
          </w:p>
        </w:tc>
        <w:tc>
          <w:tcPr>
            <w:tcW w:w="1700" w:type="dxa"/>
            <w:tcBorders>
              <w:top w:val="nil"/>
              <w:left w:val="nil"/>
              <w:bottom w:val="single" w:sz="4" w:space="0" w:color="auto"/>
              <w:right w:val="single" w:sz="4" w:space="0" w:color="auto"/>
            </w:tcBorders>
            <w:shd w:val="clear" w:color="000000" w:fill="666699"/>
            <w:vAlign w:val="center"/>
            <w:hideMark/>
          </w:tcPr>
          <w:p w14:paraId="6582DD60"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2.819.576.234</w:t>
            </w:r>
          </w:p>
        </w:tc>
        <w:tc>
          <w:tcPr>
            <w:tcW w:w="1720" w:type="dxa"/>
            <w:tcBorders>
              <w:top w:val="nil"/>
              <w:left w:val="nil"/>
              <w:bottom w:val="single" w:sz="4" w:space="0" w:color="auto"/>
              <w:right w:val="single" w:sz="4" w:space="0" w:color="auto"/>
            </w:tcBorders>
            <w:shd w:val="clear" w:color="000000" w:fill="666699"/>
            <w:vAlign w:val="center"/>
            <w:hideMark/>
          </w:tcPr>
          <w:p w14:paraId="6873954C"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2.746.706.137</w:t>
            </w:r>
          </w:p>
        </w:tc>
      </w:tr>
      <w:tr w:rsidR="005A2296" w:rsidRPr="006D2A8C" w14:paraId="08AEE766" w14:textId="77777777" w:rsidTr="005A2296">
        <w:trPr>
          <w:trHeight w:val="288"/>
          <w:jc w:val="center"/>
        </w:trPr>
        <w:tc>
          <w:tcPr>
            <w:tcW w:w="2320" w:type="dxa"/>
            <w:tcBorders>
              <w:top w:val="nil"/>
              <w:left w:val="single" w:sz="4" w:space="0" w:color="auto"/>
              <w:bottom w:val="single" w:sz="4" w:space="0" w:color="auto"/>
              <w:right w:val="single" w:sz="4" w:space="0" w:color="auto"/>
            </w:tcBorders>
            <w:shd w:val="clear" w:color="000000" w:fill="CCCCFF"/>
            <w:vAlign w:val="center"/>
            <w:hideMark/>
          </w:tcPr>
          <w:p w14:paraId="11FFADD2" w14:textId="77777777" w:rsidR="005A2296" w:rsidRPr="00FB27C3"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Comprometido</w:t>
            </w:r>
          </w:p>
        </w:tc>
        <w:tc>
          <w:tcPr>
            <w:tcW w:w="1540" w:type="dxa"/>
            <w:tcBorders>
              <w:top w:val="nil"/>
              <w:left w:val="nil"/>
              <w:bottom w:val="single" w:sz="4" w:space="0" w:color="auto"/>
              <w:right w:val="single" w:sz="4" w:space="0" w:color="auto"/>
            </w:tcBorders>
            <w:shd w:val="clear" w:color="auto" w:fill="auto"/>
            <w:noWrap/>
            <w:vAlign w:val="center"/>
            <w:hideMark/>
          </w:tcPr>
          <w:p w14:paraId="18BBFA5A"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2.690.926.693</w:t>
            </w:r>
          </w:p>
        </w:tc>
        <w:tc>
          <w:tcPr>
            <w:tcW w:w="1700" w:type="dxa"/>
            <w:tcBorders>
              <w:top w:val="nil"/>
              <w:left w:val="nil"/>
              <w:bottom w:val="single" w:sz="4" w:space="0" w:color="auto"/>
              <w:right w:val="single" w:sz="4" w:space="0" w:color="auto"/>
            </w:tcBorders>
            <w:shd w:val="clear" w:color="auto" w:fill="auto"/>
            <w:noWrap/>
            <w:vAlign w:val="center"/>
            <w:hideMark/>
          </w:tcPr>
          <w:p w14:paraId="7E8016D9"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2.802.739.063</w:t>
            </w:r>
          </w:p>
        </w:tc>
        <w:tc>
          <w:tcPr>
            <w:tcW w:w="1720" w:type="dxa"/>
            <w:tcBorders>
              <w:top w:val="nil"/>
              <w:left w:val="nil"/>
              <w:bottom w:val="single" w:sz="4" w:space="0" w:color="auto"/>
              <w:right w:val="single" w:sz="4" w:space="0" w:color="auto"/>
            </w:tcBorders>
            <w:shd w:val="clear" w:color="auto" w:fill="auto"/>
            <w:noWrap/>
            <w:vAlign w:val="center"/>
            <w:hideMark/>
          </w:tcPr>
          <w:p w14:paraId="12F97FF7"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2.632.015.716</w:t>
            </w:r>
          </w:p>
        </w:tc>
      </w:tr>
      <w:tr w:rsidR="005A2296" w:rsidRPr="006D2A8C" w14:paraId="5ACEE39A" w14:textId="77777777" w:rsidTr="005A2296">
        <w:trPr>
          <w:trHeight w:val="540"/>
          <w:jc w:val="center"/>
        </w:trPr>
        <w:tc>
          <w:tcPr>
            <w:tcW w:w="2320" w:type="dxa"/>
            <w:tcBorders>
              <w:top w:val="nil"/>
              <w:left w:val="single" w:sz="4" w:space="0" w:color="auto"/>
              <w:bottom w:val="single" w:sz="4" w:space="0" w:color="auto"/>
              <w:right w:val="single" w:sz="4" w:space="0" w:color="auto"/>
            </w:tcBorders>
            <w:shd w:val="clear" w:color="000000" w:fill="CCCCFF"/>
            <w:vAlign w:val="center"/>
            <w:hideMark/>
          </w:tcPr>
          <w:p w14:paraId="38EFDE2A" w14:textId="77777777" w:rsidR="005A2296" w:rsidRPr="00FB27C3"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 xml:space="preserve">Obligado </w:t>
            </w:r>
          </w:p>
        </w:tc>
        <w:tc>
          <w:tcPr>
            <w:tcW w:w="1540" w:type="dxa"/>
            <w:tcBorders>
              <w:top w:val="nil"/>
              <w:left w:val="nil"/>
              <w:bottom w:val="single" w:sz="4" w:space="0" w:color="auto"/>
              <w:right w:val="single" w:sz="4" w:space="0" w:color="auto"/>
            </w:tcBorders>
            <w:shd w:val="clear" w:color="auto" w:fill="auto"/>
            <w:noWrap/>
            <w:vAlign w:val="center"/>
            <w:hideMark/>
          </w:tcPr>
          <w:p w14:paraId="652ACE3E"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2.662.005.656</w:t>
            </w:r>
          </w:p>
        </w:tc>
        <w:tc>
          <w:tcPr>
            <w:tcW w:w="1700" w:type="dxa"/>
            <w:tcBorders>
              <w:top w:val="nil"/>
              <w:left w:val="nil"/>
              <w:bottom w:val="single" w:sz="4" w:space="0" w:color="auto"/>
              <w:right w:val="single" w:sz="4" w:space="0" w:color="auto"/>
            </w:tcBorders>
            <w:shd w:val="clear" w:color="auto" w:fill="auto"/>
            <w:noWrap/>
            <w:vAlign w:val="center"/>
            <w:hideMark/>
          </w:tcPr>
          <w:p w14:paraId="36370A53"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2.781.239.067</w:t>
            </w:r>
          </w:p>
        </w:tc>
        <w:tc>
          <w:tcPr>
            <w:tcW w:w="1720" w:type="dxa"/>
            <w:tcBorders>
              <w:top w:val="nil"/>
              <w:left w:val="nil"/>
              <w:bottom w:val="single" w:sz="4" w:space="0" w:color="auto"/>
              <w:right w:val="single" w:sz="4" w:space="0" w:color="auto"/>
            </w:tcBorders>
            <w:shd w:val="clear" w:color="auto" w:fill="auto"/>
            <w:noWrap/>
            <w:vAlign w:val="center"/>
            <w:hideMark/>
          </w:tcPr>
          <w:p w14:paraId="7893D7E8"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2.570.064.025</w:t>
            </w:r>
          </w:p>
        </w:tc>
      </w:tr>
      <w:tr w:rsidR="005A2296" w:rsidRPr="006D2A8C" w14:paraId="5881F964" w14:textId="77777777" w:rsidTr="005A2296">
        <w:trPr>
          <w:trHeight w:val="288"/>
          <w:jc w:val="center"/>
        </w:trPr>
        <w:tc>
          <w:tcPr>
            <w:tcW w:w="2320" w:type="dxa"/>
            <w:tcBorders>
              <w:top w:val="nil"/>
              <w:left w:val="single" w:sz="4" w:space="0" w:color="auto"/>
              <w:bottom w:val="single" w:sz="4" w:space="0" w:color="auto"/>
              <w:right w:val="single" w:sz="4" w:space="0" w:color="auto"/>
            </w:tcBorders>
            <w:shd w:val="clear" w:color="000000" w:fill="CCCCFF"/>
            <w:vAlign w:val="center"/>
            <w:hideMark/>
          </w:tcPr>
          <w:p w14:paraId="4DFE82C1" w14:textId="77777777" w:rsidR="005A2296" w:rsidRPr="00FB27C3"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Pagado</w:t>
            </w:r>
          </w:p>
        </w:tc>
        <w:tc>
          <w:tcPr>
            <w:tcW w:w="1540" w:type="dxa"/>
            <w:tcBorders>
              <w:top w:val="nil"/>
              <w:left w:val="nil"/>
              <w:bottom w:val="single" w:sz="4" w:space="0" w:color="auto"/>
              <w:right w:val="single" w:sz="4" w:space="0" w:color="auto"/>
            </w:tcBorders>
            <w:shd w:val="clear" w:color="auto" w:fill="auto"/>
            <w:noWrap/>
            <w:vAlign w:val="center"/>
            <w:hideMark/>
          </w:tcPr>
          <w:p w14:paraId="37EB10F6"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2.561.425.585</w:t>
            </w:r>
          </w:p>
        </w:tc>
        <w:tc>
          <w:tcPr>
            <w:tcW w:w="1700" w:type="dxa"/>
            <w:tcBorders>
              <w:top w:val="nil"/>
              <w:left w:val="nil"/>
              <w:bottom w:val="single" w:sz="4" w:space="0" w:color="auto"/>
              <w:right w:val="single" w:sz="4" w:space="0" w:color="auto"/>
            </w:tcBorders>
            <w:shd w:val="clear" w:color="auto" w:fill="auto"/>
            <w:noWrap/>
            <w:vAlign w:val="center"/>
            <w:hideMark/>
          </w:tcPr>
          <w:p w14:paraId="4FF687F4"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2.727.192.761</w:t>
            </w:r>
          </w:p>
        </w:tc>
        <w:tc>
          <w:tcPr>
            <w:tcW w:w="1720" w:type="dxa"/>
            <w:tcBorders>
              <w:top w:val="nil"/>
              <w:left w:val="nil"/>
              <w:bottom w:val="single" w:sz="4" w:space="0" w:color="auto"/>
              <w:right w:val="single" w:sz="4" w:space="0" w:color="auto"/>
            </w:tcBorders>
            <w:shd w:val="clear" w:color="auto" w:fill="auto"/>
            <w:noWrap/>
            <w:vAlign w:val="center"/>
            <w:hideMark/>
          </w:tcPr>
          <w:p w14:paraId="3FCA8CA2"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2.499.773.908</w:t>
            </w:r>
          </w:p>
        </w:tc>
      </w:tr>
      <w:tr w:rsidR="005A2296" w:rsidRPr="006D2A8C" w14:paraId="02FF60FD" w14:textId="77777777" w:rsidTr="005A2296">
        <w:trPr>
          <w:trHeight w:val="288"/>
          <w:jc w:val="center"/>
        </w:trPr>
        <w:tc>
          <w:tcPr>
            <w:tcW w:w="2320" w:type="dxa"/>
            <w:tcBorders>
              <w:top w:val="nil"/>
              <w:left w:val="single" w:sz="4" w:space="0" w:color="auto"/>
              <w:bottom w:val="single" w:sz="4" w:space="0" w:color="auto"/>
              <w:right w:val="single" w:sz="4" w:space="0" w:color="auto"/>
            </w:tcBorders>
            <w:shd w:val="clear" w:color="000000" w:fill="666699"/>
            <w:vAlign w:val="center"/>
            <w:hideMark/>
          </w:tcPr>
          <w:p w14:paraId="0D4969AB" w14:textId="77777777" w:rsidR="005A2296" w:rsidRPr="00FB27C3" w:rsidRDefault="005A229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lastRenderedPageBreak/>
              <w:t xml:space="preserve">Resultado Presupuestal </w:t>
            </w:r>
          </w:p>
        </w:tc>
        <w:tc>
          <w:tcPr>
            <w:tcW w:w="1540" w:type="dxa"/>
            <w:tcBorders>
              <w:top w:val="nil"/>
              <w:left w:val="nil"/>
              <w:bottom w:val="single" w:sz="4" w:space="0" w:color="auto"/>
              <w:right w:val="single" w:sz="4" w:space="0" w:color="auto"/>
            </w:tcBorders>
            <w:shd w:val="clear" w:color="000000" w:fill="666699"/>
            <w:vAlign w:val="center"/>
            <w:hideMark/>
          </w:tcPr>
          <w:p w14:paraId="54676DA8"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63.007.857</w:t>
            </w:r>
          </w:p>
        </w:tc>
        <w:tc>
          <w:tcPr>
            <w:tcW w:w="1700" w:type="dxa"/>
            <w:tcBorders>
              <w:top w:val="nil"/>
              <w:left w:val="nil"/>
              <w:bottom w:val="single" w:sz="4" w:space="0" w:color="auto"/>
              <w:right w:val="single" w:sz="4" w:space="0" w:color="auto"/>
            </w:tcBorders>
            <w:shd w:val="clear" w:color="000000" w:fill="666699"/>
            <w:vAlign w:val="center"/>
            <w:hideMark/>
          </w:tcPr>
          <w:p w14:paraId="1EE6AA23"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-206.114.223</w:t>
            </w:r>
          </w:p>
        </w:tc>
        <w:tc>
          <w:tcPr>
            <w:tcW w:w="1720" w:type="dxa"/>
            <w:tcBorders>
              <w:top w:val="nil"/>
              <w:left w:val="nil"/>
              <w:bottom w:val="single" w:sz="4" w:space="0" w:color="auto"/>
              <w:right w:val="single" w:sz="4" w:space="0" w:color="auto"/>
            </w:tcBorders>
            <w:shd w:val="clear" w:color="000000" w:fill="666699"/>
            <w:vAlign w:val="center"/>
            <w:hideMark/>
          </w:tcPr>
          <w:p w14:paraId="1219CDF8" w14:textId="77777777" w:rsidR="005A2296" w:rsidRPr="00FB27C3" w:rsidRDefault="005A2296">
            <w:pPr>
              <w:spacing w:after="0" w:line="240" w:lineRule="auto"/>
              <w:contextualSpacing/>
              <w:jc w:val="center"/>
              <w:rPr>
                <w:rFonts w:ascii="Arial Narrow" w:eastAsia="Times New Roman" w:hAnsi="Arial Narrow" w:cs="Calibri"/>
                <w:b/>
                <w:bCs/>
                <w:color w:val="FFFFFF"/>
                <w:sz w:val="18"/>
                <w:szCs w:val="18"/>
                <w:lang w:val="es-CO" w:eastAsia="es-CO"/>
              </w:rPr>
            </w:pPr>
            <w:r w:rsidRPr="00FB27C3">
              <w:rPr>
                <w:rFonts w:ascii="Arial Narrow" w:eastAsia="Times New Roman" w:hAnsi="Arial Narrow" w:cs="Calibri"/>
                <w:b/>
                <w:bCs/>
                <w:color w:val="FFFFFF"/>
                <w:sz w:val="18"/>
                <w:szCs w:val="18"/>
                <w:lang w:val="es-CO" w:eastAsia="es-CO"/>
              </w:rPr>
              <w:t>-39.802.935</w:t>
            </w:r>
          </w:p>
        </w:tc>
      </w:tr>
      <w:tr w:rsidR="005A2296" w:rsidRPr="006D2A8C" w14:paraId="1E85A29A" w14:textId="77777777" w:rsidTr="005A2296">
        <w:trPr>
          <w:trHeight w:val="288"/>
          <w:jc w:val="center"/>
        </w:trPr>
        <w:tc>
          <w:tcPr>
            <w:tcW w:w="2320" w:type="dxa"/>
            <w:tcBorders>
              <w:top w:val="nil"/>
              <w:left w:val="single" w:sz="4" w:space="0" w:color="auto"/>
              <w:bottom w:val="single" w:sz="4" w:space="0" w:color="auto"/>
              <w:right w:val="single" w:sz="4" w:space="0" w:color="auto"/>
            </w:tcBorders>
            <w:shd w:val="clear" w:color="000000" w:fill="CCCCFF"/>
            <w:vAlign w:val="center"/>
            <w:hideMark/>
          </w:tcPr>
          <w:p w14:paraId="1A387EBD" w14:textId="77777777" w:rsidR="005A2296" w:rsidRPr="00FB27C3"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Reservas Presupuestales</w:t>
            </w:r>
          </w:p>
        </w:tc>
        <w:tc>
          <w:tcPr>
            <w:tcW w:w="1540" w:type="dxa"/>
            <w:tcBorders>
              <w:top w:val="nil"/>
              <w:left w:val="nil"/>
              <w:bottom w:val="single" w:sz="4" w:space="0" w:color="auto"/>
              <w:right w:val="single" w:sz="4" w:space="0" w:color="auto"/>
            </w:tcBorders>
            <w:shd w:val="clear" w:color="auto" w:fill="auto"/>
            <w:noWrap/>
            <w:vAlign w:val="center"/>
            <w:hideMark/>
          </w:tcPr>
          <w:p w14:paraId="0462CE51"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28.921.038</w:t>
            </w:r>
          </w:p>
        </w:tc>
        <w:tc>
          <w:tcPr>
            <w:tcW w:w="1700" w:type="dxa"/>
            <w:tcBorders>
              <w:top w:val="nil"/>
              <w:left w:val="nil"/>
              <w:bottom w:val="single" w:sz="4" w:space="0" w:color="auto"/>
              <w:right w:val="single" w:sz="4" w:space="0" w:color="auto"/>
            </w:tcBorders>
            <w:shd w:val="clear" w:color="auto" w:fill="auto"/>
            <w:noWrap/>
            <w:vAlign w:val="center"/>
            <w:hideMark/>
          </w:tcPr>
          <w:p w14:paraId="5D919FA3"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21.499.996</w:t>
            </w:r>
          </w:p>
        </w:tc>
        <w:tc>
          <w:tcPr>
            <w:tcW w:w="1720" w:type="dxa"/>
            <w:tcBorders>
              <w:top w:val="nil"/>
              <w:left w:val="nil"/>
              <w:bottom w:val="single" w:sz="4" w:space="0" w:color="auto"/>
              <w:right w:val="single" w:sz="4" w:space="0" w:color="auto"/>
            </w:tcBorders>
            <w:shd w:val="clear" w:color="auto" w:fill="auto"/>
            <w:noWrap/>
            <w:vAlign w:val="center"/>
            <w:hideMark/>
          </w:tcPr>
          <w:p w14:paraId="36A6227B"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61.951.690</w:t>
            </w:r>
          </w:p>
        </w:tc>
      </w:tr>
      <w:tr w:rsidR="005A2296" w:rsidRPr="006D2A8C" w14:paraId="07E815F8" w14:textId="77777777" w:rsidTr="005A2296">
        <w:trPr>
          <w:trHeight w:val="288"/>
          <w:jc w:val="center"/>
        </w:trPr>
        <w:tc>
          <w:tcPr>
            <w:tcW w:w="2320" w:type="dxa"/>
            <w:tcBorders>
              <w:top w:val="nil"/>
              <w:left w:val="single" w:sz="4" w:space="0" w:color="auto"/>
              <w:bottom w:val="single" w:sz="4" w:space="0" w:color="auto"/>
              <w:right w:val="single" w:sz="4" w:space="0" w:color="auto"/>
            </w:tcBorders>
            <w:shd w:val="clear" w:color="000000" w:fill="CCCCFF"/>
            <w:vAlign w:val="center"/>
            <w:hideMark/>
          </w:tcPr>
          <w:p w14:paraId="07BBA03A" w14:textId="77777777" w:rsidR="005A2296" w:rsidRPr="00FB27C3"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Cuentas por Pagar</w:t>
            </w:r>
          </w:p>
        </w:tc>
        <w:tc>
          <w:tcPr>
            <w:tcW w:w="1540" w:type="dxa"/>
            <w:tcBorders>
              <w:top w:val="nil"/>
              <w:left w:val="nil"/>
              <w:bottom w:val="single" w:sz="4" w:space="0" w:color="auto"/>
              <w:right w:val="single" w:sz="4" w:space="0" w:color="auto"/>
            </w:tcBorders>
            <w:shd w:val="clear" w:color="auto" w:fill="auto"/>
            <w:noWrap/>
            <w:vAlign w:val="center"/>
            <w:hideMark/>
          </w:tcPr>
          <w:p w14:paraId="43FE7FFA"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100.580.071</w:t>
            </w:r>
          </w:p>
        </w:tc>
        <w:tc>
          <w:tcPr>
            <w:tcW w:w="1700" w:type="dxa"/>
            <w:tcBorders>
              <w:top w:val="nil"/>
              <w:left w:val="nil"/>
              <w:bottom w:val="single" w:sz="4" w:space="0" w:color="auto"/>
              <w:right w:val="single" w:sz="4" w:space="0" w:color="auto"/>
            </w:tcBorders>
            <w:shd w:val="clear" w:color="auto" w:fill="auto"/>
            <w:noWrap/>
            <w:vAlign w:val="center"/>
            <w:hideMark/>
          </w:tcPr>
          <w:p w14:paraId="1580686C"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54.046.306</w:t>
            </w:r>
          </w:p>
        </w:tc>
        <w:tc>
          <w:tcPr>
            <w:tcW w:w="1720" w:type="dxa"/>
            <w:tcBorders>
              <w:top w:val="nil"/>
              <w:left w:val="nil"/>
              <w:bottom w:val="single" w:sz="4" w:space="0" w:color="auto"/>
              <w:right w:val="single" w:sz="4" w:space="0" w:color="auto"/>
            </w:tcBorders>
            <w:shd w:val="clear" w:color="auto" w:fill="auto"/>
            <w:noWrap/>
            <w:vAlign w:val="center"/>
            <w:hideMark/>
          </w:tcPr>
          <w:p w14:paraId="7A32BF76"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70.290.117</w:t>
            </w:r>
          </w:p>
        </w:tc>
      </w:tr>
      <w:tr w:rsidR="005A2296" w:rsidRPr="006D2A8C" w14:paraId="0EA929F5" w14:textId="77777777" w:rsidTr="005A2296">
        <w:trPr>
          <w:trHeight w:val="480"/>
          <w:jc w:val="center"/>
        </w:trPr>
        <w:tc>
          <w:tcPr>
            <w:tcW w:w="2320" w:type="dxa"/>
            <w:tcBorders>
              <w:top w:val="nil"/>
              <w:left w:val="single" w:sz="4" w:space="0" w:color="auto"/>
              <w:bottom w:val="single" w:sz="4" w:space="0" w:color="auto"/>
              <w:right w:val="single" w:sz="4" w:space="0" w:color="auto"/>
            </w:tcBorders>
            <w:shd w:val="clear" w:color="000000" w:fill="CCCCFF"/>
            <w:vAlign w:val="center"/>
            <w:hideMark/>
          </w:tcPr>
          <w:p w14:paraId="6D9F878F" w14:textId="77777777" w:rsidR="005A2296" w:rsidRPr="00FB27C3"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Saldo Mínimo Disponible en Caja</w:t>
            </w:r>
          </w:p>
        </w:tc>
        <w:tc>
          <w:tcPr>
            <w:tcW w:w="1540" w:type="dxa"/>
            <w:tcBorders>
              <w:top w:val="nil"/>
              <w:left w:val="nil"/>
              <w:bottom w:val="single" w:sz="4" w:space="0" w:color="auto"/>
              <w:right w:val="single" w:sz="4" w:space="0" w:color="auto"/>
            </w:tcBorders>
            <w:shd w:val="clear" w:color="auto" w:fill="auto"/>
            <w:noWrap/>
            <w:vAlign w:val="center"/>
            <w:hideMark/>
          </w:tcPr>
          <w:p w14:paraId="1C206932"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192.508.966</w:t>
            </w:r>
          </w:p>
        </w:tc>
        <w:tc>
          <w:tcPr>
            <w:tcW w:w="1700" w:type="dxa"/>
            <w:tcBorders>
              <w:top w:val="nil"/>
              <w:left w:val="nil"/>
              <w:bottom w:val="single" w:sz="4" w:space="0" w:color="auto"/>
              <w:right w:val="single" w:sz="4" w:space="0" w:color="auto"/>
            </w:tcBorders>
            <w:shd w:val="clear" w:color="auto" w:fill="auto"/>
            <w:noWrap/>
            <w:vAlign w:val="center"/>
            <w:hideMark/>
          </w:tcPr>
          <w:p w14:paraId="22705A8A"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-130.567.921</w:t>
            </w:r>
          </w:p>
        </w:tc>
        <w:tc>
          <w:tcPr>
            <w:tcW w:w="1720" w:type="dxa"/>
            <w:tcBorders>
              <w:top w:val="nil"/>
              <w:left w:val="nil"/>
              <w:bottom w:val="single" w:sz="4" w:space="0" w:color="auto"/>
              <w:right w:val="single" w:sz="4" w:space="0" w:color="auto"/>
            </w:tcBorders>
            <w:shd w:val="clear" w:color="auto" w:fill="auto"/>
            <w:noWrap/>
            <w:vAlign w:val="center"/>
            <w:hideMark/>
          </w:tcPr>
          <w:p w14:paraId="4B4E1C86"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92.438.873</w:t>
            </w:r>
          </w:p>
        </w:tc>
      </w:tr>
      <w:tr w:rsidR="005A2296" w:rsidRPr="006D2A8C" w14:paraId="2D1304F0" w14:textId="77777777" w:rsidTr="005A2296">
        <w:trPr>
          <w:trHeight w:val="525"/>
          <w:jc w:val="center"/>
        </w:trPr>
        <w:tc>
          <w:tcPr>
            <w:tcW w:w="2320" w:type="dxa"/>
            <w:tcBorders>
              <w:top w:val="nil"/>
              <w:left w:val="single" w:sz="4" w:space="0" w:color="auto"/>
              <w:bottom w:val="single" w:sz="4" w:space="0" w:color="auto"/>
              <w:right w:val="single" w:sz="4" w:space="0" w:color="auto"/>
            </w:tcBorders>
            <w:shd w:val="clear" w:color="000000" w:fill="CCCCFF"/>
            <w:vAlign w:val="center"/>
            <w:hideMark/>
          </w:tcPr>
          <w:p w14:paraId="0ABB575A" w14:textId="77777777" w:rsidR="005A2296" w:rsidRPr="00FB27C3" w:rsidRDefault="005A229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Saldo en Bancos</w:t>
            </w:r>
          </w:p>
        </w:tc>
        <w:tc>
          <w:tcPr>
            <w:tcW w:w="1540" w:type="dxa"/>
            <w:tcBorders>
              <w:top w:val="nil"/>
              <w:left w:val="nil"/>
              <w:bottom w:val="single" w:sz="4" w:space="0" w:color="auto"/>
              <w:right w:val="single" w:sz="4" w:space="0" w:color="auto"/>
            </w:tcBorders>
            <w:shd w:val="clear" w:color="auto" w:fill="auto"/>
            <w:noWrap/>
            <w:vAlign w:val="center"/>
            <w:hideMark/>
          </w:tcPr>
          <w:p w14:paraId="5012C5C7"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311.769.024</w:t>
            </w:r>
          </w:p>
        </w:tc>
        <w:tc>
          <w:tcPr>
            <w:tcW w:w="1700" w:type="dxa"/>
            <w:tcBorders>
              <w:top w:val="nil"/>
              <w:left w:val="nil"/>
              <w:bottom w:val="single" w:sz="4" w:space="0" w:color="auto"/>
              <w:right w:val="single" w:sz="4" w:space="0" w:color="auto"/>
            </w:tcBorders>
            <w:shd w:val="clear" w:color="auto" w:fill="auto"/>
            <w:noWrap/>
            <w:vAlign w:val="center"/>
            <w:hideMark/>
          </w:tcPr>
          <w:p w14:paraId="7B3A31F7"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48.686.375</w:t>
            </w:r>
          </w:p>
        </w:tc>
        <w:tc>
          <w:tcPr>
            <w:tcW w:w="1720" w:type="dxa"/>
            <w:tcBorders>
              <w:top w:val="nil"/>
              <w:left w:val="nil"/>
              <w:bottom w:val="single" w:sz="4" w:space="0" w:color="auto"/>
              <w:right w:val="single" w:sz="4" w:space="0" w:color="auto"/>
            </w:tcBorders>
            <w:shd w:val="clear" w:color="auto" w:fill="auto"/>
            <w:noWrap/>
            <w:vAlign w:val="center"/>
            <w:hideMark/>
          </w:tcPr>
          <w:p w14:paraId="029BC64C" w14:textId="77777777" w:rsidR="005A2296" w:rsidRPr="00FB27C3" w:rsidRDefault="005A2296">
            <w:pPr>
              <w:spacing w:after="0" w:line="240" w:lineRule="auto"/>
              <w:contextualSpacing/>
              <w:jc w:val="center"/>
              <w:rPr>
                <w:rFonts w:eastAsia="Times New Roman" w:cs="Arial"/>
                <w:sz w:val="18"/>
                <w:szCs w:val="18"/>
                <w:lang w:val="es-CO" w:eastAsia="es-CO"/>
              </w:rPr>
            </w:pPr>
            <w:r w:rsidRPr="00FB27C3">
              <w:rPr>
                <w:rFonts w:eastAsia="Times New Roman" w:cs="Arial"/>
                <w:sz w:val="18"/>
                <w:szCs w:val="18"/>
                <w:lang w:val="es-CO" w:eastAsia="es-CO"/>
              </w:rPr>
              <w:t>552.070.013</w:t>
            </w:r>
          </w:p>
        </w:tc>
      </w:tr>
    </w:tbl>
    <w:p w14:paraId="4DB12EED" w14:textId="77777777" w:rsidR="00CD135A" w:rsidRPr="00FB27C3" w:rsidRDefault="00CD135A" w:rsidP="00286F4A">
      <w:pPr>
        <w:pStyle w:val="Prrafodelista"/>
        <w:spacing w:after="0" w:line="240" w:lineRule="auto"/>
        <w:ind w:left="360"/>
        <w:jc w:val="center"/>
        <w:textAlignment w:val="baseline"/>
        <w:rPr>
          <w:rFonts w:eastAsia="Times New Roman" w:cs="Arial"/>
          <w:sz w:val="16"/>
          <w:szCs w:val="16"/>
          <w:lang w:eastAsia="es-CO"/>
        </w:rPr>
      </w:pPr>
      <w:r w:rsidRPr="00FB27C3">
        <w:rPr>
          <w:rFonts w:eastAsia="Times New Roman" w:cs="Arial"/>
          <w:b/>
          <w:bCs/>
          <w:sz w:val="16"/>
          <w:szCs w:val="16"/>
          <w:lang w:eastAsia="es-CO"/>
        </w:rPr>
        <w:t>Fuente:</w:t>
      </w:r>
      <w:r w:rsidRPr="00FB27C3">
        <w:rPr>
          <w:rFonts w:eastAsia="Times New Roman" w:cs="Arial"/>
          <w:sz w:val="16"/>
          <w:szCs w:val="16"/>
          <w:lang w:eastAsia="es-CO"/>
        </w:rPr>
        <w:t xml:space="preserve"> Elaboración DAF con base en las ejecuciones presupuestales proporcionadas por la </w:t>
      </w:r>
      <w:r w:rsidR="006D2A8C">
        <w:rPr>
          <w:rFonts w:eastAsia="Times New Roman" w:cs="Arial"/>
          <w:sz w:val="16"/>
          <w:szCs w:val="16"/>
          <w:lang w:eastAsia="es-CO"/>
        </w:rPr>
        <w:t>E</w:t>
      </w:r>
      <w:r w:rsidRPr="00FB27C3">
        <w:rPr>
          <w:rFonts w:eastAsia="Times New Roman" w:cs="Arial"/>
          <w:sz w:val="16"/>
          <w:szCs w:val="16"/>
          <w:lang w:eastAsia="es-CO"/>
        </w:rPr>
        <w:t xml:space="preserve">ntidad </w:t>
      </w:r>
      <w:r w:rsidR="006D2A8C">
        <w:rPr>
          <w:rFonts w:eastAsia="Times New Roman" w:cs="Arial"/>
          <w:sz w:val="16"/>
          <w:szCs w:val="16"/>
          <w:lang w:eastAsia="es-CO"/>
        </w:rPr>
        <w:t>T</w:t>
      </w:r>
      <w:r w:rsidRPr="00FB27C3">
        <w:rPr>
          <w:rFonts w:eastAsia="Times New Roman" w:cs="Arial"/>
          <w:sz w:val="16"/>
          <w:szCs w:val="16"/>
          <w:lang w:eastAsia="es-CO"/>
        </w:rPr>
        <w:t>erritorial.</w:t>
      </w:r>
    </w:p>
    <w:p w14:paraId="21620C5F" w14:textId="77777777" w:rsidR="002A09B1" w:rsidRPr="00FB27C3" w:rsidRDefault="002A09B1" w:rsidP="001729F6">
      <w:pPr>
        <w:spacing w:after="0" w:line="240" w:lineRule="auto"/>
        <w:contextualSpacing/>
        <w:textAlignment w:val="baseline"/>
        <w:rPr>
          <w:rFonts w:eastAsia="Times New Roman" w:cs="Arial"/>
          <w:lang w:eastAsia="es-CO"/>
        </w:rPr>
      </w:pPr>
    </w:p>
    <w:p w14:paraId="49815CEC" w14:textId="77777777" w:rsidR="001259D0" w:rsidRDefault="001259D0" w:rsidP="00286F4A">
      <w:pPr>
        <w:spacing w:line="240" w:lineRule="auto"/>
        <w:contextualSpacing/>
        <w:jc w:val="both"/>
        <w:rPr>
          <w:lang w:val="es-CO"/>
        </w:rPr>
      </w:pPr>
      <w:r>
        <w:t xml:space="preserve">El resultado presupuestal que arroja el ejercicio para las vigencias 2018 y 2019 se ve afectada por la </w:t>
      </w:r>
      <w:r>
        <w:rPr>
          <w:lang w:val="es-CO"/>
        </w:rPr>
        <w:t xml:space="preserve">inconsistencia entre la ejecución del presupuesto que realiza la </w:t>
      </w:r>
      <w:r w:rsidR="006D2A8C">
        <w:rPr>
          <w:lang w:val="es-CO"/>
        </w:rPr>
        <w:t>E</w:t>
      </w:r>
      <w:r>
        <w:rPr>
          <w:lang w:val="es-CO"/>
        </w:rPr>
        <w:t xml:space="preserve">ntidad </w:t>
      </w:r>
      <w:r w:rsidR="006D2A8C">
        <w:rPr>
          <w:lang w:val="es-CO"/>
        </w:rPr>
        <w:t>T</w:t>
      </w:r>
      <w:r>
        <w:rPr>
          <w:lang w:val="es-CO"/>
        </w:rPr>
        <w:t>erritorial y el recaudo efectivo de lo que se asigna a través de los documentos de distribución. Lo anterior, debido a que el</w:t>
      </w:r>
      <w:r>
        <w:t xml:space="preserve"> monto de recursos corrientes por cuenta de la asignación de SGP Propósito General, como se mencionó anteriormente, no fue registrada en el valor del recaudo a pesar de que el giro se realizó. De igual manera, en el caso de la vigencia 2020, hace falta incluir el valor de los recursos de capital no reconocido en el recaudo por la </w:t>
      </w:r>
      <w:r w:rsidR="006D2A8C">
        <w:t>E</w:t>
      </w:r>
      <w:r>
        <w:t xml:space="preserve">ntidad </w:t>
      </w:r>
      <w:r w:rsidR="006D2A8C">
        <w:t>T</w:t>
      </w:r>
      <w:r>
        <w:t xml:space="preserve">erritorial, pero que fue presupuestado en los ingresos de la vigencia. </w:t>
      </w:r>
      <w:r>
        <w:rPr>
          <w:lang w:val="es-CO"/>
        </w:rPr>
        <w:t>Estas diferencias ascienden a $</w:t>
      </w:r>
      <w:r w:rsidR="00016AD5" w:rsidRPr="00016AD5">
        <w:rPr>
          <w:lang w:val="es-CO"/>
        </w:rPr>
        <w:t>126.985.153</w:t>
      </w:r>
      <w:r w:rsidR="00016AD5">
        <w:rPr>
          <w:lang w:val="es-CO"/>
        </w:rPr>
        <w:t xml:space="preserve"> </w:t>
      </w:r>
      <w:r>
        <w:rPr>
          <w:lang w:val="es-CO"/>
        </w:rPr>
        <w:t>en 2018, $</w:t>
      </w:r>
      <w:r w:rsidRPr="004C2EDD">
        <w:rPr>
          <w:lang w:val="es-CO"/>
        </w:rPr>
        <w:t>222.951.393</w:t>
      </w:r>
      <w:r>
        <w:rPr>
          <w:lang w:val="es-CO"/>
        </w:rPr>
        <w:t xml:space="preserve"> en 2019 y $</w:t>
      </w:r>
      <w:r w:rsidRPr="0023303A">
        <w:rPr>
          <w:lang w:val="es-CO"/>
        </w:rPr>
        <w:t>154.493.357</w:t>
      </w:r>
      <w:r>
        <w:rPr>
          <w:lang w:val="es-CO"/>
        </w:rPr>
        <w:t xml:space="preserve"> en 2020.</w:t>
      </w:r>
    </w:p>
    <w:p w14:paraId="02D69D5C" w14:textId="77777777" w:rsidR="006D2A8C" w:rsidRDefault="006D2A8C">
      <w:pPr>
        <w:spacing w:line="240" w:lineRule="auto"/>
        <w:contextualSpacing/>
        <w:jc w:val="both"/>
      </w:pPr>
    </w:p>
    <w:p w14:paraId="7E5F7ACE" w14:textId="77777777" w:rsidR="001119AE" w:rsidRDefault="00302669">
      <w:pPr>
        <w:spacing w:line="240" w:lineRule="auto"/>
        <w:contextualSpacing/>
        <w:jc w:val="both"/>
      </w:pPr>
      <w:r>
        <w:t>Los montos</w:t>
      </w:r>
      <w:r w:rsidR="002A09B1">
        <w:t xml:space="preserve"> del resultado presupuestal</w:t>
      </w:r>
      <w:r>
        <w:t xml:space="preserve"> </w:t>
      </w:r>
      <w:r w:rsidR="002A09B1">
        <w:t xml:space="preserve">que resultan de los cálculos </w:t>
      </w:r>
      <w:r w:rsidR="006A1480">
        <w:t>derivados de las ejecuciones presupuestales tampoco son consistentes con los saldos incorporados en las ejecuciones de ingresos con respecto al superávit fiscal</w:t>
      </w:r>
      <w:r w:rsidR="006D2A8C">
        <w:t>;</w:t>
      </w:r>
      <w:r w:rsidR="006A1480">
        <w:t xml:space="preserve"> puesto que, por ejemplo, para 2019 el monto incorporado de recursos del balance fue de</w:t>
      </w:r>
      <w:r w:rsidR="00C42CFA">
        <w:t xml:space="preserve"> $</w:t>
      </w:r>
      <w:r w:rsidR="00C42CFA" w:rsidRPr="00C42CFA">
        <w:t>153.708.835</w:t>
      </w:r>
      <w:r w:rsidR="00C42CFA">
        <w:t>, mientras que el resultado presupuestal de la vigencia 2018 arrojó un saldo de $63.007.857.</w:t>
      </w:r>
      <w:r w:rsidR="006E6B82">
        <w:t xml:space="preserve"> Además, en la vigencia 2020 el resultado presupuestal calculado refleja un déficit, pero en las ejecuciones de ingresos se relacionan </w:t>
      </w:r>
      <w:r w:rsidR="000F5CBE">
        <w:t>$</w:t>
      </w:r>
      <w:r w:rsidR="000F5CBE" w:rsidRPr="000F5CBE">
        <w:t>154.493.357</w:t>
      </w:r>
      <w:r w:rsidR="000F5CBE">
        <w:t xml:space="preserve"> en el presupuesto definitivo </w:t>
      </w:r>
      <w:r w:rsidR="00815CC8">
        <w:t xml:space="preserve">por concepto </w:t>
      </w:r>
      <w:r w:rsidR="000F5CBE">
        <w:t>de recursos del balance.</w:t>
      </w:r>
    </w:p>
    <w:p w14:paraId="2FF72D5F" w14:textId="77777777" w:rsidR="006D2A8C" w:rsidRDefault="006D2A8C">
      <w:pPr>
        <w:spacing w:line="240" w:lineRule="auto"/>
        <w:contextualSpacing/>
        <w:jc w:val="both"/>
      </w:pPr>
    </w:p>
    <w:p w14:paraId="38945BB8" w14:textId="77777777" w:rsidR="00815CC8" w:rsidRDefault="00F84FB5">
      <w:pPr>
        <w:spacing w:line="240" w:lineRule="auto"/>
        <w:contextualSpacing/>
        <w:jc w:val="both"/>
      </w:pPr>
      <w:r>
        <w:t xml:space="preserve">En cuanto al rezago presupuestal, el </w:t>
      </w:r>
      <w:r w:rsidR="00B77321">
        <w:t>M</w:t>
      </w:r>
      <w:r>
        <w:t xml:space="preserve">unicipio de Puerto Leguízamo – Putumayo </w:t>
      </w:r>
      <w:r w:rsidR="000E26F6">
        <w:t>evidencia reservas presupuestales por valor de $</w:t>
      </w:r>
      <w:r w:rsidR="000E26F6" w:rsidRPr="000E26F6">
        <w:t>28.921.038</w:t>
      </w:r>
      <w:r w:rsidR="000E26F6">
        <w:t xml:space="preserve"> en 2018, $</w:t>
      </w:r>
      <w:r w:rsidR="000E26F6" w:rsidRPr="000E26F6">
        <w:t>21.499.996</w:t>
      </w:r>
      <w:r w:rsidR="000E26F6">
        <w:t xml:space="preserve"> en 2019 y $</w:t>
      </w:r>
      <w:r w:rsidR="000E26F6" w:rsidRPr="000E26F6">
        <w:t>61.951.690</w:t>
      </w:r>
      <w:r w:rsidR="000E26F6">
        <w:t xml:space="preserve"> en 2020</w:t>
      </w:r>
      <w:r w:rsidR="00E71915">
        <w:t xml:space="preserve"> según el ejercicio realizado</w:t>
      </w:r>
      <w:r w:rsidR="000E26F6">
        <w:t>. Estos saldos no pueden ser contrastados con l</w:t>
      </w:r>
      <w:r w:rsidR="00847A7B">
        <w:t xml:space="preserve">os saldos contenidos en los Decretos No. 72 de 2018, </w:t>
      </w:r>
      <w:r w:rsidR="00CC7F2D">
        <w:t>093 de 2019 y 090 de 2020</w:t>
      </w:r>
      <w:r w:rsidR="00B77321">
        <w:t>, emitidos por la Entidad Territorial;</w:t>
      </w:r>
      <w:r w:rsidR="00CC7F2D">
        <w:t xml:space="preserve"> debido a que, como lo menciona el DNP en su </w:t>
      </w:r>
      <w:r w:rsidR="00B77321">
        <w:t>“</w:t>
      </w:r>
      <w:r w:rsidR="00FF6B7D" w:rsidRPr="00594449">
        <w:rPr>
          <w:i/>
          <w:iCs/>
        </w:rPr>
        <w:t>Informe de monitoreo de campo, Puerto Leguízamo - Putumayo, Vigencias 2018 y 2019 (corte junio)</w:t>
      </w:r>
      <w:r w:rsidR="00B77321">
        <w:t>”</w:t>
      </w:r>
      <w:r w:rsidR="00CC7F2D">
        <w:t xml:space="preserve">, no contienen la fuente de financiación, por lo cual no es posible determinar el monto correspondiente a los recursos de Propósito General. </w:t>
      </w:r>
      <w:r w:rsidR="0030350D">
        <w:t xml:space="preserve">Llama particularmente la atención el Decreto 093 de 2018, por medio del cual se </w:t>
      </w:r>
      <w:r w:rsidR="00F75E05">
        <w:t xml:space="preserve">constituyen las reservas presupuestales </w:t>
      </w:r>
      <w:r w:rsidR="00A731B0">
        <w:t xml:space="preserve">de la vigencia 2019, debido </w:t>
      </w:r>
      <w:r w:rsidR="00367E99">
        <w:t xml:space="preserve">a que </w:t>
      </w:r>
      <w:r w:rsidR="00EC3960">
        <w:t>se registran dos montos de reservas presupuestales, un</w:t>
      </w:r>
      <w:r w:rsidR="00E24BDF">
        <w:t xml:space="preserve">o por </w:t>
      </w:r>
      <w:r w:rsidR="004A6EFB">
        <w:t>$</w:t>
      </w:r>
      <w:r w:rsidR="00E24BDF">
        <w:t>865.</w:t>
      </w:r>
      <w:r w:rsidR="004A6EFB">
        <w:t>160.500 que comprende las reservas presupuestales originadas entre el 1 de enero y el 31 de diciembre de 201</w:t>
      </w:r>
      <w:r w:rsidR="00BA0305">
        <w:t>9</w:t>
      </w:r>
      <w:r w:rsidR="004A6EFB">
        <w:t xml:space="preserve"> y otro por $</w:t>
      </w:r>
      <w:r w:rsidR="005B39B0">
        <w:t xml:space="preserve">219.082.045, el cual se refiere a las </w:t>
      </w:r>
      <w:r w:rsidR="00BA0305">
        <w:t>reservas de las vigencias 2017 y 2018</w:t>
      </w:r>
      <w:r w:rsidR="004F1F72">
        <w:t>.</w:t>
      </w:r>
    </w:p>
    <w:p w14:paraId="2E8F8340" w14:textId="77777777" w:rsidR="00B77321" w:rsidRDefault="00B77321">
      <w:pPr>
        <w:spacing w:line="240" w:lineRule="auto"/>
        <w:contextualSpacing/>
        <w:jc w:val="both"/>
      </w:pPr>
    </w:p>
    <w:p w14:paraId="52AB0D2F" w14:textId="77777777" w:rsidR="00E71573" w:rsidRDefault="004F1F72">
      <w:pPr>
        <w:spacing w:line="240" w:lineRule="auto"/>
        <w:contextualSpacing/>
        <w:jc w:val="both"/>
      </w:pPr>
      <w:r>
        <w:t xml:space="preserve">Lo anterior, refleja que el </w:t>
      </w:r>
      <w:r w:rsidR="00B77321">
        <w:t>M</w:t>
      </w:r>
      <w:r>
        <w:t xml:space="preserve">unicipio de Puerto Leguízamo – Putumayo incorporó saldos de reservas presupuestales no ejecutadas en las vigencias anteriores, en el </w:t>
      </w:r>
      <w:r w:rsidR="00B77321">
        <w:t>A</w:t>
      </w:r>
      <w:r>
        <w:t xml:space="preserve">cto </w:t>
      </w:r>
      <w:r w:rsidR="00B77321">
        <w:t>A</w:t>
      </w:r>
      <w:r>
        <w:t xml:space="preserve">dministrativo de constitución de reservas de 2019. </w:t>
      </w:r>
      <w:r w:rsidR="00C87E24">
        <w:t>Esto refleja un error, teniendo en cuenta que el concepto de reservas presupuestales únicamente reconoce</w:t>
      </w:r>
      <w:r w:rsidR="00675862">
        <w:t xml:space="preserve"> aquellos “</w:t>
      </w:r>
      <w:r w:rsidR="00675862" w:rsidRPr="00594449">
        <w:rPr>
          <w:i/>
          <w:iCs/>
        </w:rPr>
        <w:t xml:space="preserve">compromisos que al 31 de diciembre no se hayan cumplido, siempre y cuando estén </w:t>
      </w:r>
      <w:r w:rsidR="00675862" w:rsidRPr="00594449">
        <w:rPr>
          <w:i/>
          <w:iCs/>
        </w:rPr>
        <w:lastRenderedPageBreak/>
        <w:t>legalmente contraídos y desarrollen el objeto de la apropiación</w:t>
      </w:r>
      <w:r w:rsidR="00675862">
        <w:t>”</w:t>
      </w:r>
      <w:r w:rsidR="00743AFF">
        <w:rPr>
          <w:rStyle w:val="Refdenotaalpie"/>
        </w:rPr>
        <w:footnoteReference w:id="3"/>
      </w:r>
      <w:r w:rsidR="00C05E86">
        <w:t xml:space="preserve"> y, como lo indica el artículo </w:t>
      </w:r>
      <w:r w:rsidR="00C63AE2" w:rsidRPr="00C63AE2">
        <w:t>2.8.1.7.3.2.</w:t>
      </w:r>
      <w:r w:rsidR="00C63AE2">
        <w:t xml:space="preserve"> del Decreto 1068 de 1015 “</w:t>
      </w:r>
      <w:r w:rsidR="006E7D29" w:rsidRPr="00594449">
        <w:rPr>
          <w:i/>
          <w:iCs/>
        </w:rPr>
        <w:t>Las cuentas por pagar y las reservas presupuestales que no se hayan ejecutado a 31 de diciembre de la vigencia en la cual se constituyeron, expiran sin excepción</w:t>
      </w:r>
      <w:r w:rsidR="006E7D29">
        <w:t>”. Por esta razón, la figura bajo la cual deberían incorporarse estos recursos para cumplir con las obligaciones legalmente adquiridas que no fueron ejecutadas una vez se cumplió el plazo de la reserva presupuestal es el</w:t>
      </w:r>
      <w:r w:rsidR="0018335A">
        <w:t xml:space="preserve"> de reservas presupuestales no ejecutadas</w:t>
      </w:r>
      <w:r w:rsidR="0017796C">
        <w:rPr>
          <w:rStyle w:val="Refdenotaalpie"/>
        </w:rPr>
        <w:footnoteReference w:id="4"/>
      </w:r>
      <w:r w:rsidR="006E7D29">
        <w:t xml:space="preserve">. Al indagar en las ejecuciones presupuestales y en el Decreto de </w:t>
      </w:r>
      <w:r w:rsidR="000F1033">
        <w:t>L</w:t>
      </w:r>
      <w:r w:rsidR="006E7D29">
        <w:t xml:space="preserve">iquidación del </w:t>
      </w:r>
      <w:r w:rsidR="000F1033">
        <w:t>P</w:t>
      </w:r>
      <w:r w:rsidR="006E7D29">
        <w:t xml:space="preserve">resupuesto </w:t>
      </w:r>
      <w:r w:rsidR="004E2B37">
        <w:t>No. 088 de 2019</w:t>
      </w:r>
      <w:r w:rsidR="006E7D29">
        <w:t xml:space="preserve"> no se evidencia dicho concepto.</w:t>
      </w:r>
    </w:p>
    <w:p w14:paraId="0725A33D" w14:textId="77777777" w:rsidR="000F1033" w:rsidRDefault="000F1033">
      <w:pPr>
        <w:spacing w:line="240" w:lineRule="auto"/>
        <w:contextualSpacing/>
        <w:jc w:val="both"/>
      </w:pPr>
    </w:p>
    <w:p w14:paraId="49F4027F" w14:textId="77777777" w:rsidR="00247E23" w:rsidRDefault="00247E23">
      <w:pPr>
        <w:spacing w:line="240" w:lineRule="auto"/>
        <w:contextualSpacing/>
        <w:jc w:val="both"/>
      </w:pPr>
      <w:r>
        <w:t>Por otra parte, referente a las cuentas por pagar, los cálculos realizados por esta Dirección resultaron en un saldo asociado con este concepto por $</w:t>
      </w:r>
      <w:r w:rsidRPr="00247E23">
        <w:t>100.580.071</w:t>
      </w:r>
      <w:r>
        <w:t xml:space="preserve"> en 2018, $</w:t>
      </w:r>
      <w:r w:rsidRPr="00247E23">
        <w:t>54.046.306</w:t>
      </w:r>
      <w:r>
        <w:t xml:space="preserve"> en 2019 y $</w:t>
      </w:r>
      <w:r w:rsidRPr="00247E23">
        <w:t>70.290.117</w:t>
      </w:r>
      <w:r>
        <w:t xml:space="preserve"> en 2020. Sin embargo, los Decretos de </w:t>
      </w:r>
      <w:r w:rsidR="00C55351">
        <w:t xml:space="preserve">constitución de cuentas por pagar enviados por el </w:t>
      </w:r>
      <w:r w:rsidR="000F1033">
        <w:t>M</w:t>
      </w:r>
      <w:r w:rsidR="00C55351">
        <w:t>unicipio (</w:t>
      </w:r>
      <w:r w:rsidR="000F1033">
        <w:t xml:space="preserve">Decretos </w:t>
      </w:r>
      <w:r w:rsidR="00C55351">
        <w:t xml:space="preserve">No. </w:t>
      </w:r>
      <w:r w:rsidR="00137D05">
        <w:t xml:space="preserve">70 de 2018, No. 91 de 2019 y No. 89 de 2020) no cuentan con información </w:t>
      </w:r>
      <w:r w:rsidR="005D4D04">
        <w:t>sobre</w:t>
      </w:r>
      <w:r w:rsidR="00137D05">
        <w:t xml:space="preserve"> la fuente de financiación, por lo cual </w:t>
      </w:r>
      <w:r w:rsidR="003624F9">
        <w:t xml:space="preserve">no se puede verificar que el monto de estas cuentas se está reconociendo e incorporando de manera adecuada por la </w:t>
      </w:r>
      <w:r w:rsidR="000F1033">
        <w:t>E</w:t>
      </w:r>
      <w:r w:rsidR="003624F9">
        <w:t xml:space="preserve">ntidad </w:t>
      </w:r>
      <w:r w:rsidR="000F1033">
        <w:t>T</w:t>
      </w:r>
      <w:r w:rsidR="003624F9">
        <w:t>erritorial.</w:t>
      </w:r>
    </w:p>
    <w:p w14:paraId="3110A9D7" w14:textId="77777777" w:rsidR="000F1033" w:rsidRDefault="000F1033">
      <w:pPr>
        <w:spacing w:line="240" w:lineRule="auto"/>
        <w:contextualSpacing/>
        <w:jc w:val="both"/>
      </w:pPr>
    </w:p>
    <w:p w14:paraId="67505F91" w14:textId="77777777" w:rsidR="008A6A0C" w:rsidRDefault="00A606A9">
      <w:pPr>
        <w:spacing w:line="240" w:lineRule="auto"/>
        <w:contextualSpacing/>
        <w:jc w:val="both"/>
      </w:pPr>
      <w:r>
        <w:t>Referente al</w:t>
      </w:r>
      <w:r w:rsidR="00C65B49">
        <w:t xml:space="preserve"> saldo mínimo disponible en </w:t>
      </w:r>
      <w:r w:rsidR="00D22EF6">
        <w:t xml:space="preserve">la </w:t>
      </w:r>
      <w:r w:rsidR="00C65B49">
        <w:t>caja</w:t>
      </w:r>
      <w:r>
        <w:t>, para 2</w:t>
      </w:r>
      <w:r w:rsidR="001D2282">
        <w:t>019 es</w:t>
      </w:r>
      <w:r>
        <w:t>te es</w:t>
      </w:r>
      <w:r w:rsidR="001D2282">
        <w:t xml:space="preserve"> negativo, lo cual indicaría un faltante de recursos para cubrir las cuentas por pagar, las reservas presupuestales de la vigencia </w:t>
      </w:r>
      <w:r w:rsidR="00544612">
        <w:t xml:space="preserve">e incorporar los recursos sin comprometer. No obstante, </w:t>
      </w:r>
      <w:r w:rsidR="00774092">
        <w:t xml:space="preserve">este valor está distorsionado por la no inclusión de los saldos corrientes mencionados anteriormente en el recaudo del </w:t>
      </w:r>
      <w:r w:rsidR="000F1033">
        <w:t>M</w:t>
      </w:r>
      <w:r w:rsidR="00774092">
        <w:t xml:space="preserve">unicipio. Además, </w:t>
      </w:r>
      <w:r w:rsidR="00544612">
        <w:t xml:space="preserve">como se puede observar en los extractos bancarios de la Cuenta Maestra del </w:t>
      </w:r>
      <w:r w:rsidR="000F1033">
        <w:t>M</w:t>
      </w:r>
      <w:r w:rsidR="00544612">
        <w:t>unicipio, a 31 de diciembre de todas las vigencias, se contaba con recursos</w:t>
      </w:r>
      <w:r w:rsidR="005D4D04">
        <w:t xml:space="preserve"> disponibles</w:t>
      </w:r>
      <w:r w:rsidR="00544612">
        <w:t>, siendo 2019 la vigencia con un menor saldo final</w:t>
      </w:r>
      <w:r w:rsidR="004560BC">
        <w:t xml:space="preserve"> ($</w:t>
      </w:r>
      <w:r w:rsidR="004560BC" w:rsidRPr="004560BC">
        <w:t>48.686.375</w:t>
      </w:r>
      <w:r w:rsidR="004560BC">
        <w:t xml:space="preserve">). En las vigencias 2018 y 2020 se evidenció un saldo en bancos mayor al que arroja el ejercicio realizado por esta Dirección. </w:t>
      </w:r>
      <w:r w:rsidR="008A6A0C">
        <w:t xml:space="preserve">Esta información no fue posible contrastarla de manera completa con las </w:t>
      </w:r>
      <w:r w:rsidR="000F1033">
        <w:t>r</w:t>
      </w:r>
      <w:r w:rsidR="00B000E9">
        <w:t xml:space="preserve">esoluciones de cierre </w:t>
      </w:r>
      <w:r w:rsidR="00B964C7">
        <w:t xml:space="preserve">de tesorería </w:t>
      </w:r>
      <w:r w:rsidR="00B000E9">
        <w:t>ya que únicamente se hace referencia a los recursos de</w:t>
      </w:r>
      <w:r w:rsidR="00B964C7">
        <w:t xml:space="preserve"> Libre Destinación en funcionamiento y a los del </w:t>
      </w:r>
      <w:r w:rsidR="00B000E9">
        <w:t xml:space="preserve">Sistema </w:t>
      </w:r>
      <w:r w:rsidR="00B964C7">
        <w:t>General de Participaciones en Inversión</w:t>
      </w:r>
      <w:r w:rsidR="009A4188">
        <w:t>.</w:t>
      </w:r>
    </w:p>
    <w:p w14:paraId="116F1BF0" w14:textId="77777777" w:rsidR="000F1033" w:rsidRDefault="000F1033">
      <w:pPr>
        <w:spacing w:line="240" w:lineRule="auto"/>
        <w:contextualSpacing/>
        <w:jc w:val="both"/>
      </w:pPr>
    </w:p>
    <w:p w14:paraId="6E8F8CFE" w14:textId="77777777" w:rsidR="00B964C7" w:rsidRDefault="009A4188">
      <w:pPr>
        <w:spacing w:line="240" w:lineRule="auto"/>
        <w:contextualSpacing/>
        <w:jc w:val="both"/>
      </w:pPr>
      <w:r>
        <w:t>Por otra parte, e</w:t>
      </w:r>
      <w:r w:rsidR="00B964C7">
        <w:t xml:space="preserve">n </w:t>
      </w:r>
      <w:r w:rsidR="0010664D">
        <w:t xml:space="preserve">la Resolución </w:t>
      </w:r>
      <w:r w:rsidR="000F1033">
        <w:t xml:space="preserve">No. </w:t>
      </w:r>
      <w:r w:rsidR="003971C1">
        <w:t xml:space="preserve">199 del 31 de diciembre de 2018 se estableció un </w:t>
      </w:r>
      <w:r w:rsidR="00742164">
        <w:t>total de egresos con cargo a los recursos de SGP Propósito General – Libre Destinación por $1.0</w:t>
      </w:r>
      <w:r w:rsidR="00971174">
        <w:t>0</w:t>
      </w:r>
      <w:r w:rsidR="00742164">
        <w:t>9</w:t>
      </w:r>
      <w:r w:rsidR="00971174">
        <w:t>.</w:t>
      </w:r>
      <w:r w:rsidR="00A149E5">
        <w:t>709.</w:t>
      </w:r>
      <w:r w:rsidR="00971174">
        <w:t>324</w:t>
      </w:r>
      <w:r w:rsidR="001C775D">
        <w:t>, valor que no coincide con los pagos reportados en las ejecuciones presupuestales de gastos, sino con las obligaciones. L</w:t>
      </w:r>
      <w:r w:rsidR="001A4851">
        <w:t xml:space="preserve">a Resolución </w:t>
      </w:r>
      <w:r w:rsidR="000F1033">
        <w:t xml:space="preserve">No. </w:t>
      </w:r>
      <w:r w:rsidR="001A4851">
        <w:t xml:space="preserve">247 del 31 de diciembre de 2019 </w:t>
      </w:r>
      <w:r w:rsidR="00846DFF">
        <w:t>reportó egresos por $</w:t>
      </w:r>
      <w:r w:rsidR="00445ED3">
        <w:t>1.045.</w:t>
      </w:r>
      <w:r w:rsidR="0052683D">
        <w:t xml:space="preserve">765.922 </w:t>
      </w:r>
      <w:r w:rsidR="00846DFF">
        <w:t>con cargo al SGP</w:t>
      </w:r>
      <w:r w:rsidR="000F1033">
        <w:t>-</w:t>
      </w:r>
      <w:r w:rsidR="00846DFF">
        <w:t>PG - Libre Destinación</w:t>
      </w:r>
      <w:r w:rsidR="0052683D">
        <w:t>, mientras que los pagos que se registran en las ejecuciones presupuestales suman $</w:t>
      </w:r>
      <w:r w:rsidR="007413DC" w:rsidRPr="007413DC">
        <w:t>1.212.033.516</w:t>
      </w:r>
      <w:r w:rsidR="007413DC">
        <w:t xml:space="preserve">. Para 2019, la Resolución </w:t>
      </w:r>
      <w:r w:rsidR="000F1033">
        <w:t xml:space="preserve">No. </w:t>
      </w:r>
      <w:r w:rsidR="00292351">
        <w:t xml:space="preserve">390 del 31 de diciembre relaciona egresos de SGP-PG </w:t>
      </w:r>
      <w:r w:rsidR="000F1033">
        <w:t xml:space="preserve">- </w:t>
      </w:r>
      <w:r w:rsidR="00292351">
        <w:t>Libre Destinación por $</w:t>
      </w:r>
      <w:r w:rsidR="00D86C5D">
        <w:t xml:space="preserve">1.065.472.753, </w:t>
      </w:r>
      <w:r>
        <w:t xml:space="preserve">lo </w:t>
      </w:r>
      <w:r w:rsidR="00D86C5D">
        <w:t xml:space="preserve">cual coincide con el monto de las obligaciones de las ejecuciones presupuestales y no con los pagos. Esta situación refleja </w:t>
      </w:r>
      <w:r w:rsidR="00B115FB" w:rsidRPr="00B115FB">
        <w:t xml:space="preserve">problemáticas de articulación entre los ámbitos presupuestales y de tesorería de la </w:t>
      </w:r>
      <w:r w:rsidR="000F1033">
        <w:t>E</w:t>
      </w:r>
      <w:r w:rsidR="00B115FB" w:rsidRPr="00B115FB">
        <w:t xml:space="preserve">ntidad </w:t>
      </w:r>
      <w:r w:rsidR="000F1033">
        <w:t>T</w:t>
      </w:r>
      <w:r w:rsidR="00B115FB" w:rsidRPr="00B115FB">
        <w:t>erritorial</w:t>
      </w:r>
      <w:r w:rsidR="00B115FB">
        <w:t xml:space="preserve">, debido a que se </w:t>
      </w:r>
      <w:r w:rsidR="008A4867">
        <w:t xml:space="preserve">no se están reconociendo en tesorería </w:t>
      </w:r>
      <w:r w:rsidR="008A4867">
        <w:lastRenderedPageBreak/>
        <w:t>egresos que se reportan presupuestalmente</w:t>
      </w:r>
      <w:r w:rsidR="0012480C">
        <w:t xml:space="preserve">, además </w:t>
      </w:r>
      <w:r>
        <w:t xml:space="preserve">de la asimilación de </w:t>
      </w:r>
      <w:r w:rsidR="0012480C">
        <w:t xml:space="preserve">las </w:t>
      </w:r>
      <w:r w:rsidR="007B6FCD">
        <w:t>obligaciones a los pagos desde el punto de vista de tesorería, lo cual es inadecuado.</w:t>
      </w:r>
    </w:p>
    <w:p w14:paraId="1420DF11" w14:textId="77777777" w:rsidR="000F1033" w:rsidRDefault="000F1033">
      <w:pPr>
        <w:spacing w:line="240" w:lineRule="auto"/>
        <w:contextualSpacing/>
        <w:jc w:val="both"/>
      </w:pPr>
    </w:p>
    <w:p w14:paraId="4C1A4D24" w14:textId="77777777" w:rsidR="00A46F35" w:rsidRDefault="00A46F35">
      <w:pPr>
        <w:spacing w:line="240" w:lineRule="auto"/>
        <w:contextualSpacing/>
        <w:jc w:val="both"/>
      </w:pPr>
      <w:r>
        <w:t xml:space="preserve">Cabe resaltar que en la Resolución </w:t>
      </w:r>
      <w:r w:rsidR="00EA1BE3">
        <w:t xml:space="preserve">0390 del 31 de diciembre de 2020 </w:t>
      </w:r>
      <w:r>
        <w:t xml:space="preserve">de Cierre de Tesorería de 2020 mencionada anteriormente, el artículo </w:t>
      </w:r>
      <w:r w:rsidR="00704F4A">
        <w:t xml:space="preserve">cuarto indica que la </w:t>
      </w:r>
      <w:r w:rsidR="006C45D9">
        <w:t>E</w:t>
      </w:r>
      <w:r w:rsidR="00704F4A">
        <w:t xml:space="preserve">ntidad </w:t>
      </w:r>
      <w:r w:rsidR="006C45D9">
        <w:t>T</w:t>
      </w:r>
      <w:r w:rsidR="00704F4A">
        <w:t xml:space="preserve">erritorial cerró con un déficit de tesorería por valor de </w:t>
      </w:r>
      <w:r w:rsidR="006E458C">
        <w:t>$</w:t>
      </w:r>
      <w:r w:rsidR="00704F4A">
        <w:t>344.404.</w:t>
      </w:r>
      <w:r w:rsidR="006E458C">
        <w:t xml:space="preserve">609. </w:t>
      </w:r>
      <w:r w:rsidR="004069DA">
        <w:t>Esta</w:t>
      </w:r>
      <w:r w:rsidR="00BD03AD">
        <w:t xml:space="preserve"> situación </w:t>
      </w:r>
      <w:r w:rsidR="004069DA">
        <w:t xml:space="preserve">contradice al </w:t>
      </w:r>
      <w:r w:rsidR="00BD03AD">
        <w:t xml:space="preserve">mismo acto administrativo </w:t>
      </w:r>
      <w:r w:rsidR="004069DA">
        <w:t>que lo reconoce</w:t>
      </w:r>
      <w:r w:rsidR="00BD03AD">
        <w:t xml:space="preserve"> ya que el total de ingresos recaudados</w:t>
      </w:r>
      <w:r w:rsidR="004069DA">
        <w:t xml:space="preserve"> que se relacionan</w:t>
      </w:r>
      <w:r w:rsidR="00BD03AD">
        <w:t xml:space="preserve"> fue de $25.</w:t>
      </w:r>
      <w:r w:rsidR="00FC2C69">
        <w:t xml:space="preserve">658.347.775 y el total de </w:t>
      </w:r>
      <w:r w:rsidR="009520BE">
        <w:t>egresos ejecutados</w:t>
      </w:r>
      <w:r w:rsidR="00FC2C69">
        <w:t xml:space="preserve"> fue de $</w:t>
      </w:r>
      <w:r w:rsidR="00646EEE">
        <w:t>25.078.736.916</w:t>
      </w:r>
      <w:r w:rsidR="009520BE">
        <w:t>, lo cual derivaría en un superávit de $</w:t>
      </w:r>
      <w:r w:rsidR="007C220E" w:rsidRPr="007C220E">
        <w:t>579.610.859</w:t>
      </w:r>
      <w:r w:rsidR="007C220E">
        <w:t>.</w:t>
      </w:r>
    </w:p>
    <w:p w14:paraId="280E403C" w14:textId="77777777" w:rsidR="006C45D9" w:rsidRDefault="006C45D9">
      <w:pPr>
        <w:spacing w:line="240" w:lineRule="auto"/>
        <w:contextualSpacing/>
        <w:jc w:val="both"/>
      </w:pPr>
    </w:p>
    <w:p w14:paraId="45C315B0" w14:textId="77777777" w:rsidR="00B83F79" w:rsidRDefault="00B83F79">
      <w:pPr>
        <w:spacing w:line="240" w:lineRule="auto"/>
        <w:contextualSpacing/>
        <w:jc w:val="both"/>
      </w:pPr>
      <w:r w:rsidRPr="00B83F79">
        <w:t>Ante esta situación</w:t>
      </w:r>
      <w:r>
        <w:t>, durante el reconocimiento</w:t>
      </w:r>
      <w:r w:rsidRPr="00B83F79">
        <w:t xml:space="preserve"> se pregunt</w:t>
      </w:r>
      <w:r>
        <w:t>ó</w:t>
      </w:r>
      <w:r w:rsidRPr="00B83F79">
        <w:t xml:space="preserve"> sobre el origen de dicho déficit, las fuentes de recursos que hacen parte del desequilibrio municipal y el plan establecido para cubrirlo con el presupuesto de la vigencia 2021. Los funcionarios de la Entidad Territorial establecieron que no contaban con la información para sustentar lo ocurrido. Del mismo modo, afirmaron no tener dificultades en la ejecución presupuestal (cuentas por pagar, reservas y recursos del balance) para la vigencia 2021.</w:t>
      </w:r>
      <w:r w:rsidR="00C917D7">
        <w:t xml:space="preserve"> Por lo tanto, la </w:t>
      </w:r>
      <w:r w:rsidR="006C45D9">
        <w:t>E</w:t>
      </w:r>
      <w:r w:rsidR="00C917D7">
        <w:t>ntidad deberá revisar el acto administrativo y determinar la situación de tesorería</w:t>
      </w:r>
      <w:r w:rsidR="002153F1">
        <w:t xml:space="preserve"> para la vigencia</w:t>
      </w:r>
      <w:r w:rsidR="00C917D7">
        <w:t>.</w:t>
      </w:r>
    </w:p>
    <w:p w14:paraId="6823DD3F" w14:textId="77777777" w:rsidR="006C45D9" w:rsidRDefault="006C45D9">
      <w:pPr>
        <w:spacing w:line="240" w:lineRule="auto"/>
        <w:contextualSpacing/>
        <w:jc w:val="both"/>
      </w:pPr>
    </w:p>
    <w:p w14:paraId="42EBB1B2" w14:textId="77777777" w:rsidR="00C65B49" w:rsidRDefault="00375516">
      <w:pPr>
        <w:spacing w:line="240" w:lineRule="auto"/>
        <w:contextualSpacing/>
        <w:jc w:val="both"/>
      </w:pPr>
      <w:r>
        <w:t xml:space="preserve">Frente a los saldos en bancos, </w:t>
      </w:r>
      <w:r w:rsidR="00D0410F" w:rsidRPr="00D0410F">
        <w:t>consultado</w:t>
      </w:r>
      <w:r w:rsidR="009A4188">
        <w:t>s</w:t>
      </w:r>
      <w:r w:rsidR="00D0410F" w:rsidRPr="00D0410F">
        <w:t xml:space="preserve"> los extractos bancarios remitidos por la Entidad Territorial, </w:t>
      </w:r>
      <w:r w:rsidR="00D0410F">
        <w:t>en 2018 fue</w:t>
      </w:r>
      <w:r w:rsidR="009A4188">
        <w:t>ron</w:t>
      </w:r>
      <w:r w:rsidR="00D0410F" w:rsidRPr="00D0410F">
        <w:t xml:space="preserve"> del 1</w:t>
      </w:r>
      <w:r w:rsidR="00D0410F">
        <w:t>1</w:t>
      </w:r>
      <w:r w:rsidR="006C45D9">
        <w:t xml:space="preserve"> </w:t>
      </w:r>
      <w:r w:rsidR="00D0410F" w:rsidRPr="00D0410F">
        <w:t>% del total de los recursos recaudados ($311.769.024), e</w:t>
      </w:r>
      <w:r w:rsidR="009A4188">
        <w:t>n</w:t>
      </w:r>
      <w:r w:rsidR="00D563DF">
        <w:t xml:space="preserve"> 2019 represent</w:t>
      </w:r>
      <w:r w:rsidR="009A4188">
        <w:t>aron</w:t>
      </w:r>
      <w:r w:rsidR="00D563DF">
        <w:t xml:space="preserve"> el</w:t>
      </w:r>
      <w:r w:rsidR="00D0410F" w:rsidRPr="00D0410F">
        <w:t xml:space="preserve"> </w:t>
      </w:r>
      <w:r w:rsidR="00D563DF">
        <w:t>2</w:t>
      </w:r>
      <w:r w:rsidR="006C45D9">
        <w:t xml:space="preserve"> </w:t>
      </w:r>
      <w:r w:rsidR="00D0410F" w:rsidRPr="00D0410F">
        <w:t>% de lo recaudado ($</w:t>
      </w:r>
      <w:r w:rsidR="00D563DF" w:rsidRPr="00D563DF">
        <w:t>48.686.375</w:t>
      </w:r>
      <w:r w:rsidR="00D0410F" w:rsidRPr="00D0410F">
        <w:t>) y e</w:t>
      </w:r>
      <w:r w:rsidR="00D563DF">
        <w:t>n 2020 fue</w:t>
      </w:r>
      <w:r w:rsidR="009A4188">
        <w:t>ron</w:t>
      </w:r>
      <w:r w:rsidR="00D563DF">
        <w:t xml:space="preserve"> el</w:t>
      </w:r>
      <w:r w:rsidR="00101602">
        <w:t xml:space="preserve"> 20</w:t>
      </w:r>
      <w:r w:rsidR="006C45D9">
        <w:t xml:space="preserve"> </w:t>
      </w:r>
      <w:r w:rsidR="00D0410F" w:rsidRPr="00D0410F">
        <w:t>% del total de los ingresos ($</w:t>
      </w:r>
      <w:r w:rsidR="00101602" w:rsidRPr="00101602">
        <w:t>552.070.013</w:t>
      </w:r>
      <w:r w:rsidR="00D0410F" w:rsidRPr="00D0410F">
        <w:t xml:space="preserve">). De igual manera, </w:t>
      </w:r>
      <w:r w:rsidR="00425945">
        <w:t>como se mencionó previamente</w:t>
      </w:r>
      <w:r w:rsidR="009E4D6F">
        <w:t>,</w:t>
      </w:r>
      <w:r w:rsidR="00D0410F" w:rsidRPr="00D0410F">
        <w:t xml:space="preserve"> en lo relacionado con el inadecuado manejo de los rendimientos financieros y su no incorporación, </w:t>
      </w:r>
      <w:r w:rsidR="009E4D6F">
        <w:t xml:space="preserve">se evidencia </w:t>
      </w:r>
      <w:r w:rsidR="00D0410F" w:rsidRPr="00D0410F">
        <w:t xml:space="preserve">que </w:t>
      </w:r>
      <w:r w:rsidR="002F5756">
        <w:t xml:space="preserve">estos </w:t>
      </w:r>
      <w:r w:rsidR="00D0410F" w:rsidRPr="00D0410F">
        <w:t xml:space="preserve">no se presupuestan y tampoco se reconocen en el recaudo en las vigencias 2019 y 2020, a pesar de que los extractos bancarios </w:t>
      </w:r>
      <w:r w:rsidR="00B074AF">
        <w:t xml:space="preserve">evidencian que </w:t>
      </w:r>
      <w:r w:rsidR="00D0410F" w:rsidRPr="00D0410F">
        <w:t xml:space="preserve">estos intereses son reconocidos, como lo estipula el Convenio de la Cuenta Bancaria suscrito entre </w:t>
      </w:r>
      <w:r w:rsidR="00B074AF">
        <w:t>el</w:t>
      </w:r>
      <w:r w:rsidR="00D0410F" w:rsidRPr="00D0410F">
        <w:t xml:space="preserve"> Banco </w:t>
      </w:r>
      <w:r w:rsidR="00B81846">
        <w:t>BBVA</w:t>
      </w:r>
      <w:r w:rsidR="00D0410F" w:rsidRPr="00D0410F">
        <w:t xml:space="preserve"> y el </w:t>
      </w:r>
      <w:r w:rsidR="006C45D9">
        <w:t>M</w:t>
      </w:r>
      <w:r w:rsidR="00D0410F" w:rsidRPr="00D0410F">
        <w:t>unicipio.</w:t>
      </w:r>
    </w:p>
    <w:p w14:paraId="670CE482" w14:textId="77777777" w:rsidR="000C1D69" w:rsidRPr="00BE6A40" w:rsidRDefault="000C1D69">
      <w:pPr>
        <w:spacing w:line="240" w:lineRule="auto"/>
        <w:contextualSpacing/>
        <w:jc w:val="both"/>
      </w:pPr>
    </w:p>
    <w:p w14:paraId="74A7502D" w14:textId="77777777" w:rsidR="005579DE" w:rsidRPr="00FB27C3" w:rsidRDefault="005F524D">
      <w:pPr>
        <w:pStyle w:val="Prrafodelista"/>
        <w:numPr>
          <w:ilvl w:val="1"/>
          <w:numId w:val="4"/>
        </w:numPr>
        <w:spacing w:line="240" w:lineRule="auto"/>
        <w:rPr>
          <w:b/>
          <w:bCs/>
        </w:rPr>
      </w:pPr>
      <w:r w:rsidRPr="00FB27C3">
        <w:rPr>
          <w:b/>
          <w:bCs/>
        </w:rPr>
        <w:t>ANÁLISIS DE REPORTE FUT</w:t>
      </w:r>
      <w:r w:rsidR="006C45D9">
        <w:rPr>
          <w:b/>
          <w:bCs/>
        </w:rPr>
        <w:t>.</w:t>
      </w:r>
    </w:p>
    <w:p w14:paraId="51BBBF57" w14:textId="77777777" w:rsidR="006C45D9" w:rsidRDefault="006C45D9">
      <w:pPr>
        <w:spacing w:after="0" w:line="240" w:lineRule="auto"/>
        <w:contextualSpacing/>
        <w:jc w:val="both"/>
        <w:textAlignment w:val="baseline"/>
        <w:rPr>
          <w:rFonts w:eastAsia="Times New Roman" w:cs="Arial"/>
          <w:lang w:val="es-CO" w:eastAsia="es-CO"/>
        </w:rPr>
      </w:pPr>
    </w:p>
    <w:p w14:paraId="2AA84326" w14:textId="77777777" w:rsidR="009B0190" w:rsidRDefault="009B0190">
      <w:pPr>
        <w:spacing w:after="0" w:line="240" w:lineRule="auto"/>
        <w:contextualSpacing/>
        <w:jc w:val="both"/>
        <w:textAlignment w:val="baseline"/>
        <w:rPr>
          <w:rFonts w:eastAsia="Times New Roman" w:cs="Arial"/>
          <w:lang w:val="es-CO" w:eastAsia="es-CO"/>
        </w:rPr>
      </w:pPr>
      <w:r w:rsidRPr="009B0190">
        <w:rPr>
          <w:rFonts w:eastAsia="Times New Roman" w:cs="Arial"/>
          <w:lang w:val="es-CO" w:eastAsia="es-CO"/>
        </w:rPr>
        <w:t xml:space="preserve">A continuación, se destacan las principales inconsistencias encontradas al realizar el análisis comparativo entre las ejecuciones presupuestales del Municipio de </w:t>
      </w:r>
      <w:r>
        <w:rPr>
          <w:rFonts w:eastAsia="Times New Roman" w:cs="Arial"/>
          <w:lang w:val="es-CO" w:eastAsia="es-CO"/>
        </w:rPr>
        <w:t xml:space="preserve">Puerto Leguízamo – Putumayo </w:t>
      </w:r>
      <w:r w:rsidRPr="009B0190">
        <w:rPr>
          <w:rFonts w:eastAsia="Times New Roman" w:cs="Arial"/>
          <w:lang w:val="es-CO" w:eastAsia="es-CO"/>
        </w:rPr>
        <w:t xml:space="preserve">y los reportes realizados al Formulario Único Territorial - FUT durante las vigencias 2018, 2019 y 2020 en cuanto a los ingresos, los gastos y el cierre fiscal. Este análisis se realiza con el fin de confirmar la existencia de las inconsistencias mencionadas por el </w:t>
      </w:r>
      <w:r w:rsidR="00F20BD9">
        <w:rPr>
          <w:rFonts w:eastAsia="Times New Roman" w:cs="Arial"/>
          <w:lang w:val="es-CO" w:eastAsia="es-CO"/>
        </w:rPr>
        <w:t>“</w:t>
      </w:r>
      <w:r w:rsidR="0041142E" w:rsidRPr="00594449">
        <w:rPr>
          <w:rFonts w:eastAsia="Times New Roman" w:cs="Arial"/>
          <w:i/>
          <w:iCs/>
          <w:lang w:val="es-CO" w:eastAsia="es-CO"/>
        </w:rPr>
        <w:t>Informe de monitoreo de campo, Puerto Leguízamo - Putumayo, Vigencias 2018 y 2019 (corte junio)</w:t>
      </w:r>
      <w:r w:rsidR="00F20BD9">
        <w:rPr>
          <w:rFonts w:eastAsia="Times New Roman" w:cs="Arial"/>
          <w:lang w:val="es-CO" w:eastAsia="es-CO"/>
        </w:rPr>
        <w:t>”</w:t>
      </w:r>
      <w:r w:rsidRPr="009B0190">
        <w:rPr>
          <w:rFonts w:eastAsia="Times New Roman" w:cs="Arial"/>
          <w:lang w:val="es-CO" w:eastAsia="es-CO"/>
        </w:rPr>
        <w:t>.</w:t>
      </w:r>
      <w:r w:rsidR="009E192D">
        <w:rPr>
          <w:rFonts w:eastAsia="Times New Roman" w:cs="Arial"/>
          <w:lang w:val="es-CO" w:eastAsia="es-CO"/>
        </w:rPr>
        <w:t xml:space="preserve"> El análisis detallado de las inconsistencias se relaciona al final del documento en el Anexo.</w:t>
      </w:r>
    </w:p>
    <w:p w14:paraId="1424DAC7" w14:textId="77777777" w:rsidR="001F1340" w:rsidRPr="009B0190" w:rsidRDefault="001F1340">
      <w:pPr>
        <w:spacing w:after="0" w:line="240" w:lineRule="auto"/>
        <w:contextualSpacing/>
        <w:jc w:val="both"/>
        <w:textAlignment w:val="baseline"/>
        <w:rPr>
          <w:rFonts w:eastAsia="Times New Roman" w:cs="Arial"/>
          <w:lang w:val="es-CO" w:eastAsia="es-CO"/>
        </w:rPr>
      </w:pPr>
    </w:p>
    <w:p w14:paraId="64E9D331" w14:textId="77777777" w:rsidR="00A61836" w:rsidRDefault="00A61836">
      <w:pPr>
        <w:pStyle w:val="Prrafodelista"/>
        <w:numPr>
          <w:ilvl w:val="0"/>
          <w:numId w:val="10"/>
        </w:numPr>
        <w:spacing w:line="240" w:lineRule="auto"/>
        <w:rPr>
          <w:b/>
          <w:bCs/>
        </w:rPr>
      </w:pPr>
      <w:r>
        <w:rPr>
          <w:b/>
          <w:bCs/>
        </w:rPr>
        <w:t>Ingresos</w:t>
      </w:r>
      <w:r w:rsidR="00F20BD9">
        <w:rPr>
          <w:b/>
          <w:bCs/>
        </w:rPr>
        <w:t>.</w:t>
      </w:r>
    </w:p>
    <w:p w14:paraId="7957E2E7" w14:textId="77777777" w:rsidR="002C2A46" w:rsidRDefault="002C2A46">
      <w:pPr>
        <w:spacing w:line="240" w:lineRule="auto"/>
        <w:contextualSpacing/>
        <w:jc w:val="both"/>
      </w:pPr>
    </w:p>
    <w:p w14:paraId="3BA8AB88" w14:textId="77777777" w:rsidR="00467C60" w:rsidRDefault="001F1340">
      <w:pPr>
        <w:spacing w:after="0" w:line="240" w:lineRule="auto"/>
        <w:contextualSpacing/>
        <w:jc w:val="both"/>
        <w:rPr>
          <w:rFonts w:eastAsia="Times New Roman" w:cs="Arial"/>
          <w:lang w:val="es-CO" w:eastAsia="es-CO"/>
        </w:rPr>
      </w:pPr>
      <w:r>
        <w:t xml:space="preserve">En la vigencia 2018 el </w:t>
      </w:r>
      <w:r w:rsidR="002C2A46">
        <w:t>M</w:t>
      </w:r>
      <w:r>
        <w:t xml:space="preserve">unicipio de Puerto Leguízamo – Putumayo presentó significativas diferencias entre los saldos de ingresos contenidos en las ejecuciones presupuestales y lo reportado en el Formulario Único Territorial. Las inconsistencias </w:t>
      </w:r>
      <w:r w:rsidR="00692F8A">
        <w:t xml:space="preserve">se </w:t>
      </w:r>
      <w:r w:rsidR="000F32D9">
        <w:t>evidencian,</w:t>
      </w:r>
      <w:r w:rsidR="00692F8A">
        <w:t xml:space="preserve"> por ejemplo, al </w:t>
      </w:r>
      <w:r w:rsidR="00692F8A" w:rsidRPr="00692F8A">
        <w:t xml:space="preserve">revisar el reporte de la </w:t>
      </w:r>
      <w:r w:rsidR="002C2A46">
        <w:t>C</w:t>
      </w:r>
      <w:r w:rsidR="00692F8A" w:rsidRPr="00692F8A">
        <w:t xml:space="preserve">ategoría de </w:t>
      </w:r>
      <w:r w:rsidR="002C2A46">
        <w:t>I</w:t>
      </w:r>
      <w:r w:rsidR="00692F8A" w:rsidRPr="00692F8A">
        <w:t xml:space="preserve">ngresos para </w:t>
      </w:r>
      <w:r w:rsidR="00692F8A">
        <w:t>la vigencia 2018</w:t>
      </w:r>
      <w:r w:rsidR="0026357D">
        <w:t>,</w:t>
      </w:r>
      <w:r w:rsidR="00692F8A">
        <w:t xml:space="preserve"> en donde </w:t>
      </w:r>
      <w:r w:rsidR="00692F8A" w:rsidRPr="00692F8A">
        <w:t xml:space="preserve">se confirmó que la </w:t>
      </w:r>
      <w:r w:rsidR="002C2A46">
        <w:t>E</w:t>
      </w:r>
      <w:r w:rsidR="00692F8A" w:rsidRPr="00692F8A">
        <w:t xml:space="preserve">ntidad </w:t>
      </w:r>
      <w:r w:rsidR="002C2A46">
        <w:t>T</w:t>
      </w:r>
      <w:r w:rsidR="00692F8A" w:rsidRPr="00692F8A">
        <w:t>erritorial reportó únicamente saldos relacionados con SGP Propósito General para Libre Destinación de manera discriminada</w:t>
      </w:r>
      <w:r w:rsidR="00692F8A">
        <w:t>.</w:t>
      </w:r>
      <w:r w:rsidR="00692F8A" w:rsidRPr="00692F8A">
        <w:t xml:space="preserve"> En cuanto a los recursos para Libre Inversión, Deporte y Cultura, estos se </w:t>
      </w:r>
      <w:r w:rsidR="00692F8A" w:rsidRPr="00692F8A">
        <w:lastRenderedPageBreak/>
        <w:t>presentaron de manera agregada en una única cuenta</w:t>
      </w:r>
      <w:r w:rsidR="002C2A46">
        <w:t>,</w:t>
      </w:r>
      <w:r w:rsidR="00692F8A" w:rsidRPr="00692F8A">
        <w:t xml:space="preserve"> </w:t>
      </w:r>
      <w:r w:rsidR="002C2A46">
        <w:t xml:space="preserve">la </w:t>
      </w:r>
      <w:r w:rsidR="00692F8A" w:rsidRPr="00692F8A">
        <w:t>TI.A.2.6.2 Transferencias para inversión</w:t>
      </w:r>
      <w:r w:rsidR="002C2A46">
        <w:t xml:space="preserve"> d</w:t>
      </w:r>
      <w:r w:rsidR="00692F8A" w:rsidRPr="00692F8A">
        <w:t>el Nivel Nacional</w:t>
      </w:r>
      <w:r w:rsidR="002C2A46">
        <w:t xml:space="preserve"> </w:t>
      </w:r>
      <w:r w:rsidR="00692F8A" w:rsidRPr="00692F8A">
        <w:t>Sistema General de Participaciones.</w:t>
      </w:r>
      <w:r w:rsidR="00692F8A">
        <w:t xml:space="preserve"> En las vigencias 2019 y 2020 se corrige esta situación, pero se siguen presentando diferencias entre las cifras de las ejecuciones presupuestales y </w:t>
      </w:r>
      <w:r w:rsidR="00581A2C">
        <w:t>las cifras del reporte en el FUT</w:t>
      </w:r>
      <w:r w:rsidR="00EC41EA">
        <w:t>, específicamente en los valores de los ingresos corrientes para todas las destinaciones del SGP Propósito General</w:t>
      </w:r>
      <w:r w:rsidR="00581A2C">
        <w:t xml:space="preserve">. </w:t>
      </w:r>
      <w:r w:rsidR="00467C60" w:rsidRPr="00261E19">
        <w:rPr>
          <w:rFonts w:eastAsia="Times New Roman" w:cs="Arial"/>
          <w:lang w:val="es-CO" w:eastAsia="es-CO"/>
        </w:rPr>
        <w:t>En este caso se mantiene la ausencia de reporte de los rendimientos financieros, los cuales tampoco se registraron en el FUT, ni en el presupuesto definitivo ni en el recaudo para las vigencias</w:t>
      </w:r>
      <w:r w:rsidR="00467C60">
        <w:rPr>
          <w:rFonts w:eastAsia="Times New Roman" w:cs="Arial"/>
          <w:lang w:val="es-CO" w:eastAsia="es-CO"/>
        </w:rPr>
        <w:t xml:space="preserve"> 2018, </w:t>
      </w:r>
      <w:r w:rsidR="00467C60" w:rsidRPr="00261E19">
        <w:rPr>
          <w:rFonts w:eastAsia="Times New Roman" w:cs="Arial"/>
          <w:lang w:val="es-CO" w:eastAsia="es-CO"/>
        </w:rPr>
        <w:t>201</w:t>
      </w:r>
      <w:r w:rsidR="00467C60">
        <w:rPr>
          <w:rFonts w:eastAsia="Times New Roman" w:cs="Arial"/>
          <w:lang w:val="es-CO" w:eastAsia="es-CO"/>
        </w:rPr>
        <w:t>9</w:t>
      </w:r>
      <w:r w:rsidR="00467C60" w:rsidRPr="00261E19">
        <w:rPr>
          <w:rFonts w:eastAsia="Times New Roman" w:cs="Arial"/>
          <w:lang w:val="es-CO" w:eastAsia="es-CO"/>
        </w:rPr>
        <w:t xml:space="preserve"> y 20</w:t>
      </w:r>
      <w:r w:rsidR="00467C60">
        <w:rPr>
          <w:rFonts w:eastAsia="Times New Roman" w:cs="Arial"/>
          <w:lang w:val="es-CO" w:eastAsia="es-CO"/>
        </w:rPr>
        <w:t>20.</w:t>
      </w:r>
    </w:p>
    <w:p w14:paraId="50C964BC" w14:textId="77777777" w:rsidR="002C2A46" w:rsidRPr="00467C60" w:rsidRDefault="002C2A46">
      <w:pPr>
        <w:spacing w:after="0" w:line="240" w:lineRule="auto"/>
        <w:contextualSpacing/>
        <w:jc w:val="both"/>
        <w:rPr>
          <w:b/>
          <w:bCs/>
          <w:lang w:val="es-CO"/>
        </w:rPr>
      </w:pPr>
    </w:p>
    <w:p w14:paraId="592A6274" w14:textId="77777777" w:rsidR="008E00F3" w:rsidRDefault="00A61836">
      <w:pPr>
        <w:pStyle w:val="Prrafodelista"/>
        <w:numPr>
          <w:ilvl w:val="0"/>
          <w:numId w:val="10"/>
        </w:numPr>
        <w:spacing w:after="0" w:line="240" w:lineRule="auto"/>
        <w:rPr>
          <w:b/>
          <w:bCs/>
        </w:rPr>
      </w:pPr>
      <w:r>
        <w:rPr>
          <w:b/>
          <w:bCs/>
        </w:rPr>
        <w:t>Gastos</w:t>
      </w:r>
      <w:r w:rsidR="002C2A46">
        <w:rPr>
          <w:b/>
          <w:bCs/>
        </w:rPr>
        <w:t>.</w:t>
      </w:r>
    </w:p>
    <w:p w14:paraId="4A0FD408" w14:textId="77777777" w:rsidR="002C2A46" w:rsidRDefault="002C2A46">
      <w:pPr>
        <w:spacing w:after="0" w:line="240" w:lineRule="auto"/>
        <w:contextualSpacing/>
        <w:jc w:val="both"/>
        <w:rPr>
          <w:rFonts w:eastAsia="Times New Roman" w:cs="Arial"/>
          <w:lang w:val="es-CO" w:eastAsia="es-CO"/>
        </w:rPr>
      </w:pPr>
    </w:p>
    <w:p w14:paraId="5C461337" w14:textId="77777777" w:rsidR="008E00F3" w:rsidRDefault="008E00F3">
      <w:pPr>
        <w:spacing w:after="0" w:line="240" w:lineRule="auto"/>
        <w:contextualSpacing/>
        <w:jc w:val="both"/>
        <w:rPr>
          <w:rFonts w:eastAsia="Times New Roman" w:cs="Arial"/>
          <w:lang w:val="es-CO" w:eastAsia="es-CO"/>
        </w:rPr>
      </w:pPr>
      <w:r>
        <w:rPr>
          <w:rFonts w:eastAsia="Times New Roman" w:cs="Arial"/>
          <w:lang w:val="es-CO" w:eastAsia="es-CO"/>
        </w:rPr>
        <w:t xml:space="preserve">En el reporte de las </w:t>
      </w:r>
      <w:r w:rsidR="00725F44">
        <w:rPr>
          <w:rFonts w:eastAsia="Times New Roman" w:cs="Arial"/>
          <w:lang w:val="es-CO" w:eastAsia="es-CO"/>
        </w:rPr>
        <w:t>C</w:t>
      </w:r>
      <w:r>
        <w:rPr>
          <w:rFonts w:eastAsia="Times New Roman" w:cs="Arial"/>
          <w:lang w:val="es-CO" w:eastAsia="es-CO"/>
        </w:rPr>
        <w:t>ategorías FUT</w:t>
      </w:r>
      <w:r w:rsidR="00D9356C">
        <w:rPr>
          <w:rFonts w:eastAsia="Times New Roman" w:cs="Arial"/>
          <w:lang w:val="es-CO" w:eastAsia="es-CO"/>
        </w:rPr>
        <w:t xml:space="preserve"> – </w:t>
      </w:r>
      <w:r>
        <w:rPr>
          <w:rFonts w:eastAsia="Times New Roman" w:cs="Arial"/>
          <w:lang w:val="es-CO" w:eastAsia="es-CO"/>
        </w:rPr>
        <w:t>Gastos de Funcionamiento</w:t>
      </w:r>
      <w:r w:rsidR="00D9356C">
        <w:rPr>
          <w:rFonts w:eastAsia="Times New Roman" w:cs="Arial"/>
          <w:lang w:val="es-CO" w:eastAsia="es-CO"/>
        </w:rPr>
        <w:t xml:space="preserve"> y FUT – Gastos de Inversión</w:t>
      </w:r>
      <w:r>
        <w:rPr>
          <w:rFonts w:eastAsia="Times New Roman" w:cs="Arial"/>
          <w:lang w:val="es-CO" w:eastAsia="es-CO"/>
        </w:rPr>
        <w:t xml:space="preserve"> </w:t>
      </w:r>
      <w:r w:rsidRPr="008E00F3">
        <w:rPr>
          <w:rFonts w:eastAsia="Times New Roman" w:cs="Arial"/>
          <w:lang w:val="es-CO" w:eastAsia="es-CO"/>
        </w:rPr>
        <w:t>se evidencia que existen diferencias, las cuales se resaltan en detalle en el Anexo, en todas las vigencias entre los saldos presupuestados, comprometidos, obligados y pagados que se reportan y los que se registraron en las ejecuciones presupuestales remitidas a esta Dirección. Las diferencias se presentan porque se reportan saldos mayores o menores en Libre Destinación, Libre Inversión, Deporte y Recreación y Cultura</w:t>
      </w:r>
      <w:r w:rsidR="00725F44">
        <w:rPr>
          <w:rFonts w:eastAsia="Times New Roman" w:cs="Arial"/>
          <w:lang w:val="es-CO" w:eastAsia="es-CO"/>
        </w:rPr>
        <w:t>;</w:t>
      </w:r>
      <w:r w:rsidRPr="008E00F3">
        <w:rPr>
          <w:rFonts w:eastAsia="Times New Roman" w:cs="Arial"/>
          <w:lang w:val="es-CO" w:eastAsia="es-CO"/>
        </w:rPr>
        <w:t xml:space="preserve"> si bien</w:t>
      </w:r>
      <w:r w:rsidR="00725F44">
        <w:rPr>
          <w:rFonts w:eastAsia="Times New Roman" w:cs="Arial"/>
          <w:lang w:val="es-CO" w:eastAsia="es-CO"/>
        </w:rPr>
        <w:t>,</w:t>
      </w:r>
      <w:r w:rsidRPr="008E00F3">
        <w:rPr>
          <w:rFonts w:eastAsia="Times New Roman" w:cs="Arial"/>
          <w:lang w:val="es-CO" w:eastAsia="es-CO"/>
        </w:rPr>
        <w:t xml:space="preserve"> para estos dos últimos componentes son menos recurrentes y de menor monto que las diferencias en Libre Inversión y Libre Destinación. Lo anterior evidencia el deficiente reporte en los sistemas de información por parte de la Entidad Territorial.</w:t>
      </w:r>
    </w:p>
    <w:p w14:paraId="075C1CCB" w14:textId="77777777" w:rsidR="00725F44" w:rsidRPr="008E00F3" w:rsidRDefault="00725F44">
      <w:pPr>
        <w:spacing w:after="0" w:line="240" w:lineRule="auto"/>
        <w:contextualSpacing/>
        <w:jc w:val="both"/>
        <w:rPr>
          <w:b/>
          <w:bCs/>
        </w:rPr>
      </w:pPr>
    </w:p>
    <w:p w14:paraId="73C95C3A" w14:textId="77777777" w:rsidR="00A61836" w:rsidRPr="00A61836" w:rsidRDefault="00A61836">
      <w:pPr>
        <w:pStyle w:val="Prrafodelista"/>
        <w:numPr>
          <w:ilvl w:val="0"/>
          <w:numId w:val="10"/>
        </w:numPr>
        <w:spacing w:after="0" w:line="240" w:lineRule="auto"/>
        <w:rPr>
          <w:b/>
          <w:bCs/>
        </w:rPr>
      </w:pPr>
      <w:r>
        <w:rPr>
          <w:b/>
          <w:bCs/>
        </w:rPr>
        <w:t>Cierre fiscal</w:t>
      </w:r>
      <w:r w:rsidR="00725F44">
        <w:rPr>
          <w:b/>
          <w:bCs/>
        </w:rPr>
        <w:t>.</w:t>
      </w:r>
    </w:p>
    <w:p w14:paraId="0EE41E06" w14:textId="77777777" w:rsidR="00725F44" w:rsidRDefault="00725F44">
      <w:pPr>
        <w:spacing w:after="0" w:line="240" w:lineRule="auto"/>
        <w:contextualSpacing/>
        <w:jc w:val="both"/>
      </w:pPr>
    </w:p>
    <w:p w14:paraId="606096E2" w14:textId="77777777" w:rsidR="00A57EC9" w:rsidRDefault="0030418A">
      <w:pPr>
        <w:spacing w:after="0" w:line="240" w:lineRule="auto"/>
        <w:contextualSpacing/>
        <w:jc w:val="both"/>
      </w:pPr>
      <w:r w:rsidRPr="0030418A">
        <w:t xml:space="preserve">En la </w:t>
      </w:r>
      <w:r w:rsidR="008F5EEB">
        <w:t>C</w:t>
      </w:r>
      <w:r w:rsidRPr="0030418A">
        <w:t xml:space="preserve">ategoría de Cierre Fiscal, el </w:t>
      </w:r>
      <w:r w:rsidR="008F5EEB">
        <w:t>M</w:t>
      </w:r>
      <w:r w:rsidRPr="0030418A">
        <w:t xml:space="preserve">unicipio presenta varias </w:t>
      </w:r>
      <w:r>
        <w:t>i</w:t>
      </w:r>
      <w:r w:rsidRPr="0030418A">
        <w:t xml:space="preserve">nconsistencias </w:t>
      </w:r>
      <w:r w:rsidR="000626FE">
        <w:t xml:space="preserve">frente a los datos que derivan de las ejecuciones </w:t>
      </w:r>
      <w:r w:rsidR="006F40BD">
        <w:t>presupuestales. En el caso de 2018, se presenta un superávit fiscal de $</w:t>
      </w:r>
      <w:r w:rsidR="006108BB" w:rsidRPr="006108BB">
        <w:t>1.537.195.354</w:t>
      </w:r>
      <w:r w:rsidR="007A13FA">
        <w:t>, saldo que no coincide ni con el resultado presupuestal del cierre fiscal ni con el monto incorporado en el presupuesto de ingresos de la vigencia 2019</w:t>
      </w:r>
      <w:r w:rsidR="008601A4">
        <w:t>, el mayor monto de superávit se reporta en 2019 para Libre Destinación con $</w:t>
      </w:r>
      <w:r w:rsidR="00D93712" w:rsidRPr="00D93712">
        <w:t>936.990.406</w:t>
      </w:r>
      <w:r w:rsidR="00D93712">
        <w:t xml:space="preserve">. Llama especialmente la atención en esta vigencia que en el caso de Cultura se reporta un déficit de </w:t>
      </w:r>
      <w:r w:rsidR="00E80B13">
        <w:t>$</w:t>
      </w:r>
      <w:r w:rsidR="00E80B13" w:rsidRPr="00E80B13">
        <w:t>1.070.019</w:t>
      </w:r>
      <w:r w:rsidR="00E80B13">
        <w:t xml:space="preserve">, valor que no coincide con los montos de las ejecuciones presupuestales. </w:t>
      </w:r>
      <w:r w:rsidR="00D93712">
        <w:t xml:space="preserve">En la vigencia 2019, el monto de superávit </w:t>
      </w:r>
      <w:r w:rsidR="00B303B6">
        <w:t>fiscal reportado fue de $</w:t>
      </w:r>
      <w:r w:rsidR="00D57C77" w:rsidRPr="00D57C77">
        <w:t>1.423.177.516</w:t>
      </w:r>
      <w:r w:rsidR="00D57C77">
        <w:t>, mientras, en el ejercicio basado en las ejecuciones presupuestales para esta vigencia</w:t>
      </w:r>
      <w:r w:rsidR="0026357D">
        <w:t>,</w:t>
      </w:r>
      <w:r w:rsidR="00D57C77">
        <w:t xml:space="preserve"> se evidenció un resultado presupuestal deficitario</w:t>
      </w:r>
      <w:r w:rsidR="00037533">
        <w:t>; esta situación se repite en 2020, en donde a pesar de que el ejercicio arrojó un déficit presupuestal, se reporta un superávit de $</w:t>
      </w:r>
      <w:r w:rsidR="002D6681" w:rsidRPr="002D6681">
        <w:t>1.082.959.163</w:t>
      </w:r>
      <w:r w:rsidR="002D6681">
        <w:t>. Cabe resaltar que para 2020 no se reportaron saldos de cierre fiscal para Deporte y Recreación ni para Cultura.</w:t>
      </w:r>
    </w:p>
    <w:p w14:paraId="7489399C" w14:textId="77777777" w:rsidR="008F5EEB" w:rsidRDefault="008F5EEB">
      <w:pPr>
        <w:spacing w:line="240" w:lineRule="auto"/>
        <w:contextualSpacing/>
        <w:jc w:val="both"/>
      </w:pPr>
    </w:p>
    <w:p w14:paraId="4F7409E3" w14:textId="77777777" w:rsidR="002D6681" w:rsidRDefault="00942DEB">
      <w:pPr>
        <w:spacing w:line="240" w:lineRule="auto"/>
        <w:contextualSpacing/>
        <w:jc w:val="both"/>
      </w:pPr>
      <w:r>
        <w:t xml:space="preserve">En cuanto al rezago presupuestal, se evidencia que el </w:t>
      </w:r>
      <w:r w:rsidR="006A5061">
        <w:t>M</w:t>
      </w:r>
      <w:r>
        <w:t xml:space="preserve">unicipio de Puerto Leguízamo – Putumayo </w:t>
      </w:r>
      <w:r w:rsidR="00CD0110">
        <w:t>no reporta reservas presupuestales para ningún componente de la Participación de Propósito General en las vigencias analizadas, esto a pesar de que se constituyen reservas en los actos administrativos y en el ejercicio presupuestal de las ejecuciones de gasto remitidas</w:t>
      </w:r>
      <w:r w:rsidR="0026357D">
        <w:t>,</w:t>
      </w:r>
      <w:r w:rsidR="00CD0110">
        <w:t xml:space="preserve"> se evidencian saldos de esta naturaleza. Así mismo, si bien no es posible comparar los saldos de las cuentas por pagar con los decretos de constitución por la ausencia de la </w:t>
      </w:r>
      <w:r w:rsidR="0026357D">
        <w:t xml:space="preserve">identificación de la </w:t>
      </w:r>
      <w:r w:rsidR="00CD0110">
        <w:t xml:space="preserve">fuente de financiación, los saldos reportados en el FUT no coinciden con los valores calculados por esta Dirección en el análisis presupuestal. </w:t>
      </w:r>
      <w:r w:rsidR="00D414D3">
        <w:t>Por ejemplo, en 201</w:t>
      </w:r>
      <w:r w:rsidR="00F17B19">
        <w:t>8</w:t>
      </w:r>
      <w:r w:rsidR="00D414D3">
        <w:t xml:space="preserve"> </w:t>
      </w:r>
      <w:r w:rsidR="00F17B19">
        <w:t>el ejercicio arroja cuentas por pagar de</w:t>
      </w:r>
      <w:r w:rsidR="00D414D3">
        <w:t xml:space="preserve"> $</w:t>
      </w:r>
      <w:r w:rsidR="00D414D3" w:rsidRPr="00D414D3">
        <w:t>100.580.071</w:t>
      </w:r>
      <w:r w:rsidR="00F17B19">
        <w:t xml:space="preserve"> </w:t>
      </w:r>
      <w:r w:rsidR="00F622C6">
        <w:t xml:space="preserve">con cargo a Libre Destinación y Libre Inversión, </w:t>
      </w:r>
      <w:r w:rsidR="00F17B19">
        <w:t>y en el reporte</w:t>
      </w:r>
      <w:r w:rsidR="00F622C6">
        <w:t xml:space="preserve"> se reflejan $</w:t>
      </w:r>
      <w:r w:rsidR="00F622C6" w:rsidRPr="00F622C6">
        <w:t xml:space="preserve">124.780.435 </w:t>
      </w:r>
      <w:r w:rsidR="00F622C6">
        <w:t>de cuentas por pagar con cargo únicamente a Libre Inversión.</w:t>
      </w:r>
      <w:r w:rsidR="00EA3017">
        <w:t xml:space="preserve"> Para 2019 no se reportan cuentas por pagar</w:t>
      </w:r>
      <w:r w:rsidR="0026357D">
        <w:t>,</w:t>
      </w:r>
      <w:r w:rsidR="00EA3017">
        <w:t xml:space="preserve"> a pesar de que el ejercicio arrojó $</w:t>
      </w:r>
      <w:r w:rsidR="00EA3017" w:rsidRPr="00EA3017">
        <w:t>54.046.306</w:t>
      </w:r>
      <w:r w:rsidR="00EA3017">
        <w:t xml:space="preserve"> </w:t>
      </w:r>
      <w:r w:rsidR="00EA3017">
        <w:lastRenderedPageBreak/>
        <w:t xml:space="preserve">pendientes por cancelar y, por último, en 2020 </w:t>
      </w:r>
      <w:r w:rsidR="00E7453B">
        <w:t>se reportaron</w:t>
      </w:r>
      <w:r w:rsidR="00E7453B" w:rsidRPr="00E7453B">
        <w:t xml:space="preserve"> </w:t>
      </w:r>
      <w:r w:rsidR="00E7453B">
        <w:t>$</w:t>
      </w:r>
      <w:r w:rsidR="00E7453B" w:rsidRPr="00E7453B">
        <w:t>28.456.897</w:t>
      </w:r>
      <w:r w:rsidR="00E7453B">
        <w:t xml:space="preserve"> de cuentas por pagar en Libre Destinación, mientras que el ejercicio presupuestal arrojó $</w:t>
      </w:r>
      <w:r w:rsidR="00E7453B" w:rsidRPr="00E7453B">
        <w:t>70.290.117</w:t>
      </w:r>
      <w:r w:rsidR="00E7453B">
        <w:t>.</w:t>
      </w:r>
    </w:p>
    <w:p w14:paraId="31AC18D1" w14:textId="77777777" w:rsidR="006A5061" w:rsidRDefault="006A5061">
      <w:pPr>
        <w:spacing w:line="240" w:lineRule="auto"/>
        <w:contextualSpacing/>
        <w:jc w:val="both"/>
      </w:pPr>
    </w:p>
    <w:p w14:paraId="3240CB1D" w14:textId="77777777" w:rsidR="007513E9" w:rsidRDefault="007513E9">
      <w:pPr>
        <w:spacing w:after="0" w:line="240" w:lineRule="auto"/>
        <w:contextualSpacing/>
        <w:jc w:val="both"/>
      </w:pPr>
      <w:r>
        <w:t>En el caso de los saldos</w:t>
      </w:r>
      <w:r w:rsidR="001752F5">
        <w:t xml:space="preserve"> mínimos disponibles en </w:t>
      </w:r>
      <w:r w:rsidR="00505B3C">
        <w:t>bancos</w:t>
      </w:r>
      <w:r w:rsidR="00B758D2">
        <w:t xml:space="preserve"> reportados</w:t>
      </w:r>
      <w:r w:rsidR="00505B3C">
        <w:t xml:space="preserve">, </w:t>
      </w:r>
      <w:r w:rsidR="00136150" w:rsidRPr="00136150">
        <w:t>es</w:t>
      </w:r>
      <w:r w:rsidR="00136150">
        <w:t>tos son</w:t>
      </w:r>
      <w:r w:rsidR="00136150" w:rsidRPr="00136150">
        <w:t xml:space="preserve"> </w:t>
      </w:r>
      <w:r w:rsidR="00136150">
        <w:t>in</w:t>
      </w:r>
      <w:r w:rsidR="00136150" w:rsidRPr="00136150">
        <w:t>consistente</w:t>
      </w:r>
      <w:r w:rsidR="00136150">
        <w:t>s</w:t>
      </w:r>
      <w:r w:rsidR="00136150" w:rsidRPr="00136150">
        <w:t xml:space="preserve"> con lo contenido en l</w:t>
      </w:r>
      <w:r w:rsidR="00136150">
        <w:t>os</w:t>
      </w:r>
      <w:r w:rsidR="00136150" w:rsidRPr="00136150">
        <w:t xml:space="preserve"> extracto</w:t>
      </w:r>
      <w:r w:rsidR="00136150">
        <w:t>s</w:t>
      </w:r>
      <w:r w:rsidR="00136150" w:rsidRPr="00136150">
        <w:t xml:space="preserve"> bancario</w:t>
      </w:r>
      <w:r w:rsidR="00136150">
        <w:t>s</w:t>
      </w:r>
      <w:r w:rsidR="00136150" w:rsidRPr="00136150">
        <w:t xml:space="preserve"> remitido por la Entidad Territorial.</w:t>
      </w:r>
    </w:p>
    <w:p w14:paraId="7ABCF26B" w14:textId="77777777" w:rsidR="006A5061" w:rsidRPr="0030418A" w:rsidRDefault="006A5061">
      <w:pPr>
        <w:spacing w:after="0" w:line="240" w:lineRule="auto"/>
        <w:contextualSpacing/>
        <w:jc w:val="both"/>
      </w:pPr>
    </w:p>
    <w:p w14:paraId="3DACFFBD" w14:textId="77777777" w:rsidR="00A61836" w:rsidRPr="00FB27C3" w:rsidRDefault="00A61836">
      <w:pPr>
        <w:pStyle w:val="Prrafodelista"/>
        <w:numPr>
          <w:ilvl w:val="1"/>
          <w:numId w:val="4"/>
        </w:numPr>
        <w:spacing w:after="0" w:line="240" w:lineRule="auto"/>
        <w:rPr>
          <w:b/>
          <w:bCs/>
        </w:rPr>
      </w:pPr>
      <w:r w:rsidRPr="00FB27C3">
        <w:rPr>
          <w:b/>
          <w:bCs/>
        </w:rPr>
        <w:t>CUENTAS MAESTRAS</w:t>
      </w:r>
      <w:r w:rsidR="006A5061">
        <w:rPr>
          <w:b/>
          <w:bCs/>
        </w:rPr>
        <w:t>.</w:t>
      </w:r>
    </w:p>
    <w:p w14:paraId="30DBBBB8" w14:textId="77777777" w:rsidR="006A5061" w:rsidRDefault="006A5061">
      <w:pPr>
        <w:spacing w:after="0" w:line="240" w:lineRule="auto"/>
        <w:contextualSpacing/>
        <w:jc w:val="both"/>
      </w:pPr>
    </w:p>
    <w:p w14:paraId="78BD5550" w14:textId="77777777" w:rsidR="004A6FBF" w:rsidRDefault="00B936A7">
      <w:pPr>
        <w:spacing w:after="0" w:line="240" w:lineRule="auto"/>
        <w:contextualSpacing/>
        <w:jc w:val="both"/>
      </w:pPr>
      <w:r w:rsidRPr="00B936A7">
        <w:t xml:space="preserve">El Municipio de </w:t>
      </w:r>
      <w:r>
        <w:t xml:space="preserve">Puerto Leguízamo – Putumayo </w:t>
      </w:r>
      <w:r w:rsidRPr="00B936A7">
        <w:t xml:space="preserve">remitió a esta Dirección la </w:t>
      </w:r>
      <w:r w:rsidR="00850822" w:rsidRPr="00B936A7">
        <w:t>certificaci</w:t>
      </w:r>
      <w:r w:rsidR="00850822">
        <w:t>ón</w:t>
      </w:r>
      <w:r w:rsidR="002550A6">
        <w:t xml:space="preserve"> </w:t>
      </w:r>
      <w:r w:rsidRPr="00B936A7">
        <w:t xml:space="preserve">bancaria </w:t>
      </w:r>
      <w:r w:rsidR="008075B4" w:rsidRPr="00B936A7">
        <w:t xml:space="preserve">emitida por el </w:t>
      </w:r>
      <w:r w:rsidR="008075B4" w:rsidRPr="00305757">
        <w:t xml:space="preserve">Banco </w:t>
      </w:r>
      <w:r w:rsidR="008075B4" w:rsidRPr="00B167A2">
        <w:t>BBVA con fecha del 4 de mayo de 2021</w:t>
      </w:r>
      <w:r w:rsidR="008075B4">
        <w:t xml:space="preserve"> </w:t>
      </w:r>
      <w:r w:rsidRPr="00B936A7">
        <w:t xml:space="preserve">de la Cuenta Maestra de Propósito General No. </w:t>
      </w:r>
      <w:r w:rsidR="002A3846">
        <w:t>00130726</w:t>
      </w:r>
      <w:r w:rsidR="00D62D34">
        <w:t>020000275159</w:t>
      </w:r>
      <w:r w:rsidRPr="00B936A7">
        <w:t xml:space="preserve"> </w:t>
      </w:r>
      <w:r w:rsidR="00575478">
        <w:t>denominada “</w:t>
      </w:r>
      <w:r w:rsidR="00575478" w:rsidRPr="00FB27C3">
        <w:rPr>
          <w:i/>
          <w:iCs/>
        </w:rPr>
        <w:t>SGP – PRO</w:t>
      </w:r>
      <w:r w:rsidR="00A54E55" w:rsidRPr="00FB27C3">
        <w:rPr>
          <w:i/>
          <w:iCs/>
        </w:rPr>
        <w:t>P</w:t>
      </w:r>
      <w:r w:rsidR="00575478" w:rsidRPr="00FB27C3">
        <w:rPr>
          <w:i/>
          <w:iCs/>
        </w:rPr>
        <w:t>ÓSITO GENERAL</w:t>
      </w:r>
      <w:r w:rsidR="00B167A2">
        <w:t>”</w:t>
      </w:r>
      <w:r w:rsidR="00B167A2" w:rsidRPr="00B167A2">
        <w:t>.</w:t>
      </w:r>
      <w:r w:rsidR="00B167A2">
        <w:t xml:space="preserve"> </w:t>
      </w:r>
      <w:r w:rsidR="002550A6">
        <w:t>Cabe resaltar que e</w:t>
      </w:r>
      <w:r w:rsidR="00B167A2">
        <w:t xml:space="preserve">l </w:t>
      </w:r>
      <w:r w:rsidR="006A5061">
        <w:t>M</w:t>
      </w:r>
      <w:r w:rsidR="00B167A2">
        <w:t>unicipio no remitió la certificación de la</w:t>
      </w:r>
      <w:r w:rsidRPr="00B936A7">
        <w:t xml:space="preserve"> Cuenta Maestra Pagadora</w:t>
      </w:r>
      <w:r w:rsidR="00A54E55">
        <w:t>,</w:t>
      </w:r>
      <w:r w:rsidR="00850822">
        <w:t xml:space="preserve"> por lo cual, </w:t>
      </w:r>
      <w:r w:rsidR="0041239E">
        <w:t xml:space="preserve">teniendo en cuenta que la </w:t>
      </w:r>
      <w:r w:rsidR="006A5061">
        <w:t>E</w:t>
      </w:r>
      <w:r w:rsidR="0041239E">
        <w:t xml:space="preserve">ntidad </w:t>
      </w:r>
      <w:r w:rsidR="006A5061">
        <w:t>T</w:t>
      </w:r>
      <w:r w:rsidR="0041239E">
        <w:t xml:space="preserve">erritorial fue sujeta a una </w:t>
      </w:r>
      <w:r w:rsidR="006A5061">
        <w:t>M</w:t>
      </w:r>
      <w:r w:rsidR="0041239E">
        <w:t xml:space="preserve">edida </w:t>
      </w:r>
      <w:r w:rsidR="006A5061">
        <w:t>C</w:t>
      </w:r>
      <w:r w:rsidR="0041239E">
        <w:t xml:space="preserve">orrectiva de </w:t>
      </w:r>
      <w:r w:rsidR="006A5061">
        <w:t>S</w:t>
      </w:r>
      <w:r w:rsidR="0041239E">
        <w:t xml:space="preserve">uspensión de </w:t>
      </w:r>
      <w:r w:rsidR="006A5061">
        <w:t>G</w:t>
      </w:r>
      <w:r w:rsidR="0041239E">
        <w:t>iros</w:t>
      </w:r>
      <w:r w:rsidR="00CD555E">
        <w:t xml:space="preserve">, ordenada mediante la </w:t>
      </w:r>
      <w:r w:rsidR="00303104">
        <w:t>R</w:t>
      </w:r>
      <w:r w:rsidR="00CD555E">
        <w:t>esolución 4095 de 2019,</w:t>
      </w:r>
      <w:r w:rsidR="0041239E">
        <w:t xml:space="preserve"> por el manejo</w:t>
      </w:r>
      <w:r w:rsidR="0038554E">
        <w:t xml:space="preserve"> inadecuado</w:t>
      </w:r>
      <w:r w:rsidR="0041239E">
        <w:t xml:space="preserve"> de las Cuentas Maestras, esta Dirección consultó el expediente de dicha </w:t>
      </w:r>
      <w:r w:rsidR="006A5061">
        <w:t>M</w:t>
      </w:r>
      <w:r w:rsidR="0041239E">
        <w:t xml:space="preserve">edida para </w:t>
      </w:r>
      <w:r w:rsidR="00666EA5">
        <w:t>verificar</w:t>
      </w:r>
      <w:r w:rsidR="0041239E">
        <w:t xml:space="preserve"> la información de la Cuenta Maestra Pagadora, </w:t>
      </w:r>
      <w:r w:rsidR="002550A6">
        <w:t xml:space="preserve">la cual era uno de los requisitos para el levantamiento de la </w:t>
      </w:r>
      <w:r w:rsidR="006A5061">
        <w:t>S</w:t>
      </w:r>
      <w:r w:rsidR="002550A6">
        <w:t xml:space="preserve">uspensión de </w:t>
      </w:r>
      <w:r w:rsidR="006A5061">
        <w:t>G</w:t>
      </w:r>
      <w:r w:rsidR="002550A6">
        <w:t>iros.</w:t>
      </w:r>
    </w:p>
    <w:p w14:paraId="127EC53E" w14:textId="77777777" w:rsidR="006A5061" w:rsidRDefault="006A5061">
      <w:pPr>
        <w:spacing w:line="240" w:lineRule="auto"/>
        <w:contextualSpacing/>
        <w:jc w:val="both"/>
      </w:pPr>
    </w:p>
    <w:p w14:paraId="246193A6" w14:textId="77777777" w:rsidR="004663B5" w:rsidRDefault="004A6FBF">
      <w:pPr>
        <w:spacing w:line="240" w:lineRule="auto"/>
        <w:contextualSpacing/>
        <w:jc w:val="both"/>
      </w:pPr>
      <w:r>
        <w:t xml:space="preserve">Al </w:t>
      </w:r>
      <w:r w:rsidR="00850822">
        <w:t xml:space="preserve">consultar el expediente se identificó una certificación del Banco BBVA </w:t>
      </w:r>
      <w:r w:rsidR="002C218B">
        <w:t xml:space="preserve">con </w:t>
      </w:r>
      <w:r w:rsidR="006A5061">
        <w:t>l</w:t>
      </w:r>
      <w:r w:rsidR="002C218B">
        <w:t xml:space="preserve">a cuenta No. </w:t>
      </w:r>
      <w:r w:rsidRPr="004A6FBF">
        <w:t>00130726000200352768</w:t>
      </w:r>
      <w:r>
        <w:t xml:space="preserve"> con fecha del 21 de enero de 2020. </w:t>
      </w:r>
      <w:r w:rsidR="00CE4AA8">
        <w:t xml:space="preserve">Así mismo, esta </w:t>
      </w:r>
      <w:r w:rsidR="006A5061">
        <w:t>c</w:t>
      </w:r>
      <w:r w:rsidR="00CE4AA8">
        <w:t xml:space="preserve">uenta </w:t>
      </w:r>
      <w:r w:rsidR="00590E3C">
        <w:t xml:space="preserve">tiene asociado un convenio con la entidad bancaria del mismo número, en donde se estipulan, entre otras, las operaciones débito y crédito autorizadas para este producto en concordancia con el marco legal </w:t>
      </w:r>
      <w:r w:rsidR="008E7C4F">
        <w:t xml:space="preserve">establecido por la Resolución 0660 de 2018 para este tipo de productos financieros. </w:t>
      </w:r>
      <w:r w:rsidR="001E0406">
        <w:t xml:space="preserve">Sin embargo, en el reporte de Cuentas Maestras consultado por esta Dirección se evidenció que </w:t>
      </w:r>
      <w:r w:rsidR="004663B5" w:rsidRPr="004663B5">
        <w:t xml:space="preserve">el </w:t>
      </w:r>
      <w:r w:rsidR="006A5061">
        <w:t>M</w:t>
      </w:r>
      <w:r w:rsidR="004663B5" w:rsidRPr="004663B5">
        <w:t xml:space="preserve">unicipio </w:t>
      </w:r>
      <w:r w:rsidR="004663B5">
        <w:t>reporta abiertas</w:t>
      </w:r>
      <w:r w:rsidR="004663B5" w:rsidRPr="004663B5">
        <w:t xml:space="preserve"> dos (2) Cuentas Maestras Pagadoras para la administración de los recursos de la Participación de Propósito General, siendo estas la cuenta No. 00130726000200352768 reportada por BBVA y la cuenta No. 220691173801 reportada por el Banco Popular</w:t>
      </w:r>
      <w:r w:rsidR="004663B5">
        <w:t>.</w:t>
      </w:r>
    </w:p>
    <w:p w14:paraId="4E69FCA7" w14:textId="77777777" w:rsidR="006A5061" w:rsidRDefault="006A5061">
      <w:pPr>
        <w:spacing w:line="240" w:lineRule="auto"/>
        <w:contextualSpacing/>
        <w:jc w:val="both"/>
      </w:pPr>
    </w:p>
    <w:p w14:paraId="530E7918" w14:textId="77777777" w:rsidR="00B936A7" w:rsidRDefault="004663B5">
      <w:pPr>
        <w:spacing w:line="240" w:lineRule="auto"/>
        <w:contextualSpacing/>
        <w:jc w:val="both"/>
      </w:pPr>
      <w:r>
        <w:t xml:space="preserve">Lo anterior, </w:t>
      </w:r>
      <w:r w:rsidRPr="004663B5">
        <w:t xml:space="preserve">incumple con lo indicado en el artículo 3 de la Resolución 0660 de 2018 respecto a la apertura de una única Cuenta Maestra Pagadora para cada Cuenta Maestra, razón por la </w:t>
      </w:r>
      <w:r>
        <w:t xml:space="preserve">cual </w:t>
      </w:r>
      <w:r w:rsidR="00085937">
        <w:t>se recomienda</w:t>
      </w:r>
      <w:r>
        <w:t xml:space="preserve"> l</w:t>
      </w:r>
      <w:r w:rsidRPr="004663B5">
        <w:t xml:space="preserve">a cancelación inmediata de la cuenta No. 220691173801 </w:t>
      </w:r>
      <w:r>
        <w:t xml:space="preserve">del Banco Popular </w:t>
      </w:r>
      <w:r w:rsidRPr="004663B5">
        <w:t>ya que no cumple con los requisitos indicados. Así mismo, ninguna de las Cuentas Maestras Pagadoras mencionadas anteriormente presenta movimientos.</w:t>
      </w:r>
      <w:r w:rsidR="00B85342">
        <w:t xml:space="preserve"> Esto llama la atención teniendo en cuenta que es el instrumento financiero diseñado para realizar pagos por </w:t>
      </w:r>
      <w:r w:rsidR="0032792E">
        <w:t xml:space="preserve">medio del </w:t>
      </w:r>
      <w:r w:rsidR="006A5061">
        <w:t>B</w:t>
      </w:r>
      <w:r w:rsidR="0032792E">
        <w:t xml:space="preserve">otón </w:t>
      </w:r>
      <w:r w:rsidR="006A5061">
        <w:t>para Pago E</w:t>
      </w:r>
      <w:r w:rsidR="0032792E">
        <w:t xml:space="preserve">lectrónico </w:t>
      </w:r>
      <w:r w:rsidR="006A5061">
        <w:t xml:space="preserve">- </w:t>
      </w:r>
      <w:r w:rsidR="00B85342">
        <w:t>PSE</w:t>
      </w:r>
      <w:r w:rsidR="000242D8">
        <w:t xml:space="preserve"> como aportes </w:t>
      </w:r>
      <w:r w:rsidR="00951160">
        <w:t xml:space="preserve">a la seguridad social y pago de retenciones de impuestos, entre otros. </w:t>
      </w:r>
      <w:r w:rsidR="002153F1">
        <w:t xml:space="preserve">Al preguntar por este instrumento la </w:t>
      </w:r>
      <w:r w:rsidR="006A5061">
        <w:t>A</w:t>
      </w:r>
      <w:r w:rsidR="002153F1">
        <w:t xml:space="preserve">dministración </w:t>
      </w:r>
      <w:r w:rsidR="006A5061">
        <w:t>M</w:t>
      </w:r>
      <w:r w:rsidR="002153F1">
        <w:t>unicipal</w:t>
      </w:r>
      <w:r w:rsidR="006A5061">
        <w:t xml:space="preserve"> manifestó que</w:t>
      </w:r>
      <w:r w:rsidR="00A54E55">
        <w:t>,</w:t>
      </w:r>
      <w:r w:rsidR="002153F1">
        <w:t xml:space="preserve"> </w:t>
      </w:r>
      <w:r w:rsidR="002016F2">
        <w:t>“</w:t>
      </w:r>
      <w:r w:rsidR="002016F2" w:rsidRPr="00594449">
        <w:rPr>
          <w:i/>
          <w:iCs/>
        </w:rPr>
        <w:t>no hacer uso de la Cuenta Maestra Pagadora complementaria de la Cuenta Maestra de Propósito General. Esto confirma la información del reporte de movimientos de dichas cuentas obtenido por esta Dirección, en el cual esta cuenta no reporta ningún movimiento</w:t>
      </w:r>
      <w:r w:rsidR="002016F2">
        <w:t>”</w:t>
      </w:r>
      <w:r w:rsidR="002016F2" w:rsidRPr="002016F2">
        <w:t>.</w:t>
      </w:r>
      <w:r w:rsidR="0032158B">
        <w:rPr>
          <w:rStyle w:val="Refdenotaalpie"/>
        </w:rPr>
        <w:footnoteReference w:id="5"/>
      </w:r>
    </w:p>
    <w:p w14:paraId="6D48732B" w14:textId="77777777" w:rsidR="006A5061" w:rsidRPr="00B936A7" w:rsidRDefault="006A5061">
      <w:pPr>
        <w:spacing w:line="240" w:lineRule="auto"/>
        <w:contextualSpacing/>
        <w:jc w:val="both"/>
      </w:pPr>
    </w:p>
    <w:p w14:paraId="0F773694" w14:textId="77777777" w:rsidR="005579DE" w:rsidRDefault="00B936A7">
      <w:pPr>
        <w:spacing w:line="240" w:lineRule="auto"/>
        <w:contextualSpacing/>
        <w:jc w:val="both"/>
      </w:pPr>
      <w:r w:rsidRPr="00B936A7">
        <w:t xml:space="preserve">Esta Dirección analizó el reporte de información sobre Cuentas Maestras que realizan las entidades bancarias en el </w:t>
      </w:r>
      <w:r w:rsidR="006A5061">
        <w:t>S</w:t>
      </w:r>
      <w:r w:rsidRPr="00B936A7">
        <w:t>istema PISIS en el periodo de enero de 2020 a abril de 2021, a través del cual se identificó la siguiente situación:</w:t>
      </w:r>
    </w:p>
    <w:p w14:paraId="6B758C47" w14:textId="77777777" w:rsidR="006A5061" w:rsidRDefault="006A5061">
      <w:pPr>
        <w:spacing w:line="240" w:lineRule="auto"/>
        <w:contextualSpacing/>
        <w:jc w:val="both"/>
      </w:pPr>
    </w:p>
    <w:p w14:paraId="179368B2" w14:textId="77777777" w:rsidR="006D5153" w:rsidRPr="00F71CC8" w:rsidRDefault="006D5153">
      <w:pPr>
        <w:spacing w:after="0" w:line="240" w:lineRule="auto"/>
        <w:contextualSpacing/>
        <w:jc w:val="center"/>
        <w:rPr>
          <w:rFonts w:cs="Arial"/>
          <w:b/>
          <w:bCs/>
          <w:iCs/>
          <w:sz w:val="20"/>
          <w:szCs w:val="24"/>
        </w:rPr>
      </w:pPr>
      <w:r w:rsidRPr="00F71CC8">
        <w:rPr>
          <w:rFonts w:cs="Arial"/>
          <w:b/>
          <w:bCs/>
          <w:iCs/>
          <w:sz w:val="20"/>
          <w:szCs w:val="24"/>
        </w:rPr>
        <w:t>Cuadro No.</w:t>
      </w:r>
      <w:r w:rsidR="00A15913">
        <w:rPr>
          <w:rFonts w:cs="Arial"/>
          <w:b/>
          <w:bCs/>
          <w:iCs/>
          <w:sz w:val="20"/>
          <w:szCs w:val="24"/>
        </w:rPr>
        <w:t xml:space="preserve"> 6</w:t>
      </w:r>
    </w:p>
    <w:p w14:paraId="0D243388" w14:textId="77777777" w:rsidR="006D5153" w:rsidRPr="00F71CC8" w:rsidRDefault="006D5153">
      <w:pPr>
        <w:spacing w:after="0" w:line="240" w:lineRule="auto"/>
        <w:contextualSpacing/>
        <w:jc w:val="center"/>
        <w:rPr>
          <w:rFonts w:cs="Arial"/>
          <w:bCs/>
          <w:iCs/>
          <w:sz w:val="20"/>
          <w:szCs w:val="24"/>
        </w:rPr>
      </w:pPr>
      <w:r w:rsidRPr="00F71CC8">
        <w:rPr>
          <w:rFonts w:cs="Arial"/>
          <w:bCs/>
          <w:iCs/>
          <w:sz w:val="20"/>
          <w:szCs w:val="24"/>
        </w:rPr>
        <w:t xml:space="preserve">Reporte Cuenta Maestra Propósito General – </w:t>
      </w:r>
      <w:r>
        <w:rPr>
          <w:rFonts w:cs="Arial"/>
          <w:bCs/>
          <w:iCs/>
          <w:sz w:val="20"/>
          <w:szCs w:val="24"/>
        </w:rPr>
        <w:t>enero 2020</w:t>
      </w:r>
      <w:r w:rsidRPr="00F71CC8">
        <w:rPr>
          <w:rFonts w:cs="Arial"/>
          <w:bCs/>
          <w:iCs/>
          <w:sz w:val="20"/>
          <w:szCs w:val="24"/>
        </w:rPr>
        <w:t xml:space="preserve"> a </w:t>
      </w:r>
      <w:r>
        <w:rPr>
          <w:rFonts w:cs="Arial"/>
          <w:bCs/>
          <w:iCs/>
          <w:sz w:val="20"/>
          <w:szCs w:val="24"/>
        </w:rPr>
        <w:t>abril</w:t>
      </w:r>
      <w:r w:rsidRPr="00F71CC8">
        <w:rPr>
          <w:rFonts w:cs="Arial"/>
          <w:bCs/>
          <w:iCs/>
          <w:sz w:val="20"/>
          <w:szCs w:val="24"/>
        </w:rPr>
        <w:t xml:space="preserve"> de 2021</w:t>
      </w:r>
    </w:p>
    <w:p w14:paraId="40D9AB18" w14:textId="77777777" w:rsidR="0033173F" w:rsidRPr="00151F0B" w:rsidRDefault="00151F0B">
      <w:pPr>
        <w:spacing w:after="0" w:line="240" w:lineRule="auto"/>
        <w:contextualSpacing/>
        <w:jc w:val="center"/>
        <w:rPr>
          <w:sz w:val="20"/>
          <w:szCs w:val="20"/>
        </w:rPr>
      </w:pPr>
      <w:r w:rsidRPr="00594449">
        <w:rPr>
          <w:rFonts w:cs="Arial"/>
          <w:bCs/>
          <w:iCs/>
          <w:sz w:val="20"/>
          <w:szCs w:val="24"/>
        </w:rPr>
        <w:t>Municipio de</w:t>
      </w:r>
      <w:r>
        <w:t xml:space="preserve"> </w:t>
      </w:r>
      <w:r w:rsidRPr="00151F0B">
        <w:rPr>
          <w:sz w:val="20"/>
          <w:szCs w:val="20"/>
        </w:rPr>
        <w:t>Puerto Leguízamo – Putumayo</w:t>
      </w:r>
      <w:r w:rsidR="00ED1C5B">
        <w:rPr>
          <w:sz w:val="20"/>
          <w:szCs w:val="20"/>
        </w:rPr>
        <w:t>.</w:t>
      </w:r>
    </w:p>
    <w:tbl>
      <w:tblPr>
        <w:tblW w:w="5493" w:type="pct"/>
        <w:jc w:val="center"/>
        <w:tblCellMar>
          <w:left w:w="70" w:type="dxa"/>
          <w:right w:w="70" w:type="dxa"/>
        </w:tblCellMar>
        <w:tblLook w:val="04A0" w:firstRow="1" w:lastRow="0" w:firstColumn="1" w:lastColumn="0" w:noHBand="0" w:noVBand="1"/>
      </w:tblPr>
      <w:tblGrid>
        <w:gridCol w:w="5863"/>
        <w:gridCol w:w="1362"/>
        <w:gridCol w:w="2107"/>
      </w:tblGrid>
      <w:tr w:rsidR="00432608" w:rsidRPr="00ED1C5B" w14:paraId="1239C320" w14:textId="77777777" w:rsidTr="00A75BF3">
        <w:trPr>
          <w:trHeight w:val="33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666699"/>
            <w:vAlign w:val="center"/>
            <w:hideMark/>
          </w:tcPr>
          <w:p w14:paraId="79858484" w14:textId="77777777" w:rsidR="00432608" w:rsidRPr="00FB27C3" w:rsidRDefault="00432608">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INFORMACIÓN CONSOLIDADA PRODUCTO CUENTA MAESTRA</w:t>
            </w:r>
          </w:p>
        </w:tc>
      </w:tr>
      <w:tr w:rsidR="00A75BF3" w:rsidRPr="00ED1C5B" w14:paraId="7D9940BE"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000000" w:fill="E5E5FF"/>
            <w:vAlign w:val="center"/>
            <w:hideMark/>
          </w:tcPr>
          <w:p w14:paraId="4CFF702D" w14:textId="77777777" w:rsidR="00432608" w:rsidRPr="00FB27C3" w:rsidRDefault="00432608"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Concepto</w:t>
            </w:r>
          </w:p>
        </w:tc>
        <w:tc>
          <w:tcPr>
            <w:tcW w:w="730" w:type="pct"/>
            <w:tcBorders>
              <w:top w:val="nil"/>
              <w:left w:val="nil"/>
              <w:bottom w:val="single" w:sz="4" w:space="0" w:color="auto"/>
              <w:right w:val="single" w:sz="4" w:space="0" w:color="auto"/>
            </w:tcBorders>
            <w:shd w:val="clear" w:color="000000" w:fill="E5E5FF"/>
            <w:vAlign w:val="center"/>
            <w:hideMark/>
          </w:tcPr>
          <w:p w14:paraId="7E7F481C" w14:textId="77777777" w:rsidR="00432608" w:rsidRPr="00FB27C3" w:rsidRDefault="00432608">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 xml:space="preserve">No. de Operaciones </w:t>
            </w:r>
          </w:p>
        </w:tc>
        <w:tc>
          <w:tcPr>
            <w:tcW w:w="1129" w:type="pct"/>
            <w:tcBorders>
              <w:top w:val="nil"/>
              <w:left w:val="nil"/>
              <w:bottom w:val="single" w:sz="4" w:space="0" w:color="auto"/>
              <w:right w:val="single" w:sz="4" w:space="0" w:color="auto"/>
            </w:tcBorders>
            <w:shd w:val="clear" w:color="000000" w:fill="E5E5FF"/>
            <w:vAlign w:val="center"/>
            <w:hideMark/>
          </w:tcPr>
          <w:p w14:paraId="73FE4B3C" w14:textId="77777777" w:rsidR="00432608" w:rsidRPr="00FB27C3" w:rsidRDefault="00432608">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Valor Operaciones</w:t>
            </w:r>
          </w:p>
        </w:tc>
      </w:tr>
      <w:tr w:rsidR="00A75BF3" w:rsidRPr="00ED1C5B" w14:paraId="2EF9C61D"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7B55B447"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Saldo Inicial (500) a 01/01/2020</w:t>
            </w:r>
          </w:p>
        </w:tc>
        <w:tc>
          <w:tcPr>
            <w:tcW w:w="730" w:type="pct"/>
            <w:tcBorders>
              <w:top w:val="nil"/>
              <w:left w:val="nil"/>
              <w:bottom w:val="single" w:sz="4" w:space="0" w:color="auto"/>
              <w:right w:val="single" w:sz="4" w:space="0" w:color="auto"/>
            </w:tcBorders>
            <w:shd w:val="clear" w:color="FFFFFF" w:fill="FFFFFF"/>
            <w:vAlign w:val="center"/>
            <w:hideMark/>
          </w:tcPr>
          <w:p w14:paraId="21F2005B"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w:t>
            </w:r>
          </w:p>
        </w:tc>
        <w:tc>
          <w:tcPr>
            <w:tcW w:w="1129" w:type="pct"/>
            <w:tcBorders>
              <w:top w:val="nil"/>
              <w:left w:val="nil"/>
              <w:bottom w:val="single" w:sz="4" w:space="0" w:color="auto"/>
              <w:right w:val="single" w:sz="4" w:space="0" w:color="auto"/>
            </w:tcBorders>
            <w:shd w:val="clear" w:color="FFFFFF" w:fill="FFFFFF"/>
            <w:vAlign w:val="center"/>
            <w:hideMark/>
          </w:tcPr>
          <w:p w14:paraId="5C046093"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$48.686.375,64</w:t>
            </w:r>
          </w:p>
        </w:tc>
      </w:tr>
      <w:tr w:rsidR="00A75BF3" w:rsidRPr="00ED1C5B" w14:paraId="3C91B360"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3F3210CA"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Ingresos (100)</w:t>
            </w:r>
          </w:p>
        </w:tc>
        <w:tc>
          <w:tcPr>
            <w:tcW w:w="730" w:type="pct"/>
            <w:tcBorders>
              <w:top w:val="nil"/>
              <w:left w:val="nil"/>
              <w:bottom w:val="single" w:sz="4" w:space="0" w:color="auto"/>
              <w:right w:val="single" w:sz="4" w:space="0" w:color="auto"/>
            </w:tcBorders>
            <w:shd w:val="clear" w:color="FFFFFF" w:fill="FFFFFF"/>
            <w:vAlign w:val="center"/>
            <w:hideMark/>
          </w:tcPr>
          <w:p w14:paraId="7EBAEF71"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21</w:t>
            </w:r>
          </w:p>
        </w:tc>
        <w:tc>
          <w:tcPr>
            <w:tcW w:w="1129" w:type="pct"/>
            <w:tcBorders>
              <w:top w:val="nil"/>
              <w:left w:val="nil"/>
              <w:bottom w:val="single" w:sz="4" w:space="0" w:color="auto"/>
              <w:right w:val="single" w:sz="4" w:space="0" w:color="auto"/>
            </w:tcBorders>
            <w:shd w:val="clear" w:color="FFFFFF" w:fill="FFFFFF"/>
            <w:vAlign w:val="center"/>
            <w:hideMark/>
          </w:tcPr>
          <w:p w14:paraId="6480CEFD"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$4.087.562.941</w:t>
            </w:r>
          </w:p>
        </w:tc>
      </w:tr>
      <w:tr w:rsidR="00A75BF3" w:rsidRPr="00ED1C5B" w14:paraId="1AEECCA6"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3C9B4031"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Ingresos por Rendimientos Financieros (110)</w:t>
            </w:r>
          </w:p>
        </w:tc>
        <w:tc>
          <w:tcPr>
            <w:tcW w:w="730" w:type="pct"/>
            <w:tcBorders>
              <w:top w:val="nil"/>
              <w:left w:val="nil"/>
              <w:bottom w:val="single" w:sz="4" w:space="0" w:color="auto"/>
              <w:right w:val="single" w:sz="4" w:space="0" w:color="auto"/>
            </w:tcBorders>
            <w:shd w:val="clear" w:color="FFFFFF" w:fill="FFFFFF"/>
            <w:vAlign w:val="center"/>
            <w:hideMark/>
          </w:tcPr>
          <w:p w14:paraId="2AFA7B3B"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16</w:t>
            </w:r>
          </w:p>
        </w:tc>
        <w:tc>
          <w:tcPr>
            <w:tcW w:w="1129" w:type="pct"/>
            <w:tcBorders>
              <w:top w:val="nil"/>
              <w:left w:val="nil"/>
              <w:bottom w:val="single" w:sz="4" w:space="0" w:color="auto"/>
              <w:right w:val="single" w:sz="4" w:space="0" w:color="auto"/>
            </w:tcBorders>
            <w:shd w:val="clear" w:color="FFFFFF" w:fill="FFFFFF"/>
            <w:vAlign w:val="center"/>
            <w:hideMark/>
          </w:tcPr>
          <w:p w14:paraId="665661B2"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$4.171.282</w:t>
            </w:r>
          </w:p>
        </w:tc>
      </w:tr>
      <w:tr w:rsidR="00A75BF3" w:rsidRPr="00ED1C5B" w14:paraId="1F317509"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562DADC2"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Reintegros Bancarios (120)</w:t>
            </w:r>
          </w:p>
        </w:tc>
        <w:tc>
          <w:tcPr>
            <w:tcW w:w="730" w:type="pct"/>
            <w:tcBorders>
              <w:top w:val="nil"/>
              <w:left w:val="nil"/>
              <w:bottom w:val="single" w:sz="4" w:space="0" w:color="auto"/>
              <w:right w:val="single" w:sz="4" w:space="0" w:color="auto"/>
            </w:tcBorders>
            <w:shd w:val="clear" w:color="FFFFFF" w:fill="FFFFFF"/>
            <w:vAlign w:val="center"/>
            <w:hideMark/>
          </w:tcPr>
          <w:p w14:paraId="316FC0D2"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w:t>
            </w:r>
          </w:p>
        </w:tc>
        <w:tc>
          <w:tcPr>
            <w:tcW w:w="1129" w:type="pct"/>
            <w:tcBorders>
              <w:top w:val="nil"/>
              <w:left w:val="nil"/>
              <w:bottom w:val="single" w:sz="4" w:space="0" w:color="auto"/>
              <w:right w:val="single" w:sz="4" w:space="0" w:color="auto"/>
            </w:tcBorders>
            <w:shd w:val="clear" w:color="FFFFFF" w:fill="FFFFFF"/>
            <w:vAlign w:val="center"/>
            <w:hideMark/>
          </w:tcPr>
          <w:p w14:paraId="27450DDC"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$1.100.019</w:t>
            </w:r>
          </w:p>
        </w:tc>
      </w:tr>
      <w:tr w:rsidR="00A75BF3" w:rsidRPr="00ED1C5B" w14:paraId="064713E4" w14:textId="77777777" w:rsidTr="00AC30A0">
        <w:trPr>
          <w:trHeight w:val="145"/>
          <w:jc w:val="center"/>
        </w:trPr>
        <w:tc>
          <w:tcPr>
            <w:tcW w:w="3141"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47639204" w14:textId="77777777" w:rsidR="00432608" w:rsidRPr="00FB27C3" w:rsidRDefault="00432608"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Total Saldo en Caja + Ingresos</w:t>
            </w:r>
          </w:p>
        </w:tc>
        <w:tc>
          <w:tcPr>
            <w:tcW w:w="730" w:type="pct"/>
            <w:tcBorders>
              <w:top w:val="nil"/>
              <w:left w:val="nil"/>
              <w:bottom w:val="single" w:sz="4" w:space="0" w:color="auto"/>
              <w:right w:val="single" w:sz="4" w:space="0" w:color="auto"/>
            </w:tcBorders>
            <w:shd w:val="clear" w:color="000000" w:fill="666699"/>
            <w:vAlign w:val="center"/>
            <w:hideMark/>
          </w:tcPr>
          <w:p w14:paraId="51E582B0" w14:textId="77777777" w:rsidR="00432608" w:rsidRPr="00FB27C3" w:rsidRDefault="00432608">
            <w:pPr>
              <w:spacing w:after="0" w:line="240" w:lineRule="auto"/>
              <w:contextualSpacing/>
              <w:jc w:val="right"/>
              <w:rPr>
                <w:rFonts w:eastAsia="Times New Roman" w:cs="Arial"/>
                <w:b/>
                <w:bCs/>
                <w:i/>
                <w:iCs/>
                <w:color w:val="FFFFFF"/>
                <w:sz w:val="18"/>
                <w:szCs w:val="18"/>
                <w:lang w:val="es-CO" w:eastAsia="es-CO"/>
              </w:rPr>
            </w:pPr>
            <w:r w:rsidRPr="00FB27C3">
              <w:rPr>
                <w:rFonts w:eastAsia="Times New Roman" w:cs="Arial"/>
                <w:b/>
                <w:bCs/>
                <w:i/>
                <w:iCs/>
                <w:color w:val="FFFFFF"/>
                <w:sz w:val="18"/>
                <w:szCs w:val="18"/>
                <w:lang w:val="es-CO" w:eastAsia="es-CO"/>
              </w:rPr>
              <w:t> </w:t>
            </w:r>
          </w:p>
        </w:tc>
        <w:tc>
          <w:tcPr>
            <w:tcW w:w="1129" w:type="pct"/>
            <w:tcBorders>
              <w:top w:val="nil"/>
              <w:left w:val="nil"/>
              <w:bottom w:val="single" w:sz="4" w:space="0" w:color="auto"/>
              <w:right w:val="single" w:sz="4" w:space="0" w:color="auto"/>
            </w:tcBorders>
            <w:shd w:val="clear" w:color="000000" w:fill="666699"/>
            <w:vAlign w:val="center"/>
            <w:hideMark/>
          </w:tcPr>
          <w:p w14:paraId="6CD36E9B" w14:textId="77777777" w:rsidR="00432608" w:rsidRPr="00FB27C3" w:rsidRDefault="00432608">
            <w:pPr>
              <w:spacing w:after="0" w:line="240" w:lineRule="auto"/>
              <w:contextualSpacing/>
              <w:jc w:val="right"/>
              <w:rPr>
                <w:rFonts w:eastAsia="Times New Roman" w:cs="Arial"/>
                <w:b/>
                <w:bCs/>
                <w:i/>
                <w:iCs/>
                <w:color w:val="FFFFFF"/>
                <w:sz w:val="18"/>
                <w:szCs w:val="18"/>
                <w:lang w:val="es-CO" w:eastAsia="es-CO"/>
              </w:rPr>
            </w:pPr>
            <w:r w:rsidRPr="00FB27C3">
              <w:rPr>
                <w:rFonts w:eastAsia="Times New Roman" w:cs="Arial"/>
                <w:b/>
                <w:bCs/>
                <w:i/>
                <w:iCs/>
                <w:color w:val="FFFFFF"/>
                <w:sz w:val="18"/>
                <w:szCs w:val="18"/>
                <w:lang w:val="es-CO" w:eastAsia="es-CO"/>
              </w:rPr>
              <w:t>$4.141.520.617</w:t>
            </w:r>
          </w:p>
        </w:tc>
      </w:tr>
      <w:tr w:rsidR="00A75BF3" w:rsidRPr="00ED1C5B" w14:paraId="1E228FE5"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6FD2D4BD"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Egresos Libre Inversión (310)</w:t>
            </w:r>
          </w:p>
        </w:tc>
        <w:tc>
          <w:tcPr>
            <w:tcW w:w="730" w:type="pct"/>
            <w:tcBorders>
              <w:top w:val="nil"/>
              <w:left w:val="nil"/>
              <w:bottom w:val="single" w:sz="4" w:space="0" w:color="auto"/>
              <w:right w:val="single" w:sz="4" w:space="0" w:color="auto"/>
            </w:tcBorders>
            <w:shd w:val="clear" w:color="FFFFFF" w:fill="FFFFFF"/>
            <w:vAlign w:val="center"/>
            <w:hideMark/>
          </w:tcPr>
          <w:p w14:paraId="0638385F"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653</w:t>
            </w:r>
          </w:p>
        </w:tc>
        <w:tc>
          <w:tcPr>
            <w:tcW w:w="1129" w:type="pct"/>
            <w:tcBorders>
              <w:top w:val="nil"/>
              <w:left w:val="nil"/>
              <w:bottom w:val="single" w:sz="4" w:space="0" w:color="auto"/>
              <w:right w:val="single" w:sz="4" w:space="0" w:color="auto"/>
            </w:tcBorders>
            <w:shd w:val="clear" w:color="FFFFFF" w:fill="FFFFFF"/>
            <w:vAlign w:val="center"/>
            <w:hideMark/>
          </w:tcPr>
          <w:p w14:paraId="35D74298"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$1.999.659.706</w:t>
            </w:r>
          </w:p>
        </w:tc>
      </w:tr>
      <w:tr w:rsidR="00A75BF3" w:rsidRPr="00ED1C5B" w14:paraId="1CBA94F7"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2EF71364"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Egresos Recreación y Deporte (311)</w:t>
            </w:r>
          </w:p>
        </w:tc>
        <w:tc>
          <w:tcPr>
            <w:tcW w:w="730" w:type="pct"/>
            <w:tcBorders>
              <w:top w:val="nil"/>
              <w:left w:val="nil"/>
              <w:bottom w:val="single" w:sz="4" w:space="0" w:color="auto"/>
              <w:right w:val="single" w:sz="4" w:space="0" w:color="auto"/>
            </w:tcBorders>
            <w:shd w:val="clear" w:color="FFFFFF" w:fill="FFFFFF"/>
            <w:vAlign w:val="center"/>
            <w:hideMark/>
          </w:tcPr>
          <w:p w14:paraId="57AFBCF1"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19</w:t>
            </w:r>
          </w:p>
        </w:tc>
        <w:tc>
          <w:tcPr>
            <w:tcW w:w="1129" w:type="pct"/>
            <w:tcBorders>
              <w:top w:val="nil"/>
              <w:left w:val="nil"/>
              <w:bottom w:val="single" w:sz="4" w:space="0" w:color="auto"/>
              <w:right w:val="single" w:sz="4" w:space="0" w:color="auto"/>
            </w:tcBorders>
            <w:shd w:val="clear" w:color="FFFFFF" w:fill="FFFFFF"/>
            <w:vAlign w:val="center"/>
            <w:hideMark/>
          </w:tcPr>
          <w:p w14:paraId="0BF04CAF"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$29.046.500</w:t>
            </w:r>
          </w:p>
        </w:tc>
      </w:tr>
      <w:tr w:rsidR="00A75BF3" w:rsidRPr="00ED1C5B" w14:paraId="1FC830FC"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3CF194D5"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Egresos Cultura (312)</w:t>
            </w:r>
          </w:p>
        </w:tc>
        <w:tc>
          <w:tcPr>
            <w:tcW w:w="730" w:type="pct"/>
            <w:tcBorders>
              <w:top w:val="nil"/>
              <w:left w:val="nil"/>
              <w:bottom w:val="single" w:sz="4" w:space="0" w:color="auto"/>
              <w:right w:val="single" w:sz="4" w:space="0" w:color="auto"/>
            </w:tcBorders>
            <w:shd w:val="clear" w:color="FFFFFF" w:fill="FFFFFF"/>
            <w:vAlign w:val="center"/>
            <w:hideMark/>
          </w:tcPr>
          <w:p w14:paraId="1AE785B3"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6</w:t>
            </w:r>
          </w:p>
        </w:tc>
        <w:tc>
          <w:tcPr>
            <w:tcW w:w="1129" w:type="pct"/>
            <w:tcBorders>
              <w:top w:val="nil"/>
              <w:left w:val="nil"/>
              <w:bottom w:val="single" w:sz="4" w:space="0" w:color="auto"/>
              <w:right w:val="single" w:sz="4" w:space="0" w:color="auto"/>
            </w:tcBorders>
            <w:shd w:val="clear" w:color="FFFFFF" w:fill="FFFFFF"/>
            <w:vAlign w:val="center"/>
            <w:hideMark/>
          </w:tcPr>
          <w:p w14:paraId="3F00E118"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$71.609.793</w:t>
            </w:r>
          </w:p>
        </w:tc>
      </w:tr>
      <w:tr w:rsidR="00A75BF3" w:rsidRPr="00ED1C5B" w14:paraId="3D35A775"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5E0BF02A"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Egresos Libre Destinación (313)</w:t>
            </w:r>
          </w:p>
        </w:tc>
        <w:tc>
          <w:tcPr>
            <w:tcW w:w="730" w:type="pct"/>
            <w:tcBorders>
              <w:top w:val="nil"/>
              <w:left w:val="nil"/>
              <w:bottom w:val="single" w:sz="4" w:space="0" w:color="auto"/>
              <w:right w:val="single" w:sz="4" w:space="0" w:color="auto"/>
            </w:tcBorders>
            <w:shd w:val="clear" w:color="FFFFFF" w:fill="FFFFFF"/>
            <w:vAlign w:val="center"/>
            <w:hideMark/>
          </w:tcPr>
          <w:p w14:paraId="0B095314"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556</w:t>
            </w:r>
          </w:p>
        </w:tc>
        <w:tc>
          <w:tcPr>
            <w:tcW w:w="1129" w:type="pct"/>
            <w:tcBorders>
              <w:top w:val="nil"/>
              <w:left w:val="nil"/>
              <w:bottom w:val="single" w:sz="4" w:space="0" w:color="auto"/>
              <w:right w:val="single" w:sz="4" w:space="0" w:color="auto"/>
            </w:tcBorders>
            <w:shd w:val="clear" w:color="FFFFFF" w:fill="FFFFFF"/>
            <w:vAlign w:val="center"/>
            <w:hideMark/>
          </w:tcPr>
          <w:p w14:paraId="7FC4D53E"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$1.201.342.853</w:t>
            </w:r>
          </w:p>
        </w:tc>
      </w:tr>
      <w:tr w:rsidR="00A75BF3" w:rsidRPr="00ED1C5B" w14:paraId="024603ED"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4E65F7C3"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Egresos por Costos Bancarios (360)</w:t>
            </w:r>
          </w:p>
        </w:tc>
        <w:tc>
          <w:tcPr>
            <w:tcW w:w="730" w:type="pct"/>
            <w:tcBorders>
              <w:top w:val="nil"/>
              <w:left w:val="nil"/>
              <w:bottom w:val="single" w:sz="4" w:space="0" w:color="auto"/>
              <w:right w:val="single" w:sz="4" w:space="0" w:color="auto"/>
            </w:tcBorders>
            <w:shd w:val="clear" w:color="FFFFFF" w:fill="FFFFFF"/>
            <w:vAlign w:val="center"/>
            <w:hideMark/>
          </w:tcPr>
          <w:p w14:paraId="38DEDFE3"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w:t>
            </w:r>
          </w:p>
        </w:tc>
        <w:tc>
          <w:tcPr>
            <w:tcW w:w="1129" w:type="pct"/>
            <w:tcBorders>
              <w:top w:val="nil"/>
              <w:left w:val="nil"/>
              <w:bottom w:val="single" w:sz="4" w:space="0" w:color="auto"/>
              <w:right w:val="single" w:sz="4" w:space="0" w:color="auto"/>
            </w:tcBorders>
            <w:shd w:val="clear" w:color="FFFFFF" w:fill="FFFFFF"/>
            <w:vAlign w:val="center"/>
            <w:hideMark/>
          </w:tcPr>
          <w:p w14:paraId="593FDE75"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$3.808</w:t>
            </w:r>
          </w:p>
        </w:tc>
      </w:tr>
      <w:tr w:rsidR="00A75BF3" w:rsidRPr="00ED1C5B" w14:paraId="1C3D5C12"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53115145" w14:textId="77777777" w:rsidR="00432608" w:rsidRPr="00FB27C3" w:rsidRDefault="00432608"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Total Egresos</w:t>
            </w:r>
          </w:p>
        </w:tc>
        <w:tc>
          <w:tcPr>
            <w:tcW w:w="730" w:type="pct"/>
            <w:tcBorders>
              <w:top w:val="nil"/>
              <w:left w:val="nil"/>
              <w:bottom w:val="single" w:sz="4" w:space="0" w:color="auto"/>
              <w:right w:val="single" w:sz="4" w:space="0" w:color="auto"/>
            </w:tcBorders>
            <w:shd w:val="clear" w:color="000000" w:fill="666699"/>
            <w:vAlign w:val="center"/>
            <w:hideMark/>
          </w:tcPr>
          <w:p w14:paraId="5A67AA6B" w14:textId="77777777" w:rsidR="00432608" w:rsidRPr="00FB27C3" w:rsidRDefault="00432608">
            <w:pPr>
              <w:spacing w:after="0" w:line="240" w:lineRule="auto"/>
              <w:contextualSpacing/>
              <w:jc w:val="right"/>
              <w:rPr>
                <w:rFonts w:eastAsia="Times New Roman" w:cs="Arial"/>
                <w:b/>
                <w:bCs/>
                <w:i/>
                <w:iCs/>
                <w:color w:val="FFFFFF"/>
                <w:sz w:val="18"/>
                <w:szCs w:val="18"/>
                <w:lang w:val="es-CO" w:eastAsia="es-CO"/>
              </w:rPr>
            </w:pPr>
            <w:r w:rsidRPr="00FB27C3">
              <w:rPr>
                <w:rFonts w:eastAsia="Times New Roman" w:cs="Arial"/>
                <w:b/>
                <w:bCs/>
                <w:i/>
                <w:iCs/>
                <w:color w:val="FFFFFF"/>
                <w:sz w:val="18"/>
                <w:szCs w:val="18"/>
                <w:lang w:val="es-CO" w:eastAsia="es-CO"/>
              </w:rPr>
              <w:t> </w:t>
            </w:r>
          </w:p>
        </w:tc>
        <w:tc>
          <w:tcPr>
            <w:tcW w:w="1129" w:type="pct"/>
            <w:tcBorders>
              <w:top w:val="nil"/>
              <w:left w:val="nil"/>
              <w:bottom w:val="single" w:sz="4" w:space="0" w:color="auto"/>
              <w:right w:val="single" w:sz="4" w:space="0" w:color="auto"/>
            </w:tcBorders>
            <w:shd w:val="clear" w:color="000000" w:fill="666699"/>
            <w:vAlign w:val="center"/>
            <w:hideMark/>
          </w:tcPr>
          <w:p w14:paraId="5601C05C" w14:textId="77777777" w:rsidR="00432608" w:rsidRPr="00FB27C3" w:rsidRDefault="00432608">
            <w:pPr>
              <w:spacing w:after="0" w:line="240" w:lineRule="auto"/>
              <w:contextualSpacing/>
              <w:jc w:val="right"/>
              <w:rPr>
                <w:rFonts w:eastAsia="Times New Roman" w:cs="Arial"/>
                <w:b/>
                <w:bCs/>
                <w:i/>
                <w:iCs/>
                <w:color w:val="FFFFFF"/>
                <w:sz w:val="18"/>
                <w:szCs w:val="18"/>
                <w:lang w:val="es-CO" w:eastAsia="es-CO"/>
              </w:rPr>
            </w:pPr>
            <w:r w:rsidRPr="00FB27C3">
              <w:rPr>
                <w:rFonts w:eastAsia="Times New Roman" w:cs="Arial"/>
                <w:b/>
                <w:bCs/>
                <w:i/>
                <w:iCs/>
                <w:color w:val="FFFFFF"/>
                <w:sz w:val="18"/>
                <w:szCs w:val="18"/>
                <w:lang w:val="es-CO" w:eastAsia="es-CO"/>
              </w:rPr>
              <w:t>$3.301.662.660</w:t>
            </w:r>
          </w:p>
        </w:tc>
      </w:tr>
      <w:tr w:rsidR="00A75BF3" w:rsidRPr="00ED1C5B" w14:paraId="36F469D8"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FFFFFF" w:fill="FFFFFF"/>
            <w:vAlign w:val="center"/>
            <w:hideMark/>
          </w:tcPr>
          <w:p w14:paraId="7901DF6C" w14:textId="77777777" w:rsidR="00432608" w:rsidRPr="00FB27C3" w:rsidRDefault="00432608" w:rsidP="00286F4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Saldo Final (600) a 30/04/2021</w:t>
            </w:r>
          </w:p>
        </w:tc>
        <w:tc>
          <w:tcPr>
            <w:tcW w:w="730" w:type="pct"/>
            <w:tcBorders>
              <w:top w:val="nil"/>
              <w:left w:val="nil"/>
              <w:bottom w:val="single" w:sz="4" w:space="0" w:color="auto"/>
              <w:right w:val="single" w:sz="4" w:space="0" w:color="auto"/>
            </w:tcBorders>
            <w:shd w:val="clear" w:color="FFFFFF" w:fill="FFFFFF"/>
            <w:vAlign w:val="center"/>
            <w:hideMark/>
          </w:tcPr>
          <w:p w14:paraId="57E53DF9"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w:t>
            </w:r>
          </w:p>
        </w:tc>
        <w:tc>
          <w:tcPr>
            <w:tcW w:w="1129" w:type="pct"/>
            <w:tcBorders>
              <w:top w:val="nil"/>
              <w:left w:val="nil"/>
              <w:bottom w:val="single" w:sz="4" w:space="0" w:color="auto"/>
              <w:right w:val="single" w:sz="4" w:space="0" w:color="auto"/>
            </w:tcBorders>
            <w:shd w:val="clear" w:color="FFFFFF" w:fill="FFFFFF"/>
            <w:vAlign w:val="center"/>
            <w:hideMark/>
          </w:tcPr>
          <w:p w14:paraId="10877085" w14:textId="77777777" w:rsidR="00432608" w:rsidRPr="00FB27C3" w:rsidRDefault="00432608">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$839.857.957</w:t>
            </w:r>
          </w:p>
        </w:tc>
      </w:tr>
      <w:tr w:rsidR="00A75BF3" w:rsidRPr="00ED1C5B" w14:paraId="4141CFE0" w14:textId="77777777" w:rsidTr="00AC30A0">
        <w:trPr>
          <w:trHeight w:val="139"/>
          <w:jc w:val="center"/>
        </w:trPr>
        <w:tc>
          <w:tcPr>
            <w:tcW w:w="3141"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598D60E7" w14:textId="77777777" w:rsidR="00432608" w:rsidRPr="00FB27C3" w:rsidRDefault="00432608"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Ingresos </w:t>
            </w:r>
            <w:r w:rsidR="0075782E" w:rsidRPr="00FB27C3">
              <w:rPr>
                <w:rFonts w:eastAsia="Times New Roman" w:cs="Arial"/>
                <w:b/>
                <w:bCs/>
                <w:color w:val="FFFFFF"/>
                <w:sz w:val="18"/>
                <w:szCs w:val="18"/>
                <w:lang w:val="es-CO" w:eastAsia="es-CO"/>
              </w:rPr>
              <w:t>–</w:t>
            </w:r>
            <w:r w:rsidRPr="00FB27C3">
              <w:rPr>
                <w:rFonts w:eastAsia="Times New Roman" w:cs="Arial"/>
                <w:b/>
                <w:bCs/>
                <w:color w:val="FFFFFF"/>
                <w:sz w:val="18"/>
                <w:szCs w:val="18"/>
                <w:lang w:val="es-CO" w:eastAsia="es-CO"/>
              </w:rPr>
              <w:t xml:space="preserve"> Egresos</w:t>
            </w:r>
          </w:p>
        </w:tc>
        <w:tc>
          <w:tcPr>
            <w:tcW w:w="730" w:type="pct"/>
            <w:tcBorders>
              <w:top w:val="nil"/>
              <w:left w:val="nil"/>
              <w:bottom w:val="single" w:sz="4" w:space="0" w:color="auto"/>
              <w:right w:val="single" w:sz="4" w:space="0" w:color="auto"/>
            </w:tcBorders>
            <w:shd w:val="clear" w:color="000000" w:fill="666699"/>
            <w:vAlign w:val="center"/>
            <w:hideMark/>
          </w:tcPr>
          <w:p w14:paraId="1FCB6B2A" w14:textId="77777777" w:rsidR="00432608" w:rsidRPr="00FB27C3" w:rsidRDefault="00432608">
            <w:pPr>
              <w:spacing w:after="0" w:line="240" w:lineRule="auto"/>
              <w:contextualSpacing/>
              <w:jc w:val="right"/>
              <w:rPr>
                <w:rFonts w:eastAsia="Times New Roman" w:cs="Arial"/>
                <w:b/>
                <w:bCs/>
                <w:i/>
                <w:iCs/>
                <w:color w:val="FFFFFF"/>
                <w:sz w:val="18"/>
                <w:szCs w:val="18"/>
                <w:lang w:val="es-CO" w:eastAsia="es-CO"/>
              </w:rPr>
            </w:pPr>
            <w:r w:rsidRPr="00FB27C3">
              <w:rPr>
                <w:rFonts w:eastAsia="Times New Roman" w:cs="Arial"/>
                <w:b/>
                <w:bCs/>
                <w:i/>
                <w:iCs/>
                <w:color w:val="FFFFFF"/>
                <w:sz w:val="18"/>
                <w:szCs w:val="18"/>
                <w:lang w:val="es-CO" w:eastAsia="es-CO"/>
              </w:rPr>
              <w:t> </w:t>
            </w:r>
          </w:p>
        </w:tc>
        <w:tc>
          <w:tcPr>
            <w:tcW w:w="1129" w:type="pct"/>
            <w:tcBorders>
              <w:top w:val="nil"/>
              <w:left w:val="nil"/>
              <w:bottom w:val="single" w:sz="4" w:space="0" w:color="auto"/>
              <w:right w:val="single" w:sz="4" w:space="0" w:color="auto"/>
            </w:tcBorders>
            <w:shd w:val="clear" w:color="000000" w:fill="666699"/>
            <w:vAlign w:val="center"/>
            <w:hideMark/>
          </w:tcPr>
          <w:p w14:paraId="59DAFDA7" w14:textId="77777777" w:rsidR="00432608" w:rsidRPr="00FB27C3" w:rsidRDefault="00432608">
            <w:pPr>
              <w:spacing w:after="0" w:line="240" w:lineRule="auto"/>
              <w:contextualSpacing/>
              <w:jc w:val="right"/>
              <w:rPr>
                <w:rFonts w:eastAsia="Times New Roman" w:cs="Arial"/>
                <w:b/>
                <w:bCs/>
                <w:i/>
                <w:iCs/>
                <w:color w:val="FFFFFF"/>
                <w:sz w:val="18"/>
                <w:szCs w:val="18"/>
                <w:lang w:val="es-CO" w:eastAsia="es-CO"/>
              </w:rPr>
            </w:pPr>
            <w:r w:rsidRPr="00FB27C3">
              <w:rPr>
                <w:rFonts w:eastAsia="Times New Roman" w:cs="Arial"/>
                <w:b/>
                <w:bCs/>
                <w:i/>
                <w:iCs/>
                <w:color w:val="FFFFFF"/>
                <w:sz w:val="18"/>
                <w:szCs w:val="18"/>
                <w:lang w:val="es-CO" w:eastAsia="es-CO"/>
              </w:rPr>
              <w:t>$839.857.957</w:t>
            </w:r>
          </w:p>
        </w:tc>
      </w:tr>
    </w:tbl>
    <w:p w14:paraId="14D0A6E9" w14:textId="77777777" w:rsidR="008F5A51" w:rsidRPr="00FB27C3" w:rsidRDefault="008F5A51" w:rsidP="00286F4A">
      <w:pPr>
        <w:spacing w:after="0" w:line="240" w:lineRule="auto"/>
        <w:contextualSpacing/>
        <w:jc w:val="center"/>
        <w:textAlignment w:val="baseline"/>
        <w:rPr>
          <w:rFonts w:eastAsia="Times New Roman" w:cs="Arial"/>
          <w:sz w:val="16"/>
          <w:szCs w:val="16"/>
          <w:lang w:val="es-CO" w:eastAsia="es-CO"/>
        </w:rPr>
      </w:pPr>
      <w:r w:rsidRPr="00FB27C3">
        <w:rPr>
          <w:rFonts w:eastAsia="Times New Roman" w:cs="Arial"/>
          <w:b/>
          <w:bCs/>
          <w:sz w:val="16"/>
          <w:szCs w:val="16"/>
          <w:lang w:val="es-CO" w:eastAsia="es-CO"/>
        </w:rPr>
        <w:t>Fuente:</w:t>
      </w:r>
      <w:r w:rsidRPr="00FB27C3">
        <w:rPr>
          <w:rFonts w:eastAsia="Times New Roman" w:cs="Arial"/>
          <w:sz w:val="16"/>
          <w:szCs w:val="16"/>
          <w:lang w:val="es-CO" w:eastAsia="es-CO"/>
        </w:rPr>
        <w:t xml:space="preserve"> Elaboración DAF con información reportada en el Sistema PISIS.</w:t>
      </w:r>
    </w:p>
    <w:p w14:paraId="239FE6A7" w14:textId="77777777" w:rsidR="009E65C2" w:rsidRPr="00FB27C3" w:rsidRDefault="009E65C2">
      <w:pPr>
        <w:spacing w:after="0" w:line="240" w:lineRule="auto"/>
        <w:contextualSpacing/>
        <w:textAlignment w:val="baseline"/>
        <w:rPr>
          <w:rFonts w:eastAsia="Times New Roman" w:cs="Arial"/>
          <w:lang w:val="es-CO" w:eastAsia="es-CO"/>
        </w:rPr>
      </w:pPr>
    </w:p>
    <w:p w14:paraId="48605C60" w14:textId="77777777" w:rsidR="00951160" w:rsidRDefault="009E65C2">
      <w:pPr>
        <w:spacing w:line="240" w:lineRule="auto"/>
        <w:contextualSpacing/>
        <w:jc w:val="both"/>
        <w:rPr>
          <w:lang w:val="es-CO"/>
        </w:rPr>
      </w:pPr>
      <w:r w:rsidRPr="009E65C2">
        <w:rPr>
          <w:lang w:val="es-CO"/>
        </w:rPr>
        <w:t>En la información discriminada de los ingresos se evidencia que la Cuenta Maestra gener</w:t>
      </w:r>
      <w:r w:rsidR="004A39D5">
        <w:rPr>
          <w:lang w:val="es-CO"/>
        </w:rPr>
        <w:t>ó</w:t>
      </w:r>
      <w:r w:rsidRPr="009E65C2">
        <w:rPr>
          <w:lang w:val="es-CO"/>
        </w:rPr>
        <w:t xml:space="preserve"> rendimientos financieros por un valor total de $4.171.282 para el periodo consultado, cumpliendo así con uno de los elementos fundamentales que definen a las Cuentas Maestras.</w:t>
      </w:r>
      <w:r>
        <w:rPr>
          <w:lang w:val="es-CO"/>
        </w:rPr>
        <w:t xml:space="preserve"> A pesar de </w:t>
      </w:r>
      <w:r w:rsidR="00E81087">
        <w:rPr>
          <w:lang w:val="es-CO"/>
        </w:rPr>
        <w:t>esto</w:t>
      </w:r>
      <w:r>
        <w:rPr>
          <w:lang w:val="es-CO"/>
        </w:rPr>
        <w:t xml:space="preserve">, como se evidenció </w:t>
      </w:r>
      <w:r w:rsidR="00E81087">
        <w:rPr>
          <w:lang w:val="es-CO"/>
        </w:rPr>
        <w:t>anteriormente</w:t>
      </w:r>
      <w:r w:rsidR="004A39D5">
        <w:rPr>
          <w:lang w:val="es-CO"/>
        </w:rPr>
        <w:t>,</w:t>
      </w:r>
      <w:r w:rsidR="00E81087">
        <w:rPr>
          <w:lang w:val="es-CO"/>
        </w:rPr>
        <w:t xml:space="preserve"> </w:t>
      </w:r>
      <w:r w:rsidR="00A75BF3">
        <w:rPr>
          <w:lang w:val="es-CO"/>
        </w:rPr>
        <w:t xml:space="preserve">el </w:t>
      </w:r>
      <w:r w:rsidR="00ED1C5B">
        <w:rPr>
          <w:lang w:val="es-CO"/>
        </w:rPr>
        <w:t>M</w:t>
      </w:r>
      <w:r w:rsidR="00A75BF3">
        <w:rPr>
          <w:lang w:val="es-CO"/>
        </w:rPr>
        <w:t>unicipio no los incorpora presupuestalmente ni los reporta en los sistemas de información presupuestal.</w:t>
      </w:r>
    </w:p>
    <w:p w14:paraId="33C4A232" w14:textId="77777777" w:rsidR="00ED1C5B" w:rsidRDefault="00ED1C5B">
      <w:pPr>
        <w:spacing w:line="240" w:lineRule="auto"/>
        <w:contextualSpacing/>
        <w:jc w:val="both"/>
        <w:rPr>
          <w:lang w:val="es-CO"/>
        </w:rPr>
      </w:pPr>
    </w:p>
    <w:p w14:paraId="198F3168" w14:textId="77777777" w:rsidR="0049584C" w:rsidRPr="00496000" w:rsidRDefault="0049584C">
      <w:pPr>
        <w:spacing w:after="0" w:line="240" w:lineRule="auto"/>
        <w:contextualSpacing/>
        <w:jc w:val="center"/>
        <w:textAlignment w:val="baseline"/>
        <w:rPr>
          <w:rFonts w:eastAsia="Times New Roman" w:cs="Arial"/>
          <w:b/>
          <w:bCs/>
          <w:sz w:val="20"/>
          <w:szCs w:val="20"/>
          <w:lang w:val="es-CO" w:eastAsia="es-CO"/>
        </w:rPr>
      </w:pPr>
      <w:r w:rsidRPr="00496000">
        <w:rPr>
          <w:rFonts w:eastAsia="Times New Roman" w:cs="Arial"/>
          <w:b/>
          <w:bCs/>
          <w:sz w:val="20"/>
          <w:szCs w:val="20"/>
          <w:lang w:val="es-CO" w:eastAsia="es-CO"/>
        </w:rPr>
        <w:t xml:space="preserve">Cuadro No. </w:t>
      </w:r>
      <w:r w:rsidR="00A15913">
        <w:rPr>
          <w:rFonts w:eastAsia="Times New Roman" w:cs="Arial"/>
          <w:b/>
          <w:bCs/>
          <w:sz w:val="20"/>
          <w:szCs w:val="20"/>
          <w:lang w:val="es-CO" w:eastAsia="es-CO"/>
        </w:rPr>
        <w:t>7</w:t>
      </w:r>
    </w:p>
    <w:p w14:paraId="25672312" w14:textId="77777777" w:rsidR="0049584C" w:rsidRPr="00F71CC8" w:rsidRDefault="0049584C">
      <w:pPr>
        <w:spacing w:after="0" w:line="240" w:lineRule="auto"/>
        <w:contextualSpacing/>
        <w:jc w:val="center"/>
        <w:rPr>
          <w:rFonts w:cs="Arial"/>
          <w:sz w:val="20"/>
          <w:szCs w:val="24"/>
        </w:rPr>
      </w:pPr>
      <w:r w:rsidRPr="00496000">
        <w:rPr>
          <w:rFonts w:eastAsia="Times New Roman" w:cs="Arial"/>
          <w:sz w:val="20"/>
          <w:szCs w:val="20"/>
          <w:lang w:val="es-CO" w:eastAsia="es-CO"/>
        </w:rPr>
        <w:t>Ingresos Cuenta Maestra Propósito General –</w:t>
      </w:r>
      <w:r w:rsidRPr="00336601">
        <w:rPr>
          <w:rFonts w:cs="Arial"/>
          <w:sz w:val="20"/>
          <w:szCs w:val="24"/>
        </w:rPr>
        <w:t xml:space="preserve"> </w:t>
      </w:r>
      <w:r>
        <w:rPr>
          <w:rFonts w:cs="Arial"/>
          <w:sz w:val="20"/>
          <w:szCs w:val="24"/>
        </w:rPr>
        <w:t>enero 2020</w:t>
      </w:r>
      <w:r w:rsidRPr="00F71CC8">
        <w:rPr>
          <w:rFonts w:cs="Arial"/>
          <w:sz w:val="20"/>
          <w:szCs w:val="24"/>
        </w:rPr>
        <w:t xml:space="preserve"> a </w:t>
      </w:r>
      <w:r>
        <w:rPr>
          <w:rFonts w:cs="Arial"/>
          <w:sz w:val="20"/>
          <w:szCs w:val="24"/>
        </w:rPr>
        <w:t>abril</w:t>
      </w:r>
      <w:r w:rsidRPr="00F71CC8">
        <w:rPr>
          <w:rFonts w:cs="Arial"/>
          <w:sz w:val="20"/>
          <w:szCs w:val="24"/>
        </w:rPr>
        <w:t xml:space="preserve"> de 2021</w:t>
      </w:r>
    </w:p>
    <w:p w14:paraId="00B93D8A" w14:textId="77777777" w:rsidR="0049584C" w:rsidRPr="0049584C" w:rsidRDefault="0049584C">
      <w:pPr>
        <w:spacing w:after="0" w:line="240" w:lineRule="auto"/>
        <w:contextualSpacing/>
        <w:jc w:val="center"/>
        <w:rPr>
          <w:rFonts w:eastAsia="Times New Roman" w:cs="Arial"/>
          <w:sz w:val="20"/>
          <w:szCs w:val="20"/>
          <w:lang w:val="es-CO" w:eastAsia="es-CO"/>
        </w:rPr>
      </w:pPr>
      <w:r w:rsidRPr="00F71CC8">
        <w:rPr>
          <w:rFonts w:cs="Arial"/>
          <w:sz w:val="20"/>
          <w:szCs w:val="24"/>
        </w:rPr>
        <w:t>Municipio de</w:t>
      </w:r>
      <w:r>
        <w:rPr>
          <w:rFonts w:cs="Arial"/>
          <w:sz w:val="20"/>
          <w:szCs w:val="24"/>
        </w:rPr>
        <w:t xml:space="preserve"> Puerto Leguízamo </w:t>
      </w:r>
      <w:r w:rsidR="006316D7">
        <w:rPr>
          <w:rFonts w:cs="Arial"/>
          <w:sz w:val="20"/>
          <w:szCs w:val="24"/>
        </w:rPr>
        <w:t>–</w:t>
      </w:r>
      <w:r>
        <w:rPr>
          <w:rFonts w:cs="Arial"/>
          <w:sz w:val="20"/>
          <w:szCs w:val="24"/>
        </w:rPr>
        <w:t xml:space="preserve"> Putu</w:t>
      </w:r>
      <w:r w:rsidR="006316D7">
        <w:rPr>
          <w:rFonts w:cs="Arial"/>
          <w:sz w:val="20"/>
          <w:szCs w:val="24"/>
        </w:rPr>
        <w:t xml:space="preserve">mayo </w:t>
      </w:r>
    </w:p>
    <w:tbl>
      <w:tblPr>
        <w:tblW w:w="4782" w:type="pct"/>
        <w:jc w:val="center"/>
        <w:tblCellMar>
          <w:left w:w="70" w:type="dxa"/>
          <w:right w:w="70" w:type="dxa"/>
        </w:tblCellMar>
        <w:tblLook w:val="04A0" w:firstRow="1" w:lastRow="0" w:firstColumn="1" w:lastColumn="0" w:noHBand="0" w:noVBand="1"/>
      </w:tblPr>
      <w:tblGrid>
        <w:gridCol w:w="2168"/>
        <w:gridCol w:w="1326"/>
        <w:gridCol w:w="2089"/>
        <w:gridCol w:w="1602"/>
        <w:gridCol w:w="939"/>
      </w:tblGrid>
      <w:tr w:rsidR="00A3079F" w:rsidRPr="00ED1C5B" w14:paraId="3EF3CD90" w14:textId="77777777" w:rsidTr="00935796">
        <w:trPr>
          <w:trHeight w:val="661"/>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666699"/>
            <w:vAlign w:val="center"/>
            <w:hideMark/>
          </w:tcPr>
          <w:p w14:paraId="5D7A7BFF" w14:textId="77777777" w:rsidR="00A3079F" w:rsidRPr="00FB27C3" w:rsidRDefault="00A3079F">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INFORMACIÓN DISCRIMINADA DE INGRESOS</w:t>
            </w:r>
          </w:p>
        </w:tc>
      </w:tr>
      <w:tr w:rsidR="00FF05BA" w:rsidRPr="00ED1C5B" w14:paraId="26375EC7" w14:textId="77777777" w:rsidTr="00935796">
        <w:trPr>
          <w:trHeight w:val="279"/>
          <w:jc w:val="center"/>
        </w:trPr>
        <w:tc>
          <w:tcPr>
            <w:tcW w:w="1334" w:type="pct"/>
            <w:tcBorders>
              <w:top w:val="nil"/>
              <w:left w:val="single" w:sz="4" w:space="0" w:color="auto"/>
              <w:bottom w:val="single" w:sz="4" w:space="0" w:color="auto"/>
              <w:right w:val="single" w:sz="4" w:space="0" w:color="auto"/>
            </w:tcBorders>
            <w:shd w:val="clear" w:color="000000" w:fill="E5E5FF"/>
            <w:vAlign w:val="center"/>
            <w:hideMark/>
          </w:tcPr>
          <w:p w14:paraId="2A21F025" w14:textId="77777777" w:rsidR="00FF05BA" w:rsidRPr="00FB27C3" w:rsidRDefault="00FF05BA"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Nombre o Razón Social</w:t>
            </w:r>
          </w:p>
        </w:tc>
        <w:tc>
          <w:tcPr>
            <w:tcW w:w="816" w:type="pct"/>
            <w:tcBorders>
              <w:top w:val="nil"/>
              <w:left w:val="nil"/>
              <w:bottom w:val="single" w:sz="4" w:space="0" w:color="auto"/>
              <w:right w:val="single" w:sz="4" w:space="0" w:color="auto"/>
            </w:tcBorders>
            <w:shd w:val="clear" w:color="000000" w:fill="E5E5FF"/>
            <w:vAlign w:val="center"/>
            <w:hideMark/>
          </w:tcPr>
          <w:p w14:paraId="73068551" w14:textId="77777777" w:rsidR="00FF05BA" w:rsidRPr="00FB27C3" w:rsidRDefault="00FF05B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NIT</w:t>
            </w:r>
          </w:p>
        </w:tc>
        <w:tc>
          <w:tcPr>
            <w:tcW w:w="1286" w:type="pct"/>
            <w:tcBorders>
              <w:top w:val="nil"/>
              <w:left w:val="nil"/>
              <w:bottom w:val="single" w:sz="4" w:space="0" w:color="auto"/>
              <w:right w:val="single" w:sz="4" w:space="0" w:color="auto"/>
            </w:tcBorders>
            <w:shd w:val="clear" w:color="000000" w:fill="E5E5FF"/>
            <w:vAlign w:val="center"/>
            <w:hideMark/>
          </w:tcPr>
          <w:p w14:paraId="5C357860" w14:textId="77777777" w:rsidR="00FF05BA" w:rsidRPr="00FB27C3" w:rsidRDefault="00FF05B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Establecimiento Bancario</w:t>
            </w:r>
          </w:p>
        </w:tc>
        <w:tc>
          <w:tcPr>
            <w:tcW w:w="986" w:type="pct"/>
            <w:tcBorders>
              <w:top w:val="nil"/>
              <w:left w:val="nil"/>
              <w:bottom w:val="single" w:sz="4" w:space="0" w:color="auto"/>
              <w:right w:val="single" w:sz="4" w:space="0" w:color="auto"/>
            </w:tcBorders>
            <w:shd w:val="clear" w:color="000000" w:fill="E5E5FF"/>
            <w:vAlign w:val="center"/>
            <w:hideMark/>
          </w:tcPr>
          <w:p w14:paraId="0A57CFC6" w14:textId="77777777" w:rsidR="00FF05BA" w:rsidRPr="00FB27C3" w:rsidRDefault="00FF05B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Valor Abonado</w:t>
            </w:r>
          </w:p>
        </w:tc>
        <w:tc>
          <w:tcPr>
            <w:tcW w:w="576" w:type="pct"/>
            <w:tcBorders>
              <w:top w:val="nil"/>
              <w:left w:val="nil"/>
              <w:bottom w:val="single" w:sz="4" w:space="0" w:color="auto"/>
              <w:right w:val="single" w:sz="4" w:space="0" w:color="auto"/>
            </w:tcBorders>
            <w:shd w:val="clear" w:color="000000" w:fill="E5E5FF"/>
            <w:vAlign w:val="center"/>
            <w:hideMark/>
          </w:tcPr>
          <w:p w14:paraId="65CA8AB0" w14:textId="77777777" w:rsidR="00FF05BA" w:rsidRPr="00FB27C3" w:rsidRDefault="00FF05B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No. de Abonos</w:t>
            </w:r>
          </w:p>
        </w:tc>
      </w:tr>
      <w:tr w:rsidR="00FF05BA" w:rsidRPr="00ED1C5B" w14:paraId="5F6DB4DB" w14:textId="77777777" w:rsidTr="00935796">
        <w:trPr>
          <w:trHeight w:val="279"/>
          <w:jc w:val="center"/>
        </w:trPr>
        <w:tc>
          <w:tcPr>
            <w:tcW w:w="1334" w:type="pct"/>
            <w:tcBorders>
              <w:top w:val="nil"/>
              <w:left w:val="single" w:sz="4" w:space="0" w:color="auto"/>
              <w:bottom w:val="single" w:sz="4" w:space="0" w:color="auto"/>
              <w:right w:val="single" w:sz="4" w:space="0" w:color="auto"/>
            </w:tcBorders>
            <w:shd w:val="clear" w:color="auto" w:fill="auto"/>
            <w:vAlign w:val="center"/>
            <w:hideMark/>
          </w:tcPr>
          <w:p w14:paraId="353BADCB" w14:textId="77777777" w:rsidR="00FF05BA" w:rsidRPr="00FB27C3" w:rsidRDefault="00FF05BA"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MUNICIPIO DE PUERTO LEGUIZAMO</w:t>
            </w:r>
          </w:p>
        </w:tc>
        <w:tc>
          <w:tcPr>
            <w:tcW w:w="816" w:type="pct"/>
            <w:tcBorders>
              <w:top w:val="nil"/>
              <w:left w:val="nil"/>
              <w:bottom w:val="single" w:sz="4" w:space="0" w:color="auto"/>
              <w:right w:val="single" w:sz="4" w:space="0" w:color="auto"/>
            </w:tcBorders>
            <w:shd w:val="clear" w:color="auto" w:fill="auto"/>
            <w:vAlign w:val="center"/>
            <w:hideMark/>
          </w:tcPr>
          <w:p w14:paraId="4D8712BF" w14:textId="77777777" w:rsidR="00FF05BA" w:rsidRPr="00FB27C3" w:rsidRDefault="00FF05B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891200513-8</w:t>
            </w:r>
          </w:p>
        </w:tc>
        <w:tc>
          <w:tcPr>
            <w:tcW w:w="1286" w:type="pct"/>
            <w:tcBorders>
              <w:top w:val="nil"/>
              <w:left w:val="nil"/>
              <w:bottom w:val="single" w:sz="4" w:space="0" w:color="auto"/>
              <w:right w:val="single" w:sz="4" w:space="0" w:color="auto"/>
            </w:tcBorders>
            <w:shd w:val="clear" w:color="auto" w:fill="auto"/>
            <w:vAlign w:val="center"/>
            <w:hideMark/>
          </w:tcPr>
          <w:p w14:paraId="51E70699" w14:textId="77777777" w:rsidR="00FF05BA" w:rsidRPr="00FB27C3" w:rsidRDefault="00FF05B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BANCO AGRARIO DE COLOMBIA S.A. </w:t>
            </w:r>
          </w:p>
        </w:tc>
        <w:tc>
          <w:tcPr>
            <w:tcW w:w="986" w:type="pct"/>
            <w:tcBorders>
              <w:top w:val="nil"/>
              <w:left w:val="nil"/>
              <w:bottom w:val="single" w:sz="4" w:space="0" w:color="auto"/>
              <w:right w:val="single" w:sz="4" w:space="0" w:color="auto"/>
            </w:tcBorders>
            <w:shd w:val="clear" w:color="auto" w:fill="auto"/>
            <w:vAlign w:val="center"/>
            <w:hideMark/>
          </w:tcPr>
          <w:p w14:paraId="26F4F3ED" w14:textId="77777777" w:rsidR="00FF05BA" w:rsidRPr="00FB27C3" w:rsidRDefault="00FF05BA">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$196.359.356</w:t>
            </w:r>
          </w:p>
        </w:tc>
        <w:tc>
          <w:tcPr>
            <w:tcW w:w="576" w:type="pct"/>
            <w:tcBorders>
              <w:top w:val="nil"/>
              <w:left w:val="nil"/>
              <w:bottom w:val="single" w:sz="4" w:space="0" w:color="auto"/>
              <w:right w:val="single" w:sz="4" w:space="0" w:color="auto"/>
            </w:tcBorders>
            <w:shd w:val="clear" w:color="auto" w:fill="auto"/>
            <w:vAlign w:val="center"/>
            <w:hideMark/>
          </w:tcPr>
          <w:p w14:paraId="1E3E847F" w14:textId="77777777" w:rsidR="00FF05BA" w:rsidRPr="00FB27C3" w:rsidRDefault="00FF05BA">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3</w:t>
            </w:r>
          </w:p>
        </w:tc>
      </w:tr>
      <w:tr w:rsidR="00FF05BA" w:rsidRPr="00ED1C5B" w14:paraId="79031D51" w14:textId="77777777" w:rsidTr="00935796">
        <w:trPr>
          <w:trHeight w:val="279"/>
          <w:jc w:val="center"/>
        </w:trPr>
        <w:tc>
          <w:tcPr>
            <w:tcW w:w="1334" w:type="pct"/>
            <w:tcBorders>
              <w:top w:val="nil"/>
              <w:left w:val="single" w:sz="4" w:space="0" w:color="auto"/>
              <w:bottom w:val="single" w:sz="4" w:space="0" w:color="auto"/>
              <w:right w:val="single" w:sz="4" w:space="0" w:color="auto"/>
            </w:tcBorders>
            <w:shd w:val="clear" w:color="auto" w:fill="auto"/>
            <w:vAlign w:val="center"/>
            <w:hideMark/>
          </w:tcPr>
          <w:p w14:paraId="0EC022A8" w14:textId="77777777" w:rsidR="00FF05BA" w:rsidRPr="00FB27C3" w:rsidRDefault="00FF05BA"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BBVA COLOMBIA S.A.</w:t>
            </w:r>
          </w:p>
        </w:tc>
        <w:tc>
          <w:tcPr>
            <w:tcW w:w="816" w:type="pct"/>
            <w:tcBorders>
              <w:top w:val="nil"/>
              <w:left w:val="nil"/>
              <w:bottom w:val="single" w:sz="4" w:space="0" w:color="auto"/>
              <w:right w:val="single" w:sz="4" w:space="0" w:color="auto"/>
            </w:tcBorders>
            <w:shd w:val="clear" w:color="auto" w:fill="auto"/>
            <w:vAlign w:val="center"/>
            <w:hideMark/>
          </w:tcPr>
          <w:p w14:paraId="7BFE4C7D" w14:textId="77777777" w:rsidR="00FF05BA" w:rsidRPr="00FB27C3" w:rsidRDefault="00FF05B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860003020-1</w:t>
            </w:r>
          </w:p>
        </w:tc>
        <w:tc>
          <w:tcPr>
            <w:tcW w:w="1286" w:type="pct"/>
            <w:tcBorders>
              <w:top w:val="nil"/>
              <w:left w:val="nil"/>
              <w:bottom w:val="single" w:sz="4" w:space="0" w:color="auto"/>
              <w:right w:val="single" w:sz="4" w:space="0" w:color="auto"/>
            </w:tcBorders>
            <w:shd w:val="clear" w:color="auto" w:fill="auto"/>
            <w:vAlign w:val="center"/>
            <w:hideMark/>
          </w:tcPr>
          <w:p w14:paraId="65C93FDC" w14:textId="77777777" w:rsidR="00FF05BA" w:rsidRPr="00FB27C3" w:rsidRDefault="00FF05B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BANCO DE LA REPÚBLICA</w:t>
            </w:r>
          </w:p>
        </w:tc>
        <w:tc>
          <w:tcPr>
            <w:tcW w:w="986" w:type="pct"/>
            <w:tcBorders>
              <w:top w:val="nil"/>
              <w:left w:val="nil"/>
              <w:bottom w:val="single" w:sz="4" w:space="0" w:color="auto"/>
              <w:right w:val="single" w:sz="4" w:space="0" w:color="auto"/>
            </w:tcBorders>
            <w:shd w:val="clear" w:color="auto" w:fill="auto"/>
            <w:vAlign w:val="center"/>
            <w:hideMark/>
          </w:tcPr>
          <w:p w14:paraId="74A3BCDA" w14:textId="77777777" w:rsidR="00FF05BA" w:rsidRPr="00FB27C3" w:rsidRDefault="00FF05BA">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$5.271.301</w:t>
            </w:r>
          </w:p>
        </w:tc>
        <w:tc>
          <w:tcPr>
            <w:tcW w:w="576" w:type="pct"/>
            <w:tcBorders>
              <w:top w:val="nil"/>
              <w:left w:val="nil"/>
              <w:bottom w:val="single" w:sz="4" w:space="0" w:color="auto"/>
              <w:right w:val="single" w:sz="4" w:space="0" w:color="auto"/>
            </w:tcBorders>
            <w:shd w:val="clear" w:color="auto" w:fill="auto"/>
            <w:vAlign w:val="center"/>
            <w:hideMark/>
          </w:tcPr>
          <w:p w14:paraId="4890E08B" w14:textId="77777777" w:rsidR="00FF05BA" w:rsidRPr="00FB27C3" w:rsidRDefault="00FF05BA">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18</w:t>
            </w:r>
          </w:p>
        </w:tc>
      </w:tr>
      <w:tr w:rsidR="00FF05BA" w:rsidRPr="00ED1C5B" w14:paraId="28EB3347" w14:textId="77777777" w:rsidTr="00935796">
        <w:trPr>
          <w:trHeight w:val="279"/>
          <w:jc w:val="center"/>
        </w:trPr>
        <w:tc>
          <w:tcPr>
            <w:tcW w:w="1334" w:type="pct"/>
            <w:tcBorders>
              <w:top w:val="nil"/>
              <w:left w:val="single" w:sz="4" w:space="0" w:color="auto"/>
              <w:bottom w:val="single" w:sz="4" w:space="0" w:color="auto"/>
              <w:right w:val="single" w:sz="4" w:space="0" w:color="auto"/>
            </w:tcBorders>
            <w:shd w:val="clear" w:color="auto" w:fill="auto"/>
            <w:vAlign w:val="center"/>
            <w:hideMark/>
          </w:tcPr>
          <w:p w14:paraId="0788B10D" w14:textId="77777777" w:rsidR="00FF05BA" w:rsidRPr="00FB27C3" w:rsidRDefault="00FF05BA"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MINISTERIO DE HACIENDA Y CREDITO PUBLICO</w:t>
            </w:r>
          </w:p>
        </w:tc>
        <w:tc>
          <w:tcPr>
            <w:tcW w:w="816" w:type="pct"/>
            <w:tcBorders>
              <w:top w:val="nil"/>
              <w:left w:val="nil"/>
              <w:bottom w:val="single" w:sz="4" w:space="0" w:color="auto"/>
              <w:right w:val="single" w:sz="4" w:space="0" w:color="auto"/>
            </w:tcBorders>
            <w:shd w:val="clear" w:color="auto" w:fill="auto"/>
            <w:vAlign w:val="center"/>
            <w:hideMark/>
          </w:tcPr>
          <w:p w14:paraId="21FD06AF" w14:textId="77777777" w:rsidR="00FF05BA" w:rsidRPr="00FB27C3" w:rsidRDefault="00FF05B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899999090-2</w:t>
            </w:r>
          </w:p>
        </w:tc>
        <w:tc>
          <w:tcPr>
            <w:tcW w:w="1286" w:type="pct"/>
            <w:tcBorders>
              <w:top w:val="nil"/>
              <w:left w:val="nil"/>
              <w:bottom w:val="single" w:sz="4" w:space="0" w:color="auto"/>
              <w:right w:val="single" w:sz="4" w:space="0" w:color="auto"/>
            </w:tcBorders>
            <w:shd w:val="clear" w:color="auto" w:fill="auto"/>
            <w:vAlign w:val="center"/>
            <w:hideMark/>
          </w:tcPr>
          <w:p w14:paraId="02F61B94" w14:textId="77777777" w:rsidR="00FF05BA" w:rsidRPr="00FB27C3" w:rsidRDefault="00FF05B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BANCO DE LA REPÚBLICA</w:t>
            </w:r>
          </w:p>
        </w:tc>
        <w:tc>
          <w:tcPr>
            <w:tcW w:w="986" w:type="pct"/>
            <w:tcBorders>
              <w:top w:val="nil"/>
              <w:left w:val="nil"/>
              <w:bottom w:val="single" w:sz="4" w:space="0" w:color="auto"/>
              <w:right w:val="single" w:sz="4" w:space="0" w:color="auto"/>
            </w:tcBorders>
            <w:shd w:val="clear" w:color="auto" w:fill="auto"/>
            <w:vAlign w:val="center"/>
            <w:hideMark/>
          </w:tcPr>
          <w:p w14:paraId="368CB27D" w14:textId="77777777" w:rsidR="00FF05BA" w:rsidRPr="00FB27C3" w:rsidRDefault="00FF05BA">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$3.891.202.977</w:t>
            </w:r>
          </w:p>
        </w:tc>
        <w:tc>
          <w:tcPr>
            <w:tcW w:w="576" w:type="pct"/>
            <w:tcBorders>
              <w:top w:val="nil"/>
              <w:left w:val="nil"/>
              <w:bottom w:val="single" w:sz="4" w:space="0" w:color="auto"/>
              <w:right w:val="single" w:sz="4" w:space="0" w:color="auto"/>
            </w:tcBorders>
            <w:shd w:val="clear" w:color="auto" w:fill="auto"/>
            <w:vAlign w:val="center"/>
            <w:hideMark/>
          </w:tcPr>
          <w:p w14:paraId="4EA84851" w14:textId="77777777" w:rsidR="00FF05BA" w:rsidRPr="00FB27C3" w:rsidRDefault="00FF05BA">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17</w:t>
            </w:r>
          </w:p>
        </w:tc>
      </w:tr>
    </w:tbl>
    <w:p w14:paraId="621AFB30" w14:textId="77777777" w:rsidR="00AE704F" w:rsidRPr="00FB27C3" w:rsidRDefault="00AE704F" w:rsidP="00286F4A">
      <w:pPr>
        <w:spacing w:after="0" w:line="240" w:lineRule="auto"/>
        <w:contextualSpacing/>
        <w:jc w:val="center"/>
        <w:textAlignment w:val="baseline"/>
        <w:rPr>
          <w:rFonts w:eastAsia="Times New Roman" w:cs="Arial"/>
          <w:sz w:val="16"/>
          <w:szCs w:val="16"/>
          <w:lang w:val="es-CO" w:eastAsia="es-CO"/>
        </w:rPr>
      </w:pPr>
      <w:r w:rsidRPr="00FB27C3">
        <w:rPr>
          <w:rFonts w:eastAsia="Times New Roman" w:cs="Arial"/>
          <w:b/>
          <w:bCs/>
          <w:sz w:val="16"/>
          <w:szCs w:val="16"/>
          <w:lang w:val="es-CO" w:eastAsia="es-CO"/>
        </w:rPr>
        <w:t>Fuente:</w:t>
      </w:r>
      <w:r w:rsidRPr="00FB27C3">
        <w:rPr>
          <w:rFonts w:eastAsia="Times New Roman" w:cs="Arial"/>
          <w:sz w:val="16"/>
          <w:szCs w:val="16"/>
          <w:lang w:val="es-CO" w:eastAsia="es-CO"/>
        </w:rPr>
        <w:t xml:space="preserve"> Elaboración DAF con información reportada en el Sistema PISIS.</w:t>
      </w:r>
    </w:p>
    <w:p w14:paraId="40235CD2" w14:textId="77777777" w:rsidR="00AE704F" w:rsidRPr="00FB27C3" w:rsidRDefault="00AE704F">
      <w:pPr>
        <w:spacing w:after="0" w:line="240" w:lineRule="auto"/>
        <w:contextualSpacing/>
        <w:textAlignment w:val="baseline"/>
        <w:rPr>
          <w:rFonts w:eastAsia="Times New Roman" w:cs="Arial"/>
          <w:lang w:val="es-CO" w:eastAsia="es-CO"/>
        </w:rPr>
      </w:pPr>
    </w:p>
    <w:p w14:paraId="27ACABD9" w14:textId="77777777" w:rsidR="007A1F34" w:rsidRDefault="00B52E4F">
      <w:pPr>
        <w:spacing w:line="240" w:lineRule="auto"/>
        <w:contextualSpacing/>
        <w:jc w:val="both"/>
        <w:rPr>
          <w:color w:val="000000"/>
        </w:rPr>
      </w:pPr>
      <w:r>
        <w:rPr>
          <w:color w:val="000000"/>
        </w:rPr>
        <w:t>Así mismo,</w:t>
      </w:r>
      <w:r w:rsidR="004F7BCF">
        <w:rPr>
          <w:color w:val="000000"/>
        </w:rPr>
        <w:t xml:space="preserve"> en la información discriminada de egresos</w:t>
      </w:r>
      <w:r>
        <w:rPr>
          <w:color w:val="000000"/>
        </w:rPr>
        <w:t xml:space="preserve"> se evidencian dos (2) traslados a nombre de “</w:t>
      </w:r>
      <w:r>
        <w:rPr>
          <w:i/>
          <w:iCs/>
          <w:color w:val="000000"/>
        </w:rPr>
        <w:t>BANCO_POPULAR</w:t>
      </w:r>
      <w:r>
        <w:rPr>
          <w:color w:val="000000"/>
        </w:rPr>
        <w:t xml:space="preserve">” por un valor total de $8.290.022 </w:t>
      </w:r>
      <w:r w:rsidR="00EB7A9F">
        <w:rPr>
          <w:color w:val="000000"/>
        </w:rPr>
        <w:t>los cuales representan pagos de</w:t>
      </w:r>
      <w:r>
        <w:rPr>
          <w:color w:val="000000"/>
        </w:rPr>
        <w:t xml:space="preserve"> un crédito con cargo a los recursos del Sistema General de Participaciones con el Banco Popular</w:t>
      </w:r>
      <w:r w:rsidR="008129EC">
        <w:rPr>
          <w:color w:val="000000"/>
        </w:rPr>
        <w:t>. C</w:t>
      </w:r>
      <w:r w:rsidR="008129EC" w:rsidRPr="008129EC">
        <w:rPr>
          <w:color w:val="000000"/>
        </w:rPr>
        <w:t>abe recorda</w:t>
      </w:r>
      <w:r w:rsidR="008129EC">
        <w:rPr>
          <w:color w:val="000000"/>
        </w:rPr>
        <w:t>r</w:t>
      </w:r>
      <w:r w:rsidR="008129EC" w:rsidRPr="008129EC">
        <w:rPr>
          <w:color w:val="000000"/>
        </w:rPr>
        <w:t xml:space="preserve"> que las </w:t>
      </w:r>
      <w:r w:rsidR="008129EC">
        <w:rPr>
          <w:color w:val="000000"/>
        </w:rPr>
        <w:t>e</w:t>
      </w:r>
      <w:r w:rsidR="008129EC" w:rsidRPr="008129EC">
        <w:rPr>
          <w:color w:val="000000"/>
        </w:rPr>
        <w:t xml:space="preserve">ntidades </w:t>
      </w:r>
      <w:r w:rsidR="008129EC">
        <w:rPr>
          <w:color w:val="000000"/>
        </w:rPr>
        <w:t>t</w:t>
      </w:r>
      <w:r w:rsidR="008129EC" w:rsidRPr="008129EC">
        <w:rPr>
          <w:color w:val="000000"/>
        </w:rPr>
        <w:t xml:space="preserve">erritoriales solo pueden realizar este tipo de traslados para honrar el servicio de la deuda </w:t>
      </w:r>
      <w:r w:rsidR="004A39D5">
        <w:rPr>
          <w:color w:val="000000"/>
        </w:rPr>
        <w:t>a través de una cuenta de manejo de garantías</w:t>
      </w:r>
      <w:r w:rsidR="00ED1C5B">
        <w:rPr>
          <w:color w:val="000000"/>
        </w:rPr>
        <w:t>;</w:t>
      </w:r>
      <w:r w:rsidR="007A1F34">
        <w:rPr>
          <w:color w:val="000000"/>
        </w:rPr>
        <w:t xml:space="preserve"> la cual, según el artículo 12</w:t>
      </w:r>
      <w:r w:rsidR="00134823">
        <w:rPr>
          <w:color w:val="000000"/>
        </w:rPr>
        <w:t xml:space="preserve"> de la Resolución 0660 de 2018, </w:t>
      </w:r>
      <w:r w:rsidR="002638A3">
        <w:rPr>
          <w:color w:val="000000"/>
        </w:rPr>
        <w:t>se entiende</w:t>
      </w:r>
      <w:r w:rsidR="007A1F34">
        <w:rPr>
          <w:color w:val="000000"/>
        </w:rPr>
        <w:t xml:space="preserve"> como:</w:t>
      </w:r>
    </w:p>
    <w:p w14:paraId="26496938" w14:textId="77777777" w:rsidR="00ED1C5B" w:rsidRDefault="00ED1C5B">
      <w:pPr>
        <w:spacing w:line="240" w:lineRule="auto"/>
        <w:contextualSpacing/>
        <w:jc w:val="both"/>
        <w:rPr>
          <w:color w:val="000000"/>
        </w:rPr>
      </w:pPr>
    </w:p>
    <w:p w14:paraId="69564476" w14:textId="77777777" w:rsidR="00C6217B" w:rsidRPr="00FB27C3" w:rsidRDefault="00ED1C5B">
      <w:pPr>
        <w:spacing w:line="240" w:lineRule="auto"/>
        <w:ind w:left="709"/>
        <w:contextualSpacing/>
        <w:jc w:val="both"/>
        <w:rPr>
          <w:i/>
          <w:iCs/>
          <w:color w:val="000000"/>
          <w:sz w:val="18"/>
          <w:szCs w:val="18"/>
        </w:rPr>
      </w:pPr>
      <w:r w:rsidRPr="00FB27C3">
        <w:rPr>
          <w:color w:val="000000"/>
          <w:sz w:val="18"/>
          <w:szCs w:val="18"/>
        </w:rPr>
        <w:t>“</w:t>
      </w:r>
      <w:r w:rsidRPr="00FB27C3">
        <w:rPr>
          <w:i/>
          <w:iCs/>
          <w:color w:val="000000"/>
          <w:sz w:val="18"/>
          <w:szCs w:val="18"/>
        </w:rPr>
        <w:t xml:space="preserve">Artículo </w:t>
      </w:r>
      <w:r w:rsidR="007A1F34" w:rsidRPr="00FB27C3">
        <w:rPr>
          <w:i/>
          <w:iCs/>
          <w:color w:val="000000"/>
          <w:sz w:val="18"/>
          <w:szCs w:val="18"/>
        </w:rPr>
        <w:t>12. D</w:t>
      </w:r>
      <w:r w:rsidRPr="00FB27C3">
        <w:rPr>
          <w:i/>
          <w:iCs/>
          <w:color w:val="000000"/>
          <w:sz w:val="18"/>
          <w:szCs w:val="18"/>
        </w:rPr>
        <w:t>efinición de las cuentas de manejo de garantías</w:t>
      </w:r>
      <w:r w:rsidR="007A1F34" w:rsidRPr="00FB27C3">
        <w:rPr>
          <w:i/>
          <w:iCs/>
          <w:color w:val="000000"/>
          <w:sz w:val="18"/>
          <w:szCs w:val="18"/>
        </w:rPr>
        <w:t xml:space="preserve">. Para los efectos de la presente Resolución se entiende por Cuenta de Manejo de Garantías aquella cuenta que se apertura, para </w:t>
      </w:r>
      <w:r w:rsidR="007A1F34" w:rsidRPr="00FB27C3">
        <w:rPr>
          <w:i/>
          <w:iCs/>
          <w:color w:val="000000"/>
          <w:sz w:val="18"/>
          <w:szCs w:val="18"/>
        </w:rPr>
        <w:lastRenderedPageBreak/>
        <w:t>honrar el servicio de la deuda, en el establecimiento bancario con el cual se haya suscrito un empréstito y cuya fuente de pago sean los recursos de las participaciones de Agua Potable y Saneamiento Básico y Propósito General del Sistema General de Participaciones</w:t>
      </w:r>
      <w:r w:rsidRPr="00FB27C3">
        <w:rPr>
          <w:color w:val="000000"/>
          <w:sz w:val="18"/>
          <w:szCs w:val="18"/>
        </w:rPr>
        <w:t>”</w:t>
      </w:r>
    </w:p>
    <w:p w14:paraId="2D8D48C5" w14:textId="77777777" w:rsidR="00ED1C5B" w:rsidRDefault="00ED1C5B">
      <w:pPr>
        <w:spacing w:line="240" w:lineRule="auto"/>
        <w:contextualSpacing/>
        <w:jc w:val="both"/>
        <w:rPr>
          <w:color w:val="000000"/>
        </w:rPr>
      </w:pPr>
    </w:p>
    <w:p w14:paraId="202D889B" w14:textId="77777777" w:rsidR="008129EC" w:rsidRDefault="008129EC">
      <w:pPr>
        <w:spacing w:line="240" w:lineRule="auto"/>
        <w:contextualSpacing/>
        <w:jc w:val="both"/>
        <w:rPr>
          <w:color w:val="000000"/>
        </w:rPr>
      </w:pPr>
      <w:r w:rsidRPr="008129EC">
        <w:rPr>
          <w:color w:val="000000"/>
        </w:rPr>
        <w:t xml:space="preserve">Para lo anterior y como bien lo </w:t>
      </w:r>
      <w:r w:rsidR="00ED1C5B">
        <w:rPr>
          <w:color w:val="000000"/>
        </w:rPr>
        <w:t>determina</w:t>
      </w:r>
      <w:r w:rsidR="00ED1C5B" w:rsidRPr="008129EC">
        <w:rPr>
          <w:color w:val="000000"/>
        </w:rPr>
        <w:t xml:space="preserve"> </w:t>
      </w:r>
      <w:r w:rsidRPr="008129EC">
        <w:rPr>
          <w:color w:val="000000"/>
        </w:rPr>
        <w:t>el artículo 13 de la Resolución 0660 de 2018:</w:t>
      </w:r>
    </w:p>
    <w:p w14:paraId="0DDE7063" w14:textId="77777777" w:rsidR="00ED1C5B" w:rsidRPr="008129EC" w:rsidRDefault="00ED1C5B">
      <w:pPr>
        <w:spacing w:line="240" w:lineRule="auto"/>
        <w:contextualSpacing/>
        <w:jc w:val="both"/>
        <w:rPr>
          <w:color w:val="000000"/>
        </w:rPr>
      </w:pPr>
    </w:p>
    <w:p w14:paraId="298A43C8" w14:textId="77777777" w:rsidR="008129EC" w:rsidRPr="00FB27C3" w:rsidRDefault="008129EC">
      <w:pPr>
        <w:spacing w:line="240" w:lineRule="auto"/>
        <w:ind w:left="709"/>
        <w:contextualSpacing/>
        <w:jc w:val="both"/>
        <w:rPr>
          <w:color w:val="000000"/>
          <w:sz w:val="18"/>
          <w:szCs w:val="18"/>
        </w:rPr>
      </w:pPr>
      <w:r w:rsidRPr="00FB27C3">
        <w:rPr>
          <w:i/>
          <w:iCs/>
          <w:color w:val="000000"/>
          <w:sz w:val="18"/>
          <w:szCs w:val="18"/>
        </w:rPr>
        <w:t>“Una vez aperturada la Cuenta de Manejo de Garantías se inscribirá como beneficiaria de la Cuenta Maestra para transferir los recursos necesarios para honrar el servicio de la deuda</w:t>
      </w:r>
      <w:r w:rsidR="00ED1C5B" w:rsidRPr="00FB27C3">
        <w:rPr>
          <w:color w:val="000000"/>
          <w:sz w:val="18"/>
          <w:szCs w:val="18"/>
        </w:rPr>
        <w:t>”.</w:t>
      </w:r>
    </w:p>
    <w:p w14:paraId="385723E0" w14:textId="77777777" w:rsidR="00ED1C5B" w:rsidRDefault="00ED1C5B">
      <w:pPr>
        <w:spacing w:line="240" w:lineRule="auto"/>
        <w:ind w:left="709"/>
        <w:contextualSpacing/>
        <w:jc w:val="both"/>
        <w:rPr>
          <w:color w:val="000000"/>
        </w:rPr>
      </w:pPr>
    </w:p>
    <w:p w14:paraId="02082883" w14:textId="77777777" w:rsidR="00B52E4F" w:rsidRDefault="008129EC">
      <w:pPr>
        <w:spacing w:line="240" w:lineRule="auto"/>
        <w:contextualSpacing/>
        <w:jc w:val="both"/>
        <w:rPr>
          <w:color w:val="000000"/>
        </w:rPr>
      </w:pPr>
      <w:r w:rsidRPr="008129EC">
        <w:rPr>
          <w:color w:val="000000"/>
        </w:rPr>
        <w:t xml:space="preserve">Sin embargo, en las operaciones identificadas se evidencia que el </w:t>
      </w:r>
      <w:r w:rsidR="00ED1C5B">
        <w:rPr>
          <w:color w:val="000000"/>
        </w:rPr>
        <w:t>M</w:t>
      </w:r>
      <w:r w:rsidRPr="008129EC">
        <w:rPr>
          <w:color w:val="000000"/>
        </w:rPr>
        <w:t xml:space="preserve">unicipio está trasladando de manera directa </w:t>
      </w:r>
      <w:r w:rsidR="004A39D5">
        <w:rPr>
          <w:color w:val="000000"/>
        </w:rPr>
        <w:t xml:space="preserve">los recursos de Propósito General </w:t>
      </w:r>
      <w:r w:rsidRPr="008129EC">
        <w:rPr>
          <w:color w:val="000000"/>
        </w:rPr>
        <w:t xml:space="preserve">desde la Cuenta Maestra de PG a la cuenta de dicho establecimiento, </w:t>
      </w:r>
      <w:r w:rsidR="00EB7A9F">
        <w:rPr>
          <w:color w:val="000000"/>
        </w:rPr>
        <w:t>lo cual evidencia que no se están realizando</w:t>
      </w:r>
      <w:r w:rsidR="00B52E4F">
        <w:rPr>
          <w:color w:val="000000"/>
        </w:rPr>
        <w:t xml:space="preserve"> </w:t>
      </w:r>
      <w:r w:rsidR="00EB7A9F">
        <w:rPr>
          <w:color w:val="000000"/>
        </w:rPr>
        <w:t xml:space="preserve">estos pagos </w:t>
      </w:r>
      <w:r w:rsidR="00B52E4F">
        <w:rPr>
          <w:color w:val="000000"/>
        </w:rPr>
        <w:t>por medio de la Cuenta de Manejo de Garantías.</w:t>
      </w:r>
      <w:r w:rsidR="00ED1C5B">
        <w:rPr>
          <w:color w:val="000000"/>
        </w:rPr>
        <w:t xml:space="preserve"> </w:t>
      </w:r>
      <w:r w:rsidR="00D74EBE">
        <w:rPr>
          <w:color w:val="000000"/>
        </w:rPr>
        <w:t xml:space="preserve">Esta situación fue reconocida por la </w:t>
      </w:r>
      <w:r w:rsidR="00ED1C5B">
        <w:rPr>
          <w:color w:val="000000"/>
        </w:rPr>
        <w:t>A</w:t>
      </w:r>
      <w:r w:rsidR="00D74EBE">
        <w:rPr>
          <w:color w:val="000000"/>
        </w:rPr>
        <w:t xml:space="preserve">dministración </w:t>
      </w:r>
      <w:r w:rsidR="00ED1C5B">
        <w:rPr>
          <w:color w:val="000000"/>
        </w:rPr>
        <w:t>M</w:t>
      </w:r>
      <w:r w:rsidR="00D74EBE">
        <w:rPr>
          <w:color w:val="000000"/>
        </w:rPr>
        <w:t>unicipal en el reconocimiento documental virtual, debido a que aseguraron que no tenían conocimiento de la necesidad de esta cuenta de manejo de garantías, por lo cual no la utilizaban</w:t>
      </w:r>
      <w:r w:rsidR="0032158B">
        <w:rPr>
          <w:rStyle w:val="Refdenotaalpie"/>
          <w:color w:val="000000"/>
        </w:rPr>
        <w:footnoteReference w:id="6"/>
      </w:r>
      <w:r w:rsidR="00D74EBE">
        <w:rPr>
          <w:color w:val="000000"/>
        </w:rPr>
        <w:t xml:space="preserve">. Además, resaltaron que el crédito había sido cancelado en su totalidad. No obstante, se le recomienda a la </w:t>
      </w:r>
      <w:r w:rsidR="00ED1C5B">
        <w:rPr>
          <w:color w:val="000000"/>
        </w:rPr>
        <w:t>E</w:t>
      </w:r>
      <w:r w:rsidR="00D74EBE">
        <w:rPr>
          <w:color w:val="000000"/>
        </w:rPr>
        <w:t xml:space="preserve">ntidad </w:t>
      </w:r>
      <w:r w:rsidR="00ED1C5B">
        <w:rPr>
          <w:color w:val="000000"/>
        </w:rPr>
        <w:t>T</w:t>
      </w:r>
      <w:r w:rsidR="00D74EBE">
        <w:rPr>
          <w:color w:val="000000"/>
        </w:rPr>
        <w:t xml:space="preserve">erritorial garantizar que en futuras ocasiones en las que se pignoren los recursos de la Participación de Propósito General atendiendo a las restricciones legales para hacerlo, se pague el servicio de la deuda </w:t>
      </w:r>
      <w:r w:rsidR="00E12112">
        <w:rPr>
          <w:color w:val="000000"/>
        </w:rPr>
        <w:t xml:space="preserve">a través del instrumento diseñado para </w:t>
      </w:r>
      <w:r w:rsidR="004A39D5">
        <w:rPr>
          <w:color w:val="000000"/>
        </w:rPr>
        <w:t>el efecto</w:t>
      </w:r>
      <w:r w:rsidR="00E12112">
        <w:rPr>
          <w:color w:val="000000"/>
        </w:rPr>
        <w:t>.</w:t>
      </w:r>
    </w:p>
    <w:p w14:paraId="0E06DECB" w14:textId="77777777" w:rsidR="00ED1C5B" w:rsidRDefault="00ED1C5B">
      <w:pPr>
        <w:spacing w:line="240" w:lineRule="auto"/>
        <w:contextualSpacing/>
        <w:jc w:val="both"/>
        <w:rPr>
          <w:color w:val="000000"/>
        </w:rPr>
      </w:pPr>
    </w:p>
    <w:p w14:paraId="389DC3E0" w14:textId="77777777" w:rsidR="002B2436" w:rsidRPr="00496000" w:rsidRDefault="002B2436">
      <w:pPr>
        <w:spacing w:after="0" w:line="240" w:lineRule="auto"/>
        <w:contextualSpacing/>
        <w:jc w:val="center"/>
        <w:textAlignment w:val="baseline"/>
        <w:rPr>
          <w:rFonts w:eastAsia="Times New Roman" w:cs="Arial"/>
          <w:b/>
          <w:bCs/>
          <w:sz w:val="20"/>
          <w:szCs w:val="20"/>
          <w:lang w:val="es-CO" w:eastAsia="es-CO"/>
        </w:rPr>
      </w:pPr>
      <w:r w:rsidRPr="00496000">
        <w:rPr>
          <w:rFonts w:eastAsia="Times New Roman" w:cs="Arial"/>
          <w:b/>
          <w:bCs/>
          <w:sz w:val="20"/>
          <w:szCs w:val="20"/>
          <w:lang w:val="es-CO" w:eastAsia="es-CO"/>
        </w:rPr>
        <w:t xml:space="preserve">Cuadro No. </w:t>
      </w:r>
      <w:r w:rsidR="00A15913">
        <w:rPr>
          <w:rFonts w:eastAsia="Times New Roman" w:cs="Arial"/>
          <w:b/>
          <w:bCs/>
          <w:sz w:val="20"/>
          <w:szCs w:val="20"/>
          <w:lang w:val="es-CO" w:eastAsia="es-CO"/>
        </w:rPr>
        <w:t>8</w:t>
      </w:r>
    </w:p>
    <w:p w14:paraId="177046B6" w14:textId="77777777" w:rsidR="002B2436" w:rsidRPr="00F71CC8" w:rsidRDefault="002B2436">
      <w:pPr>
        <w:spacing w:after="0" w:line="240" w:lineRule="auto"/>
        <w:contextualSpacing/>
        <w:jc w:val="center"/>
        <w:rPr>
          <w:rFonts w:cs="Arial"/>
          <w:sz w:val="20"/>
          <w:szCs w:val="24"/>
        </w:rPr>
      </w:pPr>
      <w:r>
        <w:rPr>
          <w:rFonts w:eastAsia="Times New Roman" w:cs="Arial"/>
          <w:sz w:val="20"/>
          <w:szCs w:val="20"/>
          <w:lang w:val="es-CO" w:eastAsia="es-CO"/>
        </w:rPr>
        <w:t>Egresos</w:t>
      </w:r>
      <w:r w:rsidRPr="00496000">
        <w:rPr>
          <w:rFonts w:eastAsia="Times New Roman" w:cs="Arial"/>
          <w:sz w:val="20"/>
          <w:szCs w:val="20"/>
          <w:lang w:val="es-CO" w:eastAsia="es-CO"/>
        </w:rPr>
        <w:t xml:space="preserve"> Cuenta Maestra Propósito General –</w:t>
      </w:r>
      <w:r w:rsidRPr="00336601">
        <w:rPr>
          <w:rFonts w:cs="Arial"/>
          <w:sz w:val="20"/>
          <w:szCs w:val="24"/>
        </w:rPr>
        <w:t xml:space="preserve"> </w:t>
      </w:r>
      <w:r>
        <w:rPr>
          <w:rFonts w:cs="Arial"/>
          <w:sz w:val="20"/>
          <w:szCs w:val="24"/>
        </w:rPr>
        <w:t>enero 2020</w:t>
      </w:r>
      <w:r w:rsidRPr="00F71CC8">
        <w:rPr>
          <w:rFonts w:cs="Arial"/>
          <w:sz w:val="20"/>
          <w:szCs w:val="24"/>
        </w:rPr>
        <w:t xml:space="preserve"> a </w:t>
      </w:r>
      <w:r>
        <w:rPr>
          <w:rFonts w:cs="Arial"/>
          <w:sz w:val="20"/>
          <w:szCs w:val="24"/>
        </w:rPr>
        <w:t>abril</w:t>
      </w:r>
      <w:r w:rsidRPr="00F71CC8">
        <w:rPr>
          <w:rFonts w:cs="Arial"/>
          <w:sz w:val="20"/>
          <w:szCs w:val="24"/>
        </w:rPr>
        <w:t xml:space="preserve"> de 2021</w:t>
      </w:r>
    </w:p>
    <w:p w14:paraId="495581E4" w14:textId="77777777" w:rsidR="002B2436" w:rsidRDefault="002B2436">
      <w:pPr>
        <w:spacing w:after="0" w:line="240" w:lineRule="auto"/>
        <w:contextualSpacing/>
        <w:jc w:val="center"/>
        <w:rPr>
          <w:color w:val="000000"/>
        </w:rPr>
      </w:pPr>
      <w:r w:rsidRPr="00F71CC8">
        <w:rPr>
          <w:rFonts w:cs="Arial"/>
          <w:sz w:val="20"/>
          <w:szCs w:val="24"/>
        </w:rPr>
        <w:t xml:space="preserve">Municipio de </w:t>
      </w:r>
      <w:r>
        <w:rPr>
          <w:rFonts w:cs="Arial"/>
          <w:sz w:val="20"/>
          <w:szCs w:val="24"/>
        </w:rPr>
        <w:t xml:space="preserve">Puerto Leguízamo – Putumayo </w:t>
      </w:r>
    </w:p>
    <w:tbl>
      <w:tblPr>
        <w:tblW w:w="5532" w:type="pct"/>
        <w:jc w:val="center"/>
        <w:tblCellMar>
          <w:left w:w="70" w:type="dxa"/>
          <w:right w:w="70" w:type="dxa"/>
        </w:tblCellMar>
        <w:tblLook w:val="04A0" w:firstRow="1" w:lastRow="0" w:firstColumn="1" w:lastColumn="0" w:noHBand="0" w:noVBand="1"/>
      </w:tblPr>
      <w:tblGrid>
        <w:gridCol w:w="2099"/>
        <w:gridCol w:w="1323"/>
        <w:gridCol w:w="1615"/>
        <w:gridCol w:w="1833"/>
        <w:gridCol w:w="1554"/>
        <w:gridCol w:w="974"/>
      </w:tblGrid>
      <w:tr w:rsidR="00F8227D" w:rsidRPr="008D29B6" w14:paraId="6C514AD7" w14:textId="77777777" w:rsidTr="00110859">
        <w:trPr>
          <w:trHeight w:val="19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666699"/>
            <w:vAlign w:val="center"/>
            <w:hideMark/>
          </w:tcPr>
          <w:p w14:paraId="7064F67F" w14:textId="77777777" w:rsidR="00F8227D" w:rsidRPr="00FB27C3" w:rsidRDefault="00F8227D">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INFORMACIÓN DISCRIMINADA DE EGRESOS</w:t>
            </w:r>
          </w:p>
        </w:tc>
      </w:tr>
      <w:tr w:rsidR="00B40163" w:rsidRPr="008D29B6" w14:paraId="29386814" w14:textId="77777777" w:rsidTr="00110859">
        <w:trPr>
          <w:trHeight w:val="82"/>
          <w:jc w:val="center"/>
        </w:trPr>
        <w:tc>
          <w:tcPr>
            <w:tcW w:w="1117" w:type="pct"/>
            <w:tcBorders>
              <w:top w:val="nil"/>
              <w:left w:val="single" w:sz="4" w:space="0" w:color="auto"/>
              <w:bottom w:val="single" w:sz="4" w:space="0" w:color="auto"/>
              <w:right w:val="single" w:sz="4" w:space="0" w:color="auto"/>
            </w:tcBorders>
            <w:shd w:val="clear" w:color="000000" w:fill="E5E5FF"/>
            <w:vAlign w:val="center"/>
            <w:hideMark/>
          </w:tcPr>
          <w:p w14:paraId="05B0F8BE" w14:textId="77777777" w:rsidR="00F8227D" w:rsidRPr="00FB27C3" w:rsidRDefault="00F8227D"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Nombre o Razón Social</w:t>
            </w:r>
          </w:p>
        </w:tc>
        <w:tc>
          <w:tcPr>
            <w:tcW w:w="704" w:type="pct"/>
            <w:tcBorders>
              <w:top w:val="nil"/>
              <w:left w:val="nil"/>
              <w:bottom w:val="single" w:sz="4" w:space="0" w:color="auto"/>
              <w:right w:val="single" w:sz="4" w:space="0" w:color="auto"/>
            </w:tcBorders>
            <w:shd w:val="clear" w:color="000000" w:fill="E5E5FF"/>
            <w:vAlign w:val="center"/>
            <w:hideMark/>
          </w:tcPr>
          <w:p w14:paraId="71435462" w14:textId="77777777" w:rsidR="00F8227D" w:rsidRPr="00FB27C3" w:rsidRDefault="00F8227D">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NIT</w:t>
            </w:r>
          </w:p>
        </w:tc>
        <w:tc>
          <w:tcPr>
            <w:tcW w:w="859" w:type="pct"/>
            <w:tcBorders>
              <w:top w:val="nil"/>
              <w:left w:val="nil"/>
              <w:bottom w:val="single" w:sz="4" w:space="0" w:color="auto"/>
              <w:right w:val="single" w:sz="4" w:space="0" w:color="auto"/>
            </w:tcBorders>
            <w:shd w:val="clear" w:color="000000" w:fill="E5E5FF"/>
            <w:vAlign w:val="center"/>
            <w:hideMark/>
          </w:tcPr>
          <w:p w14:paraId="3F0918C1" w14:textId="77777777" w:rsidR="00F8227D" w:rsidRPr="00FB27C3" w:rsidRDefault="00F8227D">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No. de Cuenta</w:t>
            </w:r>
          </w:p>
        </w:tc>
        <w:tc>
          <w:tcPr>
            <w:tcW w:w="975" w:type="pct"/>
            <w:tcBorders>
              <w:top w:val="nil"/>
              <w:left w:val="nil"/>
              <w:bottom w:val="single" w:sz="4" w:space="0" w:color="auto"/>
              <w:right w:val="single" w:sz="4" w:space="0" w:color="auto"/>
            </w:tcBorders>
            <w:shd w:val="clear" w:color="000000" w:fill="E5E5FF"/>
            <w:vAlign w:val="center"/>
            <w:hideMark/>
          </w:tcPr>
          <w:p w14:paraId="5B078658" w14:textId="77777777" w:rsidR="00F8227D" w:rsidRPr="00FB27C3" w:rsidRDefault="00F8227D">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Establecimiento Bancario</w:t>
            </w:r>
          </w:p>
        </w:tc>
        <w:tc>
          <w:tcPr>
            <w:tcW w:w="827" w:type="pct"/>
            <w:tcBorders>
              <w:top w:val="nil"/>
              <w:left w:val="nil"/>
              <w:bottom w:val="single" w:sz="4" w:space="0" w:color="auto"/>
              <w:right w:val="single" w:sz="4" w:space="0" w:color="auto"/>
            </w:tcBorders>
            <w:shd w:val="clear" w:color="000000" w:fill="E5E5FF"/>
            <w:vAlign w:val="center"/>
            <w:hideMark/>
          </w:tcPr>
          <w:p w14:paraId="4AB9BCD4" w14:textId="77777777" w:rsidR="00F8227D" w:rsidRPr="00FB27C3" w:rsidRDefault="00F8227D">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Valor Abonado</w:t>
            </w:r>
          </w:p>
        </w:tc>
        <w:tc>
          <w:tcPr>
            <w:tcW w:w="518" w:type="pct"/>
            <w:tcBorders>
              <w:top w:val="nil"/>
              <w:left w:val="nil"/>
              <w:bottom w:val="single" w:sz="4" w:space="0" w:color="auto"/>
              <w:right w:val="single" w:sz="4" w:space="0" w:color="auto"/>
            </w:tcBorders>
            <w:shd w:val="clear" w:color="000000" w:fill="E5E5FF"/>
            <w:vAlign w:val="center"/>
            <w:hideMark/>
          </w:tcPr>
          <w:p w14:paraId="528DE935" w14:textId="77777777" w:rsidR="00F8227D" w:rsidRPr="00FB27C3" w:rsidRDefault="00F8227D">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No. de Abonos</w:t>
            </w:r>
          </w:p>
        </w:tc>
      </w:tr>
      <w:tr w:rsidR="00B40163" w:rsidRPr="008D29B6" w14:paraId="37DD2F57" w14:textId="77777777" w:rsidTr="00110859">
        <w:trPr>
          <w:trHeight w:val="82"/>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D883A" w14:textId="77777777" w:rsidR="00F8227D" w:rsidRPr="00FB27C3" w:rsidRDefault="00F8227D"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BANCO_POPULAR</w:t>
            </w:r>
          </w:p>
        </w:tc>
        <w:tc>
          <w:tcPr>
            <w:tcW w:w="704" w:type="pct"/>
            <w:tcBorders>
              <w:top w:val="single" w:sz="4" w:space="0" w:color="auto"/>
              <w:left w:val="nil"/>
              <w:bottom w:val="single" w:sz="4" w:space="0" w:color="auto"/>
              <w:right w:val="single" w:sz="4" w:space="0" w:color="auto"/>
            </w:tcBorders>
            <w:shd w:val="clear" w:color="auto" w:fill="auto"/>
            <w:vAlign w:val="center"/>
            <w:hideMark/>
          </w:tcPr>
          <w:p w14:paraId="6060056A"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860007738-9</w:t>
            </w:r>
          </w:p>
        </w:tc>
        <w:tc>
          <w:tcPr>
            <w:tcW w:w="859" w:type="pct"/>
            <w:tcBorders>
              <w:top w:val="single" w:sz="4" w:space="0" w:color="auto"/>
              <w:left w:val="nil"/>
              <w:bottom w:val="single" w:sz="4" w:space="0" w:color="auto"/>
              <w:right w:val="single" w:sz="4" w:space="0" w:color="auto"/>
            </w:tcBorders>
            <w:shd w:val="clear" w:color="auto" w:fill="auto"/>
            <w:vAlign w:val="center"/>
            <w:hideMark/>
          </w:tcPr>
          <w:p w14:paraId="5EBCA685"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120918993015</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064D358E"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BANCO POPULAR S.A.</w:t>
            </w:r>
          </w:p>
        </w:tc>
        <w:tc>
          <w:tcPr>
            <w:tcW w:w="827" w:type="pct"/>
            <w:tcBorders>
              <w:top w:val="single" w:sz="4" w:space="0" w:color="auto"/>
              <w:left w:val="nil"/>
              <w:bottom w:val="single" w:sz="4" w:space="0" w:color="auto"/>
              <w:right w:val="single" w:sz="4" w:space="0" w:color="auto"/>
            </w:tcBorders>
            <w:shd w:val="clear" w:color="auto" w:fill="auto"/>
            <w:vAlign w:val="center"/>
            <w:hideMark/>
          </w:tcPr>
          <w:p w14:paraId="5B0C3804"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$8.290.022</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7ECDCA77"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w:t>
            </w:r>
          </w:p>
        </w:tc>
      </w:tr>
      <w:tr w:rsidR="00B40163" w:rsidRPr="008D29B6" w14:paraId="0228DDFA" w14:textId="77777777" w:rsidTr="00110859">
        <w:trPr>
          <w:trHeight w:val="82"/>
          <w:jc w:val="center"/>
        </w:trPr>
        <w:tc>
          <w:tcPr>
            <w:tcW w:w="1117" w:type="pct"/>
            <w:tcBorders>
              <w:top w:val="nil"/>
              <w:left w:val="single" w:sz="4" w:space="0" w:color="auto"/>
              <w:bottom w:val="single" w:sz="4" w:space="0" w:color="auto"/>
              <w:right w:val="single" w:sz="4" w:space="0" w:color="auto"/>
            </w:tcBorders>
            <w:shd w:val="clear" w:color="auto" w:fill="auto"/>
            <w:vAlign w:val="center"/>
            <w:hideMark/>
          </w:tcPr>
          <w:p w14:paraId="3B6DFD0A" w14:textId="77777777" w:rsidR="00F8227D" w:rsidRPr="00FB27C3" w:rsidRDefault="00F8227D"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MUNICIPIO DE PUERTO LEGUIZAMO</w:t>
            </w:r>
          </w:p>
        </w:tc>
        <w:tc>
          <w:tcPr>
            <w:tcW w:w="704" w:type="pct"/>
            <w:tcBorders>
              <w:top w:val="nil"/>
              <w:left w:val="nil"/>
              <w:bottom w:val="single" w:sz="4" w:space="0" w:color="auto"/>
              <w:right w:val="single" w:sz="4" w:space="0" w:color="auto"/>
            </w:tcBorders>
            <w:shd w:val="clear" w:color="auto" w:fill="auto"/>
            <w:vAlign w:val="center"/>
            <w:hideMark/>
          </w:tcPr>
          <w:p w14:paraId="059139B6"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891200513-8</w:t>
            </w:r>
          </w:p>
        </w:tc>
        <w:tc>
          <w:tcPr>
            <w:tcW w:w="859" w:type="pct"/>
            <w:tcBorders>
              <w:top w:val="nil"/>
              <w:left w:val="nil"/>
              <w:bottom w:val="single" w:sz="4" w:space="0" w:color="auto"/>
              <w:right w:val="single" w:sz="4" w:space="0" w:color="auto"/>
            </w:tcBorders>
            <w:shd w:val="clear" w:color="auto" w:fill="auto"/>
            <w:vAlign w:val="center"/>
            <w:hideMark/>
          </w:tcPr>
          <w:p w14:paraId="2F5F9CC3"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079350002147</w:t>
            </w:r>
          </w:p>
        </w:tc>
        <w:tc>
          <w:tcPr>
            <w:tcW w:w="975" w:type="pct"/>
            <w:tcBorders>
              <w:top w:val="nil"/>
              <w:left w:val="nil"/>
              <w:bottom w:val="single" w:sz="4" w:space="0" w:color="auto"/>
              <w:right w:val="single" w:sz="4" w:space="0" w:color="auto"/>
            </w:tcBorders>
            <w:shd w:val="clear" w:color="auto" w:fill="auto"/>
            <w:vAlign w:val="center"/>
            <w:hideMark/>
          </w:tcPr>
          <w:p w14:paraId="020DADAD"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BANCO AGRARIO DE COLOMBIA S.A. </w:t>
            </w:r>
          </w:p>
        </w:tc>
        <w:tc>
          <w:tcPr>
            <w:tcW w:w="827" w:type="pct"/>
            <w:tcBorders>
              <w:top w:val="nil"/>
              <w:left w:val="nil"/>
              <w:bottom w:val="single" w:sz="4" w:space="0" w:color="auto"/>
              <w:right w:val="single" w:sz="4" w:space="0" w:color="auto"/>
            </w:tcBorders>
            <w:shd w:val="clear" w:color="auto" w:fill="auto"/>
            <w:vAlign w:val="center"/>
            <w:hideMark/>
          </w:tcPr>
          <w:p w14:paraId="61CC683D"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$3.070.069</w:t>
            </w:r>
          </w:p>
        </w:tc>
        <w:tc>
          <w:tcPr>
            <w:tcW w:w="518" w:type="pct"/>
            <w:tcBorders>
              <w:top w:val="nil"/>
              <w:left w:val="nil"/>
              <w:bottom w:val="single" w:sz="4" w:space="0" w:color="auto"/>
              <w:right w:val="single" w:sz="4" w:space="0" w:color="auto"/>
            </w:tcBorders>
            <w:shd w:val="clear" w:color="auto" w:fill="auto"/>
            <w:vAlign w:val="center"/>
            <w:hideMark/>
          </w:tcPr>
          <w:p w14:paraId="79C7D44F"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3</w:t>
            </w:r>
          </w:p>
        </w:tc>
      </w:tr>
      <w:tr w:rsidR="00B40163" w:rsidRPr="008D29B6" w14:paraId="145D3ADB" w14:textId="77777777" w:rsidTr="00110859">
        <w:trPr>
          <w:trHeight w:val="82"/>
          <w:jc w:val="center"/>
        </w:trPr>
        <w:tc>
          <w:tcPr>
            <w:tcW w:w="1117" w:type="pct"/>
            <w:tcBorders>
              <w:top w:val="nil"/>
              <w:left w:val="single" w:sz="4" w:space="0" w:color="auto"/>
              <w:bottom w:val="single" w:sz="4" w:space="0" w:color="auto"/>
              <w:right w:val="single" w:sz="4" w:space="0" w:color="auto"/>
            </w:tcBorders>
            <w:shd w:val="clear" w:color="auto" w:fill="auto"/>
            <w:vAlign w:val="center"/>
            <w:hideMark/>
          </w:tcPr>
          <w:p w14:paraId="74D87C49" w14:textId="77777777" w:rsidR="00F8227D" w:rsidRPr="00FB27C3" w:rsidRDefault="00F8227D"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MUNICIPIO DE PUERTO LEGUIZAMO</w:t>
            </w:r>
          </w:p>
        </w:tc>
        <w:tc>
          <w:tcPr>
            <w:tcW w:w="704" w:type="pct"/>
            <w:tcBorders>
              <w:top w:val="nil"/>
              <w:left w:val="nil"/>
              <w:bottom w:val="single" w:sz="4" w:space="0" w:color="auto"/>
              <w:right w:val="single" w:sz="4" w:space="0" w:color="auto"/>
            </w:tcBorders>
            <w:shd w:val="clear" w:color="auto" w:fill="auto"/>
            <w:vAlign w:val="center"/>
            <w:hideMark/>
          </w:tcPr>
          <w:p w14:paraId="3024ECC4"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891200513-8</w:t>
            </w:r>
          </w:p>
        </w:tc>
        <w:tc>
          <w:tcPr>
            <w:tcW w:w="859" w:type="pct"/>
            <w:tcBorders>
              <w:top w:val="nil"/>
              <w:left w:val="nil"/>
              <w:bottom w:val="single" w:sz="4" w:space="0" w:color="auto"/>
              <w:right w:val="single" w:sz="4" w:space="0" w:color="auto"/>
            </w:tcBorders>
            <w:shd w:val="clear" w:color="auto" w:fill="auto"/>
            <w:vAlign w:val="center"/>
            <w:hideMark/>
          </w:tcPr>
          <w:p w14:paraId="139BE982"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379350000798</w:t>
            </w:r>
          </w:p>
        </w:tc>
        <w:tc>
          <w:tcPr>
            <w:tcW w:w="975" w:type="pct"/>
            <w:tcBorders>
              <w:top w:val="nil"/>
              <w:left w:val="nil"/>
              <w:bottom w:val="single" w:sz="4" w:space="0" w:color="auto"/>
              <w:right w:val="single" w:sz="4" w:space="0" w:color="auto"/>
            </w:tcBorders>
            <w:shd w:val="clear" w:color="auto" w:fill="auto"/>
            <w:vAlign w:val="center"/>
            <w:hideMark/>
          </w:tcPr>
          <w:p w14:paraId="5F59CC95"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BANCO AGRARIO DE COLOMBIA S.A. </w:t>
            </w:r>
          </w:p>
        </w:tc>
        <w:tc>
          <w:tcPr>
            <w:tcW w:w="827" w:type="pct"/>
            <w:tcBorders>
              <w:top w:val="nil"/>
              <w:left w:val="nil"/>
              <w:bottom w:val="single" w:sz="4" w:space="0" w:color="auto"/>
              <w:right w:val="single" w:sz="4" w:space="0" w:color="auto"/>
            </w:tcBorders>
            <w:shd w:val="clear" w:color="auto" w:fill="auto"/>
            <w:vAlign w:val="center"/>
            <w:hideMark/>
          </w:tcPr>
          <w:p w14:paraId="130A5E5A"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$7.685.675</w:t>
            </w:r>
          </w:p>
        </w:tc>
        <w:tc>
          <w:tcPr>
            <w:tcW w:w="518" w:type="pct"/>
            <w:tcBorders>
              <w:top w:val="nil"/>
              <w:left w:val="nil"/>
              <w:bottom w:val="single" w:sz="4" w:space="0" w:color="auto"/>
              <w:right w:val="single" w:sz="4" w:space="0" w:color="auto"/>
            </w:tcBorders>
            <w:shd w:val="clear" w:color="auto" w:fill="auto"/>
            <w:vAlign w:val="center"/>
            <w:hideMark/>
          </w:tcPr>
          <w:p w14:paraId="0FD25D98"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w:t>
            </w:r>
          </w:p>
        </w:tc>
      </w:tr>
      <w:tr w:rsidR="00B40163" w:rsidRPr="008D29B6" w14:paraId="0F40F416" w14:textId="77777777" w:rsidTr="00110859">
        <w:trPr>
          <w:trHeight w:val="82"/>
          <w:jc w:val="center"/>
        </w:trPr>
        <w:tc>
          <w:tcPr>
            <w:tcW w:w="1117" w:type="pct"/>
            <w:tcBorders>
              <w:top w:val="nil"/>
              <w:left w:val="single" w:sz="4" w:space="0" w:color="auto"/>
              <w:bottom w:val="single" w:sz="4" w:space="0" w:color="auto"/>
              <w:right w:val="single" w:sz="4" w:space="0" w:color="auto"/>
            </w:tcBorders>
            <w:shd w:val="clear" w:color="auto" w:fill="auto"/>
            <w:vAlign w:val="center"/>
            <w:hideMark/>
          </w:tcPr>
          <w:p w14:paraId="57A7A498" w14:textId="77777777" w:rsidR="00F8227D" w:rsidRPr="00FB27C3" w:rsidRDefault="00F8227D"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MUNICIPIO DE PUERTO LEGUIZAMO</w:t>
            </w:r>
          </w:p>
        </w:tc>
        <w:tc>
          <w:tcPr>
            <w:tcW w:w="704" w:type="pct"/>
            <w:tcBorders>
              <w:top w:val="nil"/>
              <w:left w:val="nil"/>
              <w:bottom w:val="single" w:sz="4" w:space="0" w:color="auto"/>
              <w:right w:val="single" w:sz="4" w:space="0" w:color="auto"/>
            </w:tcBorders>
            <w:shd w:val="clear" w:color="auto" w:fill="auto"/>
            <w:vAlign w:val="center"/>
            <w:hideMark/>
          </w:tcPr>
          <w:p w14:paraId="55624E88"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891200513-8</w:t>
            </w:r>
          </w:p>
        </w:tc>
        <w:tc>
          <w:tcPr>
            <w:tcW w:w="859" w:type="pct"/>
            <w:tcBorders>
              <w:top w:val="nil"/>
              <w:left w:val="nil"/>
              <w:bottom w:val="single" w:sz="4" w:space="0" w:color="auto"/>
              <w:right w:val="single" w:sz="4" w:space="0" w:color="auto"/>
            </w:tcBorders>
            <w:shd w:val="clear" w:color="auto" w:fill="auto"/>
            <w:vAlign w:val="center"/>
            <w:hideMark/>
          </w:tcPr>
          <w:p w14:paraId="376BA627"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379350000962</w:t>
            </w:r>
          </w:p>
        </w:tc>
        <w:tc>
          <w:tcPr>
            <w:tcW w:w="975" w:type="pct"/>
            <w:tcBorders>
              <w:top w:val="nil"/>
              <w:left w:val="nil"/>
              <w:bottom w:val="single" w:sz="4" w:space="0" w:color="auto"/>
              <w:right w:val="single" w:sz="4" w:space="0" w:color="auto"/>
            </w:tcBorders>
            <w:shd w:val="clear" w:color="auto" w:fill="auto"/>
            <w:vAlign w:val="center"/>
            <w:hideMark/>
          </w:tcPr>
          <w:p w14:paraId="37D1EB7A"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BANCO AGRARIO DE COLOMBIA S.A. </w:t>
            </w:r>
          </w:p>
        </w:tc>
        <w:tc>
          <w:tcPr>
            <w:tcW w:w="827" w:type="pct"/>
            <w:tcBorders>
              <w:top w:val="nil"/>
              <w:left w:val="nil"/>
              <w:bottom w:val="single" w:sz="4" w:space="0" w:color="auto"/>
              <w:right w:val="single" w:sz="4" w:space="0" w:color="auto"/>
            </w:tcBorders>
            <w:shd w:val="clear" w:color="auto" w:fill="auto"/>
            <w:vAlign w:val="center"/>
            <w:hideMark/>
          </w:tcPr>
          <w:p w14:paraId="0B4381D6"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$22.342.712</w:t>
            </w:r>
          </w:p>
        </w:tc>
        <w:tc>
          <w:tcPr>
            <w:tcW w:w="518" w:type="pct"/>
            <w:tcBorders>
              <w:top w:val="nil"/>
              <w:left w:val="nil"/>
              <w:bottom w:val="single" w:sz="4" w:space="0" w:color="auto"/>
              <w:right w:val="single" w:sz="4" w:space="0" w:color="auto"/>
            </w:tcBorders>
            <w:shd w:val="clear" w:color="auto" w:fill="auto"/>
            <w:vAlign w:val="center"/>
            <w:hideMark/>
          </w:tcPr>
          <w:p w14:paraId="37D8B267"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w:t>
            </w:r>
          </w:p>
        </w:tc>
      </w:tr>
      <w:tr w:rsidR="00B40163" w:rsidRPr="008D29B6" w14:paraId="1201EDFA" w14:textId="77777777" w:rsidTr="00110859">
        <w:trPr>
          <w:trHeight w:val="82"/>
          <w:jc w:val="center"/>
        </w:trPr>
        <w:tc>
          <w:tcPr>
            <w:tcW w:w="1117" w:type="pct"/>
            <w:tcBorders>
              <w:top w:val="nil"/>
              <w:left w:val="single" w:sz="4" w:space="0" w:color="auto"/>
              <w:bottom w:val="single" w:sz="4" w:space="0" w:color="auto"/>
              <w:right w:val="single" w:sz="4" w:space="0" w:color="auto"/>
            </w:tcBorders>
            <w:shd w:val="clear" w:color="auto" w:fill="auto"/>
            <w:vAlign w:val="center"/>
            <w:hideMark/>
          </w:tcPr>
          <w:p w14:paraId="49E09B3A" w14:textId="77777777" w:rsidR="00F8227D" w:rsidRPr="00FB27C3" w:rsidRDefault="00F8227D"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MUNICIPIO DE PUERTO LEGUIZAMO</w:t>
            </w:r>
          </w:p>
        </w:tc>
        <w:tc>
          <w:tcPr>
            <w:tcW w:w="704" w:type="pct"/>
            <w:tcBorders>
              <w:top w:val="nil"/>
              <w:left w:val="nil"/>
              <w:bottom w:val="single" w:sz="4" w:space="0" w:color="auto"/>
              <w:right w:val="single" w:sz="4" w:space="0" w:color="auto"/>
            </w:tcBorders>
            <w:shd w:val="clear" w:color="auto" w:fill="auto"/>
            <w:vAlign w:val="center"/>
            <w:hideMark/>
          </w:tcPr>
          <w:p w14:paraId="48AFD27E"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891200513-8</w:t>
            </w:r>
          </w:p>
        </w:tc>
        <w:tc>
          <w:tcPr>
            <w:tcW w:w="859" w:type="pct"/>
            <w:tcBorders>
              <w:top w:val="nil"/>
              <w:left w:val="nil"/>
              <w:bottom w:val="single" w:sz="4" w:space="0" w:color="auto"/>
              <w:right w:val="single" w:sz="4" w:space="0" w:color="auto"/>
            </w:tcBorders>
            <w:shd w:val="clear" w:color="auto" w:fill="auto"/>
            <w:vAlign w:val="center"/>
            <w:hideMark/>
          </w:tcPr>
          <w:p w14:paraId="1C2AFE1F"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379350000970</w:t>
            </w:r>
          </w:p>
        </w:tc>
        <w:tc>
          <w:tcPr>
            <w:tcW w:w="975" w:type="pct"/>
            <w:tcBorders>
              <w:top w:val="nil"/>
              <w:left w:val="nil"/>
              <w:bottom w:val="single" w:sz="4" w:space="0" w:color="auto"/>
              <w:right w:val="single" w:sz="4" w:space="0" w:color="auto"/>
            </w:tcBorders>
            <w:shd w:val="clear" w:color="auto" w:fill="auto"/>
            <w:vAlign w:val="center"/>
            <w:hideMark/>
          </w:tcPr>
          <w:p w14:paraId="3863B6A4"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BANCO AGRARIO DE COLOMBIA S.A. </w:t>
            </w:r>
          </w:p>
        </w:tc>
        <w:tc>
          <w:tcPr>
            <w:tcW w:w="827" w:type="pct"/>
            <w:tcBorders>
              <w:top w:val="nil"/>
              <w:left w:val="nil"/>
              <w:bottom w:val="single" w:sz="4" w:space="0" w:color="auto"/>
              <w:right w:val="single" w:sz="4" w:space="0" w:color="auto"/>
            </w:tcBorders>
            <w:shd w:val="clear" w:color="auto" w:fill="auto"/>
            <w:vAlign w:val="center"/>
            <w:hideMark/>
          </w:tcPr>
          <w:p w14:paraId="64628113"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$10.571.356</w:t>
            </w:r>
          </w:p>
        </w:tc>
        <w:tc>
          <w:tcPr>
            <w:tcW w:w="518" w:type="pct"/>
            <w:tcBorders>
              <w:top w:val="nil"/>
              <w:left w:val="nil"/>
              <w:bottom w:val="single" w:sz="4" w:space="0" w:color="auto"/>
              <w:right w:val="single" w:sz="4" w:space="0" w:color="auto"/>
            </w:tcBorders>
            <w:shd w:val="clear" w:color="auto" w:fill="auto"/>
            <w:vAlign w:val="center"/>
            <w:hideMark/>
          </w:tcPr>
          <w:p w14:paraId="31FEAB64"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w:t>
            </w:r>
          </w:p>
        </w:tc>
      </w:tr>
      <w:tr w:rsidR="00B40163" w:rsidRPr="008D29B6" w14:paraId="48018DAF" w14:textId="77777777" w:rsidTr="00110859">
        <w:trPr>
          <w:trHeight w:val="82"/>
          <w:jc w:val="center"/>
        </w:trPr>
        <w:tc>
          <w:tcPr>
            <w:tcW w:w="1117" w:type="pct"/>
            <w:tcBorders>
              <w:top w:val="nil"/>
              <w:left w:val="single" w:sz="4" w:space="0" w:color="auto"/>
              <w:bottom w:val="single" w:sz="4" w:space="0" w:color="auto"/>
              <w:right w:val="single" w:sz="4" w:space="0" w:color="auto"/>
            </w:tcBorders>
            <w:shd w:val="clear" w:color="auto" w:fill="auto"/>
            <w:vAlign w:val="center"/>
            <w:hideMark/>
          </w:tcPr>
          <w:p w14:paraId="6F1350B5" w14:textId="77777777" w:rsidR="00F8227D" w:rsidRPr="00FB27C3" w:rsidRDefault="00F8227D"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MUNICIPIO DE PUERTO LEGUIZAMO</w:t>
            </w:r>
          </w:p>
        </w:tc>
        <w:tc>
          <w:tcPr>
            <w:tcW w:w="704" w:type="pct"/>
            <w:tcBorders>
              <w:top w:val="nil"/>
              <w:left w:val="nil"/>
              <w:bottom w:val="single" w:sz="4" w:space="0" w:color="auto"/>
              <w:right w:val="single" w:sz="4" w:space="0" w:color="auto"/>
            </w:tcBorders>
            <w:shd w:val="clear" w:color="auto" w:fill="auto"/>
            <w:vAlign w:val="center"/>
            <w:hideMark/>
          </w:tcPr>
          <w:p w14:paraId="530C1522"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891200513-8</w:t>
            </w:r>
          </w:p>
        </w:tc>
        <w:tc>
          <w:tcPr>
            <w:tcW w:w="859" w:type="pct"/>
            <w:tcBorders>
              <w:top w:val="nil"/>
              <w:left w:val="nil"/>
              <w:bottom w:val="single" w:sz="4" w:space="0" w:color="auto"/>
              <w:right w:val="single" w:sz="4" w:space="0" w:color="auto"/>
            </w:tcBorders>
            <w:shd w:val="clear" w:color="auto" w:fill="auto"/>
            <w:vAlign w:val="center"/>
            <w:hideMark/>
          </w:tcPr>
          <w:p w14:paraId="11938A0D"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379350000988</w:t>
            </w:r>
          </w:p>
        </w:tc>
        <w:tc>
          <w:tcPr>
            <w:tcW w:w="975" w:type="pct"/>
            <w:tcBorders>
              <w:top w:val="nil"/>
              <w:left w:val="nil"/>
              <w:bottom w:val="single" w:sz="4" w:space="0" w:color="auto"/>
              <w:right w:val="single" w:sz="4" w:space="0" w:color="auto"/>
            </w:tcBorders>
            <w:shd w:val="clear" w:color="auto" w:fill="auto"/>
            <w:vAlign w:val="center"/>
            <w:hideMark/>
          </w:tcPr>
          <w:p w14:paraId="6423E040"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BANCO AGRARIO DE COLOMBIA S.A. </w:t>
            </w:r>
          </w:p>
        </w:tc>
        <w:tc>
          <w:tcPr>
            <w:tcW w:w="827" w:type="pct"/>
            <w:tcBorders>
              <w:top w:val="nil"/>
              <w:left w:val="nil"/>
              <w:bottom w:val="single" w:sz="4" w:space="0" w:color="auto"/>
              <w:right w:val="single" w:sz="4" w:space="0" w:color="auto"/>
            </w:tcBorders>
            <w:shd w:val="clear" w:color="auto" w:fill="auto"/>
            <w:vAlign w:val="center"/>
            <w:hideMark/>
          </w:tcPr>
          <w:p w14:paraId="4F5ED4AF"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$2.775.033</w:t>
            </w:r>
          </w:p>
        </w:tc>
        <w:tc>
          <w:tcPr>
            <w:tcW w:w="518" w:type="pct"/>
            <w:tcBorders>
              <w:top w:val="nil"/>
              <w:left w:val="nil"/>
              <w:bottom w:val="single" w:sz="4" w:space="0" w:color="auto"/>
              <w:right w:val="single" w:sz="4" w:space="0" w:color="auto"/>
            </w:tcBorders>
            <w:shd w:val="clear" w:color="auto" w:fill="auto"/>
            <w:vAlign w:val="center"/>
            <w:hideMark/>
          </w:tcPr>
          <w:p w14:paraId="04122AD3"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w:t>
            </w:r>
          </w:p>
        </w:tc>
      </w:tr>
      <w:tr w:rsidR="00B40163" w:rsidRPr="008D29B6" w14:paraId="6961CF0C" w14:textId="77777777" w:rsidTr="00110859">
        <w:trPr>
          <w:trHeight w:val="82"/>
          <w:jc w:val="center"/>
        </w:trPr>
        <w:tc>
          <w:tcPr>
            <w:tcW w:w="1117" w:type="pct"/>
            <w:tcBorders>
              <w:top w:val="nil"/>
              <w:left w:val="single" w:sz="4" w:space="0" w:color="auto"/>
              <w:bottom w:val="single" w:sz="4" w:space="0" w:color="auto"/>
              <w:right w:val="single" w:sz="4" w:space="0" w:color="auto"/>
            </w:tcBorders>
            <w:shd w:val="clear" w:color="auto" w:fill="auto"/>
            <w:vAlign w:val="center"/>
            <w:hideMark/>
          </w:tcPr>
          <w:p w14:paraId="7EA552C7" w14:textId="77777777" w:rsidR="00F8227D" w:rsidRPr="00FB27C3" w:rsidRDefault="00F8227D"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MUNICIPIO DE PUERTO LEGUIZAMO</w:t>
            </w:r>
          </w:p>
        </w:tc>
        <w:tc>
          <w:tcPr>
            <w:tcW w:w="704" w:type="pct"/>
            <w:tcBorders>
              <w:top w:val="nil"/>
              <w:left w:val="nil"/>
              <w:bottom w:val="single" w:sz="4" w:space="0" w:color="auto"/>
              <w:right w:val="single" w:sz="4" w:space="0" w:color="auto"/>
            </w:tcBorders>
            <w:shd w:val="clear" w:color="auto" w:fill="auto"/>
            <w:vAlign w:val="center"/>
            <w:hideMark/>
          </w:tcPr>
          <w:p w14:paraId="2765A530"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891200513-8</w:t>
            </w:r>
          </w:p>
        </w:tc>
        <w:tc>
          <w:tcPr>
            <w:tcW w:w="859" w:type="pct"/>
            <w:tcBorders>
              <w:top w:val="nil"/>
              <w:left w:val="nil"/>
              <w:bottom w:val="single" w:sz="4" w:space="0" w:color="auto"/>
              <w:right w:val="single" w:sz="4" w:space="0" w:color="auto"/>
            </w:tcBorders>
            <w:shd w:val="clear" w:color="auto" w:fill="auto"/>
            <w:vAlign w:val="center"/>
            <w:hideMark/>
          </w:tcPr>
          <w:p w14:paraId="017EF6E3"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379350001978</w:t>
            </w:r>
          </w:p>
        </w:tc>
        <w:tc>
          <w:tcPr>
            <w:tcW w:w="975" w:type="pct"/>
            <w:tcBorders>
              <w:top w:val="nil"/>
              <w:left w:val="nil"/>
              <w:bottom w:val="single" w:sz="4" w:space="0" w:color="auto"/>
              <w:right w:val="single" w:sz="4" w:space="0" w:color="auto"/>
            </w:tcBorders>
            <w:shd w:val="clear" w:color="auto" w:fill="auto"/>
            <w:vAlign w:val="center"/>
            <w:hideMark/>
          </w:tcPr>
          <w:p w14:paraId="7ED20AC6" w14:textId="77777777" w:rsidR="00F8227D" w:rsidRPr="00FB27C3" w:rsidRDefault="00F8227D">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BANCO AGRARIO DE COLOMBIA S.A. </w:t>
            </w:r>
          </w:p>
        </w:tc>
        <w:tc>
          <w:tcPr>
            <w:tcW w:w="827" w:type="pct"/>
            <w:tcBorders>
              <w:top w:val="nil"/>
              <w:left w:val="nil"/>
              <w:bottom w:val="single" w:sz="4" w:space="0" w:color="auto"/>
              <w:right w:val="single" w:sz="4" w:space="0" w:color="auto"/>
            </w:tcBorders>
            <w:shd w:val="clear" w:color="auto" w:fill="auto"/>
            <w:vAlign w:val="center"/>
            <w:hideMark/>
          </w:tcPr>
          <w:p w14:paraId="5AF4437E"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$7.796.560</w:t>
            </w:r>
          </w:p>
        </w:tc>
        <w:tc>
          <w:tcPr>
            <w:tcW w:w="518" w:type="pct"/>
            <w:tcBorders>
              <w:top w:val="nil"/>
              <w:left w:val="nil"/>
              <w:bottom w:val="single" w:sz="4" w:space="0" w:color="auto"/>
              <w:right w:val="single" w:sz="4" w:space="0" w:color="auto"/>
            </w:tcBorders>
            <w:shd w:val="clear" w:color="auto" w:fill="auto"/>
            <w:vAlign w:val="center"/>
            <w:hideMark/>
          </w:tcPr>
          <w:p w14:paraId="67CE1E00" w14:textId="77777777" w:rsidR="00F8227D" w:rsidRPr="00FB27C3" w:rsidRDefault="00F8227D">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1</w:t>
            </w:r>
          </w:p>
        </w:tc>
      </w:tr>
    </w:tbl>
    <w:p w14:paraId="6850F286" w14:textId="77777777" w:rsidR="00DE4ABA" w:rsidRPr="00FB27C3" w:rsidRDefault="00DE4ABA" w:rsidP="00286F4A">
      <w:pPr>
        <w:spacing w:after="0" w:line="240" w:lineRule="auto"/>
        <w:contextualSpacing/>
        <w:jc w:val="center"/>
        <w:textAlignment w:val="baseline"/>
        <w:rPr>
          <w:rFonts w:eastAsia="Times New Roman" w:cs="Arial"/>
          <w:sz w:val="16"/>
          <w:szCs w:val="16"/>
          <w:lang w:val="es-CO" w:eastAsia="es-CO"/>
        </w:rPr>
      </w:pPr>
      <w:r w:rsidRPr="00FB27C3">
        <w:rPr>
          <w:rFonts w:eastAsia="Times New Roman" w:cs="Arial"/>
          <w:b/>
          <w:bCs/>
          <w:sz w:val="16"/>
          <w:szCs w:val="16"/>
          <w:lang w:val="es-CO" w:eastAsia="es-CO"/>
        </w:rPr>
        <w:t>Fuente:</w:t>
      </w:r>
      <w:r w:rsidRPr="00FB27C3">
        <w:rPr>
          <w:rFonts w:eastAsia="Times New Roman" w:cs="Arial"/>
          <w:sz w:val="16"/>
          <w:szCs w:val="16"/>
          <w:lang w:val="es-CO" w:eastAsia="es-CO"/>
        </w:rPr>
        <w:t xml:space="preserve"> Elaboración DAF con información reportada en el Sistema PISIS.</w:t>
      </w:r>
    </w:p>
    <w:p w14:paraId="0474DF7E" w14:textId="77777777" w:rsidR="008D29B6" w:rsidRDefault="008D29B6">
      <w:pPr>
        <w:spacing w:line="240" w:lineRule="auto"/>
        <w:contextualSpacing/>
        <w:jc w:val="both"/>
        <w:rPr>
          <w:rFonts w:cs="Arial"/>
          <w:color w:val="000000"/>
          <w:lang w:val="es-CO"/>
        </w:rPr>
      </w:pPr>
    </w:p>
    <w:p w14:paraId="12AE8BF7" w14:textId="77777777" w:rsidR="00D66E8E" w:rsidRDefault="00222CAA">
      <w:pPr>
        <w:spacing w:line="240" w:lineRule="auto"/>
        <w:contextualSpacing/>
        <w:jc w:val="both"/>
        <w:rPr>
          <w:rFonts w:cs="Arial"/>
        </w:rPr>
      </w:pPr>
      <w:r>
        <w:rPr>
          <w:rFonts w:cs="Arial"/>
          <w:color w:val="000000"/>
          <w:lang w:val="es-CO"/>
        </w:rPr>
        <w:t xml:space="preserve">Adicionalmente, </w:t>
      </w:r>
      <w:r w:rsidR="00DF21DC">
        <w:rPr>
          <w:rFonts w:cs="Arial"/>
          <w:color w:val="000000"/>
          <w:lang w:val="es-CO"/>
        </w:rPr>
        <w:t xml:space="preserve">se pudo identificar que el </w:t>
      </w:r>
      <w:r w:rsidR="0090062C">
        <w:rPr>
          <w:rFonts w:cs="Arial"/>
          <w:color w:val="000000"/>
          <w:lang w:val="es-CO"/>
        </w:rPr>
        <w:t>M</w:t>
      </w:r>
      <w:r w:rsidR="00DF21DC">
        <w:rPr>
          <w:rFonts w:cs="Arial"/>
          <w:color w:val="000000"/>
          <w:lang w:val="es-CO"/>
        </w:rPr>
        <w:t xml:space="preserve">unicipio de Puerto Leguízamo – Putumayo </w:t>
      </w:r>
      <w:r w:rsidR="008F2990">
        <w:rPr>
          <w:rFonts w:cs="Arial"/>
          <w:color w:val="000000"/>
          <w:lang w:val="es-CO"/>
        </w:rPr>
        <w:t xml:space="preserve">realiza traslados a </w:t>
      </w:r>
      <w:r w:rsidR="0090062C">
        <w:rPr>
          <w:rFonts w:cs="Arial"/>
          <w:color w:val="000000"/>
          <w:lang w:val="es-CO"/>
        </w:rPr>
        <w:t>seis (</w:t>
      </w:r>
      <w:r w:rsidR="00BC2B99">
        <w:rPr>
          <w:rFonts w:cs="Arial"/>
          <w:color w:val="000000"/>
          <w:lang w:val="es-CO"/>
        </w:rPr>
        <w:t>6</w:t>
      </w:r>
      <w:r w:rsidR="0090062C">
        <w:rPr>
          <w:rFonts w:cs="Arial"/>
          <w:color w:val="000000"/>
          <w:lang w:val="es-CO"/>
        </w:rPr>
        <w:t>)</w:t>
      </w:r>
      <w:r w:rsidR="00BC2B99">
        <w:rPr>
          <w:rFonts w:cs="Arial"/>
          <w:color w:val="000000"/>
          <w:lang w:val="es-CO"/>
        </w:rPr>
        <w:t xml:space="preserve"> </w:t>
      </w:r>
      <w:r w:rsidR="008F2990">
        <w:rPr>
          <w:rFonts w:cs="Arial"/>
          <w:color w:val="000000"/>
          <w:lang w:val="es-CO"/>
        </w:rPr>
        <w:t xml:space="preserve">cuentas </w:t>
      </w:r>
      <w:r w:rsidR="00742FB3">
        <w:rPr>
          <w:rFonts w:cs="Arial"/>
          <w:color w:val="000000"/>
          <w:lang w:val="es-CO"/>
        </w:rPr>
        <w:t xml:space="preserve">a nombre del </w:t>
      </w:r>
      <w:r w:rsidR="0090062C">
        <w:rPr>
          <w:rFonts w:cs="Arial"/>
          <w:color w:val="000000"/>
          <w:lang w:val="es-CO"/>
        </w:rPr>
        <w:t>M</w:t>
      </w:r>
      <w:r w:rsidR="00742FB3">
        <w:rPr>
          <w:rFonts w:cs="Arial"/>
          <w:color w:val="000000"/>
          <w:lang w:val="es-CO"/>
        </w:rPr>
        <w:t>unicipio</w:t>
      </w:r>
      <w:r w:rsidR="004A39D5">
        <w:rPr>
          <w:rFonts w:cs="Arial"/>
          <w:color w:val="000000"/>
          <w:lang w:val="es-CO"/>
        </w:rPr>
        <w:t>,</w:t>
      </w:r>
      <w:r w:rsidR="00742FB3">
        <w:rPr>
          <w:rFonts w:cs="Arial"/>
          <w:color w:val="000000"/>
          <w:lang w:val="es-CO"/>
        </w:rPr>
        <w:t xml:space="preserve"> </w:t>
      </w:r>
      <w:r w:rsidR="00A723E8">
        <w:rPr>
          <w:rFonts w:cs="Arial"/>
          <w:color w:val="000000"/>
          <w:lang w:val="es-CO"/>
        </w:rPr>
        <w:t xml:space="preserve">como se puede observar </w:t>
      </w:r>
      <w:r w:rsidR="005E3990">
        <w:rPr>
          <w:rFonts w:cs="Arial"/>
          <w:color w:val="000000"/>
          <w:lang w:val="es-CO"/>
        </w:rPr>
        <w:t xml:space="preserve">en el cuadro anterior, </w:t>
      </w:r>
      <w:r w:rsidR="002605C5">
        <w:rPr>
          <w:rFonts w:cs="Arial"/>
          <w:color w:val="000000"/>
          <w:lang w:val="es-CO"/>
        </w:rPr>
        <w:t xml:space="preserve">los cuales </w:t>
      </w:r>
      <w:r w:rsidR="00007A30">
        <w:rPr>
          <w:rFonts w:cs="Arial"/>
          <w:color w:val="000000"/>
          <w:lang w:val="es-CO"/>
        </w:rPr>
        <w:t xml:space="preserve">sumaron para el periodo analizado un total de </w:t>
      </w:r>
      <w:r w:rsidR="00801799">
        <w:rPr>
          <w:rFonts w:cs="Arial"/>
          <w:color w:val="000000"/>
          <w:lang w:val="es-CO"/>
        </w:rPr>
        <w:t>$</w:t>
      </w:r>
      <w:r w:rsidR="00AD70C3" w:rsidRPr="00AD70C3">
        <w:rPr>
          <w:rFonts w:cs="Arial"/>
          <w:color w:val="000000"/>
          <w:lang w:val="es-CO"/>
        </w:rPr>
        <w:t>54.241.405</w:t>
      </w:r>
      <w:r w:rsidR="00273BE0">
        <w:rPr>
          <w:rFonts w:cs="Arial"/>
          <w:color w:val="000000"/>
          <w:lang w:val="es-CO"/>
        </w:rPr>
        <w:t xml:space="preserve">. </w:t>
      </w:r>
      <w:r w:rsidR="00346309">
        <w:rPr>
          <w:color w:val="000000"/>
        </w:rPr>
        <w:t>De estos movimientos, ninguno de los traslados se realiza a la Cuenta Maestra Pagadora que figura en la certificación bancaria</w:t>
      </w:r>
      <w:r w:rsidR="0090062C">
        <w:rPr>
          <w:color w:val="000000"/>
        </w:rPr>
        <w:t>;</w:t>
      </w:r>
      <w:r w:rsidR="00346309">
        <w:rPr>
          <w:color w:val="000000"/>
        </w:rPr>
        <w:t xml:space="preserve"> por lo cual, de tratarse de pagos de impuestos nacionales</w:t>
      </w:r>
      <w:r w:rsidR="004A39D5">
        <w:rPr>
          <w:color w:val="000000"/>
        </w:rPr>
        <w:t>,</w:t>
      </w:r>
      <w:r w:rsidR="00346309">
        <w:rPr>
          <w:color w:val="000000"/>
        </w:rPr>
        <w:t xml:space="preserve"> se est</w:t>
      </w:r>
      <w:r w:rsidR="004A39D5">
        <w:rPr>
          <w:color w:val="000000"/>
        </w:rPr>
        <w:t>aría</w:t>
      </w:r>
      <w:r w:rsidR="00346309">
        <w:rPr>
          <w:color w:val="000000"/>
        </w:rPr>
        <w:t xml:space="preserve"> incumpliendo con lo establecido en la Resolución 0660 de 2018, ya que este es el instrumento indicado para realizar dichos pagos.</w:t>
      </w:r>
      <w:r w:rsidR="00D66E8E">
        <w:rPr>
          <w:color w:val="000000"/>
        </w:rPr>
        <w:t xml:space="preserve"> </w:t>
      </w:r>
      <w:r w:rsidR="00D66E8E">
        <w:rPr>
          <w:rFonts w:cs="Arial"/>
        </w:rPr>
        <w:t xml:space="preserve">Esta situación refleja que las cuentas inscritas como beneficiaras no permiten identificar de manera clara la función de cada una de ellas y a su vez, tampoco permiten realizar un adecuado seguimiento de la trazabilidad de los recursos de Propósito General. La </w:t>
      </w:r>
      <w:r w:rsidR="00D66E8E">
        <w:rPr>
          <w:rFonts w:cs="Arial"/>
        </w:rPr>
        <w:lastRenderedPageBreak/>
        <w:t>situación descrita también refleja un inadecuado manejo de los recursos de Propósito General</w:t>
      </w:r>
      <w:r w:rsidR="0090062C">
        <w:rPr>
          <w:rFonts w:cs="Arial"/>
        </w:rPr>
        <w:t>;</w:t>
      </w:r>
      <w:r w:rsidR="00D66E8E">
        <w:rPr>
          <w:rFonts w:cs="Arial"/>
        </w:rPr>
        <w:t xml:space="preserve"> ya que no es posible realizar el adecuado control de estos e identificar </w:t>
      </w:r>
      <w:r w:rsidR="004A39D5">
        <w:rPr>
          <w:rFonts w:cs="Arial"/>
        </w:rPr>
        <w:t>los conceptos de las transferencias realizadas</w:t>
      </w:r>
      <w:r w:rsidR="00D66E8E">
        <w:rPr>
          <w:rFonts w:cs="Arial"/>
        </w:rPr>
        <w:t>.</w:t>
      </w:r>
    </w:p>
    <w:p w14:paraId="4D3C3621" w14:textId="77777777" w:rsidR="0090062C" w:rsidRDefault="0090062C">
      <w:pPr>
        <w:spacing w:line="240" w:lineRule="auto"/>
        <w:contextualSpacing/>
        <w:jc w:val="both"/>
        <w:rPr>
          <w:rFonts w:cs="Arial"/>
        </w:rPr>
      </w:pPr>
    </w:p>
    <w:p w14:paraId="19F5810F" w14:textId="77777777" w:rsidR="007042E5" w:rsidRDefault="007042E5">
      <w:pPr>
        <w:spacing w:line="240" w:lineRule="auto"/>
        <w:contextualSpacing/>
        <w:jc w:val="both"/>
        <w:rPr>
          <w:rFonts w:cs="Arial"/>
        </w:rPr>
      </w:pPr>
      <w:r>
        <w:rPr>
          <w:rFonts w:cs="Arial"/>
        </w:rPr>
        <w:t xml:space="preserve">En sede de reconocimiento </w:t>
      </w:r>
      <w:r w:rsidR="009E2503">
        <w:rPr>
          <w:rFonts w:cs="Arial"/>
        </w:rPr>
        <w:t>virtual</w:t>
      </w:r>
      <w:r w:rsidR="006C3703">
        <w:rPr>
          <w:rFonts w:cs="Arial"/>
        </w:rPr>
        <w:t>, como consta en el Acta de la reunión</w:t>
      </w:r>
      <w:r w:rsidR="00596D81">
        <w:rPr>
          <w:rFonts w:cs="Arial"/>
        </w:rPr>
        <w:t xml:space="preserve"> llevada a cabo el 27 de septiembre de 2021</w:t>
      </w:r>
      <w:r w:rsidR="006C3703">
        <w:rPr>
          <w:rFonts w:cs="Arial"/>
        </w:rPr>
        <w:t xml:space="preserve">, </w:t>
      </w:r>
      <w:r w:rsidR="009E2503">
        <w:rPr>
          <w:rFonts w:cs="Arial"/>
        </w:rPr>
        <w:t xml:space="preserve">se indagó con el Secretario de Hacienda, quien a su vez ejerce las funciones de Tesorero Municipal, sobre la naturaleza de estos movimientos, </w:t>
      </w:r>
      <w:r w:rsidR="00CE750A">
        <w:rPr>
          <w:rFonts w:cs="Arial"/>
        </w:rPr>
        <w:t>a lo cual se respondió que los traslados tenían un respaldo legal debido a que se trata de traslados por descuentos de estampillas y tasas</w:t>
      </w:r>
      <w:r w:rsidR="00CB2527">
        <w:rPr>
          <w:rFonts w:cs="Arial"/>
        </w:rPr>
        <w:t xml:space="preserve"> o retenciones</w:t>
      </w:r>
      <w:r w:rsidR="004A39D5">
        <w:rPr>
          <w:rFonts w:cs="Arial"/>
        </w:rPr>
        <w:t>,</w:t>
      </w:r>
      <w:r w:rsidR="00CB2527">
        <w:rPr>
          <w:rFonts w:cs="Arial"/>
        </w:rPr>
        <w:t xml:space="preserve"> como se muestra a continuación:</w:t>
      </w:r>
    </w:p>
    <w:p w14:paraId="7A64D398" w14:textId="77777777" w:rsidR="0090062C" w:rsidRDefault="0090062C">
      <w:pPr>
        <w:spacing w:line="240" w:lineRule="auto"/>
        <w:contextualSpacing/>
        <w:jc w:val="both"/>
        <w:rPr>
          <w:rFonts w:cs="Arial"/>
        </w:rPr>
      </w:pPr>
    </w:p>
    <w:p w14:paraId="09166270" w14:textId="77777777" w:rsidR="006C3703" w:rsidRPr="00496000" w:rsidRDefault="006C3703">
      <w:pPr>
        <w:spacing w:after="0" w:line="240" w:lineRule="auto"/>
        <w:contextualSpacing/>
        <w:jc w:val="center"/>
        <w:textAlignment w:val="baseline"/>
        <w:rPr>
          <w:rFonts w:eastAsia="Times New Roman" w:cs="Arial"/>
          <w:b/>
          <w:bCs/>
          <w:sz w:val="20"/>
          <w:szCs w:val="20"/>
          <w:lang w:val="es-CO" w:eastAsia="es-CO"/>
        </w:rPr>
      </w:pPr>
      <w:r w:rsidRPr="00496000">
        <w:rPr>
          <w:rFonts w:eastAsia="Times New Roman" w:cs="Arial"/>
          <w:b/>
          <w:bCs/>
          <w:sz w:val="20"/>
          <w:szCs w:val="20"/>
          <w:lang w:val="es-CO" w:eastAsia="es-CO"/>
        </w:rPr>
        <w:t xml:space="preserve">Cuadro No. </w:t>
      </w:r>
      <w:r w:rsidR="00527579">
        <w:rPr>
          <w:rFonts w:eastAsia="Times New Roman" w:cs="Arial"/>
          <w:b/>
          <w:bCs/>
          <w:sz w:val="20"/>
          <w:szCs w:val="20"/>
          <w:lang w:val="es-CO" w:eastAsia="es-CO"/>
        </w:rPr>
        <w:t>9</w:t>
      </w:r>
    </w:p>
    <w:p w14:paraId="3ACB0BAD" w14:textId="77777777" w:rsidR="006C3703" w:rsidRPr="00F71CC8" w:rsidRDefault="006C3703">
      <w:pPr>
        <w:spacing w:after="0" w:line="240" w:lineRule="auto"/>
        <w:contextualSpacing/>
        <w:jc w:val="center"/>
        <w:rPr>
          <w:rFonts w:cs="Arial"/>
          <w:sz w:val="20"/>
          <w:szCs w:val="24"/>
        </w:rPr>
      </w:pPr>
      <w:r>
        <w:rPr>
          <w:rFonts w:eastAsia="Times New Roman" w:cs="Arial"/>
          <w:sz w:val="20"/>
          <w:szCs w:val="20"/>
          <w:lang w:val="es-CO" w:eastAsia="es-CO"/>
        </w:rPr>
        <w:t>Egresos</w:t>
      </w:r>
      <w:r w:rsidRPr="00496000">
        <w:rPr>
          <w:rFonts w:eastAsia="Times New Roman" w:cs="Arial"/>
          <w:sz w:val="20"/>
          <w:szCs w:val="20"/>
          <w:lang w:val="es-CO" w:eastAsia="es-CO"/>
        </w:rPr>
        <w:t xml:space="preserve"> Cuenta Maestra </w:t>
      </w:r>
      <w:r>
        <w:rPr>
          <w:rFonts w:eastAsia="Times New Roman" w:cs="Arial"/>
          <w:sz w:val="20"/>
          <w:szCs w:val="20"/>
          <w:lang w:val="es-CO" w:eastAsia="es-CO"/>
        </w:rPr>
        <w:t>a cuentas del Municipio</w:t>
      </w:r>
    </w:p>
    <w:p w14:paraId="1A8BAD0A" w14:textId="77777777" w:rsidR="006C3703" w:rsidRDefault="006C3703">
      <w:pPr>
        <w:spacing w:line="240" w:lineRule="auto"/>
        <w:contextualSpacing/>
        <w:jc w:val="center"/>
        <w:rPr>
          <w:rFonts w:cs="Arial"/>
        </w:rPr>
      </w:pPr>
      <w:r w:rsidRPr="00F71CC8">
        <w:rPr>
          <w:rFonts w:cs="Arial"/>
          <w:sz w:val="20"/>
          <w:szCs w:val="24"/>
        </w:rPr>
        <w:t xml:space="preserve">Municipio de </w:t>
      </w:r>
      <w:r>
        <w:rPr>
          <w:rFonts w:cs="Arial"/>
          <w:sz w:val="20"/>
          <w:szCs w:val="24"/>
        </w:rPr>
        <w:t>Puerto Leguízamo – Putumayo</w:t>
      </w:r>
    </w:p>
    <w:tbl>
      <w:tblPr>
        <w:tblW w:w="7505" w:type="dxa"/>
        <w:jc w:val="center"/>
        <w:tblCellMar>
          <w:left w:w="70" w:type="dxa"/>
          <w:right w:w="70" w:type="dxa"/>
        </w:tblCellMar>
        <w:tblLook w:val="04A0" w:firstRow="1" w:lastRow="0" w:firstColumn="1" w:lastColumn="0" w:noHBand="0" w:noVBand="1"/>
      </w:tblPr>
      <w:tblGrid>
        <w:gridCol w:w="2177"/>
        <w:gridCol w:w="1892"/>
        <w:gridCol w:w="1936"/>
        <w:gridCol w:w="1500"/>
      </w:tblGrid>
      <w:tr w:rsidR="006C3703" w:rsidRPr="0090062C" w14:paraId="18233CBA" w14:textId="77777777" w:rsidTr="00DF2058">
        <w:trPr>
          <w:trHeight w:val="900"/>
          <w:jc w:val="center"/>
        </w:trPr>
        <w:tc>
          <w:tcPr>
            <w:tcW w:w="2177" w:type="dxa"/>
            <w:tcBorders>
              <w:top w:val="single" w:sz="4" w:space="0" w:color="auto"/>
              <w:left w:val="single" w:sz="4" w:space="0" w:color="auto"/>
              <w:bottom w:val="single" w:sz="4" w:space="0" w:color="auto"/>
              <w:right w:val="single" w:sz="4" w:space="0" w:color="auto"/>
            </w:tcBorders>
            <w:shd w:val="clear" w:color="auto" w:fill="666699"/>
            <w:vAlign w:val="center"/>
            <w:hideMark/>
          </w:tcPr>
          <w:p w14:paraId="7B7A0D27" w14:textId="77777777" w:rsidR="006C3703" w:rsidRPr="00FB27C3" w:rsidRDefault="006C3703">
            <w:pPr>
              <w:spacing w:line="240" w:lineRule="auto"/>
              <w:ind w:left="209"/>
              <w:contextualSpacing/>
              <w:jc w:val="center"/>
              <w:rPr>
                <w:rFonts w:cs="Arial"/>
                <w:b/>
                <w:bCs/>
                <w:color w:val="FFFFFF" w:themeColor="background1"/>
                <w:sz w:val="18"/>
                <w:szCs w:val="18"/>
                <w:lang w:val="es-ES" w:eastAsia="es-ES"/>
              </w:rPr>
            </w:pPr>
            <w:r w:rsidRPr="00FB27C3">
              <w:rPr>
                <w:rFonts w:cs="Arial"/>
                <w:b/>
                <w:bCs/>
                <w:color w:val="FFFFFF" w:themeColor="background1"/>
                <w:sz w:val="18"/>
                <w:szCs w:val="18"/>
                <w:lang w:val="es-ES" w:eastAsia="es-ES"/>
              </w:rPr>
              <w:t xml:space="preserve">Nombre o razón social </w:t>
            </w:r>
          </w:p>
        </w:tc>
        <w:tc>
          <w:tcPr>
            <w:tcW w:w="1892" w:type="dxa"/>
            <w:tcBorders>
              <w:top w:val="single" w:sz="4" w:space="0" w:color="auto"/>
              <w:left w:val="nil"/>
              <w:bottom w:val="single" w:sz="4" w:space="0" w:color="auto"/>
              <w:right w:val="single" w:sz="4" w:space="0" w:color="auto"/>
            </w:tcBorders>
            <w:shd w:val="clear" w:color="auto" w:fill="666699"/>
            <w:vAlign w:val="center"/>
            <w:hideMark/>
          </w:tcPr>
          <w:p w14:paraId="14579E09" w14:textId="77777777" w:rsidR="006C3703" w:rsidRPr="00FB27C3" w:rsidRDefault="006C3703">
            <w:pPr>
              <w:spacing w:line="240" w:lineRule="auto"/>
              <w:contextualSpacing/>
              <w:jc w:val="center"/>
              <w:rPr>
                <w:rFonts w:cs="Arial"/>
                <w:b/>
                <w:bCs/>
                <w:color w:val="FFFFFF" w:themeColor="background1"/>
                <w:sz w:val="18"/>
                <w:szCs w:val="18"/>
                <w:lang w:val="es-ES" w:eastAsia="es-ES"/>
              </w:rPr>
            </w:pPr>
            <w:r w:rsidRPr="00FB27C3">
              <w:rPr>
                <w:rFonts w:cs="Arial"/>
                <w:b/>
                <w:bCs/>
                <w:color w:val="FFFFFF" w:themeColor="background1"/>
                <w:sz w:val="18"/>
                <w:szCs w:val="18"/>
                <w:lang w:val="es-ES" w:eastAsia="es-ES"/>
              </w:rPr>
              <w:t xml:space="preserve">No de Cuenta </w:t>
            </w:r>
          </w:p>
        </w:tc>
        <w:tc>
          <w:tcPr>
            <w:tcW w:w="1936" w:type="dxa"/>
            <w:tcBorders>
              <w:top w:val="single" w:sz="4" w:space="0" w:color="auto"/>
              <w:left w:val="nil"/>
              <w:bottom w:val="single" w:sz="4" w:space="0" w:color="auto"/>
              <w:right w:val="single" w:sz="4" w:space="0" w:color="auto"/>
            </w:tcBorders>
            <w:shd w:val="clear" w:color="auto" w:fill="666699"/>
            <w:vAlign w:val="center"/>
            <w:hideMark/>
          </w:tcPr>
          <w:p w14:paraId="00568555" w14:textId="77777777" w:rsidR="006C3703" w:rsidRPr="00FB27C3" w:rsidRDefault="006C3703">
            <w:pPr>
              <w:spacing w:line="240" w:lineRule="auto"/>
              <w:contextualSpacing/>
              <w:jc w:val="center"/>
              <w:rPr>
                <w:rFonts w:cs="Arial"/>
                <w:b/>
                <w:bCs/>
                <w:color w:val="FFFFFF" w:themeColor="background1"/>
                <w:sz w:val="18"/>
                <w:szCs w:val="18"/>
                <w:lang w:val="es-ES" w:eastAsia="es-ES"/>
              </w:rPr>
            </w:pPr>
            <w:r w:rsidRPr="00FB27C3">
              <w:rPr>
                <w:rFonts w:cs="Arial"/>
                <w:b/>
                <w:bCs/>
                <w:color w:val="FFFFFF" w:themeColor="background1"/>
                <w:sz w:val="18"/>
                <w:szCs w:val="18"/>
                <w:lang w:val="es-ES" w:eastAsia="es-ES"/>
              </w:rPr>
              <w:t xml:space="preserve">Establecimiento Bancario </w:t>
            </w:r>
          </w:p>
        </w:tc>
        <w:tc>
          <w:tcPr>
            <w:tcW w:w="1500" w:type="dxa"/>
            <w:tcBorders>
              <w:top w:val="single" w:sz="4" w:space="0" w:color="auto"/>
              <w:left w:val="nil"/>
              <w:bottom w:val="single" w:sz="4" w:space="0" w:color="auto"/>
              <w:right w:val="single" w:sz="4" w:space="0" w:color="auto"/>
            </w:tcBorders>
            <w:shd w:val="clear" w:color="auto" w:fill="666699"/>
            <w:vAlign w:val="center"/>
            <w:hideMark/>
          </w:tcPr>
          <w:p w14:paraId="1245BAFD" w14:textId="77777777" w:rsidR="006C3703" w:rsidRPr="00FB27C3" w:rsidRDefault="006C3703">
            <w:pPr>
              <w:spacing w:line="240" w:lineRule="auto"/>
              <w:contextualSpacing/>
              <w:jc w:val="center"/>
              <w:rPr>
                <w:rFonts w:cs="Arial"/>
                <w:b/>
                <w:bCs/>
                <w:color w:val="FFFFFF" w:themeColor="background1"/>
                <w:sz w:val="18"/>
                <w:szCs w:val="18"/>
                <w:lang w:val="es-ES" w:eastAsia="es-ES"/>
              </w:rPr>
            </w:pPr>
            <w:r w:rsidRPr="00FB27C3">
              <w:rPr>
                <w:rFonts w:cs="Arial"/>
                <w:b/>
                <w:bCs/>
                <w:color w:val="FFFFFF" w:themeColor="background1"/>
                <w:sz w:val="18"/>
                <w:szCs w:val="18"/>
                <w:lang w:val="es-ES" w:eastAsia="es-ES"/>
              </w:rPr>
              <w:t>Naturaleza del movimiento</w:t>
            </w:r>
          </w:p>
        </w:tc>
      </w:tr>
      <w:tr w:rsidR="006C3703" w:rsidRPr="0090062C" w14:paraId="0EAAF87C" w14:textId="77777777" w:rsidTr="00DF2058">
        <w:trPr>
          <w:trHeight w:val="600"/>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1ADD71FD" w14:textId="77777777" w:rsidR="006C3703" w:rsidRPr="00FB27C3" w:rsidRDefault="006C3703" w:rsidP="00286F4A">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MUNICIPIO DE PUERTO LEGUIZAMO</w:t>
            </w:r>
          </w:p>
        </w:tc>
        <w:tc>
          <w:tcPr>
            <w:tcW w:w="1892" w:type="dxa"/>
            <w:tcBorders>
              <w:top w:val="nil"/>
              <w:left w:val="nil"/>
              <w:bottom w:val="single" w:sz="4" w:space="0" w:color="auto"/>
              <w:right w:val="single" w:sz="4" w:space="0" w:color="auto"/>
            </w:tcBorders>
            <w:shd w:val="clear" w:color="auto" w:fill="auto"/>
            <w:vAlign w:val="center"/>
            <w:hideMark/>
          </w:tcPr>
          <w:p w14:paraId="3C6AA858"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079350002147</w:t>
            </w:r>
          </w:p>
        </w:tc>
        <w:tc>
          <w:tcPr>
            <w:tcW w:w="1936" w:type="dxa"/>
            <w:tcBorders>
              <w:top w:val="nil"/>
              <w:left w:val="nil"/>
              <w:bottom w:val="single" w:sz="4" w:space="0" w:color="auto"/>
              <w:right w:val="single" w:sz="4" w:space="0" w:color="auto"/>
            </w:tcBorders>
            <w:shd w:val="clear" w:color="auto" w:fill="auto"/>
            <w:vAlign w:val="center"/>
            <w:hideMark/>
          </w:tcPr>
          <w:p w14:paraId="62C9152E"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BANCO AGRARIO DE COLOMBIA S.A.</w:t>
            </w:r>
          </w:p>
        </w:tc>
        <w:tc>
          <w:tcPr>
            <w:tcW w:w="1500" w:type="dxa"/>
            <w:tcBorders>
              <w:top w:val="nil"/>
              <w:left w:val="nil"/>
              <w:bottom w:val="single" w:sz="4" w:space="0" w:color="auto"/>
              <w:right w:val="single" w:sz="4" w:space="0" w:color="auto"/>
            </w:tcBorders>
            <w:shd w:val="clear" w:color="auto" w:fill="auto"/>
            <w:vAlign w:val="center"/>
            <w:hideMark/>
          </w:tcPr>
          <w:p w14:paraId="573E5E0D"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 xml:space="preserve">Retención al ICA </w:t>
            </w:r>
          </w:p>
        </w:tc>
      </w:tr>
      <w:tr w:rsidR="006C3703" w:rsidRPr="0090062C" w14:paraId="412EE9ED" w14:textId="77777777" w:rsidTr="00DF2058">
        <w:trPr>
          <w:trHeight w:val="1200"/>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500B65C4" w14:textId="77777777" w:rsidR="006C3703" w:rsidRPr="00FB27C3" w:rsidRDefault="006C3703" w:rsidP="00286F4A">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MUNICIPIO DE PUERTO LEGUIZAMO</w:t>
            </w:r>
          </w:p>
        </w:tc>
        <w:tc>
          <w:tcPr>
            <w:tcW w:w="1892" w:type="dxa"/>
            <w:tcBorders>
              <w:top w:val="nil"/>
              <w:left w:val="nil"/>
              <w:bottom w:val="single" w:sz="4" w:space="0" w:color="auto"/>
              <w:right w:val="single" w:sz="4" w:space="0" w:color="auto"/>
            </w:tcBorders>
            <w:shd w:val="clear" w:color="auto" w:fill="auto"/>
            <w:vAlign w:val="center"/>
            <w:hideMark/>
          </w:tcPr>
          <w:p w14:paraId="604BFD4C"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379350000798</w:t>
            </w:r>
          </w:p>
        </w:tc>
        <w:tc>
          <w:tcPr>
            <w:tcW w:w="1936" w:type="dxa"/>
            <w:tcBorders>
              <w:top w:val="nil"/>
              <w:left w:val="nil"/>
              <w:bottom w:val="single" w:sz="4" w:space="0" w:color="auto"/>
              <w:right w:val="single" w:sz="4" w:space="0" w:color="auto"/>
            </w:tcBorders>
            <w:shd w:val="clear" w:color="auto" w:fill="auto"/>
            <w:vAlign w:val="center"/>
            <w:hideMark/>
          </w:tcPr>
          <w:p w14:paraId="5E41386E"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BANCO AGRARIO DE COLOMBIA S.A.</w:t>
            </w:r>
          </w:p>
        </w:tc>
        <w:tc>
          <w:tcPr>
            <w:tcW w:w="1500" w:type="dxa"/>
            <w:tcBorders>
              <w:top w:val="nil"/>
              <w:left w:val="nil"/>
              <w:bottom w:val="single" w:sz="4" w:space="0" w:color="auto"/>
              <w:right w:val="single" w:sz="4" w:space="0" w:color="auto"/>
            </w:tcBorders>
            <w:shd w:val="clear" w:color="auto" w:fill="auto"/>
            <w:vAlign w:val="center"/>
            <w:hideMark/>
          </w:tcPr>
          <w:p w14:paraId="071EBC6A"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Fondo de Seguridad y Convivencia Ciudadana</w:t>
            </w:r>
          </w:p>
        </w:tc>
      </w:tr>
      <w:tr w:rsidR="006C3703" w:rsidRPr="0090062C" w14:paraId="3357EF63" w14:textId="77777777" w:rsidTr="00DF2058">
        <w:trPr>
          <w:trHeight w:val="900"/>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3FD10483" w14:textId="77777777" w:rsidR="006C3703" w:rsidRPr="00FB27C3" w:rsidRDefault="006C3703" w:rsidP="00286F4A">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MUNICIPIO DE PUERTO LEGUIZAMO</w:t>
            </w:r>
          </w:p>
        </w:tc>
        <w:tc>
          <w:tcPr>
            <w:tcW w:w="1892" w:type="dxa"/>
            <w:tcBorders>
              <w:top w:val="nil"/>
              <w:left w:val="nil"/>
              <w:bottom w:val="single" w:sz="4" w:space="0" w:color="auto"/>
              <w:right w:val="single" w:sz="4" w:space="0" w:color="auto"/>
            </w:tcBorders>
            <w:shd w:val="clear" w:color="auto" w:fill="auto"/>
            <w:vAlign w:val="center"/>
            <w:hideMark/>
          </w:tcPr>
          <w:p w14:paraId="50A6E025"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379350000962</w:t>
            </w:r>
          </w:p>
        </w:tc>
        <w:tc>
          <w:tcPr>
            <w:tcW w:w="1936" w:type="dxa"/>
            <w:tcBorders>
              <w:top w:val="nil"/>
              <w:left w:val="nil"/>
              <w:bottom w:val="single" w:sz="4" w:space="0" w:color="auto"/>
              <w:right w:val="single" w:sz="4" w:space="0" w:color="auto"/>
            </w:tcBorders>
            <w:shd w:val="clear" w:color="auto" w:fill="auto"/>
            <w:vAlign w:val="center"/>
            <w:hideMark/>
          </w:tcPr>
          <w:p w14:paraId="2CF1BB04"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BANCO AGRARIO DE COLOMBIA S.A.</w:t>
            </w:r>
          </w:p>
        </w:tc>
        <w:tc>
          <w:tcPr>
            <w:tcW w:w="1500" w:type="dxa"/>
            <w:tcBorders>
              <w:top w:val="nil"/>
              <w:left w:val="nil"/>
              <w:bottom w:val="single" w:sz="4" w:space="0" w:color="auto"/>
              <w:right w:val="single" w:sz="4" w:space="0" w:color="auto"/>
            </w:tcBorders>
            <w:shd w:val="clear" w:color="auto" w:fill="auto"/>
            <w:vAlign w:val="center"/>
            <w:hideMark/>
          </w:tcPr>
          <w:p w14:paraId="50A05E8C"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Estampilla Pro-adulto mayor</w:t>
            </w:r>
          </w:p>
        </w:tc>
      </w:tr>
      <w:tr w:rsidR="006C3703" w:rsidRPr="0090062C" w14:paraId="264309D9" w14:textId="77777777" w:rsidTr="00DF2058">
        <w:trPr>
          <w:trHeight w:val="600"/>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4F876A3A" w14:textId="77777777" w:rsidR="006C3703" w:rsidRPr="00FB27C3" w:rsidRDefault="006C3703" w:rsidP="00286F4A">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MUNICIPIO DE PUERTO LEGUIZAMO</w:t>
            </w:r>
          </w:p>
        </w:tc>
        <w:tc>
          <w:tcPr>
            <w:tcW w:w="1892" w:type="dxa"/>
            <w:tcBorders>
              <w:top w:val="nil"/>
              <w:left w:val="nil"/>
              <w:bottom w:val="single" w:sz="4" w:space="0" w:color="auto"/>
              <w:right w:val="single" w:sz="4" w:space="0" w:color="auto"/>
            </w:tcBorders>
            <w:shd w:val="clear" w:color="auto" w:fill="auto"/>
            <w:vAlign w:val="center"/>
            <w:hideMark/>
          </w:tcPr>
          <w:p w14:paraId="190314EE"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379350000970</w:t>
            </w:r>
          </w:p>
        </w:tc>
        <w:tc>
          <w:tcPr>
            <w:tcW w:w="1936" w:type="dxa"/>
            <w:tcBorders>
              <w:top w:val="nil"/>
              <w:left w:val="nil"/>
              <w:bottom w:val="single" w:sz="4" w:space="0" w:color="auto"/>
              <w:right w:val="single" w:sz="4" w:space="0" w:color="auto"/>
            </w:tcBorders>
            <w:shd w:val="clear" w:color="auto" w:fill="auto"/>
            <w:vAlign w:val="center"/>
            <w:hideMark/>
          </w:tcPr>
          <w:p w14:paraId="2646AA7B"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BANCO AGRARIO DE COLOMBIA S.A.</w:t>
            </w:r>
          </w:p>
        </w:tc>
        <w:tc>
          <w:tcPr>
            <w:tcW w:w="1500" w:type="dxa"/>
            <w:tcBorders>
              <w:top w:val="nil"/>
              <w:left w:val="nil"/>
              <w:bottom w:val="single" w:sz="4" w:space="0" w:color="auto"/>
              <w:right w:val="single" w:sz="4" w:space="0" w:color="auto"/>
            </w:tcBorders>
            <w:shd w:val="clear" w:color="auto" w:fill="auto"/>
            <w:vAlign w:val="center"/>
            <w:hideMark/>
          </w:tcPr>
          <w:p w14:paraId="0006F71F"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Estampilla Pro-Cultura</w:t>
            </w:r>
          </w:p>
        </w:tc>
      </w:tr>
      <w:tr w:rsidR="006C3703" w:rsidRPr="0090062C" w14:paraId="6539D611" w14:textId="77777777" w:rsidTr="00DF2058">
        <w:trPr>
          <w:trHeight w:val="600"/>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74DD9C67" w14:textId="77777777" w:rsidR="006C3703" w:rsidRPr="00FB27C3" w:rsidRDefault="006C3703" w:rsidP="00286F4A">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MUNICIPIO DE PUERTO LEGUIZAMO</w:t>
            </w:r>
          </w:p>
        </w:tc>
        <w:tc>
          <w:tcPr>
            <w:tcW w:w="1892" w:type="dxa"/>
            <w:tcBorders>
              <w:top w:val="nil"/>
              <w:left w:val="nil"/>
              <w:bottom w:val="single" w:sz="4" w:space="0" w:color="auto"/>
              <w:right w:val="single" w:sz="4" w:space="0" w:color="auto"/>
            </w:tcBorders>
            <w:shd w:val="clear" w:color="auto" w:fill="auto"/>
            <w:vAlign w:val="center"/>
            <w:hideMark/>
          </w:tcPr>
          <w:p w14:paraId="74C60956"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379350000988</w:t>
            </w:r>
          </w:p>
        </w:tc>
        <w:tc>
          <w:tcPr>
            <w:tcW w:w="1936" w:type="dxa"/>
            <w:tcBorders>
              <w:top w:val="nil"/>
              <w:left w:val="nil"/>
              <w:bottom w:val="single" w:sz="4" w:space="0" w:color="auto"/>
              <w:right w:val="single" w:sz="4" w:space="0" w:color="auto"/>
            </w:tcBorders>
            <w:shd w:val="clear" w:color="auto" w:fill="auto"/>
            <w:vAlign w:val="center"/>
            <w:hideMark/>
          </w:tcPr>
          <w:p w14:paraId="6C611410"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BANCO AGRARIO DE COLOMBIA S.A.</w:t>
            </w:r>
          </w:p>
        </w:tc>
        <w:tc>
          <w:tcPr>
            <w:tcW w:w="1500" w:type="dxa"/>
            <w:tcBorders>
              <w:top w:val="nil"/>
              <w:left w:val="nil"/>
              <w:bottom w:val="single" w:sz="4" w:space="0" w:color="auto"/>
              <w:right w:val="single" w:sz="4" w:space="0" w:color="auto"/>
            </w:tcBorders>
            <w:shd w:val="clear" w:color="auto" w:fill="auto"/>
            <w:vAlign w:val="center"/>
            <w:hideMark/>
          </w:tcPr>
          <w:p w14:paraId="634B9256"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Tasa Pro-Deporte</w:t>
            </w:r>
          </w:p>
        </w:tc>
      </w:tr>
      <w:tr w:rsidR="006C3703" w:rsidRPr="0090062C" w14:paraId="257D5EA0" w14:textId="77777777" w:rsidTr="00DF2058">
        <w:trPr>
          <w:trHeight w:val="600"/>
          <w:jc w:val="center"/>
        </w:trPr>
        <w:tc>
          <w:tcPr>
            <w:tcW w:w="2177" w:type="dxa"/>
            <w:tcBorders>
              <w:top w:val="nil"/>
              <w:left w:val="single" w:sz="4" w:space="0" w:color="auto"/>
              <w:bottom w:val="single" w:sz="4" w:space="0" w:color="auto"/>
              <w:right w:val="single" w:sz="4" w:space="0" w:color="auto"/>
            </w:tcBorders>
            <w:shd w:val="clear" w:color="auto" w:fill="auto"/>
            <w:vAlign w:val="center"/>
            <w:hideMark/>
          </w:tcPr>
          <w:p w14:paraId="76D6286F" w14:textId="77777777" w:rsidR="006C3703" w:rsidRPr="00FB27C3" w:rsidRDefault="006C3703" w:rsidP="00286F4A">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MUNICIPIO DE PUERTO LEGUIZAMO</w:t>
            </w:r>
          </w:p>
        </w:tc>
        <w:tc>
          <w:tcPr>
            <w:tcW w:w="1892" w:type="dxa"/>
            <w:tcBorders>
              <w:top w:val="nil"/>
              <w:left w:val="nil"/>
              <w:bottom w:val="single" w:sz="4" w:space="0" w:color="auto"/>
              <w:right w:val="single" w:sz="4" w:space="0" w:color="auto"/>
            </w:tcBorders>
            <w:shd w:val="clear" w:color="auto" w:fill="auto"/>
            <w:vAlign w:val="center"/>
            <w:hideMark/>
          </w:tcPr>
          <w:p w14:paraId="10DA177F"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379350000978</w:t>
            </w:r>
          </w:p>
        </w:tc>
        <w:tc>
          <w:tcPr>
            <w:tcW w:w="1936" w:type="dxa"/>
            <w:tcBorders>
              <w:top w:val="nil"/>
              <w:left w:val="nil"/>
              <w:bottom w:val="single" w:sz="4" w:space="0" w:color="auto"/>
              <w:right w:val="single" w:sz="4" w:space="0" w:color="auto"/>
            </w:tcBorders>
            <w:shd w:val="clear" w:color="auto" w:fill="auto"/>
            <w:vAlign w:val="center"/>
            <w:hideMark/>
          </w:tcPr>
          <w:p w14:paraId="19C42FA4"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BANCO AGRARIO DE COLOMBIA S.A.</w:t>
            </w:r>
          </w:p>
        </w:tc>
        <w:tc>
          <w:tcPr>
            <w:tcW w:w="1500" w:type="dxa"/>
            <w:tcBorders>
              <w:top w:val="nil"/>
              <w:left w:val="nil"/>
              <w:bottom w:val="single" w:sz="4" w:space="0" w:color="auto"/>
              <w:right w:val="single" w:sz="4" w:space="0" w:color="auto"/>
            </w:tcBorders>
            <w:shd w:val="clear" w:color="auto" w:fill="auto"/>
            <w:vAlign w:val="center"/>
            <w:hideMark/>
          </w:tcPr>
          <w:p w14:paraId="16646B84" w14:textId="77777777" w:rsidR="006C3703" w:rsidRPr="00FB27C3" w:rsidRDefault="006C3703">
            <w:pPr>
              <w:spacing w:line="240" w:lineRule="auto"/>
              <w:contextualSpacing/>
              <w:jc w:val="center"/>
              <w:rPr>
                <w:rFonts w:cs="Arial"/>
                <w:color w:val="000000"/>
                <w:sz w:val="18"/>
                <w:szCs w:val="18"/>
                <w:lang w:val="es-ES" w:eastAsia="es-ES"/>
              </w:rPr>
            </w:pPr>
            <w:r w:rsidRPr="00FB27C3">
              <w:rPr>
                <w:rFonts w:cs="Arial"/>
                <w:color w:val="000000"/>
                <w:sz w:val="18"/>
                <w:szCs w:val="18"/>
                <w:lang w:val="es-ES" w:eastAsia="es-ES"/>
              </w:rPr>
              <w:t>Sin información</w:t>
            </w:r>
          </w:p>
        </w:tc>
      </w:tr>
    </w:tbl>
    <w:p w14:paraId="55A3F864" w14:textId="77777777" w:rsidR="006C3703" w:rsidRPr="00FB27C3" w:rsidRDefault="006C3703" w:rsidP="00286F4A">
      <w:pPr>
        <w:spacing w:after="0" w:line="240" w:lineRule="auto"/>
        <w:contextualSpacing/>
        <w:jc w:val="center"/>
        <w:textAlignment w:val="baseline"/>
        <w:rPr>
          <w:rFonts w:eastAsia="Times New Roman" w:cs="Arial"/>
          <w:sz w:val="16"/>
          <w:szCs w:val="16"/>
          <w:lang w:val="es-CO" w:eastAsia="es-CO"/>
        </w:rPr>
      </w:pPr>
      <w:r w:rsidRPr="00FB27C3">
        <w:rPr>
          <w:rFonts w:eastAsia="Times New Roman" w:cs="Arial"/>
          <w:b/>
          <w:bCs/>
          <w:sz w:val="16"/>
          <w:szCs w:val="16"/>
          <w:lang w:val="es-CO" w:eastAsia="es-CO"/>
        </w:rPr>
        <w:t>Fuente:</w:t>
      </w:r>
      <w:r w:rsidRPr="00FB27C3">
        <w:rPr>
          <w:rFonts w:eastAsia="Times New Roman" w:cs="Arial"/>
          <w:sz w:val="16"/>
          <w:szCs w:val="16"/>
          <w:lang w:val="es-CO" w:eastAsia="es-CO"/>
        </w:rPr>
        <w:t xml:space="preserve"> Elaboración DAF con información del Acta de Reconocimiento Institucional. Municipio de Puerto Legu</w:t>
      </w:r>
      <w:r w:rsidR="004C2CE2">
        <w:rPr>
          <w:rFonts w:eastAsia="Times New Roman" w:cs="Arial"/>
          <w:sz w:val="16"/>
          <w:szCs w:val="16"/>
          <w:lang w:val="es-CO" w:eastAsia="es-CO"/>
        </w:rPr>
        <w:t>í</w:t>
      </w:r>
      <w:r w:rsidRPr="00FB27C3">
        <w:rPr>
          <w:rFonts w:eastAsia="Times New Roman" w:cs="Arial"/>
          <w:sz w:val="16"/>
          <w:szCs w:val="16"/>
          <w:lang w:val="es-CO" w:eastAsia="es-CO"/>
        </w:rPr>
        <w:t>zamo – Putumayo.</w:t>
      </w:r>
    </w:p>
    <w:p w14:paraId="0E7CED1F" w14:textId="77777777" w:rsidR="006C3703" w:rsidRDefault="006C3703">
      <w:pPr>
        <w:spacing w:line="240" w:lineRule="auto"/>
        <w:contextualSpacing/>
        <w:jc w:val="both"/>
        <w:rPr>
          <w:rFonts w:cs="Arial"/>
        </w:rPr>
      </w:pPr>
    </w:p>
    <w:p w14:paraId="69A17B1A" w14:textId="77777777" w:rsidR="00B52E4F" w:rsidRDefault="00D66E8E">
      <w:pPr>
        <w:spacing w:line="240" w:lineRule="auto"/>
        <w:contextualSpacing/>
        <w:jc w:val="both"/>
        <w:rPr>
          <w:rFonts w:cs="Arial"/>
        </w:rPr>
      </w:pPr>
      <w:r>
        <w:rPr>
          <w:rFonts w:cs="Arial"/>
        </w:rPr>
        <w:t xml:space="preserve">En el marco legal de la administración de los recursos del Sistema General de Participaciones y como lo define el </w:t>
      </w:r>
      <w:r w:rsidR="0090062C">
        <w:rPr>
          <w:rFonts w:cs="Arial"/>
        </w:rPr>
        <w:t xml:space="preserve">parágrafo 1 del </w:t>
      </w:r>
      <w:r>
        <w:rPr>
          <w:rFonts w:cs="Arial"/>
        </w:rPr>
        <w:t xml:space="preserve">artículo 8 </w:t>
      </w:r>
      <w:r w:rsidR="0090062C">
        <w:rPr>
          <w:rFonts w:cs="Arial"/>
        </w:rPr>
        <w:t>de</w:t>
      </w:r>
      <w:r>
        <w:rPr>
          <w:rFonts w:cs="Arial"/>
        </w:rPr>
        <w:t xml:space="preserve"> la Resolución 4835 de 2015, los beneficiarios de las Cuentas Maestras “</w:t>
      </w:r>
      <w:r>
        <w:rPr>
          <w:rFonts w:cs="Arial"/>
          <w:i/>
          <w:iCs/>
        </w:rPr>
        <w:t xml:space="preserve">Serán […] </w:t>
      </w:r>
      <w:r>
        <w:rPr>
          <w:rFonts w:cs="Arial"/>
          <w:b/>
          <w:bCs/>
          <w:i/>
          <w:iCs/>
        </w:rPr>
        <w:t xml:space="preserve">los titulares de tributos nacionales, departamentales y municipales asociados a la ejecución de los recursos del Sistema General de Participaciones de Propósito General </w:t>
      </w:r>
      <w:r>
        <w:rPr>
          <w:rFonts w:cs="Arial"/>
          <w:i/>
          <w:iCs/>
        </w:rPr>
        <w:t>[...]”</w:t>
      </w:r>
      <w:r>
        <w:rPr>
          <w:rFonts w:cs="Arial"/>
        </w:rPr>
        <w:t xml:space="preserve"> (énfasis fuera de texto). En ese orden de ideas, todo pago por concepto de tributo que deban realizar las entidades territoriales con cargo a los recursos del Sistema General de Participaciones de Propósito General a terceros o a cuentas de la misma entidad</w:t>
      </w:r>
      <w:r w:rsidR="004A39D5">
        <w:rPr>
          <w:rFonts w:cs="Arial"/>
        </w:rPr>
        <w:t>,</w:t>
      </w:r>
      <w:r>
        <w:rPr>
          <w:rFonts w:cs="Arial"/>
        </w:rPr>
        <w:t xml:space="preserve"> son permitidas. Sin embargo, como lo aclara el parágrafo del artículo 9 de la misma Resolución </w:t>
      </w:r>
      <w:r>
        <w:rPr>
          <w:rFonts w:cs="Arial"/>
          <w:i/>
          <w:iCs/>
        </w:rPr>
        <w:t>“</w:t>
      </w:r>
      <w:r>
        <w:rPr>
          <w:rFonts w:cs="Arial"/>
          <w:b/>
          <w:bCs/>
          <w:i/>
          <w:iCs/>
        </w:rPr>
        <w:t>Las entidades territoriales tendrán la obligación de realizar la inscripción de estos beneficiarios</w:t>
      </w:r>
      <w:r>
        <w:rPr>
          <w:rFonts w:cs="Arial"/>
          <w:i/>
          <w:iCs/>
        </w:rPr>
        <w:t xml:space="preserve"> a través del portal bancario de la entidad bancaria en donde se encuentra aperturada la Cuenta Maestra y </w:t>
      </w:r>
      <w:r>
        <w:rPr>
          <w:rFonts w:cs="Arial"/>
          <w:b/>
          <w:bCs/>
          <w:i/>
          <w:iCs/>
        </w:rPr>
        <w:t xml:space="preserve">serán responsables de la calidad y veracidad de la información documental aportada en dicho proceso </w:t>
      </w:r>
      <w:r>
        <w:rPr>
          <w:rFonts w:cs="Arial"/>
          <w:i/>
          <w:iCs/>
        </w:rPr>
        <w:t>[...]”</w:t>
      </w:r>
      <w:r>
        <w:rPr>
          <w:rFonts w:cs="Arial"/>
        </w:rPr>
        <w:t xml:space="preserve"> </w:t>
      </w:r>
      <w:r>
        <w:rPr>
          <w:rFonts w:cs="Arial"/>
        </w:rPr>
        <w:lastRenderedPageBreak/>
        <w:t xml:space="preserve">(énfasis fuera de texto). El </w:t>
      </w:r>
      <w:r w:rsidR="0090062C">
        <w:rPr>
          <w:rFonts w:cs="Arial"/>
        </w:rPr>
        <w:t>M</w:t>
      </w:r>
      <w:r>
        <w:rPr>
          <w:rFonts w:cs="Arial"/>
        </w:rPr>
        <w:t>unicipio deberá aplicar a estas cuentas una nomenclatura que permita identificar claramente el objeto de gasto que soporta la transferencia a dichas cuentas.</w:t>
      </w:r>
    </w:p>
    <w:p w14:paraId="72FC812A" w14:textId="77777777" w:rsidR="00531364" w:rsidRDefault="00531364">
      <w:pPr>
        <w:spacing w:line="240" w:lineRule="auto"/>
        <w:contextualSpacing/>
      </w:pPr>
    </w:p>
    <w:p w14:paraId="5BF4179A" w14:textId="77777777" w:rsidR="00D76594" w:rsidRPr="00D76594" w:rsidRDefault="00D76594">
      <w:pPr>
        <w:spacing w:line="240" w:lineRule="auto"/>
        <w:contextualSpacing/>
        <w:jc w:val="both"/>
        <w:rPr>
          <w:b/>
          <w:bCs/>
        </w:rPr>
      </w:pPr>
      <w:r w:rsidRPr="00D76594">
        <w:rPr>
          <w:b/>
          <w:bCs/>
        </w:rPr>
        <w:t xml:space="preserve">3. </w:t>
      </w:r>
      <w:r>
        <w:rPr>
          <w:b/>
          <w:bCs/>
        </w:rPr>
        <w:t>6</w:t>
      </w:r>
      <w:r w:rsidRPr="00D76594">
        <w:rPr>
          <w:b/>
          <w:bCs/>
        </w:rPr>
        <w:t xml:space="preserve"> ANÁLISIS DE LA EJECUCIÓN DEL GASTO A TRAVÉS DE LA CONTRATACIÓN </w:t>
      </w:r>
    </w:p>
    <w:p w14:paraId="3E3A45CA" w14:textId="77777777" w:rsidR="00D76594" w:rsidRPr="00D76594" w:rsidRDefault="00D76594">
      <w:pPr>
        <w:spacing w:line="240" w:lineRule="auto"/>
        <w:contextualSpacing/>
        <w:jc w:val="both"/>
        <w:rPr>
          <w:b/>
          <w:bCs/>
          <w:i/>
          <w:iCs/>
        </w:rPr>
      </w:pPr>
    </w:p>
    <w:p w14:paraId="5C941DDD" w14:textId="77777777" w:rsidR="001F54A3" w:rsidRDefault="00531364">
      <w:pPr>
        <w:spacing w:line="240" w:lineRule="auto"/>
        <w:contextualSpacing/>
        <w:jc w:val="both"/>
      </w:pPr>
      <w:r w:rsidRPr="00531364">
        <w:t xml:space="preserve">Este apartado tiene como objetivo verificar el proceso contractual que lleva el </w:t>
      </w:r>
      <w:r w:rsidR="00ED1F27">
        <w:t>M</w:t>
      </w:r>
      <w:r w:rsidRPr="00531364">
        <w:t xml:space="preserve">unicipio de </w:t>
      </w:r>
      <w:r>
        <w:t xml:space="preserve">Puerto Leguízamo </w:t>
      </w:r>
      <w:r w:rsidR="004A39D5">
        <w:t>–</w:t>
      </w:r>
      <w:r>
        <w:t xml:space="preserve"> Putumayo</w:t>
      </w:r>
      <w:r w:rsidR="004A39D5">
        <w:t>. P</w:t>
      </w:r>
      <w:r w:rsidRPr="00531364">
        <w:t>ara e</w:t>
      </w:r>
      <w:r>
        <w:t>sto</w:t>
      </w:r>
      <w:r w:rsidR="004A39D5">
        <w:t>,</w:t>
      </w:r>
      <w:r>
        <w:t xml:space="preserve"> se analiza la relación </w:t>
      </w:r>
      <w:r w:rsidRPr="00531364">
        <w:t>de contratos remitid</w:t>
      </w:r>
      <w:r w:rsidR="00332653">
        <w:t>os</w:t>
      </w:r>
      <w:r w:rsidRPr="00531364">
        <w:t>,</w:t>
      </w:r>
      <w:r>
        <w:t xml:space="preserve"> financiad</w:t>
      </w:r>
      <w:r w:rsidR="00332653">
        <w:t>os</w:t>
      </w:r>
      <w:r>
        <w:t xml:space="preserve"> con cargo a la Participación de Propósito General</w:t>
      </w:r>
      <w:r w:rsidR="00332653">
        <w:t>,</w:t>
      </w:r>
      <w:r w:rsidR="001F54A3">
        <w:t xml:space="preserve"> en primer lugar, para contextualizar el panorama de ejecución de los recursos a través de la actividad contractual; y, en segundo lugar,</w:t>
      </w:r>
      <w:r w:rsidR="00253D84">
        <w:t xml:space="preserve"> con el fin de determinar la exi</w:t>
      </w:r>
      <w:r w:rsidRPr="00531364">
        <w:t xml:space="preserve">stencia </w:t>
      </w:r>
      <w:r w:rsidR="00332653">
        <w:t>d</w:t>
      </w:r>
      <w:r w:rsidRPr="00531364">
        <w:t>e eventos de riesgo</w:t>
      </w:r>
      <w:r w:rsidR="00253D84">
        <w:t xml:space="preserve"> relacionados con el uso de los recursos</w:t>
      </w:r>
      <w:r w:rsidRPr="00531364">
        <w:t>.</w:t>
      </w:r>
      <w:r w:rsidR="00253D84">
        <w:t xml:space="preserve"> </w:t>
      </w:r>
    </w:p>
    <w:p w14:paraId="394A8C10" w14:textId="77777777" w:rsidR="001F54A3" w:rsidRDefault="001F54A3">
      <w:pPr>
        <w:spacing w:line="240" w:lineRule="auto"/>
        <w:contextualSpacing/>
        <w:jc w:val="both"/>
      </w:pPr>
    </w:p>
    <w:p w14:paraId="7BEC2769" w14:textId="77777777" w:rsidR="00110859" w:rsidRDefault="00253D84">
      <w:pPr>
        <w:spacing w:line="240" w:lineRule="auto"/>
        <w:contextualSpacing/>
        <w:jc w:val="both"/>
      </w:pPr>
      <w:r>
        <w:t xml:space="preserve">En </w:t>
      </w:r>
      <w:r w:rsidR="00974C02">
        <w:t>principio</w:t>
      </w:r>
      <w:r>
        <w:t xml:space="preserve">, el </w:t>
      </w:r>
      <w:r w:rsidR="00ED1F27">
        <w:t>M</w:t>
      </w:r>
      <w:r>
        <w:t xml:space="preserve">unicipio remitió la relación de contratos </w:t>
      </w:r>
      <w:r w:rsidR="006C6D2D">
        <w:t>con la información contractual de las vigencias 2018, 2019 y 2020</w:t>
      </w:r>
      <w:r w:rsidR="00850731">
        <w:t xml:space="preserve"> con un total de </w:t>
      </w:r>
      <w:r w:rsidR="00332653">
        <w:t>217 contratos</w:t>
      </w:r>
      <w:r w:rsidR="005B29EE">
        <w:t>. En la vigencia 2018 se registraron 102 contratos, en la vigencia 2019 la relación contiene 61 contratos diligenciados y en la vigencia 2020</w:t>
      </w:r>
      <w:r w:rsidR="00974C02">
        <w:t>,</w:t>
      </w:r>
      <w:r w:rsidR="005B29EE">
        <w:t xml:space="preserve"> la relación evidencia </w:t>
      </w:r>
      <w:r w:rsidR="00DB74E1">
        <w:t xml:space="preserve">información de 54 procesos contractuales. </w:t>
      </w:r>
      <w:r w:rsidR="00974C02">
        <w:t>Los montos totales de e</w:t>
      </w:r>
      <w:r w:rsidR="69D4360A">
        <w:t xml:space="preserve">stos contratos presentan diferencias con el monto </w:t>
      </w:r>
      <w:r w:rsidR="00974C02">
        <w:t xml:space="preserve">total </w:t>
      </w:r>
      <w:r w:rsidR="69D4360A">
        <w:t xml:space="preserve">de los </w:t>
      </w:r>
      <w:r w:rsidR="00ED1F27">
        <w:t>r</w:t>
      </w:r>
      <w:r w:rsidR="69D4360A">
        <w:t>egistros presupuestales, estos, superaron en $</w:t>
      </w:r>
      <w:r w:rsidR="79B3167B">
        <w:t>1.646.062.903</w:t>
      </w:r>
      <w:r w:rsidR="69D4360A">
        <w:t xml:space="preserve"> en 2018, $</w:t>
      </w:r>
      <w:r w:rsidR="77CCF5AA">
        <w:t>1.657.288.642</w:t>
      </w:r>
      <w:r w:rsidR="69D4360A">
        <w:t xml:space="preserve"> en 2019 y $</w:t>
      </w:r>
      <w:r w:rsidR="464E7195">
        <w:t>1.407.027.587</w:t>
      </w:r>
      <w:r w:rsidR="69D4360A">
        <w:t xml:space="preserve"> en 2020 a</w:t>
      </w:r>
      <w:r w:rsidR="00974C02">
        <w:t>l valor total de</w:t>
      </w:r>
      <w:r w:rsidR="69D4360A">
        <w:t xml:space="preserve"> los contratos remitidos. </w:t>
      </w:r>
      <w:r w:rsidR="001F54A3">
        <w:t xml:space="preserve">Esta situación puede reflejar un faltante en la entrega de la información contractual en la relación de contratos remitida por el Municipio. </w:t>
      </w:r>
    </w:p>
    <w:p w14:paraId="2DB0F309" w14:textId="77777777" w:rsidR="00ED1F27" w:rsidRDefault="00ED1F27">
      <w:pPr>
        <w:spacing w:line="240" w:lineRule="auto"/>
        <w:contextualSpacing/>
        <w:jc w:val="both"/>
      </w:pPr>
    </w:p>
    <w:p w14:paraId="78687EE7" w14:textId="77777777" w:rsidR="00F239B2" w:rsidRDefault="004A2CC4">
      <w:pPr>
        <w:spacing w:line="240" w:lineRule="auto"/>
        <w:contextualSpacing/>
        <w:jc w:val="both"/>
      </w:pPr>
      <w:r>
        <w:t xml:space="preserve">Cabe resaltar que los contratos contenidos en la relación remitida a esta Dirección por el </w:t>
      </w:r>
      <w:r w:rsidR="00ED1F27">
        <w:t>M</w:t>
      </w:r>
      <w:r>
        <w:t>unicipio soportan el 42</w:t>
      </w:r>
      <w:r w:rsidR="00ED1F27">
        <w:t xml:space="preserve"> </w:t>
      </w:r>
      <w:r>
        <w:t xml:space="preserve">% de los compromisos </w:t>
      </w:r>
      <w:r w:rsidR="00F866AC">
        <w:t>de 2018, el 28</w:t>
      </w:r>
      <w:r w:rsidR="00ED1F27">
        <w:t xml:space="preserve"> </w:t>
      </w:r>
      <w:r w:rsidR="00F866AC">
        <w:t>% de los compromisos en 2019 y el 40</w:t>
      </w:r>
      <w:r w:rsidR="00ED1F27">
        <w:t xml:space="preserve"> </w:t>
      </w:r>
      <w:r w:rsidR="00F866AC">
        <w:t>% de lo comprometido en 2020</w:t>
      </w:r>
      <w:r w:rsidR="00974C02">
        <w:t xml:space="preserve">, aunque debe tenerse en cuenta que la relación de </w:t>
      </w:r>
      <w:r w:rsidR="00ED1F27">
        <w:t>r</w:t>
      </w:r>
      <w:r w:rsidR="00974C02">
        <w:t>egistros presupuestales incluye compromisos de funcionamiento no respaldados por la suscripción de un contrato</w:t>
      </w:r>
      <w:r w:rsidR="00F866AC">
        <w:t>.</w:t>
      </w:r>
    </w:p>
    <w:p w14:paraId="5BD94D91" w14:textId="77777777" w:rsidR="00F239B2" w:rsidRDefault="00F239B2">
      <w:pPr>
        <w:spacing w:line="240" w:lineRule="auto"/>
        <w:contextualSpacing/>
        <w:jc w:val="both"/>
      </w:pPr>
    </w:p>
    <w:p w14:paraId="3A819203" w14:textId="77777777" w:rsidR="004A2CC4" w:rsidRDefault="00F239B2">
      <w:pPr>
        <w:spacing w:line="240" w:lineRule="auto"/>
        <w:contextualSpacing/>
        <w:jc w:val="both"/>
      </w:pPr>
      <w:r>
        <w:t>Por otra parte, e</w:t>
      </w:r>
      <w:r w:rsidR="001A689B">
        <w:t xml:space="preserve">n cuanto a las modalidades de contratación, </w:t>
      </w:r>
      <w:r w:rsidR="00AB7C3A">
        <w:t xml:space="preserve">se puede evidenciar que, en los contratos remitidos por la </w:t>
      </w:r>
      <w:r w:rsidR="00ED1F27">
        <w:t>E</w:t>
      </w:r>
      <w:r w:rsidR="00AB7C3A">
        <w:t xml:space="preserve">ntidad </w:t>
      </w:r>
      <w:r w:rsidR="00ED1F27">
        <w:t>T</w:t>
      </w:r>
      <w:r w:rsidR="00AB7C3A">
        <w:t xml:space="preserve">erritorial la modalidad predominante es la de </w:t>
      </w:r>
      <w:r w:rsidR="009C3887">
        <w:t>c</w:t>
      </w:r>
      <w:r w:rsidR="00AB7C3A">
        <w:t xml:space="preserve">ontratación </w:t>
      </w:r>
      <w:r w:rsidR="009C3887">
        <w:t>d</w:t>
      </w:r>
      <w:r w:rsidR="00AB7C3A">
        <w:t>irecta</w:t>
      </w:r>
      <w:r w:rsidR="00677E5D">
        <w:t>, específicamente a través de contratos de prestación de servicios</w:t>
      </w:r>
      <w:r w:rsidR="00AB7C3A">
        <w:t>.</w:t>
      </w:r>
    </w:p>
    <w:p w14:paraId="17CB4ADE" w14:textId="77777777" w:rsidR="00ED1F27" w:rsidRDefault="00ED1F27">
      <w:pPr>
        <w:spacing w:line="240" w:lineRule="auto"/>
        <w:contextualSpacing/>
        <w:jc w:val="both"/>
      </w:pPr>
    </w:p>
    <w:p w14:paraId="6D03EEF4" w14:textId="77777777" w:rsidR="001A69D1" w:rsidRDefault="00C8546D">
      <w:pPr>
        <w:spacing w:line="240" w:lineRule="auto"/>
        <w:contextualSpacing/>
        <w:jc w:val="both"/>
      </w:pPr>
      <w:r>
        <w:t>En la mayoría de los contratos de la relación contractual remitida</w:t>
      </w:r>
      <w:r w:rsidR="00974C02">
        <w:t>,</w:t>
      </w:r>
      <w:r>
        <w:t xml:space="preserve"> se asoció un proyecto de inversión </w:t>
      </w:r>
      <w:r w:rsidR="003F6138">
        <w:t xml:space="preserve">con su respectivo código </w:t>
      </w:r>
      <w:r w:rsidR="009C3887">
        <w:t xml:space="preserve">del Banco de Proyectos de Inversión Municipal - </w:t>
      </w:r>
      <w:r w:rsidR="003F6138">
        <w:t>BPIM</w:t>
      </w:r>
      <w:r w:rsidR="0044582B">
        <w:t xml:space="preserve"> a cada uno de los procesos ejecutados en la vigencia</w:t>
      </w:r>
      <w:r w:rsidR="003F6138">
        <w:t xml:space="preserve">. </w:t>
      </w:r>
      <w:r w:rsidR="000D6CB2">
        <w:t xml:space="preserve">Esta situación fue resaltada por el Departamento Nacional de Planeación en el </w:t>
      </w:r>
      <w:r w:rsidR="009C3887">
        <w:t>“</w:t>
      </w:r>
      <w:r w:rsidR="0041142E" w:rsidRPr="00DF2058">
        <w:rPr>
          <w:i/>
          <w:iCs/>
        </w:rPr>
        <w:t>Informe de monitoreo de campo, Puerto Leguízamo - Putumayo, Vigencias 2018 y 2019 (corte junio)</w:t>
      </w:r>
      <w:r w:rsidR="009C3887">
        <w:t>”,</w:t>
      </w:r>
      <w:r w:rsidR="000D6CB2">
        <w:t xml:space="preserve"> en donde </w:t>
      </w:r>
      <w:r w:rsidR="00BF451D">
        <w:t xml:space="preserve">menciona que </w:t>
      </w:r>
      <w:r w:rsidR="000D6CB2" w:rsidRPr="000D6CB2">
        <w:rPr>
          <w:i/>
          <w:iCs/>
        </w:rPr>
        <w:t>“</w:t>
      </w:r>
      <w:r w:rsidR="000D6CB2" w:rsidRPr="000D6CB2">
        <w:rPr>
          <w:rFonts w:cs="Arial"/>
          <w:i/>
          <w:iCs/>
          <w:shd w:val="clear" w:color="auto" w:fill="FAF9F8"/>
        </w:rPr>
        <w:t>En los contratos revisados se encontró relación con unos proyectos de inversión. Se evidencia un esfuerzo de la Alcaldía por contar con estas formulaciones”</w:t>
      </w:r>
      <w:r w:rsidR="000D6CB2">
        <w:rPr>
          <w:rFonts w:cs="Arial"/>
          <w:shd w:val="clear" w:color="auto" w:fill="FAF9F8"/>
        </w:rPr>
        <w:t xml:space="preserve">. </w:t>
      </w:r>
      <w:r w:rsidR="003F6138">
        <w:t xml:space="preserve">Sin embargo, en </w:t>
      </w:r>
      <w:r>
        <w:t xml:space="preserve">8 </w:t>
      </w:r>
      <w:r w:rsidR="00AD1CB0">
        <w:t xml:space="preserve">contratos ejecutados </w:t>
      </w:r>
      <w:r>
        <w:t>en 2018</w:t>
      </w:r>
      <w:r w:rsidR="003F6138">
        <w:t xml:space="preserve"> no se encontró </w:t>
      </w:r>
      <w:r w:rsidR="00974C02">
        <w:t xml:space="preserve">un </w:t>
      </w:r>
      <w:r w:rsidR="003F6138">
        <w:t>p</w:t>
      </w:r>
      <w:r w:rsidR="00AD1CB0">
        <w:t>royecto asociado</w:t>
      </w:r>
      <w:r>
        <w:t xml:space="preserve">, </w:t>
      </w:r>
      <w:r w:rsidR="00AD1CB0">
        <w:t xml:space="preserve">esta </w:t>
      </w:r>
      <w:r w:rsidR="007A2B19">
        <w:t xml:space="preserve">misma </w:t>
      </w:r>
      <w:r w:rsidR="00AD1CB0">
        <w:t xml:space="preserve">situación se presentó en </w:t>
      </w:r>
      <w:r>
        <w:t xml:space="preserve">11 </w:t>
      </w:r>
      <w:r w:rsidR="00AD1CB0">
        <w:t xml:space="preserve">contratos de la vigencia </w:t>
      </w:r>
      <w:r>
        <w:t>2019 y</w:t>
      </w:r>
      <w:r w:rsidR="00D8569E">
        <w:t xml:space="preserve"> en</w:t>
      </w:r>
      <w:r>
        <w:t xml:space="preserve"> 15 </w:t>
      </w:r>
      <w:r w:rsidR="00D8569E">
        <w:t xml:space="preserve">contratos </w:t>
      </w:r>
      <w:r w:rsidR="00AD1CB0">
        <w:t xml:space="preserve">en la vigencia </w:t>
      </w:r>
      <w:r>
        <w:t>2020</w:t>
      </w:r>
      <w:r w:rsidR="00AD1CB0">
        <w:t>.</w:t>
      </w:r>
    </w:p>
    <w:p w14:paraId="4AF2EB58" w14:textId="77777777" w:rsidR="00E16CB8" w:rsidRDefault="00E16CB8">
      <w:pPr>
        <w:spacing w:line="240" w:lineRule="auto"/>
        <w:contextualSpacing/>
        <w:jc w:val="both"/>
      </w:pPr>
    </w:p>
    <w:p w14:paraId="643B6D9A" w14:textId="77777777" w:rsidR="00E16CB8" w:rsidRDefault="00E16CB8">
      <w:pPr>
        <w:spacing w:line="240" w:lineRule="auto"/>
        <w:contextualSpacing/>
        <w:jc w:val="both"/>
      </w:pPr>
      <w:r>
        <w:t xml:space="preserve">A continuación, se presenta a modo de contexto un panorama general de la contratación por vigencia. Para este escenario se recurrió únicamente a las relaciones contractuales y a los valores de las ejecuciones presupuestales que remitió el Municipio. Se presenta la comparación entre los valores totales de las relaciones contractuales y el valor de los compromisos que se registra en las ejecuciones presupuestales de gastos de la </w:t>
      </w:r>
      <w:r w:rsidR="00E8235D">
        <w:t>E</w:t>
      </w:r>
      <w:r>
        <w:t xml:space="preserve">ntidad </w:t>
      </w:r>
      <w:r w:rsidR="00E8235D">
        <w:t>T</w:t>
      </w:r>
      <w:r>
        <w:t xml:space="preserve">erritorial. Esto evidencia que la información remitida no coincide y que hay vacíos frente </w:t>
      </w:r>
      <w:r>
        <w:lastRenderedPageBreak/>
        <w:t xml:space="preserve">a los contratos que sustentan los compromisos adquiridos con cargo a los recursos de la Participación de Propósito General. </w:t>
      </w:r>
    </w:p>
    <w:p w14:paraId="56E89698" w14:textId="77777777" w:rsidR="009C3887" w:rsidRDefault="009C3887">
      <w:pPr>
        <w:spacing w:line="240" w:lineRule="auto"/>
        <w:contextualSpacing/>
        <w:jc w:val="both"/>
      </w:pPr>
    </w:p>
    <w:p w14:paraId="33E62368" w14:textId="77777777" w:rsidR="008221F1" w:rsidRDefault="00BF02DD">
      <w:pPr>
        <w:spacing w:line="240" w:lineRule="auto"/>
        <w:contextualSpacing/>
        <w:jc w:val="both"/>
        <w:rPr>
          <w:b/>
          <w:bCs/>
        </w:rPr>
      </w:pPr>
      <w:r>
        <w:rPr>
          <w:b/>
          <w:bCs/>
        </w:rPr>
        <w:t>Vigencia 2018</w:t>
      </w:r>
      <w:r w:rsidR="009C3887">
        <w:rPr>
          <w:b/>
          <w:bCs/>
        </w:rPr>
        <w:t>.</w:t>
      </w:r>
    </w:p>
    <w:p w14:paraId="1EE90C9F" w14:textId="77777777" w:rsidR="009C3887" w:rsidRDefault="009C3887">
      <w:pPr>
        <w:spacing w:line="240" w:lineRule="auto"/>
        <w:contextualSpacing/>
        <w:jc w:val="both"/>
        <w:rPr>
          <w:rFonts w:eastAsia="Arial" w:cs="Arial"/>
        </w:rPr>
      </w:pPr>
    </w:p>
    <w:p w14:paraId="6D96004F" w14:textId="77777777" w:rsidR="00F00113" w:rsidRDefault="00BB6B06">
      <w:pPr>
        <w:spacing w:line="240" w:lineRule="auto"/>
        <w:contextualSpacing/>
        <w:jc w:val="both"/>
        <w:rPr>
          <w:rFonts w:eastAsia="Arial" w:cs="Arial"/>
        </w:rPr>
      </w:pPr>
      <w:r>
        <w:rPr>
          <w:rFonts w:eastAsia="Arial" w:cs="Arial"/>
        </w:rPr>
        <w:t xml:space="preserve">En el siguiente cuadro se detallan las diferencias entre la información presupuestal de compromisos y </w:t>
      </w:r>
      <w:r w:rsidR="00255484">
        <w:rPr>
          <w:rFonts w:eastAsia="Arial" w:cs="Arial"/>
        </w:rPr>
        <w:t xml:space="preserve">el valor de la relación contractual remitida para la vigencia. Como se puede observar, </w:t>
      </w:r>
      <w:r w:rsidR="00E42726">
        <w:rPr>
          <w:rFonts w:eastAsia="Arial" w:cs="Arial"/>
        </w:rPr>
        <w:t xml:space="preserve">en total se presenta una diferencia de </w:t>
      </w:r>
      <w:r w:rsidR="00E42726" w:rsidRPr="00E42726">
        <w:rPr>
          <w:rFonts w:eastAsia="Arial" w:cs="Arial"/>
        </w:rPr>
        <w:t>$1.558.640.116</w:t>
      </w:r>
      <w:r w:rsidR="001A69D1">
        <w:rPr>
          <w:rStyle w:val="Refdenotaalpie"/>
          <w:rFonts w:eastAsia="Arial" w:cs="Arial"/>
        </w:rPr>
        <w:footnoteReference w:id="7"/>
      </w:r>
      <w:r w:rsidR="009C3887">
        <w:rPr>
          <w:rFonts w:eastAsia="Arial" w:cs="Arial"/>
        </w:rPr>
        <w:t xml:space="preserve"> </w:t>
      </w:r>
      <w:r w:rsidR="00055D85">
        <w:rPr>
          <w:rFonts w:eastAsia="Arial" w:cs="Arial"/>
        </w:rPr>
        <w:t xml:space="preserve">entre el monto de los compromisos y el de la relación de contratos. Las mayores diferencias se presentan en los componentes de Libre Destinación y Libre Inversión. </w:t>
      </w:r>
      <w:r w:rsidR="003E4684">
        <w:rPr>
          <w:rFonts w:eastAsia="Arial" w:cs="Arial"/>
        </w:rPr>
        <w:t xml:space="preserve">Llama la atención el </w:t>
      </w:r>
      <w:r w:rsidR="009C3887">
        <w:rPr>
          <w:rFonts w:eastAsia="Arial" w:cs="Arial"/>
        </w:rPr>
        <w:t>S</w:t>
      </w:r>
      <w:r w:rsidR="003E4684">
        <w:rPr>
          <w:rFonts w:eastAsia="Arial" w:cs="Arial"/>
        </w:rPr>
        <w:t xml:space="preserve">ector de </w:t>
      </w:r>
      <w:r w:rsidR="009C3887">
        <w:rPr>
          <w:rFonts w:eastAsia="Arial" w:cs="Arial"/>
        </w:rPr>
        <w:t>C</w:t>
      </w:r>
      <w:r w:rsidR="003E4684">
        <w:rPr>
          <w:rFonts w:eastAsia="Arial" w:cs="Arial"/>
        </w:rPr>
        <w:t xml:space="preserve">ultura, </w:t>
      </w:r>
      <w:r w:rsidR="009C3887">
        <w:rPr>
          <w:rFonts w:eastAsia="Arial" w:cs="Arial"/>
        </w:rPr>
        <w:t xml:space="preserve">en </w:t>
      </w:r>
      <w:r w:rsidR="003E4684">
        <w:rPr>
          <w:rFonts w:eastAsia="Arial" w:cs="Arial"/>
        </w:rPr>
        <w:t xml:space="preserve">donde los contratos relacionados superan </w:t>
      </w:r>
      <w:r w:rsidR="00574A57">
        <w:rPr>
          <w:rFonts w:eastAsia="Arial" w:cs="Arial"/>
        </w:rPr>
        <w:t>en $55.328.000</w:t>
      </w:r>
      <w:r w:rsidR="00974C02">
        <w:rPr>
          <w:rFonts w:eastAsia="Arial" w:cs="Arial"/>
        </w:rPr>
        <w:t xml:space="preserve"> el valor de los compromisos</w:t>
      </w:r>
      <w:r w:rsidR="00F07B99">
        <w:rPr>
          <w:rFonts w:eastAsia="Arial" w:cs="Arial"/>
        </w:rPr>
        <w:t xml:space="preserve"> y </w:t>
      </w:r>
      <w:r w:rsidR="00E80207">
        <w:rPr>
          <w:rFonts w:eastAsia="Arial" w:cs="Arial"/>
        </w:rPr>
        <w:t xml:space="preserve">al indagar por </w:t>
      </w:r>
      <w:r w:rsidR="00630181">
        <w:rPr>
          <w:rFonts w:eastAsia="Arial" w:cs="Arial"/>
        </w:rPr>
        <w:t>la posibilidad</w:t>
      </w:r>
      <w:r w:rsidR="00E80207">
        <w:rPr>
          <w:rFonts w:eastAsia="Arial" w:cs="Arial"/>
        </w:rPr>
        <w:t xml:space="preserve"> de concurrencia de otras fuentes de recursos en la relación contractual</w:t>
      </w:r>
      <w:r w:rsidR="00974C02">
        <w:rPr>
          <w:rFonts w:eastAsia="Arial" w:cs="Arial"/>
        </w:rPr>
        <w:t>,</w:t>
      </w:r>
      <w:r w:rsidR="00E80207">
        <w:rPr>
          <w:rFonts w:eastAsia="Arial" w:cs="Arial"/>
        </w:rPr>
        <w:t xml:space="preserve"> no es clara </w:t>
      </w:r>
      <w:r w:rsidR="00F07B99">
        <w:rPr>
          <w:rFonts w:eastAsia="Arial" w:cs="Arial"/>
        </w:rPr>
        <w:t>esta información</w:t>
      </w:r>
      <w:r w:rsidR="009F19F5">
        <w:rPr>
          <w:rFonts w:eastAsia="Arial" w:cs="Arial"/>
        </w:rPr>
        <w:t xml:space="preserve"> ya que se </w:t>
      </w:r>
      <w:r w:rsidR="003A7548">
        <w:rPr>
          <w:rFonts w:eastAsia="Arial" w:cs="Arial"/>
        </w:rPr>
        <w:t>marcan casillas de recursos propios</w:t>
      </w:r>
      <w:r w:rsidR="448C734E" w:rsidRPr="37CA52DC">
        <w:rPr>
          <w:rFonts w:eastAsia="Arial" w:cs="Arial"/>
        </w:rPr>
        <w:t>,</w:t>
      </w:r>
      <w:r w:rsidR="003A7548">
        <w:rPr>
          <w:rFonts w:eastAsia="Arial" w:cs="Arial"/>
        </w:rPr>
        <w:t xml:space="preserve"> pero en la información de fuente se menciona </w:t>
      </w:r>
      <w:r w:rsidR="00114F8E">
        <w:rPr>
          <w:rFonts w:eastAsia="Arial" w:cs="Arial"/>
        </w:rPr>
        <w:t>al SGP</w:t>
      </w:r>
      <w:r w:rsidR="009C3887">
        <w:rPr>
          <w:rFonts w:eastAsia="Arial" w:cs="Arial"/>
        </w:rPr>
        <w:t xml:space="preserve"> </w:t>
      </w:r>
      <w:r w:rsidR="00114F8E">
        <w:rPr>
          <w:rFonts w:eastAsia="Arial" w:cs="Arial"/>
        </w:rPr>
        <w:t>-</w:t>
      </w:r>
      <w:r w:rsidR="009C3887">
        <w:rPr>
          <w:rFonts w:eastAsia="Arial" w:cs="Arial"/>
        </w:rPr>
        <w:t xml:space="preserve"> </w:t>
      </w:r>
      <w:r w:rsidR="003A7548">
        <w:rPr>
          <w:rFonts w:eastAsia="Arial" w:cs="Arial"/>
        </w:rPr>
        <w:t>Libre Inversión</w:t>
      </w:r>
      <w:r w:rsidR="00F07B99">
        <w:rPr>
          <w:rFonts w:eastAsia="Arial" w:cs="Arial"/>
        </w:rPr>
        <w:t>.</w:t>
      </w:r>
      <w:r w:rsidR="00496617">
        <w:t xml:space="preserve"> En la vigencia 2018, aproximadamente el 95</w:t>
      </w:r>
      <w:r w:rsidR="009C3887">
        <w:t xml:space="preserve"> </w:t>
      </w:r>
      <w:r w:rsidR="00496617">
        <w:t>% de los contratos se adjudicaron bajo la modalidad de contratación directa</w:t>
      </w:r>
      <w:r w:rsidR="004C61E1">
        <w:t xml:space="preserve">, incluidos los que se clasificaron bajo el tipo de </w:t>
      </w:r>
      <w:r w:rsidR="009C3887">
        <w:t>c</w:t>
      </w:r>
      <w:r w:rsidR="004C61E1">
        <w:t xml:space="preserve">ontratos de </w:t>
      </w:r>
      <w:r w:rsidR="009C3887">
        <w:t>p</w:t>
      </w:r>
      <w:r w:rsidR="004C61E1">
        <w:t xml:space="preserve">restación de </w:t>
      </w:r>
      <w:r w:rsidR="009C3887">
        <w:t>s</w:t>
      </w:r>
      <w:r w:rsidR="004C61E1">
        <w:t>ervicios</w:t>
      </w:r>
      <w:r w:rsidR="00343A76">
        <w:t>, mientras que</w:t>
      </w:r>
      <w:r w:rsidR="00496617">
        <w:t xml:space="preserve"> </w:t>
      </w:r>
      <w:r w:rsidR="002C325C">
        <w:t>3</w:t>
      </w:r>
      <w:r w:rsidR="00343A76">
        <w:t xml:space="preserve"> contratos se adjudicaron</w:t>
      </w:r>
      <w:r w:rsidR="002C325C">
        <w:t xml:space="preserve"> </w:t>
      </w:r>
      <w:r w:rsidR="00496617">
        <w:t>bajo la modalidad de mínima cuantía</w:t>
      </w:r>
      <w:r w:rsidR="00FA7818">
        <w:t xml:space="preserve">; en </w:t>
      </w:r>
      <w:r w:rsidR="005226ED">
        <w:t>los demás</w:t>
      </w:r>
      <w:r w:rsidR="002C325C">
        <w:t xml:space="preserve"> </w:t>
      </w:r>
      <w:r w:rsidR="00A71980">
        <w:t xml:space="preserve">contratos </w:t>
      </w:r>
      <w:r w:rsidR="00FA7818">
        <w:t>se registró el tipo de contrato y no la modalidad de selección</w:t>
      </w:r>
      <w:r w:rsidR="009C3887">
        <w:t>;</w:t>
      </w:r>
      <w:r w:rsidR="00FA7818">
        <w:t xml:space="preserve"> por ejemplo</w:t>
      </w:r>
      <w:r w:rsidR="00D64481">
        <w:t xml:space="preserve">, </w:t>
      </w:r>
      <w:r w:rsidR="00496617" w:rsidRPr="008622E7">
        <w:rPr>
          <w:i/>
          <w:iCs/>
        </w:rPr>
        <w:t>contrato de suministro</w:t>
      </w:r>
      <w:r w:rsidR="00496617">
        <w:t>.</w:t>
      </w:r>
    </w:p>
    <w:p w14:paraId="2E96BAA8" w14:textId="77777777" w:rsidR="000C1D69" w:rsidRDefault="000C1D69">
      <w:pPr>
        <w:spacing w:line="240" w:lineRule="auto"/>
        <w:contextualSpacing/>
        <w:jc w:val="both"/>
        <w:rPr>
          <w:rFonts w:eastAsia="Arial" w:cs="Arial"/>
        </w:rPr>
      </w:pPr>
    </w:p>
    <w:p w14:paraId="67837E7E" w14:textId="77777777" w:rsidR="00F00113" w:rsidRPr="005370C5" w:rsidRDefault="00F00113">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sidR="00AC73CD">
        <w:rPr>
          <w:rFonts w:eastAsia="Arial" w:cs="Arial"/>
          <w:b/>
          <w:bCs/>
          <w:sz w:val="20"/>
          <w:szCs w:val="20"/>
        </w:rPr>
        <w:t>10</w:t>
      </w:r>
    </w:p>
    <w:p w14:paraId="3A98A235" w14:textId="77777777" w:rsidR="001B4C93" w:rsidRDefault="00F00113">
      <w:pPr>
        <w:spacing w:after="0" w:line="240" w:lineRule="auto"/>
        <w:contextualSpacing/>
        <w:jc w:val="center"/>
        <w:rPr>
          <w:rFonts w:eastAsia="Arial" w:cs="Arial"/>
          <w:sz w:val="20"/>
          <w:szCs w:val="20"/>
        </w:rPr>
      </w:pPr>
      <w:r w:rsidRPr="005370C5">
        <w:rPr>
          <w:rFonts w:eastAsia="Arial" w:cs="Arial"/>
          <w:sz w:val="20"/>
          <w:szCs w:val="20"/>
        </w:rPr>
        <w:t xml:space="preserve">Comparativo </w:t>
      </w:r>
      <w:r w:rsidR="00741E61">
        <w:rPr>
          <w:rFonts w:eastAsia="Arial" w:cs="Arial"/>
          <w:sz w:val="20"/>
          <w:szCs w:val="20"/>
        </w:rPr>
        <w:t xml:space="preserve">de </w:t>
      </w:r>
      <w:r w:rsidRPr="005370C5">
        <w:rPr>
          <w:rFonts w:eastAsia="Arial" w:cs="Arial"/>
          <w:sz w:val="20"/>
          <w:szCs w:val="20"/>
        </w:rPr>
        <w:t xml:space="preserve">contratos </w:t>
      </w:r>
      <w:r w:rsidR="00741E61">
        <w:rPr>
          <w:rFonts w:eastAsia="Arial" w:cs="Arial"/>
          <w:sz w:val="20"/>
          <w:szCs w:val="20"/>
        </w:rPr>
        <w:t>y compromisos</w:t>
      </w:r>
      <w:r w:rsidR="001B4C93">
        <w:rPr>
          <w:rFonts w:eastAsia="Arial" w:cs="Arial"/>
          <w:sz w:val="20"/>
          <w:szCs w:val="20"/>
        </w:rPr>
        <w:t xml:space="preserve"> vigencia 2018</w:t>
      </w:r>
    </w:p>
    <w:p w14:paraId="0C939D74" w14:textId="77777777" w:rsidR="001B4C93" w:rsidRPr="001B4C93" w:rsidRDefault="001B4C93">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8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6"/>
        <w:gridCol w:w="1757"/>
        <w:gridCol w:w="1596"/>
        <w:gridCol w:w="1182"/>
        <w:gridCol w:w="1600"/>
      </w:tblGrid>
      <w:tr w:rsidR="00F44283" w:rsidRPr="003E0E9F" w14:paraId="6B7DB3DE" w14:textId="77777777" w:rsidTr="000569EC">
        <w:trPr>
          <w:trHeight w:val="121"/>
          <w:jc w:val="center"/>
        </w:trPr>
        <w:tc>
          <w:tcPr>
            <w:tcW w:w="8451" w:type="dxa"/>
            <w:gridSpan w:val="5"/>
            <w:shd w:val="clear" w:color="000000" w:fill="666699"/>
            <w:noWrap/>
            <w:vAlign w:val="center"/>
            <w:hideMark/>
          </w:tcPr>
          <w:p w14:paraId="160C2896" w14:textId="77777777" w:rsidR="00F44283" w:rsidRPr="00FB27C3" w:rsidRDefault="00F4428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Sector Propósito General </w:t>
            </w:r>
          </w:p>
        </w:tc>
      </w:tr>
      <w:tr w:rsidR="00FD1236" w:rsidRPr="003E0E9F" w14:paraId="0FC7F7E1" w14:textId="77777777" w:rsidTr="000569EC">
        <w:trPr>
          <w:trHeight w:val="316"/>
          <w:jc w:val="center"/>
        </w:trPr>
        <w:tc>
          <w:tcPr>
            <w:tcW w:w="2316" w:type="dxa"/>
            <w:vMerge w:val="restart"/>
            <w:shd w:val="clear" w:color="000000" w:fill="666699"/>
            <w:vAlign w:val="center"/>
            <w:hideMark/>
          </w:tcPr>
          <w:p w14:paraId="506A4063" w14:textId="77777777" w:rsidR="00F44283" w:rsidRPr="00FB27C3" w:rsidRDefault="00F4428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Destinaciones</w:t>
            </w:r>
          </w:p>
        </w:tc>
        <w:tc>
          <w:tcPr>
            <w:tcW w:w="1757" w:type="dxa"/>
            <w:shd w:val="clear" w:color="000000" w:fill="666699"/>
            <w:vAlign w:val="center"/>
            <w:hideMark/>
          </w:tcPr>
          <w:p w14:paraId="1734EFCF" w14:textId="77777777" w:rsidR="00F44283" w:rsidRPr="00FB27C3" w:rsidRDefault="00F4428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Comprometido</w:t>
            </w:r>
          </w:p>
        </w:tc>
        <w:tc>
          <w:tcPr>
            <w:tcW w:w="1596" w:type="dxa"/>
            <w:shd w:val="clear" w:color="000000" w:fill="666699"/>
            <w:vAlign w:val="center"/>
            <w:hideMark/>
          </w:tcPr>
          <w:p w14:paraId="64E08381" w14:textId="77777777" w:rsidR="00F44283" w:rsidRPr="00FB27C3" w:rsidRDefault="00F4428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 Relación de Contratos</w:t>
            </w:r>
          </w:p>
        </w:tc>
        <w:tc>
          <w:tcPr>
            <w:tcW w:w="1182" w:type="dxa"/>
            <w:shd w:val="clear" w:color="000000" w:fill="666699"/>
            <w:vAlign w:val="center"/>
            <w:hideMark/>
          </w:tcPr>
          <w:p w14:paraId="1421EB9E" w14:textId="77777777" w:rsidR="00F44283" w:rsidRPr="00FB27C3" w:rsidRDefault="00F4428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N</w:t>
            </w:r>
            <w:r w:rsidR="00747BBB" w:rsidRPr="00FB27C3">
              <w:rPr>
                <w:rFonts w:eastAsia="Times New Roman" w:cs="Arial"/>
                <w:b/>
                <w:bCs/>
                <w:color w:val="FFFFFF"/>
                <w:sz w:val="18"/>
                <w:szCs w:val="18"/>
                <w:lang w:val="es-CO" w:eastAsia="es-CO"/>
              </w:rPr>
              <w:t>o.</w:t>
            </w:r>
            <w:r w:rsidR="00850731" w:rsidRPr="00FB27C3">
              <w:rPr>
                <w:rFonts w:eastAsia="Times New Roman" w:cs="Arial"/>
                <w:b/>
                <w:bCs/>
                <w:color w:val="FFFFFF"/>
                <w:sz w:val="18"/>
                <w:szCs w:val="18"/>
                <w:lang w:val="es-CO" w:eastAsia="es-CO"/>
              </w:rPr>
              <w:t xml:space="preserve"> de</w:t>
            </w:r>
            <w:r w:rsidRPr="00FB27C3">
              <w:rPr>
                <w:rFonts w:eastAsia="Times New Roman" w:cs="Arial"/>
                <w:b/>
                <w:bCs/>
                <w:color w:val="FFFFFF"/>
                <w:sz w:val="18"/>
                <w:szCs w:val="18"/>
                <w:lang w:val="es-CO" w:eastAsia="es-CO"/>
              </w:rPr>
              <w:t xml:space="preserve"> contratos</w:t>
            </w:r>
          </w:p>
        </w:tc>
        <w:tc>
          <w:tcPr>
            <w:tcW w:w="1600" w:type="dxa"/>
            <w:shd w:val="clear" w:color="000000" w:fill="666699"/>
            <w:vAlign w:val="center"/>
            <w:hideMark/>
          </w:tcPr>
          <w:p w14:paraId="7458DA9F" w14:textId="77777777" w:rsidR="00F44283" w:rsidRPr="00FB27C3" w:rsidRDefault="00F4428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Diferencia</w:t>
            </w:r>
          </w:p>
        </w:tc>
      </w:tr>
      <w:tr w:rsidR="00FD1236" w:rsidRPr="003E0E9F" w14:paraId="0DB0733D" w14:textId="77777777" w:rsidTr="000569EC">
        <w:trPr>
          <w:trHeight w:val="121"/>
          <w:jc w:val="center"/>
        </w:trPr>
        <w:tc>
          <w:tcPr>
            <w:tcW w:w="2316" w:type="dxa"/>
            <w:vMerge/>
            <w:vAlign w:val="center"/>
            <w:hideMark/>
          </w:tcPr>
          <w:p w14:paraId="057D3ECB" w14:textId="77777777" w:rsidR="00F44283" w:rsidRPr="00FB27C3" w:rsidRDefault="00F44283">
            <w:pPr>
              <w:spacing w:after="0" w:line="240" w:lineRule="auto"/>
              <w:contextualSpacing/>
              <w:rPr>
                <w:rFonts w:eastAsia="Times New Roman" w:cs="Arial"/>
                <w:b/>
                <w:bCs/>
                <w:color w:val="FFFFFF"/>
                <w:sz w:val="18"/>
                <w:szCs w:val="18"/>
                <w:lang w:val="es-CO" w:eastAsia="es-CO"/>
              </w:rPr>
            </w:pPr>
          </w:p>
        </w:tc>
        <w:tc>
          <w:tcPr>
            <w:tcW w:w="1757" w:type="dxa"/>
            <w:shd w:val="clear" w:color="000000" w:fill="CCCCFF"/>
            <w:vAlign w:val="center"/>
            <w:hideMark/>
          </w:tcPr>
          <w:p w14:paraId="30DEB33C" w14:textId="77777777" w:rsidR="00F44283" w:rsidRPr="00FB27C3" w:rsidRDefault="00F4428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$2.690.926.693</w:t>
            </w:r>
          </w:p>
        </w:tc>
        <w:tc>
          <w:tcPr>
            <w:tcW w:w="1596" w:type="dxa"/>
            <w:shd w:val="clear" w:color="000000" w:fill="CCCCFF"/>
            <w:vAlign w:val="center"/>
            <w:hideMark/>
          </w:tcPr>
          <w:p w14:paraId="6A8ED531" w14:textId="77777777" w:rsidR="00F44283" w:rsidRPr="00FB27C3" w:rsidRDefault="00F4428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$1.132.286.577</w:t>
            </w:r>
          </w:p>
        </w:tc>
        <w:tc>
          <w:tcPr>
            <w:tcW w:w="1182" w:type="dxa"/>
            <w:shd w:val="clear" w:color="000000" w:fill="CCCCFF"/>
            <w:vAlign w:val="center"/>
            <w:hideMark/>
          </w:tcPr>
          <w:p w14:paraId="0495B530" w14:textId="77777777" w:rsidR="00F44283" w:rsidRPr="00FB27C3" w:rsidRDefault="00F4428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102</w:t>
            </w:r>
          </w:p>
        </w:tc>
        <w:tc>
          <w:tcPr>
            <w:tcW w:w="1600" w:type="dxa"/>
            <w:shd w:val="clear" w:color="000000" w:fill="CCCCFF"/>
            <w:vAlign w:val="center"/>
            <w:hideMark/>
          </w:tcPr>
          <w:p w14:paraId="7E5493A1" w14:textId="77777777" w:rsidR="00F44283" w:rsidRPr="00FB27C3" w:rsidRDefault="00F4428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$1.558.640.116</w:t>
            </w:r>
          </w:p>
        </w:tc>
      </w:tr>
      <w:tr w:rsidR="00FD1236" w:rsidRPr="003E0E9F" w14:paraId="4E660C58" w14:textId="77777777" w:rsidTr="000569EC">
        <w:trPr>
          <w:trHeight w:val="121"/>
          <w:jc w:val="center"/>
        </w:trPr>
        <w:tc>
          <w:tcPr>
            <w:tcW w:w="2316" w:type="dxa"/>
            <w:shd w:val="clear" w:color="auto" w:fill="auto"/>
            <w:noWrap/>
            <w:vAlign w:val="center"/>
            <w:hideMark/>
          </w:tcPr>
          <w:p w14:paraId="4541A66E" w14:textId="77777777" w:rsidR="00F44283" w:rsidRPr="00FB27C3" w:rsidRDefault="00F44283"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1.1 Libre Destinación </w:t>
            </w:r>
          </w:p>
        </w:tc>
        <w:tc>
          <w:tcPr>
            <w:tcW w:w="1757" w:type="dxa"/>
            <w:shd w:val="clear" w:color="auto" w:fill="auto"/>
            <w:noWrap/>
            <w:vAlign w:val="center"/>
            <w:hideMark/>
          </w:tcPr>
          <w:p w14:paraId="029A9771"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$1.009.443.024</w:t>
            </w:r>
          </w:p>
        </w:tc>
        <w:tc>
          <w:tcPr>
            <w:tcW w:w="1596" w:type="dxa"/>
            <w:shd w:val="clear" w:color="auto" w:fill="auto"/>
            <w:noWrap/>
            <w:vAlign w:val="center"/>
            <w:hideMark/>
          </w:tcPr>
          <w:p w14:paraId="7FB0767B"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$218.127.750</w:t>
            </w:r>
          </w:p>
        </w:tc>
        <w:tc>
          <w:tcPr>
            <w:tcW w:w="1182" w:type="dxa"/>
            <w:shd w:val="clear" w:color="auto" w:fill="auto"/>
            <w:noWrap/>
            <w:vAlign w:val="center"/>
            <w:hideMark/>
          </w:tcPr>
          <w:p w14:paraId="2FBE41E0"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30</w:t>
            </w:r>
          </w:p>
        </w:tc>
        <w:tc>
          <w:tcPr>
            <w:tcW w:w="1600" w:type="dxa"/>
            <w:shd w:val="clear" w:color="auto" w:fill="auto"/>
            <w:noWrap/>
            <w:vAlign w:val="center"/>
            <w:hideMark/>
          </w:tcPr>
          <w:p w14:paraId="30F1FC3A"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$791.315.274</w:t>
            </w:r>
          </w:p>
        </w:tc>
      </w:tr>
      <w:tr w:rsidR="00FD1236" w:rsidRPr="003E0E9F" w14:paraId="0F07BF39" w14:textId="77777777" w:rsidTr="000569EC">
        <w:trPr>
          <w:trHeight w:val="212"/>
          <w:jc w:val="center"/>
        </w:trPr>
        <w:tc>
          <w:tcPr>
            <w:tcW w:w="2316" w:type="dxa"/>
            <w:shd w:val="clear" w:color="auto" w:fill="auto"/>
            <w:noWrap/>
            <w:vAlign w:val="center"/>
            <w:hideMark/>
          </w:tcPr>
          <w:p w14:paraId="3BF46C8D" w14:textId="77777777" w:rsidR="00F44283" w:rsidRPr="00FB27C3" w:rsidRDefault="00F44283"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1.2. Libre Inversión</w:t>
            </w:r>
          </w:p>
        </w:tc>
        <w:tc>
          <w:tcPr>
            <w:tcW w:w="1757" w:type="dxa"/>
            <w:shd w:val="clear" w:color="auto" w:fill="auto"/>
            <w:noWrap/>
            <w:vAlign w:val="center"/>
            <w:hideMark/>
          </w:tcPr>
          <w:p w14:paraId="2AF53C3C"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$1.533.036.905</w:t>
            </w:r>
          </w:p>
        </w:tc>
        <w:tc>
          <w:tcPr>
            <w:tcW w:w="1596" w:type="dxa"/>
            <w:shd w:val="clear" w:color="auto" w:fill="auto"/>
            <w:vAlign w:val="center"/>
            <w:hideMark/>
          </w:tcPr>
          <w:p w14:paraId="1D148990"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$756.416.827</w:t>
            </w:r>
          </w:p>
        </w:tc>
        <w:tc>
          <w:tcPr>
            <w:tcW w:w="1182" w:type="dxa"/>
            <w:shd w:val="clear" w:color="auto" w:fill="auto"/>
            <w:noWrap/>
            <w:vAlign w:val="center"/>
            <w:hideMark/>
          </w:tcPr>
          <w:p w14:paraId="37EE22E5"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55</w:t>
            </w:r>
          </w:p>
        </w:tc>
        <w:tc>
          <w:tcPr>
            <w:tcW w:w="1600" w:type="dxa"/>
            <w:shd w:val="clear" w:color="auto" w:fill="auto"/>
            <w:noWrap/>
            <w:vAlign w:val="center"/>
            <w:hideMark/>
          </w:tcPr>
          <w:p w14:paraId="45BD6CE7"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$776.620.078</w:t>
            </w:r>
          </w:p>
        </w:tc>
      </w:tr>
      <w:tr w:rsidR="00FD1236" w:rsidRPr="003E0E9F" w14:paraId="70D20DE5" w14:textId="77777777" w:rsidTr="000569EC">
        <w:trPr>
          <w:trHeight w:val="121"/>
          <w:jc w:val="center"/>
        </w:trPr>
        <w:tc>
          <w:tcPr>
            <w:tcW w:w="2316" w:type="dxa"/>
            <w:shd w:val="clear" w:color="auto" w:fill="auto"/>
            <w:noWrap/>
            <w:vAlign w:val="center"/>
            <w:hideMark/>
          </w:tcPr>
          <w:p w14:paraId="373FB75D" w14:textId="77777777" w:rsidR="00F44283" w:rsidRPr="00FB27C3" w:rsidRDefault="00F44283"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1.3. Deporte y Recreación</w:t>
            </w:r>
          </w:p>
        </w:tc>
        <w:tc>
          <w:tcPr>
            <w:tcW w:w="1757" w:type="dxa"/>
            <w:shd w:val="clear" w:color="auto" w:fill="auto"/>
            <w:noWrap/>
            <w:vAlign w:val="center"/>
            <w:hideMark/>
          </w:tcPr>
          <w:p w14:paraId="226A3378"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$105.233.764</w:t>
            </w:r>
          </w:p>
        </w:tc>
        <w:tc>
          <w:tcPr>
            <w:tcW w:w="1596" w:type="dxa"/>
            <w:shd w:val="clear" w:color="auto" w:fill="auto"/>
            <w:noWrap/>
            <w:vAlign w:val="center"/>
            <w:hideMark/>
          </w:tcPr>
          <w:p w14:paraId="5F453D69"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$59.201.000</w:t>
            </w:r>
          </w:p>
        </w:tc>
        <w:tc>
          <w:tcPr>
            <w:tcW w:w="1182" w:type="dxa"/>
            <w:shd w:val="clear" w:color="auto" w:fill="auto"/>
            <w:noWrap/>
            <w:vAlign w:val="center"/>
            <w:hideMark/>
          </w:tcPr>
          <w:p w14:paraId="7E51D589"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8</w:t>
            </w:r>
          </w:p>
        </w:tc>
        <w:tc>
          <w:tcPr>
            <w:tcW w:w="1600" w:type="dxa"/>
            <w:shd w:val="clear" w:color="auto" w:fill="auto"/>
            <w:noWrap/>
            <w:vAlign w:val="center"/>
            <w:hideMark/>
          </w:tcPr>
          <w:p w14:paraId="2479D44B"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$46.032.764</w:t>
            </w:r>
          </w:p>
        </w:tc>
      </w:tr>
      <w:tr w:rsidR="00FD1236" w:rsidRPr="003E0E9F" w14:paraId="6FC520F2" w14:textId="77777777" w:rsidTr="000569EC">
        <w:trPr>
          <w:trHeight w:val="121"/>
          <w:jc w:val="center"/>
        </w:trPr>
        <w:tc>
          <w:tcPr>
            <w:tcW w:w="2316" w:type="dxa"/>
            <w:shd w:val="clear" w:color="auto" w:fill="auto"/>
            <w:noWrap/>
            <w:vAlign w:val="center"/>
            <w:hideMark/>
          </w:tcPr>
          <w:p w14:paraId="456C036D" w14:textId="77777777" w:rsidR="00F44283" w:rsidRPr="00FB27C3" w:rsidRDefault="00F44283"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1.4. Cultura</w:t>
            </w:r>
          </w:p>
        </w:tc>
        <w:tc>
          <w:tcPr>
            <w:tcW w:w="1757" w:type="dxa"/>
            <w:shd w:val="clear" w:color="auto" w:fill="auto"/>
            <w:noWrap/>
            <w:vAlign w:val="center"/>
            <w:hideMark/>
          </w:tcPr>
          <w:p w14:paraId="5BCC428A"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$43.213.000</w:t>
            </w:r>
          </w:p>
        </w:tc>
        <w:tc>
          <w:tcPr>
            <w:tcW w:w="1596" w:type="dxa"/>
            <w:shd w:val="clear" w:color="auto" w:fill="auto"/>
            <w:noWrap/>
            <w:vAlign w:val="center"/>
            <w:hideMark/>
          </w:tcPr>
          <w:p w14:paraId="46218F16"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$98.541.000</w:t>
            </w:r>
          </w:p>
        </w:tc>
        <w:tc>
          <w:tcPr>
            <w:tcW w:w="1182" w:type="dxa"/>
            <w:shd w:val="clear" w:color="auto" w:fill="auto"/>
            <w:noWrap/>
            <w:vAlign w:val="center"/>
            <w:hideMark/>
          </w:tcPr>
          <w:p w14:paraId="107B0880"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9</w:t>
            </w:r>
          </w:p>
        </w:tc>
        <w:tc>
          <w:tcPr>
            <w:tcW w:w="1600" w:type="dxa"/>
            <w:shd w:val="clear" w:color="auto" w:fill="auto"/>
            <w:noWrap/>
            <w:vAlign w:val="center"/>
            <w:hideMark/>
          </w:tcPr>
          <w:p w14:paraId="5B01D13E" w14:textId="77777777" w:rsidR="00F44283" w:rsidRPr="00FB27C3" w:rsidRDefault="00F4428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FF0000"/>
                <w:sz w:val="18"/>
                <w:szCs w:val="18"/>
                <w:lang w:val="es-CO" w:eastAsia="es-CO"/>
              </w:rPr>
              <w:t>-$55.328.000</w:t>
            </w:r>
          </w:p>
        </w:tc>
      </w:tr>
    </w:tbl>
    <w:p w14:paraId="788DD38E" w14:textId="77777777" w:rsidR="00045AC4" w:rsidRPr="00FB27C3" w:rsidRDefault="00045AC4" w:rsidP="00286F4A">
      <w:pPr>
        <w:spacing w:line="240" w:lineRule="auto"/>
        <w:contextualSpacing/>
        <w:jc w:val="center"/>
        <w:rPr>
          <w:rFonts w:eastAsia="Arial" w:cs="Arial"/>
          <w:sz w:val="16"/>
          <w:szCs w:val="16"/>
        </w:rPr>
      </w:pPr>
      <w:r w:rsidRPr="00FB27C3">
        <w:rPr>
          <w:rFonts w:eastAsia="Arial" w:cs="Arial"/>
          <w:b/>
          <w:bCs/>
          <w:sz w:val="16"/>
          <w:szCs w:val="16"/>
        </w:rPr>
        <w:t>Fuente:</w:t>
      </w:r>
      <w:r w:rsidRPr="00FB27C3">
        <w:rPr>
          <w:rFonts w:eastAsia="Arial" w:cs="Arial"/>
          <w:sz w:val="16"/>
          <w:szCs w:val="16"/>
        </w:rPr>
        <w:t xml:space="preserve"> Elaboración DAF con base en la información entregada por el Municipio.</w:t>
      </w:r>
    </w:p>
    <w:p w14:paraId="73F9E14C" w14:textId="77777777" w:rsidR="00F07B99" w:rsidRDefault="00F07B99">
      <w:pPr>
        <w:spacing w:line="240" w:lineRule="auto"/>
        <w:contextualSpacing/>
        <w:rPr>
          <w:b/>
          <w:bCs/>
        </w:rPr>
      </w:pPr>
    </w:p>
    <w:p w14:paraId="54452468" w14:textId="77777777" w:rsidR="00BF02DD" w:rsidRDefault="00BF02DD">
      <w:pPr>
        <w:spacing w:line="240" w:lineRule="auto"/>
        <w:contextualSpacing/>
        <w:rPr>
          <w:b/>
          <w:bCs/>
        </w:rPr>
      </w:pPr>
      <w:r>
        <w:rPr>
          <w:b/>
          <w:bCs/>
        </w:rPr>
        <w:t>Vigencia 2019</w:t>
      </w:r>
      <w:r w:rsidR="00081CDF">
        <w:rPr>
          <w:b/>
          <w:bCs/>
        </w:rPr>
        <w:t>.</w:t>
      </w:r>
    </w:p>
    <w:p w14:paraId="7B929719" w14:textId="77777777" w:rsidR="00081CDF" w:rsidRDefault="00081CDF">
      <w:pPr>
        <w:spacing w:line="240" w:lineRule="auto"/>
        <w:contextualSpacing/>
        <w:rPr>
          <w:b/>
          <w:bCs/>
        </w:rPr>
      </w:pPr>
    </w:p>
    <w:p w14:paraId="41BB9ACF" w14:textId="77777777" w:rsidR="00B6513B" w:rsidRDefault="00842C87">
      <w:pPr>
        <w:spacing w:line="240" w:lineRule="auto"/>
        <w:contextualSpacing/>
        <w:jc w:val="both"/>
        <w:rPr>
          <w:rFonts w:eastAsia="Arial" w:cs="Arial"/>
        </w:rPr>
      </w:pPr>
      <w:r>
        <w:rPr>
          <w:rFonts w:eastAsia="Arial" w:cs="Arial"/>
        </w:rPr>
        <w:t xml:space="preserve">En la vigencia 2019 se evidencia una diferencia de </w:t>
      </w:r>
      <w:r w:rsidRPr="00842C87">
        <w:rPr>
          <w:rFonts w:eastAsia="Arial" w:cs="Arial"/>
        </w:rPr>
        <w:t>$2.020.175.433</w:t>
      </w:r>
      <w:r w:rsidR="007E510F">
        <w:rPr>
          <w:rFonts w:eastAsia="Arial" w:cs="Arial"/>
        </w:rPr>
        <w:t>, l</w:t>
      </w:r>
      <w:r w:rsidR="00AB3390">
        <w:rPr>
          <w:rFonts w:eastAsia="Arial" w:cs="Arial"/>
        </w:rPr>
        <w:t xml:space="preserve">as mayores diferencias se presentan </w:t>
      </w:r>
      <w:r w:rsidR="00362587">
        <w:rPr>
          <w:rFonts w:eastAsia="Arial" w:cs="Arial"/>
        </w:rPr>
        <w:t>en los componentes de Libre Destinación y Libre Inversión</w:t>
      </w:r>
      <w:r w:rsidR="00E804AF">
        <w:rPr>
          <w:rFonts w:eastAsia="Arial" w:cs="Arial"/>
        </w:rPr>
        <w:t xml:space="preserve">. En Deporte y Recreación y Cultura se reporta un valor de contratos mayor que el monto de los compromisos </w:t>
      </w:r>
      <w:r w:rsidR="00712AE0">
        <w:rPr>
          <w:rFonts w:eastAsia="Arial" w:cs="Arial"/>
        </w:rPr>
        <w:t xml:space="preserve">en </w:t>
      </w:r>
      <w:r w:rsidR="00712AE0" w:rsidRPr="00712AE0">
        <w:rPr>
          <w:rFonts w:eastAsia="Arial" w:cs="Arial"/>
        </w:rPr>
        <w:t>$59.117.609</w:t>
      </w:r>
      <w:r w:rsidR="00150EEA">
        <w:rPr>
          <w:rFonts w:eastAsia="Arial" w:cs="Arial"/>
        </w:rPr>
        <w:t xml:space="preserve"> y</w:t>
      </w:r>
      <w:r w:rsidR="00712AE0">
        <w:rPr>
          <w:rFonts w:eastAsia="Arial" w:cs="Arial"/>
        </w:rPr>
        <w:t xml:space="preserve"> </w:t>
      </w:r>
      <w:r w:rsidR="00150EEA" w:rsidRPr="00150EEA">
        <w:rPr>
          <w:rFonts w:eastAsia="Arial" w:cs="Arial"/>
        </w:rPr>
        <w:t>$18.122.320</w:t>
      </w:r>
      <w:r w:rsidR="00150EEA">
        <w:rPr>
          <w:rFonts w:eastAsia="Arial" w:cs="Arial"/>
        </w:rPr>
        <w:t xml:space="preserve"> respectivamente </w:t>
      </w:r>
      <w:r w:rsidR="00E804AF">
        <w:rPr>
          <w:rFonts w:eastAsia="Arial" w:cs="Arial"/>
        </w:rPr>
        <w:t xml:space="preserve">y no es claro si concurren otras fuentes </w:t>
      </w:r>
      <w:r w:rsidR="00ED7E68">
        <w:rPr>
          <w:rFonts w:eastAsia="Arial" w:cs="Arial"/>
        </w:rPr>
        <w:t>de recursos para soportar la inversión en estos sectores</w:t>
      </w:r>
      <w:r w:rsidR="00262032">
        <w:rPr>
          <w:rFonts w:eastAsia="Arial" w:cs="Arial"/>
        </w:rPr>
        <w:t xml:space="preserve"> desde la información registrada en la relación contractual de la vigencia</w:t>
      </w:r>
      <w:r w:rsidR="00ED7E68">
        <w:rPr>
          <w:rFonts w:eastAsia="Arial" w:cs="Arial"/>
        </w:rPr>
        <w:t>.</w:t>
      </w:r>
      <w:r w:rsidR="00804D1A">
        <w:rPr>
          <w:rFonts w:eastAsia="Arial" w:cs="Arial"/>
        </w:rPr>
        <w:t xml:space="preserve"> Al consultar la relación de CDP y RP se registra únicamente la fuente de financiación de SGP Propósito General en los registros presupuestales</w:t>
      </w:r>
      <w:r w:rsidR="00303104">
        <w:rPr>
          <w:rFonts w:eastAsia="Arial" w:cs="Arial"/>
        </w:rPr>
        <w:t>.</w:t>
      </w:r>
      <w:r w:rsidR="00804D1A">
        <w:rPr>
          <w:rFonts w:eastAsia="Arial" w:cs="Arial"/>
        </w:rPr>
        <w:t xml:space="preserve"> </w:t>
      </w:r>
      <w:r w:rsidR="001C2B32">
        <w:rPr>
          <w:rFonts w:eastAsia="Arial" w:cs="Arial"/>
        </w:rPr>
        <w:t>Adicionalmente, se evidencia que algunos contratos de 2019 fueron registrados en la relación contractual en la vigencia 2018. P</w:t>
      </w:r>
      <w:r w:rsidR="00804D1A">
        <w:rPr>
          <w:rFonts w:eastAsia="Arial" w:cs="Arial"/>
        </w:rPr>
        <w:t>or lo cual</w:t>
      </w:r>
      <w:r w:rsidR="001C2B32">
        <w:rPr>
          <w:rFonts w:eastAsia="Arial" w:cs="Arial"/>
        </w:rPr>
        <w:t>,</w:t>
      </w:r>
      <w:r w:rsidR="00804D1A">
        <w:rPr>
          <w:rFonts w:eastAsia="Arial" w:cs="Arial"/>
        </w:rPr>
        <w:t xml:space="preserve"> con la información disponible</w:t>
      </w:r>
      <w:r w:rsidR="00303104">
        <w:rPr>
          <w:rFonts w:eastAsia="Arial" w:cs="Arial"/>
        </w:rPr>
        <w:t>,</w:t>
      </w:r>
      <w:r w:rsidR="00804D1A">
        <w:rPr>
          <w:rFonts w:eastAsia="Arial" w:cs="Arial"/>
        </w:rPr>
        <w:t xml:space="preserve"> no es posible determinar la concurrencia de otras fuentes de financiación</w:t>
      </w:r>
      <w:r w:rsidR="001C2B32">
        <w:rPr>
          <w:rFonts w:eastAsia="Arial" w:cs="Arial"/>
        </w:rPr>
        <w:t xml:space="preserve">. </w:t>
      </w:r>
      <w:r w:rsidR="00496617">
        <w:t>En la vigencia 2019, el 81</w:t>
      </w:r>
      <w:r w:rsidR="00081CDF">
        <w:t xml:space="preserve"> </w:t>
      </w:r>
      <w:r w:rsidR="00496617">
        <w:t>% de los contratos relacionados se enmarcaron en contratación directa</w:t>
      </w:r>
      <w:r w:rsidR="005949E5">
        <w:t>,</w:t>
      </w:r>
      <w:r w:rsidR="005226ED">
        <w:t xml:space="preserve"> </w:t>
      </w:r>
      <w:r w:rsidR="00D40C4A">
        <w:t>en su mayoría bajo la figura de contratos de prestación de servicios</w:t>
      </w:r>
      <w:r w:rsidR="00496617">
        <w:t xml:space="preserve">, los demás contratos </w:t>
      </w:r>
      <w:r w:rsidR="00D40C4A">
        <w:t>se clasificaron en</w:t>
      </w:r>
      <w:r w:rsidR="00496617">
        <w:t xml:space="preserve"> mínima cuantía </w:t>
      </w:r>
      <w:r w:rsidR="00D40C4A">
        <w:t>o el tipo de contrato como de</w:t>
      </w:r>
      <w:r w:rsidR="00496617">
        <w:t xml:space="preserve"> suministro</w:t>
      </w:r>
      <w:r w:rsidR="00F21502">
        <w:t>.</w:t>
      </w:r>
    </w:p>
    <w:p w14:paraId="552ED36F" w14:textId="77777777" w:rsidR="001E0C42" w:rsidRDefault="001E0C42">
      <w:pPr>
        <w:spacing w:line="240" w:lineRule="auto"/>
        <w:contextualSpacing/>
        <w:jc w:val="both"/>
        <w:rPr>
          <w:rFonts w:eastAsia="Arial" w:cs="Arial"/>
        </w:rPr>
      </w:pPr>
    </w:p>
    <w:p w14:paraId="00723A2C" w14:textId="77777777" w:rsidR="00045AC4" w:rsidRPr="005370C5" w:rsidRDefault="00045AC4">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sidR="006C3703">
        <w:rPr>
          <w:rFonts w:eastAsia="Arial" w:cs="Arial"/>
          <w:b/>
          <w:bCs/>
          <w:sz w:val="20"/>
          <w:szCs w:val="20"/>
        </w:rPr>
        <w:t>1</w:t>
      </w:r>
      <w:r w:rsidR="00207690">
        <w:rPr>
          <w:rFonts w:eastAsia="Arial" w:cs="Arial"/>
          <w:b/>
          <w:bCs/>
          <w:sz w:val="20"/>
          <w:szCs w:val="20"/>
        </w:rPr>
        <w:t>1</w:t>
      </w:r>
    </w:p>
    <w:p w14:paraId="392E4C3A" w14:textId="77777777" w:rsidR="00045AC4" w:rsidRDefault="00045AC4">
      <w:pPr>
        <w:spacing w:after="0" w:line="240" w:lineRule="auto"/>
        <w:contextualSpacing/>
        <w:jc w:val="center"/>
        <w:rPr>
          <w:rFonts w:eastAsia="Arial" w:cs="Arial"/>
          <w:sz w:val="20"/>
          <w:szCs w:val="20"/>
        </w:rPr>
      </w:pPr>
      <w:r w:rsidRPr="005370C5">
        <w:rPr>
          <w:rFonts w:eastAsia="Arial" w:cs="Arial"/>
          <w:sz w:val="20"/>
          <w:szCs w:val="20"/>
        </w:rPr>
        <w:t xml:space="preserve">Comparativo </w:t>
      </w:r>
      <w:r>
        <w:rPr>
          <w:rFonts w:eastAsia="Arial" w:cs="Arial"/>
          <w:sz w:val="20"/>
          <w:szCs w:val="20"/>
        </w:rPr>
        <w:t xml:space="preserve">de </w:t>
      </w:r>
      <w:r w:rsidRPr="005370C5">
        <w:rPr>
          <w:rFonts w:eastAsia="Arial" w:cs="Arial"/>
          <w:sz w:val="20"/>
          <w:szCs w:val="20"/>
        </w:rPr>
        <w:t xml:space="preserve">contratos </w:t>
      </w:r>
      <w:r>
        <w:rPr>
          <w:rFonts w:eastAsia="Arial" w:cs="Arial"/>
          <w:sz w:val="20"/>
          <w:szCs w:val="20"/>
        </w:rPr>
        <w:t>y compromisos vigencia 2019</w:t>
      </w:r>
    </w:p>
    <w:p w14:paraId="402F2749" w14:textId="77777777" w:rsidR="00045AC4" w:rsidRPr="001B4C93" w:rsidRDefault="00045AC4">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5"/>
        <w:gridCol w:w="1808"/>
        <w:gridCol w:w="1550"/>
        <w:gridCol w:w="1217"/>
        <w:gridCol w:w="1652"/>
      </w:tblGrid>
      <w:tr w:rsidR="00FD1236" w:rsidRPr="003E0E9F" w14:paraId="4882FC7B" w14:textId="77777777" w:rsidTr="00FB27C3">
        <w:trPr>
          <w:trHeight w:val="217"/>
          <w:tblHeader/>
          <w:jc w:val="center"/>
        </w:trPr>
        <w:tc>
          <w:tcPr>
            <w:tcW w:w="8612" w:type="dxa"/>
            <w:gridSpan w:val="5"/>
            <w:shd w:val="clear" w:color="000000" w:fill="666699"/>
            <w:noWrap/>
            <w:vAlign w:val="center"/>
            <w:hideMark/>
          </w:tcPr>
          <w:p w14:paraId="6C02F522" w14:textId="77777777" w:rsidR="00FD1236" w:rsidRPr="00FB27C3" w:rsidRDefault="00FD123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Sector Propósito General </w:t>
            </w:r>
          </w:p>
        </w:tc>
      </w:tr>
      <w:tr w:rsidR="00FD1236" w:rsidRPr="003E0E9F" w14:paraId="711CEE16" w14:textId="77777777" w:rsidTr="00FB27C3">
        <w:trPr>
          <w:trHeight w:val="217"/>
          <w:tblHeader/>
          <w:jc w:val="center"/>
        </w:trPr>
        <w:tc>
          <w:tcPr>
            <w:tcW w:w="2385" w:type="dxa"/>
            <w:vMerge w:val="restart"/>
            <w:shd w:val="clear" w:color="000000" w:fill="666699"/>
            <w:vAlign w:val="center"/>
            <w:hideMark/>
          </w:tcPr>
          <w:p w14:paraId="641CE082" w14:textId="77777777" w:rsidR="00FD1236" w:rsidRPr="00FB27C3" w:rsidRDefault="00FD123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Destinaciones</w:t>
            </w:r>
          </w:p>
        </w:tc>
        <w:tc>
          <w:tcPr>
            <w:tcW w:w="1808" w:type="dxa"/>
            <w:shd w:val="clear" w:color="000000" w:fill="666699"/>
            <w:vAlign w:val="center"/>
            <w:hideMark/>
          </w:tcPr>
          <w:p w14:paraId="42DDD5A9" w14:textId="77777777" w:rsidR="00FD1236" w:rsidRPr="00FB27C3" w:rsidRDefault="00FD123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Comprometido</w:t>
            </w:r>
          </w:p>
        </w:tc>
        <w:tc>
          <w:tcPr>
            <w:tcW w:w="1550" w:type="dxa"/>
            <w:shd w:val="clear" w:color="000000" w:fill="666699"/>
            <w:vAlign w:val="center"/>
            <w:hideMark/>
          </w:tcPr>
          <w:p w14:paraId="535A8697" w14:textId="77777777" w:rsidR="00FD1236" w:rsidRPr="00FB27C3" w:rsidRDefault="00FD123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 Relación de Contratos</w:t>
            </w:r>
          </w:p>
        </w:tc>
        <w:tc>
          <w:tcPr>
            <w:tcW w:w="1217" w:type="dxa"/>
            <w:shd w:val="clear" w:color="000000" w:fill="666699"/>
            <w:vAlign w:val="center"/>
            <w:hideMark/>
          </w:tcPr>
          <w:p w14:paraId="52EA32A9" w14:textId="77777777" w:rsidR="00FD1236" w:rsidRPr="00FB27C3" w:rsidRDefault="00FD123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N</w:t>
            </w:r>
            <w:r w:rsidR="00850731" w:rsidRPr="00FB27C3">
              <w:rPr>
                <w:rFonts w:eastAsia="Times New Roman" w:cs="Arial"/>
                <w:b/>
                <w:bCs/>
                <w:color w:val="FFFFFF"/>
                <w:sz w:val="18"/>
                <w:szCs w:val="18"/>
                <w:lang w:val="es-CO" w:eastAsia="es-CO"/>
              </w:rPr>
              <w:t>° de</w:t>
            </w:r>
            <w:r w:rsidRPr="00FB27C3">
              <w:rPr>
                <w:rFonts w:eastAsia="Times New Roman" w:cs="Arial"/>
                <w:b/>
                <w:bCs/>
                <w:color w:val="FFFFFF"/>
                <w:sz w:val="18"/>
                <w:szCs w:val="18"/>
                <w:lang w:val="es-CO" w:eastAsia="es-CO"/>
              </w:rPr>
              <w:t xml:space="preserve"> contratos</w:t>
            </w:r>
          </w:p>
        </w:tc>
        <w:tc>
          <w:tcPr>
            <w:tcW w:w="1652" w:type="dxa"/>
            <w:shd w:val="clear" w:color="000000" w:fill="666699"/>
            <w:vAlign w:val="center"/>
            <w:hideMark/>
          </w:tcPr>
          <w:p w14:paraId="7DA65522" w14:textId="77777777" w:rsidR="00FD1236" w:rsidRPr="00FB27C3" w:rsidRDefault="00FD123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Diferencia</w:t>
            </w:r>
          </w:p>
        </w:tc>
      </w:tr>
      <w:tr w:rsidR="00FD1236" w:rsidRPr="003E0E9F" w14:paraId="1C839CDE" w14:textId="77777777" w:rsidTr="00FB27C3">
        <w:trPr>
          <w:trHeight w:val="202"/>
          <w:tblHeader/>
          <w:jc w:val="center"/>
        </w:trPr>
        <w:tc>
          <w:tcPr>
            <w:tcW w:w="2385" w:type="dxa"/>
            <w:vMerge/>
            <w:vAlign w:val="center"/>
            <w:hideMark/>
          </w:tcPr>
          <w:p w14:paraId="7DE6C231" w14:textId="77777777" w:rsidR="00FD1236" w:rsidRPr="00FB27C3" w:rsidRDefault="00FD1236">
            <w:pPr>
              <w:spacing w:after="0" w:line="240" w:lineRule="auto"/>
              <w:contextualSpacing/>
              <w:rPr>
                <w:rFonts w:eastAsia="Times New Roman" w:cs="Arial"/>
                <w:b/>
                <w:bCs/>
                <w:color w:val="FFFFFF"/>
                <w:sz w:val="18"/>
                <w:szCs w:val="18"/>
                <w:lang w:val="es-CO" w:eastAsia="es-CO"/>
              </w:rPr>
            </w:pPr>
          </w:p>
        </w:tc>
        <w:tc>
          <w:tcPr>
            <w:tcW w:w="1808" w:type="dxa"/>
            <w:shd w:val="clear" w:color="000000" w:fill="CCCCFF"/>
            <w:vAlign w:val="center"/>
            <w:hideMark/>
          </w:tcPr>
          <w:p w14:paraId="18B4C9EA" w14:textId="77777777" w:rsidR="00FD1236" w:rsidRPr="00FB27C3" w:rsidRDefault="00FD123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$2.802.739.063</w:t>
            </w:r>
          </w:p>
        </w:tc>
        <w:tc>
          <w:tcPr>
            <w:tcW w:w="1550" w:type="dxa"/>
            <w:shd w:val="clear" w:color="000000" w:fill="CCCCFF"/>
            <w:vAlign w:val="center"/>
            <w:hideMark/>
          </w:tcPr>
          <w:p w14:paraId="6AB2D013" w14:textId="77777777" w:rsidR="00FD1236" w:rsidRPr="00FB27C3" w:rsidRDefault="00FD123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$782.563.630</w:t>
            </w:r>
          </w:p>
        </w:tc>
        <w:tc>
          <w:tcPr>
            <w:tcW w:w="1217" w:type="dxa"/>
            <w:shd w:val="clear" w:color="000000" w:fill="CCCCFF"/>
            <w:vAlign w:val="center"/>
            <w:hideMark/>
          </w:tcPr>
          <w:p w14:paraId="68E56056" w14:textId="77777777" w:rsidR="00FD1236" w:rsidRPr="00FB27C3" w:rsidRDefault="00FD123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61</w:t>
            </w:r>
          </w:p>
        </w:tc>
        <w:tc>
          <w:tcPr>
            <w:tcW w:w="1652" w:type="dxa"/>
            <w:shd w:val="clear" w:color="000000" w:fill="CCCCFF"/>
            <w:vAlign w:val="center"/>
            <w:hideMark/>
          </w:tcPr>
          <w:p w14:paraId="42ADB19D" w14:textId="77777777" w:rsidR="00FD1236" w:rsidRPr="00FB27C3" w:rsidRDefault="00FD123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$2.020.175.433</w:t>
            </w:r>
          </w:p>
        </w:tc>
      </w:tr>
      <w:tr w:rsidR="00FD1236" w:rsidRPr="003E0E9F" w14:paraId="58BE0B11" w14:textId="77777777" w:rsidTr="000569EC">
        <w:trPr>
          <w:trHeight w:val="202"/>
          <w:jc w:val="center"/>
        </w:trPr>
        <w:tc>
          <w:tcPr>
            <w:tcW w:w="2385" w:type="dxa"/>
            <w:shd w:val="clear" w:color="auto" w:fill="auto"/>
            <w:noWrap/>
            <w:vAlign w:val="center"/>
            <w:hideMark/>
          </w:tcPr>
          <w:p w14:paraId="0025B968" w14:textId="77777777" w:rsidR="00FD1236" w:rsidRPr="00FB27C3" w:rsidRDefault="00FD1236"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1.1 Libre Destinación </w:t>
            </w:r>
          </w:p>
        </w:tc>
        <w:tc>
          <w:tcPr>
            <w:tcW w:w="1808" w:type="dxa"/>
            <w:shd w:val="clear" w:color="auto" w:fill="auto"/>
            <w:noWrap/>
            <w:vAlign w:val="center"/>
            <w:hideMark/>
          </w:tcPr>
          <w:p w14:paraId="42468C92"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$1.235.554.822</w:t>
            </w:r>
          </w:p>
        </w:tc>
        <w:tc>
          <w:tcPr>
            <w:tcW w:w="1550" w:type="dxa"/>
            <w:shd w:val="clear" w:color="auto" w:fill="auto"/>
            <w:noWrap/>
            <w:vAlign w:val="center"/>
            <w:hideMark/>
          </w:tcPr>
          <w:p w14:paraId="278B82F3"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$200.066.000</w:t>
            </w:r>
          </w:p>
        </w:tc>
        <w:tc>
          <w:tcPr>
            <w:tcW w:w="1217" w:type="dxa"/>
            <w:shd w:val="clear" w:color="auto" w:fill="auto"/>
            <w:noWrap/>
            <w:vAlign w:val="center"/>
            <w:hideMark/>
          </w:tcPr>
          <w:p w14:paraId="2E2B7833"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23</w:t>
            </w:r>
          </w:p>
        </w:tc>
        <w:tc>
          <w:tcPr>
            <w:tcW w:w="1652" w:type="dxa"/>
            <w:shd w:val="clear" w:color="auto" w:fill="auto"/>
            <w:noWrap/>
            <w:vAlign w:val="center"/>
            <w:hideMark/>
          </w:tcPr>
          <w:p w14:paraId="54AF00C9"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$1.035.488.822</w:t>
            </w:r>
          </w:p>
        </w:tc>
      </w:tr>
      <w:tr w:rsidR="00FD1236" w:rsidRPr="003E0E9F" w14:paraId="1F917B57" w14:textId="77777777" w:rsidTr="000569EC">
        <w:trPr>
          <w:trHeight w:val="114"/>
          <w:jc w:val="center"/>
        </w:trPr>
        <w:tc>
          <w:tcPr>
            <w:tcW w:w="2385" w:type="dxa"/>
            <w:shd w:val="clear" w:color="auto" w:fill="auto"/>
            <w:noWrap/>
            <w:vAlign w:val="center"/>
            <w:hideMark/>
          </w:tcPr>
          <w:p w14:paraId="0DBB622C" w14:textId="77777777" w:rsidR="00FD1236" w:rsidRPr="00FB27C3" w:rsidRDefault="00FD1236"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1.2. Libre Inversión</w:t>
            </w:r>
          </w:p>
        </w:tc>
        <w:tc>
          <w:tcPr>
            <w:tcW w:w="1808" w:type="dxa"/>
            <w:shd w:val="clear" w:color="auto" w:fill="auto"/>
            <w:noWrap/>
            <w:vAlign w:val="center"/>
            <w:hideMark/>
          </w:tcPr>
          <w:p w14:paraId="68B1E10A"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$1.491.664.169</w:t>
            </w:r>
          </w:p>
        </w:tc>
        <w:tc>
          <w:tcPr>
            <w:tcW w:w="1550" w:type="dxa"/>
            <w:shd w:val="clear" w:color="auto" w:fill="auto"/>
            <w:vAlign w:val="center"/>
            <w:hideMark/>
          </w:tcPr>
          <w:p w14:paraId="0B13192C"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$429.737.630</w:t>
            </w:r>
          </w:p>
        </w:tc>
        <w:tc>
          <w:tcPr>
            <w:tcW w:w="1217" w:type="dxa"/>
            <w:shd w:val="clear" w:color="auto" w:fill="auto"/>
            <w:noWrap/>
            <w:vAlign w:val="center"/>
            <w:hideMark/>
          </w:tcPr>
          <w:p w14:paraId="76B96CF8"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29</w:t>
            </w:r>
          </w:p>
        </w:tc>
        <w:tc>
          <w:tcPr>
            <w:tcW w:w="1652" w:type="dxa"/>
            <w:shd w:val="clear" w:color="auto" w:fill="auto"/>
            <w:noWrap/>
            <w:vAlign w:val="center"/>
            <w:hideMark/>
          </w:tcPr>
          <w:p w14:paraId="42966AF1"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$1.061.926.539</w:t>
            </w:r>
          </w:p>
        </w:tc>
      </w:tr>
      <w:tr w:rsidR="00FD1236" w:rsidRPr="003E0E9F" w14:paraId="34B8A707" w14:textId="77777777" w:rsidTr="000569EC">
        <w:trPr>
          <w:trHeight w:val="114"/>
          <w:jc w:val="center"/>
        </w:trPr>
        <w:tc>
          <w:tcPr>
            <w:tcW w:w="2385" w:type="dxa"/>
            <w:shd w:val="clear" w:color="auto" w:fill="auto"/>
            <w:noWrap/>
            <w:vAlign w:val="center"/>
            <w:hideMark/>
          </w:tcPr>
          <w:p w14:paraId="2B357FA4" w14:textId="77777777" w:rsidR="00FD1236" w:rsidRPr="00FB27C3" w:rsidRDefault="00FD1236"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1.3. Deporte y Recreación</w:t>
            </w:r>
          </w:p>
        </w:tc>
        <w:tc>
          <w:tcPr>
            <w:tcW w:w="1808" w:type="dxa"/>
            <w:shd w:val="clear" w:color="auto" w:fill="auto"/>
            <w:noWrap/>
            <w:vAlign w:val="center"/>
            <w:hideMark/>
          </w:tcPr>
          <w:p w14:paraId="3E6E718C"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$43.192.391</w:t>
            </w:r>
          </w:p>
        </w:tc>
        <w:tc>
          <w:tcPr>
            <w:tcW w:w="1550" w:type="dxa"/>
            <w:shd w:val="clear" w:color="auto" w:fill="auto"/>
            <w:noWrap/>
            <w:vAlign w:val="center"/>
            <w:hideMark/>
          </w:tcPr>
          <w:p w14:paraId="2E06DFD4"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$102.310.000</w:t>
            </w:r>
          </w:p>
        </w:tc>
        <w:tc>
          <w:tcPr>
            <w:tcW w:w="1217" w:type="dxa"/>
            <w:shd w:val="clear" w:color="auto" w:fill="auto"/>
            <w:noWrap/>
            <w:vAlign w:val="center"/>
            <w:hideMark/>
          </w:tcPr>
          <w:p w14:paraId="58C584EE"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w:t>
            </w:r>
          </w:p>
        </w:tc>
        <w:tc>
          <w:tcPr>
            <w:tcW w:w="1652" w:type="dxa"/>
            <w:shd w:val="clear" w:color="auto" w:fill="auto"/>
            <w:noWrap/>
            <w:vAlign w:val="center"/>
            <w:hideMark/>
          </w:tcPr>
          <w:p w14:paraId="2C899227"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FF0000"/>
                <w:sz w:val="18"/>
                <w:szCs w:val="18"/>
                <w:lang w:val="es-CO" w:eastAsia="es-CO"/>
              </w:rPr>
              <w:t>-$59.117.609</w:t>
            </w:r>
          </w:p>
        </w:tc>
      </w:tr>
      <w:tr w:rsidR="00FD1236" w:rsidRPr="003E0E9F" w14:paraId="10F6D959" w14:textId="77777777" w:rsidTr="000569EC">
        <w:trPr>
          <w:trHeight w:val="114"/>
          <w:jc w:val="center"/>
        </w:trPr>
        <w:tc>
          <w:tcPr>
            <w:tcW w:w="2385" w:type="dxa"/>
            <w:shd w:val="clear" w:color="auto" w:fill="auto"/>
            <w:noWrap/>
            <w:vAlign w:val="center"/>
            <w:hideMark/>
          </w:tcPr>
          <w:p w14:paraId="2AEC8E9C" w14:textId="77777777" w:rsidR="00FD1236" w:rsidRPr="00FB27C3" w:rsidRDefault="00FD1236"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1.4. Cultura</w:t>
            </w:r>
          </w:p>
        </w:tc>
        <w:tc>
          <w:tcPr>
            <w:tcW w:w="1808" w:type="dxa"/>
            <w:shd w:val="clear" w:color="auto" w:fill="auto"/>
            <w:noWrap/>
            <w:vAlign w:val="center"/>
            <w:hideMark/>
          </w:tcPr>
          <w:p w14:paraId="5027D30F"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$32.327.680</w:t>
            </w:r>
          </w:p>
        </w:tc>
        <w:tc>
          <w:tcPr>
            <w:tcW w:w="1550" w:type="dxa"/>
            <w:shd w:val="clear" w:color="auto" w:fill="auto"/>
            <w:noWrap/>
            <w:vAlign w:val="center"/>
            <w:hideMark/>
          </w:tcPr>
          <w:p w14:paraId="22D8BEDE"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$50.450.000</w:t>
            </w:r>
          </w:p>
        </w:tc>
        <w:tc>
          <w:tcPr>
            <w:tcW w:w="1217" w:type="dxa"/>
            <w:shd w:val="clear" w:color="auto" w:fill="auto"/>
            <w:noWrap/>
            <w:vAlign w:val="center"/>
            <w:hideMark/>
          </w:tcPr>
          <w:p w14:paraId="701F0B02"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w:t>
            </w:r>
          </w:p>
        </w:tc>
        <w:tc>
          <w:tcPr>
            <w:tcW w:w="1652" w:type="dxa"/>
            <w:shd w:val="clear" w:color="auto" w:fill="auto"/>
            <w:noWrap/>
            <w:vAlign w:val="center"/>
            <w:hideMark/>
          </w:tcPr>
          <w:p w14:paraId="71F64D0D" w14:textId="77777777" w:rsidR="00FD1236" w:rsidRPr="00FB27C3" w:rsidRDefault="00FD123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FF0000"/>
                <w:sz w:val="18"/>
                <w:szCs w:val="18"/>
                <w:lang w:val="es-CO" w:eastAsia="es-CO"/>
              </w:rPr>
              <w:t>-$18.122.320</w:t>
            </w:r>
          </w:p>
        </w:tc>
      </w:tr>
    </w:tbl>
    <w:p w14:paraId="68FCD4EA" w14:textId="77777777" w:rsidR="00C16E4B" w:rsidRPr="00FB27C3" w:rsidRDefault="00C16E4B" w:rsidP="00286F4A">
      <w:pPr>
        <w:spacing w:line="240" w:lineRule="auto"/>
        <w:contextualSpacing/>
        <w:jc w:val="center"/>
        <w:rPr>
          <w:rFonts w:eastAsia="Arial" w:cs="Arial"/>
          <w:sz w:val="16"/>
          <w:szCs w:val="16"/>
        </w:rPr>
      </w:pPr>
      <w:r w:rsidRPr="00FB27C3">
        <w:rPr>
          <w:rFonts w:eastAsia="Arial" w:cs="Arial"/>
          <w:b/>
          <w:bCs/>
          <w:sz w:val="16"/>
          <w:szCs w:val="16"/>
        </w:rPr>
        <w:t>Fuente:</w:t>
      </w:r>
      <w:r w:rsidRPr="00FB27C3">
        <w:rPr>
          <w:rFonts w:eastAsia="Arial" w:cs="Arial"/>
          <w:sz w:val="16"/>
          <w:szCs w:val="16"/>
        </w:rPr>
        <w:t xml:space="preserve"> Elaboración DAF con base en la información entregada por el Municipio.</w:t>
      </w:r>
    </w:p>
    <w:p w14:paraId="46810DF1" w14:textId="77777777" w:rsidR="00C16E4B" w:rsidRDefault="00C16E4B">
      <w:pPr>
        <w:spacing w:line="240" w:lineRule="auto"/>
        <w:contextualSpacing/>
        <w:jc w:val="both"/>
        <w:rPr>
          <w:rFonts w:eastAsia="Arial" w:cs="Arial"/>
          <w:color w:val="000000" w:themeColor="text1"/>
        </w:rPr>
      </w:pPr>
    </w:p>
    <w:p w14:paraId="6000B6D5" w14:textId="77777777" w:rsidR="005C17D3" w:rsidRDefault="00BF02DD">
      <w:pPr>
        <w:spacing w:line="240" w:lineRule="auto"/>
        <w:contextualSpacing/>
        <w:rPr>
          <w:b/>
          <w:bCs/>
        </w:rPr>
      </w:pPr>
      <w:r>
        <w:rPr>
          <w:b/>
          <w:bCs/>
        </w:rPr>
        <w:t>Vigencia 2020</w:t>
      </w:r>
    </w:p>
    <w:p w14:paraId="1672F2E1" w14:textId="77777777" w:rsidR="001E0C42" w:rsidRDefault="001E0C42">
      <w:pPr>
        <w:spacing w:line="240" w:lineRule="auto"/>
        <w:contextualSpacing/>
        <w:jc w:val="both"/>
      </w:pPr>
    </w:p>
    <w:p w14:paraId="52DC71FC" w14:textId="77777777" w:rsidR="00AB3B7A" w:rsidRDefault="00AB3B7A">
      <w:pPr>
        <w:spacing w:line="240" w:lineRule="auto"/>
        <w:contextualSpacing/>
        <w:jc w:val="both"/>
      </w:pPr>
      <w:r>
        <w:t>En 2020</w:t>
      </w:r>
      <w:r w:rsidR="005C17D3">
        <w:t xml:space="preserve"> el </w:t>
      </w:r>
      <w:r w:rsidR="001E0C42">
        <w:t>M</w:t>
      </w:r>
      <w:r w:rsidR="005C17D3">
        <w:t xml:space="preserve">unicipio remitió la relación contractual con menos contratos de las </w:t>
      </w:r>
      <w:r w:rsidR="001E0C42">
        <w:t>tres (</w:t>
      </w:r>
      <w:r w:rsidR="005C17D3">
        <w:t>3</w:t>
      </w:r>
      <w:r w:rsidR="001E0C42">
        <w:t>)</w:t>
      </w:r>
      <w:r w:rsidR="005C17D3">
        <w:t xml:space="preserve"> vigencias analizadas. A pesar de esta situación, se sigue manteniendo una diferencia significativa</w:t>
      </w:r>
      <w:r w:rsidR="00DF676E">
        <w:t xml:space="preserve"> de $</w:t>
      </w:r>
      <w:r w:rsidR="00DF676E" w:rsidRPr="00DF676E">
        <w:t>1.560.551.984</w:t>
      </w:r>
      <w:r w:rsidR="005C17D3">
        <w:t xml:space="preserve"> entre el monto de los contratos </w:t>
      </w:r>
      <w:r w:rsidR="008F0265">
        <w:t>relacionados y los compromisos de las ejecuciones presupuestales</w:t>
      </w:r>
      <w:r w:rsidR="00716675">
        <w:t>.</w:t>
      </w:r>
      <w:r w:rsidR="005C17D3">
        <w:t xml:space="preserve"> </w:t>
      </w:r>
      <w:r w:rsidR="00D44D78">
        <w:t>Las mayores diferencias se encuentran en los contratos</w:t>
      </w:r>
      <w:r w:rsidR="00D8361B">
        <w:t xml:space="preserve"> financiados con Libre Destinación y Libre Inversión</w:t>
      </w:r>
      <w:r w:rsidR="005949E5">
        <w:t>;</w:t>
      </w:r>
      <w:r w:rsidR="00D8361B">
        <w:t xml:space="preserve"> en cuanto a Deporte y Cultura, se evidencia una reducción de la diferencia y ya no se presentan valores negativos</w:t>
      </w:r>
      <w:r w:rsidR="004B464A">
        <w:t xml:space="preserve"> como en las vigencias anteriores.</w:t>
      </w:r>
      <w:r w:rsidR="003521AE">
        <w:t xml:space="preserve"> </w:t>
      </w:r>
      <w:r w:rsidR="005949E5">
        <w:t>E</w:t>
      </w:r>
      <w:r w:rsidR="003521AE">
        <w:t xml:space="preserve">n el </w:t>
      </w:r>
      <w:r w:rsidR="001E0C42">
        <w:t>S</w:t>
      </w:r>
      <w:r w:rsidR="003521AE">
        <w:t xml:space="preserve">ector de Cultura se remitieron </w:t>
      </w:r>
      <w:r w:rsidR="001E0C42">
        <w:t>dos (</w:t>
      </w:r>
      <w:r w:rsidR="003521AE">
        <w:t>2</w:t>
      </w:r>
      <w:r w:rsidR="001E0C42">
        <w:t>)</w:t>
      </w:r>
      <w:r w:rsidR="003521AE">
        <w:t xml:space="preserve"> contratos únicamente, los cuales representan el </w:t>
      </w:r>
      <w:r w:rsidR="0042408D">
        <w:t>90</w:t>
      </w:r>
      <w:r w:rsidR="001E0C42">
        <w:t xml:space="preserve"> </w:t>
      </w:r>
      <w:r w:rsidR="0042408D">
        <w:t>% de los compromisos en ese año.</w:t>
      </w:r>
      <w:r w:rsidR="00D8361B">
        <w:t xml:space="preserve"> </w:t>
      </w:r>
      <w:r w:rsidR="005C17D3">
        <w:t xml:space="preserve">En esta vigencia </w:t>
      </w:r>
      <w:r>
        <w:t>el 75</w:t>
      </w:r>
      <w:r w:rsidR="001E0C42">
        <w:t xml:space="preserve"> </w:t>
      </w:r>
      <w:r>
        <w:t>% de los contratos son de contratación directa y el porcentaje restante se distribuye entre selección abreviada – mínima cuantía y</w:t>
      </w:r>
      <w:r w:rsidR="00054367">
        <w:t xml:space="preserve"> otros que se clasifican como de </w:t>
      </w:r>
      <w:r>
        <w:t>suministro.</w:t>
      </w:r>
    </w:p>
    <w:p w14:paraId="6E0DBEFD" w14:textId="77777777" w:rsidR="001E0C42" w:rsidRPr="005C17D3" w:rsidRDefault="001E0C42">
      <w:pPr>
        <w:spacing w:line="240" w:lineRule="auto"/>
        <w:contextualSpacing/>
        <w:jc w:val="both"/>
        <w:rPr>
          <w:b/>
          <w:bCs/>
        </w:rPr>
      </w:pPr>
    </w:p>
    <w:p w14:paraId="2064E613" w14:textId="77777777" w:rsidR="00C16E4B" w:rsidRPr="005370C5" w:rsidRDefault="00C16E4B">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sidR="00D64481">
        <w:rPr>
          <w:rFonts w:eastAsia="Arial" w:cs="Arial"/>
          <w:b/>
          <w:bCs/>
          <w:sz w:val="20"/>
          <w:szCs w:val="20"/>
        </w:rPr>
        <w:t>1</w:t>
      </w:r>
      <w:r w:rsidR="00207690">
        <w:rPr>
          <w:rFonts w:eastAsia="Arial" w:cs="Arial"/>
          <w:b/>
          <w:bCs/>
          <w:sz w:val="20"/>
          <w:szCs w:val="20"/>
        </w:rPr>
        <w:t>2</w:t>
      </w:r>
    </w:p>
    <w:p w14:paraId="59DB2B9C" w14:textId="77777777" w:rsidR="00C16E4B" w:rsidRDefault="00C16E4B">
      <w:pPr>
        <w:spacing w:after="0" w:line="240" w:lineRule="auto"/>
        <w:contextualSpacing/>
        <w:jc w:val="center"/>
        <w:rPr>
          <w:rFonts w:eastAsia="Arial" w:cs="Arial"/>
          <w:sz w:val="20"/>
          <w:szCs w:val="20"/>
        </w:rPr>
      </w:pPr>
      <w:r w:rsidRPr="005370C5">
        <w:rPr>
          <w:rFonts w:eastAsia="Arial" w:cs="Arial"/>
          <w:sz w:val="20"/>
          <w:szCs w:val="20"/>
        </w:rPr>
        <w:t xml:space="preserve">Comparativo </w:t>
      </w:r>
      <w:r>
        <w:rPr>
          <w:rFonts w:eastAsia="Arial" w:cs="Arial"/>
          <w:sz w:val="20"/>
          <w:szCs w:val="20"/>
        </w:rPr>
        <w:t xml:space="preserve">de </w:t>
      </w:r>
      <w:r w:rsidRPr="005370C5">
        <w:rPr>
          <w:rFonts w:eastAsia="Arial" w:cs="Arial"/>
          <w:sz w:val="20"/>
          <w:szCs w:val="20"/>
        </w:rPr>
        <w:t xml:space="preserve">contratos </w:t>
      </w:r>
      <w:r>
        <w:rPr>
          <w:rFonts w:eastAsia="Arial" w:cs="Arial"/>
          <w:sz w:val="20"/>
          <w:szCs w:val="20"/>
        </w:rPr>
        <w:t>y compromisos vigencia 2020</w:t>
      </w:r>
    </w:p>
    <w:p w14:paraId="4824EF2A" w14:textId="77777777" w:rsidR="00C16E4B" w:rsidRPr="00C16E4B" w:rsidRDefault="00C16E4B">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8"/>
        <w:gridCol w:w="1774"/>
        <w:gridCol w:w="1611"/>
        <w:gridCol w:w="1194"/>
        <w:gridCol w:w="1612"/>
      </w:tblGrid>
      <w:tr w:rsidR="0057315C" w:rsidRPr="00205D38" w14:paraId="04939623" w14:textId="77777777" w:rsidTr="000569EC">
        <w:trPr>
          <w:trHeight w:val="167"/>
        </w:trPr>
        <w:tc>
          <w:tcPr>
            <w:tcW w:w="8529" w:type="dxa"/>
            <w:gridSpan w:val="5"/>
            <w:shd w:val="clear" w:color="000000" w:fill="666699"/>
            <w:noWrap/>
            <w:vAlign w:val="center"/>
            <w:hideMark/>
          </w:tcPr>
          <w:p w14:paraId="4BF802E3" w14:textId="77777777" w:rsidR="0057315C" w:rsidRPr="00FB27C3" w:rsidRDefault="0057315C">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Sector Propósito General </w:t>
            </w:r>
          </w:p>
        </w:tc>
      </w:tr>
      <w:tr w:rsidR="0057315C" w:rsidRPr="00205D38" w14:paraId="61288375" w14:textId="77777777" w:rsidTr="000569EC">
        <w:trPr>
          <w:trHeight w:val="314"/>
        </w:trPr>
        <w:tc>
          <w:tcPr>
            <w:tcW w:w="2338" w:type="dxa"/>
            <w:vMerge w:val="restart"/>
            <w:shd w:val="clear" w:color="000000" w:fill="666699"/>
            <w:vAlign w:val="center"/>
            <w:hideMark/>
          </w:tcPr>
          <w:p w14:paraId="2CF35DC2" w14:textId="77777777" w:rsidR="0057315C" w:rsidRPr="00FB27C3" w:rsidRDefault="0057315C"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Destinaciones</w:t>
            </w:r>
          </w:p>
        </w:tc>
        <w:tc>
          <w:tcPr>
            <w:tcW w:w="1774" w:type="dxa"/>
            <w:shd w:val="clear" w:color="000000" w:fill="666699"/>
            <w:vAlign w:val="center"/>
            <w:hideMark/>
          </w:tcPr>
          <w:p w14:paraId="0F60B94A" w14:textId="77777777" w:rsidR="0057315C" w:rsidRPr="00FB27C3" w:rsidRDefault="0057315C">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Comprometido</w:t>
            </w:r>
          </w:p>
        </w:tc>
        <w:tc>
          <w:tcPr>
            <w:tcW w:w="1611" w:type="dxa"/>
            <w:shd w:val="clear" w:color="000000" w:fill="666699"/>
            <w:vAlign w:val="center"/>
            <w:hideMark/>
          </w:tcPr>
          <w:p w14:paraId="0CB10F3F" w14:textId="77777777" w:rsidR="0057315C" w:rsidRPr="00FB27C3" w:rsidRDefault="0057315C">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 Relación de Contratos</w:t>
            </w:r>
          </w:p>
        </w:tc>
        <w:tc>
          <w:tcPr>
            <w:tcW w:w="1194" w:type="dxa"/>
            <w:shd w:val="clear" w:color="000000" w:fill="666699"/>
            <w:vAlign w:val="center"/>
            <w:hideMark/>
          </w:tcPr>
          <w:p w14:paraId="7FA2A2AC" w14:textId="77777777" w:rsidR="0057315C" w:rsidRPr="00FB27C3" w:rsidRDefault="0057315C">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N</w:t>
            </w:r>
            <w:r w:rsidR="00850731" w:rsidRPr="00FB27C3">
              <w:rPr>
                <w:rFonts w:eastAsia="Times New Roman" w:cs="Arial"/>
                <w:b/>
                <w:bCs/>
                <w:color w:val="FFFFFF"/>
                <w:sz w:val="18"/>
                <w:szCs w:val="18"/>
                <w:lang w:val="es-CO" w:eastAsia="es-CO"/>
              </w:rPr>
              <w:t>° de</w:t>
            </w:r>
            <w:r w:rsidRPr="00FB27C3">
              <w:rPr>
                <w:rFonts w:eastAsia="Times New Roman" w:cs="Arial"/>
                <w:b/>
                <w:bCs/>
                <w:color w:val="FFFFFF"/>
                <w:sz w:val="18"/>
                <w:szCs w:val="18"/>
                <w:lang w:val="es-CO" w:eastAsia="es-CO"/>
              </w:rPr>
              <w:t xml:space="preserve"> contratos</w:t>
            </w:r>
          </w:p>
        </w:tc>
        <w:tc>
          <w:tcPr>
            <w:tcW w:w="1612" w:type="dxa"/>
            <w:shd w:val="clear" w:color="000000" w:fill="666699"/>
            <w:vAlign w:val="center"/>
            <w:hideMark/>
          </w:tcPr>
          <w:p w14:paraId="1D47A8EE" w14:textId="77777777" w:rsidR="0057315C" w:rsidRPr="00FB27C3" w:rsidRDefault="0057315C">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Diferencia</w:t>
            </w:r>
          </w:p>
        </w:tc>
      </w:tr>
      <w:tr w:rsidR="0057315C" w:rsidRPr="00205D38" w14:paraId="1F37B98B" w14:textId="77777777" w:rsidTr="000569EC">
        <w:trPr>
          <w:trHeight w:val="167"/>
        </w:trPr>
        <w:tc>
          <w:tcPr>
            <w:tcW w:w="2338" w:type="dxa"/>
            <w:vMerge/>
            <w:vAlign w:val="center"/>
            <w:hideMark/>
          </w:tcPr>
          <w:p w14:paraId="6A4806E7" w14:textId="77777777" w:rsidR="0057315C" w:rsidRPr="00FB27C3" w:rsidRDefault="0057315C">
            <w:pPr>
              <w:spacing w:after="0" w:line="240" w:lineRule="auto"/>
              <w:contextualSpacing/>
              <w:rPr>
                <w:rFonts w:eastAsia="Times New Roman" w:cs="Arial"/>
                <w:b/>
                <w:bCs/>
                <w:color w:val="FFFFFF"/>
                <w:sz w:val="18"/>
                <w:szCs w:val="18"/>
                <w:lang w:val="es-CO" w:eastAsia="es-CO"/>
              </w:rPr>
            </w:pPr>
          </w:p>
        </w:tc>
        <w:tc>
          <w:tcPr>
            <w:tcW w:w="1774" w:type="dxa"/>
            <w:shd w:val="clear" w:color="000000" w:fill="CCCCFF"/>
            <w:vAlign w:val="center"/>
            <w:hideMark/>
          </w:tcPr>
          <w:p w14:paraId="683DBF3B" w14:textId="77777777" w:rsidR="0057315C" w:rsidRPr="00FB27C3" w:rsidRDefault="0057315C">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$2.632.015.716</w:t>
            </w:r>
          </w:p>
        </w:tc>
        <w:tc>
          <w:tcPr>
            <w:tcW w:w="1611" w:type="dxa"/>
            <w:shd w:val="clear" w:color="000000" w:fill="CCCCFF"/>
            <w:vAlign w:val="center"/>
            <w:hideMark/>
          </w:tcPr>
          <w:p w14:paraId="23DE292E" w14:textId="77777777" w:rsidR="0057315C" w:rsidRPr="00FB27C3" w:rsidRDefault="0057315C">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$1.071.463.732</w:t>
            </w:r>
          </w:p>
        </w:tc>
        <w:tc>
          <w:tcPr>
            <w:tcW w:w="1194" w:type="dxa"/>
            <w:shd w:val="clear" w:color="000000" w:fill="CCCCFF"/>
            <w:vAlign w:val="center"/>
            <w:hideMark/>
          </w:tcPr>
          <w:p w14:paraId="1CDE8F06" w14:textId="77777777" w:rsidR="0057315C" w:rsidRPr="00FB27C3" w:rsidRDefault="0057315C">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54</w:t>
            </w:r>
          </w:p>
        </w:tc>
        <w:tc>
          <w:tcPr>
            <w:tcW w:w="1612" w:type="dxa"/>
            <w:shd w:val="clear" w:color="000000" w:fill="CCCCFF"/>
            <w:vAlign w:val="center"/>
            <w:hideMark/>
          </w:tcPr>
          <w:p w14:paraId="21218D55" w14:textId="77777777" w:rsidR="0057315C" w:rsidRPr="00FB27C3" w:rsidRDefault="0057315C">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$1.560.551.984</w:t>
            </w:r>
          </w:p>
        </w:tc>
      </w:tr>
      <w:tr w:rsidR="0057315C" w:rsidRPr="00205D38" w14:paraId="4BA5A3A5" w14:textId="77777777" w:rsidTr="000569EC">
        <w:trPr>
          <w:trHeight w:val="167"/>
        </w:trPr>
        <w:tc>
          <w:tcPr>
            <w:tcW w:w="2338" w:type="dxa"/>
            <w:shd w:val="clear" w:color="auto" w:fill="auto"/>
            <w:noWrap/>
            <w:vAlign w:val="center"/>
            <w:hideMark/>
          </w:tcPr>
          <w:p w14:paraId="37D5BDCC" w14:textId="77777777" w:rsidR="0057315C" w:rsidRPr="00FB27C3" w:rsidRDefault="0057315C"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1.1 Libre Destinación </w:t>
            </w:r>
          </w:p>
        </w:tc>
        <w:tc>
          <w:tcPr>
            <w:tcW w:w="1774" w:type="dxa"/>
            <w:shd w:val="clear" w:color="auto" w:fill="auto"/>
            <w:noWrap/>
            <w:vAlign w:val="center"/>
            <w:hideMark/>
          </w:tcPr>
          <w:p w14:paraId="1DDF0CB5"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$1.082.264.487</w:t>
            </w:r>
          </w:p>
        </w:tc>
        <w:tc>
          <w:tcPr>
            <w:tcW w:w="1611" w:type="dxa"/>
            <w:shd w:val="clear" w:color="auto" w:fill="auto"/>
            <w:noWrap/>
            <w:vAlign w:val="center"/>
            <w:hideMark/>
          </w:tcPr>
          <w:p w14:paraId="10F74E2E"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$65.630.732</w:t>
            </w:r>
          </w:p>
        </w:tc>
        <w:tc>
          <w:tcPr>
            <w:tcW w:w="1194" w:type="dxa"/>
            <w:shd w:val="clear" w:color="auto" w:fill="auto"/>
            <w:noWrap/>
            <w:vAlign w:val="center"/>
            <w:hideMark/>
          </w:tcPr>
          <w:p w14:paraId="7A7EE6B1"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w:t>
            </w:r>
          </w:p>
        </w:tc>
        <w:tc>
          <w:tcPr>
            <w:tcW w:w="1612" w:type="dxa"/>
            <w:shd w:val="clear" w:color="auto" w:fill="auto"/>
            <w:noWrap/>
            <w:vAlign w:val="center"/>
            <w:hideMark/>
          </w:tcPr>
          <w:p w14:paraId="7165060A"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$1.016.633.755</w:t>
            </w:r>
          </w:p>
        </w:tc>
      </w:tr>
      <w:tr w:rsidR="0057315C" w:rsidRPr="00205D38" w14:paraId="69CD100B" w14:textId="77777777" w:rsidTr="000569EC">
        <w:trPr>
          <w:trHeight w:val="167"/>
        </w:trPr>
        <w:tc>
          <w:tcPr>
            <w:tcW w:w="2338" w:type="dxa"/>
            <w:shd w:val="clear" w:color="auto" w:fill="auto"/>
            <w:noWrap/>
            <w:vAlign w:val="center"/>
            <w:hideMark/>
          </w:tcPr>
          <w:p w14:paraId="2C83CE14" w14:textId="77777777" w:rsidR="0057315C" w:rsidRPr="00FB27C3" w:rsidRDefault="0057315C"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1.2. Libre Inversión</w:t>
            </w:r>
          </w:p>
        </w:tc>
        <w:tc>
          <w:tcPr>
            <w:tcW w:w="1774" w:type="dxa"/>
            <w:shd w:val="clear" w:color="auto" w:fill="auto"/>
            <w:noWrap/>
            <w:vAlign w:val="center"/>
            <w:hideMark/>
          </w:tcPr>
          <w:p w14:paraId="5785A6A3"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$1.393.449.720</w:t>
            </w:r>
          </w:p>
        </w:tc>
        <w:tc>
          <w:tcPr>
            <w:tcW w:w="1611" w:type="dxa"/>
            <w:shd w:val="clear" w:color="auto" w:fill="auto"/>
            <w:vAlign w:val="center"/>
            <w:hideMark/>
          </w:tcPr>
          <w:p w14:paraId="3D569F18"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$881.517.000</w:t>
            </w:r>
          </w:p>
        </w:tc>
        <w:tc>
          <w:tcPr>
            <w:tcW w:w="1194" w:type="dxa"/>
            <w:shd w:val="clear" w:color="auto" w:fill="auto"/>
            <w:noWrap/>
            <w:vAlign w:val="center"/>
            <w:hideMark/>
          </w:tcPr>
          <w:p w14:paraId="3F223A6E"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40</w:t>
            </w:r>
          </w:p>
        </w:tc>
        <w:tc>
          <w:tcPr>
            <w:tcW w:w="1612" w:type="dxa"/>
            <w:shd w:val="clear" w:color="auto" w:fill="auto"/>
            <w:noWrap/>
            <w:vAlign w:val="center"/>
            <w:hideMark/>
          </w:tcPr>
          <w:p w14:paraId="1F285838"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$511.932.720</w:t>
            </w:r>
          </w:p>
        </w:tc>
      </w:tr>
      <w:tr w:rsidR="0057315C" w:rsidRPr="00205D38" w14:paraId="0D52DE1C" w14:textId="77777777" w:rsidTr="000569EC">
        <w:trPr>
          <w:trHeight w:val="167"/>
        </w:trPr>
        <w:tc>
          <w:tcPr>
            <w:tcW w:w="2338" w:type="dxa"/>
            <w:shd w:val="clear" w:color="auto" w:fill="auto"/>
            <w:noWrap/>
            <w:vAlign w:val="center"/>
            <w:hideMark/>
          </w:tcPr>
          <w:p w14:paraId="7AED5C92" w14:textId="77777777" w:rsidR="0057315C" w:rsidRPr="00FB27C3" w:rsidRDefault="0057315C"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1.3. Deporte y Recreación</w:t>
            </w:r>
          </w:p>
        </w:tc>
        <w:tc>
          <w:tcPr>
            <w:tcW w:w="1774" w:type="dxa"/>
            <w:shd w:val="clear" w:color="auto" w:fill="auto"/>
            <w:noWrap/>
            <w:vAlign w:val="center"/>
            <w:hideMark/>
          </w:tcPr>
          <w:p w14:paraId="7F05406D"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$94.642.655</w:t>
            </w:r>
          </w:p>
        </w:tc>
        <w:tc>
          <w:tcPr>
            <w:tcW w:w="1611" w:type="dxa"/>
            <w:shd w:val="clear" w:color="auto" w:fill="auto"/>
            <w:noWrap/>
            <w:vAlign w:val="center"/>
            <w:hideMark/>
          </w:tcPr>
          <w:p w14:paraId="07858B50"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$69.316.000</w:t>
            </w:r>
          </w:p>
        </w:tc>
        <w:tc>
          <w:tcPr>
            <w:tcW w:w="1194" w:type="dxa"/>
            <w:shd w:val="clear" w:color="auto" w:fill="auto"/>
            <w:noWrap/>
            <w:vAlign w:val="center"/>
            <w:hideMark/>
          </w:tcPr>
          <w:p w14:paraId="293E3D54"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w:t>
            </w:r>
          </w:p>
        </w:tc>
        <w:tc>
          <w:tcPr>
            <w:tcW w:w="1612" w:type="dxa"/>
            <w:shd w:val="clear" w:color="auto" w:fill="auto"/>
            <w:noWrap/>
            <w:vAlign w:val="center"/>
            <w:hideMark/>
          </w:tcPr>
          <w:p w14:paraId="53C37B02"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$25.326.655</w:t>
            </w:r>
          </w:p>
        </w:tc>
      </w:tr>
      <w:tr w:rsidR="0057315C" w:rsidRPr="00205D38" w14:paraId="16024504" w14:textId="77777777" w:rsidTr="000569EC">
        <w:trPr>
          <w:trHeight w:val="167"/>
        </w:trPr>
        <w:tc>
          <w:tcPr>
            <w:tcW w:w="2338" w:type="dxa"/>
            <w:shd w:val="clear" w:color="auto" w:fill="auto"/>
            <w:noWrap/>
            <w:vAlign w:val="center"/>
            <w:hideMark/>
          </w:tcPr>
          <w:p w14:paraId="3F1F9E9B" w14:textId="77777777" w:rsidR="0057315C" w:rsidRPr="00FB27C3" w:rsidRDefault="0057315C"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1.4. Cultura</w:t>
            </w:r>
          </w:p>
        </w:tc>
        <w:tc>
          <w:tcPr>
            <w:tcW w:w="1774" w:type="dxa"/>
            <w:shd w:val="clear" w:color="auto" w:fill="auto"/>
            <w:noWrap/>
            <w:vAlign w:val="center"/>
            <w:hideMark/>
          </w:tcPr>
          <w:p w14:paraId="3B147042"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$61.658.854</w:t>
            </w:r>
          </w:p>
        </w:tc>
        <w:tc>
          <w:tcPr>
            <w:tcW w:w="1611" w:type="dxa"/>
            <w:shd w:val="clear" w:color="auto" w:fill="auto"/>
            <w:noWrap/>
            <w:vAlign w:val="center"/>
            <w:hideMark/>
          </w:tcPr>
          <w:p w14:paraId="1A23668D"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$55.000.000</w:t>
            </w:r>
          </w:p>
        </w:tc>
        <w:tc>
          <w:tcPr>
            <w:tcW w:w="1194" w:type="dxa"/>
            <w:shd w:val="clear" w:color="auto" w:fill="auto"/>
            <w:noWrap/>
            <w:vAlign w:val="center"/>
            <w:hideMark/>
          </w:tcPr>
          <w:p w14:paraId="5B21E924"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w:t>
            </w:r>
          </w:p>
        </w:tc>
        <w:tc>
          <w:tcPr>
            <w:tcW w:w="1612" w:type="dxa"/>
            <w:shd w:val="clear" w:color="auto" w:fill="auto"/>
            <w:noWrap/>
            <w:vAlign w:val="center"/>
            <w:hideMark/>
          </w:tcPr>
          <w:p w14:paraId="3EF9F394" w14:textId="77777777" w:rsidR="0057315C" w:rsidRPr="00FB27C3" w:rsidRDefault="0057315C">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$6.658.854</w:t>
            </w:r>
          </w:p>
        </w:tc>
      </w:tr>
    </w:tbl>
    <w:p w14:paraId="701E7288" w14:textId="77777777" w:rsidR="00C16E4B" w:rsidRPr="00FB27C3" w:rsidRDefault="00C16E4B" w:rsidP="00286F4A">
      <w:pPr>
        <w:spacing w:line="240" w:lineRule="auto"/>
        <w:contextualSpacing/>
        <w:jc w:val="center"/>
        <w:rPr>
          <w:rFonts w:eastAsia="Arial" w:cs="Arial"/>
          <w:sz w:val="16"/>
          <w:szCs w:val="16"/>
        </w:rPr>
      </w:pPr>
      <w:r w:rsidRPr="00FB27C3">
        <w:rPr>
          <w:rFonts w:eastAsia="Arial" w:cs="Arial"/>
          <w:b/>
          <w:bCs/>
          <w:sz w:val="16"/>
          <w:szCs w:val="16"/>
        </w:rPr>
        <w:t>Fuente:</w:t>
      </w:r>
      <w:r w:rsidRPr="00FB27C3">
        <w:rPr>
          <w:rFonts w:eastAsia="Arial" w:cs="Arial"/>
          <w:sz w:val="16"/>
          <w:szCs w:val="16"/>
        </w:rPr>
        <w:t xml:space="preserve"> Elaboración DAF con base en la información entregada por el Municipio.</w:t>
      </w:r>
    </w:p>
    <w:p w14:paraId="5B1CC191" w14:textId="77777777" w:rsidR="00C8546D" w:rsidRDefault="00C8546D">
      <w:pPr>
        <w:spacing w:line="240" w:lineRule="auto"/>
        <w:contextualSpacing/>
      </w:pPr>
    </w:p>
    <w:p w14:paraId="793AC2BF" w14:textId="77777777" w:rsidR="00812913" w:rsidRPr="00FB27C3" w:rsidRDefault="00812913">
      <w:pPr>
        <w:spacing w:line="240" w:lineRule="auto"/>
        <w:contextualSpacing/>
        <w:rPr>
          <w:b/>
          <w:bCs/>
        </w:rPr>
      </w:pPr>
      <w:r w:rsidRPr="00FB27C3">
        <w:rPr>
          <w:b/>
          <w:bCs/>
        </w:rPr>
        <w:t>Destinación de los recursos de la Participación de Propósito General</w:t>
      </w:r>
      <w:r w:rsidR="00305DCA">
        <w:rPr>
          <w:b/>
          <w:bCs/>
        </w:rPr>
        <w:t>.</w:t>
      </w:r>
    </w:p>
    <w:p w14:paraId="5E4E08E1" w14:textId="77777777" w:rsidR="00305DCA" w:rsidRDefault="00305DCA">
      <w:pPr>
        <w:spacing w:line="240" w:lineRule="auto"/>
        <w:contextualSpacing/>
      </w:pPr>
    </w:p>
    <w:p w14:paraId="72B7845D" w14:textId="77777777" w:rsidR="0079286A" w:rsidRDefault="00483AE7">
      <w:pPr>
        <w:spacing w:line="240" w:lineRule="auto"/>
        <w:contextualSpacing/>
      </w:pPr>
      <w:r>
        <w:t xml:space="preserve">En el análisis contractual de la </w:t>
      </w:r>
      <w:r w:rsidR="004E0739">
        <w:t xml:space="preserve">información remitida por el </w:t>
      </w:r>
      <w:r w:rsidR="00305DCA">
        <w:t>M</w:t>
      </w:r>
      <w:r w:rsidR="004E0739">
        <w:t>unicipio se identificaron las s</w:t>
      </w:r>
      <w:r w:rsidR="007C690C">
        <w:t>ituaciones que se destacan a continuación:</w:t>
      </w:r>
    </w:p>
    <w:p w14:paraId="055DE1D2" w14:textId="77777777" w:rsidR="00B6513B" w:rsidRDefault="00B6513B">
      <w:r>
        <w:br w:type="page"/>
      </w:r>
    </w:p>
    <w:p w14:paraId="7DACD67B" w14:textId="77777777" w:rsidR="007C2854" w:rsidRPr="005370C5" w:rsidRDefault="007C2854">
      <w:pPr>
        <w:spacing w:after="0" w:line="240" w:lineRule="auto"/>
        <w:contextualSpacing/>
        <w:jc w:val="center"/>
        <w:rPr>
          <w:rFonts w:eastAsia="Arial" w:cs="Arial"/>
          <w:b/>
          <w:bCs/>
          <w:sz w:val="20"/>
          <w:szCs w:val="20"/>
        </w:rPr>
      </w:pPr>
      <w:r w:rsidRPr="005370C5">
        <w:rPr>
          <w:rFonts w:eastAsia="Arial" w:cs="Arial"/>
          <w:b/>
          <w:bCs/>
          <w:sz w:val="20"/>
          <w:szCs w:val="20"/>
        </w:rPr>
        <w:lastRenderedPageBreak/>
        <w:t>Cuadro N</w:t>
      </w:r>
      <w:r>
        <w:rPr>
          <w:rFonts w:eastAsia="Arial" w:cs="Arial"/>
          <w:b/>
          <w:bCs/>
          <w:sz w:val="20"/>
          <w:szCs w:val="20"/>
        </w:rPr>
        <w:t>o.</w:t>
      </w:r>
      <w:r w:rsidRPr="005370C5">
        <w:rPr>
          <w:rFonts w:eastAsia="Arial" w:cs="Arial"/>
          <w:b/>
          <w:bCs/>
          <w:sz w:val="20"/>
          <w:szCs w:val="20"/>
        </w:rPr>
        <w:t xml:space="preserve"> </w:t>
      </w:r>
      <w:r w:rsidR="006C3703">
        <w:rPr>
          <w:rFonts w:eastAsia="Arial" w:cs="Arial"/>
          <w:b/>
          <w:bCs/>
          <w:sz w:val="20"/>
          <w:szCs w:val="20"/>
        </w:rPr>
        <w:t>1</w:t>
      </w:r>
      <w:r w:rsidR="00207690">
        <w:rPr>
          <w:rFonts w:eastAsia="Arial" w:cs="Arial"/>
          <w:b/>
          <w:bCs/>
          <w:sz w:val="20"/>
          <w:szCs w:val="20"/>
        </w:rPr>
        <w:t>3</w:t>
      </w:r>
    </w:p>
    <w:p w14:paraId="6AAD186E" w14:textId="77777777" w:rsidR="007C2854" w:rsidRDefault="007C2854">
      <w:pPr>
        <w:spacing w:after="0" w:line="240" w:lineRule="auto"/>
        <w:contextualSpacing/>
        <w:jc w:val="center"/>
        <w:rPr>
          <w:rFonts w:eastAsia="Arial" w:cs="Arial"/>
          <w:sz w:val="20"/>
          <w:szCs w:val="20"/>
        </w:rPr>
      </w:pPr>
      <w:r>
        <w:rPr>
          <w:rFonts w:eastAsia="Arial" w:cs="Arial"/>
          <w:sz w:val="20"/>
          <w:szCs w:val="20"/>
        </w:rPr>
        <w:t xml:space="preserve">Contratos </w:t>
      </w:r>
      <w:r w:rsidR="00A152CE">
        <w:rPr>
          <w:rFonts w:eastAsia="Arial" w:cs="Arial"/>
          <w:sz w:val="20"/>
          <w:szCs w:val="20"/>
        </w:rPr>
        <w:t>de funcionamiento en Deporte y Cultura</w:t>
      </w:r>
    </w:p>
    <w:p w14:paraId="0D8F1599" w14:textId="77777777" w:rsidR="007C2854" w:rsidRPr="00C16E4B" w:rsidRDefault="007C2854">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5000" w:type="pct"/>
        <w:jc w:val="center"/>
        <w:tblCellMar>
          <w:left w:w="70" w:type="dxa"/>
          <w:right w:w="70" w:type="dxa"/>
        </w:tblCellMar>
        <w:tblLook w:val="04A0" w:firstRow="1" w:lastRow="0" w:firstColumn="1" w:lastColumn="0" w:noHBand="0" w:noVBand="1"/>
      </w:tblPr>
      <w:tblGrid>
        <w:gridCol w:w="1278"/>
        <w:gridCol w:w="3353"/>
        <w:gridCol w:w="3863"/>
      </w:tblGrid>
      <w:tr w:rsidR="0079286A" w:rsidRPr="00205D38" w14:paraId="4A238C70" w14:textId="77777777" w:rsidTr="00FB27C3">
        <w:trPr>
          <w:trHeight w:val="276"/>
          <w:jc w:val="center"/>
        </w:trPr>
        <w:tc>
          <w:tcPr>
            <w:tcW w:w="752"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453C35B2" w14:textId="77777777" w:rsidR="0079286A" w:rsidRPr="00FB27C3" w:rsidRDefault="0079286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1974" w:type="pct"/>
            <w:tcBorders>
              <w:top w:val="single" w:sz="4" w:space="0" w:color="auto"/>
              <w:left w:val="nil"/>
              <w:bottom w:val="single" w:sz="4" w:space="0" w:color="auto"/>
              <w:right w:val="single" w:sz="4" w:space="0" w:color="auto"/>
            </w:tcBorders>
            <w:shd w:val="clear" w:color="000000" w:fill="CCCCFF"/>
            <w:vAlign w:val="center"/>
            <w:hideMark/>
          </w:tcPr>
          <w:p w14:paraId="31E4C076" w14:textId="77777777" w:rsidR="0079286A" w:rsidRPr="00FB27C3" w:rsidRDefault="0079286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CPS-022-2018</w:t>
            </w:r>
          </w:p>
        </w:tc>
        <w:tc>
          <w:tcPr>
            <w:tcW w:w="2274" w:type="pct"/>
            <w:tcBorders>
              <w:top w:val="single" w:sz="4" w:space="0" w:color="auto"/>
              <w:left w:val="nil"/>
              <w:bottom w:val="single" w:sz="4" w:space="0" w:color="auto"/>
              <w:right w:val="single" w:sz="4" w:space="0" w:color="auto"/>
            </w:tcBorders>
            <w:shd w:val="clear" w:color="000000" w:fill="666699"/>
            <w:vAlign w:val="center"/>
            <w:hideMark/>
          </w:tcPr>
          <w:p w14:paraId="2FB83DB1" w14:textId="77777777" w:rsidR="0079286A" w:rsidRPr="00FB27C3" w:rsidRDefault="0079286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79286A" w:rsidRPr="00205D38" w14:paraId="6838D02B" w14:textId="77777777" w:rsidTr="00FB27C3">
        <w:trPr>
          <w:trHeight w:val="1106"/>
          <w:jc w:val="center"/>
        </w:trPr>
        <w:tc>
          <w:tcPr>
            <w:tcW w:w="752" w:type="pct"/>
            <w:vMerge w:val="restart"/>
            <w:tcBorders>
              <w:top w:val="nil"/>
              <w:left w:val="single" w:sz="4" w:space="0" w:color="auto"/>
              <w:bottom w:val="single" w:sz="4" w:space="0" w:color="000000"/>
              <w:right w:val="single" w:sz="4" w:space="0" w:color="auto"/>
            </w:tcBorders>
            <w:shd w:val="clear" w:color="000000" w:fill="666699"/>
            <w:vAlign w:val="center"/>
            <w:hideMark/>
          </w:tcPr>
          <w:p w14:paraId="50CF760F" w14:textId="77777777" w:rsidR="0079286A" w:rsidRPr="00FB27C3" w:rsidRDefault="0079286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1974" w:type="pct"/>
            <w:vMerge w:val="restart"/>
            <w:tcBorders>
              <w:top w:val="nil"/>
              <w:left w:val="single" w:sz="4" w:space="0" w:color="auto"/>
              <w:bottom w:val="single" w:sz="4" w:space="0" w:color="000000"/>
              <w:right w:val="single" w:sz="4" w:space="0" w:color="auto"/>
            </w:tcBorders>
            <w:shd w:val="clear" w:color="auto" w:fill="auto"/>
            <w:vAlign w:val="center"/>
            <w:hideMark/>
          </w:tcPr>
          <w:p w14:paraId="41F10154" w14:textId="77777777" w:rsidR="0079286A" w:rsidRPr="00FB27C3" w:rsidRDefault="0079286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Prestación de servicios de apoyo a la gestión como coordinador de deportes municipal</w:t>
            </w:r>
          </w:p>
        </w:tc>
        <w:tc>
          <w:tcPr>
            <w:tcW w:w="2274" w:type="pct"/>
            <w:vMerge w:val="restart"/>
            <w:tcBorders>
              <w:top w:val="nil"/>
              <w:left w:val="single" w:sz="4" w:space="0" w:color="auto"/>
              <w:bottom w:val="single" w:sz="4" w:space="0" w:color="auto"/>
              <w:right w:val="single" w:sz="4" w:space="0" w:color="auto"/>
            </w:tcBorders>
            <w:shd w:val="clear" w:color="auto" w:fill="auto"/>
            <w:vAlign w:val="bottom"/>
            <w:hideMark/>
          </w:tcPr>
          <w:p w14:paraId="55CCD239"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Elaborar proyectos deportivos recreativos de infraestructura deportiva y recreación</w:t>
            </w:r>
            <w:r w:rsidR="00305DCA">
              <w:rPr>
                <w:rFonts w:eastAsia="Times New Roman" w:cs="Arial"/>
                <w:color w:val="000000"/>
                <w:sz w:val="18"/>
                <w:szCs w:val="18"/>
                <w:lang w:val="es-CO" w:eastAsia="es-CO"/>
              </w:rPr>
              <w:t>.</w:t>
            </w:r>
          </w:p>
          <w:p w14:paraId="2DA9C553"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Programar actividades que fomenten la buena utilización del tiempo libre</w:t>
            </w:r>
            <w:r w:rsidR="00305DCA">
              <w:rPr>
                <w:rFonts w:eastAsia="Times New Roman" w:cs="Arial"/>
                <w:color w:val="000000"/>
                <w:sz w:val="18"/>
                <w:szCs w:val="18"/>
                <w:lang w:val="es-CO" w:eastAsia="es-CO"/>
              </w:rPr>
              <w:t>.</w:t>
            </w:r>
          </w:p>
          <w:p w14:paraId="6503DB37"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Organizar y hacer seguimiento a las escuelas de formación en por lo menos cinco disciplinas del orden nacional</w:t>
            </w:r>
            <w:r w:rsidR="00305DCA">
              <w:rPr>
                <w:rFonts w:eastAsia="Times New Roman" w:cs="Arial"/>
                <w:color w:val="000000"/>
                <w:sz w:val="18"/>
                <w:szCs w:val="18"/>
                <w:lang w:val="es-CO" w:eastAsia="es-CO"/>
              </w:rPr>
              <w:t>.</w:t>
            </w:r>
          </w:p>
          <w:p w14:paraId="5FFDB38E"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4. Activar los comités de deporte y actividad física del </w:t>
            </w:r>
            <w:r w:rsidR="00305DCA" w:rsidRPr="00A77447">
              <w:rPr>
                <w:rFonts w:eastAsia="Times New Roman" w:cs="Arial"/>
                <w:color w:val="000000"/>
                <w:sz w:val="18"/>
                <w:szCs w:val="18"/>
                <w:lang w:val="es-CO" w:eastAsia="es-CO"/>
              </w:rPr>
              <w:t>Municipio</w:t>
            </w:r>
            <w:r w:rsidR="00305DCA">
              <w:rPr>
                <w:rFonts w:eastAsia="Times New Roman" w:cs="Arial"/>
                <w:color w:val="000000"/>
                <w:sz w:val="18"/>
                <w:szCs w:val="18"/>
                <w:lang w:val="es-CO" w:eastAsia="es-CO"/>
              </w:rPr>
              <w:t>.</w:t>
            </w:r>
          </w:p>
          <w:p w14:paraId="22DE41FA"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5. Desarrollar acciones formativas en las disciplinas de voleibol, baloncesto y atletismo en la escuela de formación deportiva</w:t>
            </w:r>
            <w:r w:rsidR="00305DCA">
              <w:rPr>
                <w:rFonts w:eastAsia="Times New Roman" w:cs="Arial"/>
                <w:color w:val="000000"/>
                <w:sz w:val="18"/>
                <w:szCs w:val="18"/>
                <w:lang w:val="es-CO" w:eastAsia="es-CO"/>
              </w:rPr>
              <w:t>.</w:t>
            </w:r>
          </w:p>
          <w:p w14:paraId="4395E32B" w14:textId="77777777" w:rsidR="0079286A" w:rsidRPr="00FB27C3"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6. Apoyar a la Secretaría de Educación, Cultura y Deporte </w:t>
            </w:r>
            <w:r w:rsidR="00305DCA" w:rsidRPr="00A77447">
              <w:rPr>
                <w:rFonts w:eastAsia="Times New Roman" w:cs="Arial"/>
                <w:color w:val="000000"/>
                <w:sz w:val="18"/>
                <w:szCs w:val="18"/>
                <w:lang w:val="es-CO" w:eastAsia="es-CO"/>
              </w:rPr>
              <w:t xml:space="preserve">Municipal </w:t>
            </w:r>
            <w:r w:rsidRPr="00FB27C3">
              <w:rPr>
                <w:rFonts w:eastAsia="Times New Roman" w:cs="Arial"/>
                <w:color w:val="000000"/>
                <w:sz w:val="18"/>
                <w:szCs w:val="18"/>
                <w:lang w:val="es-CO" w:eastAsia="es-CO"/>
              </w:rPr>
              <w:t xml:space="preserve">en lo concerniente a las actividades deportivas y recreativas que realice el </w:t>
            </w:r>
            <w:r w:rsidR="00305DCA" w:rsidRPr="00A77447">
              <w:rPr>
                <w:rFonts w:eastAsia="Times New Roman" w:cs="Arial"/>
                <w:color w:val="000000"/>
                <w:sz w:val="18"/>
                <w:szCs w:val="18"/>
                <w:lang w:val="es-CO" w:eastAsia="es-CO"/>
              </w:rPr>
              <w:t xml:space="preserve">Municipio </w:t>
            </w:r>
            <w:r w:rsidRPr="00FB27C3">
              <w:rPr>
                <w:rFonts w:eastAsia="Times New Roman" w:cs="Arial"/>
                <w:color w:val="000000"/>
                <w:sz w:val="18"/>
                <w:szCs w:val="18"/>
                <w:lang w:val="es-CO" w:eastAsia="es-CO"/>
              </w:rPr>
              <w:t xml:space="preserve">y la puesta en marcha del PDT </w:t>
            </w:r>
            <w:r w:rsidR="00305DCA" w:rsidRPr="00A77447">
              <w:rPr>
                <w:rFonts w:eastAsia="Times New Roman" w:cs="Arial"/>
                <w:color w:val="000000"/>
                <w:sz w:val="18"/>
                <w:szCs w:val="18"/>
                <w:lang w:val="es-CO" w:eastAsia="es-CO"/>
              </w:rPr>
              <w:t xml:space="preserve">Sector </w:t>
            </w:r>
            <w:r w:rsidR="00305DCA" w:rsidRPr="00205D38">
              <w:rPr>
                <w:rFonts w:eastAsia="Times New Roman" w:cs="Arial"/>
                <w:color w:val="000000"/>
                <w:sz w:val="18"/>
                <w:szCs w:val="18"/>
                <w:lang w:val="es-CO" w:eastAsia="es-CO"/>
              </w:rPr>
              <w:t xml:space="preserve">Deporte </w:t>
            </w:r>
            <w:r w:rsidRPr="00FB27C3">
              <w:rPr>
                <w:rFonts w:eastAsia="Times New Roman" w:cs="Arial"/>
                <w:color w:val="000000"/>
                <w:sz w:val="18"/>
                <w:szCs w:val="18"/>
                <w:lang w:val="es-CO" w:eastAsia="es-CO"/>
              </w:rPr>
              <w:t xml:space="preserve">y </w:t>
            </w:r>
            <w:r w:rsidR="00305DCA" w:rsidRPr="00A77447">
              <w:rPr>
                <w:rFonts w:eastAsia="Times New Roman" w:cs="Arial"/>
                <w:color w:val="000000"/>
                <w:sz w:val="18"/>
                <w:szCs w:val="18"/>
                <w:lang w:val="es-CO" w:eastAsia="es-CO"/>
              </w:rPr>
              <w:t>Recreación</w:t>
            </w:r>
            <w:r w:rsidR="00B00C77" w:rsidRPr="00FB27C3">
              <w:rPr>
                <w:rFonts w:eastAsia="Times New Roman" w:cs="Arial"/>
                <w:color w:val="000000"/>
                <w:sz w:val="18"/>
                <w:szCs w:val="18"/>
                <w:lang w:val="es-CO" w:eastAsia="es-CO"/>
              </w:rPr>
              <w:t>, entre otras.</w:t>
            </w:r>
          </w:p>
        </w:tc>
      </w:tr>
      <w:tr w:rsidR="0079286A" w:rsidRPr="00205D38" w14:paraId="63A27F8F" w14:textId="77777777" w:rsidTr="00FB27C3">
        <w:trPr>
          <w:trHeight w:val="996"/>
          <w:jc w:val="center"/>
        </w:trPr>
        <w:tc>
          <w:tcPr>
            <w:tcW w:w="752" w:type="pct"/>
            <w:vMerge/>
            <w:tcBorders>
              <w:top w:val="nil"/>
              <w:left w:val="single" w:sz="4" w:space="0" w:color="auto"/>
              <w:bottom w:val="single" w:sz="4" w:space="0" w:color="000000"/>
              <w:right w:val="single" w:sz="4" w:space="0" w:color="auto"/>
            </w:tcBorders>
            <w:vAlign w:val="center"/>
            <w:hideMark/>
          </w:tcPr>
          <w:p w14:paraId="669702DF" w14:textId="77777777" w:rsidR="0079286A" w:rsidRPr="00FB27C3" w:rsidRDefault="0079286A">
            <w:pPr>
              <w:spacing w:after="0" w:line="240" w:lineRule="auto"/>
              <w:contextualSpacing/>
              <w:rPr>
                <w:rFonts w:eastAsia="Times New Roman" w:cs="Arial"/>
                <w:b/>
                <w:bCs/>
                <w:color w:val="FFFFFF"/>
                <w:sz w:val="18"/>
                <w:szCs w:val="18"/>
                <w:lang w:val="es-CO" w:eastAsia="es-CO"/>
              </w:rPr>
            </w:pPr>
          </w:p>
        </w:tc>
        <w:tc>
          <w:tcPr>
            <w:tcW w:w="1974" w:type="pct"/>
            <w:vMerge/>
            <w:tcBorders>
              <w:top w:val="nil"/>
              <w:left w:val="single" w:sz="4" w:space="0" w:color="auto"/>
              <w:bottom w:val="single" w:sz="4" w:space="0" w:color="000000"/>
              <w:right w:val="single" w:sz="4" w:space="0" w:color="auto"/>
            </w:tcBorders>
            <w:vAlign w:val="center"/>
            <w:hideMark/>
          </w:tcPr>
          <w:p w14:paraId="4A560B83" w14:textId="77777777" w:rsidR="0079286A" w:rsidRPr="00FB27C3" w:rsidRDefault="0079286A">
            <w:pPr>
              <w:spacing w:after="0" w:line="240" w:lineRule="auto"/>
              <w:contextualSpacing/>
              <w:rPr>
                <w:rFonts w:eastAsia="Times New Roman" w:cs="Arial"/>
                <w:color w:val="000000"/>
                <w:sz w:val="18"/>
                <w:szCs w:val="18"/>
                <w:lang w:val="es-CO" w:eastAsia="es-CO"/>
              </w:rPr>
            </w:pPr>
          </w:p>
        </w:tc>
        <w:tc>
          <w:tcPr>
            <w:tcW w:w="2274" w:type="pct"/>
            <w:vMerge/>
            <w:tcBorders>
              <w:top w:val="nil"/>
              <w:left w:val="single" w:sz="4" w:space="0" w:color="auto"/>
              <w:bottom w:val="single" w:sz="4" w:space="0" w:color="auto"/>
              <w:right w:val="single" w:sz="4" w:space="0" w:color="auto"/>
            </w:tcBorders>
            <w:vAlign w:val="center"/>
            <w:hideMark/>
          </w:tcPr>
          <w:p w14:paraId="62048D02" w14:textId="77777777" w:rsidR="0079286A" w:rsidRPr="00FB27C3" w:rsidRDefault="0079286A">
            <w:pPr>
              <w:spacing w:after="0" w:line="240" w:lineRule="auto"/>
              <w:contextualSpacing/>
              <w:rPr>
                <w:rFonts w:eastAsia="Times New Roman" w:cs="Arial"/>
                <w:color w:val="000000"/>
                <w:sz w:val="18"/>
                <w:szCs w:val="18"/>
                <w:lang w:val="es-CO" w:eastAsia="es-CO"/>
              </w:rPr>
            </w:pPr>
          </w:p>
        </w:tc>
      </w:tr>
      <w:tr w:rsidR="0079286A" w:rsidRPr="00205D38" w14:paraId="2D3EE5A4" w14:textId="77777777" w:rsidTr="00FB27C3">
        <w:trPr>
          <w:trHeight w:val="525"/>
          <w:jc w:val="center"/>
        </w:trPr>
        <w:tc>
          <w:tcPr>
            <w:tcW w:w="752" w:type="pct"/>
            <w:tcBorders>
              <w:top w:val="nil"/>
              <w:left w:val="single" w:sz="4" w:space="0" w:color="auto"/>
              <w:bottom w:val="single" w:sz="4" w:space="0" w:color="auto"/>
              <w:right w:val="single" w:sz="4" w:space="0" w:color="auto"/>
            </w:tcBorders>
            <w:shd w:val="clear" w:color="000000" w:fill="666699"/>
            <w:vAlign w:val="center"/>
            <w:hideMark/>
          </w:tcPr>
          <w:p w14:paraId="6C047820" w14:textId="77777777" w:rsidR="0079286A" w:rsidRPr="00FB27C3" w:rsidRDefault="0079286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1974" w:type="pct"/>
            <w:tcBorders>
              <w:top w:val="nil"/>
              <w:left w:val="nil"/>
              <w:bottom w:val="single" w:sz="4" w:space="0" w:color="auto"/>
              <w:right w:val="single" w:sz="4" w:space="0" w:color="auto"/>
            </w:tcBorders>
            <w:shd w:val="clear" w:color="auto" w:fill="auto"/>
            <w:vAlign w:val="center"/>
            <w:hideMark/>
          </w:tcPr>
          <w:p w14:paraId="0281420A" w14:textId="77777777" w:rsidR="0079286A" w:rsidRPr="00FB27C3" w:rsidRDefault="00305DCA">
            <w:pPr>
              <w:spacing w:after="0" w:line="240" w:lineRule="auto"/>
              <w:contextualSpacing/>
              <w:jc w:val="center"/>
              <w:rPr>
                <w:rFonts w:eastAsia="Times New Roman" w:cs="Arial"/>
                <w:color w:val="000000"/>
                <w:sz w:val="18"/>
                <w:szCs w:val="18"/>
                <w:lang w:val="es-CO" w:eastAsia="es-CO"/>
              </w:rPr>
            </w:pPr>
            <w:r w:rsidRPr="00A77447">
              <w:rPr>
                <w:rFonts w:eastAsia="Times New Roman" w:cs="Arial"/>
                <w:color w:val="000000"/>
                <w:sz w:val="18"/>
                <w:szCs w:val="18"/>
                <w:lang w:val="es-CO" w:eastAsia="es-CO"/>
              </w:rPr>
              <w:t>Agustín</w:t>
            </w:r>
            <w:r w:rsidRPr="00205D38">
              <w:rPr>
                <w:rFonts w:eastAsia="Times New Roman" w:cs="Arial"/>
                <w:color w:val="000000"/>
                <w:sz w:val="18"/>
                <w:szCs w:val="18"/>
                <w:lang w:val="es-CO" w:eastAsia="es-CO"/>
              </w:rPr>
              <w:t xml:space="preserve"> Otaya Charry</w:t>
            </w:r>
          </w:p>
        </w:tc>
        <w:tc>
          <w:tcPr>
            <w:tcW w:w="2274" w:type="pct"/>
            <w:vMerge/>
            <w:tcBorders>
              <w:top w:val="nil"/>
              <w:left w:val="single" w:sz="4" w:space="0" w:color="auto"/>
              <w:bottom w:val="single" w:sz="4" w:space="0" w:color="auto"/>
              <w:right w:val="single" w:sz="4" w:space="0" w:color="auto"/>
            </w:tcBorders>
            <w:vAlign w:val="center"/>
            <w:hideMark/>
          </w:tcPr>
          <w:p w14:paraId="33CF2804" w14:textId="77777777" w:rsidR="0079286A" w:rsidRPr="00FB27C3" w:rsidRDefault="0079286A">
            <w:pPr>
              <w:spacing w:after="0" w:line="240" w:lineRule="auto"/>
              <w:contextualSpacing/>
              <w:rPr>
                <w:rFonts w:eastAsia="Times New Roman" w:cs="Arial"/>
                <w:color w:val="000000"/>
                <w:sz w:val="18"/>
                <w:szCs w:val="18"/>
                <w:lang w:val="es-CO" w:eastAsia="es-CO"/>
              </w:rPr>
            </w:pPr>
          </w:p>
        </w:tc>
      </w:tr>
      <w:tr w:rsidR="0079286A" w:rsidRPr="00205D38" w14:paraId="77ABB089" w14:textId="77777777" w:rsidTr="00FB27C3">
        <w:trPr>
          <w:trHeight w:val="478"/>
          <w:jc w:val="center"/>
        </w:trPr>
        <w:tc>
          <w:tcPr>
            <w:tcW w:w="752" w:type="pct"/>
            <w:tcBorders>
              <w:top w:val="nil"/>
              <w:left w:val="single" w:sz="4" w:space="0" w:color="auto"/>
              <w:bottom w:val="single" w:sz="4" w:space="0" w:color="auto"/>
              <w:right w:val="single" w:sz="4" w:space="0" w:color="auto"/>
            </w:tcBorders>
            <w:shd w:val="clear" w:color="000000" w:fill="666699"/>
            <w:vAlign w:val="center"/>
            <w:hideMark/>
          </w:tcPr>
          <w:p w14:paraId="60FC9A4B" w14:textId="77777777" w:rsidR="0079286A" w:rsidRPr="00FB27C3" w:rsidRDefault="0079286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1974" w:type="pct"/>
            <w:tcBorders>
              <w:top w:val="nil"/>
              <w:left w:val="nil"/>
              <w:bottom w:val="single" w:sz="4" w:space="0" w:color="auto"/>
              <w:right w:val="single" w:sz="4" w:space="0" w:color="auto"/>
            </w:tcBorders>
            <w:shd w:val="clear" w:color="auto" w:fill="auto"/>
            <w:vAlign w:val="center"/>
            <w:hideMark/>
          </w:tcPr>
          <w:p w14:paraId="55B827A8" w14:textId="77777777" w:rsidR="0079286A" w:rsidRPr="00FB27C3" w:rsidRDefault="0079286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$5.400.000</w:t>
            </w:r>
          </w:p>
        </w:tc>
        <w:tc>
          <w:tcPr>
            <w:tcW w:w="2274" w:type="pct"/>
            <w:vMerge/>
            <w:tcBorders>
              <w:top w:val="nil"/>
              <w:left w:val="single" w:sz="4" w:space="0" w:color="auto"/>
              <w:bottom w:val="single" w:sz="4" w:space="0" w:color="auto"/>
              <w:right w:val="single" w:sz="4" w:space="0" w:color="auto"/>
            </w:tcBorders>
            <w:vAlign w:val="center"/>
            <w:hideMark/>
          </w:tcPr>
          <w:p w14:paraId="14D62DE7" w14:textId="77777777" w:rsidR="0079286A" w:rsidRPr="00FB27C3" w:rsidRDefault="0079286A">
            <w:pPr>
              <w:spacing w:after="0" w:line="240" w:lineRule="auto"/>
              <w:contextualSpacing/>
              <w:rPr>
                <w:rFonts w:eastAsia="Times New Roman" w:cs="Arial"/>
                <w:color w:val="000000"/>
                <w:sz w:val="18"/>
                <w:szCs w:val="18"/>
                <w:lang w:val="es-CO" w:eastAsia="es-CO"/>
              </w:rPr>
            </w:pPr>
          </w:p>
        </w:tc>
      </w:tr>
      <w:tr w:rsidR="0079286A" w:rsidRPr="00205D38" w14:paraId="7BAE0A8F" w14:textId="77777777" w:rsidTr="00FB27C3">
        <w:trPr>
          <w:trHeight w:val="893"/>
          <w:jc w:val="center"/>
        </w:trPr>
        <w:tc>
          <w:tcPr>
            <w:tcW w:w="752" w:type="pct"/>
            <w:tcBorders>
              <w:top w:val="nil"/>
              <w:left w:val="single" w:sz="4" w:space="0" w:color="auto"/>
              <w:bottom w:val="single" w:sz="4" w:space="0" w:color="auto"/>
              <w:right w:val="single" w:sz="4" w:space="0" w:color="auto"/>
            </w:tcBorders>
            <w:shd w:val="clear" w:color="000000" w:fill="666699"/>
            <w:vAlign w:val="center"/>
            <w:hideMark/>
          </w:tcPr>
          <w:p w14:paraId="10A06BC3" w14:textId="77777777" w:rsidR="0079286A" w:rsidRPr="00FB27C3" w:rsidRDefault="0079286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1974" w:type="pct"/>
            <w:tcBorders>
              <w:top w:val="nil"/>
              <w:left w:val="nil"/>
              <w:bottom w:val="single" w:sz="4" w:space="0" w:color="auto"/>
              <w:right w:val="single" w:sz="4" w:space="0" w:color="auto"/>
            </w:tcBorders>
            <w:shd w:val="clear" w:color="auto" w:fill="auto"/>
            <w:vAlign w:val="center"/>
            <w:hideMark/>
          </w:tcPr>
          <w:p w14:paraId="7552D235" w14:textId="77777777" w:rsidR="0079286A" w:rsidRPr="00FB27C3" w:rsidRDefault="0079286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6 meses </w:t>
            </w:r>
          </w:p>
        </w:tc>
        <w:tc>
          <w:tcPr>
            <w:tcW w:w="2274" w:type="pct"/>
            <w:vMerge/>
            <w:tcBorders>
              <w:top w:val="nil"/>
              <w:left w:val="single" w:sz="4" w:space="0" w:color="auto"/>
              <w:bottom w:val="single" w:sz="4" w:space="0" w:color="auto"/>
              <w:right w:val="single" w:sz="4" w:space="0" w:color="auto"/>
            </w:tcBorders>
            <w:vAlign w:val="center"/>
            <w:hideMark/>
          </w:tcPr>
          <w:p w14:paraId="05572834" w14:textId="77777777" w:rsidR="0079286A" w:rsidRPr="00FB27C3" w:rsidRDefault="0079286A">
            <w:pPr>
              <w:spacing w:after="0" w:line="240" w:lineRule="auto"/>
              <w:contextualSpacing/>
              <w:rPr>
                <w:rFonts w:eastAsia="Times New Roman" w:cs="Arial"/>
                <w:color w:val="000000"/>
                <w:sz w:val="18"/>
                <w:szCs w:val="18"/>
                <w:lang w:val="es-CO" w:eastAsia="es-CO"/>
              </w:rPr>
            </w:pPr>
          </w:p>
        </w:tc>
      </w:tr>
      <w:tr w:rsidR="0079286A" w:rsidRPr="00205D38" w14:paraId="387343E3" w14:textId="77777777" w:rsidTr="00FB27C3">
        <w:trPr>
          <w:trHeight w:val="276"/>
          <w:jc w:val="center"/>
        </w:trPr>
        <w:tc>
          <w:tcPr>
            <w:tcW w:w="752" w:type="pct"/>
            <w:tcBorders>
              <w:top w:val="nil"/>
              <w:left w:val="single" w:sz="4" w:space="0" w:color="auto"/>
              <w:bottom w:val="single" w:sz="4" w:space="0" w:color="auto"/>
              <w:right w:val="single" w:sz="4" w:space="0" w:color="auto"/>
            </w:tcBorders>
            <w:shd w:val="clear" w:color="000000" w:fill="666699"/>
            <w:vAlign w:val="center"/>
            <w:hideMark/>
          </w:tcPr>
          <w:p w14:paraId="5ED80E94" w14:textId="77777777" w:rsidR="0079286A" w:rsidRPr="00FB27C3" w:rsidRDefault="0079286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1974" w:type="pct"/>
            <w:tcBorders>
              <w:top w:val="nil"/>
              <w:left w:val="nil"/>
              <w:bottom w:val="single" w:sz="4" w:space="0" w:color="auto"/>
              <w:right w:val="single" w:sz="4" w:space="0" w:color="auto"/>
            </w:tcBorders>
            <w:shd w:val="clear" w:color="000000" w:fill="CCCCFF"/>
            <w:vAlign w:val="center"/>
            <w:hideMark/>
          </w:tcPr>
          <w:p w14:paraId="21B41CB5" w14:textId="77777777" w:rsidR="0079286A" w:rsidRPr="00FB27C3" w:rsidRDefault="0079286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CPS-023-2018</w:t>
            </w:r>
          </w:p>
        </w:tc>
        <w:tc>
          <w:tcPr>
            <w:tcW w:w="2274" w:type="pct"/>
            <w:tcBorders>
              <w:top w:val="nil"/>
              <w:left w:val="nil"/>
              <w:bottom w:val="single" w:sz="4" w:space="0" w:color="auto"/>
              <w:right w:val="single" w:sz="4" w:space="0" w:color="auto"/>
            </w:tcBorders>
            <w:shd w:val="clear" w:color="000000" w:fill="666699"/>
            <w:vAlign w:val="center"/>
            <w:hideMark/>
          </w:tcPr>
          <w:p w14:paraId="15BE1689" w14:textId="77777777" w:rsidR="0079286A" w:rsidRPr="00FB27C3" w:rsidRDefault="0079286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79286A" w:rsidRPr="00205D38" w14:paraId="022C4386" w14:textId="77777777" w:rsidTr="00FB27C3">
        <w:trPr>
          <w:trHeight w:val="433"/>
          <w:jc w:val="center"/>
        </w:trPr>
        <w:tc>
          <w:tcPr>
            <w:tcW w:w="752" w:type="pct"/>
            <w:vMerge w:val="restart"/>
            <w:tcBorders>
              <w:top w:val="nil"/>
              <w:left w:val="single" w:sz="4" w:space="0" w:color="auto"/>
              <w:bottom w:val="single" w:sz="4" w:space="0" w:color="auto"/>
              <w:right w:val="single" w:sz="4" w:space="0" w:color="auto"/>
            </w:tcBorders>
            <w:shd w:val="clear" w:color="000000" w:fill="666699"/>
            <w:vAlign w:val="center"/>
            <w:hideMark/>
          </w:tcPr>
          <w:p w14:paraId="39002532" w14:textId="77777777" w:rsidR="0079286A" w:rsidRPr="00FB27C3" w:rsidRDefault="0079286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1974" w:type="pct"/>
            <w:vMerge w:val="restart"/>
            <w:tcBorders>
              <w:top w:val="nil"/>
              <w:left w:val="single" w:sz="4" w:space="0" w:color="auto"/>
              <w:bottom w:val="single" w:sz="4" w:space="0" w:color="auto"/>
              <w:right w:val="single" w:sz="4" w:space="0" w:color="auto"/>
            </w:tcBorders>
            <w:shd w:val="clear" w:color="auto" w:fill="auto"/>
            <w:vAlign w:val="bottom"/>
            <w:hideMark/>
          </w:tcPr>
          <w:p w14:paraId="559FBED0" w14:textId="77777777" w:rsidR="0079286A" w:rsidRPr="00FB27C3" w:rsidRDefault="0079286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Fortalecimiento al </w:t>
            </w:r>
            <w:r w:rsidR="00305DCA" w:rsidRPr="00A77447">
              <w:rPr>
                <w:rFonts w:eastAsia="Times New Roman" w:cs="Arial"/>
                <w:color w:val="000000"/>
                <w:sz w:val="18"/>
                <w:szCs w:val="18"/>
                <w:lang w:val="es-CO" w:eastAsia="es-CO"/>
              </w:rPr>
              <w:t xml:space="preserve">Sector </w:t>
            </w:r>
            <w:r w:rsidR="00305DCA" w:rsidRPr="00205D38">
              <w:rPr>
                <w:rFonts w:eastAsia="Times New Roman" w:cs="Arial"/>
                <w:color w:val="000000"/>
                <w:sz w:val="18"/>
                <w:szCs w:val="18"/>
                <w:lang w:val="es-CO" w:eastAsia="es-CO"/>
              </w:rPr>
              <w:t xml:space="preserve">Cultura </w:t>
            </w:r>
            <w:r w:rsidRPr="00FB27C3">
              <w:rPr>
                <w:rFonts w:eastAsia="Times New Roman" w:cs="Arial"/>
                <w:color w:val="000000"/>
                <w:sz w:val="18"/>
                <w:szCs w:val="18"/>
                <w:lang w:val="es-CO" w:eastAsia="es-CO"/>
              </w:rPr>
              <w:t xml:space="preserve">mediante la prestación del servicio como coordinador de cultura del </w:t>
            </w:r>
            <w:r w:rsidR="00305DCA" w:rsidRPr="00A77447">
              <w:rPr>
                <w:rFonts w:eastAsia="Times New Roman" w:cs="Arial"/>
                <w:color w:val="000000"/>
                <w:sz w:val="18"/>
                <w:szCs w:val="18"/>
                <w:lang w:val="es-CO" w:eastAsia="es-CO"/>
              </w:rPr>
              <w:t xml:space="preserve">Municipio </w:t>
            </w:r>
            <w:r w:rsidRPr="00FB27C3">
              <w:rPr>
                <w:rFonts w:eastAsia="Times New Roman" w:cs="Arial"/>
                <w:color w:val="000000"/>
                <w:sz w:val="18"/>
                <w:szCs w:val="18"/>
                <w:lang w:val="es-CO" w:eastAsia="es-CO"/>
              </w:rPr>
              <w:t xml:space="preserve">de </w:t>
            </w:r>
            <w:r w:rsidR="00305DCA">
              <w:rPr>
                <w:rFonts w:eastAsia="Times New Roman" w:cs="Arial"/>
                <w:color w:val="000000"/>
                <w:sz w:val="18"/>
                <w:szCs w:val="18"/>
                <w:lang w:val="es-CO" w:eastAsia="es-CO"/>
              </w:rPr>
              <w:t xml:space="preserve">Puerto </w:t>
            </w:r>
            <w:r w:rsidRPr="00FB27C3">
              <w:rPr>
                <w:rFonts w:eastAsia="Times New Roman" w:cs="Arial"/>
                <w:color w:val="000000"/>
                <w:sz w:val="18"/>
                <w:szCs w:val="18"/>
                <w:lang w:val="es-CO" w:eastAsia="es-CO"/>
              </w:rPr>
              <w:t>Leguízamo</w:t>
            </w:r>
          </w:p>
        </w:tc>
        <w:tc>
          <w:tcPr>
            <w:tcW w:w="2274" w:type="pct"/>
            <w:vMerge w:val="restart"/>
            <w:tcBorders>
              <w:top w:val="nil"/>
              <w:left w:val="single" w:sz="4" w:space="0" w:color="auto"/>
              <w:bottom w:val="single" w:sz="4" w:space="0" w:color="auto"/>
              <w:right w:val="single" w:sz="4" w:space="0" w:color="auto"/>
            </w:tcBorders>
            <w:shd w:val="clear" w:color="auto" w:fill="auto"/>
            <w:vAlign w:val="bottom"/>
            <w:hideMark/>
          </w:tcPr>
          <w:p w14:paraId="6C680E9F"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Elaborar proyectos culturales y artísticos en el </w:t>
            </w:r>
            <w:r w:rsidR="00305DCA" w:rsidRPr="00A77447">
              <w:rPr>
                <w:rFonts w:eastAsia="Times New Roman" w:cs="Arial"/>
                <w:color w:val="000000"/>
                <w:sz w:val="18"/>
                <w:szCs w:val="18"/>
                <w:lang w:val="es-CO" w:eastAsia="es-CO"/>
              </w:rPr>
              <w:t>Municipio</w:t>
            </w:r>
            <w:r w:rsidR="00305DCA">
              <w:rPr>
                <w:rFonts w:eastAsia="Times New Roman" w:cs="Arial"/>
                <w:color w:val="000000"/>
                <w:sz w:val="18"/>
                <w:szCs w:val="18"/>
                <w:lang w:val="es-CO" w:eastAsia="es-CO"/>
              </w:rPr>
              <w:t>.</w:t>
            </w:r>
          </w:p>
          <w:p w14:paraId="6F05DA87"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Organizar y hacer seguimiento a las escuelas culturales del </w:t>
            </w:r>
            <w:r w:rsidR="00305DCA" w:rsidRPr="00A77447">
              <w:rPr>
                <w:rFonts w:eastAsia="Times New Roman" w:cs="Arial"/>
                <w:color w:val="000000"/>
                <w:sz w:val="18"/>
                <w:szCs w:val="18"/>
                <w:lang w:val="es-CO" w:eastAsia="es-CO"/>
              </w:rPr>
              <w:t>Municipio</w:t>
            </w:r>
            <w:r w:rsidR="00305DCA">
              <w:rPr>
                <w:rFonts w:eastAsia="Times New Roman" w:cs="Arial"/>
                <w:color w:val="000000"/>
                <w:sz w:val="18"/>
                <w:szCs w:val="18"/>
                <w:lang w:val="es-CO" w:eastAsia="es-CO"/>
              </w:rPr>
              <w:t>.</w:t>
            </w:r>
          </w:p>
          <w:p w14:paraId="4E9D551E"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Coordinar la promoción y el fomento a la cultura del </w:t>
            </w:r>
            <w:r w:rsidR="00305DCA" w:rsidRPr="00A77447">
              <w:rPr>
                <w:rFonts w:eastAsia="Times New Roman" w:cs="Arial"/>
                <w:color w:val="000000"/>
                <w:sz w:val="18"/>
                <w:szCs w:val="18"/>
                <w:lang w:val="es-CO" w:eastAsia="es-CO"/>
              </w:rPr>
              <w:t>Municipio</w:t>
            </w:r>
            <w:r w:rsidR="00305DCA">
              <w:rPr>
                <w:rFonts w:eastAsia="Times New Roman" w:cs="Arial"/>
                <w:color w:val="000000"/>
                <w:sz w:val="18"/>
                <w:szCs w:val="18"/>
                <w:lang w:val="es-CO" w:eastAsia="es-CO"/>
              </w:rPr>
              <w:t>.</w:t>
            </w:r>
          </w:p>
          <w:p w14:paraId="04D74548"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4. Apoyar el funcionamiento del Consejo de Cultura existente en el </w:t>
            </w:r>
            <w:r w:rsidR="00305DCA" w:rsidRPr="00A77447">
              <w:rPr>
                <w:rFonts w:eastAsia="Times New Roman" w:cs="Arial"/>
                <w:color w:val="000000"/>
                <w:sz w:val="18"/>
                <w:szCs w:val="18"/>
                <w:lang w:val="es-CO" w:eastAsia="es-CO"/>
              </w:rPr>
              <w:t>Municipio</w:t>
            </w:r>
            <w:r w:rsidR="00305DCA">
              <w:rPr>
                <w:rFonts w:eastAsia="Times New Roman" w:cs="Arial"/>
                <w:color w:val="000000"/>
                <w:sz w:val="18"/>
                <w:szCs w:val="18"/>
                <w:lang w:val="es-CO" w:eastAsia="es-CO"/>
              </w:rPr>
              <w:t>.</w:t>
            </w:r>
          </w:p>
          <w:p w14:paraId="5189856A" w14:textId="77777777" w:rsidR="00305DCA"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5. Promover las actividades artísticas y </w:t>
            </w:r>
            <w:r w:rsidR="006E3EEE" w:rsidRPr="00FB27C3">
              <w:rPr>
                <w:rFonts w:eastAsia="Times New Roman" w:cs="Arial"/>
                <w:color w:val="000000"/>
                <w:sz w:val="18"/>
                <w:szCs w:val="18"/>
                <w:lang w:val="es-CO" w:eastAsia="es-CO"/>
              </w:rPr>
              <w:t>culturales</w:t>
            </w:r>
            <w:r w:rsidRPr="00FB27C3">
              <w:rPr>
                <w:rFonts w:eastAsia="Times New Roman" w:cs="Arial"/>
                <w:color w:val="000000"/>
                <w:sz w:val="18"/>
                <w:szCs w:val="18"/>
                <w:lang w:val="es-CO" w:eastAsia="es-CO"/>
              </w:rPr>
              <w:t xml:space="preserve"> en el </w:t>
            </w:r>
            <w:r w:rsidR="00305DCA" w:rsidRPr="00A77447">
              <w:rPr>
                <w:rFonts w:eastAsia="Times New Roman" w:cs="Arial"/>
                <w:color w:val="000000"/>
                <w:sz w:val="18"/>
                <w:szCs w:val="18"/>
                <w:lang w:val="es-CO" w:eastAsia="es-CO"/>
              </w:rPr>
              <w:t>Municipio</w:t>
            </w:r>
            <w:r w:rsidR="00305DCA">
              <w:rPr>
                <w:rFonts w:eastAsia="Times New Roman" w:cs="Arial"/>
                <w:color w:val="000000"/>
                <w:sz w:val="18"/>
                <w:szCs w:val="18"/>
                <w:lang w:val="es-CO" w:eastAsia="es-CO"/>
              </w:rPr>
              <w:t>.</w:t>
            </w:r>
          </w:p>
          <w:p w14:paraId="23D01E6F" w14:textId="77777777" w:rsidR="0079286A" w:rsidRPr="00FB27C3" w:rsidRDefault="0079286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6. Apoyo a los procesos </w:t>
            </w:r>
            <w:r w:rsidR="006E3EEE" w:rsidRPr="00FB27C3">
              <w:rPr>
                <w:rFonts w:eastAsia="Times New Roman" w:cs="Arial"/>
                <w:color w:val="000000"/>
                <w:sz w:val="18"/>
                <w:szCs w:val="18"/>
                <w:lang w:val="es-CO" w:eastAsia="es-CO"/>
              </w:rPr>
              <w:t>artísticos</w:t>
            </w:r>
            <w:r w:rsidRPr="00FB27C3">
              <w:rPr>
                <w:rFonts w:eastAsia="Times New Roman" w:cs="Arial"/>
                <w:color w:val="000000"/>
                <w:sz w:val="18"/>
                <w:szCs w:val="18"/>
                <w:lang w:val="es-CO" w:eastAsia="es-CO"/>
              </w:rPr>
              <w:t xml:space="preserve"> y culturales del </w:t>
            </w:r>
            <w:r w:rsidR="00305DCA" w:rsidRPr="00A77447">
              <w:rPr>
                <w:rFonts w:eastAsia="Times New Roman" w:cs="Arial"/>
                <w:color w:val="000000"/>
                <w:sz w:val="18"/>
                <w:szCs w:val="18"/>
                <w:lang w:val="es-CO" w:eastAsia="es-CO"/>
              </w:rPr>
              <w:t>Municipio</w:t>
            </w:r>
            <w:r w:rsidR="00B00C77" w:rsidRPr="00FB27C3">
              <w:rPr>
                <w:rFonts w:eastAsia="Times New Roman" w:cs="Arial"/>
                <w:color w:val="000000"/>
                <w:sz w:val="18"/>
                <w:szCs w:val="18"/>
                <w:lang w:val="es-CO" w:eastAsia="es-CO"/>
              </w:rPr>
              <w:t>,</w:t>
            </w:r>
            <w:r w:rsidRPr="00FB27C3">
              <w:rPr>
                <w:rFonts w:eastAsia="Times New Roman" w:cs="Arial"/>
                <w:color w:val="000000"/>
                <w:sz w:val="18"/>
                <w:szCs w:val="18"/>
                <w:lang w:val="es-CO" w:eastAsia="es-CO"/>
              </w:rPr>
              <w:t xml:space="preserve"> </w:t>
            </w:r>
            <w:r w:rsidR="00B00C77" w:rsidRPr="00FB27C3">
              <w:rPr>
                <w:rFonts w:eastAsia="Times New Roman" w:cs="Arial"/>
                <w:color w:val="000000"/>
                <w:sz w:val="18"/>
                <w:szCs w:val="18"/>
                <w:lang w:val="es-CO" w:eastAsia="es-CO"/>
              </w:rPr>
              <w:t>entre otras.</w:t>
            </w:r>
          </w:p>
        </w:tc>
      </w:tr>
      <w:tr w:rsidR="0079286A" w:rsidRPr="00205D38" w14:paraId="78CC9B3B" w14:textId="77777777" w:rsidTr="00FB27C3">
        <w:trPr>
          <w:trHeight w:val="464"/>
          <w:jc w:val="center"/>
        </w:trPr>
        <w:tc>
          <w:tcPr>
            <w:tcW w:w="752" w:type="pct"/>
            <w:vMerge/>
            <w:tcBorders>
              <w:top w:val="nil"/>
              <w:left w:val="single" w:sz="4" w:space="0" w:color="auto"/>
              <w:bottom w:val="single" w:sz="4" w:space="0" w:color="auto"/>
              <w:right w:val="single" w:sz="4" w:space="0" w:color="auto"/>
            </w:tcBorders>
            <w:vAlign w:val="center"/>
            <w:hideMark/>
          </w:tcPr>
          <w:p w14:paraId="77270BD2" w14:textId="77777777" w:rsidR="0079286A" w:rsidRPr="00FB27C3" w:rsidRDefault="0079286A">
            <w:pPr>
              <w:spacing w:after="0" w:line="240" w:lineRule="auto"/>
              <w:contextualSpacing/>
              <w:rPr>
                <w:rFonts w:eastAsia="Times New Roman" w:cs="Arial"/>
                <w:b/>
                <w:bCs/>
                <w:color w:val="FFFFFF"/>
                <w:sz w:val="18"/>
                <w:szCs w:val="18"/>
                <w:lang w:val="es-CO" w:eastAsia="es-CO"/>
              </w:rPr>
            </w:pPr>
          </w:p>
        </w:tc>
        <w:tc>
          <w:tcPr>
            <w:tcW w:w="1974" w:type="pct"/>
            <w:vMerge/>
            <w:tcBorders>
              <w:top w:val="nil"/>
              <w:left w:val="single" w:sz="4" w:space="0" w:color="auto"/>
              <w:bottom w:val="single" w:sz="4" w:space="0" w:color="auto"/>
              <w:right w:val="single" w:sz="4" w:space="0" w:color="auto"/>
            </w:tcBorders>
            <w:vAlign w:val="center"/>
            <w:hideMark/>
          </w:tcPr>
          <w:p w14:paraId="2FFD7493" w14:textId="77777777" w:rsidR="0079286A" w:rsidRPr="00FB27C3" w:rsidRDefault="0079286A">
            <w:pPr>
              <w:spacing w:after="0" w:line="240" w:lineRule="auto"/>
              <w:contextualSpacing/>
              <w:rPr>
                <w:rFonts w:eastAsia="Times New Roman" w:cs="Arial"/>
                <w:color w:val="000000"/>
                <w:sz w:val="18"/>
                <w:szCs w:val="18"/>
                <w:lang w:val="es-CO" w:eastAsia="es-CO"/>
              </w:rPr>
            </w:pPr>
          </w:p>
        </w:tc>
        <w:tc>
          <w:tcPr>
            <w:tcW w:w="2274" w:type="pct"/>
            <w:vMerge/>
            <w:tcBorders>
              <w:top w:val="nil"/>
              <w:left w:val="single" w:sz="4" w:space="0" w:color="auto"/>
              <w:bottom w:val="single" w:sz="4" w:space="0" w:color="auto"/>
              <w:right w:val="single" w:sz="4" w:space="0" w:color="auto"/>
            </w:tcBorders>
            <w:vAlign w:val="center"/>
            <w:hideMark/>
          </w:tcPr>
          <w:p w14:paraId="296DEA92" w14:textId="77777777" w:rsidR="0079286A" w:rsidRPr="00FB27C3" w:rsidRDefault="0079286A">
            <w:pPr>
              <w:spacing w:after="0" w:line="240" w:lineRule="auto"/>
              <w:contextualSpacing/>
              <w:rPr>
                <w:rFonts w:eastAsia="Times New Roman" w:cs="Arial"/>
                <w:color w:val="000000"/>
                <w:sz w:val="18"/>
                <w:szCs w:val="18"/>
                <w:lang w:val="es-CO" w:eastAsia="es-CO"/>
              </w:rPr>
            </w:pPr>
          </w:p>
        </w:tc>
      </w:tr>
      <w:tr w:rsidR="0079286A" w:rsidRPr="00205D38" w14:paraId="1245B69B" w14:textId="77777777" w:rsidTr="00FB27C3">
        <w:trPr>
          <w:trHeight w:val="385"/>
          <w:jc w:val="center"/>
        </w:trPr>
        <w:tc>
          <w:tcPr>
            <w:tcW w:w="752" w:type="pct"/>
            <w:tcBorders>
              <w:top w:val="nil"/>
              <w:left w:val="single" w:sz="4" w:space="0" w:color="auto"/>
              <w:bottom w:val="single" w:sz="4" w:space="0" w:color="auto"/>
              <w:right w:val="single" w:sz="4" w:space="0" w:color="auto"/>
            </w:tcBorders>
            <w:shd w:val="clear" w:color="000000" w:fill="666699"/>
            <w:vAlign w:val="center"/>
            <w:hideMark/>
          </w:tcPr>
          <w:p w14:paraId="5C6C2F7A" w14:textId="77777777" w:rsidR="0079286A" w:rsidRPr="00FB27C3" w:rsidRDefault="0079286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1974" w:type="pct"/>
            <w:tcBorders>
              <w:top w:val="nil"/>
              <w:left w:val="nil"/>
              <w:bottom w:val="single" w:sz="4" w:space="0" w:color="auto"/>
              <w:right w:val="single" w:sz="4" w:space="0" w:color="auto"/>
            </w:tcBorders>
            <w:shd w:val="clear" w:color="auto" w:fill="auto"/>
            <w:noWrap/>
            <w:vAlign w:val="bottom"/>
            <w:hideMark/>
          </w:tcPr>
          <w:p w14:paraId="3D663DB4" w14:textId="77777777" w:rsidR="0079286A" w:rsidRPr="00FB27C3" w:rsidRDefault="00305DCA">
            <w:pPr>
              <w:spacing w:after="0" w:line="240" w:lineRule="auto"/>
              <w:contextualSpacing/>
              <w:jc w:val="center"/>
              <w:rPr>
                <w:rFonts w:eastAsia="Times New Roman" w:cs="Arial"/>
                <w:color w:val="000000"/>
                <w:sz w:val="18"/>
                <w:szCs w:val="18"/>
                <w:lang w:val="es-CO" w:eastAsia="es-CO"/>
              </w:rPr>
            </w:pPr>
            <w:r w:rsidRPr="00A77447">
              <w:rPr>
                <w:rFonts w:eastAsia="Times New Roman" w:cs="Arial"/>
                <w:color w:val="000000"/>
                <w:sz w:val="18"/>
                <w:szCs w:val="18"/>
                <w:lang w:val="es-CO" w:eastAsia="es-CO"/>
              </w:rPr>
              <w:t xml:space="preserve">Willinson Moreno </w:t>
            </w:r>
            <w:r w:rsidRPr="00205D38">
              <w:rPr>
                <w:rFonts w:eastAsia="Times New Roman" w:cs="Arial"/>
                <w:color w:val="000000"/>
                <w:sz w:val="18"/>
                <w:szCs w:val="18"/>
                <w:lang w:val="es-CO" w:eastAsia="es-CO"/>
              </w:rPr>
              <w:t>Mosquera</w:t>
            </w:r>
          </w:p>
        </w:tc>
        <w:tc>
          <w:tcPr>
            <w:tcW w:w="2274" w:type="pct"/>
            <w:vMerge/>
            <w:tcBorders>
              <w:top w:val="nil"/>
              <w:left w:val="single" w:sz="4" w:space="0" w:color="auto"/>
              <w:bottom w:val="single" w:sz="4" w:space="0" w:color="auto"/>
              <w:right w:val="single" w:sz="4" w:space="0" w:color="auto"/>
            </w:tcBorders>
            <w:vAlign w:val="center"/>
            <w:hideMark/>
          </w:tcPr>
          <w:p w14:paraId="1659E8D3" w14:textId="77777777" w:rsidR="0079286A" w:rsidRPr="00FB27C3" w:rsidRDefault="0079286A">
            <w:pPr>
              <w:spacing w:after="0" w:line="240" w:lineRule="auto"/>
              <w:contextualSpacing/>
              <w:rPr>
                <w:rFonts w:eastAsia="Times New Roman" w:cs="Arial"/>
                <w:color w:val="000000"/>
                <w:sz w:val="18"/>
                <w:szCs w:val="18"/>
                <w:lang w:val="es-CO" w:eastAsia="es-CO"/>
              </w:rPr>
            </w:pPr>
          </w:p>
        </w:tc>
      </w:tr>
      <w:tr w:rsidR="0079286A" w:rsidRPr="00205D38" w14:paraId="4F8A1ADB" w14:textId="77777777" w:rsidTr="00FB27C3">
        <w:trPr>
          <w:trHeight w:val="404"/>
          <w:jc w:val="center"/>
        </w:trPr>
        <w:tc>
          <w:tcPr>
            <w:tcW w:w="752" w:type="pct"/>
            <w:tcBorders>
              <w:top w:val="nil"/>
              <w:left w:val="single" w:sz="4" w:space="0" w:color="auto"/>
              <w:bottom w:val="single" w:sz="4" w:space="0" w:color="auto"/>
              <w:right w:val="single" w:sz="4" w:space="0" w:color="auto"/>
            </w:tcBorders>
            <w:shd w:val="clear" w:color="000000" w:fill="666699"/>
            <w:vAlign w:val="center"/>
            <w:hideMark/>
          </w:tcPr>
          <w:p w14:paraId="177B0485" w14:textId="77777777" w:rsidR="0079286A" w:rsidRPr="00FB27C3" w:rsidRDefault="0079286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1974" w:type="pct"/>
            <w:tcBorders>
              <w:top w:val="nil"/>
              <w:left w:val="nil"/>
              <w:bottom w:val="single" w:sz="4" w:space="0" w:color="auto"/>
              <w:right w:val="single" w:sz="4" w:space="0" w:color="auto"/>
            </w:tcBorders>
            <w:shd w:val="clear" w:color="auto" w:fill="auto"/>
            <w:vAlign w:val="center"/>
            <w:hideMark/>
          </w:tcPr>
          <w:p w14:paraId="65691C3C" w14:textId="77777777" w:rsidR="0079286A" w:rsidRPr="00FB27C3" w:rsidRDefault="0079286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$6.240.000</w:t>
            </w:r>
          </w:p>
        </w:tc>
        <w:tc>
          <w:tcPr>
            <w:tcW w:w="2274" w:type="pct"/>
            <w:vMerge/>
            <w:tcBorders>
              <w:top w:val="nil"/>
              <w:left w:val="single" w:sz="4" w:space="0" w:color="auto"/>
              <w:bottom w:val="single" w:sz="4" w:space="0" w:color="auto"/>
              <w:right w:val="single" w:sz="4" w:space="0" w:color="auto"/>
            </w:tcBorders>
            <w:vAlign w:val="center"/>
            <w:hideMark/>
          </w:tcPr>
          <w:p w14:paraId="0C6D134D" w14:textId="77777777" w:rsidR="0079286A" w:rsidRPr="00FB27C3" w:rsidRDefault="0079286A">
            <w:pPr>
              <w:spacing w:after="0" w:line="240" w:lineRule="auto"/>
              <w:contextualSpacing/>
              <w:rPr>
                <w:rFonts w:eastAsia="Times New Roman" w:cs="Arial"/>
                <w:color w:val="000000"/>
                <w:sz w:val="18"/>
                <w:szCs w:val="18"/>
                <w:lang w:val="es-CO" w:eastAsia="es-CO"/>
              </w:rPr>
            </w:pPr>
          </w:p>
        </w:tc>
      </w:tr>
      <w:tr w:rsidR="0079286A" w:rsidRPr="00205D38" w14:paraId="643AB4B8" w14:textId="77777777" w:rsidTr="00FB27C3">
        <w:trPr>
          <w:trHeight w:val="425"/>
          <w:jc w:val="center"/>
        </w:trPr>
        <w:tc>
          <w:tcPr>
            <w:tcW w:w="752" w:type="pct"/>
            <w:tcBorders>
              <w:top w:val="nil"/>
              <w:left w:val="single" w:sz="4" w:space="0" w:color="auto"/>
              <w:bottom w:val="single" w:sz="4" w:space="0" w:color="auto"/>
              <w:right w:val="single" w:sz="4" w:space="0" w:color="auto"/>
            </w:tcBorders>
            <w:shd w:val="clear" w:color="000000" w:fill="666699"/>
            <w:vAlign w:val="center"/>
            <w:hideMark/>
          </w:tcPr>
          <w:p w14:paraId="00353202" w14:textId="77777777" w:rsidR="0079286A" w:rsidRPr="00FB27C3" w:rsidRDefault="0079286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1974" w:type="pct"/>
            <w:tcBorders>
              <w:top w:val="nil"/>
              <w:left w:val="nil"/>
              <w:bottom w:val="single" w:sz="4" w:space="0" w:color="auto"/>
              <w:right w:val="single" w:sz="4" w:space="0" w:color="auto"/>
            </w:tcBorders>
            <w:shd w:val="clear" w:color="auto" w:fill="auto"/>
            <w:noWrap/>
            <w:vAlign w:val="bottom"/>
            <w:hideMark/>
          </w:tcPr>
          <w:p w14:paraId="13CC202A" w14:textId="77777777" w:rsidR="0079286A" w:rsidRPr="00FB27C3" w:rsidRDefault="0079286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 meses</w:t>
            </w:r>
          </w:p>
        </w:tc>
        <w:tc>
          <w:tcPr>
            <w:tcW w:w="2274" w:type="pct"/>
            <w:vMerge/>
            <w:tcBorders>
              <w:top w:val="nil"/>
              <w:left w:val="single" w:sz="4" w:space="0" w:color="auto"/>
              <w:bottom w:val="single" w:sz="4" w:space="0" w:color="auto"/>
              <w:right w:val="single" w:sz="4" w:space="0" w:color="auto"/>
            </w:tcBorders>
            <w:vAlign w:val="center"/>
            <w:hideMark/>
          </w:tcPr>
          <w:p w14:paraId="18FAAFE5" w14:textId="77777777" w:rsidR="0079286A" w:rsidRPr="00FB27C3" w:rsidRDefault="0079286A">
            <w:pPr>
              <w:spacing w:after="0" w:line="240" w:lineRule="auto"/>
              <w:contextualSpacing/>
              <w:rPr>
                <w:rFonts w:eastAsia="Times New Roman" w:cs="Arial"/>
                <w:color w:val="000000"/>
                <w:sz w:val="18"/>
                <w:szCs w:val="18"/>
                <w:lang w:val="es-CO" w:eastAsia="es-CO"/>
              </w:rPr>
            </w:pPr>
          </w:p>
        </w:tc>
      </w:tr>
    </w:tbl>
    <w:p w14:paraId="3B33E2A6" w14:textId="77777777" w:rsidR="007C2854" w:rsidRPr="00FB27C3" w:rsidRDefault="007C2854" w:rsidP="00286F4A">
      <w:pPr>
        <w:spacing w:line="240" w:lineRule="auto"/>
        <w:contextualSpacing/>
        <w:jc w:val="center"/>
        <w:rPr>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508AC442" w14:textId="77777777" w:rsidR="007C2854" w:rsidRDefault="007C2854">
      <w:pPr>
        <w:spacing w:line="240" w:lineRule="auto"/>
        <w:contextualSpacing/>
        <w:rPr>
          <w:i/>
          <w:iCs/>
        </w:rPr>
      </w:pPr>
    </w:p>
    <w:p w14:paraId="7697FC87" w14:textId="77777777" w:rsidR="007B4149" w:rsidRDefault="004F2145">
      <w:pPr>
        <w:spacing w:line="240" w:lineRule="auto"/>
        <w:contextualSpacing/>
        <w:jc w:val="both"/>
      </w:pPr>
      <w:r>
        <w:t>A partir de la revisión contractual realizada por esta Dirección, se identificó el</w:t>
      </w:r>
      <w:r w:rsidR="00C618DC">
        <w:t xml:space="preserve"> </w:t>
      </w:r>
      <w:r w:rsidR="00305DCA">
        <w:t>C</w:t>
      </w:r>
      <w:r w:rsidR="00C618DC">
        <w:t xml:space="preserve">ontrato CPS-022-2018 cuyo objeto fue la </w:t>
      </w:r>
      <w:r w:rsidR="000F4E5B">
        <w:t>“</w:t>
      </w:r>
      <w:r w:rsidR="000F4E5B" w:rsidRPr="006C65F3">
        <w:rPr>
          <w:i/>
          <w:iCs/>
        </w:rPr>
        <w:t>Prestación de servicios de apoyo a la gestión como coordinador de deportes municipal</w:t>
      </w:r>
      <w:r w:rsidR="000F4E5B">
        <w:t>”</w:t>
      </w:r>
      <w:r w:rsidR="0084055D">
        <w:t>, cuyo CDP establece como fuente los recursos de SGP Deporte</w:t>
      </w:r>
      <w:r w:rsidR="009415CA">
        <w:t>,</w:t>
      </w:r>
      <w:r w:rsidR="000F4E5B">
        <w:t xml:space="preserve"> se observa que el contratista desarrolla actividades que son de soporte de la misionalidad de la </w:t>
      </w:r>
      <w:r w:rsidR="0080183A">
        <w:t>E</w:t>
      </w:r>
      <w:r w:rsidR="000F4E5B">
        <w:t xml:space="preserve">ntidad </w:t>
      </w:r>
      <w:r w:rsidR="0080183A">
        <w:t>T</w:t>
      </w:r>
      <w:r w:rsidR="000F4E5B">
        <w:t>erritorial</w:t>
      </w:r>
      <w:r w:rsidR="009830AD">
        <w:t xml:space="preserve"> y que son continuas</w:t>
      </w:r>
      <w:r w:rsidR="000F4E5B">
        <w:t xml:space="preserve">, como la </w:t>
      </w:r>
      <w:r w:rsidR="004C6B87">
        <w:t>elaboración y estructuración de proyectos deportivos, el seguimiento a las escuelas de formación deportiva</w:t>
      </w:r>
      <w:r w:rsidR="008155ED">
        <w:t xml:space="preserve"> y demás apoyo que requiera la Secretaría de Educación, Cultura y Deporte del </w:t>
      </w:r>
      <w:r w:rsidR="0080183A">
        <w:t>M</w:t>
      </w:r>
      <w:r w:rsidR="008155ED">
        <w:t xml:space="preserve">unicipio </w:t>
      </w:r>
      <w:r w:rsidR="009415CA">
        <w:t>en la implementación de los planes y programas del Plan de Desarrollo en materia de deporte</w:t>
      </w:r>
      <w:r w:rsidR="008155ED">
        <w:t xml:space="preserve">. </w:t>
      </w:r>
      <w:r w:rsidR="009830AD">
        <w:t xml:space="preserve">A pesar de que se incluyen </w:t>
      </w:r>
      <w:r w:rsidR="0060771A">
        <w:t xml:space="preserve">actividades de formación deportiva, las demás actividades pueden entenderse que son de </w:t>
      </w:r>
      <w:r w:rsidR="00AD38E1">
        <w:t>apoyo a</w:t>
      </w:r>
      <w:r w:rsidR="00494025">
        <w:t xml:space="preserve"> la administración en la estructuración de los proyectos </w:t>
      </w:r>
      <w:r w:rsidR="0060771A">
        <w:t xml:space="preserve">y que son parte del funcionamiento de la </w:t>
      </w:r>
      <w:r w:rsidR="0080183A">
        <w:t>E</w:t>
      </w:r>
      <w:r w:rsidR="0060771A">
        <w:t>ntidad</w:t>
      </w:r>
      <w:r w:rsidR="00494025">
        <w:t>. P</w:t>
      </w:r>
      <w:r w:rsidR="0060771A">
        <w:t>or lo tanto</w:t>
      </w:r>
      <w:r w:rsidR="00780FA4">
        <w:t>,</w:t>
      </w:r>
      <w:r w:rsidR="0060771A">
        <w:t xml:space="preserve"> no habría lugar a su financiación </w:t>
      </w:r>
      <w:r w:rsidR="0084055D">
        <w:t>con cargo a los recursos del SGP para Deporte y Recreación.</w:t>
      </w:r>
    </w:p>
    <w:p w14:paraId="3FBFBE1B" w14:textId="77777777" w:rsidR="0080183A" w:rsidRDefault="0080183A">
      <w:pPr>
        <w:spacing w:line="240" w:lineRule="auto"/>
        <w:contextualSpacing/>
        <w:jc w:val="both"/>
      </w:pPr>
    </w:p>
    <w:p w14:paraId="39ECDD69" w14:textId="77777777" w:rsidR="00B6513B" w:rsidRDefault="00D33087" w:rsidP="001729F6">
      <w:pPr>
        <w:spacing w:line="240" w:lineRule="auto"/>
        <w:contextualSpacing/>
        <w:jc w:val="both"/>
        <w:rPr>
          <w:rFonts w:eastAsia="Arial" w:cs="Arial"/>
          <w:color w:val="000000" w:themeColor="text1"/>
          <w:lang w:val="es-CO"/>
        </w:rPr>
      </w:pPr>
      <w:r>
        <w:rPr>
          <w:rFonts w:cs="Arial"/>
        </w:rPr>
        <w:t xml:space="preserve">Es importante señalar que </w:t>
      </w:r>
      <w:r>
        <w:rPr>
          <w:rFonts w:eastAsia="Arial" w:cs="Arial"/>
          <w:lang w:val="es-CO"/>
        </w:rPr>
        <w:t xml:space="preserve">los </w:t>
      </w:r>
      <w:r>
        <w:rPr>
          <w:rFonts w:eastAsia="Arial" w:cs="Arial"/>
          <w:color w:val="000000" w:themeColor="text1"/>
          <w:lang w:val="es-CO"/>
        </w:rPr>
        <w:t>gastos de funcionamiento son “</w:t>
      </w:r>
      <w:r>
        <w:rPr>
          <w:rFonts w:eastAsia="Arial" w:cs="Arial"/>
          <w:i/>
          <w:iCs/>
          <w:color w:val="000000" w:themeColor="text1"/>
          <w:lang w:val="es-CO"/>
        </w:rPr>
        <w:t xml:space="preserve">aquellos que tienen por objeto atender las necesidades del Estado para cumplir con las funciones asignadas en </w:t>
      </w:r>
      <w:r>
        <w:rPr>
          <w:rFonts w:eastAsia="Arial" w:cs="Arial"/>
          <w:i/>
          <w:iCs/>
          <w:color w:val="000000" w:themeColor="text1"/>
          <w:lang w:val="es-CO"/>
        </w:rPr>
        <w:lastRenderedPageBreak/>
        <w:t>la Constitución Política y en la ley”</w:t>
      </w:r>
      <w:r>
        <w:rPr>
          <w:rStyle w:val="Refdenotaalpie"/>
          <w:rFonts w:eastAsia="Arial" w:cs="Arial"/>
          <w:i/>
          <w:iCs/>
          <w:color w:val="000000" w:themeColor="text1"/>
          <w:lang w:val="es-CO"/>
        </w:rPr>
        <w:footnoteReference w:id="8"/>
      </w:r>
      <w:r>
        <w:rPr>
          <w:rFonts w:eastAsia="Arial" w:cs="Arial"/>
          <w:color w:val="000000" w:themeColor="text1"/>
          <w:lang w:val="es-CO"/>
        </w:rPr>
        <w:t xml:space="preserve">. Así, estos bienes y servicios son necesarios para que las entidades territoriales cumplan con las funciones asignadas por la Constitución Política y la ley. En este sentido, </w:t>
      </w:r>
      <w:r w:rsidR="008D787F">
        <w:rPr>
          <w:rFonts w:eastAsia="Arial" w:cs="Arial"/>
          <w:color w:val="000000" w:themeColor="text1"/>
          <w:lang w:val="es-CO"/>
        </w:rPr>
        <w:t xml:space="preserve">la formulación de los proyectos, el seguimiento a las escuelas deportivas y el </w:t>
      </w:r>
      <w:r w:rsidR="006D5C9C">
        <w:rPr>
          <w:rFonts w:eastAsia="Arial" w:cs="Arial"/>
          <w:color w:val="000000" w:themeColor="text1"/>
          <w:lang w:val="es-CO"/>
        </w:rPr>
        <w:t xml:space="preserve">apoyo </w:t>
      </w:r>
      <w:r w:rsidR="008D787F" w:rsidRPr="008D787F">
        <w:rPr>
          <w:rFonts w:eastAsia="Arial" w:cs="Arial"/>
          <w:color w:val="000000" w:themeColor="text1"/>
          <w:lang w:val="es-CO"/>
        </w:rPr>
        <w:t xml:space="preserve">a la Secretaría de Educación, Cultura y Deporte Municipal en lo concerniente a las actividades deportivas y recreativas que realice el Municipio y la puesta en marcha del PDT Sector Deporte y Recreación, </w:t>
      </w:r>
      <w:r w:rsidR="008D787F">
        <w:rPr>
          <w:rFonts w:eastAsia="Arial" w:cs="Arial"/>
          <w:color w:val="000000" w:themeColor="text1"/>
          <w:lang w:val="es-CO"/>
        </w:rPr>
        <w:t>se relacionan con actividades de funcionamiento.</w:t>
      </w:r>
    </w:p>
    <w:p w14:paraId="4EF6E98C" w14:textId="77777777" w:rsidR="00D33087" w:rsidRDefault="00D33087" w:rsidP="001729F6">
      <w:pPr>
        <w:spacing w:line="240" w:lineRule="auto"/>
        <w:contextualSpacing/>
        <w:jc w:val="both"/>
        <w:rPr>
          <w:rFonts w:eastAsia="Arial" w:cs="Arial"/>
          <w:color w:val="000000" w:themeColor="text1"/>
          <w:lang w:val="es-CO"/>
        </w:rPr>
      </w:pPr>
    </w:p>
    <w:p w14:paraId="716A88FB" w14:textId="77777777" w:rsidR="00D4341B" w:rsidRDefault="00D4341B" w:rsidP="001729F6">
      <w:pPr>
        <w:spacing w:line="240" w:lineRule="auto"/>
        <w:contextualSpacing/>
        <w:jc w:val="both"/>
        <w:rPr>
          <w:rFonts w:eastAsia="Arial" w:cs="Arial"/>
          <w:color w:val="000000" w:themeColor="text1"/>
          <w:lang w:val="es-CO"/>
        </w:rPr>
      </w:pPr>
      <w:r w:rsidRPr="00D4341B">
        <w:rPr>
          <w:rFonts w:eastAsia="Arial" w:cs="Arial"/>
          <w:color w:val="000000" w:themeColor="text1"/>
          <w:lang w:val="es-CO"/>
        </w:rPr>
        <w:t xml:space="preserve">Los gastos de funcionamiento tienen otros atributos como la recurrencia, que son operativos, no forman capital y tampoco permiten la instalación o aumento de las capacidades en las entidades. En consecuencia, al revisar los objetos de gasto que </w:t>
      </w:r>
      <w:r w:rsidR="00FE10FE">
        <w:rPr>
          <w:rFonts w:eastAsia="Arial" w:cs="Arial"/>
          <w:color w:val="000000" w:themeColor="text1"/>
          <w:lang w:val="es-CO"/>
        </w:rPr>
        <w:t>se describen en las actividades del contrato</w:t>
      </w:r>
      <w:r w:rsidRPr="00D4341B">
        <w:rPr>
          <w:rFonts w:eastAsia="Arial" w:cs="Arial"/>
          <w:color w:val="000000" w:themeColor="text1"/>
          <w:lang w:val="es-CO"/>
        </w:rPr>
        <w:t xml:space="preserve"> </w:t>
      </w:r>
      <w:r w:rsidR="00FE10FE">
        <w:rPr>
          <w:rFonts w:eastAsia="Arial" w:cs="Arial"/>
          <w:color w:val="000000" w:themeColor="text1"/>
          <w:lang w:val="es-CO"/>
        </w:rPr>
        <w:t>referenciadas anteriormente,</w:t>
      </w:r>
      <w:r w:rsidRPr="00D4341B">
        <w:rPr>
          <w:rFonts w:eastAsia="Arial" w:cs="Arial"/>
          <w:color w:val="000000" w:themeColor="text1"/>
          <w:lang w:val="es-CO"/>
        </w:rPr>
        <w:t xml:space="preserve"> se evidencia que son gastos que cumplen con dichos atributos, lo que quiere decir que, esos objetos de gasto </w:t>
      </w:r>
      <w:bookmarkStart w:id="0" w:name="_Hlk102483751"/>
      <w:r w:rsidRPr="00D4341B">
        <w:rPr>
          <w:rFonts w:eastAsia="Arial" w:cs="Arial"/>
          <w:color w:val="000000" w:themeColor="text1"/>
          <w:lang w:val="es-CO"/>
        </w:rPr>
        <w:t>deben ser clasificados como gastos de funcionamiento en aplicación de lo indicado por el E</w:t>
      </w:r>
      <w:r w:rsidR="0081079C">
        <w:rPr>
          <w:rFonts w:eastAsia="Arial" w:cs="Arial"/>
          <w:color w:val="000000" w:themeColor="text1"/>
          <w:lang w:val="es-CO"/>
        </w:rPr>
        <w:t xml:space="preserve">statuto </w:t>
      </w:r>
      <w:r w:rsidRPr="00D4341B">
        <w:rPr>
          <w:rFonts w:eastAsia="Arial" w:cs="Arial"/>
          <w:color w:val="000000" w:themeColor="text1"/>
          <w:lang w:val="es-CO"/>
        </w:rPr>
        <w:t>O</w:t>
      </w:r>
      <w:r w:rsidR="0081079C">
        <w:rPr>
          <w:rFonts w:eastAsia="Arial" w:cs="Arial"/>
          <w:color w:val="000000" w:themeColor="text1"/>
          <w:lang w:val="es-CO"/>
        </w:rPr>
        <w:t xml:space="preserve">rgánico de </w:t>
      </w:r>
      <w:r w:rsidRPr="00D4341B">
        <w:rPr>
          <w:rFonts w:eastAsia="Arial" w:cs="Arial"/>
          <w:color w:val="000000" w:themeColor="text1"/>
          <w:lang w:val="es-CO"/>
        </w:rPr>
        <w:t>P</w:t>
      </w:r>
      <w:r w:rsidR="0081079C">
        <w:rPr>
          <w:rFonts w:eastAsia="Arial" w:cs="Arial"/>
          <w:color w:val="000000" w:themeColor="text1"/>
          <w:lang w:val="es-CO"/>
        </w:rPr>
        <w:t>resupuesto y deben ser financiados con cargo a Ingresos Corrientes de Libre Destinación</w:t>
      </w:r>
      <w:bookmarkEnd w:id="0"/>
      <w:r w:rsidRPr="00D4341B">
        <w:rPr>
          <w:rFonts w:eastAsia="Arial" w:cs="Arial"/>
          <w:color w:val="000000" w:themeColor="text1"/>
          <w:lang w:val="es-CO"/>
        </w:rPr>
        <w:t>.</w:t>
      </w:r>
    </w:p>
    <w:p w14:paraId="1F15FF52" w14:textId="77777777" w:rsidR="001E7FEB" w:rsidRDefault="001E7FEB">
      <w:pPr>
        <w:spacing w:line="240" w:lineRule="auto"/>
        <w:contextualSpacing/>
        <w:jc w:val="both"/>
      </w:pPr>
    </w:p>
    <w:p w14:paraId="29F0A343" w14:textId="77777777" w:rsidR="00BD7683" w:rsidRDefault="009415CA">
      <w:pPr>
        <w:spacing w:line="240" w:lineRule="auto"/>
        <w:contextualSpacing/>
        <w:jc w:val="both"/>
      </w:pPr>
      <w:r>
        <w:t xml:space="preserve">Al respecto, es importante señalar que el DNP, en su Guía de </w:t>
      </w:r>
      <w:r w:rsidR="00283232">
        <w:t>“</w:t>
      </w:r>
      <w:r w:rsidRPr="00FB27C3">
        <w:rPr>
          <w:i/>
          <w:iCs/>
        </w:rPr>
        <w:t xml:space="preserve">Orientaciones </w:t>
      </w:r>
      <w:r w:rsidR="006C5609" w:rsidRPr="00FB27C3">
        <w:rPr>
          <w:i/>
          <w:iCs/>
        </w:rPr>
        <w:t>para la Programación y Ejecución de los recursos del Sistema General de Participaciones</w:t>
      </w:r>
      <w:r w:rsidR="008B28AB">
        <w:rPr>
          <w:i/>
          <w:iCs/>
        </w:rPr>
        <w:t xml:space="preserve">- </w:t>
      </w:r>
      <w:r w:rsidR="00DB030C">
        <w:rPr>
          <w:i/>
          <w:iCs/>
        </w:rPr>
        <w:t>(2017)</w:t>
      </w:r>
      <w:r w:rsidR="00283232">
        <w:t>”</w:t>
      </w:r>
      <w:r w:rsidR="007B4149">
        <w:t xml:space="preserve"> indica que </w:t>
      </w:r>
      <w:r w:rsidR="007B4149" w:rsidRPr="003522F9">
        <w:rPr>
          <w:i/>
          <w:iCs/>
        </w:rPr>
        <w:t>“se debe precisar que los recursos de la PPG de forzosa inversión no se pueden destinar a financiar gastos de funcionamiento del ente deportivo municipal o de la entidad o unidad administrativa municipal que haga sus veces”.</w:t>
      </w:r>
      <w:r w:rsidR="007B4149">
        <w:t xml:space="preserve"> Estos deben dirigirse, entre otros aspectos, para </w:t>
      </w:r>
      <w:r w:rsidR="006C1E1A">
        <w:t>el desarrollo de programas y actividades que permitan fomentar la práctica del deporte</w:t>
      </w:r>
      <w:r w:rsidR="00AA0BB4">
        <w:t>, la recreación, el apro</w:t>
      </w:r>
      <w:r w:rsidR="009022AA">
        <w:t xml:space="preserve">vechamiento del tiempo libre que se desarrollen a través de proyectos de inversión previamente estructurados y </w:t>
      </w:r>
      <w:r w:rsidR="00F36025">
        <w:t xml:space="preserve">viabilizados en el </w:t>
      </w:r>
      <w:r w:rsidR="00283232">
        <w:t>banco de programas y proyectos de inversión municipal</w:t>
      </w:r>
      <w:r w:rsidR="00F36025">
        <w:t>.</w:t>
      </w:r>
    </w:p>
    <w:p w14:paraId="0FB41D35" w14:textId="77777777" w:rsidR="00283232" w:rsidRDefault="00283232">
      <w:pPr>
        <w:spacing w:line="240" w:lineRule="auto"/>
        <w:contextualSpacing/>
        <w:jc w:val="both"/>
      </w:pPr>
    </w:p>
    <w:p w14:paraId="0BD121E5" w14:textId="77777777" w:rsidR="000F4E5B" w:rsidRDefault="00582539">
      <w:pPr>
        <w:spacing w:line="240" w:lineRule="auto"/>
        <w:contextualSpacing/>
        <w:jc w:val="both"/>
      </w:pPr>
      <w:r>
        <w:t>A pesar de lo anterior</w:t>
      </w:r>
      <w:r w:rsidR="00F36025">
        <w:t xml:space="preserve">, en el caso de este </w:t>
      </w:r>
      <w:r w:rsidR="00283232">
        <w:t>C</w:t>
      </w:r>
      <w:r w:rsidR="00F36025">
        <w:t xml:space="preserve">ontrato se </w:t>
      </w:r>
      <w:r w:rsidR="00723FC9">
        <w:t xml:space="preserve">estructura un proyecto que es de carácter general, cuyo objetivo es el fortalecimiento del </w:t>
      </w:r>
      <w:r w:rsidR="00283232">
        <w:t>S</w:t>
      </w:r>
      <w:r w:rsidR="00723FC9">
        <w:t xml:space="preserve">ector </w:t>
      </w:r>
      <w:r w:rsidR="00283232">
        <w:t>D</w:t>
      </w:r>
      <w:r w:rsidR="00723FC9">
        <w:t xml:space="preserve">eporte y </w:t>
      </w:r>
      <w:r w:rsidR="00283232">
        <w:t>R</w:t>
      </w:r>
      <w:r w:rsidR="00723FC9">
        <w:t xml:space="preserve">ecreación </w:t>
      </w:r>
      <w:r w:rsidR="006F7DDC">
        <w:t xml:space="preserve">y sus actividades </w:t>
      </w:r>
      <w:r w:rsidR="008333DD">
        <w:t>son:</w:t>
      </w:r>
      <w:r w:rsidR="006F7DDC">
        <w:t xml:space="preserve"> contratar personal que coordine</w:t>
      </w:r>
      <w:r w:rsidR="0082490C">
        <w:t xml:space="preserve"> las actividades de fomento a la actividad deportiva, </w:t>
      </w:r>
      <w:r w:rsidR="008333DD">
        <w:t xml:space="preserve">contratar al instructor </w:t>
      </w:r>
      <w:r w:rsidR="0035497F">
        <w:t xml:space="preserve">para el desarrollo </w:t>
      </w:r>
      <w:r w:rsidR="00BD7683">
        <w:t xml:space="preserve">de la actividad física y al monitor de </w:t>
      </w:r>
      <w:r w:rsidR="0035497F">
        <w:t>las actividades físicas y recreativas. Por lo tanto, el personal se contrata para que estructure y planee los pro</w:t>
      </w:r>
      <w:r w:rsidR="00680B94">
        <w:t xml:space="preserve">yectos de inversión, no se trata de una inversión en sí misma, sino que son aquellas actividades que </w:t>
      </w:r>
      <w:r>
        <w:t>ejecuta el contratista</w:t>
      </w:r>
      <w:r w:rsidR="00680B94">
        <w:t xml:space="preserve"> con posterioridad a su contratación lo que materializa la inversión en el </w:t>
      </w:r>
      <w:r w:rsidR="00283232">
        <w:t>S</w:t>
      </w:r>
      <w:r w:rsidR="00680B94">
        <w:t xml:space="preserve">ector de </w:t>
      </w:r>
      <w:r w:rsidR="00283232">
        <w:t>D</w:t>
      </w:r>
      <w:r w:rsidR="00680B94">
        <w:t xml:space="preserve">eporte y </w:t>
      </w:r>
      <w:r w:rsidR="00283232">
        <w:t>R</w:t>
      </w:r>
      <w:r w:rsidR="00680B94">
        <w:t>ecreación</w:t>
      </w:r>
      <w:r w:rsidR="007E46CE">
        <w:t xml:space="preserve"> para los beneficiarios del </w:t>
      </w:r>
      <w:r w:rsidR="00283232">
        <w:t>M</w:t>
      </w:r>
      <w:r w:rsidR="007E46CE">
        <w:t>unicipio.</w:t>
      </w:r>
      <w:r w:rsidR="00EF0ED4">
        <w:t xml:space="preserve"> Por esta razón, no puede ser considerado un gasto de inversión.</w:t>
      </w:r>
    </w:p>
    <w:p w14:paraId="710E0509" w14:textId="77777777" w:rsidR="00283232" w:rsidRDefault="00283232">
      <w:pPr>
        <w:spacing w:line="240" w:lineRule="auto"/>
        <w:contextualSpacing/>
        <w:jc w:val="both"/>
      </w:pPr>
    </w:p>
    <w:p w14:paraId="41E428F9" w14:textId="77777777" w:rsidR="00CA64AF" w:rsidRDefault="00CA64AF">
      <w:pPr>
        <w:spacing w:line="240" w:lineRule="auto"/>
        <w:contextualSpacing/>
        <w:jc w:val="both"/>
      </w:pPr>
      <w:r>
        <w:t xml:space="preserve">Adicionalmente, este </w:t>
      </w:r>
      <w:r w:rsidR="00283232">
        <w:t>C</w:t>
      </w:r>
      <w:r>
        <w:t>ontrato presenta una adición</w:t>
      </w:r>
      <w:r w:rsidR="008118E4">
        <w:t xml:space="preserve"> en tiempo (2 meses)</w:t>
      </w:r>
      <w:r w:rsidR="00283232">
        <w:t>,</w:t>
      </w:r>
      <w:r w:rsidR="008118E4">
        <w:t xml:space="preserve"> valor por $2.700.000. </w:t>
      </w:r>
      <w:r w:rsidR="00635AF4">
        <w:t xml:space="preserve">Si bien </w:t>
      </w:r>
      <w:r w:rsidR="00556766">
        <w:t>el documento que suscribe la adición</w:t>
      </w:r>
      <w:r w:rsidR="00635AF4">
        <w:t xml:space="preserve"> contiene un apartado en donde establece “</w:t>
      </w:r>
      <w:r w:rsidR="00635AF4" w:rsidRPr="00635AF4">
        <w:rPr>
          <w:i/>
          <w:iCs/>
        </w:rPr>
        <w:t>2. Que el día 2 de mayo se suscribe la justificación requerida para la ampliación del plazo y valor, en forma técnica y legal, dando lugar a la presente adición</w:t>
      </w:r>
      <w:r w:rsidR="00635AF4">
        <w:t>”, e</w:t>
      </w:r>
      <w:r w:rsidR="008118E4">
        <w:t xml:space="preserve">sta adición </w:t>
      </w:r>
      <w:r w:rsidR="00B56FA7">
        <w:t xml:space="preserve">tuvo como justificación los mismos estudios previos del contrato inicial, únicamente ajustando el valor de su Certificado de Disponibilidad Presupuestal al nuevo monto solicitado. Es decir, el </w:t>
      </w:r>
      <w:r w:rsidR="00CC106E">
        <w:t>M</w:t>
      </w:r>
      <w:r w:rsidR="00B56FA7">
        <w:t xml:space="preserve">unicipio no explica de manera clara por qué es necesaria realizar la ampliación del plazo de ejecución de este </w:t>
      </w:r>
      <w:r w:rsidR="00CC106E">
        <w:t>C</w:t>
      </w:r>
      <w:r w:rsidR="00B56FA7">
        <w:t>ontrato, el cual</w:t>
      </w:r>
      <w:r w:rsidR="00BC7E28">
        <w:t xml:space="preserve">, </w:t>
      </w:r>
      <w:r w:rsidR="00B56FA7">
        <w:t xml:space="preserve">tan solo 4 meses atrás había sido suscrito. Esto evidencia una falla de planeación de la contratación </w:t>
      </w:r>
      <w:r w:rsidR="00E844CA">
        <w:t xml:space="preserve">ya que en este proceso se debe determinar previamente la necesidad </w:t>
      </w:r>
      <w:r w:rsidR="00BC76E8">
        <w:t xml:space="preserve">del servicio a </w:t>
      </w:r>
      <w:r w:rsidR="00BC76E8">
        <w:lastRenderedPageBreak/>
        <w:t>contratar y el tiempo requerido para desarrollar las actividades previamente establecidas</w:t>
      </w:r>
      <w:r w:rsidR="00BC7E28">
        <w:t xml:space="preserve"> en el </w:t>
      </w:r>
      <w:r w:rsidR="00CC106E">
        <w:t>C</w:t>
      </w:r>
      <w:r w:rsidR="00BC7E28">
        <w:t>ontrato y en los estudios previos, así como en el proyecto que lo sustenta</w:t>
      </w:r>
      <w:r w:rsidR="00BC76E8">
        <w:t>.</w:t>
      </w:r>
    </w:p>
    <w:p w14:paraId="6904B84A" w14:textId="77777777" w:rsidR="008D787F" w:rsidRDefault="008D787F">
      <w:pPr>
        <w:spacing w:line="240" w:lineRule="auto"/>
        <w:contextualSpacing/>
        <w:jc w:val="both"/>
      </w:pPr>
    </w:p>
    <w:p w14:paraId="751ED4EF" w14:textId="77777777" w:rsidR="008D787F" w:rsidRDefault="008D787F">
      <w:pPr>
        <w:spacing w:line="240" w:lineRule="auto"/>
        <w:contextualSpacing/>
        <w:jc w:val="both"/>
      </w:pPr>
      <w:r>
        <w:t xml:space="preserve">A lo anterior se agrega el hecho de que la adición representa </w:t>
      </w:r>
      <w:r w:rsidRPr="008D787F">
        <w:t>un valor mensual de $1.350.000</w:t>
      </w:r>
      <w:r w:rsidR="00E8235D">
        <w:t>;</w:t>
      </w:r>
      <w:r>
        <w:t xml:space="preserve"> es decir, hay una diferencia de $450.000 en el pago mensual a realizar al contratista en contraste con el valor inicial</w:t>
      </w:r>
      <w:r w:rsidR="00B93570">
        <w:t xml:space="preserve"> del </w:t>
      </w:r>
      <w:r w:rsidR="00E8235D">
        <w:t>C</w:t>
      </w:r>
      <w:r w:rsidR="00B93570">
        <w:t>ontrato</w:t>
      </w:r>
      <w:r>
        <w:t>. A</w:t>
      </w:r>
      <w:r w:rsidRPr="008D787F">
        <w:t xml:space="preserve">l ser un contrato de prestación de servicios se entendería que el valor del contrato está dispuesto para sufragar los gastos que se generen como pago del contratista; en este orden de ideas, es necesario que la justificación del Otrosí suscrito sustente de manera inequívoca la razón del aumento de </w:t>
      </w:r>
      <w:r w:rsidR="007C2A39">
        <w:t>dichos pagos</w:t>
      </w:r>
      <w:r w:rsidRPr="008D787F">
        <w:t>.</w:t>
      </w:r>
    </w:p>
    <w:p w14:paraId="3ADBBDCD" w14:textId="77777777" w:rsidR="00CC106E" w:rsidRDefault="00CC106E">
      <w:pPr>
        <w:spacing w:line="240" w:lineRule="auto"/>
        <w:contextualSpacing/>
        <w:jc w:val="both"/>
      </w:pPr>
    </w:p>
    <w:p w14:paraId="1B0D2762" w14:textId="77777777" w:rsidR="00AB4706" w:rsidRDefault="007F73CB">
      <w:pPr>
        <w:spacing w:line="240" w:lineRule="auto"/>
        <w:contextualSpacing/>
        <w:jc w:val="both"/>
        <w:rPr>
          <w:rFonts w:eastAsia="Arial" w:cs="Arial"/>
          <w:color w:val="000000" w:themeColor="text1"/>
          <w:lang w:val="es-CO"/>
        </w:rPr>
      </w:pPr>
      <w:r>
        <w:t>Esta misma situación se presenta en el caso de</w:t>
      </w:r>
      <w:r w:rsidR="004C20CA">
        <w:t>l</w:t>
      </w:r>
      <w:r>
        <w:t xml:space="preserve"> coordinador de cultura del </w:t>
      </w:r>
      <w:r w:rsidR="00A77447">
        <w:t>M</w:t>
      </w:r>
      <w:r>
        <w:t>unicipio,</w:t>
      </w:r>
      <w:r w:rsidR="00EE55CB">
        <w:t xml:space="preserve"> </w:t>
      </w:r>
      <w:r w:rsidR="00A77447">
        <w:t>C</w:t>
      </w:r>
      <w:r w:rsidR="00AD20AD">
        <w:t>ontrato CPS-023-2018</w:t>
      </w:r>
      <w:r w:rsidR="006C65F3">
        <w:t xml:space="preserve"> con objeto “</w:t>
      </w:r>
      <w:r w:rsidR="006C65F3" w:rsidRPr="0079286A">
        <w:rPr>
          <w:rFonts w:eastAsia="Times New Roman" w:cs="Arial"/>
          <w:i/>
          <w:iCs/>
          <w:color w:val="000000"/>
          <w:lang w:val="es-CO" w:eastAsia="es-CO"/>
        </w:rPr>
        <w:t>Fortalecimiento al sector cultura mediante la prestación del servicio como coordinador de cultura del municipio de Leguízamo</w:t>
      </w:r>
      <w:r w:rsidR="006C65F3" w:rsidRPr="006C65F3">
        <w:rPr>
          <w:rFonts w:eastAsia="Times New Roman" w:cs="Arial"/>
          <w:color w:val="000000"/>
          <w:lang w:val="es-CO" w:eastAsia="es-CO"/>
        </w:rPr>
        <w:t>”</w:t>
      </w:r>
      <w:r>
        <w:t xml:space="preserve"> </w:t>
      </w:r>
      <w:r w:rsidR="004C20CA">
        <w:t>y financiado con recursos de Propósito General -</w:t>
      </w:r>
      <w:r w:rsidR="00D92D6E">
        <w:t xml:space="preserve"> </w:t>
      </w:r>
      <w:r w:rsidR="004C20CA">
        <w:t xml:space="preserve">Cultura, </w:t>
      </w:r>
      <w:r w:rsidR="00D4341B">
        <w:t>en donde se contrata a la persona encargada de</w:t>
      </w:r>
      <w:r w:rsidR="00D4341B">
        <w:rPr>
          <w:rFonts w:eastAsia="Arial" w:cs="Arial"/>
          <w:color w:val="000000" w:themeColor="text1"/>
          <w:lang w:val="es-CO"/>
        </w:rPr>
        <w:t xml:space="preserve"> la formulación de los proyectos, el seguimiento a las escuelas culturales y demás actividades relacionadas con el </w:t>
      </w:r>
      <w:r w:rsidR="00E8235D">
        <w:rPr>
          <w:rFonts w:eastAsia="Arial" w:cs="Arial"/>
          <w:color w:val="000000" w:themeColor="text1"/>
          <w:lang w:val="es-CO"/>
        </w:rPr>
        <w:t>S</w:t>
      </w:r>
      <w:r w:rsidR="00D4341B">
        <w:rPr>
          <w:rFonts w:eastAsia="Arial" w:cs="Arial"/>
          <w:color w:val="000000" w:themeColor="text1"/>
          <w:lang w:val="es-CO"/>
        </w:rPr>
        <w:t xml:space="preserve">ector de Cultura. Como se mencionó anteriormente, estas actividades </w:t>
      </w:r>
      <w:r w:rsidR="00D92833" w:rsidRPr="00D4341B">
        <w:rPr>
          <w:rFonts w:eastAsia="Arial" w:cs="Arial"/>
          <w:color w:val="000000" w:themeColor="text1"/>
          <w:lang w:val="es-CO"/>
        </w:rPr>
        <w:t>tienen otros atributos como la recurrencia, que son operativos, no forman capital y tampoco permiten la instalación o aumento de las capacidades en las entidades.</w:t>
      </w:r>
      <w:r w:rsidR="00D92833">
        <w:rPr>
          <w:rFonts w:eastAsia="Arial" w:cs="Arial"/>
          <w:color w:val="000000" w:themeColor="text1"/>
          <w:lang w:val="es-CO"/>
        </w:rPr>
        <w:t xml:space="preserve"> Por esta razón,</w:t>
      </w:r>
      <w:r w:rsidR="00D92833" w:rsidRPr="00D92833">
        <w:t xml:space="preserve"> </w:t>
      </w:r>
      <w:r w:rsidR="00D92833" w:rsidRPr="00D92833">
        <w:rPr>
          <w:rFonts w:eastAsia="Arial" w:cs="Arial"/>
          <w:color w:val="000000" w:themeColor="text1"/>
          <w:lang w:val="es-CO"/>
        </w:rPr>
        <w:t>deben ser clasificados como gastos de funcionamiento en aplicación de lo indicado por el Estatuto Orgánico de Presupuesto, y deben ser financiados con cargo a Ingresos Corrientes de Libre Destinación</w:t>
      </w:r>
      <w:r w:rsidR="00D92833">
        <w:rPr>
          <w:rFonts w:eastAsia="Arial" w:cs="Arial"/>
          <w:color w:val="000000" w:themeColor="text1"/>
          <w:lang w:val="es-CO"/>
        </w:rPr>
        <w:t>.</w:t>
      </w:r>
    </w:p>
    <w:p w14:paraId="62ACA022" w14:textId="77777777" w:rsidR="00AB4706" w:rsidRDefault="00AB4706">
      <w:pPr>
        <w:spacing w:line="240" w:lineRule="auto"/>
        <w:contextualSpacing/>
        <w:jc w:val="both"/>
        <w:rPr>
          <w:rFonts w:eastAsia="Arial" w:cs="Arial"/>
          <w:color w:val="000000" w:themeColor="text1"/>
          <w:lang w:val="es-CO"/>
        </w:rPr>
      </w:pPr>
    </w:p>
    <w:p w14:paraId="138827C6" w14:textId="77777777" w:rsidR="007F73CB" w:rsidRDefault="00D92833">
      <w:pPr>
        <w:spacing w:line="240" w:lineRule="auto"/>
        <w:contextualSpacing/>
        <w:jc w:val="both"/>
      </w:pPr>
      <w:r>
        <w:rPr>
          <w:rFonts w:eastAsia="Arial" w:cs="Arial"/>
          <w:color w:val="000000" w:themeColor="text1"/>
          <w:lang w:val="es-CO"/>
        </w:rPr>
        <w:t xml:space="preserve">Lo anterior, debido a que los recursos de Propósito General para cultura, </w:t>
      </w:r>
      <w:r w:rsidR="00FB20D7">
        <w:t xml:space="preserve">normativamente están dirigidos a financiar, entre otros aspectos, el fomento al acceso, la innovación, la </w:t>
      </w:r>
      <w:r w:rsidR="0075070B">
        <w:t>creación y</w:t>
      </w:r>
      <w:r w:rsidR="00FB20D7">
        <w:t xml:space="preserve"> la producción artística y cultural</w:t>
      </w:r>
      <w:r w:rsidR="0075070B">
        <w:t>, así como fortalecer procesos de información, investigación, comunicación y formación, y las expresiones multiculturales. Por lo tanto, estos recursos no pueden destinarse a actividades que son de funcionamiento</w:t>
      </w:r>
      <w:r w:rsidR="00F63851">
        <w:t>:</w:t>
      </w:r>
    </w:p>
    <w:p w14:paraId="696A8E39" w14:textId="77777777" w:rsidR="00A77447" w:rsidRDefault="00A77447">
      <w:pPr>
        <w:spacing w:line="240" w:lineRule="auto"/>
        <w:contextualSpacing/>
        <w:jc w:val="both"/>
      </w:pPr>
    </w:p>
    <w:p w14:paraId="37DF22DC" w14:textId="77777777" w:rsidR="00F63851" w:rsidRPr="00FB27C3" w:rsidRDefault="00A77447">
      <w:pPr>
        <w:spacing w:line="240" w:lineRule="auto"/>
        <w:ind w:left="709"/>
        <w:contextualSpacing/>
        <w:jc w:val="both"/>
        <w:rPr>
          <w:i/>
          <w:iCs/>
          <w:sz w:val="18"/>
          <w:szCs w:val="18"/>
        </w:rPr>
      </w:pPr>
      <w:r w:rsidRPr="00FB27C3">
        <w:rPr>
          <w:sz w:val="18"/>
          <w:szCs w:val="18"/>
        </w:rPr>
        <w:t>“</w:t>
      </w:r>
      <w:r w:rsidR="00F63851" w:rsidRPr="00FB27C3">
        <w:rPr>
          <w:i/>
          <w:iCs/>
          <w:sz w:val="18"/>
          <w:szCs w:val="18"/>
        </w:rPr>
        <w:t>Se considera relevante precisar que los recursos de la participación de PPG inversión en cultura no se pueden destinar a financiar gastos de funcionamiento de la entidad o de la unidad administrativa municipal que ejecute la política y proyectos culturales del municipio</w:t>
      </w:r>
      <w:r w:rsidRPr="00FB27C3">
        <w:rPr>
          <w:sz w:val="18"/>
          <w:szCs w:val="18"/>
        </w:rPr>
        <w:t>”</w:t>
      </w:r>
      <w:r w:rsidR="00F63851" w:rsidRPr="00FB27C3">
        <w:rPr>
          <w:i/>
          <w:iCs/>
          <w:sz w:val="18"/>
          <w:szCs w:val="18"/>
        </w:rPr>
        <w:t xml:space="preserve">. </w:t>
      </w:r>
      <w:r w:rsidR="004C792C" w:rsidRPr="00FB27C3">
        <w:rPr>
          <w:rStyle w:val="Refdenotaalpie"/>
          <w:i/>
          <w:iCs/>
          <w:sz w:val="18"/>
          <w:szCs w:val="18"/>
        </w:rPr>
        <w:footnoteReference w:id="9"/>
      </w:r>
    </w:p>
    <w:p w14:paraId="064918F5" w14:textId="77777777" w:rsidR="00A77447" w:rsidRDefault="00A77447">
      <w:pPr>
        <w:spacing w:line="240" w:lineRule="auto"/>
        <w:contextualSpacing/>
        <w:jc w:val="both"/>
      </w:pPr>
    </w:p>
    <w:p w14:paraId="3D4F29F9" w14:textId="77777777" w:rsidR="0022681B" w:rsidRDefault="006C65F3">
      <w:pPr>
        <w:spacing w:line="240" w:lineRule="auto"/>
        <w:contextualSpacing/>
        <w:jc w:val="both"/>
      </w:pPr>
      <w:r>
        <w:t xml:space="preserve">Así mismo, el </w:t>
      </w:r>
      <w:r w:rsidR="00A77447">
        <w:t>M</w:t>
      </w:r>
      <w:r>
        <w:t xml:space="preserve">unicipio presenta financiación de gastos de carácter permanente asociados con el funcionamiento de la Biblioteca Municipal a través de la contratación de la Bibliotecaria financiada con los recursos de </w:t>
      </w:r>
      <w:r w:rsidR="00804E83">
        <w:t>SGP Cultura</w:t>
      </w:r>
      <w:r w:rsidR="00B76C57">
        <w:t xml:space="preserve"> como se muestra a continuación:</w:t>
      </w:r>
      <w:r w:rsidR="0022681B">
        <w:t xml:space="preserve"> </w:t>
      </w:r>
    </w:p>
    <w:p w14:paraId="210A0D6D" w14:textId="77777777" w:rsidR="0022681B" w:rsidRDefault="0022681B">
      <w:pPr>
        <w:spacing w:line="240" w:lineRule="auto"/>
        <w:contextualSpacing/>
        <w:jc w:val="both"/>
      </w:pPr>
    </w:p>
    <w:p w14:paraId="19B1CB84" w14:textId="77777777" w:rsidR="00F55B6B" w:rsidRPr="005370C5" w:rsidRDefault="00F55B6B">
      <w:pPr>
        <w:spacing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Pr>
          <w:rFonts w:eastAsia="Arial" w:cs="Arial"/>
          <w:b/>
          <w:bCs/>
          <w:sz w:val="20"/>
          <w:szCs w:val="20"/>
        </w:rPr>
        <w:t>1</w:t>
      </w:r>
      <w:r w:rsidR="00207690">
        <w:rPr>
          <w:rFonts w:eastAsia="Arial" w:cs="Arial"/>
          <w:b/>
          <w:bCs/>
          <w:sz w:val="20"/>
          <w:szCs w:val="20"/>
        </w:rPr>
        <w:t>4</w:t>
      </w:r>
    </w:p>
    <w:p w14:paraId="54D95447" w14:textId="77777777" w:rsidR="00F55B6B" w:rsidRDefault="00F55B6B">
      <w:pPr>
        <w:spacing w:after="0" w:line="240" w:lineRule="auto"/>
        <w:contextualSpacing/>
        <w:jc w:val="center"/>
        <w:rPr>
          <w:rFonts w:eastAsia="Arial" w:cs="Arial"/>
          <w:sz w:val="20"/>
          <w:szCs w:val="20"/>
        </w:rPr>
      </w:pPr>
      <w:r>
        <w:rPr>
          <w:rFonts w:eastAsia="Arial" w:cs="Arial"/>
          <w:sz w:val="20"/>
          <w:szCs w:val="20"/>
        </w:rPr>
        <w:t>Contratos de funcionamiento Cultura</w:t>
      </w:r>
    </w:p>
    <w:p w14:paraId="30831304" w14:textId="77777777" w:rsidR="00F55B6B" w:rsidRPr="00C16E4B" w:rsidRDefault="00F55B6B">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5543" w:type="pct"/>
        <w:jc w:val="center"/>
        <w:tblCellMar>
          <w:left w:w="70" w:type="dxa"/>
          <w:right w:w="70" w:type="dxa"/>
        </w:tblCellMar>
        <w:tblLook w:val="04A0" w:firstRow="1" w:lastRow="0" w:firstColumn="1" w:lastColumn="0" w:noHBand="0" w:noVBand="1"/>
      </w:tblPr>
      <w:tblGrid>
        <w:gridCol w:w="1198"/>
        <w:gridCol w:w="4092"/>
        <w:gridCol w:w="4126"/>
      </w:tblGrid>
      <w:tr w:rsidR="00CD6B93" w:rsidRPr="001D010B" w14:paraId="27F3FF90" w14:textId="77777777" w:rsidTr="00F55B6B">
        <w:trPr>
          <w:trHeight w:val="223"/>
          <w:jc w:val="center"/>
        </w:trPr>
        <w:tc>
          <w:tcPr>
            <w:tcW w:w="636"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2F7D5785" w14:textId="77777777" w:rsidR="00CD6B93" w:rsidRPr="00FB27C3" w:rsidRDefault="00CD6B9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173" w:type="pct"/>
            <w:tcBorders>
              <w:top w:val="single" w:sz="4" w:space="0" w:color="auto"/>
              <w:left w:val="nil"/>
              <w:bottom w:val="single" w:sz="4" w:space="0" w:color="auto"/>
              <w:right w:val="single" w:sz="4" w:space="0" w:color="auto"/>
            </w:tcBorders>
            <w:shd w:val="clear" w:color="000000" w:fill="CCCCFF"/>
            <w:vAlign w:val="center"/>
            <w:hideMark/>
          </w:tcPr>
          <w:p w14:paraId="769365B3" w14:textId="77777777" w:rsidR="00CD6B93" w:rsidRPr="00FB27C3" w:rsidRDefault="00CD6B9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 xml:space="preserve">CPS-039-2018 </w:t>
            </w:r>
          </w:p>
        </w:tc>
        <w:tc>
          <w:tcPr>
            <w:tcW w:w="2191" w:type="pct"/>
            <w:tcBorders>
              <w:top w:val="single" w:sz="4" w:space="0" w:color="auto"/>
              <w:left w:val="nil"/>
              <w:bottom w:val="single" w:sz="4" w:space="0" w:color="auto"/>
              <w:right w:val="single" w:sz="4" w:space="0" w:color="auto"/>
            </w:tcBorders>
            <w:shd w:val="clear" w:color="000000" w:fill="666699"/>
            <w:vAlign w:val="center"/>
            <w:hideMark/>
          </w:tcPr>
          <w:p w14:paraId="0FB182CF" w14:textId="77777777" w:rsidR="00CD6B93" w:rsidRPr="00FB27C3" w:rsidRDefault="00CD6B9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CD6B93" w:rsidRPr="001D010B" w14:paraId="62DEA75F" w14:textId="77777777" w:rsidTr="00FB27C3">
        <w:trPr>
          <w:trHeight w:val="433"/>
          <w:jc w:val="center"/>
        </w:trPr>
        <w:tc>
          <w:tcPr>
            <w:tcW w:w="636" w:type="pct"/>
            <w:vMerge w:val="restart"/>
            <w:tcBorders>
              <w:top w:val="nil"/>
              <w:left w:val="single" w:sz="4" w:space="0" w:color="auto"/>
              <w:bottom w:val="single" w:sz="4" w:space="0" w:color="auto"/>
              <w:right w:val="single" w:sz="4" w:space="0" w:color="auto"/>
            </w:tcBorders>
            <w:shd w:val="clear" w:color="000000" w:fill="666699"/>
            <w:vAlign w:val="center"/>
            <w:hideMark/>
          </w:tcPr>
          <w:p w14:paraId="56A01246" w14:textId="77777777" w:rsidR="00CD6B93" w:rsidRPr="00FB27C3" w:rsidRDefault="00CD6B9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173" w:type="pct"/>
            <w:vMerge w:val="restart"/>
            <w:tcBorders>
              <w:top w:val="nil"/>
              <w:left w:val="single" w:sz="4" w:space="0" w:color="auto"/>
              <w:bottom w:val="single" w:sz="4" w:space="0" w:color="auto"/>
              <w:right w:val="single" w:sz="4" w:space="0" w:color="auto"/>
            </w:tcBorders>
            <w:shd w:val="clear" w:color="auto" w:fill="auto"/>
            <w:vAlign w:val="center"/>
            <w:hideMark/>
          </w:tcPr>
          <w:p w14:paraId="55E9F4E6" w14:textId="77777777" w:rsidR="00CD6B93" w:rsidRPr="00FB27C3" w:rsidRDefault="00CD6B9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Prestación de servicios de apoyo a la gestión como bibliotecaria del </w:t>
            </w:r>
            <w:r w:rsidR="001D010B">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2191" w:type="pct"/>
            <w:vMerge w:val="restart"/>
            <w:tcBorders>
              <w:top w:val="nil"/>
              <w:left w:val="single" w:sz="4" w:space="0" w:color="auto"/>
              <w:bottom w:val="single" w:sz="4" w:space="0" w:color="auto"/>
              <w:right w:val="single" w:sz="4" w:space="0" w:color="auto"/>
            </w:tcBorders>
            <w:shd w:val="clear" w:color="auto" w:fill="auto"/>
            <w:vAlign w:val="bottom"/>
            <w:hideMark/>
          </w:tcPr>
          <w:p w14:paraId="0B6503DC" w14:textId="77777777" w:rsidR="001D010B" w:rsidRDefault="00CD6B9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Velar por la debida prestación de servicios de la Biblioteca a la comunidad, facilitando el acceso a las diferentes consultas</w:t>
            </w:r>
            <w:r w:rsidR="001D010B">
              <w:rPr>
                <w:rFonts w:eastAsia="Times New Roman" w:cs="Arial"/>
                <w:color w:val="000000"/>
                <w:sz w:val="18"/>
                <w:szCs w:val="18"/>
                <w:lang w:val="es-CO" w:eastAsia="es-CO"/>
              </w:rPr>
              <w:t>.</w:t>
            </w:r>
          </w:p>
          <w:p w14:paraId="3D51BC67" w14:textId="77777777" w:rsidR="001D010B" w:rsidRDefault="00CD6B9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Mantener en estricto orden y cuidado los libros, los bienes y los equipos pertenecientes a la Biblioteca Pública Municipal</w:t>
            </w:r>
            <w:r w:rsidR="001D010B">
              <w:rPr>
                <w:rFonts w:eastAsia="Times New Roman" w:cs="Arial"/>
                <w:color w:val="000000"/>
                <w:sz w:val="18"/>
                <w:szCs w:val="18"/>
                <w:lang w:val="es-CO" w:eastAsia="es-CO"/>
              </w:rPr>
              <w:t>.</w:t>
            </w:r>
          </w:p>
          <w:p w14:paraId="03B59F14" w14:textId="77777777" w:rsidR="001D010B" w:rsidRDefault="00CD6B9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lastRenderedPageBreak/>
              <w:t xml:space="preserve">3. Fomentar la lectura en niños y niñas de las instituciones educativas del </w:t>
            </w:r>
            <w:r w:rsidR="001D010B">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r w:rsidR="001D010B">
              <w:rPr>
                <w:rFonts w:eastAsia="Times New Roman" w:cs="Arial"/>
                <w:color w:val="000000"/>
                <w:sz w:val="18"/>
                <w:szCs w:val="18"/>
                <w:lang w:val="es-CO" w:eastAsia="es-CO"/>
              </w:rPr>
              <w:t>.</w:t>
            </w:r>
          </w:p>
          <w:p w14:paraId="69A465B4" w14:textId="77777777" w:rsidR="00CD6B93" w:rsidRPr="00FB27C3" w:rsidRDefault="00CD6B9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4. Realiza jornadas de lectura con la población adulto mayor</w:t>
            </w:r>
            <w:r w:rsidR="00B00C77" w:rsidRPr="00FB27C3">
              <w:rPr>
                <w:rFonts w:eastAsia="Times New Roman" w:cs="Arial"/>
                <w:color w:val="000000"/>
                <w:sz w:val="18"/>
                <w:szCs w:val="18"/>
                <w:lang w:val="es-CO" w:eastAsia="es-CO"/>
              </w:rPr>
              <w:t>, entre otras.</w:t>
            </w:r>
          </w:p>
        </w:tc>
      </w:tr>
      <w:tr w:rsidR="00CD6B93" w:rsidRPr="001D010B" w14:paraId="30BC8FED" w14:textId="77777777" w:rsidTr="00FB27C3">
        <w:trPr>
          <w:trHeight w:val="433"/>
          <w:jc w:val="center"/>
        </w:trPr>
        <w:tc>
          <w:tcPr>
            <w:tcW w:w="636" w:type="pct"/>
            <w:vMerge/>
            <w:tcBorders>
              <w:top w:val="nil"/>
              <w:left w:val="single" w:sz="4" w:space="0" w:color="auto"/>
              <w:bottom w:val="single" w:sz="4" w:space="0" w:color="auto"/>
              <w:right w:val="single" w:sz="4" w:space="0" w:color="auto"/>
            </w:tcBorders>
            <w:vAlign w:val="center"/>
            <w:hideMark/>
          </w:tcPr>
          <w:p w14:paraId="12C7C074" w14:textId="77777777" w:rsidR="00CD6B93" w:rsidRPr="00FB27C3" w:rsidRDefault="00CD6B93">
            <w:pPr>
              <w:spacing w:after="0" w:line="240" w:lineRule="auto"/>
              <w:contextualSpacing/>
              <w:rPr>
                <w:rFonts w:eastAsia="Times New Roman" w:cs="Arial"/>
                <w:b/>
                <w:bCs/>
                <w:color w:val="FFFFFF"/>
                <w:sz w:val="18"/>
                <w:szCs w:val="18"/>
                <w:lang w:val="es-CO" w:eastAsia="es-CO"/>
              </w:rPr>
            </w:pPr>
          </w:p>
        </w:tc>
        <w:tc>
          <w:tcPr>
            <w:tcW w:w="2173" w:type="pct"/>
            <w:vMerge/>
            <w:tcBorders>
              <w:top w:val="nil"/>
              <w:left w:val="single" w:sz="4" w:space="0" w:color="auto"/>
              <w:bottom w:val="single" w:sz="4" w:space="0" w:color="auto"/>
              <w:right w:val="single" w:sz="4" w:space="0" w:color="auto"/>
            </w:tcBorders>
            <w:vAlign w:val="center"/>
            <w:hideMark/>
          </w:tcPr>
          <w:p w14:paraId="142EECEC" w14:textId="77777777" w:rsidR="00CD6B93" w:rsidRPr="00FB27C3" w:rsidRDefault="00CD6B93">
            <w:pPr>
              <w:spacing w:after="0" w:line="240" w:lineRule="auto"/>
              <w:contextualSpacing/>
              <w:jc w:val="center"/>
              <w:rPr>
                <w:rFonts w:eastAsia="Times New Roman" w:cs="Arial"/>
                <w:color w:val="000000"/>
                <w:sz w:val="18"/>
                <w:szCs w:val="18"/>
                <w:lang w:val="es-CO" w:eastAsia="es-CO"/>
              </w:rPr>
            </w:pPr>
          </w:p>
        </w:tc>
        <w:tc>
          <w:tcPr>
            <w:tcW w:w="2191" w:type="pct"/>
            <w:vMerge/>
            <w:tcBorders>
              <w:top w:val="nil"/>
              <w:left w:val="single" w:sz="4" w:space="0" w:color="auto"/>
              <w:bottom w:val="single" w:sz="4" w:space="0" w:color="auto"/>
              <w:right w:val="single" w:sz="4" w:space="0" w:color="auto"/>
            </w:tcBorders>
            <w:vAlign w:val="center"/>
            <w:hideMark/>
          </w:tcPr>
          <w:p w14:paraId="6743D7D9" w14:textId="77777777" w:rsidR="00CD6B93" w:rsidRPr="00FB27C3" w:rsidRDefault="00CD6B93">
            <w:pPr>
              <w:spacing w:after="0" w:line="240" w:lineRule="auto"/>
              <w:contextualSpacing/>
              <w:rPr>
                <w:rFonts w:eastAsia="Times New Roman" w:cs="Arial"/>
                <w:color w:val="000000"/>
                <w:sz w:val="18"/>
                <w:szCs w:val="18"/>
                <w:lang w:val="es-CO" w:eastAsia="es-CO"/>
              </w:rPr>
            </w:pPr>
          </w:p>
        </w:tc>
      </w:tr>
      <w:tr w:rsidR="00CD6B93" w:rsidRPr="001D010B" w14:paraId="1B41B4B7" w14:textId="77777777" w:rsidTr="00FB27C3">
        <w:trPr>
          <w:trHeight w:val="496"/>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4CEA46BF" w14:textId="77777777" w:rsidR="00CD6B93" w:rsidRPr="00FB27C3" w:rsidRDefault="00CD6B9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173" w:type="pct"/>
            <w:tcBorders>
              <w:top w:val="nil"/>
              <w:left w:val="nil"/>
              <w:bottom w:val="single" w:sz="4" w:space="0" w:color="auto"/>
              <w:right w:val="single" w:sz="4" w:space="0" w:color="auto"/>
            </w:tcBorders>
            <w:shd w:val="clear" w:color="auto" w:fill="auto"/>
            <w:noWrap/>
            <w:vAlign w:val="center"/>
            <w:hideMark/>
          </w:tcPr>
          <w:p w14:paraId="52A8EA72" w14:textId="77777777" w:rsidR="00CD6B93" w:rsidRPr="00FB27C3" w:rsidRDefault="00A77447">
            <w:pPr>
              <w:spacing w:after="0" w:line="240" w:lineRule="auto"/>
              <w:contextualSpacing/>
              <w:jc w:val="center"/>
              <w:rPr>
                <w:rFonts w:eastAsia="Times New Roman" w:cs="Arial"/>
                <w:color w:val="000000"/>
                <w:sz w:val="18"/>
                <w:szCs w:val="18"/>
                <w:lang w:val="es-CO" w:eastAsia="es-CO"/>
              </w:rPr>
            </w:pPr>
            <w:r w:rsidRPr="001D010B">
              <w:rPr>
                <w:rFonts w:eastAsia="Times New Roman" w:cs="Arial"/>
                <w:color w:val="000000"/>
                <w:sz w:val="18"/>
                <w:szCs w:val="18"/>
                <w:lang w:val="es-CO" w:eastAsia="es-CO"/>
              </w:rPr>
              <w:t>Diana Carolina Sánchez Ordoñez</w:t>
            </w:r>
          </w:p>
        </w:tc>
        <w:tc>
          <w:tcPr>
            <w:tcW w:w="2191" w:type="pct"/>
            <w:vMerge/>
            <w:tcBorders>
              <w:top w:val="nil"/>
              <w:left w:val="single" w:sz="4" w:space="0" w:color="auto"/>
              <w:bottom w:val="single" w:sz="4" w:space="0" w:color="auto"/>
              <w:right w:val="single" w:sz="4" w:space="0" w:color="auto"/>
            </w:tcBorders>
            <w:vAlign w:val="center"/>
            <w:hideMark/>
          </w:tcPr>
          <w:p w14:paraId="3537082F" w14:textId="77777777" w:rsidR="00CD6B93" w:rsidRPr="00FB27C3" w:rsidRDefault="00CD6B93">
            <w:pPr>
              <w:spacing w:after="0" w:line="240" w:lineRule="auto"/>
              <w:contextualSpacing/>
              <w:rPr>
                <w:rFonts w:eastAsia="Times New Roman" w:cs="Arial"/>
                <w:color w:val="000000"/>
                <w:sz w:val="18"/>
                <w:szCs w:val="18"/>
                <w:lang w:val="es-CO" w:eastAsia="es-CO"/>
              </w:rPr>
            </w:pPr>
          </w:p>
        </w:tc>
      </w:tr>
      <w:tr w:rsidR="00CD6B93" w:rsidRPr="001D010B" w14:paraId="7FCF038C" w14:textId="77777777" w:rsidTr="00FB27C3">
        <w:trPr>
          <w:trHeight w:val="542"/>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42BE8874" w14:textId="77777777" w:rsidR="00CD6B93" w:rsidRPr="00FB27C3" w:rsidRDefault="00CD6B9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lastRenderedPageBreak/>
              <w:t>Valor</w:t>
            </w:r>
          </w:p>
        </w:tc>
        <w:tc>
          <w:tcPr>
            <w:tcW w:w="2173" w:type="pct"/>
            <w:tcBorders>
              <w:top w:val="nil"/>
              <w:left w:val="nil"/>
              <w:bottom w:val="single" w:sz="4" w:space="0" w:color="auto"/>
              <w:right w:val="single" w:sz="4" w:space="0" w:color="auto"/>
            </w:tcBorders>
            <w:shd w:val="clear" w:color="auto" w:fill="auto"/>
            <w:vAlign w:val="center"/>
            <w:hideMark/>
          </w:tcPr>
          <w:p w14:paraId="228597EB" w14:textId="77777777" w:rsidR="00CD6B93" w:rsidRPr="00FB27C3" w:rsidRDefault="00CD6B9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$3.600.000</w:t>
            </w:r>
          </w:p>
        </w:tc>
        <w:tc>
          <w:tcPr>
            <w:tcW w:w="2191" w:type="pct"/>
            <w:vMerge/>
            <w:tcBorders>
              <w:top w:val="nil"/>
              <w:left w:val="single" w:sz="4" w:space="0" w:color="auto"/>
              <w:bottom w:val="single" w:sz="4" w:space="0" w:color="auto"/>
              <w:right w:val="single" w:sz="4" w:space="0" w:color="auto"/>
            </w:tcBorders>
            <w:vAlign w:val="center"/>
            <w:hideMark/>
          </w:tcPr>
          <w:p w14:paraId="7A21DAAC" w14:textId="77777777" w:rsidR="00CD6B93" w:rsidRPr="00FB27C3" w:rsidRDefault="00CD6B93">
            <w:pPr>
              <w:spacing w:after="0" w:line="240" w:lineRule="auto"/>
              <w:contextualSpacing/>
              <w:rPr>
                <w:rFonts w:eastAsia="Times New Roman" w:cs="Arial"/>
                <w:color w:val="000000"/>
                <w:sz w:val="18"/>
                <w:szCs w:val="18"/>
                <w:lang w:val="es-CO" w:eastAsia="es-CO"/>
              </w:rPr>
            </w:pPr>
          </w:p>
        </w:tc>
      </w:tr>
      <w:tr w:rsidR="00CD6B93" w:rsidRPr="001D010B" w14:paraId="5BBC8CEE" w14:textId="77777777" w:rsidTr="00FB27C3">
        <w:trPr>
          <w:trHeight w:val="340"/>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43C816DB" w14:textId="77777777" w:rsidR="00CD6B93" w:rsidRPr="00FB27C3" w:rsidRDefault="00CD6B9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173" w:type="pct"/>
            <w:tcBorders>
              <w:top w:val="nil"/>
              <w:left w:val="nil"/>
              <w:bottom w:val="single" w:sz="4" w:space="0" w:color="auto"/>
              <w:right w:val="single" w:sz="4" w:space="0" w:color="auto"/>
            </w:tcBorders>
            <w:shd w:val="clear" w:color="auto" w:fill="auto"/>
            <w:noWrap/>
            <w:vAlign w:val="center"/>
            <w:hideMark/>
          </w:tcPr>
          <w:p w14:paraId="6E21B948" w14:textId="77777777" w:rsidR="00CD6B93" w:rsidRPr="00FB27C3" w:rsidRDefault="00CD6B9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 meses</w:t>
            </w:r>
          </w:p>
        </w:tc>
        <w:tc>
          <w:tcPr>
            <w:tcW w:w="2191" w:type="pct"/>
            <w:vMerge/>
            <w:tcBorders>
              <w:top w:val="nil"/>
              <w:left w:val="single" w:sz="4" w:space="0" w:color="auto"/>
              <w:bottom w:val="single" w:sz="4" w:space="0" w:color="auto"/>
              <w:right w:val="single" w:sz="4" w:space="0" w:color="auto"/>
            </w:tcBorders>
            <w:vAlign w:val="center"/>
            <w:hideMark/>
          </w:tcPr>
          <w:p w14:paraId="1ECDE450" w14:textId="77777777" w:rsidR="00CD6B93" w:rsidRPr="00FB27C3" w:rsidRDefault="00CD6B93">
            <w:pPr>
              <w:spacing w:after="0" w:line="240" w:lineRule="auto"/>
              <w:contextualSpacing/>
              <w:rPr>
                <w:rFonts w:eastAsia="Times New Roman" w:cs="Arial"/>
                <w:color w:val="000000"/>
                <w:sz w:val="18"/>
                <w:szCs w:val="18"/>
                <w:lang w:val="es-CO" w:eastAsia="es-CO"/>
              </w:rPr>
            </w:pPr>
          </w:p>
        </w:tc>
      </w:tr>
      <w:tr w:rsidR="00CD6B93" w:rsidRPr="001D010B" w14:paraId="0B312290" w14:textId="77777777" w:rsidTr="00F55B6B">
        <w:trPr>
          <w:trHeight w:val="223"/>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6B776551" w14:textId="77777777" w:rsidR="00CD6B93" w:rsidRPr="00FB27C3" w:rsidRDefault="00CD6B9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173" w:type="pct"/>
            <w:tcBorders>
              <w:top w:val="nil"/>
              <w:left w:val="nil"/>
              <w:bottom w:val="single" w:sz="4" w:space="0" w:color="auto"/>
              <w:right w:val="single" w:sz="4" w:space="0" w:color="auto"/>
            </w:tcBorders>
            <w:shd w:val="clear" w:color="000000" w:fill="CCCCFF"/>
            <w:vAlign w:val="center"/>
            <w:hideMark/>
          </w:tcPr>
          <w:p w14:paraId="5E76D2FA" w14:textId="77777777" w:rsidR="00CD6B93" w:rsidRPr="00FB27C3" w:rsidRDefault="00CD6B9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 xml:space="preserve">CPS-064-2018 </w:t>
            </w:r>
          </w:p>
        </w:tc>
        <w:tc>
          <w:tcPr>
            <w:tcW w:w="2191" w:type="pct"/>
            <w:tcBorders>
              <w:top w:val="nil"/>
              <w:left w:val="nil"/>
              <w:bottom w:val="single" w:sz="4" w:space="0" w:color="auto"/>
              <w:right w:val="single" w:sz="4" w:space="0" w:color="auto"/>
            </w:tcBorders>
            <w:shd w:val="clear" w:color="000000" w:fill="666699"/>
            <w:vAlign w:val="center"/>
            <w:hideMark/>
          </w:tcPr>
          <w:p w14:paraId="0F88B915" w14:textId="77777777" w:rsidR="00CD6B93" w:rsidRPr="00FB27C3" w:rsidRDefault="00CD6B9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CD6B93" w:rsidRPr="001D010B" w14:paraId="65161191" w14:textId="77777777" w:rsidTr="00FB27C3">
        <w:trPr>
          <w:trHeight w:val="433"/>
          <w:jc w:val="center"/>
        </w:trPr>
        <w:tc>
          <w:tcPr>
            <w:tcW w:w="636" w:type="pct"/>
            <w:vMerge w:val="restart"/>
            <w:tcBorders>
              <w:top w:val="nil"/>
              <w:left w:val="single" w:sz="4" w:space="0" w:color="auto"/>
              <w:bottom w:val="single" w:sz="4" w:space="0" w:color="auto"/>
              <w:right w:val="single" w:sz="4" w:space="0" w:color="auto"/>
            </w:tcBorders>
            <w:shd w:val="clear" w:color="000000" w:fill="666699"/>
            <w:vAlign w:val="center"/>
            <w:hideMark/>
          </w:tcPr>
          <w:p w14:paraId="7707B02C" w14:textId="77777777" w:rsidR="00CD6B93" w:rsidRPr="00FB27C3" w:rsidRDefault="00CD6B9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173" w:type="pct"/>
            <w:vMerge w:val="restart"/>
            <w:tcBorders>
              <w:top w:val="nil"/>
              <w:left w:val="single" w:sz="4" w:space="0" w:color="auto"/>
              <w:bottom w:val="single" w:sz="4" w:space="0" w:color="auto"/>
              <w:right w:val="single" w:sz="4" w:space="0" w:color="auto"/>
            </w:tcBorders>
            <w:shd w:val="clear" w:color="auto" w:fill="auto"/>
            <w:vAlign w:val="center"/>
            <w:hideMark/>
          </w:tcPr>
          <w:p w14:paraId="7CFE7B39" w14:textId="77777777" w:rsidR="00CD6B93" w:rsidRPr="00FB27C3" w:rsidRDefault="00CD6B9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Prestación de servicios de apoyo a la gestión para la implementación de estrategias para el fomento de la lectura en la biblioteca municipal y biblioteca móvil en el </w:t>
            </w:r>
            <w:r w:rsidR="001D010B">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de Leguízamo, </w:t>
            </w:r>
            <w:r w:rsidR="001D010B">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 Putumayo, Amazonía</w:t>
            </w:r>
          </w:p>
        </w:tc>
        <w:tc>
          <w:tcPr>
            <w:tcW w:w="2191" w:type="pct"/>
            <w:vMerge w:val="restart"/>
            <w:tcBorders>
              <w:top w:val="nil"/>
              <w:left w:val="single" w:sz="4" w:space="0" w:color="auto"/>
              <w:bottom w:val="single" w:sz="4" w:space="0" w:color="auto"/>
              <w:right w:val="single" w:sz="4" w:space="0" w:color="auto"/>
            </w:tcBorders>
            <w:shd w:val="clear" w:color="auto" w:fill="auto"/>
            <w:vAlign w:val="bottom"/>
            <w:hideMark/>
          </w:tcPr>
          <w:p w14:paraId="49CA21A2" w14:textId="77777777" w:rsidR="001D010B" w:rsidRDefault="00CD6B9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Velar por la debida prestación de servicios de la Biblioteca a la comunidad, facilitando el acceso a las diferentes consultas</w:t>
            </w:r>
            <w:r w:rsidR="001D010B">
              <w:rPr>
                <w:rFonts w:eastAsia="Times New Roman" w:cs="Arial"/>
                <w:color w:val="000000"/>
                <w:sz w:val="18"/>
                <w:szCs w:val="18"/>
                <w:lang w:val="es-CO" w:eastAsia="es-CO"/>
              </w:rPr>
              <w:t>.</w:t>
            </w:r>
          </w:p>
          <w:p w14:paraId="6A791B4A" w14:textId="77777777" w:rsidR="001D010B" w:rsidRDefault="00CD6B9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Mantener en estricto orden y cuidado los libros, los bienes y los equipos</w:t>
            </w:r>
            <w:r w:rsidR="006047A2" w:rsidRPr="00FB27C3">
              <w:rPr>
                <w:rFonts w:eastAsia="Times New Roman" w:cs="Arial"/>
                <w:color w:val="000000"/>
                <w:sz w:val="18"/>
                <w:szCs w:val="18"/>
                <w:lang w:val="es-CO" w:eastAsia="es-CO"/>
              </w:rPr>
              <w:t xml:space="preserve"> p</w:t>
            </w:r>
            <w:r w:rsidRPr="00FB27C3">
              <w:rPr>
                <w:rFonts w:eastAsia="Times New Roman" w:cs="Arial"/>
                <w:color w:val="000000"/>
                <w:sz w:val="18"/>
                <w:szCs w:val="18"/>
                <w:lang w:val="es-CO" w:eastAsia="es-CO"/>
              </w:rPr>
              <w:t>ertenecientes a la Biblioteca Pública Municipal</w:t>
            </w:r>
            <w:r w:rsidR="001D010B">
              <w:rPr>
                <w:rFonts w:eastAsia="Times New Roman" w:cs="Arial"/>
                <w:color w:val="000000"/>
                <w:sz w:val="18"/>
                <w:szCs w:val="18"/>
                <w:lang w:val="es-CO" w:eastAsia="es-CO"/>
              </w:rPr>
              <w:t>.</w:t>
            </w:r>
          </w:p>
          <w:p w14:paraId="4318E51C" w14:textId="77777777" w:rsidR="001D010B" w:rsidRDefault="00CD6B9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Fomentar la lectura en niños y niñas de las instituciones educativas del </w:t>
            </w:r>
            <w:r w:rsidR="001D010B">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r w:rsidR="001D010B">
              <w:rPr>
                <w:rFonts w:eastAsia="Times New Roman" w:cs="Arial"/>
                <w:color w:val="000000"/>
                <w:sz w:val="18"/>
                <w:szCs w:val="18"/>
                <w:lang w:val="es-CO" w:eastAsia="es-CO"/>
              </w:rPr>
              <w:t>.</w:t>
            </w:r>
          </w:p>
          <w:p w14:paraId="2D1A4D59" w14:textId="77777777" w:rsidR="00CD6B93" w:rsidRPr="00FB27C3" w:rsidRDefault="00CD6B9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4. Realiza jornadas de lectura con la población adulto mayor</w:t>
            </w:r>
            <w:r w:rsidR="00B00C77" w:rsidRPr="00FB27C3">
              <w:rPr>
                <w:rFonts w:eastAsia="Times New Roman" w:cs="Arial"/>
                <w:color w:val="000000"/>
                <w:sz w:val="18"/>
                <w:szCs w:val="18"/>
                <w:lang w:val="es-CO" w:eastAsia="es-CO"/>
              </w:rPr>
              <w:t>, entre otras.</w:t>
            </w:r>
          </w:p>
        </w:tc>
      </w:tr>
      <w:tr w:rsidR="00CD6B93" w:rsidRPr="001D010B" w14:paraId="45939E76" w14:textId="77777777" w:rsidTr="00FB27C3">
        <w:trPr>
          <w:trHeight w:val="764"/>
          <w:jc w:val="center"/>
        </w:trPr>
        <w:tc>
          <w:tcPr>
            <w:tcW w:w="636" w:type="pct"/>
            <w:vMerge/>
            <w:tcBorders>
              <w:top w:val="nil"/>
              <w:left w:val="single" w:sz="4" w:space="0" w:color="auto"/>
              <w:bottom w:val="single" w:sz="4" w:space="0" w:color="auto"/>
              <w:right w:val="single" w:sz="4" w:space="0" w:color="auto"/>
            </w:tcBorders>
            <w:vAlign w:val="center"/>
            <w:hideMark/>
          </w:tcPr>
          <w:p w14:paraId="1AACD765" w14:textId="77777777" w:rsidR="00CD6B93" w:rsidRPr="00FB27C3" w:rsidRDefault="00CD6B93">
            <w:pPr>
              <w:spacing w:after="0" w:line="240" w:lineRule="auto"/>
              <w:contextualSpacing/>
              <w:rPr>
                <w:rFonts w:eastAsia="Times New Roman" w:cs="Arial"/>
                <w:b/>
                <w:bCs/>
                <w:color w:val="FFFFFF"/>
                <w:sz w:val="18"/>
                <w:szCs w:val="18"/>
                <w:lang w:val="es-CO" w:eastAsia="es-CO"/>
              </w:rPr>
            </w:pPr>
          </w:p>
        </w:tc>
        <w:tc>
          <w:tcPr>
            <w:tcW w:w="2173" w:type="pct"/>
            <w:vMerge/>
            <w:tcBorders>
              <w:top w:val="nil"/>
              <w:left w:val="single" w:sz="4" w:space="0" w:color="auto"/>
              <w:bottom w:val="single" w:sz="4" w:space="0" w:color="auto"/>
              <w:right w:val="single" w:sz="4" w:space="0" w:color="auto"/>
            </w:tcBorders>
            <w:vAlign w:val="center"/>
            <w:hideMark/>
          </w:tcPr>
          <w:p w14:paraId="73D010DC" w14:textId="77777777" w:rsidR="00CD6B93" w:rsidRPr="00FB27C3" w:rsidRDefault="00CD6B93">
            <w:pPr>
              <w:spacing w:after="0" w:line="240" w:lineRule="auto"/>
              <w:contextualSpacing/>
              <w:rPr>
                <w:rFonts w:eastAsia="Times New Roman" w:cs="Arial"/>
                <w:color w:val="000000"/>
                <w:sz w:val="18"/>
                <w:szCs w:val="18"/>
                <w:lang w:val="es-CO" w:eastAsia="es-CO"/>
              </w:rPr>
            </w:pPr>
          </w:p>
        </w:tc>
        <w:tc>
          <w:tcPr>
            <w:tcW w:w="2191" w:type="pct"/>
            <w:vMerge/>
            <w:tcBorders>
              <w:top w:val="nil"/>
              <w:left w:val="single" w:sz="4" w:space="0" w:color="auto"/>
              <w:bottom w:val="single" w:sz="4" w:space="0" w:color="auto"/>
              <w:right w:val="single" w:sz="4" w:space="0" w:color="auto"/>
            </w:tcBorders>
            <w:vAlign w:val="center"/>
            <w:hideMark/>
          </w:tcPr>
          <w:p w14:paraId="1023B997" w14:textId="77777777" w:rsidR="00CD6B93" w:rsidRPr="00FB27C3" w:rsidRDefault="00CD6B93">
            <w:pPr>
              <w:spacing w:after="0" w:line="240" w:lineRule="auto"/>
              <w:contextualSpacing/>
              <w:rPr>
                <w:rFonts w:eastAsia="Times New Roman" w:cs="Arial"/>
                <w:color w:val="000000"/>
                <w:sz w:val="18"/>
                <w:szCs w:val="18"/>
                <w:lang w:val="es-CO" w:eastAsia="es-CO"/>
              </w:rPr>
            </w:pPr>
          </w:p>
        </w:tc>
      </w:tr>
      <w:tr w:rsidR="00CD6B93" w:rsidRPr="001D010B" w14:paraId="6455DE4C" w14:textId="77777777" w:rsidTr="00FB27C3">
        <w:trPr>
          <w:trHeight w:val="457"/>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4B32EF15" w14:textId="77777777" w:rsidR="00CD6B93" w:rsidRPr="00FB27C3" w:rsidRDefault="00CD6B9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173" w:type="pct"/>
            <w:tcBorders>
              <w:top w:val="nil"/>
              <w:left w:val="nil"/>
              <w:bottom w:val="single" w:sz="4" w:space="0" w:color="auto"/>
              <w:right w:val="single" w:sz="4" w:space="0" w:color="auto"/>
            </w:tcBorders>
            <w:shd w:val="clear" w:color="auto" w:fill="auto"/>
            <w:noWrap/>
            <w:vAlign w:val="center"/>
            <w:hideMark/>
          </w:tcPr>
          <w:p w14:paraId="7C0AC6C7" w14:textId="77777777" w:rsidR="00CD6B93" w:rsidRPr="00FB27C3" w:rsidRDefault="00A77447">
            <w:pPr>
              <w:spacing w:after="0" w:line="240" w:lineRule="auto"/>
              <w:contextualSpacing/>
              <w:jc w:val="center"/>
              <w:rPr>
                <w:rFonts w:eastAsia="Times New Roman" w:cs="Arial"/>
                <w:color w:val="000000"/>
                <w:sz w:val="18"/>
                <w:szCs w:val="18"/>
                <w:lang w:val="es-CO" w:eastAsia="es-CO"/>
              </w:rPr>
            </w:pPr>
            <w:r w:rsidRPr="001D010B">
              <w:rPr>
                <w:rFonts w:eastAsia="Times New Roman" w:cs="Arial"/>
                <w:color w:val="000000"/>
                <w:sz w:val="18"/>
                <w:szCs w:val="18"/>
                <w:lang w:val="es-CO" w:eastAsia="es-CO"/>
              </w:rPr>
              <w:t>Tatiana Irasy Cort</w:t>
            </w:r>
            <w:r>
              <w:rPr>
                <w:rFonts w:eastAsia="Times New Roman" w:cs="Arial"/>
                <w:color w:val="000000"/>
                <w:sz w:val="18"/>
                <w:szCs w:val="18"/>
                <w:lang w:val="es-CO" w:eastAsia="es-CO"/>
              </w:rPr>
              <w:t>é</w:t>
            </w:r>
            <w:r w:rsidRPr="001D010B">
              <w:rPr>
                <w:rFonts w:eastAsia="Times New Roman" w:cs="Arial"/>
                <w:color w:val="000000"/>
                <w:sz w:val="18"/>
                <w:szCs w:val="18"/>
                <w:lang w:val="es-CO" w:eastAsia="es-CO"/>
              </w:rPr>
              <w:t>s Vidal</w:t>
            </w:r>
          </w:p>
        </w:tc>
        <w:tc>
          <w:tcPr>
            <w:tcW w:w="2191" w:type="pct"/>
            <w:vMerge/>
            <w:tcBorders>
              <w:top w:val="nil"/>
              <w:left w:val="single" w:sz="4" w:space="0" w:color="auto"/>
              <w:bottom w:val="single" w:sz="4" w:space="0" w:color="auto"/>
              <w:right w:val="single" w:sz="4" w:space="0" w:color="auto"/>
            </w:tcBorders>
            <w:vAlign w:val="center"/>
            <w:hideMark/>
          </w:tcPr>
          <w:p w14:paraId="4478AB71" w14:textId="77777777" w:rsidR="00CD6B93" w:rsidRPr="00FB27C3" w:rsidRDefault="00CD6B93">
            <w:pPr>
              <w:spacing w:after="0" w:line="240" w:lineRule="auto"/>
              <w:contextualSpacing/>
              <w:rPr>
                <w:rFonts w:eastAsia="Times New Roman" w:cs="Arial"/>
                <w:color w:val="000000"/>
                <w:sz w:val="18"/>
                <w:szCs w:val="18"/>
                <w:lang w:val="es-CO" w:eastAsia="es-CO"/>
              </w:rPr>
            </w:pPr>
          </w:p>
        </w:tc>
      </w:tr>
      <w:tr w:rsidR="00CD6B93" w:rsidRPr="001D010B" w14:paraId="18D7AC9C" w14:textId="77777777" w:rsidTr="00F55B6B">
        <w:trPr>
          <w:trHeight w:val="477"/>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4D3DF80E" w14:textId="77777777" w:rsidR="00CD6B93" w:rsidRPr="00FB27C3" w:rsidRDefault="00CD6B9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173" w:type="pct"/>
            <w:tcBorders>
              <w:top w:val="nil"/>
              <w:left w:val="nil"/>
              <w:bottom w:val="single" w:sz="4" w:space="0" w:color="auto"/>
              <w:right w:val="single" w:sz="4" w:space="0" w:color="auto"/>
            </w:tcBorders>
            <w:shd w:val="clear" w:color="auto" w:fill="auto"/>
            <w:vAlign w:val="center"/>
            <w:hideMark/>
          </w:tcPr>
          <w:p w14:paraId="5D6200E2" w14:textId="77777777" w:rsidR="00CD6B93" w:rsidRPr="00FB27C3" w:rsidRDefault="00CD6B9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$5.000.000</w:t>
            </w:r>
          </w:p>
        </w:tc>
        <w:tc>
          <w:tcPr>
            <w:tcW w:w="2191" w:type="pct"/>
            <w:vMerge/>
            <w:tcBorders>
              <w:top w:val="nil"/>
              <w:left w:val="single" w:sz="4" w:space="0" w:color="auto"/>
              <w:bottom w:val="single" w:sz="4" w:space="0" w:color="auto"/>
              <w:right w:val="single" w:sz="4" w:space="0" w:color="auto"/>
            </w:tcBorders>
            <w:vAlign w:val="center"/>
            <w:hideMark/>
          </w:tcPr>
          <w:p w14:paraId="13C8C91A" w14:textId="77777777" w:rsidR="00CD6B93" w:rsidRPr="00FB27C3" w:rsidRDefault="00CD6B93">
            <w:pPr>
              <w:spacing w:after="0" w:line="240" w:lineRule="auto"/>
              <w:contextualSpacing/>
              <w:rPr>
                <w:rFonts w:eastAsia="Times New Roman" w:cs="Arial"/>
                <w:color w:val="000000"/>
                <w:sz w:val="18"/>
                <w:szCs w:val="18"/>
                <w:lang w:val="es-CO" w:eastAsia="es-CO"/>
              </w:rPr>
            </w:pPr>
          </w:p>
        </w:tc>
      </w:tr>
      <w:tr w:rsidR="00CD6B93" w:rsidRPr="001D010B" w14:paraId="0F8B14B2" w14:textId="77777777" w:rsidTr="00FB27C3">
        <w:trPr>
          <w:trHeight w:val="223"/>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25059F0F" w14:textId="77777777" w:rsidR="00CD6B93" w:rsidRPr="00FB27C3" w:rsidRDefault="00CD6B9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173" w:type="pct"/>
            <w:tcBorders>
              <w:top w:val="nil"/>
              <w:left w:val="nil"/>
              <w:bottom w:val="single" w:sz="4" w:space="0" w:color="auto"/>
              <w:right w:val="single" w:sz="4" w:space="0" w:color="auto"/>
            </w:tcBorders>
            <w:shd w:val="clear" w:color="auto" w:fill="auto"/>
            <w:noWrap/>
            <w:vAlign w:val="center"/>
            <w:hideMark/>
          </w:tcPr>
          <w:p w14:paraId="63B3D9BD" w14:textId="77777777" w:rsidR="00CD6B93" w:rsidRPr="00FB27C3" w:rsidRDefault="00CD6B9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meses</w:t>
            </w:r>
          </w:p>
        </w:tc>
        <w:tc>
          <w:tcPr>
            <w:tcW w:w="2191" w:type="pct"/>
            <w:vMerge/>
            <w:tcBorders>
              <w:top w:val="nil"/>
              <w:left w:val="single" w:sz="4" w:space="0" w:color="auto"/>
              <w:bottom w:val="single" w:sz="4" w:space="0" w:color="auto"/>
              <w:right w:val="single" w:sz="4" w:space="0" w:color="auto"/>
            </w:tcBorders>
            <w:vAlign w:val="center"/>
            <w:hideMark/>
          </w:tcPr>
          <w:p w14:paraId="05B518F5" w14:textId="77777777" w:rsidR="00CD6B93" w:rsidRPr="00FB27C3" w:rsidRDefault="00CD6B93">
            <w:pPr>
              <w:spacing w:after="0" w:line="240" w:lineRule="auto"/>
              <w:contextualSpacing/>
              <w:rPr>
                <w:rFonts w:eastAsia="Times New Roman" w:cs="Arial"/>
                <w:color w:val="000000"/>
                <w:sz w:val="18"/>
                <w:szCs w:val="18"/>
                <w:lang w:val="es-CO" w:eastAsia="es-CO"/>
              </w:rPr>
            </w:pPr>
          </w:p>
        </w:tc>
      </w:tr>
    </w:tbl>
    <w:p w14:paraId="65A5B226" w14:textId="77777777" w:rsidR="00F55B6B" w:rsidRDefault="00F55B6B" w:rsidP="00286F4A">
      <w:pPr>
        <w:spacing w:line="240" w:lineRule="auto"/>
        <w:contextualSpacing/>
        <w:jc w:val="center"/>
        <w:rPr>
          <w:rFonts w:eastAsia="Arial" w:cs="Arial"/>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20B05291" w14:textId="77777777" w:rsidR="008622E7" w:rsidRPr="001729F6" w:rsidRDefault="008622E7" w:rsidP="001729F6">
      <w:pPr>
        <w:spacing w:line="240" w:lineRule="auto"/>
        <w:contextualSpacing/>
        <w:rPr>
          <w:szCs w:val="16"/>
        </w:rPr>
      </w:pPr>
    </w:p>
    <w:p w14:paraId="275C5AB2" w14:textId="77777777" w:rsidR="00AD0EC1" w:rsidRPr="00AD0EC1" w:rsidRDefault="00772887">
      <w:pPr>
        <w:spacing w:line="240" w:lineRule="auto"/>
        <w:contextualSpacing/>
        <w:jc w:val="both"/>
        <w:rPr>
          <w:rFonts w:eastAsia="Arial" w:cs="Arial"/>
          <w:lang w:val="es"/>
        </w:rPr>
      </w:pPr>
      <w:r>
        <w:rPr>
          <w:rFonts w:eastAsia="Arial" w:cs="Arial"/>
        </w:rPr>
        <w:t>L</w:t>
      </w:r>
      <w:r w:rsidR="003C1EFD">
        <w:rPr>
          <w:rFonts w:eastAsia="Arial" w:cs="Arial"/>
        </w:rPr>
        <w:t>as obligaciones específicas de las contratistas son iguales y materializan la misionalidad de la Biblioteca Municipal</w:t>
      </w:r>
      <w:r w:rsidR="000168F6">
        <w:rPr>
          <w:rFonts w:eastAsia="Arial" w:cs="Arial"/>
        </w:rPr>
        <w:t>. A</w:t>
      </w:r>
      <w:r w:rsidR="003C1EFD">
        <w:rPr>
          <w:rFonts w:eastAsia="Arial" w:cs="Arial"/>
        </w:rPr>
        <w:t xml:space="preserve"> pesar de que existen algunas actividades </w:t>
      </w:r>
      <w:r w:rsidR="004D4749">
        <w:rPr>
          <w:rFonts w:eastAsia="Arial" w:cs="Arial"/>
        </w:rPr>
        <w:t xml:space="preserve">relacionadas con el fomento a la lectura, </w:t>
      </w:r>
      <w:r w:rsidR="00802B35">
        <w:rPr>
          <w:rFonts w:eastAsia="Arial" w:cs="Arial"/>
        </w:rPr>
        <w:t>que pueden considerarse como inversión, las otras actividades se asocian a la gestión</w:t>
      </w:r>
      <w:r w:rsidR="00B64B41">
        <w:rPr>
          <w:rFonts w:eastAsia="Arial" w:cs="Arial"/>
        </w:rPr>
        <w:t xml:space="preserve"> permanente de la Biblioteca</w:t>
      </w:r>
      <w:r w:rsidR="00802B35">
        <w:rPr>
          <w:rFonts w:eastAsia="Arial" w:cs="Arial"/>
        </w:rPr>
        <w:t xml:space="preserve">. </w:t>
      </w:r>
      <w:r w:rsidR="00AD0EC1" w:rsidRPr="00AD0EC1">
        <w:rPr>
          <w:rFonts w:eastAsia="Arial" w:cs="Arial"/>
        </w:rPr>
        <w:t xml:space="preserve">Como se evidencia, los </w:t>
      </w:r>
      <w:r w:rsidR="00CA1219">
        <w:rPr>
          <w:rFonts w:eastAsia="Arial" w:cs="Arial"/>
        </w:rPr>
        <w:t>C</w:t>
      </w:r>
      <w:r w:rsidR="00AD0EC1" w:rsidRPr="00AD0EC1">
        <w:rPr>
          <w:rFonts w:eastAsia="Arial" w:cs="Arial"/>
        </w:rPr>
        <w:t xml:space="preserve">ontratos </w:t>
      </w:r>
      <w:r w:rsidR="00CE76EA">
        <w:rPr>
          <w:rFonts w:eastAsia="Arial" w:cs="Arial"/>
        </w:rPr>
        <w:t xml:space="preserve">relacionados en el cuadro anterior </w:t>
      </w:r>
      <w:r w:rsidR="00AD0EC1" w:rsidRPr="00AD0EC1">
        <w:rPr>
          <w:rFonts w:eastAsia="Arial" w:cs="Arial"/>
        </w:rPr>
        <w:t xml:space="preserve">financian las actividades de funcionamiento de la Biblioteca del Municipio, </w:t>
      </w:r>
      <w:r w:rsidR="00B76C57">
        <w:rPr>
          <w:rFonts w:eastAsia="Arial" w:cs="Arial"/>
        </w:rPr>
        <w:t>a pesar de que</w:t>
      </w:r>
      <w:r w:rsidR="00AD0EC1" w:rsidRPr="00AD0EC1">
        <w:rPr>
          <w:rFonts w:eastAsia="Arial" w:cs="Arial"/>
        </w:rPr>
        <w:t xml:space="preserve"> los recursos de Propósito General de Cultura deben ir orientados a financiar el gasto social en materia de Cultura bajo el marco legal</w:t>
      </w:r>
      <w:r w:rsidR="00B76C57">
        <w:rPr>
          <w:rFonts w:eastAsia="Arial" w:cs="Arial"/>
        </w:rPr>
        <w:t>, e</w:t>
      </w:r>
      <w:r w:rsidR="00AD0EC1" w:rsidRPr="00AD0EC1">
        <w:rPr>
          <w:rFonts w:eastAsia="Arial" w:cs="Arial"/>
        </w:rPr>
        <w:t>specíficamente,</w:t>
      </w:r>
      <w:r w:rsidR="00AD0EC1" w:rsidRPr="00AD0EC1">
        <w:rPr>
          <w:rFonts w:eastAsia="Arial" w:cs="Arial"/>
          <w:lang w:val="es"/>
        </w:rPr>
        <w:t xml:space="preserve"> </w:t>
      </w:r>
      <w:r w:rsidR="00B76C57">
        <w:rPr>
          <w:rFonts w:eastAsia="Arial" w:cs="Arial"/>
          <w:lang w:val="es"/>
        </w:rPr>
        <w:t>l</w:t>
      </w:r>
      <w:r w:rsidR="00AD0EC1" w:rsidRPr="00AD0EC1">
        <w:rPr>
          <w:rFonts w:eastAsia="Arial" w:cs="Arial"/>
          <w:lang w:val="es"/>
        </w:rPr>
        <w:t xml:space="preserve">as competencias que se encuentran dadas por el artículo 76 de la Ley 715 de 2001. </w:t>
      </w:r>
      <w:r w:rsidR="00B76C57">
        <w:rPr>
          <w:rFonts w:eastAsia="Arial" w:cs="Arial"/>
          <w:lang w:val="es"/>
        </w:rPr>
        <w:t>En este caso, p</w:t>
      </w:r>
      <w:r w:rsidR="00AD0EC1" w:rsidRPr="00AD0EC1">
        <w:rPr>
          <w:rFonts w:eastAsia="Arial" w:cs="Arial"/>
          <w:lang w:val="es"/>
        </w:rPr>
        <w:t xml:space="preserve">ara la destinación de Cultura, el numeral 8 del mismo artículo define </w:t>
      </w:r>
      <w:r w:rsidR="00B76C57">
        <w:rPr>
          <w:rFonts w:eastAsia="Arial" w:cs="Arial"/>
          <w:lang w:val="es"/>
        </w:rPr>
        <w:t>los gastos susceptibles de ser financiados con</w:t>
      </w:r>
      <w:r w:rsidR="00AD0EC1" w:rsidRPr="00AD0EC1">
        <w:rPr>
          <w:rFonts w:eastAsia="Arial" w:cs="Arial"/>
          <w:lang w:val="es"/>
        </w:rPr>
        <w:t xml:space="preserve"> estos recursos:</w:t>
      </w:r>
    </w:p>
    <w:p w14:paraId="1D102639" w14:textId="77777777" w:rsidR="00AD0EC1" w:rsidRPr="00AD0EC1" w:rsidRDefault="00AD0EC1">
      <w:pPr>
        <w:spacing w:line="240" w:lineRule="auto"/>
        <w:contextualSpacing/>
        <w:jc w:val="both"/>
        <w:rPr>
          <w:lang w:val="es"/>
        </w:rPr>
      </w:pPr>
    </w:p>
    <w:p w14:paraId="0F971E18" w14:textId="77777777" w:rsidR="00AD0EC1" w:rsidRPr="00FB27C3" w:rsidRDefault="00AD0EC1">
      <w:pPr>
        <w:spacing w:line="240" w:lineRule="auto"/>
        <w:ind w:left="709"/>
        <w:contextualSpacing/>
        <w:jc w:val="both"/>
        <w:rPr>
          <w:sz w:val="18"/>
          <w:szCs w:val="18"/>
        </w:rPr>
      </w:pPr>
      <w:r w:rsidRPr="00CA1219">
        <w:rPr>
          <w:rFonts w:eastAsia="Arial" w:cs="Arial"/>
          <w:sz w:val="18"/>
          <w:szCs w:val="18"/>
          <w:lang w:val="es"/>
        </w:rPr>
        <w:t>“</w:t>
      </w:r>
      <w:r w:rsidRPr="00CA1219">
        <w:rPr>
          <w:rFonts w:eastAsia="Arial" w:cs="Arial"/>
          <w:i/>
          <w:iCs/>
          <w:sz w:val="18"/>
          <w:szCs w:val="18"/>
          <w:lang w:val="es"/>
        </w:rPr>
        <w:t>76.8.1. Fomentar el acceso, la innovación, la creación y la producción artística y cultural en el Municipio.</w:t>
      </w:r>
      <w:r w:rsidRPr="00CA1219">
        <w:rPr>
          <w:rFonts w:eastAsia="Arial" w:cs="Arial"/>
          <w:sz w:val="18"/>
          <w:szCs w:val="18"/>
          <w:lang w:val="es"/>
        </w:rPr>
        <w:t xml:space="preserve"> </w:t>
      </w:r>
    </w:p>
    <w:p w14:paraId="336A39D7" w14:textId="77777777" w:rsidR="00AD0EC1" w:rsidRPr="00FB27C3" w:rsidRDefault="00AD0EC1">
      <w:pPr>
        <w:spacing w:line="240" w:lineRule="auto"/>
        <w:ind w:left="709"/>
        <w:contextualSpacing/>
        <w:jc w:val="both"/>
        <w:rPr>
          <w:sz w:val="18"/>
          <w:szCs w:val="18"/>
        </w:rPr>
      </w:pPr>
      <w:r w:rsidRPr="00CA1219">
        <w:rPr>
          <w:rFonts w:eastAsia="Arial" w:cs="Arial"/>
          <w:i/>
          <w:iCs/>
          <w:sz w:val="18"/>
          <w:szCs w:val="18"/>
          <w:lang w:val="es"/>
        </w:rPr>
        <w:t>76.8.2. Apoyar y fortalecer los procesos de información, investigación, comunicación y formación y las expresiones multiculturales del Municipio.</w:t>
      </w:r>
      <w:r w:rsidRPr="00CA1219">
        <w:rPr>
          <w:rFonts w:eastAsia="Arial" w:cs="Arial"/>
          <w:sz w:val="18"/>
          <w:szCs w:val="18"/>
          <w:lang w:val="es"/>
        </w:rPr>
        <w:t xml:space="preserve"> </w:t>
      </w:r>
    </w:p>
    <w:p w14:paraId="0D39ACA6" w14:textId="77777777" w:rsidR="00AD0EC1" w:rsidRPr="00FB27C3" w:rsidRDefault="00AD0EC1">
      <w:pPr>
        <w:spacing w:line="240" w:lineRule="auto"/>
        <w:ind w:left="709"/>
        <w:contextualSpacing/>
        <w:jc w:val="both"/>
        <w:rPr>
          <w:sz w:val="18"/>
          <w:szCs w:val="18"/>
        </w:rPr>
      </w:pPr>
      <w:r w:rsidRPr="00CA1219">
        <w:rPr>
          <w:rFonts w:eastAsia="Arial" w:cs="Arial"/>
          <w:i/>
          <w:iCs/>
          <w:sz w:val="18"/>
          <w:szCs w:val="18"/>
          <w:lang w:val="es"/>
        </w:rPr>
        <w:t>76.8.3. Apoyar la construcción, dotación, sostenimiento y mantenimiento de la infraestructura cultural del Municipio y su apropiación creativa por parte de las comunidades; y proteger el patrimonio cultural en sus distintas expresiones y su adecuada incorporación al crecimiento económico y a los procesos de construcción ciudadana.</w:t>
      </w:r>
      <w:r w:rsidRPr="00CA1219">
        <w:rPr>
          <w:rFonts w:eastAsia="Arial" w:cs="Arial"/>
          <w:sz w:val="18"/>
          <w:szCs w:val="18"/>
          <w:lang w:val="es"/>
        </w:rPr>
        <w:t xml:space="preserve"> </w:t>
      </w:r>
    </w:p>
    <w:p w14:paraId="78A110FA" w14:textId="77777777" w:rsidR="00AD0EC1" w:rsidRPr="00FB27C3" w:rsidRDefault="00AD0EC1">
      <w:pPr>
        <w:spacing w:line="240" w:lineRule="auto"/>
        <w:ind w:left="709"/>
        <w:contextualSpacing/>
        <w:jc w:val="both"/>
        <w:rPr>
          <w:sz w:val="18"/>
          <w:szCs w:val="18"/>
        </w:rPr>
      </w:pPr>
      <w:r w:rsidRPr="00CA1219">
        <w:rPr>
          <w:rFonts w:eastAsia="Arial" w:cs="Arial"/>
          <w:i/>
          <w:iCs/>
          <w:sz w:val="18"/>
          <w:szCs w:val="18"/>
          <w:lang w:val="es"/>
        </w:rPr>
        <w:t>76.8.4. Apoyar el desarrollo de las redes de información cultural y bienes, servicios e instituciones culturales (museos, bibliotecas, archivos, bandas, orquestas, etc.), así como otras iniciativas de organización del sector cultural.</w:t>
      </w:r>
      <w:r w:rsidRPr="00CA1219">
        <w:rPr>
          <w:rFonts w:eastAsia="Arial" w:cs="Arial"/>
          <w:sz w:val="18"/>
          <w:szCs w:val="18"/>
          <w:lang w:val="es"/>
        </w:rPr>
        <w:t xml:space="preserve"> </w:t>
      </w:r>
    </w:p>
    <w:p w14:paraId="56153B42" w14:textId="77777777" w:rsidR="00AD0EC1" w:rsidRPr="00FB27C3" w:rsidRDefault="00AD0EC1">
      <w:pPr>
        <w:spacing w:line="240" w:lineRule="auto"/>
        <w:ind w:left="709"/>
        <w:contextualSpacing/>
        <w:jc w:val="both"/>
        <w:rPr>
          <w:sz w:val="18"/>
          <w:szCs w:val="18"/>
        </w:rPr>
      </w:pPr>
      <w:r w:rsidRPr="00CA1219">
        <w:rPr>
          <w:rFonts w:eastAsia="Arial" w:cs="Arial"/>
          <w:i/>
          <w:iCs/>
          <w:sz w:val="18"/>
          <w:szCs w:val="18"/>
          <w:lang w:val="es"/>
        </w:rPr>
        <w:t>76.8.5. Formular, orientar y ejecutar los planes, programas, proyectos y eventos municipales teniendo como referencia el Plan Decenal de Cultura</w:t>
      </w:r>
      <w:r w:rsidRPr="00CA1219">
        <w:rPr>
          <w:rFonts w:eastAsia="Arial" w:cs="Arial"/>
          <w:sz w:val="18"/>
          <w:szCs w:val="18"/>
          <w:lang w:val="es"/>
        </w:rPr>
        <w:t xml:space="preserve">”. </w:t>
      </w:r>
    </w:p>
    <w:p w14:paraId="078F374F" w14:textId="77777777" w:rsidR="00AD0EC1" w:rsidRPr="00AD0EC1" w:rsidRDefault="00AD0EC1">
      <w:pPr>
        <w:spacing w:line="240" w:lineRule="auto"/>
        <w:contextualSpacing/>
        <w:jc w:val="both"/>
        <w:rPr>
          <w:rFonts w:eastAsia="Arial" w:cs="Arial"/>
        </w:rPr>
      </w:pPr>
    </w:p>
    <w:p w14:paraId="1C498D7F" w14:textId="77777777" w:rsidR="00AD0EC1" w:rsidRPr="00AD0EC1" w:rsidRDefault="00AD0EC1">
      <w:pPr>
        <w:spacing w:line="240" w:lineRule="auto"/>
        <w:contextualSpacing/>
        <w:jc w:val="both"/>
        <w:rPr>
          <w:rFonts w:eastAsia="Arial" w:cs="Arial"/>
        </w:rPr>
      </w:pPr>
      <w:r w:rsidRPr="00AD0EC1">
        <w:rPr>
          <w:rFonts w:eastAsia="Arial" w:cs="Arial"/>
        </w:rPr>
        <w:t>Cabe informar que lo identificado para las destinaciones de Deporte</w:t>
      </w:r>
      <w:r w:rsidR="00802B35">
        <w:rPr>
          <w:rFonts w:eastAsia="Arial" w:cs="Arial"/>
        </w:rPr>
        <w:t xml:space="preserve"> y</w:t>
      </w:r>
      <w:r w:rsidRPr="00AD0EC1">
        <w:rPr>
          <w:rFonts w:eastAsia="Arial" w:cs="Arial"/>
        </w:rPr>
        <w:t xml:space="preserve"> Cultura son un comportamiento usual por parte del Municipio, </w:t>
      </w:r>
      <w:r w:rsidR="00802B35">
        <w:rPr>
          <w:rFonts w:eastAsia="Arial" w:cs="Arial"/>
        </w:rPr>
        <w:t>como se verá también para</w:t>
      </w:r>
      <w:r w:rsidR="00802B35" w:rsidRPr="00AD0EC1">
        <w:rPr>
          <w:rFonts w:eastAsia="Arial" w:cs="Arial"/>
        </w:rPr>
        <w:t xml:space="preserve"> Libre Inversión</w:t>
      </w:r>
      <w:r w:rsidR="00802B35">
        <w:rPr>
          <w:rFonts w:eastAsia="Arial" w:cs="Arial"/>
        </w:rPr>
        <w:t>,</w:t>
      </w:r>
      <w:r w:rsidR="00802B35" w:rsidRPr="00AD0EC1">
        <w:rPr>
          <w:rFonts w:eastAsia="Arial" w:cs="Arial"/>
        </w:rPr>
        <w:t xml:space="preserve"> </w:t>
      </w:r>
      <w:r w:rsidRPr="00AD0EC1">
        <w:rPr>
          <w:rFonts w:eastAsia="Arial" w:cs="Arial"/>
        </w:rPr>
        <w:t xml:space="preserve">evidenciando un cambio en la destinación del recurso y vulnerando el marco legal enunciado. Por lo tanto, </w:t>
      </w:r>
      <w:r w:rsidR="00B47A03">
        <w:rPr>
          <w:rFonts w:eastAsia="Arial" w:cs="Arial"/>
        </w:rPr>
        <w:t xml:space="preserve">se recomienda a la </w:t>
      </w:r>
      <w:r w:rsidR="00CA1219">
        <w:rPr>
          <w:rFonts w:eastAsia="Arial" w:cs="Arial"/>
        </w:rPr>
        <w:t>E</w:t>
      </w:r>
      <w:r w:rsidR="00B47A03">
        <w:rPr>
          <w:rFonts w:eastAsia="Arial" w:cs="Arial"/>
        </w:rPr>
        <w:t xml:space="preserve">ntidad </w:t>
      </w:r>
      <w:r w:rsidR="00CA1219">
        <w:rPr>
          <w:rFonts w:eastAsia="Arial" w:cs="Arial"/>
        </w:rPr>
        <w:t>T</w:t>
      </w:r>
      <w:r w:rsidR="00B47A03">
        <w:rPr>
          <w:rFonts w:eastAsia="Arial" w:cs="Arial"/>
        </w:rPr>
        <w:t>erritorial realizar una revisión de la normatividad</w:t>
      </w:r>
      <w:r w:rsidRPr="00AD0EC1">
        <w:rPr>
          <w:rFonts w:eastAsia="Arial" w:cs="Arial"/>
        </w:rPr>
        <w:t xml:space="preserve"> </w:t>
      </w:r>
      <w:r w:rsidR="00B47A03">
        <w:rPr>
          <w:rFonts w:eastAsia="Arial" w:cs="Arial"/>
        </w:rPr>
        <w:t>en la cual se</w:t>
      </w:r>
      <w:r w:rsidRPr="00AD0EC1">
        <w:rPr>
          <w:rFonts w:eastAsia="Arial" w:cs="Arial"/>
        </w:rPr>
        <w:t xml:space="preserve"> enmarcan las competencias </w:t>
      </w:r>
      <w:r w:rsidR="00B47A03">
        <w:rPr>
          <w:rFonts w:eastAsia="Arial" w:cs="Arial"/>
        </w:rPr>
        <w:t>susceptibles de ser financiadas con</w:t>
      </w:r>
      <w:r w:rsidRPr="00AD0EC1">
        <w:rPr>
          <w:rFonts w:eastAsia="Arial" w:cs="Arial"/>
        </w:rPr>
        <w:t xml:space="preserve"> estos recursos.</w:t>
      </w:r>
    </w:p>
    <w:p w14:paraId="4CC5F2AA" w14:textId="77777777" w:rsidR="00CA12F8" w:rsidRDefault="00CA12F8">
      <w:pPr>
        <w:spacing w:after="0" w:line="240" w:lineRule="auto"/>
        <w:contextualSpacing/>
        <w:jc w:val="both"/>
      </w:pPr>
    </w:p>
    <w:p w14:paraId="60FB4011" w14:textId="77777777" w:rsidR="00A01D36" w:rsidRDefault="00802B35">
      <w:pPr>
        <w:spacing w:after="0" w:line="240" w:lineRule="auto"/>
        <w:contextualSpacing/>
        <w:jc w:val="both"/>
      </w:pPr>
      <w:r>
        <w:t>En este sentido</w:t>
      </w:r>
      <w:r w:rsidR="00A01D36">
        <w:t xml:space="preserve">, se identificó que el </w:t>
      </w:r>
      <w:r w:rsidR="00CA1219">
        <w:t>M</w:t>
      </w:r>
      <w:r w:rsidR="00A01D36">
        <w:t xml:space="preserve">unicipio </w:t>
      </w:r>
      <w:r w:rsidR="00590E16">
        <w:t xml:space="preserve">financia con recursos de Libre Inversión contratos dirigidos a realizar actividades que enmarca en el </w:t>
      </w:r>
      <w:r w:rsidR="00CA1219">
        <w:t>S</w:t>
      </w:r>
      <w:r w:rsidR="00590E16">
        <w:t xml:space="preserve">ector de </w:t>
      </w:r>
      <w:r w:rsidR="00CA1219">
        <w:t>F</w:t>
      </w:r>
      <w:r w:rsidR="00590E16">
        <w:t xml:space="preserve">ortalecimiento </w:t>
      </w:r>
      <w:r w:rsidR="00CA1219">
        <w:t>I</w:t>
      </w:r>
      <w:r w:rsidR="00590E16">
        <w:t xml:space="preserve">nstitucional, pero que se trata de </w:t>
      </w:r>
      <w:r w:rsidR="00F949BC">
        <w:t xml:space="preserve">contratos donde se contrata el personal que desarrolla funciones propias de la actividades continuas y permanentes de la </w:t>
      </w:r>
      <w:r w:rsidR="00CA1219">
        <w:t>Entidad T</w:t>
      </w:r>
      <w:r w:rsidR="00F949BC">
        <w:t xml:space="preserve">erritorial. </w:t>
      </w:r>
      <w:r w:rsidR="00F949BC">
        <w:lastRenderedPageBreak/>
        <w:t xml:space="preserve">Es decir, se financian gastos de funcionamiento </w:t>
      </w:r>
      <w:r w:rsidR="009C034B">
        <w:t xml:space="preserve">inmersos en proyectos de inversión cuya naturaleza no cumple con las características de este tipo de </w:t>
      </w:r>
      <w:r w:rsidR="00AB6309">
        <w:t>destinaciones. Se seleccionó una muestra de contratos de este tipo por cada vigencia, los cuales se relacionan a continuación:</w:t>
      </w:r>
    </w:p>
    <w:p w14:paraId="21D5C3FD" w14:textId="77777777" w:rsidR="00CA12F8" w:rsidRDefault="00CA12F8">
      <w:pPr>
        <w:spacing w:after="0" w:line="240" w:lineRule="auto"/>
        <w:contextualSpacing/>
        <w:jc w:val="both"/>
      </w:pPr>
    </w:p>
    <w:p w14:paraId="20CC8566" w14:textId="77777777" w:rsidR="00C64E01" w:rsidRPr="005370C5" w:rsidRDefault="00C64E01">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Pr>
          <w:rFonts w:eastAsia="Arial" w:cs="Arial"/>
          <w:b/>
          <w:bCs/>
          <w:sz w:val="20"/>
          <w:szCs w:val="20"/>
        </w:rPr>
        <w:t>1</w:t>
      </w:r>
      <w:r w:rsidR="00C154FB">
        <w:rPr>
          <w:rFonts w:eastAsia="Arial" w:cs="Arial"/>
          <w:b/>
          <w:bCs/>
          <w:sz w:val="20"/>
          <w:szCs w:val="20"/>
        </w:rPr>
        <w:t>5</w:t>
      </w:r>
    </w:p>
    <w:p w14:paraId="61264E47" w14:textId="77777777" w:rsidR="00C64E01" w:rsidRDefault="00C64E01">
      <w:pPr>
        <w:spacing w:after="0" w:line="240" w:lineRule="auto"/>
        <w:contextualSpacing/>
        <w:jc w:val="center"/>
        <w:rPr>
          <w:rFonts w:eastAsia="Arial" w:cs="Arial"/>
          <w:sz w:val="20"/>
          <w:szCs w:val="20"/>
        </w:rPr>
      </w:pPr>
      <w:r>
        <w:rPr>
          <w:rFonts w:eastAsia="Arial" w:cs="Arial"/>
          <w:sz w:val="20"/>
          <w:szCs w:val="20"/>
        </w:rPr>
        <w:t>Contratos de funcionamiento con recursos de Libre Inversión</w:t>
      </w:r>
    </w:p>
    <w:p w14:paraId="1595EACA" w14:textId="77777777" w:rsidR="00C64E01" w:rsidRPr="00C16E4B" w:rsidRDefault="00C64E01">
      <w:pPr>
        <w:spacing w:after="0" w:line="240" w:lineRule="auto"/>
        <w:contextualSpacing/>
        <w:jc w:val="center"/>
        <w:rPr>
          <w:rFonts w:eastAsia="Arial" w:cs="Arial"/>
          <w:sz w:val="20"/>
          <w:szCs w:val="20"/>
        </w:rPr>
      </w:pPr>
      <w:r>
        <w:rPr>
          <w:rFonts w:eastAsia="Arial" w:cs="Arial"/>
          <w:sz w:val="20"/>
          <w:szCs w:val="20"/>
        </w:rPr>
        <w:t>Municipio de Puerto Leguízamo – Putumayo</w:t>
      </w:r>
    </w:p>
    <w:tbl>
      <w:tblPr>
        <w:tblW w:w="9932" w:type="dxa"/>
        <w:jc w:val="center"/>
        <w:tblCellMar>
          <w:left w:w="70" w:type="dxa"/>
          <w:right w:w="70" w:type="dxa"/>
        </w:tblCellMar>
        <w:tblLook w:val="04A0" w:firstRow="1" w:lastRow="0" w:firstColumn="1" w:lastColumn="0" w:noHBand="0" w:noVBand="1"/>
      </w:tblPr>
      <w:tblGrid>
        <w:gridCol w:w="1325"/>
        <w:gridCol w:w="3592"/>
        <w:gridCol w:w="4771"/>
        <w:gridCol w:w="244"/>
      </w:tblGrid>
      <w:tr w:rsidR="007A7D91" w:rsidRPr="002507BF" w14:paraId="1092214A" w14:textId="77777777" w:rsidTr="001729F6">
        <w:trPr>
          <w:gridAfter w:val="1"/>
          <w:trHeight w:val="231"/>
          <w:tblHeader/>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335CF790"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Vigencia 2018</w:t>
            </w:r>
          </w:p>
        </w:tc>
      </w:tr>
      <w:tr w:rsidR="00273C40" w:rsidRPr="002507BF" w14:paraId="1E9E42DF" w14:textId="77777777" w:rsidTr="00273C40">
        <w:trPr>
          <w:gridAfter w:val="1"/>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5113BC6B"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7D3038F9" w14:textId="77777777" w:rsidR="007A7D91" w:rsidRPr="00FB27C3" w:rsidRDefault="007A7D91">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CPS-089-2018</w:t>
            </w:r>
          </w:p>
        </w:tc>
        <w:tc>
          <w:tcPr>
            <w:tcW w:w="4771" w:type="dxa"/>
            <w:tcBorders>
              <w:top w:val="nil"/>
              <w:left w:val="nil"/>
              <w:bottom w:val="single" w:sz="4" w:space="0" w:color="auto"/>
              <w:right w:val="single" w:sz="4" w:space="0" w:color="auto"/>
            </w:tcBorders>
            <w:shd w:val="clear" w:color="000000" w:fill="666699"/>
            <w:vAlign w:val="center"/>
            <w:hideMark/>
          </w:tcPr>
          <w:p w14:paraId="3E069C12"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273C40" w:rsidRPr="002507BF" w14:paraId="1CD36F58" w14:textId="77777777" w:rsidTr="00273C40">
        <w:trPr>
          <w:gridAfter w:val="1"/>
          <w:trHeight w:val="433"/>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387820CE"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738F56B9"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de apoyo al seguimiento a la política fiscal y la cobranza del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 xml:space="preserve"> de Leguízamo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5CFEF9E1"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Mantener actualizado el sistema de información e inventario de los procesos de cobro persuasivo y coactivo</w:t>
            </w:r>
            <w:r w:rsidR="002C5EF0">
              <w:rPr>
                <w:rFonts w:eastAsia="Times New Roman" w:cs="Arial"/>
                <w:color w:val="000000"/>
                <w:sz w:val="18"/>
                <w:szCs w:val="18"/>
                <w:lang w:val="es-CO" w:eastAsia="es-CO"/>
              </w:rPr>
              <w:t>.</w:t>
            </w:r>
          </w:p>
          <w:p w14:paraId="3CC5248D"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Proferir pliegos de cargos, emplazamientos, requerimientos ordinarios y especiales y demás actos de trámite en los procesos de determinación de tributos, rentas y derechos del </w:t>
            </w:r>
            <w:r w:rsidR="0010114D">
              <w:rPr>
                <w:rFonts w:eastAsia="Times New Roman" w:cs="Arial"/>
                <w:color w:val="000000"/>
                <w:sz w:val="18"/>
                <w:szCs w:val="18"/>
                <w:lang w:val="es-CO" w:eastAsia="es-CO"/>
              </w:rPr>
              <w:t>Municipio</w:t>
            </w:r>
          </w:p>
          <w:p w14:paraId="7217F9B4" w14:textId="77777777" w:rsidR="007A7D91" w:rsidRPr="00FB27C3"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Preparar las acciones de cobro persuasivo a todos los contribuyentes que estén en morosidad con el objetivo de evitar la prescripción</w:t>
            </w:r>
          </w:p>
        </w:tc>
      </w:tr>
      <w:tr w:rsidR="00273C40" w:rsidRPr="002507BF" w14:paraId="70406C4E" w14:textId="77777777" w:rsidTr="00273C40">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76634DAB"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5AA79CFE"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6B3EB07C"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5F057AAF"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r>
      <w:tr w:rsidR="00273C40" w:rsidRPr="002507BF" w14:paraId="651EC5D3"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287D947"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60A77D31" w14:textId="77777777" w:rsidR="007A7D91" w:rsidRPr="00FB27C3" w:rsidRDefault="002C5EF0">
            <w:pPr>
              <w:spacing w:after="0" w:line="240" w:lineRule="auto"/>
              <w:contextualSpacing/>
              <w:jc w:val="center"/>
              <w:rPr>
                <w:rFonts w:eastAsia="Times New Roman" w:cs="Arial"/>
                <w:color w:val="000000"/>
                <w:sz w:val="18"/>
                <w:szCs w:val="18"/>
                <w:lang w:val="es-CO" w:eastAsia="es-CO"/>
              </w:rPr>
            </w:pPr>
            <w:r w:rsidRPr="002507BF">
              <w:rPr>
                <w:rFonts w:eastAsia="Times New Roman" w:cs="Arial"/>
                <w:color w:val="000000"/>
                <w:sz w:val="18"/>
                <w:szCs w:val="18"/>
                <w:lang w:val="es-CO" w:eastAsia="es-CO"/>
              </w:rPr>
              <w:t>Leidys Barrios Saldarriaga</w:t>
            </w:r>
          </w:p>
        </w:tc>
        <w:tc>
          <w:tcPr>
            <w:tcW w:w="4771" w:type="dxa"/>
            <w:vMerge/>
            <w:tcBorders>
              <w:top w:val="nil"/>
              <w:left w:val="single" w:sz="4" w:space="0" w:color="auto"/>
              <w:bottom w:val="single" w:sz="4" w:space="0" w:color="000000"/>
              <w:right w:val="single" w:sz="4" w:space="0" w:color="auto"/>
            </w:tcBorders>
            <w:vAlign w:val="center"/>
            <w:hideMark/>
          </w:tcPr>
          <w:p w14:paraId="147A9925"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3E51D9D6"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167DF67A"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68981CBF"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2E93B736" w14:textId="77777777" w:rsidR="007A7D91" w:rsidRPr="00FB27C3" w:rsidRDefault="00C32B9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6</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p>
        </w:tc>
        <w:tc>
          <w:tcPr>
            <w:tcW w:w="4771" w:type="dxa"/>
            <w:vMerge/>
            <w:tcBorders>
              <w:top w:val="nil"/>
              <w:left w:val="single" w:sz="4" w:space="0" w:color="auto"/>
              <w:bottom w:val="single" w:sz="4" w:space="0" w:color="000000"/>
              <w:right w:val="single" w:sz="4" w:space="0" w:color="auto"/>
            </w:tcBorders>
            <w:vAlign w:val="center"/>
            <w:hideMark/>
          </w:tcPr>
          <w:p w14:paraId="73E854B3"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33065F2C"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13CBA2D"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965517A"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3EF3A723"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meses</w:t>
            </w:r>
          </w:p>
        </w:tc>
        <w:tc>
          <w:tcPr>
            <w:tcW w:w="4771" w:type="dxa"/>
            <w:vMerge/>
            <w:tcBorders>
              <w:top w:val="nil"/>
              <w:left w:val="single" w:sz="4" w:space="0" w:color="auto"/>
              <w:bottom w:val="single" w:sz="4" w:space="0" w:color="000000"/>
              <w:right w:val="single" w:sz="4" w:space="0" w:color="auto"/>
            </w:tcBorders>
            <w:vAlign w:val="center"/>
            <w:hideMark/>
          </w:tcPr>
          <w:p w14:paraId="245FC042"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085F75F4"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01725171"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21BF3474"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3F4C1364" w14:textId="77777777" w:rsidR="007A7D91" w:rsidRPr="00FB27C3" w:rsidRDefault="007A7D91">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CPS-080-2018</w:t>
            </w:r>
          </w:p>
        </w:tc>
        <w:tc>
          <w:tcPr>
            <w:tcW w:w="4771" w:type="dxa"/>
            <w:tcBorders>
              <w:top w:val="nil"/>
              <w:left w:val="nil"/>
              <w:bottom w:val="single" w:sz="4" w:space="0" w:color="auto"/>
              <w:right w:val="single" w:sz="4" w:space="0" w:color="auto"/>
            </w:tcBorders>
            <w:shd w:val="clear" w:color="000000" w:fill="666699"/>
            <w:vAlign w:val="center"/>
            <w:hideMark/>
          </w:tcPr>
          <w:p w14:paraId="6490C795"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21457A52"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00A76BDF" w14:textId="77777777" w:rsidTr="00273C40">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19AB11A1"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CFFC18"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profesionales de un contador público -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 xml:space="preserve"> de Leguízamo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10070950"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Rendir informes a los siguientes entes de control, que correspondan a la información financiera y contable, si corresponde a las siguientes entidades: Contaduría General de la Nación (Informe denominado CHIP) (Informe denominado CGN y CGR) y DIAN (Información denominada información exógena)</w:t>
            </w:r>
            <w:r w:rsidR="002C5EF0">
              <w:rPr>
                <w:rFonts w:eastAsia="Times New Roman" w:cs="Arial"/>
                <w:color w:val="000000"/>
                <w:sz w:val="18"/>
                <w:szCs w:val="18"/>
                <w:lang w:val="es-CO" w:eastAsia="es-CO"/>
              </w:rPr>
              <w:t>.</w:t>
            </w:r>
          </w:p>
          <w:p w14:paraId="78FD0319"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Revisar la ejecución de ingresos y gastos de manera </w:t>
            </w:r>
            <w:r w:rsidR="00273C40" w:rsidRPr="00FB27C3">
              <w:rPr>
                <w:rFonts w:eastAsia="Times New Roman" w:cs="Arial"/>
                <w:color w:val="000000"/>
                <w:sz w:val="18"/>
                <w:szCs w:val="18"/>
                <w:lang w:val="es-CO" w:eastAsia="es-CO"/>
              </w:rPr>
              <w:t>periódica</w:t>
            </w:r>
            <w:r w:rsidRPr="00FB27C3">
              <w:rPr>
                <w:rFonts w:eastAsia="Times New Roman" w:cs="Arial"/>
                <w:color w:val="000000"/>
                <w:sz w:val="18"/>
                <w:szCs w:val="18"/>
                <w:lang w:val="es-CO" w:eastAsia="es-CO"/>
              </w:rPr>
              <w:t xml:space="preserve"> para establecer y resolver posibles diferencias con la contabilidad</w:t>
            </w:r>
            <w:r w:rsidR="002C5EF0">
              <w:rPr>
                <w:rFonts w:eastAsia="Times New Roman" w:cs="Arial"/>
                <w:color w:val="000000"/>
                <w:sz w:val="18"/>
                <w:szCs w:val="18"/>
                <w:lang w:val="es-CO" w:eastAsia="es-CO"/>
              </w:rPr>
              <w:t>.</w:t>
            </w:r>
          </w:p>
          <w:p w14:paraId="1D6CC966" w14:textId="77777777" w:rsidR="007A7D91" w:rsidRPr="00FB27C3"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Realizar archivo de los soportes contables y demás documentos cumpliendo con las normas del Archivo General</w:t>
            </w:r>
          </w:p>
        </w:tc>
        <w:tc>
          <w:tcPr>
            <w:tcW w:w="0" w:type="auto"/>
            <w:vAlign w:val="center"/>
            <w:hideMark/>
          </w:tcPr>
          <w:p w14:paraId="71771682"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688676AA" w14:textId="77777777" w:rsidTr="00273C40">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31E1FA31"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4547FBC6"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7592B554"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18434A4F"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r>
      <w:tr w:rsidR="00273C40" w:rsidRPr="002507BF" w14:paraId="64C1BDA4"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98339EB"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0A519DE7" w14:textId="77777777" w:rsidR="007A7D91" w:rsidRPr="00FB27C3" w:rsidRDefault="002C5EF0">
            <w:pPr>
              <w:spacing w:after="0" w:line="240" w:lineRule="auto"/>
              <w:contextualSpacing/>
              <w:jc w:val="center"/>
              <w:rPr>
                <w:rFonts w:eastAsia="Times New Roman" w:cs="Arial"/>
                <w:color w:val="000000"/>
                <w:sz w:val="18"/>
                <w:szCs w:val="18"/>
                <w:lang w:val="es-CO" w:eastAsia="es-CO"/>
              </w:rPr>
            </w:pPr>
            <w:r w:rsidRPr="002507BF">
              <w:rPr>
                <w:rFonts w:eastAsia="Times New Roman" w:cs="Arial"/>
                <w:color w:val="000000"/>
                <w:sz w:val="18"/>
                <w:szCs w:val="18"/>
                <w:lang w:val="es-CO" w:eastAsia="es-CO"/>
              </w:rPr>
              <w:t>Sandra Milena Contreras Peñalosa</w:t>
            </w:r>
          </w:p>
        </w:tc>
        <w:tc>
          <w:tcPr>
            <w:tcW w:w="4771" w:type="dxa"/>
            <w:vMerge/>
            <w:tcBorders>
              <w:top w:val="nil"/>
              <w:left w:val="single" w:sz="4" w:space="0" w:color="auto"/>
              <w:bottom w:val="single" w:sz="4" w:space="0" w:color="000000"/>
              <w:right w:val="single" w:sz="4" w:space="0" w:color="auto"/>
            </w:tcBorders>
            <w:vAlign w:val="center"/>
            <w:hideMark/>
          </w:tcPr>
          <w:p w14:paraId="78235CDD"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7FAE8218"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5D4FB36"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7951E35"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2EB4CB18" w14:textId="77777777" w:rsidR="007A7D91" w:rsidRPr="00FB27C3" w:rsidRDefault="00C32B9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13</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750</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p>
        </w:tc>
        <w:tc>
          <w:tcPr>
            <w:tcW w:w="4771" w:type="dxa"/>
            <w:vMerge/>
            <w:tcBorders>
              <w:top w:val="nil"/>
              <w:left w:val="single" w:sz="4" w:space="0" w:color="auto"/>
              <w:bottom w:val="single" w:sz="4" w:space="0" w:color="000000"/>
              <w:right w:val="single" w:sz="4" w:space="0" w:color="auto"/>
            </w:tcBorders>
            <w:vAlign w:val="center"/>
            <w:hideMark/>
          </w:tcPr>
          <w:p w14:paraId="68E02AAA"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7AD19884"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F20F173"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66B618D0"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72E2C75D"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meses</w:t>
            </w:r>
          </w:p>
        </w:tc>
        <w:tc>
          <w:tcPr>
            <w:tcW w:w="4771" w:type="dxa"/>
            <w:vMerge/>
            <w:tcBorders>
              <w:top w:val="nil"/>
              <w:left w:val="single" w:sz="4" w:space="0" w:color="auto"/>
              <w:bottom w:val="single" w:sz="4" w:space="0" w:color="000000"/>
              <w:right w:val="single" w:sz="4" w:space="0" w:color="auto"/>
            </w:tcBorders>
            <w:vAlign w:val="center"/>
            <w:hideMark/>
          </w:tcPr>
          <w:p w14:paraId="010738E5"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0D1E5148"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2EB138B6"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DDBBA42"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4185404E" w14:textId="77777777" w:rsidR="007A7D91" w:rsidRPr="00FB27C3" w:rsidRDefault="007A7D91">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PS-MC-025-2018</w:t>
            </w:r>
          </w:p>
        </w:tc>
        <w:tc>
          <w:tcPr>
            <w:tcW w:w="4771" w:type="dxa"/>
            <w:tcBorders>
              <w:top w:val="nil"/>
              <w:left w:val="nil"/>
              <w:bottom w:val="single" w:sz="4" w:space="0" w:color="auto"/>
              <w:right w:val="single" w:sz="4" w:space="0" w:color="auto"/>
            </w:tcBorders>
            <w:shd w:val="clear" w:color="000000" w:fill="666699"/>
            <w:vAlign w:val="center"/>
            <w:hideMark/>
          </w:tcPr>
          <w:p w14:paraId="3000D15F"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2A6CE59B"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FA7725C" w14:textId="77777777" w:rsidTr="00273C40">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5FD969F1"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2C23BDC"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profesionales para el desarrollo de procesos y procedimientos financieros y contables para la </w:t>
            </w:r>
            <w:r w:rsidR="0010114D">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dministración </w:t>
            </w:r>
            <w:r w:rsidR="0010114D">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 de Leguízamo Putumayo Amazonía</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607F43AE"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Desarrollar los servicios en forma eficiente, oportuna y a cabalidad para el logro de los</w:t>
            </w:r>
            <w:r w:rsidR="002C5EF0">
              <w:rPr>
                <w:rFonts w:eastAsia="Times New Roman" w:cs="Arial"/>
                <w:color w:val="000000"/>
                <w:sz w:val="18"/>
                <w:szCs w:val="18"/>
                <w:lang w:val="es-CO" w:eastAsia="es-CO"/>
              </w:rPr>
              <w:t xml:space="preserve"> </w:t>
            </w:r>
            <w:r w:rsidRPr="00FB27C3">
              <w:rPr>
                <w:rFonts w:eastAsia="Times New Roman" w:cs="Arial"/>
                <w:color w:val="000000"/>
                <w:sz w:val="18"/>
                <w:szCs w:val="18"/>
                <w:lang w:val="es-CO" w:eastAsia="es-CO"/>
              </w:rPr>
              <w:t>objetivos propuestos por el supervisor del contrato que se suscriba, además de atender</w:t>
            </w:r>
            <w:r w:rsidR="002C5EF0">
              <w:rPr>
                <w:rFonts w:eastAsia="Times New Roman" w:cs="Arial"/>
                <w:color w:val="000000"/>
                <w:sz w:val="18"/>
                <w:szCs w:val="18"/>
                <w:lang w:val="es-CO" w:eastAsia="es-CO"/>
              </w:rPr>
              <w:t xml:space="preserve"> </w:t>
            </w:r>
            <w:r w:rsidRPr="00FB27C3">
              <w:rPr>
                <w:rFonts w:eastAsia="Times New Roman" w:cs="Arial"/>
                <w:color w:val="000000"/>
                <w:sz w:val="18"/>
                <w:szCs w:val="18"/>
                <w:lang w:val="es-CO" w:eastAsia="es-CO"/>
              </w:rPr>
              <w:t>de forma directa y personal los asuntos contratados</w:t>
            </w:r>
            <w:r w:rsidR="002C5EF0">
              <w:rPr>
                <w:rFonts w:eastAsia="Times New Roman" w:cs="Arial"/>
                <w:color w:val="000000"/>
                <w:sz w:val="18"/>
                <w:szCs w:val="18"/>
                <w:lang w:val="es-CO" w:eastAsia="es-CO"/>
              </w:rPr>
              <w:t>.</w:t>
            </w:r>
          </w:p>
          <w:p w14:paraId="0D546579"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2.Analizar la situación financiera y contable del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w:t>
            </w:r>
          </w:p>
          <w:p w14:paraId="79C57EB6" w14:textId="77777777" w:rsidR="007A7D91" w:rsidRPr="00FB27C3" w:rsidRDefault="002C5EF0">
            <w:pPr>
              <w:spacing w:after="0" w:line="240" w:lineRule="auto"/>
              <w:contextualSpacing/>
              <w:rPr>
                <w:rFonts w:eastAsia="Times New Roman" w:cs="Arial"/>
                <w:color w:val="000000"/>
                <w:sz w:val="18"/>
                <w:szCs w:val="18"/>
                <w:lang w:val="es-CO" w:eastAsia="es-CO"/>
              </w:rPr>
            </w:pPr>
            <w:r>
              <w:rPr>
                <w:rFonts w:eastAsia="Times New Roman" w:cs="Arial"/>
                <w:color w:val="000000"/>
                <w:sz w:val="18"/>
                <w:szCs w:val="18"/>
                <w:lang w:val="es-CO" w:eastAsia="es-CO"/>
              </w:rPr>
              <w:t>3</w:t>
            </w:r>
            <w:r w:rsidR="007A7D91" w:rsidRPr="00FB27C3">
              <w:rPr>
                <w:rFonts w:eastAsia="Times New Roman" w:cs="Arial"/>
                <w:color w:val="000000"/>
                <w:sz w:val="18"/>
                <w:szCs w:val="18"/>
                <w:lang w:val="es-CO" w:eastAsia="es-CO"/>
              </w:rPr>
              <w:t>. Diseñar los procedimientos y procesos para la implementación de las NIIF.</w:t>
            </w:r>
          </w:p>
        </w:tc>
        <w:tc>
          <w:tcPr>
            <w:tcW w:w="0" w:type="auto"/>
            <w:vAlign w:val="center"/>
            <w:hideMark/>
          </w:tcPr>
          <w:p w14:paraId="289B0F52"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F382556" w14:textId="77777777" w:rsidTr="00273C40">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35DB2EC1"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349D7B34"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188C529C"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5A49E08B"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r>
      <w:tr w:rsidR="00273C40" w:rsidRPr="002507BF" w14:paraId="15DE9EE7"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7FD4337"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1A0848D5" w14:textId="77777777" w:rsidR="007A7D91" w:rsidRPr="00FB27C3" w:rsidRDefault="002C5EF0">
            <w:pPr>
              <w:spacing w:after="0" w:line="240" w:lineRule="auto"/>
              <w:contextualSpacing/>
              <w:jc w:val="center"/>
              <w:rPr>
                <w:rFonts w:eastAsia="Times New Roman" w:cs="Arial"/>
                <w:color w:val="000000"/>
                <w:sz w:val="18"/>
                <w:szCs w:val="18"/>
                <w:lang w:val="es-CO" w:eastAsia="es-CO"/>
              </w:rPr>
            </w:pPr>
            <w:r w:rsidRPr="002507BF">
              <w:rPr>
                <w:rFonts w:eastAsia="Times New Roman" w:cs="Arial"/>
                <w:color w:val="000000"/>
                <w:sz w:val="18"/>
                <w:szCs w:val="18"/>
                <w:lang w:val="es-CO" w:eastAsia="es-CO"/>
              </w:rPr>
              <w:t>Ángela Sarmiento Torres</w:t>
            </w:r>
          </w:p>
        </w:tc>
        <w:tc>
          <w:tcPr>
            <w:tcW w:w="4771" w:type="dxa"/>
            <w:vMerge/>
            <w:tcBorders>
              <w:top w:val="nil"/>
              <w:left w:val="single" w:sz="4" w:space="0" w:color="auto"/>
              <w:bottom w:val="single" w:sz="4" w:space="0" w:color="000000"/>
              <w:right w:val="single" w:sz="4" w:space="0" w:color="auto"/>
            </w:tcBorders>
            <w:vAlign w:val="center"/>
            <w:hideMark/>
          </w:tcPr>
          <w:p w14:paraId="4ADEE187"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637EE330"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1FE08AFF"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882BE11"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6AC243DA" w14:textId="77777777" w:rsidR="007A7D91" w:rsidRPr="00FB27C3" w:rsidRDefault="00C32B9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21</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800</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p>
        </w:tc>
        <w:tc>
          <w:tcPr>
            <w:tcW w:w="4771" w:type="dxa"/>
            <w:vMerge/>
            <w:tcBorders>
              <w:top w:val="nil"/>
              <w:left w:val="single" w:sz="4" w:space="0" w:color="auto"/>
              <w:bottom w:val="single" w:sz="4" w:space="0" w:color="000000"/>
              <w:right w:val="single" w:sz="4" w:space="0" w:color="auto"/>
            </w:tcBorders>
            <w:vAlign w:val="center"/>
            <w:hideMark/>
          </w:tcPr>
          <w:p w14:paraId="39B1EC72"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79C89A9E"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2456EF4E"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4412C30"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5348CEDB"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 meses</w:t>
            </w:r>
          </w:p>
        </w:tc>
        <w:tc>
          <w:tcPr>
            <w:tcW w:w="4771" w:type="dxa"/>
            <w:vMerge/>
            <w:tcBorders>
              <w:top w:val="nil"/>
              <w:left w:val="single" w:sz="4" w:space="0" w:color="auto"/>
              <w:bottom w:val="single" w:sz="4" w:space="0" w:color="000000"/>
              <w:right w:val="single" w:sz="4" w:space="0" w:color="auto"/>
            </w:tcBorders>
            <w:vAlign w:val="center"/>
            <w:hideMark/>
          </w:tcPr>
          <w:p w14:paraId="2B3481D9"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186636F4"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7A7D91" w:rsidRPr="002507BF" w14:paraId="77B839DF" w14:textId="77777777" w:rsidTr="00273C40">
        <w:trPr>
          <w:trHeight w:val="231"/>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362753CF"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Vigencia 2019</w:t>
            </w:r>
          </w:p>
        </w:tc>
        <w:tc>
          <w:tcPr>
            <w:tcW w:w="0" w:type="auto"/>
            <w:vAlign w:val="center"/>
            <w:hideMark/>
          </w:tcPr>
          <w:p w14:paraId="1DC70930"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0756FFCE"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1910C21"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648B5262" w14:textId="77777777" w:rsidR="007A7D91" w:rsidRPr="00FB27C3" w:rsidRDefault="007A7D91">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CPS-059-2019</w:t>
            </w:r>
          </w:p>
        </w:tc>
        <w:tc>
          <w:tcPr>
            <w:tcW w:w="4771" w:type="dxa"/>
            <w:tcBorders>
              <w:top w:val="nil"/>
              <w:left w:val="nil"/>
              <w:bottom w:val="single" w:sz="4" w:space="0" w:color="auto"/>
              <w:right w:val="single" w:sz="4" w:space="0" w:color="auto"/>
            </w:tcBorders>
            <w:shd w:val="clear" w:color="000000" w:fill="666699"/>
            <w:vAlign w:val="center"/>
            <w:hideMark/>
          </w:tcPr>
          <w:p w14:paraId="4FE4784E"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0AE82819"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6DD3B05" w14:textId="77777777" w:rsidTr="00273C40">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2FA04892"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30CCE80"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para las actividades de apoyo a la supervisión técnica, administrativa y financiera del </w:t>
            </w:r>
            <w:r w:rsidR="002507BF">
              <w:rPr>
                <w:rFonts w:eastAsia="Times New Roman" w:cs="Arial"/>
                <w:color w:val="000000"/>
                <w:sz w:val="18"/>
                <w:szCs w:val="18"/>
                <w:lang w:val="es-CO" w:eastAsia="es-CO"/>
              </w:rPr>
              <w:t>R</w:t>
            </w:r>
            <w:r w:rsidRPr="00FB27C3">
              <w:rPr>
                <w:rFonts w:eastAsia="Times New Roman" w:cs="Arial"/>
                <w:color w:val="000000"/>
                <w:sz w:val="18"/>
                <w:szCs w:val="18"/>
                <w:lang w:val="es-CO" w:eastAsia="es-CO"/>
              </w:rPr>
              <w:t xml:space="preserve">égimen </w:t>
            </w:r>
            <w:r w:rsidR="002507BF">
              <w:rPr>
                <w:rFonts w:eastAsia="Times New Roman" w:cs="Arial"/>
                <w:color w:val="000000"/>
                <w:sz w:val="18"/>
                <w:szCs w:val="18"/>
                <w:lang w:val="es-CO" w:eastAsia="es-CO"/>
              </w:rPr>
              <w:t>S</w:t>
            </w:r>
            <w:r w:rsidR="00273C40" w:rsidRPr="00FB27C3">
              <w:rPr>
                <w:rFonts w:eastAsia="Times New Roman" w:cs="Arial"/>
                <w:color w:val="000000"/>
                <w:sz w:val="18"/>
                <w:szCs w:val="18"/>
                <w:lang w:val="es-CO" w:eastAsia="es-CO"/>
              </w:rPr>
              <w:t>ubsidiado 2019</w:t>
            </w:r>
            <w:r w:rsidRPr="00FB27C3">
              <w:rPr>
                <w:rFonts w:eastAsia="Times New Roman" w:cs="Arial"/>
                <w:color w:val="000000"/>
                <w:sz w:val="18"/>
                <w:szCs w:val="18"/>
                <w:lang w:val="es-CO" w:eastAsia="es-CO"/>
              </w:rPr>
              <w:t xml:space="preserve"> en 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 xml:space="preserve"> de Leguízamo, </w:t>
            </w:r>
            <w:r w:rsidR="0010114D">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0D5AC697"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w:t>
            </w:r>
            <w:r w:rsidR="00273C40" w:rsidRPr="00FB27C3">
              <w:rPr>
                <w:rFonts w:eastAsia="Times New Roman" w:cs="Arial"/>
                <w:color w:val="000000"/>
                <w:sz w:val="18"/>
                <w:szCs w:val="18"/>
                <w:lang w:val="es-CO" w:eastAsia="es-CO"/>
              </w:rPr>
              <w:t>Fortalecimiento</w:t>
            </w:r>
            <w:r w:rsidRPr="00FB27C3">
              <w:rPr>
                <w:rFonts w:eastAsia="Times New Roman" w:cs="Arial"/>
                <w:color w:val="000000"/>
                <w:sz w:val="18"/>
                <w:szCs w:val="18"/>
                <w:lang w:val="es-CO" w:eastAsia="es-CO"/>
              </w:rPr>
              <w:t xml:space="preserve"> de la gestión administrativa y financiera de salud en el </w:t>
            </w:r>
            <w:r w:rsidR="0010114D">
              <w:rPr>
                <w:rFonts w:eastAsia="Times New Roman" w:cs="Arial"/>
                <w:color w:val="000000"/>
                <w:sz w:val="18"/>
                <w:szCs w:val="18"/>
                <w:lang w:val="es-CO" w:eastAsia="es-CO"/>
              </w:rPr>
              <w:t>Municipio</w:t>
            </w:r>
            <w:r w:rsidR="002C5EF0">
              <w:rPr>
                <w:rFonts w:eastAsia="Times New Roman" w:cs="Arial"/>
                <w:color w:val="000000"/>
                <w:sz w:val="18"/>
                <w:szCs w:val="18"/>
                <w:lang w:val="es-CO" w:eastAsia="es-CO"/>
              </w:rPr>
              <w:t>.</w:t>
            </w:r>
          </w:p>
          <w:p w14:paraId="6E814A45" w14:textId="77777777" w:rsidR="007A7D91" w:rsidRPr="00FB27C3"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Implementación del control y vigilancia de las IPS y EPS sobre sistemas de garantía de calidad, prestación de servicio y sostenibilidad financiera</w:t>
            </w:r>
          </w:p>
        </w:tc>
        <w:tc>
          <w:tcPr>
            <w:tcW w:w="0" w:type="auto"/>
            <w:vAlign w:val="center"/>
            <w:hideMark/>
          </w:tcPr>
          <w:p w14:paraId="710B3AD7"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32C8A7C9" w14:textId="77777777" w:rsidTr="00273C40">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002E24D5"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0547B615"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2B20E7AC"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2864817F"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r>
      <w:tr w:rsidR="00273C40" w:rsidRPr="002507BF" w14:paraId="569B41F6"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56D9A684"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76D60C00" w14:textId="77777777" w:rsidR="007A7D91" w:rsidRPr="00FB27C3" w:rsidRDefault="002C5EF0">
            <w:pPr>
              <w:spacing w:after="0" w:line="240" w:lineRule="auto"/>
              <w:contextualSpacing/>
              <w:jc w:val="center"/>
              <w:rPr>
                <w:rFonts w:eastAsia="Times New Roman" w:cs="Arial"/>
                <w:color w:val="000000"/>
                <w:sz w:val="18"/>
                <w:szCs w:val="18"/>
                <w:lang w:val="es-CO" w:eastAsia="es-CO"/>
              </w:rPr>
            </w:pPr>
            <w:r w:rsidRPr="002507BF">
              <w:rPr>
                <w:rFonts w:eastAsia="Times New Roman" w:cs="Arial"/>
                <w:color w:val="000000"/>
                <w:sz w:val="18"/>
                <w:szCs w:val="18"/>
                <w:lang w:val="es-CO" w:eastAsia="es-CO"/>
              </w:rPr>
              <w:t>Adriana Lucía Medicis</w:t>
            </w:r>
          </w:p>
        </w:tc>
        <w:tc>
          <w:tcPr>
            <w:tcW w:w="4771" w:type="dxa"/>
            <w:vMerge/>
            <w:tcBorders>
              <w:top w:val="nil"/>
              <w:left w:val="single" w:sz="4" w:space="0" w:color="auto"/>
              <w:bottom w:val="single" w:sz="4" w:space="0" w:color="000000"/>
              <w:right w:val="single" w:sz="4" w:space="0" w:color="auto"/>
            </w:tcBorders>
            <w:vAlign w:val="center"/>
            <w:hideMark/>
          </w:tcPr>
          <w:p w14:paraId="0C974FB1"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23D8FE29"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0E97DB63"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D3E56C2"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7B930286" w14:textId="77777777" w:rsidR="007A7D91" w:rsidRPr="00FB27C3" w:rsidRDefault="00C32B9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31</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500</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p>
        </w:tc>
        <w:tc>
          <w:tcPr>
            <w:tcW w:w="4771" w:type="dxa"/>
            <w:vMerge/>
            <w:tcBorders>
              <w:top w:val="nil"/>
              <w:left w:val="single" w:sz="4" w:space="0" w:color="auto"/>
              <w:bottom w:val="single" w:sz="4" w:space="0" w:color="000000"/>
              <w:right w:val="single" w:sz="4" w:space="0" w:color="auto"/>
            </w:tcBorders>
            <w:vAlign w:val="center"/>
            <w:hideMark/>
          </w:tcPr>
          <w:p w14:paraId="51D4DBC5"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6DFFEF9A"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32A86C79"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2C822EE"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02F0E69F"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9 meses</w:t>
            </w:r>
          </w:p>
        </w:tc>
        <w:tc>
          <w:tcPr>
            <w:tcW w:w="4771" w:type="dxa"/>
            <w:vMerge/>
            <w:tcBorders>
              <w:top w:val="nil"/>
              <w:left w:val="single" w:sz="4" w:space="0" w:color="auto"/>
              <w:bottom w:val="single" w:sz="4" w:space="0" w:color="000000"/>
              <w:right w:val="single" w:sz="4" w:space="0" w:color="auto"/>
            </w:tcBorders>
            <w:vAlign w:val="center"/>
            <w:hideMark/>
          </w:tcPr>
          <w:p w14:paraId="6ECC1370"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261299F1"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63BE7FBC"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2562119"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3D4065F8" w14:textId="77777777" w:rsidR="007A7D91" w:rsidRPr="00FB27C3" w:rsidRDefault="007A7D91">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CPS-021-2019</w:t>
            </w:r>
          </w:p>
        </w:tc>
        <w:tc>
          <w:tcPr>
            <w:tcW w:w="4771" w:type="dxa"/>
            <w:tcBorders>
              <w:top w:val="nil"/>
              <w:left w:val="nil"/>
              <w:bottom w:val="single" w:sz="4" w:space="0" w:color="auto"/>
              <w:right w:val="single" w:sz="4" w:space="0" w:color="auto"/>
            </w:tcBorders>
            <w:shd w:val="clear" w:color="000000" w:fill="666699"/>
            <w:vAlign w:val="center"/>
            <w:hideMark/>
          </w:tcPr>
          <w:p w14:paraId="6A94A32D"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6344DC26"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38552D5C" w14:textId="77777777" w:rsidTr="00273C40">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1E3738A6"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784FA9E"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la prestación de servicios de apoyo técnico para el fortalecimiento en el desarrollo de las acciones administrativas de la gestión pública en 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 xml:space="preserve"> de Leguízamo, </w:t>
            </w:r>
            <w:r w:rsidR="0010114D">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538F4FB8"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Atención al público.</w:t>
            </w:r>
          </w:p>
          <w:p w14:paraId="3BF23B42"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Manejo agenda de la </w:t>
            </w:r>
            <w:r w:rsidR="007571C2">
              <w:rPr>
                <w:rFonts w:eastAsia="Times New Roman" w:cs="Arial"/>
                <w:color w:val="000000"/>
                <w:sz w:val="18"/>
                <w:szCs w:val="18"/>
                <w:lang w:val="es-CO" w:eastAsia="es-CO"/>
              </w:rPr>
              <w:t>S</w:t>
            </w:r>
            <w:r w:rsidRPr="00FB27C3">
              <w:rPr>
                <w:rFonts w:eastAsia="Times New Roman" w:cs="Arial"/>
                <w:color w:val="000000"/>
                <w:sz w:val="18"/>
                <w:szCs w:val="18"/>
                <w:lang w:val="es-CO" w:eastAsia="es-CO"/>
              </w:rPr>
              <w:t xml:space="preserve">ecretaria de </w:t>
            </w:r>
            <w:r w:rsidR="007571C2">
              <w:rPr>
                <w:rFonts w:eastAsia="Times New Roman" w:cs="Arial"/>
                <w:color w:val="000000"/>
                <w:sz w:val="18"/>
                <w:szCs w:val="18"/>
                <w:lang w:val="es-CO" w:eastAsia="es-CO"/>
              </w:rPr>
              <w:t>P</w:t>
            </w:r>
            <w:r w:rsidRPr="00FB27C3">
              <w:rPr>
                <w:rFonts w:eastAsia="Times New Roman" w:cs="Arial"/>
                <w:color w:val="000000"/>
                <w:sz w:val="18"/>
                <w:szCs w:val="18"/>
                <w:lang w:val="es-CO" w:eastAsia="es-CO"/>
              </w:rPr>
              <w:t>laneación (fechas reuniones).</w:t>
            </w:r>
          </w:p>
          <w:p w14:paraId="56D81EA7"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Realizar la labor de oficina y archivo según los requerimientos de la secretaría de planeación.</w:t>
            </w:r>
          </w:p>
          <w:p w14:paraId="3C1CD80A" w14:textId="77777777" w:rsidR="007A7D91" w:rsidRPr="00FB27C3"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lastRenderedPageBreak/>
              <w:t xml:space="preserve">4. Radicar los oficios de la </w:t>
            </w:r>
            <w:r w:rsidR="007571C2">
              <w:rPr>
                <w:rFonts w:eastAsia="Times New Roman" w:cs="Arial"/>
                <w:color w:val="000000"/>
                <w:sz w:val="18"/>
                <w:szCs w:val="18"/>
                <w:lang w:val="es-CO" w:eastAsia="es-CO"/>
              </w:rPr>
              <w:t>S</w:t>
            </w:r>
            <w:r w:rsidRPr="00FB27C3">
              <w:rPr>
                <w:rFonts w:eastAsia="Times New Roman" w:cs="Arial"/>
                <w:color w:val="000000"/>
                <w:sz w:val="18"/>
                <w:szCs w:val="18"/>
                <w:lang w:val="es-CO" w:eastAsia="es-CO"/>
              </w:rPr>
              <w:t xml:space="preserve">ecretaria de </w:t>
            </w:r>
            <w:r w:rsidR="007571C2">
              <w:rPr>
                <w:rFonts w:eastAsia="Times New Roman" w:cs="Arial"/>
                <w:color w:val="000000"/>
                <w:sz w:val="18"/>
                <w:szCs w:val="18"/>
                <w:lang w:val="es-CO" w:eastAsia="es-CO"/>
              </w:rPr>
              <w:t>P</w:t>
            </w:r>
            <w:r w:rsidRPr="00FB27C3">
              <w:rPr>
                <w:rFonts w:eastAsia="Times New Roman" w:cs="Arial"/>
                <w:color w:val="000000"/>
                <w:sz w:val="18"/>
                <w:szCs w:val="18"/>
                <w:lang w:val="es-CO" w:eastAsia="es-CO"/>
              </w:rPr>
              <w:t>laneación</w:t>
            </w:r>
          </w:p>
        </w:tc>
        <w:tc>
          <w:tcPr>
            <w:tcW w:w="0" w:type="auto"/>
            <w:vAlign w:val="center"/>
            <w:hideMark/>
          </w:tcPr>
          <w:p w14:paraId="3998DCA3"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8E2A413" w14:textId="77777777" w:rsidTr="00273C40">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36B9FB96"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17F5892E"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419C5B77"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266DAF16"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r>
      <w:tr w:rsidR="00273C40" w:rsidRPr="002507BF" w14:paraId="061D1944"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9BD58E1"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lastRenderedPageBreak/>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40075966" w14:textId="77777777" w:rsidR="007A7D91" w:rsidRPr="00FB27C3" w:rsidRDefault="002C5EF0">
            <w:pPr>
              <w:spacing w:after="0" w:line="240" w:lineRule="auto"/>
              <w:contextualSpacing/>
              <w:jc w:val="center"/>
              <w:rPr>
                <w:rFonts w:eastAsia="Times New Roman" w:cs="Arial"/>
                <w:color w:val="000000"/>
                <w:sz w:val="18"/>
                <w:szCs w:val="18"/>
                <w:lang w:val="es-CO" w:eastAsia="es-CO"/>
              </w:rPr>
            </w:pPr>
            <w:r w:rsidRPr="002507BF">
              <w:rPr>
                <w:rFonts w:eastAsia="Times New Roman" w:cs="Arial"/>
                <w:color w:val="000000"/>
                <w:sz w:val="18"/>
                <w:szCs w:val="18"/>
                <w:lang w:val="es-CO" w:eastAsia="es-CO"/>
              </w:rPr>
              <w:t>Yily Estefany Correa Torres</w:t>
            </w:r>
          </w:p>
        </w:tc>
        <w:tc>
          <w:tcPr>
            <w:tcW w:w="4771" w:type="dxa"/>
            <w:vMerge/>
            <w:tcBorders>
              <w:top w:val="nil"/>
              <w:left w:val="single" w:sz="4" w:space="0" w:color="auto"/>
              <w:bottom w:val="single" w:sz="4" w:space="0" w:color="000000"/>
              <w:right w:val="single" w:sz="4" w:space="0" w:color="auto"/>
            </w:tcBorders>
            <w:vAlign w:val="center"/>
            <w:hideMark/>
          </w:tcPr>
          <w:p w14:paraId="74FD7797"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3AE1DE62"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2EC88050"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255EFA01"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47A9C9F6" w14:textId="77777777" w:rsidR="007A7D91" w:rsidRPr="00FB27C3" w:rsidRDefault="00C32B9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4</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800</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p>
        </w:tc>
        <w:tc>
          <w:tcPr>
            <w:tcW w:w="4771" w:type="dxa"/>
            <w:vMerge/>
            <w:tcBorders>
              <w:top w:val="nil"/>
              <w:left w:val="single" w:sz="4" w:space="0" w:color="auto"/>
              <w:bottom w:val="single" w:sz="4" w:space="0" w:color="000000"/>
              <w:right w:val="single" w:sz="4" w:space="0" w:color="auto"/>
            </w:tcBorders>
            <w:vAlign w:val="center"/>
            <w:hideMark/>
          </w:tcPr>
          <w:p w14:paraId="57B5B4CA"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70E57BBA"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3E9EC81B"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5CEF4CB6"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635EBF2D"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 meses</w:t>
            </w:r>
          </w:p>
        </w:tc>
        <w:tc>
          <w:tcPr>
            <w:tcW w:w="4771" w:type="dxa"/>
            <w:vMerge/>
            <w:tcBorders>
              <w:top w:val="nil"/>
              <w:left w:val="single" w:sz="4" w:space="0" w:color="auto"/>
              <w:bottom w:val="single" w:sz="4" w:space="0" w:color="000000"/>
              <w:right w:val="single" w:sz="4" w:space="0" w:color="auto"/>
            </w:tcBorders>
            <w:vAlign w:val="center"/>
            <w:hideMark/>
          </w:tcPr>
          <w:p w14:paraId="44D9121D"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5698CA89"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6443B4B4"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6C6F8195"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0CCB1FCD" w14:textId="77777777" w:rsidR="007A7D91" w:rsidRPr="00FB27C3" w:rsidRDefault="007A7D91">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CPS-023-2019</w:t>
            </w:r>
          </w:p>
        </w:tc>
        <w:tc>
          <w:tcPr>
            <w:tcW w:w="4771" w:type="dxa"/>
            <w:tcBorders>
              <w:top w:val="nil"/>
              <w:left w:val="nil"/>
              <w:bottom w:val="single" w:sz="4" w:space="0" w:color="auto"/>
              <w:right w:val="single" w:sz="4" w:space="0" w:color="auto"/>
            </w:tcBorders>
            <w:shd w:val="clear" w:color="000000" w:fill="666699"/>
            <w:vAlign w:val="center"/>
            <w:hideMark/>
          </w:tcPr>
          <w:p w14:paraId="678FB9E3"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0FDB1F12"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832A6BD" w14:textId="77777777" w:rsidTr="00273C40">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14783BF4"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3A0BBF5" w14:textId="77777777" w:rsidR="007A7D91" w:rsidRPr="00FB27C3" w:rsidRDefault="00273C40">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Contratar</w:t>
            </w:r>
            <w:r w:rsidR="007A7D91" w:rsidRPr="00FB27C3">
              <w:rPr>
                <w:rFonts w:eastAsia="Times New Roman" w:cs="Arial"/>
                <w:color w:val="000000"/>
                <w:sz w:val="18"/>
                <w:szCs w:val="18"/>
                <w:lang w:val="es-CO" w:eastAsia="es-CO"/>
              </w:rPr>
              <w:t xml:space="preserve"> la prestación de servicios profesionales como fortalecimiento a la Secretaría de Planeación en el proceso de titulación y legalización de predios en el </w:t>
            </w:r>
            <w:r w:rsidR="0010114D">
              <w:rPr>
                <w:rFonts w:eastAsia="Times New Roman" w:cs="Arial"/>
                <w:color w:val="000000"/>
                <w:sz w:val="18"/>
                <w:szCs w:val="18"/>
                <w:lang w:val="es-CO" w:eastAsia="es-CO"/>
              </w:rPr>
              <w:t>Municipio</w:t>
            </w:r>
            <w:r w:rsidR="007A7D91" w:rsidRPr="00FB27C3">
              <w:rPr>
                <w:rFonts w:eastAsia="Times New Roman" w:cs="Arial"/>
                <w:color w:val="000000"/>
                <w:sz w:val="18"/>
                <w:szCs w:val="18"/>
                <w:lang w:val="es-CO" w:eastAsia="es-CO"/>
              </w:rPr>
              <w:t xml:space="preserve"> de Leguízamo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28578850"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Diseño proyectos arquitectónicos, que la </w:t>
            </w:r>
            <w:r w:rsidR="0010114D">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dministración </w:t>
            </w:r>
            <w:r w:rsidR="0010114D">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unicipal requiera </w:t>
            </w:r>
            <w:r w:rsidR="001A2B5E" w:rsidRPr="00FB27C3">
              <w:rPr>
                <w:rFonts w:eastAsia="Times New Roman" w:cs="Arial"/>
                <w:color w:val="000000"/>
                <w:sz w:val="18"/>
                <w:szCs w:val="18"/>
                <w:lang w:val="es-CO" w:eastAsia="es-CO"/>
              </w:rPr>
              <w:t>de acuerdo con</w:t>
            </w:r>
            <w:r w:rsidRPr="00FB27C3">
              <w:rPr>
                <w:rFonts w:eastAsia="Times New Roman" w:cs="Arial"/>
                <w:color w:val="000000"/>
                <w:sz w:val="18"/>
                <w:szCs w:val="18"/>
                <w:lang w:val="es-CO" w:eastAsia="es-CO"/>
              </w:rPr>
              <w:t xml:space="preserve"> sus necesidades conforme con su capacidad técnica</w:t>
            </w:r>
            <w:r w:rsidR="002C5EF0">
              <w:rPr>
                <w:rFonts w:eastAsia="Times New Roman" w:cs="Arial"/>
                <w:color w:val="000000"/>
                <w:sz w:val="18"/>
                <w:szCs w:val="18"/>
                <w:lang w:val="es-CO" w:eastAsia="es-CO"/>
              </w:rPr>
              <w:t>.</w:t>
            </w:r>
          </w:p>
          <w:p w14:paraId="41152487"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Coordinar la preparación y presentación de proyectos de gestión con las diferentes secretarías, según la materia y el objeto del proyecto</w:t>
            </w:r>
            <w:r w:rsidR="002C5EF0">
              <w:rPr>
                <w:rFonts w:eastAsia="Times New Roman" w:cs="Arial"/>
                <w:color w:val="000000"/>
                <w:sz w:val="18"/>
                <w:szCs w:val="18"/>
                <w:lang w:val="es-CO" w:eastAsia="es-CO"/>
              </w:rPr>
              <w:t>.</w:t>
            </w:r>
          </w:p>
          <w:p w14:paraId="6327231C" w14:textId="77777777" w:rsidR="007A7D91" w:rsidRPr="00FB27C3"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Apoyar la secretaría técnica del OCAD municipal para realizar </w:t>
            </w:r>
            <w:r w:rsidR="00273C40" w:rsidRPr="00FB27C3">
              <w:rPr>
                <w:rFonts w:eastAsia="Times New Roman" w:cs="Arial"/>
                <w:color w:val="000000"/>
                <w:sz w:val="18"/>
                <w:szCs w:val="18"/>
                <w:lang w:val="es-CO" w:eastAsia="es-CO"/>
              </w:rPr>
              <w:t>todos los procesos</w:t>
            </w:r>
            <w:r w:rsidRPr="00FB27C3">
              <w:rPr>
                <w:rFonts w:eastAsia="Times New Roman" w:cs="Arial"/>
                <w:color w:val="000000"/>
                <w:sz w:val="18"/>
                <w:szCs w:val="18"/>
                <w:lang w:val="es-CO" w:eastAsia="es-CO"/>
              </w:rPr>
              <w:t xml:space="preserve"> para realizar OCAD municipal</w:t>
            </w:r>
            <w:r w:rsidR="002C5EF0">
              <w:rPr>
                <w:rFonts w:eastAsia="Times New Roman" w:cs="Arial"/>
                <w:color w:val="000000"/>
                <w:sz w:val="18"/>
                <w:szCs w:val="18"/>
                <w:lang w:val="es-CO" w:eastAsia="es-CO"/>
              </w:rPr>
              <w:t>.</w:t>
            </w:r>
          </w:p>
        </w:tc>
        <w:tc>
          <w:tcPr>
            <w:tcW w:w="0" w:type="auto"/>
            <w:vAlign w:val="center"/>
            <w:hideMark/>
          </w:tcPr>
          <w:p w14:paraId="6F7AE1BB"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210D42DE" w14:textId="77777777" w:rsidTr="00273C40">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2A337867"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139ED5CC"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4F7CA66F"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7C09DA6B"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r>
      <w:tr w:rsidR="00273C40" w:rsidRPr="002507BF" w14:paraId="18139F3C"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4CB0C34"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4C9FDA4A" w14:textId="77777777" w:rsidR="007A7D91" w:rsidRPr="00FB27C3" w:rsidRDefault="002C5EF0">
            <w:pPr>
              <w:spacing w:after="0" w:line="240" w:lineRule="auto"/>
              <w:contextualSpacing/>
              <w:jc w:val="center"/>
              <w:rPr>
                <w:rFonts w:eastAsia="Times New Roman" w:cs="Arial"/>
                <w:color w:val="000000"/>
                <w:sz w:val="18"/>
                <w:szCs w:val="18"/>
                <w:lang w:val="es-CO" w:eastAsia="es-CO"/>
              </w:rPr>
            </w:pPr>
            <w:r w:rsidRPr="002507BF">
              <w:rPr>
                <w:rFonts w:eastAsia="Times New Roman" w:cs="Arial"/>
                <w:color w:val="000000"/>
                <w:sz w:val="18"/>
                <w:szCs w:val="18"/>
                <w:lang w:val="es-CO" w:eastAsia="es-CO"/>
              </w:rPr>
              <w:t>Ivinser Rojas Bernicio</w:t>
            </w:r>
          </w:p>
        </w:tc>
        <w:tc>
          <w:tcPr>
            <w:tcW w:w="4771" w:type="dxa"/>
            <w:vMerge/>
            <w:tcBorders>
              <w:top w:val="nil"/>
              <w:left w:val="single" w:sz="4" w:space="0" w:color="auto"/>
              <w:bottom w:val="single" w:sz="4" w:space="0" w:color="000000"/>
              <w:right w:val="single" w:sz="4" w:space="0" w:color="auto"/>
            </w:tcBorders>
            <w:vAlign w:val="center"/>
            <w:hideMark/>
          </w:tcPr>
          <w:p w14:paraId="2B8639F4"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5769FCC9"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332383BF"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43D09012"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3333E31F" w14:textId="77777777" w:rsidR="007A7D91" w:rsidRPr="00FB27C3" w:rsidRDefault="00C32B9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15</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p>
        </w:tc>
        <w:tc>
          <w:tcPr>
            <w:tcW w:w="4771" w:type="dxa"/>
            <w:vMerge/>
            <w:tcBorders>
              <w:top w:val="nil"/>
              <w:left w:val="single" w:sz="4" w:space="0" w:color="auto"/>
              <w:bottom w:val="single" w:sz="4" w:space="0" w:color="000000"/>
              <w:right w:val="single" w:sz="4" w:space="0" w:color="auto"/>
            </w:tcBorders>
            <w:vAlign w:val="center"/>
            <w:hideMark/>
          </w:tcPr>
          <w:p w14:paraId="689CFB45"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69606C31"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0FBFF3B"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481F819"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3917BC63"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 meses</w:t>
            </w:r>
          </w:p>
        </w:tc>
        <w:tc>
          <w:tcPr>
            <w:tcW w:w="4771" w:type="dxa"/>
            <w:vMerge/>
            <w:tcBorders>
              <w:top w:val="nil"/>
              <w:left w:val="single" w:sz="4" w:space="0" w:color="auto"/>
              <w:bottom w:val="single" w:sz="4" w:space="0" w:color="000000"/>
              <w:right w:val="single" w:sz="4" w:space="0" w:color="auto"/>
            </w:tcBorders>
            <w:vAlign w:val="center"/>
            <w:hideMark/>
          </w:tcPr>
          <w:p w14:paraId="5EA2EB9E"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2B35FB72"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7A7D91" w:rsidRPr="002507BF" w14:paraId="08E5E701" w14:textId="77777777" w:rsidTr="00273C40">
        <w:trPr>
          <w:trHeight w:val="231"/>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6E7B6AD3"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Vigencia 2020</w:t>
            </w:r>
          </w:p>
        </w:tc>
        <w:tc>
          <w:tcPr>
            <w:tcW w:w="0" w:type="auto"/>
            <w:vAlign w:val="center"/>
            <w:hideMark/>
          </w:tcPr>
          <w:p w14:paraId="0FBE0C2D"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4A2AAFCD"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6DBBDDE"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670FE9CD" w14:textId="77777777" w:rsidR="007A7D91" w:rsidRPr="00FB27C3" w:rsidRDefault="007A7D91">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CPS-076-2020</w:t>
            </w:r>
          </w:p>
        </w:tc>
        <w:tc>
          <w:tcPr>
            <w:tcW w:w="4771" w:type="dxa"/>
            <w:tcBorders>
              <w:top w:val="nil"/>
              <w:left w:val="nil"/>
              <w:bottom w:val="single" w:sz="4" w:space="0" w:color="auto"/>
              <w:right w:val="single" w:sz="4" w:space="0" w:color="auto"/>
            </w:tcBorders>
            <w:shd w:val="clear" w:color="000000" w:fill="666699"/>
            <w:vAlign w:val="center"/>
            <w:hideMark/>
          </w:tcPr>
          <w:p w14:paraId="68895CEC"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78BEC8CF"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2A7D8DB3" w14:textId="77777777" w:rsidTr="00273C40">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62A71606"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F04DA1E"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Prestación de servicios de apoyo tecnológico para la </w:t>
            </w:r>
            <w:r w:rsidR="00273C40" w:rsidRPr="00FB27C3">
              <w:rPr>
                <w:rFonts w:eastAsia="Times New Roman" w:cs="Arial"/>
                <w:color w:val="000000"/>
                <w:sz w:val="18"/>
                <w:szCs w:val="18"/>
                <w:lang w:val="es-CO" w:eastAsia="es-CO"/>
              </w:rPr>
              <w:t>legalización</w:t>
            </w:r>
            <w:r w:rsidRPr="00FB27C3">
              <w:rPr>
                <w:rFonts w:eastAsia="Times New Roman" w:cs="Arial"/>
                <w:color w:val="000000"/>
                <w:sz w:val="18"/>
                <w:szCs w:val="18"/>
                <w:lang w:val="es-CO" w:eastAsia="es-CO"/>
              </w:rPr>
              <w:t xml:space="preserve"> de predios, diseño y elaboración de planos para el fortalecimiento de los procesos de la Secretaría de Planeación del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 xml:space="preserve"> de Leguízamo, </w:t>
            </w:r>
            <w:r w:rsidR="0010114D">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383086FE"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Implementar la política de gobierno digital en 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 xml:space="preserve"> de Puerto Leguízamo Putumayo</w:t>
            </w:r>
            <w:r w:rsidR="002C5EF0">
              <w:rPr>
                <w:rFonts w:eastAsia="Times New Roman" w:cs="Arial"/>
                <w:color w:val="000000"/>
                <w:sz w:val="18"/>
                <w:szCs w:val="18"/>
                <w:lang w:val="es-CO" w:eastAsia="es-CO"/>
              </w:rPr>
              <w:t>.</w:t>
            </w:r>
          </w:p>
          <w:p w14:paraId="38B78CCD"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Apoyar de manera profesional a todas las dependencias teniendo en cuenta las tecnologías y sistemas de información y comunicaciones a nivel institucional y municipal</w:t>
            </w:r>
            <w:r w:rsidR="002C5EF0">
              <w:rPr>
                <w:rFonts w:eastAsia="Times New Roman" w:cs="Arial"/>
                <w:color w:val="000000"/>
                <w:sz w:val="18"/>
                <w:szCs w:val="18"/>
                <w:lang w:val="es-CO" w:eastAsia="es-CO"/>
              </w:rPr>
              <w:t>.</w:t>
            </w:r>
          </w:p>
          <w:p w14:paraId="74A155BB" w14:textId="77777777" w:rsidR="007A7D91" w:rsidRPr="00FB27C3"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Divulgación de información institucional usando medios digitales para la crear valor público a nivel municipal, departamental y nacional</w:t>
            </w:r>
            <w:r w:rsidR="002C5EF0">
              <w:rPr>
                <w:rFonts w:eastAsia="Times New Roman" w:cs="Arial"/>
                <w:color w:val="000000"/>
                <w:sz w:val="18"/>
                <w:szCs w:val="18"/>
                <w:lang w:val="es-CO" w:eastAsia="es-CO"/>
              </w:rPr>
              <w:t>.</w:t>
            </w:r>
          </w:p>
        </w:tc>
        <w:tc>
          <w:tcPr>
            <w:tcW w:w="0" w:type="auto"/>
            <w:vAlign w:val="center"/>
            <w:hideMark/>
          </w:tcPr>
          <w:p w14:paraId="6C62EF27"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1F90B860" w14:textId="77777777" w:rsidTr="00273C40">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2DB1E079"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1BFD50A2"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600B260D"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26BF9A57"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r>
      <w:tr w:rsidR="00273C40" w:rsidRPr="002507BF" w14:paraId="3DAFDFD8"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DFDFA45"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6376CFCD" w14:textId="77777777" w:rsidR="007A7D91" w:rsidRPr="00FB27C3" w:rsidRDefault="002C5EF0">
            <w:pPr>
              <w:spacing w:after="0" w:line="240" w:lineRule="auto"/>
              <w:contextualSpacing/>
              <w:jc w:val="center"/>
              <w:rPr>
                <w:rFonts w:eastAsia="Times New Roman" w:cs="Arial"/>
                <w:color w:val="000000"/>
                <w:sz w:val="18"/>
                <w:szCs w:val="18"/>
                <w:lang w:val="es-CO" w:eastAsia="es-CO"/>
              </w:rPr>
            </w:pPr>
            <w:r w:rsidRPr="002507BF">
              <w:rPr>
                <w:rFonts w:eastAsia="Times New Roman" w:cs="Arial"/>
                <w:color w:val="000000"/>
                <w:sz w:val="18"/>
                <w:szCs w:val="18"/>
                <w:lang w:val="es-CO" w:eastAsia="es-CO"/>
              </w:rPr>
              <w:t>Jorge Lui</w:t>
            </w:r>
            <w:r w:rsidR="0010114D">
              <w:rPr>
                <w:rFonts w:eastAsia="Times New Roman" w:cs="Arial"/>
                <w:color w:val="000000"/>
                <w:sz w:val="18"/>
                <w:szCs w:val="18"/>
                <w:lang w:val="es-CO" w:eastAsia="es-CO"/>
              </w:rPr>
              <w:t>s</w:t>
            </w:r>
            <w:r w:rsidRPr="002507BF">
              <w:rPr>
                <w:rFonts w:eastAsia="Times New Roman" w:cs="Arial"/>
                <w:color w:val="000000"/>
                <w:sz w:val="18"/>
                <w:szCs w:val="18"/>
                <w:lang w:val="es-CO" w:eastAsia="es-CO"/>
              </w:rPr>
              <w:t xml:space="preserve"> Herrera Cárdenas</w:t>
            </w:r>
          </w:p>
        </w:tc>
        <w:tc>
          <w:tcPr>
            <w:tcW w:w="4771" w:type="dxa"/>
            <w:vMerge/>
            <w:tcBorders>
              <w:top w:val="nil"/>
              <w:left w:val="single" w:sz="4" w:space="0" w:color="auto"/>
              <w:bottom w:val="single" w:sz="4" w:space="0" w:color="000000"/>
              <w:right w:val="single" w:sz="4" w:space="0" w:color="auto"/>
            </w:tcBorders>
            <w:vAlign w:val="center"/>
            <w:hideMark/>
          </w:tcPr>
          <w:p w14:paraId="600EE827"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36ED0399"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19832637"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F2B4474"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59EDC798" w14:textId="77777777" w:rsidR="007A7D91" w:rsidRPr="00FB27C3" w:rsidRDefault="00C32B9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14</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850</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p>
        </w:tc>
        <w:tc>
          <w:tcPr>
            <w:tcW w:w="4771" w:type="dxa"/>
            <w:vMerge/>
            <w:tcBorders>
              <w:top w:val="nil"/>
              <w:left w:val="single" w:sz="4" w:space="0" w:color="auto"/>
              <w:bottom w:val="single" w:sz="4" w:space="0" w:color="000000"/>
              <w:right w:val="single" w:sz="4" w:space="0" w:color="auto"/>
            </w:tcBorders>
            <w:vAlign w:val="center"/>
            <w:hideMark/>
          </w:tcPr>
          <w:p w14:paraId="120EE791"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60D654E1"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46D5A440"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575DC3BA"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432A95CE"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9 meses</w:t>
            </w:r>
          </w:p>
        </w:tc>
        <w:tc>
          <w:tcPr>
            <w:tcW w:w="4771" w:type="dxa"/>
            <w:vMerge/>
            <w:tcBorders>
              <w:top w:val="nil"/>
              <w:left w:val="single" w:sz="4" w:space="0" w:color="auto"/>
              <w:bottom w:val="single" w:sz="4" w:space="0" w:color="000000"/>
              <w:right w:val="single" w:sz="4" w:space="0" w:color="auto"/>
            </w:tcBorders>
            <w:vAlign w:val="center"/>
            <w:hideMark/>
          </w:tcPr>
          <w:p w14:paraId="53C1D481"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4E023C71"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5B4CAFC6"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D0B05FE"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7AF19379" w14:textId="77777777" w:rsidR="007A7D91" w:rsidRPr="00FB27C3" w:rsidRDefault="007A7D91">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CPS-044-2020</w:t>
            </w:r>
          </w:p>
        </w:tc>
        <w:tc>
          <w:tcPr>
            <w:tcW w:w="4771" w:type="dxa"/>
            <w:tcBorders>
              <w:top w:val="nil"/>
              <w:left w:val="nil"/>
              <w:bottom w:val="single" w:sz="4" w:space="0" w:color="auto"/>
              <w:right w:val="single" w:sz="4" w:space="0" w:color="auto"/>
            </w:tcBorders>
            <w:shd w:val="clear" w:color="000000" w:fill="666699"/>
            <w:vAlign w:val="center"/>
            <w:hideMark/>
          </w:tcPr>
          <w:p w14:paraId="20B37D9F"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20E70F8F"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441D0F44" w14:textId="77777777" w:rsidTr="00273C40">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28001C11"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2741898D"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un profesional para la supervisión técnica, administrativa y financiera del </w:t>
            </w:r>
            <w:r w:rsidR="0010114D">
              <w:rPr>
                <w:rFonts w:eastAsia="Times New Roman" w:cs="Arial"/>
                <w:color w:val="000000"/>
                <w:sz w:val="18"/>
                <w:szCs w:val="18"/>
                <w:lang w:val="es-CO" w:eastAsia="es-CO"/>
              </w:rPr>
              <w:t>R</w:t>
            </w:r>
            <w:r w:rsidRPr="00FB27C3">
              <w:rPr>
                <w:rFonts w:eastAsia="Times New Roman" w:cs="Arial"/>
                <w:color w:val="000000"/>
                <w:sz w:val="18"/>
                <w:szCs w:val="18"/>
                <w:lang w:val="es-CO" w:eastAsia="es-CO"/>
              </w:rPr>
              <w:t xml:space="preserve">égimen </w:t>
            </w:r>
            <w:r w:rsidR="0010114D">
              <w:rPr>
                <w:rFonts w:eastAsia="Times New Roman" w:cs="Arial"/>
                <w:color w:val="000000"/>
                <w:sz w:val="18"/>
                <w:szCs w:val="18"/>
                <w:lang w:val="es-CO" w:eastAsia="es-CO"/>
              </w:rPr>
              <w:t>S</w:t>
            </w:r>
            <w:r w:rsidRPr="00FB27C3">
              <w:rPr>
                <w:rFonts w:eastAsia="Times New Roman" w:cs="Arial"/>
                <w:color w:val="000000"/>
                <w:sz w:val="18"/>
                <w:szCs w:val="18"/>
                <w:lang w:val="es-CO" w:eastAsia="es-CO"/>
              </w:rPr>
              <w:t xml:space="preserve">ubsidiado 2020 en 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 xml:space="preserve"> de Puerto Leguízamo Departamento del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1846A3BE" w14:textId="77777777" w:rsidR="002C5EF0"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Apoyar de manera mensual en la elaboración de los actos administrativos para los pagos sin situación de fondos a las EPS y demás actos que sean necesarios para el buen desempeño del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 xml:space="preserve"> en el área de aseguramiento, de acuerdo con los parámetros del Ministerio de Salud y Protección social</w:t>
            </w:r>
            <w:r w:rsidR="002C5EF0">
              <w:rPr>
                <w:rFonts w:eastAsia="Times New Roman" w:cs="Arial"/>
                <w:color w:val="000000"/>
                <w:sz w:val="18"/>
                <w:szCs w:val="18"/>
                <w:lang w:val="es-CO" w:eastAsia="es-CO"/>
              </w:rPr>
              <w:t>.</w:t>
            </w:r>
          </w:p>
          <w:p w14:paraId="6904685E" w14:textId="77777777" w:rsidR="007A7D91" w:rsidRPr="00FB27C3"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Apoyar en la proyección de acto administrativo en los ajustes de los compromisos presupuestales teniendo en cuenta la matriz de financiación emitida por el Ministerio de Salud y Protección </w:t>
            </w:r>
            <w:r w:rsidR="002507BF">
              <w:rPr>
                <w:rFonts w:eastAsia="Times New Roman" w:cs="Arial"/>
                <w:color w:val="000000"/>
                <w:sz w:val="18"/>
                <w:szCs w:val="18"/>
                <w:lang w:val="es-CO" w:eastAsia="es-CO"/>
              </w:rPr>
              <w:t>S</w:t>
            </w:r>
            <w:r w:rsidRPr="00FB27C3">
              <w:rPr>
                <w:rFonts w:eastAsia="Times New Roman" w:cs="Arial"/>
                <w:color w:val="000000"/>
                <w:sz w:val="18"/>
                <w:szCs w:val="18"/>
                <w:lang w:val="es-CO" w:eastAsia="es-CO"/>
              </w:rPr>
              <w:t>ocial</w:t>
            </w:r>
            <w:r w:rsidR="0010114D">
              <w:rPr>
                <w:rFonts w:eastAsia="Times New Roman" w:cs="Arial"/>
                <w:color w:val="000000"/>
                <w:sz w:val="18"/>
                <w:szCs w:val="18"/>
                <w:lang w:val="es-CO" w:eastAsia="es-CO"/>
              </w:rPr>
              <w:t>.</w:t>
            </w:r>
          </w:p>
        </w:tc>
        <w:tc>
          <w:tcPr>
            <w:tcW w:w="0" w:type="auto"/>
            <w:vAlign w:val="center"/>
            <w:hideMark/>
          </w:tcPr>
          <w:p w14:paraId="6924CEC3"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20FE9EC8" w14:textId="77777777" w:rsidTr="00273C40">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29DF8A48"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7FC8B92E"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52750F6C"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6FDD89DC"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r>
      <w:tr w:rsidR="00273C40" w:rsidRPr="002507BF" w14:paraId="2B4E6143"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631E1AD2"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14F7E506" w14:textId="77777777" w:rsidR="007A7D91" w:rsidRPr="00FB27C3" w:rsidRDefault="002C5EF0">
            <w:pPr>
              <w:spacing w:after="0" w:line="240" w:lineRule="auto"/>
              <w:contextualSpacing/>
              <w:jc w:val="center"/>
              <w:rPr>
                <w:rFonts w:eastAsia="Times New Roman" w:cs="Arial"/>
                <w:color w:val="000000"/>
                <w:sz w:val="18"/>
                <w:szCs w:val="18"/>
                <w:lang w:val="es-CO" w:eastAsia="es-CO"/>
              </w:rPr>
            </w:pPr>
            <w:r w:rsidRPr="002507BF">
              <w:rPr>
                <w:rFonts w:eastAsia="Times New Roman" w:cs="Arial"/>
                <w:color w:val="000000"/>
                <w:sz w:val="18"/>
                <w:szCs w:val="18"/>
                <w:lang w:val="es-CO" w:eastAsia="es-CO"/>
              </w:rPr>
              <w:t>Enith Lorena Llerena Rojas</w:t>
            </w:r>
          </w:p>
        </w:tc>
        <w:tc>
          <w:tcPr>
            <w:tcW w:w="4771" w:type="dxa"/>
            <w:vMerge/>
            <w:tcBorders>
              <w:top w:val="nil"/>
              <w:left w:val="single" w:sz="4" w:space="0" w:color="auto"/>
              <w:bottom w:val="single" w:sz="4" w:space="0" w:color="000000"/>
              <w:right w:val="single" w:sz="4" w:space="0" w:color="auto"/>
            </w:tcBorders>
            <w:vAlign w:val="center"/>
            <w:hideMark/>
          </w:tcPr>
          <w:p w14:paraId="0519DEE4"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4C887DC9"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0F667052"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8F607A0"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118F7F7C" w14:textId="77777777" w:rsidR="007A7D91" w:rsidRPr="00FB27C3" w:rsidRDefault="00C32B9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27</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600</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p>
        </w:tc>
        <w:tc>
          <w:tcPr>
            <w:tcW w:w="4771" w:type="dxa"/>
            <w:vMerge/>
            <w:tcBorders>
              <w:top w:val="nil"/>
              <w:left w:val="single" w:sz="4" w:space="0" w:color="auto"/>
              <w:bottom w:val="single" w:sz="4" w:space="0" w:color="000000"/>
              <w:right w:val="single" w:sz="4" w:space="0" w:color="auto"/>
            </w:tcBorders>
            <w:vAlign w:val="center"/>
            <w:hideMark/>
          </w:tcPr>
          <w:p w14:paraId="491A8359"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192DDC3B"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76C22704"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67EFA5B2"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6FB4886F"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 meses</w:t>
            </w:r>
          </w:p>
        </w:tc>
        <w:tc>
          <w:tcPr>
            <w:tcW w:w="4771" w:type="dxa"/>
            <w:vMerge/>
            <w:tcBorders>
              <w:top w:val="nil"/>
              <w:left w:val="single" w:sz="4" w:space="0" w:color="auto"/>
              <w:bottom w:val="single" w:sz="4" w:space="0" w:color="000000"/>
              <w:right w:val="single" w:sz="4" w:space="0" w:color="auto"/>
            </w:tcBorders>
            <w:vAlign w:val="center"/>
            <w:hideMark/>
          </w:tcPr>
          <w:p w14:paraId="7BE3044E"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4F291973"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6F39862C"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15FC748"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226CCE54" w14:textId="77777777" w:rsidR="007A7D91" w:rsidRPr="00FB27C3" w:rsidRDefault="007A7D91">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CPS-126-2020</w:t>
            </w:r>
          </w:p>
        </w:tc>
        <w:tc>
          <w:tcPr>
            <w:tcW w:w="4771" w:type="dxa"/>
            <w:tcBorders>
              <w:top w:val="nil"/>
              <w:left w:val="nil"/>
              <w:bottom w:val="single" w:sz="4" w:space="0" w:color="auto"/>
              <w:right w:val="single" w:sz="4" w:space="0" w:color="auto"/>
            </w:tcBorders>
            <w:shd w:val="clear" w:color="000000" w:fill="666699"/>
            <w:vAlign w:val="center"/>
            <w:hideMark/>
          </w:tcPr>
          <w:p w14:paraId="433436B2"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45231DC2"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17880ABC" w14:textId="77777777" w:rsidTr="00273C40">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0CDD3901"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DE087F3"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Contrato de prestación de servicios profesionales como coordinador de los programas sociales para el desarrollo de una política social en 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 xml:space="preserve"> de Leguízamo -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49CC2BAD" w14:textId="77777777" w:rsidR="0010114D"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Realizar el apoyo profesional</w:t>
            </w:r>
            <w:r w:rsidR="0010114D">
              <w:rPr>
                <w:rFonts w:eastAsia="Times New Roman" w:cs="Arial"/>
                <w:color w:val="000000"/>
                <w:sz w:val="18"/>
                <w:szCs w:val="18"/>
                <w:lang w:val="es-CO" w:eastAsia="es-CO"/>
              </w:rPr>
              <w:t xml:space="preserve"> </w:t>
            </w:r>
            <w:r w:rsidRPr="00FB27C3">
              <w:rPr>
                <w:rFonts w:eastAsia="Times New Roman" w:cs="Arial"/>
                <w:color w:val="000000"/>
                <w:sz w:val="18"/>
                <w:szCs w:val="18"/>
                <w:lang w:val="es-CO" w:eastAsia="es-CO"/>
              </w:rPr>
              <w:t>en las diferentes actividades con carácter social y comunitario que se definan para el bienestar de diferentes sectores</w:t>
            </w:r>
            <w:r w:rsidR="00526F06" w:rsidRPr="00FB27C3">
              <w:rPr>
                <w:rFonts w:eastAsia="Times New Roman" w:cs="Arial"/>
                <w:color w:val="000000"/>
                <w:sz w:val="18"/>
                <w:szCs w:val="18"/>
                <w:lang w:val="es-CO" w:eastAsia="es-CO"/>
              </w:rPr>
              <w:t xml:space="preserve"> </w:t>
            </w:r>
            <w:r w:rsidRPr="00FB27C3">
              <w:rPr>
                <w:rFonts w:eastAsia="Times New Roman" w:cs="Arial"/>
                <w:color w:val="000000"/>
                <w:sz w:val="18"/>
                <w:szCs w:val="18"/>
                <w:lang w:val="es-CO" w:eastAsia="es-CO"/>
              </w:rPr>
              <w:t xml:space="preserve">sociales del </w:t>
            </w:r>
            <w:r w:rsidR="0010114D">
              <w:rPr>
                <w:rFonts w:eastAsia="Times New Roman" w:cs="Arial"/>
                <w:color w:val="000000"/>
                <w:sz w:val="18"/>
                <w:szCs w:val="18"/>
                <w:lang w:val="es-CO" w:eastAsia="es-CO"/>
              </w:rPr>
              <w:t>Municipio</w:t>
            </w:r>
            <w:r w:rsidRPr="00FB27C3">
              <w:rPr>
                <w:rFonts w:eastAsia="Times New Roman" w:cs="Arial"/>
                <w:color w:val="000000"/>
                <w:sz w:val="18"/>
                <w:szCs w:val="18"/>
                <w:lang w:val="es-CO" w:eastAsia="es-CO"/>
              </w:rPr>
              <w:t>.</w:t>
            </w:r>
          </w:p>
          <w:p w14:paraId="38B460BE" w14:textId="77777777" w:rsidR="0010114D"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Apoyar a la gestión y desarrollo de los programas de infancia, adolescencia, mujer equidad de</w:t>
            </w:r>
            <w:r w:rsidR="002507BF">
              <w:rPr>
                <w:rFonts w:eastAsia="Times New Roman" w:cs="Arial"/>
                <w:color w:val="000000"/>
                <w:sz w:val="18"/>
                <w:szCs w:val="18"/>
                <w:lang w:val="es-CO" w:eastAsia="es-CO"/>
              </w:rPr>
              <w:t xml:space="preserve"> </w:t>
            </w:r>
            <w:r w:rsidRPr="00FB27C3">
              <w:rPr>
                <w:rFonts w:eastAsia="Times New Roman" w:cs="Arial"/>
                <w:color w:val="000000"/>
                <w:sz w:val="18"/>
                <w:szCs w:val="18"/>
                <w:lang w:val="es-CO" w:eastAsia="es-CO"/>
              </w:rPr>
              <w:t>género, discapacidad.</w:t>
            </w:r>
          </w:p>
          <w:p w14:paraId="7AF02B24" w14:textId="77777777" w:rsidR="007A7D91" w:rsidRPr="00FB27C3" w:rsidRDefault="007A7D91">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Coordinar y hacer seguimiento a los consejos municipales de política social.</w:t>
            </w:r>
          </w:p>
        </w:tc>
        <w:tc>
          <w:tcPr>
            <w:tcW w:w="0" w:type="auto"/>
            <w:vAlign w:val="center"/>
            <w:hideMark/>
          </w:tcPr>
          <w:p w14:paraId="6AB40746"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77EE3C5C" w14:textId="77777777" w:rsidTr="00273C40">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59107CE7" w14:textId="77777777" w:rsidR="007A7D91" w:rsidRPr="00FB27C3" w:rsidRDefault="007A7D91">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68948301"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2472BC72"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60B41749"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r>
      <w:tr w:rsidR="00273C40" w:rsidRPr="002507BF" w14:paraId="5EBAA7A8"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98E8465"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3B79CA9E" w14:textId="77777777" w:rsidR="007A7D91" w:rsidRPr="00FB27C3" w:rsidRDefault="0010114D">
            <w:pPr>
              <w:spacing w:after="0" w:line="240" w:lineRule="auto"/>
              <w:contextualSpacing/>
              <w:jc w:val="center"/>
              <w:rPr>
                <w:rFonts w:eastAsia="Times New Roman" w:cs="Arial"/>
                <w:color w:val="000000"/>
                <w:sz w:val="18"/>
                <w:szCs w:val="18"/>
                <w:lang w:val="es-CO" w:eastAsia="es-CO"/>
              </w:rPr>
            </w:pPr>
            <w:r w:rsidRPr="002507BF">
              <w:rPr>
                <w:rFonts w:eastAsia="Times New Roman" w:cs="Arial"/>
                <w:color w:val="000000"/>
                <w:sz w:val="18"/>
                <w:szCs w:val="18"/>
                <w:lang w:val="es-CO" w:eastAsia="es-CO"/>
              </w:rPr>
              <w:t>Yina Viviana Jaramillo Lozada</w:t>
            </w:r>
          </w:p>
        </w:tc>
        <w:tc>
          <w:tcPr>
            <w:tcW w:w="4771" w:type="dxa"/>
            <w:vMerge/>
            <w:tcBorders>
              <w:top w:val="nil"/>
              <w:left w:val="single" w:sz="4" w:space="0" w:color="auto"/>
              <w:bottom w:val="single" w:sz="4" w:space="0" w:color="000000"/>
              <w:right w:val="single" w:sz="4" w:space="0" w:color="auto"/>
            </w:tcBorders>
            <w:vAlign w:val="center"/>
            <w:hideMark/>
          </w:tcPr>
          <w:p w14:paraId="4A5EE484"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357182FB"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28579442"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39BEB505"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64334440" w14:textId="77777777" w:rsidR="007A7D91" w:rsidRPr="00FB27C3" w:rsidRDefault="00C32B9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12</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500</w:t>
            </w:r>
            <w:r w:rsidRPr="00FB27C3">
              <w:rPr>
                <w:rFonts w:eastAsia="Times New Roman" w:cs="Arial"/>
                <w:color w:val="000000"/>
                <w:sz w:val="18"/>
                <w:szCs w:val="18"/>
                <w:lang w:val="es-CO" w:eastAsia="es-CO"/>
              </w:rPr>
              <w:t>.</w:t>
            </w:r>
            <w:r w:rsidR="007A7D91" w:rsidRPr="00FB27C3">
              <w:rPr>
                <w:rFonts w:eastAsia="Times New Roman" w:cs="Arial"/>
                <w:color w:val="000000"/>
                <w:sz w:val="18"/>
                <w:szCs w:val="18"/>
                <w:lang w:val="es-CO" w:eastAsia="es-CO"/>
              </w:rPr>
              <w:t>000</w:t>
            </w:r>
          </w:p>
        </w:tc>
        <w:tc>
          <w:tcPr>
            <w:tcW w:w="4771" w:type="dxa"/>
            <w:vMerge/>
            <w:tcBorders>
              <w:top w:val="nil"/>
              <w:left w:val="single" w:sz="4" w:space="0" w:color="auto"/>
              <w:bottom w:val="single" w:sz="4" w:space="0" w:color="000000"/>
              <w:right w:val="single" w:sz="4" w:space="0" w:color="auto"/>
            </w:tcBorders>
            <w:vAlign w:val="center"/>
            <w:hideMark/>
          </w:tcPr>
          <w:p w14:paraId="1DCE3760"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0B2F157A" w14:textId="77777777" w:rsidR="007A7D91" w:rsidRPr="00FB27C3" w:rsidRDefault="007A7D91">
            <w:pPr>
              <w:spacing w:after="0" w:line="240" w:lineRule="auto"/>
              <w:contextualSpacing/>
              <w:jc w:val="center"/>
              <w:rPr>
                <w:rFonts w:eastAsia="Times New Roman" w:cs="Arial"/>
                <w:sz w:val="18"/>
                <w:szCs w:val="18"/>
                <w:lang w:val="es-CO" w:eastAsia="es-CO"/>
              </w:rPr>
            </w:pPr>
          </w:p>
        </w:tc>
      </w:tr>
      <w:tr w:rsidR="00273C40" w:rsidRPr="002507BF" w14:paraId="2EBC2288" w14:textId="77777777" w:rsidTr="00273C40">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42DF5E86" w14:textId="77777777" w:rsidR="007A7D91" w:rsidRPr="00FB27C3" w:rsidRDefault="007A7D91"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0E3A1D83"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meses</w:t>
            </w:r>
          </w:p>
        </w:tc>
        <w:tc>
          <w:tcPr>
            <w:tcW w:w="4771" w:type="dxa"/>
            <w:vMerge/>
            <w:tcBorders>
              <w:top w:val="nil"/>
              <w:left w:val="single" w:sz="4" w:space="0" w:color="auto"/>
              <w:bottom w:val="single" w:sz="4" w:space="0" w:color="000000"/>
              <w:right w:val="single" w:sz="4" w:space="0" w:color="auto"/>
            </w:tcBorders>
            <w:vAlign w:val="center"/>
            <w:hideMark/>
          </w:tcPr>
          <w:p w14:paraId="668AF478" w14:textId="77777777" w:rsidR="007A7D91" w:rsidRPr="00FB27C3" w:rsidRDefault="007A7D91">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7BD17D2D" w14:textId="77777777" w:rsidR="007A7D91" w:rsidRPr="00FB27C3" w:rsidRDefault="007A7D91">
            <w:pPr>
              <w:spacing w:after="0" w:line="240" w:lineRule="auto"/>
              <w:contextualSpacing/>
              <w:jc w:val="center"/>
              <w:rPr>
                <w:rFonts w:eastAsia="Times New Roman" w:cs="Arial"/>
                <w:sz w:val="18"/>
                <w:szCs w:val="18"/>
                <w:lang w:val="es-CO" w:eastAsia="es-CO"/>
              </w:rPr>
            </w:pPr>
          </w:p>
        </w:tc>
      </w:tr>
    </w:tbl>
    <w:p w14:paraId="02858690" w14:textId="77777777" w:rsidR="00273C40" w:rsidRPr="00FB27C3" w:rsidRDefault="00273C40" w:rsidP="00286F4A">
      <w:pPr>
        <w:spacing w:line="240" w:lineRule="auto"/>
        <w:contextualSpacing/>
        <w:jc w:val="center"/>
        <w:rPr>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5787FCE8" w14:textId="77777777" w:rsidR="00273C40" w:rsidRDefault="00273C40">
      <w:pPr>
        <w:spacing w:line="240" w:lineRule="auto"/>
        <w:contextualSpacing/>
        <w:jc w:val="both"/>
        <w:rPr>
          <w:rFonts w:eastAsia="Arial" w:cs="Arial"/>
        </w:rPr>
      </w:pPr>
    </w:p>
    <w:p w14:paraId="16FE2BC6" w14:textId="77777777" w:rsidR="006B23FF" w:rsidRDefault="004D0595">
      <w:pPr>
        <w:spacing w:line="240" w:lineRule="auto"/>
        <w:contextualSpacing/>
        <w:jc w:val="both"/>
        <w:rPr>
          <w:rFonts w:eastAsia="Arial" w:cs="Arial"/>
        </w:rPr>
      </w:pPr>
      <w:r>
        <w:rPr>
          <w:rFonts w:eastAsia="Arial" w:cs="Arial"/>
        </w:rPr>
        <w:t>Los contratos</w:t>
      </w:r>
      <w:r w:rsidR="00674903" w:rsidRPr="6D53D0E7">
        <w:rPr>
          <w:rFonts w:eastAsia="Arial" w:cs="Arial"/>
        </w:rPr>
        <w:t xml:space="preserve"> anteriormente mencionados se encuentran financiados con recursos de Libre Inversión</w:t>
      </w:r>
      <w:r>
        <w:rPr>
          <w:rFonts w:eastAsia="Arial" w:cs="Arial"/>
        </w:rPr>
        <w:t xml:space="preserve"> de acuerdo con los </w:t>
      </w:r>
      <w:r w:rsidR="00392809">
        <w:rPr>
          <w:rFonts w:eastAsia="Arial" w:cs="Arial"/>
        </w:rPr>
        <w:t>r</w:t>
      </w:r>
      <w:r>
        <w:rPr>
          <w:rFonts w:eastAsia="Arial" w:cs="Arial"/>
        </w:rPr>
        <w:t xml:space="preserve">egistros </w:t>
      </w:r>
      <w:r w:rsidR="00392809">
        <w:rPr>
          <w:rFonts w:eastAsia="Arial" w:cs="Arial"/>
        </w:rPr>
        <w:t>p</w:t>
      </w:r>
      <w:r>
        <w:rPr>
          <w:rFonts w:eastAsia="Arial" w:cs="Arial"/>
        </w:rPr>
        <w:t xml:space="preserve">resupuestales y los códigos de la </w:t>
      </w:r>
      <w:r w:rsidR="00392809">
        <w:rPr>
          <w:rFonts w:eastAsia="Arial" w:cs="Arial"/>
        </w:rPr>
        <w:t>e</w:t>
      </w:r>
      <w:r>
        <w:rPr>
          <w:rFonts w:eastAsia="Arial" w:cs="Arial"/>
        </w:rPr>
        <w:t xml:space="preserve">jecución </w:t>
      </w:r>
      <w:r w:rsidR="00392809">
        <w:rPr>
          <w:rFonts w:eastAsia="Arial" w:cs="Arial"/>
        </w:rPr>
        <w:t>p</w:t>
      </w:r>
      <w:r>
        <w:rPr>
          <w:rFonts w:eastAsia="Arial" w:cs="Arial"/>
        </w:rPr>
        <w:t>resupuestal bajo la que se amparan. C</w:t>
      </w:r>
      <w:r w:rsidR="00674903" w:rsidRPr="6D53D0E7">
        <w:rPr>
          <w:rFonts w:eastAsia="Arial" w:cs="Arial"/>
        </w:rPr>
        <w:t xml:space="preserve">omo </w:t>
      </w:r>
      <w:r>
        <w:rPr>
          <w:rFonts w:eastAsia="Arial" w:cs="Arial"/>
        </w:rPr>
        <w:t xml:space="preserve">se </w:t>
      </w:r>
      <w:r w:rsidR="00674903" w:rsidRPr="6D53D0E7">
        <w:rPr>
          <w:rFonts w:eastAsia="Arial" w:cs="Arial"/>
        </w:rPr>
        <w:t xml:space="preserve">muestra </w:t>
      </w:r>
      <w:r>
        <w:rPr>
          <w:rFonts w:eastAsia="Arial" w:cs="Arial"/>
        </w:rPr>
        <w:t xml:space="preserve">en </w:t>
      </w:r>
      <w:r w:rsidR="00674903" w:rsidRPr="6D53D0E7">
        <w:rPr>
          <w:rFonts w:eastAsia="Arial" w:cs="Arial"/>
        </w:rPr>
        <w:t>el cuadro anterior, las actividades contempladas en estos contrato</w:t>
      </w:r>
      <w:r>
        <w:rPr>
          <w:rFonts w:eastAsia="Arial" w:cs="Arial"/>
        </w:rPr>
        <w:t>s son de tipo administrativo</w:t>
      </w:r>
      <w:r w:rsidR="00674903" w:rsidRPr="6D53D0E7">
        <w:rPr>
          <w:rFonts w:eastAsia="Arial" w:cs="Arial"/>
        </w:rPr>
        <w:t xml:space="preserve"> y soportan el funcionamiento del </w:t>
      </w:r>
      <w:r w:rsidR="00392809">
        <w:rPr>
          <w:rFonts w:eastAsia="Arial" w:cs="Arial"/>
        </w:rPr>
        <w:t>M</w:t>
      </w:r>
      <w:r w:rsidR="00674903" w:rsidRPr="6D53D0E7">
        <w:rPr>
          <w:rFonts w:eastAsia="Arial" w:cs="Arial"/>
        </w:rPr>
        <w:t>unicipio</w:t>
      </w:r>
      <w:r w:rsidR="00EE72CD">
        <w:rPr>
          <w:rFonts w:eastAsia="Arial" w:cs="Arial"/>
        </w:rPr>
        <w:t xml:space="preserve">. </w:t>
      </w:r>
      <w:r w:rsidR="00EC3A70" w:rsidRPr="6D53D0E7">
        <w:rPr>
          <w:rFonts w:eastAsia="Arial" w:cs="Arial"/>
        </w:rPr>
        <w:t xml:space="preserve">En ese orden de ideas, </w:t>
      </w:r>
      <w:r w:rsidR="00392809">
        <w:rPr>
          <w:rFonts w:eastAsia="Arial" w:cs="Arial"/>
        </w:rPr>
        <w:t>la Entidad Territorial</w:t>
      </w:r>
      <w:r w:rsidR="002F47B8">
        <w:rPr>
          <w:rFonts w:eastAsia="Arial" w:cs="Arial"/>
        </w:rPr>
        <w:t xml:space="preserve"> </w:t>
      </w:r>
      <w:r w:rsidR="00EC3A70" w:rsidRPr="6D53D0E7">
        <w:rPr>
          <w:rFonts w:eastAsia="Arial" w:cs="Arial"/>
        </w:rPr>
        <w:t>está destinando recursos de Libre Inversión en gastos de funcionamiento</w:t>
      </w:r>
      <w:r w:rsidR="00A14C50">
        <w:rPr>
          <w:rFonts w:eastAsia="Arial" w:cs="Arial"/>
        </w:rPr>
        <w:t>,</w:t>
      </w:r>
      <w:r w:rsidR="006B23FF">
        <w:rPr>
          <w:rFonts w:eastAsia="Arial" w:cs="Arial"/>
        </w:rPr>
        <w:t xml:space="preserve"> lo cual</w:t>
      </w:r>
      <w:r w:rsidR="006B23FF" w:rsidRPr="6D53D0E7">
        <w:rPr>
          <w:rFonts w:eastAsia="Arial" w:cs="Arial"/>
        </w:rPr>
        <w:t xml:space="preserve"> va en contravía del marco legal </w:t>
      </w:r>
      <w:r w:rsidR="006B23FF">
        <w:rPr>
          <w:rFonts w:eastAsia="Arial" w:cs="Arial"/>
        </w:rPr>
        <w:t xml:space="preserve">relacionado con la inversión en el </w:t>
      </w:r>
      <w:r w:rsidR="00392809">
        <w:rPr>
          <w:rFonts w:eastAsia="Arial" w:cs="Arial"/>
        </w:rPr>
        <w:t>S</w:t>
      </w:r>
      <w:r w:rsidR="006B23FF">
        <w:rPr>
          <w:rFonts w:eastAsia="Arial" w:cs="Arial"/>
        </w:rPr>
        <w:t>ector de Fortalecimiento Institucional</w:t>
      </w:r>
      <w:r w:rsidR="006B23FF" w:rsidRPr="6D53D0E7">
        <w:rPr>
          <w:rFonts w:eastAsia="Arial" w:cs="Arial"/>
        </w:rPr>
        <w:t>.</w:t>
      </w:r>
    </w:p>
    <w:p w14:paraId="2FE20D18" w14:textId="77777777" w:rsidR="00A14C50" w:rsidRDefault="00A14C50">
      <w:pPr>
        <w:spacing w:line="240" w:lineRule="auto"/>
        <w:contextualSpacing/>
        <w:jc w:val="both"/>
        <w:rPr>
          <w:rFonts w:eastAsia="Arial" w:cs="Arial"/>
        </w:rPr>
      </w:pPr>
    </w:p>
    <w:p w14:paraId="0E1D141C" w14:textId="77777777" w:rsidR="009B72D9" w:rsidRDefault="00EA13D5">
      <w:pPr>
        <w:spacing w:line="240" w:lineRule="auto"/>
        <w:contextualSpacing/>
        <w:jc w:val="both"/>
        <w:rPr>
          <w:rFonts w:eastAsia="Arial" w:cs="Arial"/>
        </w:rPr>
      </w:pPr>
      <w:r>
        <w:rPr>
          <w:rFonts w:eastAsia="Arial" w:cs="Arial"/>
        </w:rPr>
        <w:lastRenderedPageBreak/>
        <w:t>Cabe resaltar que</w:t>
      </w:r>
      <w:r w:rsidR="00DE192D">
        <w:rPr>
          <w:rFonts w:eastAsia="Arial" w:cs="Arial"/>
        </w:rPr>
        <w:t xml:space="preserve">, como se indica en la Guía de </w:t>
      </w:r>
      <w:r w:rsidR="00392809">
        <w:rPr>
          <w:rFonts w:eastAsia="Arial" w:cs="Arial"/>
        </w:rPr>
        <w:t>“</w:t>
      </w:r>
      <w:r w:rsidR="00DE192D" w:rsidRPr="00FB27C3">
        <w:rPr>
          <w:rFonts w:eastAsia="Arial" w:cs="Arial"/>
          <w:i/>
          <w:iCs/>
        </w:rPr>
        <w:t>Orientaciones para la Programación y Ejecución de los recursos del SGP</w:t>
      </w:r>
      <w:r w:rsidR="00FB7C7E">
        <w:rPr>
          <w:rFonts w:eastAsia="Arial" w:cs="Arial"/>
          <w:i/>
          <w:iCs/>
        </w:rPr>
        <w:t xml:space="preserve"> (2017)</w:t>
      </w:r>
      <w:r w:rsidR="00392809">
        <w:rPr>
          <w:rFonts w:eastAsia="Arial" w:cs="Arial"/>
        </w:rPr>
        <w:t>”</w:t>
      </w:r>
      <w:r w:rsidR="00DE192D">
        <w:rPr>
          <w:rFonts w:eastAsia="Arial" w:cs="Arial"/>
        </w:rPr>
        <w:t xml:space="preserve"> del DNP </w:t>
      </w:r>
    </w:p>
    <w:p w14:paraId="0C99271B" w14:textId="77777777" w:rsidR="009B72D9" w:rsidRDefault="009B72D9">
      <w:pPr>
        <w:spacing w:line="240" w:lineRule="auto"/>
        <w:contextualSpacing/>
        <w:jc w:val="both"/>
        <w:rPr>
          <w:rFonts w:eastAsia="Arial" w:cs="Arial"/>
        </w:rPr>
      </w:pPr>
    </w:p>
    <w:p w14:paraId="6A7DDB5F" w14:textId="77777777" w:rsidR="00A14C50" w:rsidRPr="00FB27C3" w:rsidRDefault="00DE192D">
      <w:pPr>
        <w:spacing w:line="240" w:lineRule="auto"/>
        <w:ind w:left="709"/>
        <w:contextualSpacing/>
        <w:jc w:val="both"/>
        <w:rPr>
          <w:rFonts w:eastAsia="Arial" w:cs="Arial"/>
          <w:i/>
          <w:iCs/>
          <w:sz w:val="18"/>
          <w:szCs w:val="18"/>
        </w:rPr>
      </w:pPr>
      <w:r w:rsidRPr="00FB27C3">
        <w:rPr>
          <w:rFonts w:eastAsia="Arial" w:cs="Arial"/>
          <w:sz w:val="18"/>
          <w:szCs w:val="18"/>
        </w:rPr>
        <w:t>“</w:t>
      </w:r>
      <w:r w:rsidR="00EA13D5" w:rsidRPr="00FB27C3">
        <w:rPr>
          <w:rFonts w:eastAsia="Arial" w:cs="Arial"/>
          <w:i/>
          <w:iCs/>
          <w:sz w:val="18"/>
          <w:szCs w:val="18"/>
        </w:rPr>
        <w:t>Para el efecto, las inversiones deben estar soportadas en proyectos de inversión inscritos y debidamente viabilizados en el Banco Municipal de Proyectos de Inversión, incorporados al Plan Operativo Anual de Inversiones del municipio y en el presupuesto municipal. En esta medida, los proyectos deben tener definidos los objetivos, las metas y los indicadores que permitan medir el impacto de las inversiones en la comunidad</w:t>
      </w:r>
      <w:r w:rsidR="00392809">
        <w:rPr>
          <w:rFonts w:eastAsia="Arial" w:cs="Arial"/>
          <w:sz w:val="18"/>
          <w:szCs w:val="18"/>
        </w:rPr>
        <w:t>”.</w:t>
      </w:r>
    </w:p>
    <w:p w14:paraId="7955BDED" w14:textId="77777777" w:rsidR="009B72D9" w:rsidRPr="00FB27C3" w:rsidRDefault="009B72D9">
      <w:pPr>
        <w:spacing w:line="240" w:lineRule="auto"/>
        <w:contextualSpacing/>
        <w:jc w:val="both"/>
        <w:rPr>
          <w:rFonts w:eastAsia="Arial" w:cs="Arial"/>
        </w:rPr>
      </w:pPr>
    </w:p>
    <w:p w14:paraId="696414F2" w14:textId="77777777" w:rsidR="00F54A68" w:rsidRDefault="009B72D9">
      <w:pPr>
        <w:spacing w:line="240" w:lineRule="auto"/>
        <w:contextualSpacing/>
        <w:jc w:val="both"/>
        <w:rPr>
          <w:rFonts w:eastAsia="Arial" w:cs="Arial"/>
        </w:rPr>
      </w:pPr>
      <w:r>
        <w:rPr>
          <w:rFonts w:eastAsia="Arial" w:cs="Arial"/>
        </w:rPr>
        <w:t xml:space="preserve">Para el caso del </w:t>
      </w:r>
      <w:r w:rsidR="00392809">
        <w:rPr>
          <w:rFonts w:eastAsia="Arial" w:cs="Arial"/>
        </w:rPr>
        <w:t>M</w:t>
      </w:r>
      <w:r>
        <w:rPr>
          <w:rFonts w:eastAsia="Arial" w:cs="Arial"/>
        </w:rPr>
        <w:t xml:space="preserve">unicipio de Puerto Leguízamo – Putumayo, los contratos </w:t>
      </w:r>
      <w:r w:rsidR="00C264A0">
        <w:rPr>
          <w:rFonts w:eastAsia="Arial" w:cs="Arial"/>
        </w:rPr>
        <w:t xml:space="preserve">relacionados en el cuadro </w:t>
      </w:r>
      <w:r w:rsidR="00392809">
        <w:rPr>
          <w:rFonts w:eastAsia="Arial" w:cs="Arial"/>
        </w:rPr>
        <w:t>anterior</w:t>
      </w:r>
      <w:r w:rsidR="00B73282">
        <w:rPr>
          <w:rFonts w:eastAsia="Arial" w:cs="Arial"/>
        </w:rPr>
        <w:t xml:space="preserve">, </w:t>
      </w:r>
      <w:r w:rsidR="00941878">
        <w:rPr>
          <w:rFonts w:eastAsia="Arial" w:cs="Arial"/>
        </w:rPr>
        <w:t>excepto el</w:t>
      </w:r>
      <w:r w:rsidR="00E8235D">
        <w:rPr>
          <w:rFonts w:eastAsia="Arial" w:cs="Arial"/>
        </w:rPr>
        <w:t xml:space="preserve"> Contrato</w:t>
      </w:r>
      <w:r w:rsidR="00941878">
        <w:rPr>
          <w:rFonts w:eastAsia="Arial" w:cs="Arial"/>
        </w:rPr>
        <w:t xml:space="preserve"> No. CPS-098-2018</w:t>
      </w:r>
      <w:r w:rsidR="008063C2">
        <w:rPr>
          <w:rFonts w:eastAsia="Arial" w:cs="Arial"/>
        </w:rPr>
        <w:t xml:space="preserve"> y el </w:t>
      </w:r>
      <w:r w:rsidR="008063C2" w:rsidRPr="004F15B0">
        <w:rPr>
          <w:rFonts w:eastAsia="Arial" w:cs="Arial"/>
        </w:rPr>
        <w:t>CPS-080-2018</w:t>
      </w:r>
      <w:r w:rsidR="00B73282">
        <w:rPr>
          <w:rFonts w:eastAsia="Arial" w:cs="Arial"/>
        </w:rPr>
        <w:t>,</w:t>
      </w:r>
      <w:r w:rsidR="00392809">
        <w:rPr>
          <w:rFonts w:eastAsia="Arial" w:cs="Arial"/>
        </w:rPr>
        <w:t xml:space="preserve"> </w:t>
      </w:r>
      <w:r w:rsidR="00C264A0">
        <w:rPr>
          <w:rFonts w:eastAsia="Arial" w:cs="Arial"/>
        </w:rPr>
        <w:t>se encuentran</w:t>
      </w:r>
      <w:r>
        <w:rPr>
          <w:rFonts w:eastAsia="Arial" w:cs="Arial"/>
        </w:rPr>
        <w:t xml:space="preserve"> enmarcados en proyecto</w:t>
      </w:r>
      <w:r w:rsidR="00C264A0">
        <w:rPr>
          <w:rFonts w:eastAsia="Arial" w:cs="Arial"/>
        </w:rPr>
        <w:t>s</w:t>
      </w:r>
      <w:r>
        <w:rPr>
          <w:rFonts w:eastAsia="Arial" w:cs="Arial"/>
        </w:rPr>
        <w:t xml:space="preserve"> de inversión</w:t>
      </w:r>
      <w:r w:rsidR="00295D53">
        <w:rPr>
          <w:rFonts w:eastAsia="Arial" w:cs="Arial"/>
        </w:rPr>
        <w:t xml:space="preserve"> estructurados y viabilizados a través del Banco de Programas y Proyectos de Inversión Municipal</w:t>
      </w:r>
      <w:r>
        <w:rPr>
          <w:rFonts w:eastAsia="Arial" w:cs="Arial"/>
        </w:rPr>
        <w:t>, asociado</w:t>
      </w:r>
      <w:r w:rsidR="00C264A0">
        <w:rPr>
          <w:rFonts w:eastAsia="Arial" w:cs="Arial"/>
        </w:rPr>
        <w:t>s</w:t>
      </w:r>
      <w:r>
        <w:rPr>
          <w:rFonts w:eastAsia="Arial" w:cs="Arial"/>
        </w:rPr>
        <w:t xml:space="preserve"> al </w:t>
      </w:r>
      <w:r w:rsidR="00392809">
        <w:rPr>
          <w:rFonts w:eastAsia="Arial" w:cs="Arial"/>
        </w:rPr>
        <w:t>S</w:t>
      </w:r>
      <w:r>
        <w:rPr>
          <w:rFonts w:eastAsia="Arial" w:cs="Arial"/>
        </w:rPr>
        <w:t xml:space="preserve">ector de Fortalecimiento Institucional y bajo el rubro </w:t>
      </w:r>
      <w:r w:rsidR="00C264A0">
        <w:rPr>
          <w:rFonts w:eastAsia="Arial" w:cs="Arial"/>
        </w:rPr>
        <w:t xml:space="preserve">presupuestal </w:t>
      </w:r>
      <w:r>
        <w:rPr>
          <w:rFonts w:eastAsia="Arial" w:cs="Arial"/>
        </w:rPr>
        <w:t xml:space="preserve">de </w:t>
      </w:r>
      <w:r w:rsidRPr="00295D53">
        <w:rPr>
          <w:rFonts w:eastAsia="Arial" w:cs="Arial"/>
          <w:i/>
          <w:iCs/>
        </w:rPr>
        <w:t>“</w:t>
      </w:r>
      <w:r w:rsidR="00A87588" w:rsidRPr="00295D53">
        <w:rPr>
          <w:rFonts w:eastAsia="Arial" w:cs="Arial"/>
          <w:i/>
          <w:iCs/>
        </w:rPr>
        <w:t>Procesos Integrales de</w:t>
      </w:r>
      <w:r w:rsidR="00295D53" w:rsidRPr="00295D53">
        <w:rPr>
          <w:rFonts w:eastAsia="Arial" w:cs="Arial"/>
          <w:i/>
          <w:iCs/>
        </w:rPr>
        <w:t xml:space="preserve"> evaluación institucional y</w:t>
      </w:r>
      <w:r w:rsidR="00A87588" w:rsidRPr="00295D53">
        <w:rPr>
          <w:rFonts w:eastAsia="Arial" w:cs="Arial"/>
          <w:i/>
          <w:iCs/>
        </w:rPr>
        <w:t xml:space="preserve"> reorgani</w:t>
      </w:r>
      <w:r w:rsidR="00295D53" w:rsidRPr="00295D53">
        <w:rPr>
          <w:rFonts w:eastAsia="Arial" w:cs="Arial"/>
          <w:i/>
          <w:iCs/>
        </w:rPr>
        <w:t>zación administrativa”</w:t>
      </w:r>
      <w:r w:rsidR="00C264A0">
        <w:rPr>
          <w:rFonts w:eastAsia="Arial" w:cs="Arial"/>
          <w:i/>
          <w:iCs/>
        </w:rPr>
        <w:t xml:space="preserve">. </w:t>
      </w:r>
      <w:r w:rsidR="00C264A0">
        <w:rPr>
          <w:rFonts w:eastAsia="Arial" w:cs="Arial"/>
        </w:rPr>
        <w:t xml:space="preserve">Sin embargo, al analizar el contenido del proyecto que soporta dichos contratos y particularmente las actividades que desempeña el personal </w:t>
      </w:r>
      <w:r w:rsidR="000E1A27">
        <w:rPr>
          <w:rFonts w:eastAsia="Arial" w:cs="Arial"/>
        </w:rPr>
        <w:t>contratado</w:t>
      </w:r>
      <w:r w:rsidR="005418B1">
        <w:rPr>
          <w:rFonts w:eastAsia="Arial" w:cs="Arial"/>
        </w:rPr>
        <w:t>,</w:t>
      </w:r>
      <w:r w:rsidR="000E1A27">
        <w:rPr>
          <w:rFonts w:eastAsia="Arial" w:cs="Arial"/>
        </w:rPr>
        <w:t xml:space="preserve"> se puede evidenciar que no se trata de inversión, sino de actividades </w:t>
      </w:r>
      <w:r w:rsidR="00EC25B7">
        <w:rPr>
          <w:rFonts w:eastAsia="Arial" w:cs="Arial"/>
        </w:rPr>
        <w:t xml:space="preserve">que debería adelantar la </w:t>
      </w:r>
      <w:r w:rsidR="00392809">
        <w:rPr>
          <w:rFonts w:eastAsia="Arial" w:cs="Arial"/>
        </w:rPr>
        <w:t>A</w:t>
      </w:r>
      <w:r w:rsidR="00EC25B7">
        <w:rPr>
          <w:rFonts w:eastAsia="Arial" w:cs="Arial"/>
        </w:rPr>
        <w:t xml:space="preserve">dministración </w:t>
      </w:r>
      <w:r w:rsidR="00392809">
        <w:rPr>
          <w:rFonts w:eastAsia="Arial" w:cs="Arial"/>
        </w:rPr>
        <w:t>T</w:t>
      </w:r>
      <w:r w:rsidR="00EC25B7">
        <w:rPr>
          <w:rFonts w:eastAsia="Arial" w:cs="Arial"/>
        </w:rPr>
        <w:t xml:space="preserve">erritorial como parte de sus funciones continuas, las cuales no materializan un cambio </w:t>
      </w:r>
      <w:r w:rsidR="00096329">
        <w:rPr>
          <w:rFonts w:eastAsia="Arial" w:cs="Arial"/>
        </w:rPr>
        <w:t>de una situación identificada como problemática o una necesidad de la población</w:t>
      </w:r>
      <w:r w:rsidR="00891F4D">
        <w:rPr>
          <w:rStyle w:val="Refdenotaalpie"/>
          <w:rFonts w:eastAsia="Arial" w:cs="Arial"/>
        </w:rPr>
        <w:footnoteReference w:id="10"/>
      </w:r>
      <w:r w:rsidR="00096329">
        <w:rPr>
          <w:rFonts w:eastAsia="Arial" w:cs="Arial"/>
        </w:rPr>
        <w:t>, sino que entra</w:t>
      </w:r>
      <w:r w:rsidR="005418B1">
        <w:rPr>
          <w:rFonts w:eastAsia="Arial" w:cs="Arial"/>
        </w:rPr>
        <w:t>n</w:t>
      </w:r>
      <w:r w:rsidR="00096329">
        <w:rPr>
          <w:rFonts w:eastAsia="Arial" w:cs="Arial"/>
        </w:rPr>
        <w:t xml:space="preserve"> a suplir un</w:t>
      </w:r>
      <w:r w:rsidR="00F54A68">
        <w:rPr>
          <w:rFonts w:eastAsia="Arial" w:cs="Arial"/>
        </w:rPr>
        <w:t xml:space="preserve"> vacío institucional para desempeñar dichas actividades.</w:t>
      </w:r>
    </w:p>
    <w:p w14:paraId="3F847ED3" w14:textId="77777777" w:rsidR="009B72D9" w:rsidRPr="00C264A0" w:rsidRDefault="009B72D9">
      <w:pPr>
        <w:spacing w:line="240" w:lineRule="auto"/>
        <w:contextualSpacing/>
        <w:jc w:val="both"/>
        <w:rPr>
          <w:rFonts w:eastAsia="Arial" w:cs="Arial"/>
        </w:rPr>
      </w:pPr>
    </w:p>
    <w:p w14:paraId="5902489B" w14:textId="77777777" w:rsidR="006B23FF" w:rsidRDefault="00E07D78">
      <w:pPr>
        <w:spacing w:line="240" w:lineRule="auto"/>
        <w:contextualSpacing/>
        <w:jc w:val="both"/>
        <w:rPr>
          <w:rFonts w:eastAsia="Arial" w:cs="Arial"/>
        </w:rPr>
      </w:pPr>
      <w:r>
        <w:rPr>
          <w:rFonts w:eastAsia="Arial" w:cs="Arial"/>
        </w:rPr>
        <w:t>Para</w:t>
      </w:r>
      <w:r w:rsidR="009A0F39">
        <w:rPr>
          <w:rFonts w:eastAsia="Arial" w:cs="Arial"/>
        </w:rPr>
        <w:t xml:space="preserve"> el caso</w:t>
      </w:r>
      <w:r>
        <w:rPr>
          <w:rFonts w:eastAsia="Arial" w:cs="Arial"/>
        </w:rPr>
        <w:t xml:space="preserve"> particular </w:t>
      </w:r>
      <w:r w:rsidR="009A0F39">
        <w:rPr>
          <w:rFonts w:eastAsia="Arial" w:cs="Arial"/>
        </w:rPr>
        <w:t xml:space="preserve">del </w:t>
      </w:r>
      <w:r w:rsidR="00392809">
        <w:rPr>
          <w:rFonts w:eastAsia="Arial" w:cs="Arial"/>
        </w:rPr>
        <w:t>C</w:t>
      </w:r>
      <w:r w:rsidR="009A0F39">
        <w:rPr>
          <w:rFonts w:eastAsia="Arial" w:cs="Arial"/>
        </w:rPr>
        <w:t xml:space="preserve">ontrato </w:t>
      </w:r>
      <w:r w:rsidR="00004B0B">
        <w:rPr>
          <w:rFonts w:eastAsia="Arial" w:cs="Arial"/>
        </w:rPr>
        <w:t>CPS-08</w:t>
      </w:r>
      <w:r w:rsidR="005418B1">
        <w:rPr>
          <w:rFonts w:eastAsia="Arial" w:cs="Arial"/>
        </w:rPr>
        <w:t>9</w:t>
      </w:r>
      <w:r w:rsidR="00004B0B">
        <w:rPr>
          <w:rFonts w:eastAsia="Arial" w:cs="Arial"/>
        </w:rPr>
        <w:t xml:space="preserve">-2018 cuyo objeto es </w:t>
      </w:r>
      <w:r w:rsidR="00004B0B" w:rsidRPr="00004B0B">
        <w:rPr>
          <w:rFonts w:eastAsia="Arial" w:cs="Arial"/>
          <w:i/>
          <w:iCs/>
        </w:rPr>
        <w:t>“Contratar los servicios de apoyo al seguimiento a la política fiscal y la cobranza del Municipio de Leguízamo”</w:t>
      </w:r>
      <w:r w:rsidR="00392809">
        <w:rPr>
          <w:rFonts w:eastAsia="Arial" w:cs="Arial"/>
        </w:rPr>
        <w:t>,</w:t>
      </w:r>
      <w:r w:rsidR="00004B0B" w:rsidRPr="00004B0B">
        <w:rPr>
          <w:rFonts w:eastAsia="Arial" w:cs="Arial"/>
          <w:i/>
          <w:iCs/>
        </w:rPr>
        <w:t xml:space="preserve"> </w:t>
      </w:r>
      <w:r w:rsidR="00004B0B">
        <w:rPr>
          <w:rFonts w:eastAsia="Arial" w:cs="Arial"/>
        </w:rPr>
        <w:t xml:space="preserve">se evidencia </w:t>
      </w:r>
      <w:r w:rsidR="00F37058">
        <w:rPr>
          <w:rFonts w:eastAsia="Arial" w:cs="Arial"/>
        </w:rPr>
        <w:t>que,</w:t>
      </w:r>
      <w:r w:rsidR="00004B0B">
        <w:rPr>
          <w:rFonts w:eastAsia="Arial" w:cs="Arial"/>
        </w:rPr>
        <w:t xml:space="preserve"> </w:t>
      </w:r>
      <w:r w:rsidR="00C91E63">
        <w:rPr>
          <w:rFonts w:eastAsia="Arial" w:cs="Arial"/>
        </w:rPr>
        <w:t>en el expediente remitido</w:t>
      </w:r>
      <w:r w:rsidR="008622E7">
        <w:rPr>
          <w:rFonts w:eastAsia="Arial" w:cs="Arial"/>
        </w:rPr>
        <w:t>,</w:t>
      </w:r>
      <w:r w:rsidR="00C91E63">
        <w:rPr>
          <w:rFonts w:eastAsia="Arial" w:cs="Arial"/>
        </w:rPr>
        <w:t xml:space="preserve"> así como en la relación de contratos no se evidencia ningún proyecto de inversión que lo soporte. Además, en los estudios previos la necesidad para contratar al personal administrativo</w:t>
      </w:r>
      <w:r w:rsidR="00C335F8">
        <w:rPr>
          <w:rFonts w:eastAsia="Arial" w:cs="Arial"/>
        </w:rPr>
        <w:t xml:space="preserve"> de cobro coactivo y persuasivo</w:t>
      </w:r>
      <w:r w:rsidR="00C91E63">
        <w:rPr>
          <w:rFonts w:eastAsia="Arial" w:cs="Arial"/>
        </w:rPr>
        <w:t xml:space="preserve"> surge de la </w:t>
      </w:r>
      <w:r w:rsidR="0096545D">
        <w:rPr>
          <w:rFonts w:eastAsia="Arial" w:cs="Arial"/>
        </w:rPr>
        <w:t>baja capacidad de generación de recursos propios derivados de los impuestos municipales</w:t>
      </w:r>
      <w:r w:rsidR="00922D1E">
        <w:rPr>
          <w:rFonts w:eastAsia="Arial" w:cs="Arial"/>
        </w:rPr>
        <w:t xml:space="preserve">, pero el contratista no ofrece un servicio relacionado con el fortalecimiento de las capacidades institucionales de recaudo tributario, sino que </w:t>
      </w:r>
      <w:r w:rsidR="00D72FEF">
        <w:rPr>
          <w:rFonts w:eastAsia="Arial" w:cs="Arial"/>
        </w:rPr>
        <w:t>entra para desempeñar las funciones propias de cobro</w:t>
      </w:r>
      <w:r w:rsidR="00EC1EB8">
        <w:rPr>
          <w:rFonts w:eastAsia="Arial" w:cs="Arial"/>
        </w:rPr>
        <w:t xml:space="preserve"> por concepto de cartera de los diferentes tributos municipales. Esta actividad es por lo tanto una función permanente del </w:t>
      </w:r>
      <w:r w:rsidR="00FB1A3D">
        <w:rPr>
          <w:rFonts w:eastAsia="Arial" w:cs="Arial"/>
        </w:rPr>
        <w:t>M</w:t>
      </w:r>
      <w:r w:rsidR="00EC1EB8">
        <w:rPr>
          <w:rFonts w:eastAsia="Arial" w:cs="Arial"/>
        </w:rPr>
        <w:t>unicipio.</w:t>
      </w:r>
    </w:p>
    <w:p w14:paraId="47A847FC" w14:textId="77777777" w:rsidR="00352295" w:rsidRPr="004F15B0" w:rsidRDefault="00352295">
      <w:pPr>
        <w:spacing w:line="240" w:lineRule="auto"/>
        <w:contextualSpacing/>
        <w:jc w:val="both"/>
        <w:rPr>
          <w:rFonts w:eastAsia="Arial" w:cs="Arial"/>
        </w:rPr>
      </w:pPr>
    </w:p>
    <w:p w14:paraId="1DDE7B0C" w14:textId="77777777" w:rsidR="00352295" w:rsidRPr="004F15B0" w:rsidRDefault="00352295">
      <w:pPr>
        <w:spacing w:line="240" w:lineRule="auto"/>
        <w:contextualSpacing/>
        <w:jc w:val="both"/>
        <w:rPr>
          <w:rFonts w:eastAsia="Arial" w:cs="Arial"/>
        </w:rPr>
      </w:pPr>
      <w:r w:rsidRPr="004F15B0">
        <w:rPr>
          <w:rFonts w:eastAsia="Arial" w:cs="Arial"/>
        </w:rPr>
        <w:t xml:space="preserve">Esta misma situación sucede en el </w:t>
      </w:r>
      <w:r w:rsidR="00FB1A3D">
        <w:rPr>
          <w:rFonts w:eastAsia="Arial" w:cs="Arial"/>
        </w:rPr>
        <w:t>C</w:t>
      </w:r>
      <w:r w:rsidR="00281AB9" w:rsidRPr="004F15B0">
        <w:rPr>
          <w:rFonts w:eastAsia="Arial" w:cs="Arial"/>
        </w:rPr>
        <w:t xml:space="preserve">ontrato CPS-080-2018 con objeto </w:t>
      </w:r>
      <w:r w:rsidR="00281AB9" w:rsidRPr="004F15B0">
        <w:rPr>
          <w:rFonts w:eastAsia="Arial" w:cs="Arial"/>
          <w:i/>
          <w:iCs/>
        </w:rPr>
        <w:t>“</w:t>
      </w:r>
      <w:r w:rsidR="00281AB9" w:rsidRPr="004F15B0">
        <w:rPr>
          <w:rFonts w:eastAsia="Times New Roman" w:cs="Arial"/>
          <w:i/>
          <w:iCs/>
          <w:color w:val="000000"/>
          <w:lang w:val="es-CO" w:eastAsia="es-CO"/>
        </w:rPr>
        <w:t>Contratar los servicios profesionales de un contador público - Municipio de Leguízamo”</w:t>
      </w:r>
      <w:r w:rsidR="00A0639B" w:rsidRPr="004F15B0">
        <w:rPr>
          <w:rFonts w:eastAsia="Times New Roman" w:cs="Arial"/>
          <w:color w:val="000000"/>
          <w:lang w:val="es-CO" w:eastAsia="es-CO"/>
        </w:rPr>
        <w:t xml:space="preserve">, el cual no tiene </w:t>
      </w:r>
      <w:r w:rsidR="004750FF" w:rsidRPr="004F15B0">
        <w:rPr>
          <w:rFonts w:eastAsia="Times New Roman" w:cs="Arial"/>
          <w:color w:val="000000"/>
          <w:lang w:val="es-CO" w:eastAsia="es-CO"/>
        </w:rPr>
        <w:t xml:space="preserve">tampoco un proyecto de inversión asociado </w:t>
      </w:r>
      <w:r w:rsidR="007D6A7D" w:rsidRPr="004F15B0">
        <w:rPr>
          <w:rFonts w:eastAsia="Times New Roman" w:cs="Arial"/>
          <w:color w:val="000000"/>
          <w:lang w:val="es-CO" w:eastAsia="es-CO"/>
        </w:rPr>
        <w:t>y c</w:t>
      </w:r>
      <w:r w:rsidR="00A24CE3" w:rsidRPr="004F15B0">
        <w:rPr>
          <w:rFonts w:eastAsia="Times New Roman" w:cs="Arial"/>
          <w:color w:val="000000"/>
          <w:lang w:val="es-CO" w:eastAsia="es-CO"/>
        </w:rPr>
        <w:t xml:space="preserve">uyas actividades son propias del funcionamiento de la </w:t>
      </w:r>
      <w:r w:rsidR="00FB1A3D">
        <w:rPr>
          <w:rFonts w:eastAsia="Times New Roman" w:cs="Arial"/>
          <w:color w:val="000000"/>
          <w:lang w:val="es-CO" w:eastAsia="es-CO"/>
        </w:rPr>
        <w:t>E</w:t>
      </w:r>
      <w:r w:rsidR="00A24CE3" w:rsidRPr="004F15B0">
        <w:rPr>
          <w:rFonts w:eastAsia="Times New Roman" w:cs="Arial"/>
          <w:color w:val="000000"/>
          <w:lang w:val="es-CO" w:eastAsia="es-CO"/>
        </w:rPr>
        <w:t>ntidad</w:t>
      </w:r>
      <w:r w:rsidR="005418B1">
        <w:rPr>
          <w:rFonts w:eastAsia="Times New Roman" w:cs="Arial"/>
          <w:color w:val="000000"/>
          <w:lang w:val="es-CO" w:eastAsia="es-CO"/>
        </w:rPr>
        <w:t>. A</w:t>
      </w:r>
      <w:r w:rsidR="00A24CE3" w:rsidRPr="004F15B0">
        <w:rPr>
          <w:rFonts w:eastAsia="Times New Roman" w:cs="Arial"/>
          <w:color w:val="000000"/>
          <w:lang w:val="es-CO" w:eastAsia="es-CO"/>
        </w:rPr>
        <w:t xml:space="preserve"> pesar de esto</w:t>
      </w:r>
      <w:r w:rsidR="005418B1">
        <w:rPr>
          <w:rFonts w:eastAsia="Times New Roman" w:cs="Arial"/>
          <w:color w:val="000000"/>
          <w:lang w:val="es-CO" w:eastAsia="es-CO"/>
        </w:rPr>
        <w:t>,</w:t>
      </w:r>
      <w:r w:rsidR="00A24CE3" w:rsidRPr="004F15B0">
        <w:rPr>
          <w:rFonts w:eastAsia="Times New Roman" w:cs="Arial"/>
          <w:color w:val="000000"/>
          <w:lang w:val="es-CO" w:eastAsia="es-CO"/>
        </w:rPr>
        <w:t xml:space="preserve"> el </w:t>
      </w:r>
      <w:r w:rsidR="00FB1A3D">
        <w:rPr>
          <w:rFonts w:eastAsia="Times New Roman" w:cs="Arial"/>
          <w:color w:val="000000"/>
          <w:lang w:val="es-CO" w:eastAsia="es-CO"/>
        </w:rPr>
        <w:t>r</w:t>
      </w:r>
      <w:r w:rsidR="00A24CE3" w:rsidRPr="004F15B0">
        <w:rPr>
          <w:rFonts w:eastAsia="Times New Roman" w:cs="Arial"/>
          <w:color w:val="000000"/>
          <w:lang w:val="es-CO" w:eastAsia="es-CO"/>
        </w:rPr>
        <w:t xml:space="preserve">egistro </w:t>
      </w:r>
      <w:r w:rsidR="00FB1A3D">
        <w:rPr>
          <w:rFonts w:eastAsia="Times New Roman" w:cs="Arial"/>
          <w:color w:val="000000"/>
          <w:lang w:val="es-CO" w:eastAsia="es-CO"/>
        </w:rPr>
        <w:t>p</w:t>
      </w:r>
      <w:r w:rsidR="00A24CE3" w:rsidRPr="004F15B0">
        <w:rPr>
          <w:rFonts w:eastAsia="Times New Roman" w:cs="Arial"/>
          <w:color w:val="000000"/>
          <w:lang w:val="es-CO" w:eastAsia="es-CO"/>
        </w:rPr>
        <w:t xml:space="preserve">resupuestal y el código del rubro presupuestal </w:t>
      </w:r>
      <w:r w:rsidR="00716602" w:rsidRPr="004F15B0">
        <w:rPr>
          <w:rFonts w:eastAsia="Times New Roman" w:cs="Arial"/>
          <w:color w:val="000000"/>
          <w:lang w:val="es-CO" w:eastAsia="es-CO"/>
        </w:rPr>
        <w:t xml:space="preserve">está asociado al Sector Fortalecimiento </w:t>
      </w:r>
      <w:r w:rsidR="00045DDE" w:rsidRPr="004F15B0">
        <w:rPr>
          <w:rFonts w:eastAsia="Times New Roman" w:cs="Arial"/>
          <w:color w:val="000000"/>
          <w:lang w:val="es-CO" w:eastAsia="es-CO"/>
        </w:rPr>
        <w:t xml:space="preserve">Institucional. </w:t>
      </w:r>
      <w:r w:rsidR="004F15B0">
        <w:rPr>
          <w:rFonts w:eastAsia="Times New Roman" w:cs="Arial"/>
          <w:color w:val="000000"/>
          <w:lang w:val="es-CO" w:eastAsia="es-CO"/>
        </w:rPr>
        <w:t xml:space="preserve">Igualmente, el </w:t>
      </w:r>
      <w:r w:rsidR="00FB1A3D">
        <w:rPr>
          <w:rFonts w:eastAsia="Times New Roman" w:cs="Arial"/>
          <w:color w:val="000000"/>
          <w:lang w:val="es-CO" w:eastAsia="es-CO"/>
        </w:rPr>
        <w:t>C</w:t>
      </w:r>
      <w:r w:rsidR="004F15B0">
        <w:rPr>
          <w:rFonts w:eastAsia="Times New Roman" w:cs="Arial"/>
          <w:color w:val="000000"/>
          <w:lang w:val="es-CO" w:eastAsia="es-CO"/>
        </w:rPr>
        <w:t xml:space="preserve">ontrato </w:t>
      </w:r>
      <w:r w:rsidR="004F15B0" w:rsidRPr="004F15B0">
        <w:rPr>
          <w:rFonts w:eastAsia="Times New Roman" w:cs="Arial"/>
          <w:color w:val="000000"/>
          <w:lang w:val="es-CO" w:eastAsia="es-CO"/>
        </w:rPr>
        <w:t>PS-MC-025-2018</w:t>
      </w:r>
      <w:r w:rsidR="005418B1">
        <w:rPr>
          <w:rFonts w:eastAsia="Times New Roman" w:cs="Arial"/>
          <w:color w:val="000000"/>
          <w:lang w:val="es-CO" w:eastAsia="es-CO"/>
        </w:rPr>
        <w:t>,</w:t>
      </w:r>
      <w:r w:rsidR="004F15B0">
        <w:rPr>
          <w:rFonts w:eastAsia="Times New Roman" w:cs="Arial"/>
          <w:color w:val="000000"/>
          <w:lang w:val="es-CO" w:eastAsia="es-CO"/>
        </w:rPr>
        <w:t xml:space="preserve"> cuyo objeto es similar al anterior</w:t>
      </w:r>
      <w:r w:rsidR="005418B1">
        <w:rPr>
          <w:rFonts w:eastAsia="Times New Roman" w:cs="Arial"/>
          <w:color w:val="000000"/>
          <w:lang w:val="es-CO" w:eastAsia="es-CO"/>
        </w:rPr>
        <w:t>:</w:t>
      </w:r>
      <w:r w:rsidR="004F15B0">
        <w:rPr>
          <w:rFonts w:eastAsia="Times New Roman" w:cs="Arial"/>
          <w:color w:val="000000"/>
          <w:lang w:val="es-CO" w:eastAsia="es-CO"/>
        </w:rPr>
        <w:t xml:space="preserve"> </w:t>
      </w:r>
      <w:r w:rsidR="004F15B0" w:rsidRPr="004F15B0">
        <w:rPr>
          <w:rFonts w:eastAsia="Times New Roman" w:cs="Arial"/>
          <w:i/>
          <w:iCs/>
          <w:color w:val="000000"/>
          <w:lang w:val="es-CO" w:eastAsia="es-CO"/>
        </w:rPr>
        <w:t>“Contratar los servicios profesionales para el desarrollo de procesos y procedimientos financieros y contables para la administración municipal de Leguízamo Putumayo Amazonía”</w:t>
      </w:r>
      <w:r w:rsidR="004F15B0">
        <w:rPr>
          <w:rFonts w:eastAsia="Times New Roman" w:cs="Arial"/>
          <w:i/>
          <w:iCs/>
          <w:color w:val="000000"/>
          <w:lang w:val="es-CO" w:eastAsia="es-CO"/>
        </w:rPr>
        <w:t xml:space="preserve">, </w:t>
      </w:r>
      <w:r w:rsidR="004F15B0">
        <w:rPr>
          <w:rFonts w:eastAsia="Times New Roman" w:cs="Arial"/>
          <w:color w:val="000000"/>
          <w:lang w:val="es-CO" w:eastAsia="es-CO"/>
        </w:rPr>
        <w:t>p</w:t>
      </w:r>
      <w:r w:rsidR="00B51CEB">
        <w:rPr>
          <w:rFonts w:eastAsia="Times New Roman" w:cs="Arial"/>
          <w:color w:val="000000"/>
          <w:lang w:val="es-CO" w:eastAsia="es-CO"/>
        </w:rPr>
        <w:t xml:space="preserve">resenta actividades relacionadas con la gestión de información contable de la </w:t>
      </w:r>
      <w:r w:rsidR="00FB1A3D">
        <w:rPr>
          <w:rFonts w:eastAsia="Times New Roman" w:cs="Arial"/>
          <w:color w:val="000000"/>
          <w:lang w:val="es-CO" w:eastAsia="es-CO"/>
        </w:rPr>
        <w:t>E</w:t>
      </w:r>
      <w:r w:rsidR="00B51CEB">
        <w:rPr>
          <w:rFonts w:eastAsia="Times New Roman" w:cs="Arial"/>
          <w:color w:val="000000"/>
          <w:lang w:val="es-CO" w:eastAsia="es-CO"/>
        </w:rPr>
        <w:t xml:space="preserve">ntidad </w:t>
      </w:r>
      <w:r w:rsidR="00FB1A3D">
        <w:rPr>
          <w:rFonts w:eastAsia="Times New Roman" w:cs="Arial"/>
          <w:color w:val="000000"/>
          <w:lang w:val="es-CO" w:eastAsia="es-CO"/>
        </w:rPr>
        <w:t>T</w:t>
      </w:r>
      <w:r w:rsidR="00B51CEB">
        <w:rPr>
          <w:rFonts w:eastAsia="Times New Roman" w:cs="Arial"/>
          <w:color w:val="000000"/>
          <w:lang w:val="es-CO" w:eastAsia="es-CO"/>
        </w:rPr>
        <w:t xml:space="preserve">erritorial, la cual no corresponde con un proceso de </w:t>
      </w:r>
      <w:r w:rsidR="00F743E3">
        <w:rPr>
          <w:rFonts w:eastAsia="Times New Roman" w:cs="Arial"/>
          <w:color w:val="000000"/>
          <w:lang w:val="es-CO" w:eastAsia="es-CO"/>
        </w:rPr>
        <w:t xml:space="preserve">fortalecimiento de la capacidad de </w:t>
      </w:r>
      <w:r w:rsidR="007E1891">
        <w:rPr>
          <w:rFonts w:eastAsia="Times New Roman" w:cs="Arial"/>
          <w:color w:val="000000"/>
          <w:lang w:val="es-CO" w:eastAsia="es-CO"/>
        </w:rPr>
        <w:t xml:space="preserve">su administración, sino a suplir unas funciones que no se pueden atender con el personal </w:t>
      </w:r>
      <w:r w:rsidR="007E1891">
        <w:rPr>
          <w:rFonts w:eastAsia="Times New Roman" w:cs="Arial"/>
          <w:color w:val="000000"/>
          <w:lang w:val="es-CO" w:eastAsia="es-CO"/>
        </w:rPr>
        <w:lastRenderedPageBreak/>
        <w:t xml:space="preserve">disponible. </w:t>
      </w:r>
      <w:r w:rsidR="00E13027" w:rsidRPr="004F15B0">
        <w:rPr>
          <w:rFonts w:eastAsia="Times New Roman" w:cs="Arial"/>
          <w:color w:val="000000"/>
          <w:lang w:val="es-CO" w:eastAsia="es-CO"/>
        </w:rPr>
        <w:t xml:space="preserve">Esto evidencia una </w:t>
      </w:r>
      <w:r w:rsidR="00282ADE">
        <w:rPr>
          <w:rFonts w:eastAsia="Times New Roman" w:cs="Arial"/>
          <w:color w:val="000000"/>
          <w:lang w:val="es-CO" w:eastAsia="es-CO"/>
        </w:rPr>
        <w:t>errónea</w:t>
      </w:r>
      <w:r w:rsidR="005418B1">
        <w:rPr>
          <w:rFonts w:eastAsia="Times New Roman" w:cs="Arial"/>
          <w:color w:val="000000"/>
          <w:lang w:val="es-CO" w:eastAsia="es-CO"/>
        </w:rPr>
        <w:t xml:space="preserve"> </w:t>
      </w:r>
      <w:r w:rsidR="00E13027" w:rsidRPr="004F15B0">
        <w:rPr>
          <w:rFonts w:eastAsia="Times New Roman" w:cs="Arial"/>
          <w:color w:val="000000"/>
          <w:lang w:val="es-CO" w:eastAsia="es-CO"/>
        </w:rPr>
        <w:t xml:space="preserve">interpretación de la normatividad </w:t>
      </w:r>
      <w:r w:rsidR="00F11998" w:rsidRPr="004F15B0">
        <w:rPr>
          <w:rFonts w:eastAsia="Times New Roman" w:cs="Arial"/>
          <w:color w:val="000000"/>
          <w:lang w:val="es-CO" w:eastAsia="es-CO"/>
        </w:rPr>
        <w:t xml:space="preserve">relacionada con la inversión </w:t>
      </w:r>
      <w:r w:rsidR="004F2B04" w:rsidRPr="004F15B0">
        <w:rPr>
          <w:rFonts w:eastAsia="Times New Roman" w:cs="Arial"/>
          <w:color w:val="000000"/>
          <w:lang w:val="es-CO" w:eastAsia="es-CO"/>
        </w:rPr>
        <w:t xml:space="preserve">en el </w:t>
      </w:r>
      <w:r w:rsidR="00FB1A3D">
        <w:rPr>
          <w:rFonts w:eastAsia="Times New Roman" w:cs="Arial"/>
          <w:color w:val="000000"/>
          <w:lang w:val="es-CO" w:eastAsia="es-CO"/>
        </w:rPr>
        <w:t>S</w:t>
      </w:r>
      <w:r w:rsidR="004F2B04" w:rsidRPr="004F15B0">
        <w:rPr>
          <w:rFonts w:eastAsia="Times New Roman" w:cs="Arial"/>
          <w:color w:val="000000"/>
          <w:lang w:val="es-CO" w:eastAsia="es-CO"/>
        </w:rPr>
        <w:t>ector de Fortalecimiento Institucional.</w:t>
      </w:r>
    </w:p>
    <w:p w14:paraId="7B232F6E" w14:textId="77777777" w:rsidR="00004B0B" w:rsidRPr="004F15B0" w:rsidRDefault="00004B0B">
      <w:pPr>
        <w:spacing w:line="240" w:lineRule="auto"/>
        <w:contextualSpacing/>
        <w:jc w:val="both"/>
        <w:rPr>
          <w:rFonts w:eastAsia="Arial" w:cs="Arial"/>
        </w:rPr>
      </w:pPr>
    </w:p>
    <w:p w14:paraId="0FDF9862" w14:textId="77777777" w:rsidR="00F90F4B" w:rsidRDefault="006B23FF">
      <w:pPr>
        <w:spacing w:line="240" w:lineRule="auto"/>
        <w:contextualSpacing/>
        <w:jc w:val="both"/>
      </w:pPr>
      <w:r w:rsidRPr="004F15B0">
        <w:t>Referente a la temática, el DNP ha sido enfático en los objetos de gasto financiables en</w:t>
      </w:r>
      <w:r>
        <w:t xml:space="preserve"> el Sector Fortalecimiento Institucional, destacando que </w:t>
      </w:r>
      <w:r w:rsidR="002F657F">
        <w:t xml:space="preserve">para </w:t>
      </w:r>
      <w:r>
        <w:t>la ejecución de recursos de Forzosa Inversión – Otros Sectores que se realice en el marco de un programa o proyecto que pretenda mejorar la gestión y adecuar la estructura administrativa municipal para el cumplimiento adecuado de las competencias asignadas por la ley</w:t>
      </w:r>
      <w:r w:rsidR="002F657F">
        <w:t>,</w:t>
      </w:r>
      <w:r>
        <w:t xml:space="preserve"> “</w:t>
      </w:r>
      <w:r>
        <w:rPr>
          <w:i/>
          <w:iCs/>
        </w:rPr>
        <w:t>no es posible financiar asesorías con el propósito de atender el cumplimiento de labores recurrentes de la administración, como por ejemplo asesoría jurídica, contable, u otras de similar naturaleza</w:t>
      </w:r>
      <w:r>
        <w:t>”</w:t>
      </w:r>
      <w:r>
        <w:rPr>
          <w:rStyle w:val="Refdenotaalpie"/>
        </w:rPr>
        <w:footnoteReference w:id="11"/>
      </w:r>
      <w:r>
        <w:t>.</w:t>
      </w:r>
    </w:p>
    <w:p w14:paraId="0FE5A02D" w14:textId="77777777" w:rsidR="00FE462C" w:rsidRDefault="00FE462C">
      <w:pPr>
        <w:spacing w:line="240" w:lineRule="auto"/>
        <w:contextualSpacing/>
        <w:jc w:val="both"/>
      </w:pPr>
    </w:p>
    <w:p w14:paraId="773E9724" w14:textId="77777777" w:rsidR="00EF584C" w:rsidRDefault="00FE462C">
      <w:pPr>
        <w:spacing w:line="240" w:lineRule="auto"/>
        <w:contextualSpacing/>
        <w:jc w:val="both"/>
      </w:pPr>
      <w:r>
        <w:t xml:space="preserve">En cuanto a los </w:t>
      </w:r>
      <w:r w:rsidR="007571C2">
        <w:t>C</w:t>
      </w:r>
      <w:r>
        <w:t xml:space="preserve">ontratos </w:t>
      </w:r>
      <w:r w:rsidRPr="00FE462C">
        <w:t>CPS-059-2019</w:t>
      </w:r>
      <w:r>
        <w:t xml:space="preserve"> y </w:t>
      </w:r>
      <w:r w:rsidRPr="00FE462C">
        <w:t>CPS-044-2020</w:t>
      </w:r>
      <w:r w:rsidR="00AC43DC">
        <w:t xml:space="preserve">, </w:t>
      </w:r>
      <w:r w:rsidR="00A06059">
        <w:t xml:space="preserve">se </w:t>
      </w:r>
      <w:r w:rsidR="00AC43DC">
        <w:t xml:space="preserve">relacionan </w:t>
      </w:r>
      <w:r w:rsidR="00A06059">
        <w:t xml:space="preserve">con </w:t>
      </w:r>
      <w:r w:rsidR="00AC43DC">
        <w:t xml:space="preserve">actividades de </w:t>
      </w:r>
      <w:r w:rsidR="00A06059">
        <w:t xml:space="preserve">supervisión y seguimiento al desempeño del </w:t>
      </w:r>
      <w:r w:rsidR="007571C2">
        <w:t>R</w:t>
      </w:r>
      <w:r w:rsidR="00A06059">
        <w:t xml:space="preserve">égimen </w:t>
      </w:r>
      <w:r w:rsidR="007571C2">
        <w:t>S</w:t>
      </w:r>
      <w:r w:rsidR="00A06059">
        <w:t xml:space="preserve">ubsidiado </w:t>
      </w:r>
      <w:r w:rsidR="00956C16">
        <w:t xml:space="preserve">de </w:t>
      </w:r>
      <w:r w:rsidR="007571C2">
        <w:t>S</w:t>
      </w:r>
      <w:r w:rsidR="00956C16">
        <w:t>alud, entre las cuales se encuentran</w:t>
      </w:r>
      <w:r w:rsidR="007571C2">
        <w:t>;</w:t>
      </w:r>
      <w:r w:rsidR="00956C16">
        <w:t xml:space="preserve"> por ejemplo, </w:t>
      </w:r>
      <w:r w:rsidR="004A381B">
        <w:t>ejercer el control y vigilancia</w:t>
      </w:r>
      <w:r w:rsidR="00956C16">
        <w:t xml:space="preserve"> a las EPS e IPS </w:t>
      </w:r>
      <w:r w:rsidR="004A381B">
        <w:t xml:space="preserve">que prestan los </w:t>
      </w:r>
      <w:r w:rsidR="007571C2">
        <w:t>S</w:t>
      </w:r>
      <w:r w:rsidR="004A381B">
        <w:t xml:space="preserve">ervicios de </w:t>
      </w:r>
      <w:r w:rsidR="007571C2">
        <w:t>S</w:t>
      </w:r>
      <w:r w:rsidR="004A381B">
        <w:t xml:space="preserve">alud en el </w:t>
      </w:r>
      <w:r w:rsidR="007571C2">
        <w:t>M</w:t>
      </w:r>
      <w:r w:rsidR="004A381B">
        <w:t xml:space="preserve">unicipio, así como apoyar las labores administrativas relacionadas con el seguimiento </w:t>
      </w:r>
      <w:r w:rsidR="004B4362">
        <w:t xml:space="preserve">financiero </w:t>
      </w:r>
      <w:r w:rsidR="00FB1236">
        <w:t xml:space="preserve">a la ejecución de la política de salud en la </w:t>
      </w:r>
      <w:r w:rsidR="007571C2">
        <w:t>E</w:t>
      </w:r>
      <w:r w:rsidR="00FB1236">
        <w:t xml:space="preserve">ntidad </w:t>
      </w:r>
      <w:r w:rsidR="007571C2">
        <w:t>T</w:t>
      </w:r>
      <w:r w:rsidR="00FB1236">
        <w:t xml:space="preserve">erritorial. </w:t>
      </w:r>
      <w:r w:rsidR="00EF584C">
        <w:t>A</w:t>
      </w:r>
      <w:r w:rsidR="00EF584C" w:rsidRPr="00EF584C">
        <w:t xml:space="preserve"> pesar de que cuenta con un proyecto de inversión</w:t>
      </w:r>
      <w:r w:rsidR="002F657F">
        <w:t>,</w:t>
      </w:r>
      <w:r w:rsidR="00EF584C" w:rsidRPr="00EF584C">
        <w:t xml:space="preserve"> este se relaciona con la contratación de una persona que preste servicios permanentes y apoye las funciones de la Secretaría de </w:t>
      </w:r>
      <w:r w:rsidR="007571C2">
        <w:t>S</w:t>
      </w:r>
      <w:r w:rsidR="00EF584C" w:rsidRPr="00EF584C">
        <w:t>alud atendiendo a sus usuarios, por lo tanto</w:t>
      </w:r>
      <w:r w:rsidR="00D64481">
        <w:t>,</w:t>
      </w:r>
      <w:r w:rsidR="00EF584C" w:rsidRPr="00EF584C">
        <w:t xml:space="preserve"> no puede entenderse como </w:t>
      </w:r>
      <w:r w:rsidR="007571C2">
        <w:t>i</w:t>
      </w:r>
      <w:r w:rsidR="00EF584C" w:rsidRPr="00EF584C">
        <w:t>nversión.</w:t>
      </w:r>
    </w:p>
    <w:p w14:paraId="37393425" w14:textId="77777777" w:rsidR="00EF584C" w:rsidRDefault="00EF584C">
      <w:pPr>
        <w:spacing w:line="240" w:lineRule="auto"/>
        <w:contextualSpacing/>
        <w:jc w:val="both"/>
      </w:pPr>
    </w:p>
    <w:p w14:paraId="289230DB" w14:textId="77777777" w:rsidR="00FE462C" w:rsidRDefault="00FB1236">
      <w:pPr>
        <w:spacing w:line="240" w:lineRule="auto"/>
        <w:contextualSpacing/>
        <w:jc w:val="both"/>
      </w:pPr>
      <w:r>
        <w:t xml:space="preserve">Por lo tanto, no se encuentran acciones encaminadas a mejorar las condiciones de salud de la población o </w:t>
      </w:r>
      <w:r w:rsidR="00732D94">
        <w:t xml:space="preserve">la capacidad de gestión institucional del </w:t>
      </w:r>
      <w:r w:rsidR="007571C2">
        <w:t>R</w:t>
      </w:r>
      <w:r w:rsidR="00732D94">
        <w:t xml:space="preserve">égimen de </w:t>
      </w:r>
      <w:r w:rsidR="007571C2">
        <w:t>P</w:t>
      </w:r>
      <w:r w:rsidR="00732D94">
        <w:t xml:space="preserve">restación del </w:t>
      </w:r>
      <w:r w:rsidR="007571C2">
        <w:t>S</w:t>
      </w:r>
      <w:r w:rsidR="00732D94">
        <w:t>ervicio, sino a garantizar la operatividad del sistema</w:t>
      </w:r>
      <w:r w:rsidR="002F657F">
        <w:t>, lo que no puede entenderse como</w:t>
      </w:r>
      <w:r w:rsidR="00732D94">
        <w:t xml:space="preserve"> inversión en el </w:t>
      </w:r>
      <w:r w:rsidR="007571C2">
        <w:t>S</w:t>
      </w:r>
      <w:r w:rsidR="00732D94">
        <w:t xml:space="preserve">ector </w:t>
      </w:r>
      <w:r w:rsidR="007571C2">
        <w:t>S</w:t>
      </w:r>
      <w:r w:rsidR="00732D94">
        <w:t xml:space="preserve">alud, para lo cual el </w:t>
      </w:r>
      <w:r w:rsidR="007571C2">
        <w:t>M</w:t>
      </w:r>
      <w:r w:rsidR="00732D94">
        <w:t>unicipio debería financiar las actividades con cargo a sus Ingresos Corrientes de Libre Destinación.</w:t>
      </w:r>
    </w:p>
    <w:p w14:paraId="0B690AFE" w14:textId="77777777" w:rsidR="00EF584C" w:rsidRDefault="00EF584C">
      <w:pPr>
        <w:spacing w:line="240" w:lineRule="auto"/>
        <w:contextualSpacing/>
        <w:jc w:val="both"/>
      </w:pPr>
    </w:p>
    <w:p w14:paraId="57D7660C" w14:textId="77777777" w:rsidR="00066813" w:rsidRPr="00561214" w:rsidRDefault="006E239A">
      <w:pPr>
        <w:spacing w:line="240" w:lineRule="auto"/>
        <w:contextualSpacing/>
        <w:jc w:val="both"/>
      </w:pPr>
      <w:r>
        <w:t xml:space="preserve">Por su parte, el </w:t>
      </w:r>
      <w:r w:rsidR="007571C2">
        <w:t>C</w:t>
      </w:r>
      <w:r>
        <w:t xml:space="preserve">ontrato </w:t>
      </w:r>
      <w:r w:rsidR="00FD0E4A" w:rsidRPr="00FD0E4A">
        <w:t>CPS-021-2019</w:t>
      </w:r>
      <w:r>
        <w:t xml:space="preserve"> con objeto </w:t>
      </w:r>
      <w:r w:rsidRPr="00561214">
        <w:rPr>
          <w:i/>
          <w:iCs/>
        </w:rPr>
        <w:t>“</w:t>
      </w:r>
      <w:r w:rsidR="00561214" w:rsidRPr="00561214">
        <w:rPr>
          <w:i/>
          <w:iCs/>
        </w:rPr>
        <w:t>Contratar la prestación de servicios de apoyo técnico para el fortalecimiento en el desarrollo de las acciones administrativas de la gestión pública en el municipio de Leguízamo, departamento del Putumayo”</w:t>
      </w:r>
      <w:r w:rsidR="00561214">
        <w:rPr>
          <w:i/>
          <w:iCs/>
        </w:rPr>
        <w:t xml:space="preserve"> </w:t>
      </w:r>
      <w:r w:rsidR="00561214">
        <w:t xml:space="preserve">evidencia actividades que son de apoyo a la gestión de la Secretaría de Planeación del </w:t>
      </w:r>
      <w:r w:rsidR="007571C2">
        <w:t>M</w:t>
      </w:r>
      <w:r w:rsidR="00561214">
        <w:t>unicipio</w:t>
      </w:r>
      <w:r w:rsidR="006A1EE8">
        <w:t>.</w:t>
      </w:r>
    </w:p>
    <w:p w14:paraId="7D72C7E7" w14:textId="77777777" w:rsidR="00EE0AC1" w:rsidRDefault="00EE0AC1">
      <w:pPr>
        <w:spacing w:line="240" w:lineRule="auto"/>
        <w:contextualSpacing/>
        <w:jc w:val="both"/>
      </w:pPr>
    </w:p>
    <w:p w14:paraId="376BD830" w14:textId="77777777" w:rsidR="00252F86" w:rsidRDefault="00252F86">
      <w:pPr>
        <w:spacing w:line="240" w:lineRule="auto"/>
        <w:contextualSpacing/>
        <w:jc w:val="both"/>
      </w:pPr>
      <w:r>
        <w:t xml:space="preserve">De igual manera, en los </w:t>
      </w:r>
      <w:r w:rsidR="007571C2">
        <w:t>C</w:t>
      </w:r>
      <w:r>
        <w:t>ontratos CPS-023-2019 y CPS-076-2020</w:t>
      </w:r>
      <w:r w:rsidR="00CD7530">
        <w:t xml:space="preserve">, cuyos objetos son </w:t>
      </w:r>
      <w:r w:rsidR="00CD7530" w:rsidRPr="00CD7530">
        <w:rPr>
          <w:i/>
          <w:iCs/>
        </w:rPr>
        <w:t>“Contratar la prestación de servicios profesionales como fortalecimiento a la Secretaría de Planeación en el proceso de titulación y legalización de predios en el municipio de Leguízamo”</w:t>
      </w:r>
      <w:r w:rsidR="00CD7530">
        <w:t xml:space="preserve"> y “</w:t>
      </w:r>
      <w:r w:rsidRPr="00CD7530">
        <w:rPr>
          <w:i/>
          <w:iCs/>
        </w:rPr>
        <w:t>Prestación de servicios de apoyo tecnológico para la legalización de predios, diseño y elaboración de planos para el fortalecimiento de los procesos de la Secretaría de Planeación del municipio de Leguízamo, departamento del Putumayo</w:t>
      </w:r>
      <w:r w:rsidR="00CD7530" w:rsidRPr="00CD7530">
        <w:rPr>
          <w:i/>
          <w:iCs/>
        </w:rPr>
        <w:t xml:space="preserve">” </w:t>
      </w:r>
      <w:r w:rsidR="00CD7530">
        <w:t>respectivamente, se evidencia que a pesar de que se formula un proyecto de inversión que soporta la contratación, la naturaleza de</w:t>
      </w:r>
      <w:r w:rsidR="00D47A67">
        <w:t xml:space="preserve">l objetivo general </w:t>
      </w:r>
      <w:r w:rsidR="00CD7530">
        <w:t xml:space="preserve">es la contratación de personal que desarrolle las actividades en las cuales el </w:t>
      </w:r>
      <w:r w:rsidR="007571C2">
        <w:t>M</w:t>
      </w:r>
      <w:r w:rsidR="00CD7530">
        <w:t xml:space="preserve">unicipio presenta deficiencias o necesidades, particularmente la planificación y estructuración de proyectos de </w:t>
      </w:r>
      <w:r w:rsidR="00017B7E">
        <w:t>infraestructura</w:t>
      </w:r>
      <w:r w:rsidR="00874614">
        <w:t>, procesos de titulación de predios</w:t>
      </w:r>
      <w:r w:rsidR="00017B7E">
        <w:t xml:space="preserve"> y la </w:t>
      </w:r>
      <w:r w:rsidR="002F657F">
        <w:t xml:space="preserve">divulgación de información </w:t>
      </w:r>
      <w:r w:rsidR="00017B7E">
        <w:t>de la administración para garantizar la publicidad y transparencia de la gestión municipal</w:t>
      </w:r>
      <w:r w:rsidR="00CD7530">
        <w:t>.</w:t>
      </w:r>
    </w:p>
    <w:p w14:paraId="3F51793D" w14:textId="77777777" w:rsidR="00842479" w:rsidRDefault="00842479">
      <w:pPr>
        <w:spacing w:line="240" w:lineRule="auto"/>
        <w:contextualSpacing/>
        <w:jc w:val="both"/>
      </w:pPr>
    </w:p>
    <w:p w14:paraId="33A4DDCC" w14:textId="77777777" w:rsidR="00842479" w:rsidRDefault="001450C6">
      <w:pPr>
        <w:spacing w:line="240" w:lineRule="auto"/>
        <w:contextualSpacing/>
        <w:jc w:val="both"/>
      </w:pPr>
      <w:r>
        <w:lastRenderedPageBreak/>
        <w:t>Esta situación representa una debilidad en la formulación de los proyectos de inversión, ya que</w:t>
      </w:r>
      <w:r w:rsidR="00592615">
        <w:t>:</w:t>
      </w:r>
    </w:p>
    <w:p w14:paraId="56DD9D45" w14:textId="77777777" w:rsidR="001450C6" w:rsidRDefault="001450C6">
      <w:pPr>
        <w:spacing w:line="240" w:lineRule="auto"/>
        <w:contextualSpacing/>
        <w:jc w:val="both"/>
      </w:pPr>
    </w:p>
    <w:p w14:paraId="0EE748D2" w14:textId="77777777" w:rsidR="001450C6" w:rsidRPr="00FB27C3" w:rsidRDefault="00625788">
      <w:pPr>
        <w:spacing w:line="240" w:lineRule="auto"/>
        <w:ind w:left="709"/>
        <w:contextualSpacing/>
        <w:jc w:val="both"/>
        <w:rPr>
          <w:i/>
          <w:iCs/>
          <w:sz w:val="18"/>
          <w:szCs w:val="18"/>
        </w:rPr>
      </w:pPr>
      <w:r w:rsidRPr="00FB27C3">
        <w:rPr>
          <w:i/>
          <w:iCs/>
          <w:sz w:val="18"/>
          <w:szCs w:val="18"/>
        </w:rPr>
        <w:t>“</w:t>
      </w:r>
      <w:r w:rsidR="001450C6" w:rsidRPr="00FB27C3">
        <w:rPr>
          <w:i/>
          <w:iCs/>
          <w:sz w:val="18"/>
          <w:szCs w:val="18"/>
        </w:rPr>
        <w:t>Un error que se presenta frecuentemente en la definición del problema central surge cuando este se describe como la falta o ausencia de una solución frente a una necesidad experimentada por la población.</w:t>
      </w:r>
      <w:r w:rsidRPr="00FB27C3">
        <w:rPr>
          <w:i/>
          <w:iCs/>
          <w:sz w:val="18"/>
          <w:szCs w:val="18"/>
        </w:rPr>
        <w:t xml:space="preserve"> […] El definir la situación problemática de esta forma, conlleva dos debilidades en la formulación del proyecto: - Se limita y condiciona la solución a esa sola alternativa - Se ignoran las condiciones que afectan realmente a la población en cuanto a su bienestar y el mejoramiento de las condiciones de vida"</w:t>
      </w:r>
      <w:r w:rsidRPr="00FB27C3">
        <w:rPr>
          <w:rStyle w:val="Refdenotaalpie"/>
          <w:i/>
          <w:iCs/>
          <w:sz w:val="18"/>
          <w:szCs w:val="18"/>
        </w:rPr>
        <w:footnoteReference w:id="12"/>
      </w:r>
    </w:p>
    <w:p w14:paraId="59E15137" w14:textId="77777777" w:rsidR="008F7143" w:rsidRDefault="008F7143">
      <w:pPr>
        <w:spacing w:line="240" w:lineRule="auto"/>
        <w:contextualSpacing/>
        <w:jc w:val="both"/>
      </w:pPr>
    </w:p>
    <w:p w14:paraId="33F59C46" w14:textId="77777777" w:rsidR="00155FAA" w:rsidRDefault="00155FAA">
      <w:pPr>
        <w:spacing w:line="240" w:lineRule="auto"/>
        <w:contextualSpacing/>
        <w:jc w:val="both"/>
      </w:pPr>
      <w:r>
        <w:t xml:space="preserve">Así, cuando se formula </w:t>
      </w:r>
      <w:r w:rsidR="002F657F">
        <w:t xml:space="preserve">la </w:t>
      </w:r>
      <w:r>
        <w:t xml:space="preserve">problemática como en el caso del proyecto que soporta el </w:t>
      </w:r>
      <w:r w:rsidR="00592615">
        <w:t>C</w:t>
      </w:r>
      <w:r>
        <w:t>ontrato CPS-076-2020 “</w:t>
      </w:r>
      <w:r w:rsidR="00775397" w:rsidRPr="005E1B8D">
        <w:rPr>
          <w:i/>
          <w:iCs/>
        </w:rPr>
        <w:t xml:space="preserve">Bajo nivel de eficacia en los procesos administrativos por la ausencia de recursos humanos </w:t>
      </w:r>
      <w:r w:rsidR="00B4676D" w:rsidRPr="005E1B8D">
        <w:rPr>
          <w:i/>
          <w:iCs/>
        </w:rPr>
        <w:t>capacitados para cubrir las expectativas y necesidades de la Secretaría de Planeación</w:t>
      </w:r>
      <w:r w:rsidR="00B4676D">
        <w:t>”</w:t>
      </w:r>
      <w:r w:rsidR="002F657F">
        <w:t>,</w:t>
      </w:r>
      <w:r w:rsidR="00B4676D">
        <w:t xml:space="preserve"> </w:t>
      </w:r>
      <w:r w:rsidR="005E1B8D">
        <w:t xml:space="preserve">se induce a que la solución es la contratación de personal que apoye y soporte las actividades administrativas del </w:t>
      </w:r>
      <w:r w:rsidR="00592615">
        <w:t>M</w:t>
      </w:r>
      <w:r w:rsidR="005E1B8D">
        <w:t>unicipio. Est</w:t>
      </w:r>
      <w:r w:rsidR="00FE17FD">
        <w:t xml:space="preserve">e proceso deja de lado la identificación de otras posibles alternativas como cambios o modificaciones de las estructuras administrativas </w:t>
      </w:r>
      <w:r w:rsidR="002F657F">
        <w:t xml:space="preserve">o </w:t>
      </w:r>
      <w:r w:rsidR="00FE17FD">
        <w:t xml:space="preserve">la </w:t>
      </w:r>
      <w:r w:rsidR="00646285">
        <w:t xml:space="preserve">implementación de manuales </w:t>
      </w:r>
      <w:r w:rsidR="002F657F">
        <w:t>y</w:t>
      </w:r>
      <w:r w:rsidR="00646285">
        <w:t xml:space="preserve"> procesos de capacitación del personal para hacer más eficiente la gestión de la </w:t>
      </w:r>
      <w:r w:rsidR="00592615">
        <w:t>E</w:t>
      </w:r>
      <w:r w:rsidR="00646285">
        <w:t xml:space="preserve">ntidad </w:t>
      </w:r>
      <w:r w:rsidR="00592615">
        <w:t>T</w:t>
      </w:r>
      <w:r w:rsidR="00646285">
        <w:t>erritorial. Esto</w:t>
      </w:r>
      <w:r w:rsidR="00A827D2">
        <w:t xml:space="preserve"> último </w:t>
      </w:r>
      <w:r w:rsidR="00771076">
        <w:t>se enmarcaría en la inversión permitida con cargo al SGP Propósito General en el Sector Fortalecimiento Institucional.</w:t>
      </w:r>
    </w:p>
    <w:p w14:paraId="7078F57B" w14:textId="77777777" w:rsidR="00155FAA" w:rsidRDefault="00155FAA">
      <w:pPr>
        <w:spacing w:line="240" w:lineRule="auto"/>
        <w:contextualSpacing/>
        <w:jc w:val="both"/>
      </w:pPr>
    </w:p>
    <w:p w14:paraId="6B6E5788" w14:textId="77777777" w:rsidR="008F7143" w:rsidRDefault="008F7143">
      <w:pPr>
        <w:spacing w:line="240" w:lineRule="auto"/>
        <w:contextualSpacing/>
        <w:jc w:val="both"/>
      </w:pPr>
      <w:r>
        <w:t xml:space="preserve">Como se mencionó anteriormente, los recursos de Libre Inversión deben dirigirse a la financiación de la ejecución de los proyectos de inversión, pero las funciones de </w:t>
      </w:r>
      <w:r w:rsidR="00C97279">
        <w:t xml:space="preserve">formulación, </w:t>
      </w:r>
      <w:r>
        <w:t>estructuración, viab</w:t>
      </w:r>
      <w:r w:rsidR="00C97279">
        <w:t xml:space="preserve">ilización </w:t>
      </w:r>
      <w:r>
        <w:t xml:space="preserve">y </w:t>
      </w:r>
      <w:r w:rsidR="00355722">
        <w:t>presentación de los proyectos hace</w:t>
      </w:r>
      <w:r w:rsidR="002F657F">
        <w:t>n</w:t>
      </w:r>
      <w:r w:rsidR="00355722">
        <w:t xml:space="preserve"> parte de las funciones estructurales de la </w:t>
      </w:r>
      <w:r w:rsidR="00592615">
        <w:t>A</w:t>
      </w:r>
      <w:r w:rsidR="00355722">
        <w:t xml:space="preserve">dministración </w:t>
      </w:r>
      <w:r w:rsidR="00592615">
        <w:t>M</w:t>
      </w:r>
      <w:r w:rsidR="00355722">
        <w:t xml:space="preserve">unicipal. De igual manera, contratar personal para el manejo de los recursos digitales no </w:t>
      </w:r>
      <w:r w:rsidR="00814F5D">
        <w:t xml:space="preserve">se relaciona con el fortalecimiento de la política de gobierno digital en su totalidad, puede ser parte constitutiva de esta, pero no garantiza la transformación esperada a través de la ejecución del proyecto. </w:t>
      </w:r>
      <w:r w:rsidR="0098790A">
        <w:t xml:space="preserve">A esto se suma la poca relación entre el objeto contractual y las actividades que se evidencian en los informes de ejecución, las cuales, en el caso del </w:t>
      </w:r>
      <w:r w:rsidR="00592615">
        <w:t>C</w:t>
      </w:r>
      <w:r w:rsidR="0098790A">
        <w:t xml:space="preserve">ontrato CPS-023 de </w:t>
      </w:r>
      <w:r w:rsidR="0098790A" w:rsidRPr="0098790A">
        <w:t xml:space="preserve">2019 se relacionan </w:t>
      </w:r>
      <w:r w:rsidR="002F657F">
        <w:t>con la</w:t>
      </w:r>
      <w:r w:rsidR="0098790A" w:rsidRPr="0098790A">
        <w:t xml:space="preserve"> entrega</w:t>
      </w:r>
      <w:r w:rsidR="002F657F">
        <w:t xml:space="preserve"> de</w:t>
      </w:r>
      <w:r w:rsidR="0098790A" w:rsidRPr="0098790A">
        <w:t xml:space="preserve"> licencias de construcción, realizar planos de obras de infraestructura </w:t>
      </w:r>
      <w:r w:rsidR="00CE0E90">
        <w:t>según las necesidades del</w:t>
      </w:r>
      <w:r w:rsidR="00CE0E90" w:rsidRPr="0098790A">
        <w:t xml:space="preserve"> </w:t>
      </w:r>
      <w:r w:rsidR="00592615">
        <w:t>M</w:t>
      </w:r>
      <w:r w:rsidR="0098790A" w:rsidRPr="0098790A">
        <w:t xml:space="preserve">unicipio, </w:t>
      </w:r>
      <w:r w:rsidR="0098790A">
        <w:t xml:space="preserve">prestar </w:t>
      </w:r>
      <w:r w:rsidR="0098790A" w:rsidRPr="0098790A">
        <w:t>asesoría a la comunidad</w:t>
      </w:r>
      <w:r w:rsidR="0098790A">
        <w:t xml:space="preserve"> en</w:t>
      </w:r>
      <w:r w:rsidR="0098790A" w:rsidRPr="0098790A">
        <w:t xml:space="preserve"> el uso del suelo</w:t>
      </w:r>
      <w:r w:rsidR="0098790A">
        <w:t>, entre otras</w:t>
      </w:r>
      <w:r w:rsidR="0098790A" w:rsidRPr="0098790A">
        <w:t>.</w:t>
      </w:r>
    </w:p>
    <w:p w14:paraId="0320F352" w14:textId="77777777" w:rsidR="00252F86" w:rsidRDefault="00252F86">
      <w:pPr>
        <w:spacing w:line="240" w:lineRule="auto"/>
        <w:contextualSpacing/>
        <w:jc w:val="both"/>
      </w:pPr>
    </w:p>
    <w:p w14:paraId="22234E75" w14:textId="77777777" w:rsidR="00447BEF" w:rsidRDefault="00FE33DD">
      <w:pPr>
        <w:spacing w:line="240" w:lineRule="auto"/>
        <w:contextualSpacing/>
        <w:jc w:val="both"/>
      </w:pPr>
      <w:r>
        <w:t xml:space="preserve">Por </w:t>
      </w:r>
      <w:r w:rsidR="0097332F">
        <w:t>otro lado</w:t>
      </w:r>
      <w:r>
        <w:t xml:space="preserve">, en el caso del </w:t>
      </w:r>
      <w:r w:rsidR="00E55AB3">
        <w:t>C</w:t>
      </w:r>
      <w:r>
        <w:t xml:space="preserve">ontrato No. </w:t>
      </w:r>
      <w:r w:rsidR="00EE7E8E">
        <w:t>CPS-126-2020</w:t>
      </w:r>
      <w:r>
        <w:t xml:space="preserve"> con objeto </w:t>
      </w:r>
      <w:r w:rsidRPr="00FE33DD">
        <w:rPr>
          <w:i/>
          <w:iCs/>
        </w:rPr>
        <w:t>“</w:t>
      </w:r>
      <w:r w:rsidR="00EE7E8E" w:rsidRPr="00FE33DD">
        <w:rPr>
          <w:i/>
          <w:iCs/>
        </w:rPr>
        <w:t xml:space="preserve">Contrato de prestación de servicios profesionales como coordinador de los programas sociales para el desarrollo de una política social en el municipio de Leguízamo </w:t>
      </w:r>
      <w:r w:rsidRPr="00FE33DD">
        <w:rPr>
          <w:i/>
          <w:iCs/>
        </w:rPr>
        <w:t>–</w:t>
      </w:r>
      <w:r w:rsidR="00EE7E8E" w:rsidRPr="00FE33DD">
        <w:rPr>
          <w:i/>
          <w:iCs/>
        </w:rPr>
        <w:t xml:space="preserve"> Putumayo</w:t>
      </w:r>
      <w:r w:rsidRPr="00FE33DD">
        <w:rPr>
          <w:i/>
          <w:iCs/>
        </w:rPr>
        <w:t>”</w:t>
      </w:r>
      <w:r>
        <w:rPr>
          <w:i/>
          <w:iCs/>
        </w:rPr>
        <w:t xml:space="preserve"> </w:t>
      </w:r>
      <w:r>
        <w:t xml:space="preserve">se presenta la misma confusión de actividades de inversión con </w:t>
      </w:r>
      <w:r w:rsidR="00E21F1E">
        <w:t xml:space="preserve">funciones de coordinación e implementación de los programas y proyectos de inversión. </w:t>
      </w:r>
      <w:r w:rsidR="00D335E2">
        <w:t xml:space="preserve">Esta situación se ve reflejada en que las actividades del </w:t>
      </w:r>
      <w:r w:rsidR="00E55AB3">
        <w:t>C</w:t>
      </w:r>
      <w:r w:rsidR="00D335E2">
        <w:t xml:space="preserve">ontrato </w:t>
      </w:r>
      <w:r w:rsidR="002F7831">
        <w:t>no se traducen</w:t>
      </w:r>
      <w:r w:rsidR="004C2DBD">
        <w:t xml:space="preserve"> directamente</w:t>
      </w:r>
      <w:r w:rsidR="002F7831">
        <w:t xml:space="preserve"> en la implementación de los programas sociales</w:t>
      </w:r>
      <w:r w:rsidR="00CE0E90">
        <w:t>,</w:t>
      </w:r>
      <w:r w:rsidR="004C2DBD">
        <w:t xml:space="preserve"> sino en el apoyo y coordinación para llevar a cabo dichos proyectos.</w:t>
      </w:r>
    </w:p>
    <w:p w14:paraId="3F85A4CA" w14:textId="77777777" w:rsidR="00447BEF" w:rsidRDefault="00447BEF">
      <w:pPr>
        <w:spacing w:line="240" w:lineRule="auto"/>
        <w:contextualSpacing/>
        <w:jc w:val="both"/>
      </w:pPr>
    </w:p>
    <w:p w14:paraId="050FB267" w14:textId="77777777" w:rsidR="00EE7E8E" w:rsidRDefault="004C2DBD">
      <w:pPr>
        <w:spacing w:line="240" w:lineRule="auto"/>
        <w:contextualSpacing/>
        <w:jc w:val="both"/>
      </w:pPr>
      <w:r>
        <w:t xml:space="preserve">A pesar de que se cuenta con un proyecto que soporta el </w:t>
      </w:r>
      <w:r w:rsidR="00E55AB3">
        <w:t>C</w:t>
      </w:r>
      <w:r>
        <w:t xml:space="preserve">ontrato, el cual está asociado al </w:t>
      </w:r>
      <w:r w:rsidR="00E55AB3">
        <w:t>S</w:t>
      </w:r>
      <w:r>
        <w:t xml:space="preserve">ector de Atención a Grupos Vulnerables, cabe resaltar que la normatividad es restrictiva frente a la financiación de </w:t>
      </w:r>
      <w:r w:rsidR="00F41187">
        <w:t>actividades administrativas con cargo a los recursos de Libre Inversión, ya que lo acota únicamente a la posibilidad de contratar personal para programas que busquen la superación de la pobreza extrema</w:t>
      </w:r>
      <w:r w:rsidR="00CE0E90">
        <w:t>,</w:t>
      </w:r>
      <w:r w:rsidR="00F41187">
        <w:t xml:space="preserve"> </w:t>
      </w:r>
      <w:r w:rsidR="008E3162">
        <w:t>como por ejemplo “</w:t>
      </w:r>
      <w:r w:rsidR="008E3162" w:rsidRPr="00FB27C3">
        <w:rPr>
          <w:i/>
          <w:iCs/>
        </w:rPr>
        <w:t>Más Familias en acción</w:t>
      </w:r>
      <w:r w:rsidR="008E3162">
        <w:t>”.</w:t>
      </w:r>
      <w:r w:rsidR="00447BEF">
        <w:t xml:space="preserve"> E</w:t>
      </w:r>
      <w:r w:rsidR="009D77E9">
        <w:t xml:space="preserve">specíficamente, el parágrafo 2° del artículo 78 de la ley 715 de 2001 establece que: </w:t>
      </w:r>
    </w:p>
    <w:p w14:paraId="463BC4CD" w14:textId="77777777" w:rsidR="009D77E9" w:rsidRDefault="009D77E9">
      <w:pPr>
        <w:spacing w:line="240" w:lineRule="auto"/>
        <w:contextualSpacing/>
        <w:jc w:val="both"/>
      </w:pPr>
    </w:p>
    <w:p w14:paraId="7DF9CCD4" w14:textId="77777777" w:rsidR="009D77E9" w:rsidRPr="00FB27C3" w:rsidRDefault="00B84EAB">
      <w:pPr>
        <w:spacing w:line="240" w:lineRule="auto"/>
        <w:ind w:left="709"/>
        <w:contextualSpacing/>
        <w:jc w:val="both"/>
        <w:rPr>
          <w:i/>
          <w:iCs/>
          <w:sz w:val="18"/>
          <w:szCs w:val="18"/>
        </w:rPr>
      </w:pPr>
      <w:r w:rsidRPr="00FB27C3">
        <w:rPr>
          <w:i/>
          <w:iCs/>
          <w:sz w:val="18"/>
          <w:szCs w:val="18"/>
        </w:rPr>
        <w:t>“</w:t>
      </w:r>
      <w:r w:rsidR="00F1170E" w:rsidRPr="00FB27C3">
        <w:rPr>
          <w:i/>
          <w:iCs/>
          <w:sz w:val="18"/>
          <w:szCs w:val="18"/>
        </w:rPr>
        <w:t>Con cargo a los recursos de libre inversión de la participación de propósito general y en desarrollo de la competencia de atención a grupos vulnerables de que trata el numeral 11 del artículo 76 de la Ley 715 de 2001, los distritos y municipios podrán cofinanciar los gastos que se requieran para realizar el acompañamiento directo a las familias en el marco de los programas diseñados por el Gobierno Nacional para la superación de la pobreza extrema</w:t>
      </w:r>
      <w:r w:rsidRPr="00FB27C3">
        <w:rPr>
          <w:i/>
          <w:iCs/>
          <w:sz w:val="18"/>
          <w:szCs w:val="18"/>
        </w:rPr>
        <w:t>”</w:t>
      </w:r>
      <w:r w:rsidR="00E55AB3">
        <w:rPr>
          <w:i/>
          <w:iCs/>
          <w:sz w:val="18"/>
          <w:szCs w:val="18"/>
        </w:rPr>
        <w:t>.</w:t>
      </w:r>
    </w:p>
    <w:p w14:paraId="7333D17B" w14:textId="77777777" w:rsidR="0097332F" w:rsidRDefault="0097332F">
      <w:pPr>
        <w:spacing w:line="240" w:lineRule="auto"/>
        <w:contextualSpacing/>
        <w:jc w:val="both"/>
        <w:rPr>
          <w:i/>
          <w:iCs/>
        </w:rPr>
      </w:pPr>
    </w:p>
    <w:p w14:paraId="25F84E40" w14:textId="77777777" w:rsidR="0097332F" w:rsidRDefault="0097332F">
      <w:pPr>
        <w:spacing w:line="240" w:lineRule="auto"/>
        <w:contextualSpacing/>
        <w:jc w:val="both"/>
      </w:pPr>
      <w:r>
        <w:t xml:space="preserve">Por último, se puede evidenciar cómo el </w:t>
      </w:r>
      <w:r w:rsidR="00AB7C3E">
        <w:t>M</w:t>
      </w:r>
      <w:r>
        <w:t xml:space="preserve">unicipio presenta </w:t>
      </w:r>
      <w:r w:rsidR="00736D4C">
        <w:t>la misma situación</w:t>
      </w:r>
      <w:r w:rsidR="00B84EAB">
        <w:t xml:space="preserve"> </w:t>
      </w:r>
      <w:r w:rsidR="00AB7C3E">
        <w:t>“</w:t>
      </w:r>
      <w:r w:rsidR="00736D4C" w:rsidRPr="00FB27C3">
        <w:rPr>
          <w:i/>
          <w:iCs/>
        </w:rPr>
        <w:t>financiar actividades administrativas con cargo a los recursos de Libre Inversión</w:t>
      </w:r>
      <w:r w:rsidR="00AB7C3E">
        <w:t>”</w:t>
      </w:r>
      <w:r w:rsidR="00B84EAB">
        <w:t xml:space="preserve"> </w:t>
      </w:r>
      <w:r w:rsidR="00736D4C">
        <w:t xml:space="preserve">en este caso asociadas al </w:t>
      </w:r>
      <w:r w:rsidR="00AB7C3E">
        <w:t>S</w:t>
      </w:r>
      <w:r w:rsidR="00736D4C">
        <w:t xml:space="preserve">ector de Atención a Grupos Vulnerables, específicamente a la población indígena de su jurisdicción. En la información contractual remitida por la </w:t>
      </w:r>
      <w:r w:rsidR="00AB7C3E">
        <w:t>E</w:t>
      </w:r>
      <w:r w:rsidR="00736D4C">
        <w:t xml:space="preserve">ntidad </w:t>
      </w:r>
      <w:r w:rsidR="00AB7C3E">
        <w:t>T</w:t>
      </w:r>
      <w:r w:rsidR="00736D4C">
        <w:t xml:space="preserve">erritorial se identificaron 3 contratos relacionados con la prestación de servicios de apoyo a la gestión como coordinador(a) para asuntos indígenas. En la vigencia 2018, el </w:t>
      </w:r>
      <w:r w:rsidR="00AB7C3E">
        <w:t>C</w:t>
      </w:r>
      <w:r w:rsidR="00736D4C">
        <w:t xml:space="preserve">ontrato No. </w:t>
      </w:r>
      <w:r w:rsidR="00B648E6">
        <w:t xml:space="preserve">CPS-061-2018 fue registrado en la relación contractual con </w:t>
      </w:r>
      <w:r w:rsidR="0007232D">
        <w:t>fuente de financiación</w:t>
      </w:r>
      <w:r w:rsidR="00B648E6">
        <w:t xml:space="preserve"> SGP </w:t>
      </w:r>
      <w:r w:rsidR="00AB7C3E">
        <w:t xml:space="preserve">- </w:t>
      </w:r>
      <w:r w:rsidR="00B648E6">
        <w:t>Propósito General para Libre Destinación</w:t>
      </w:r>
      <w:r w:rsidR="00A50F85">
        <w:t>, entendiéndolo como un gasto de funcionamiento</w:t>
      </w:r>
      <w:r w:rsidR="00B648E6">
        <w:t xml:space="preserve">. </w:t>
      </w:r>
      <w:r w:rsidR="0007232D">
        <w:t xml:space="preserve">No obstante, </w:t>
      </w:r>
      <w:r w:rsidR="00A50F85">
        <w:t xml:space="preserve">en </w:t>
      </w:r>
      <w:r w:rsidR="0007232D">
        <w:t xml:space="preserve">los </w:t>
      </w:r>
      <w:r w:rsidR="00AB7C3E">
        <w:t>C</w:t>
      </w:r>
      <w:r w:rsidR="0007232D">
        <w:t xml:space="preserve">ontratos </w:t>
      </w:r>
      <w:r w:rsidR="00CE0E90">
        <w:t xml:space="preserve">sucesivos </w:t>
      </w:r>
      <w:r w:rsidR="0007232D">
        <w:t xml:space="preserve">No. </w:t>
      </w:r>
      <w:r w:rsidR="0007232D" w:rsidRPr="0007232D">
        <w:t>CPS-079-2019</w:t>
      </w:r>
      <w:r w:rsidR="0007232D">
        <w:t xml:space="preserve"> y </w:t>
      </w:r>
      <w:r w:rsidR="0007232D" w:rsidRPr="0007232D">
        <w:t>CPS-048-2020</w:t>
      </w:r>
      <w:r w:rsidR="00A50F85">
        <w:t xml:space="preserve">, con igual objeto, se pudo confirmar a través de los </w:t>
      </w:r>
      <w:r w:rsidR="00AB7C3E">
        <w:t>r</w:t>
      </w:r>
      <w:r w:rsidR="00A50F85">
        <w:t xml:space="preserve">egistros </w:t>
      </w:r>
      <w:r w:rsidR="00AB7C3E">
        <w:t>p</w:t>
      </w:r>
      <w:r w:rsidR="00A50F85">
        <w:t xml:space="preserve">resupuestales que se financiaron con cargo al componente de SGP </w:t>
      </w:r>
      <w:r w:rsidR="00AB7C3E">
        <w:t xml:space="preserve">- </w:t>
      </w:r>
      <w:r w:rsidR="00A50F85">
        <w:t>Propósito General para Libre Inversión, a pesar de que sus actividades son de carácter administrativo y continuo para el apoyo como coordinadora indígena.</w:t>
      </w:r>
    </w:p>
    <w:p w14:paraId="41DEBCC0" w14:textId="77777777" w:rsidR="00A50F85" w:rsidRPr="0097332F" w:rsidRDefault="00A50F85">
      <w:pPr>
        <w:spacing w:line="240" w:lineRule="auto"/>
        <w:contextualSpacing/>
        <w:jc w:val="both"/>
      </w:pPr>
    </w:p>
    <w:p w14:paraId="18FBE0E1" w14:textId="77777777" w:rsidR="006312A5" w:rsidRPr="005370C5" w:rsidRDefault="006312A5">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Pr>
          <w:rFonts w:eastAsia="Arial" w:cs="Arial"/>
          <w:b/>
          <w:bCs/>
          <w:sz w:val="20"/>
          <w:szCs w:val="20"/>
        </w:rPr>
        <w:t>1</w:t>
      </w:r>
      <w:r w:rsidR="00F75786">
        <w:rPr>
          <w:rFonts w:eastAsia="Arial" w:cs="Arial"/>
          <w:b/>
          <w:bCs/>
          <w:sz w:val="20"/>
          <w:szCs w:val="20"/>
        </w:rPr>
        <w:t>6</w:t>
      </w:r>
    </w:p>
    <w:p w14:paraId="11EEC406" w14:textId="77777777" w:rsidR="006312A5" w:rsidRDefault="006312A5">
      <w:pPr>
        <w:spacing w:after="0" w:line="240" w:lineRule="auto"/>
        <w:contextualSpacing/>
        <w:jc w:val="center"/>
        <w:rPr>
          <w:rFonts w:eastAsia="Arial" w:cs="Arial"/>
          <w:sz w:val="20"/>
          <w:szCs w:val="20"/>
        </w:rPr>
      </w:pPr>
      <w:r>
        <w:rPr>
          <w:rFonts w:eastAsia="Arial" w:cs="Arial"/>
          <w:sz w:val="20"/>
          <w:szCs w:val="20"/>
        </w:rPr>
        <w:t>Contratos de funcionamiento con recursos de Libre Inversión – Coordinador Indígena</w:t>
      </w:r>
    </w:p>
    <w:p w14:paraId="0FE2DB12" w14:textId="77777777" w:rsidR="006312A5" w:rsidRPr="00C16E4B" w:rsidRDefault="006312A5">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5919" w:type="pct"/>
        <w:jc w:val="center"/>
        <w:tblCellMar>
          <w:left w:w="70" w:type="dxa"/>
          <w:right w:w="70" w:type="dxa"/>
        </w:tblCellMar>
        <w:tblLook w:val="04A0" w:firstRow="1" w:lastRow="0" w:firstColumn="1" w:lastColumn="0" w:noHBand="0" w:noVBand="1"/>
      </w:tblPr>
      <w:tblGrid>
        <w:gridCol w:w="1315"/>
        <w:gridCol w:w="3463"/>
        <w:gridCol w:w="5076"/>
        <w:gridCol w:w="201"/>
      </w:tblGrid>
      <w:tr w:rsidR="00A374DA" w:rsidRPr="00C746BD" w14:paraId="44B363E8" w14:textId="77777777" w:rsidTr="00E54026">
        <w:trPr>
          <w:gridAfter w:val="1"/>
          <w:wAfter w:w="73" w:type="pct"/>
          <w:trHeight w:val="192"/>
          <w:jc w:val="center"/>
        </w:trPr>
        <w:tc>
          <w:tcPr>
            <w:tcW w:w="663"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0CFB008F" w14:textId="77777777" w:rsidR="00A374DA" w:rsidRPr="00FB27C3" w:rsidRDefault="00A374D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1731" w:type="pct"/>
            <w:tcBorders>
              <w:top w:val="single" w:sz="4" w:space="0" w:color="auto"/>
              <w:left w:val="nil"/>
              <w:bottom w:val="single" w:sz="4" w:space="0" w:color="auto"/>
              <w:right w:val="single" w:sz="4" w:space="0" w:color="auto"/>
            </w:tcBorders>
            <w:shd w:val="clear" w:color="000000" w:fill="CCCCFF"/>
            <w:vAlign w:val="center"/>
            <w:hideMark/>
          </w:tcPr>
          <w:p w14:paraId="14511836" w14:textId="77777777" w:rsidR="00A374DA" w:rsidRPr="00FB27C3" w:rsidRDefault="00A374D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CPS-079-2019</w:t>
            </w:r>
          </w:p>
        </w:tc>
        <w:tc>
          <w:tcPr>
            <w:tcW w:w="2533" w:type="pct"/>
            <w:tcBorders>
              <w:top w:val="single" w:sz="4" w:space="0" w:color="auto"/>
              <w:left w:val="nil"/>
              <w:bottom w:val="single" w:sz="4" w:space="0" w:color="auto"/>
              <w:right w:val="single" w:sz="4" w:space="0" w:color="auto"/>
            </w:tcBorders>
            <w:shd w:val="clear" w:color="000000" w:fill="666699"/>
            <w:vAlign w:val="center"/>
            <w:hideMark/>
          </w:tcPr>
          <w:p w14:paraId="061A942E" w14:textId="77777777" w:rsidR="00A374DA" w:rsidRPr="00FB27C3" w:rsidRDefault="00A374D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221538" w:rsidRPr="00C746BD" w14:paraId="468758D8" w14:textId="77777777" w:rsidTr="00E54026">
        <w:trPr>
          <w:gridAfter w:val="1"/>
          <w:wAfter w:w="73" w:type="pct"/>
          <w:trHeight w:val="433"/>
          <w:jc w:val="center"/>
        </w:trPr>
        <w:tc>
          <w:tcPr>
            <w:tcW w:w="663" w:type="pct"/>
            <w:vMerge w:val="restart"/>
            <w:tcBorders>
              <w:top w:val="nil"/>
              <w:left w:val="single" w:sz="4" w:space="0" w:color="auto"/>
              <w:bottom w:val="single" w:sz="4" w:space="0" w:color="auto"/>
              <w:right w:val="single" w:sz="4" w:space="0" w:color="auto"/>
            </w:tcBorders>
            <w:shd w:val="clear" w:color="000000" w:fill="666699"/>
            <w:vAlign w:val="center"/>
            <w:hideMark/>
          </w:tcPr>
          <w:p w14:paraId="310C81CA" w14:textId="77777777" w:rsidR="00A374DA" w:rsidRPr="00FB27C3" w:rsidRDefault="00A374D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1731" w:type="pct"/>
            <w:vMerge w:val="restart"/>
            <w:tcBorders>
              <w:top w:val="nil"/>
              <w:left w:val="single" w:sz="4" w:space="0" w:color="auto"/>
              <w:bottom w:val="single" w:sz="4" w:space="0" w:color="auto"/>
              <w:right w:val="single" w:sz="4" w:space="0" w:color="auto"/>
            </w:tcBorders>
            <w:shd w:val="clear" w:color="auto" w:fill="auto"/>
            <w:vAlign w:val="bottom"/>
            <w:hideMark/>
          </w:tcPr>
          <w:p w14:paraId="47DBF94D" w14:textId="77777777" w:rsidR="00A374DA" w:rsidRPr="00FB27C3" w:rsidRDefault="00A374D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de apoyo a la gestión como coordinadora indígena del </w:t>
            </w:r>
            <w:r w:rsidR="00C746BD">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2533" w:type="pct"/>
            <w:vMerge w:val="restart"/>
            <w:tcBorders>
              <w:top w:val="nil"/>
              <w:left w:val="single" w:sz="4" w:space="0" w:color="auto"/>
              <w:bottom w:val="single" w:sz="4" w:space="0" w:color="auto"/>
              <w:right w:val="single" w:sz="4" w:space="0" w:color="auto"/>
            </w:tcBorders>
            <w:shd w:val="clear" w:color="auto" w:fill="auto"/>
            <w:vAlign w:val="bottom"/>
            <w:hideMark/>
          </w:tcPr>
          <w:p w14:paraId="5CF7CD6C" w14:textId="77777777" w:rsidR="00C746BD" w:rsidRDefault="00A374D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Apoyar la formulación de proyectos de inversión que hagan parte de los planes de vida o correspondan a los usos y costumbres de los pueblos indígenas</w:t>
            </w:r>
            <w:r w:rsidR="00C746BD">
              <w:rPr>
                <w:rFonts w:eastAsia="Times New Roman" w:cs="Arial"/>
                <w:color w:val="000000"/>
                <w:sz w:val="18"/>
                <w:szCs w:val="18"/>
                <w:lang w:val="es-CO" w:eastAsia="es-CO"/>
              </w:rPr>
              <w:t>.</w:t>
            </w:r>
          </w:p>
          <w:p w14:paraId="299088E5" w14:textId="77777777" w:rsidR="00C746BD" w:rsidRDefault="00A374D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Proyectar los contratos que celebran las autoridades de los resguardos y el </w:t>
            </w:r>
            <w:r w:rsidR="00C746BD">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lcalde </w:t>
            </w:r>
            <w:r w:rsidR="00C746BD">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 para la administración de los recursos de la AESGPRI</w:t>
            </w:r>
            <w:r w:rsidR="00C746BD">
              <w:rPr>
                <w:rFonts w:eastAsia="Times New Roman" w:cs="Arial"/>
                <w:color w:val="000000"/>
                <w:sz w:val="18"/>
                <w:szCs w:val="18"/>
                <w:lang w:val="es-CO" w:eastAsia="es-CO"/>
              </w:rPr>
              <w:t>.</w:t>
            </w:r>
          </w:p>
          <w:p w14:paraId="28E078CF" w14:textId="77777777" w:rsidR="00A374DA" w:rsidRPr="00FB27C3" w:rsidRDefault="00A374D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Proyectar los estudios previos de los contratos a ejecutarse en virtud del contrato de administración que celebran las autoridades de los resguardos con el </w:t>
            </w:r>
            <w:r w:rsidR="00C746BD">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lcalde </w:t>
            </w:r>
            <w:r w:rsidR="00C746BD">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w:t>
            </w:r>
            <w:r w:rsidR="00C746BD">
              <w:rPr>
                <w:rFonts w:eastAsia="Times New Roman" w:cs="Arial"/>
                <w:color w:val="000000"/>
                <w:sz w:val="18"/>
                <w:szCs w:val="18"/>
                <w:lang w:val="es-CO" w:eastAsia="es-CO"/>
              </w:rPr>
              <w:t>.</w:t>
            </w:r>
          </w:p>
        </w:tc>
      </w:tr>
      <w:tr w:rsidR="00221538" w:rsidRPr="00C746BD" w14:paraId="1E012DF8" w14:textId="77777777" w:rsidTr="00E54026">
        <w:trPr>
          <w:trHeight w:val="358"/>
          <w:jc w:val="center"/>
        </w:trPr>
        <w:tc>
          <w:tcPr>
            <w:tcW w:w="663" w:type="pct"/>
            <w:vMerge/>
            <w:tcBorders>
              <w:top w:val="nil"/>
              <w:left w:val="single" w:sz="4" w:space="0" w:color="auto"/>
              <w:bottom w:val="single" w:sz="4" w:space="0" w:color="auto"/>
              <w:right w:val="single" w:sz="4" w:space="0" w:color="auto"/>
            </w:tcBorders>
            <w:vAlign w:val="center"/>
            <w:hideMark/>
          </w:tcPr>
          <w:p w14:paraId="5168206C" w14:textId="77777777" w:rsidR="00A374DA" w:rsidRPr="00FB27C3" w:rsidRDefault="00A374DA">
            <w:pPr>
              <w:spacing w:after="0" w:line="240" w:lineRule="auto"/>
              <w:contextualSpacing/>
              <w:rPr>
                <w:rFonts w:eastAsia="Times New Roman" w:cs="Arial"/>
                <w:b/>
                <w:bCs/>
                <w:color w:val="FFFFFF"/>
                <w:sz w:val="18"/>
                <w:szCs w:val="18"/>
                <w:lang w:val="es-CO" w:eastAsia="es-CO"/>
              </w:rPr>
            </w:pPr>
          </w:p>
        </w:tc>
        <w:tc>
          <w:tcPr>
            <w:tcW w:w="1731" w:type="pct"/>
            <w:vMerge/>
            <w:tcBorders>
              <w:top w:val="nil"/>
              <w:left w:val="single" w:sz="4" w:space="0" w:color="auto"/>
              <w:bottom w:val="single" w:sz="4" w:space="0" w:color="auto"/>
              <w:right w:val="single" w:sz="4" w:space="0" w:color="auto"/>
            </w:tcBorders>
            <w:vAlign w:val="center"/>
            <w:hideMark/>
          </w:tcPr>
          <w:p w14:paraId="22B0B3CA"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2533" w:type="pct"/>
            <w:vMerge/>
            <w:tcBorders>
              <w:top w:val="nil"/>
              <w:left w:val="single" w:sz="4" w:space="0" w:color="auto"/>
              <w:bottom w:val="single" w:sz="4" w:space="0" w:color="auto"/>
              <w:right w:val="single" w:sz="4" w:space="0" w:color="auto"/>
            </w:tcBorders>
            <w:vAlign w:val="center"/>
            <w:hideMark/>
          </w:tcPr>
          <w:p w14:paraId="6FEE1D14"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73" w:type="pct"/>
            <w:tcBorders>
              <w:top w:val="nil"/>
              <w:left w:val="nil"/>
              <w:bottom w:val="nil"/>
              <w:right w:val="nil"/>
            </w:tcBorders>
            <w:shd w:val="clear" w:color="auto" w:fill="auto"/>
            <w:noWrap/>
            <w:vAlign w:val="bottom"/>
            <w:hideMark/>
          </w:tcPr>
          <w:p w14:paraId="1CDE7A29" w14:textId="77777777" w:rsidR="00A374DA" w:rsidRPr="00FB27C3" w:rsidRDefault="00A374DA">
            <w:pPr>
              <w:spacing w:after="0" w:line="240" w:lineRule="auto"/>
              <w:contextualSpacing/>
              <w:rPr>
                <w:rFonts w:eastAsia="Times New Roman" w:cs="Arial"/>
                <w:color w:val="000000"/>
                <w:sz w:val="18"/>
                <w:szCs w:val="18"/>
                <w:lang w:val="es-CO" w:eastAsia="es-CO"/>
              </w:rPr>
            </w:pPr>
          </w:p>
        </w:tc>
      </w:tr>
      <w:tr w:rsidR="00A374DA" w:rsidRPr="00C746BD" w14:paraId="7E4C7E76" w14:textId="77777777" w:rsidTr="00E54026">
        <w:trPr>
          <w:trHeight w:val="503"/>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2E4D49FA" w14:textId="77777777" w:rsidR="00A374DA" w:rsidRPr="00FB27C3" w:rsidRDefault="00A374D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1731" w:type="pct"/>
            <w:tcBorders>
              <w:top w:val="nil"/>
              <w:left w:val="nil"/>
              <w:bottom w:val="single" w:sz="4" w:space="0" w:color="auto"/>
              <w:right w:val="single" w:sz="4" w:space="0" w:color="auto"/>
            </w:tcBorders>
            <w:shd w:val="clear" w:color="auto" w:fill="auto"/>
            <w:noWrap/>
            <w:vAlign w:val="bottom"/>
            <w:hideMark/>
          </w:tcPr>
          <w:p w14:paraId="661BCF37" w14:textId="77777777" w:rsidR="00A374DA" w:rsidRPr="00FB27C3" w:rsidRDefault="00C746BD">
            <w:pPr>
              <w:spacing w:after="0" w:line="240" w:lineRule="auto"/>
              <w:contextualSpacing/>
              <w:jc w:val="center"/>
              <w:rPr>
                <w:rFonts w:eastAsia="Times New Roman" w:cs="Arial"/>
                <w:color w:val="000000"/>
                <w:sz w:val="18"/>
                <w:szCs w:val="18"/>
                <w:lang w:val="es-CO" w:eastAsia="es-CO"/>
              </w:rPr>
            </w:pPr>
            <w:r w:rsidRPr="00C746BD">
              <w:rPr>
                <w:rFonts w:eastAsia="Times New Roman" w:cs="Arial"/>
                <w:color w:val="000000"/>
                <w:sz w:val="18"/>
                <w:szCs w:val="18"/>
                <w:lang w:val="es-CO" w:eastAsia="es-CO"/>
              </w:rPr>
              <w:t>Aydee Magno Alvarado</w:t>
            </w:r>
          </w:p>
        </w:tc>
        <w:tc>
          <w:tcPr>
            <w:tcW w:w="2533" w:type="pct"/>
            <w:vMerge/>
            <w:tcBorders>
              <w:top w:val="nil"/>
              <w:left w:val="single" w:sz="4" w:space="0" w:color="auto"/>
              <w:bottom w:val="single" w:sz="4" w:space="0" w:color="auto"/>
              <w:right w:val="single" w:sz="4" w:space="0" w:color="auto"/>
            </w:tcBorders>
            <w:vAlign w:val="center"/>
            <w:hideMark/>
          </w:tcPr>
          <w:p w14:paraId="53E95130"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73" w:type="pct"/>
            <w:vAlign w:val="center"/>
            <w:hideMark/>
          </w:tcPr>
          <w:p w14:paraId="38DC80F8" w14:textId="77777777" w:rsidR="00A374DA" w:rsidRPr="00FB27C3" w:rsidRDefault="00A374DA">
            <w:pPr>
              <w:spacing w:after="0" w:line="240" w:lineRule="auto"/>
              <w:contextualSpacing/>
              <w:rPr>
                <w:rFonts w:eastAsia="Times New Roman" w:cs="Arial"/>
                <w:sz w:val="18"/>
                <w:szCs w:val="18"/>
                <w:lang w:val="es-CO" w:eastAsia="es-CO"/>
              </w:rPr>
            </w:pPr>
          </w:p>
        </w:tc>
      </w:tr>
      <w:tr w:rsidR="00A374DA" w:rsidRPr="00C746BD" w14:paraId="34AAD94D" w14:textId="77777777" w:rsidTr="00E54026">
        <w:trPr>
          <w:trHeight w:val="692"/>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579C62F0" w14:textId="77777777" w:rsidR="00A374DA" w:rsidRPr="00FB27C3" w:rsidRDefault="00A374D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1731" w:type="pct"/>
            <w:tcBorders>
              <w:top w:val="nil"/>
              <w:left w:val="nil"/>
              <w:bottom w:val="single" w:sz="4" w:space="0" w:color="auto"/>
              <w:right w:val="single" w:sz="4" w:space="0" w:color="auto"/>
            </w:tcBorders>
            <w:shd w:val="clear" w:color="auto" w:fill="auto"/>
            <w:vAlign w:val="center"/>
            <w:hideMark/>
          </w:tcPr>
          <w:p w14:paraId="258C6496" w14:textId="77777777" w:rsidR="00A374DA" w:rsidRPr="00FB27C3" w:rsidRDefault="00A374D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$6.000.000</w:t>
            </w:r>
          </w:p>
        </w:tc>
        <w:tc>
          <w:tcPr>
            <w:tcW w:w="2533" w:type="pct"/>
            <w:vMerge/>
            <w:tcBorders>
              <w:top w:val="nil"/>
              <w:left w:val="single" w:sz="4" w:space="0" w:color="auto"/>
              <w:bottom w:val="single" w:sz="4" w:space="0" w:color="auto"/>
              <w:right w:val="single" w:sz="4" w:space="0" w:color="auto"/>
            </w:tcBorders>
            <w:vAlign w:val="center"/>
            <w:hideMark/>
          </w:tcPr>
          <w:p w14:paraId="15FB8857"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73" w:type="pct"/>
            <w:vAlign w:val="center"/>
            <w:hideMark/>
          </w:tcPr>
          <w:p w14:paraId="6DAA2DC5" w14:textId="77777777" w:rsidR="00A374DA" w:rsidRPr="00FB27C3" w:rsidRDefault="00A374DA">
            <w:pPr>
              <w:spacing w:after="0" w:line="240" w:lineRule="auto"/>
              <w:contextualSpacing/>
              <w:rPr>
                <w:rFonts w:eastAsia="Times New Roman" w:cs="Arial"/>
                <w:sz w:val="18"/>
                <w:szCs w:val="18"/>
                <w:lang w:val="es-CO" w:eastAsia="es-CO"/>
              </w:rPr>
            </w:pPr>
          </w:p>
        </w:tc>
      </w:tr>
      <w:tr w:rsidR="00A374DA" w:rsidRPr="00C746BD" w14:paraId="722657D2" w14:textId="77777777" w:rsidTr="00E54026">
        <w:trPr>
          <w:trHeight w:val="270"/>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195F26D5" w14:textId="77777777" w:rsidR="00A374DA" w:rsidRPr="00FB27C3" w:rsidRDefault="00A374D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1731" w:type="pct"/>
            <w:tcBorders>
              <w:top w:val="nil"/>
              <w:left w:val="nil"/>
              <w:bottom w:val="single" w:sz="4" w:space="0" w:color="auto"/>
              <w:right w:val="single" w:sz="4" w:space="0" w:color="auto"/>
            </w:tcBorders>
            <w:shd w:val="clear" w:color="auto" w:fill="auto"/>
            <w:noWrap/>
            <w:vAlign w:val="bottom"/>
            <w:hideMark/>
          </w:tcPr>
          <w:p w14:paraId="72617445" w14:textId="77777777" w:rsidR="00A374DA" w:rsidRPr="00FB27C3" w:rsidRDefault="00A374D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5 meses </w:t>
            </w:r>
          </w:p>
        </w:tc>
        <w:tc>
          <w:tcPr>
            <w:tcW w:w="2533" w:type="pct"/>
            <w:vMerge/>
            <w:tcBorders>
              <w:top w:val="nil"/>
              <w:left w:val="single" w:sz="4" w:space="0" w:color="auto"/>
              <w:bottom w:val="single" w:sz="4" w:space="0" w:color="auto"/>
              <w:right w:val="single" w:sz="4" w:space="0" w:color="auto"/>
            </w:tcBorders>
            <w:vAlign w:val="center"/>
            <w:hideMark/>
          </w:tcPr>
          <w:p w14:paraId="1FB6726E"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73" w:type="pct"/>
            <w:vAlign w:val="center"/>
            <w:hideMark/>
          </w:tcPr>
          <w:p w14:paraId="3550A713" w14:textId="77777777" w:rsidR="00A374DA" w:rsidRPr="00FB27C3" w:rsidRDefault="00A374DA">
            <w:pPr>
              <w:spacing w:after="0" w:line="240" w:lineRule="auto"/>
              <w:contextualSpacing/>
              <w:rPr>
                <w:rFonts w:eastAsia="Times New Roman" w:cs="Arial"/>
                <w:sz w:val="18"/>
                <w:szCs w:val="18"/>
                <w:lang w:val="es-CO" w:eastAsia="es-CO"/>
              </w:rPr>
            </w:pPr>
          </w:p>
        </w:tc>
      </w:tr>
      <w:tr w:rsidR="00A374DA" w:rsidRPr="00C746BD" w14:paraId="5899F07F" w14:textId="77777777" w:rsidTr="00E54026">
        <w:trPr>
          <w:trHeight w:val="192"/>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4403FDE9" w14:textId="77777777" w:rsidR="00A374DA" w:rsidRPr="00FB27C3" w:rsidRDefault="00A374D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1731" w:type="pct"/>
            <w:tcBorders>
              <w:top w:val="nil"/>
              <w:left w:val="nil"/>
              <w:bottom w:val="single" w:sz="4" w:space="0" w:color="auto"/>
              <w:right w:val="single" w:sz="4" w:space="0" w:color="auto"/>
            </w:tcBorders>
            <w:shd w:val="clear" w:color="000000" w:fill="CCCCFF"/>
            <w:vAlign w:val="center"/>
            <w:hideMark/>
          </w:tcPr>
          <w:p w14:paraId="6830BFC4" w14:textId="77777777" w:rsidR="00A374DA" w:rsidRPr="00FB27C3" w:rsidRDefault="00A374D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CPS-048-2020</w:t>
            </w:r>
          </w:p>
        </w:tc>
        <w:tc>
          <w:tcPr>
            <w:tcW w:w="2533" w:type="pct"/>
            <w:tcBorders>
              <w:top w:val="nil"/>
              <w:left w:val="nil"/>
              <w:bottom w:val="single" w:sz="4" w:space="0" w:color="auto"/>
              <w:right w:val="single" w:sz="4" w:space="0" w:color="auto"/>
            </w:tcBorders>
            <w:shd w:val="clear" w:color="000000" w:fill="666699"/>
            <w:vAlign w:val="center"/>
            <w:hideMark/>
          </w:tcPr>
          <w:p w14:paraId="3139A02A" w14:textId="77777777" w:rsidR="00A374DA" w:rsidRPr="00FB27C3" w:rsidRDefault="00A374D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73" w:type="pct"/>
            <w:vAlign w:val="center"/>
            <w:hideMark/>
          </w:tcPr>
          <w:p w14:paraId="0AC23C8F" w14:textId="77777777" w:rsidR="00A374DA" w:rsidRPr="00FB27C3" w:rsidRDefault="00A374DA">
            <w:pPr>
              <w:spacing w:after="0" w:line="240" w:lineRule="auto"/>
              <w:contextualSpacing/>
              <w:rPr>
                <w:rFonts w:eastAsia="Times New Roman" w:cs="Arial"/>
                <w:sz w:val="18"/>
                <w:szCs w:val="18"/>
                <w:lang w:val="es-CO" w:eastAsia="es-CO"/>
              </w:rPr>
            </w:pPr>
          </w:p>
        </w:tc>
      </w:tr>
      <w:tr w:rsidR="00A374DA" w:rsidRPr="00C746BD" w14:paraId="53244C65" w14:textId="77777777" w:rsidTr="00E54026">
        <w:trPr>
          <w:trHeight w:val="192"/>
          <w:jc w:val="center"/>
        </w:trPr>
        <w:tc>
          <w:tcPr>
            <w:tcW w:w="663" w:type="pct"/>
            <w:vMerge w:val="restart"/>
            <w:tcBorders>
              <w:top w:val="nil"/>
              <w:left w:val="single" w:sz="4" w:space="0" w:color="auto"/>
              <w:bottom w:val="single" w:sz="4" w:space="0" w:color="auto"/>
              <w:right w:val="single" w:sz="4" w:space="0" w:color="auto"/>
            </w:tcBorders>
            <w:shd w:val="clear" w:color="000000" w:fill="666699"/>
            <w:vAlign w:val="center"/>
            <w:hideMark/>
          </w:tcPr>
          <w:p w14:paraId="24AC1AF8" w14:textId="77777777" w:rsidR="00A374DA" w:rsidRPr="00FB27C3" w:rsidRDefault="00A374D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1731" w:type="pct"/>
            <w:vMerge w:val="restart"/>
            <w:tcBorders>
              <w:top w:val="nil"/>
              <w:left w:val="single" w:sz="4" w:space="0" w:color="auto"/>
              <w:bottom w:val="single" w:sz="4" w:space="0" w:color="auto"/>
              <w:right w:val="single" w:sz="4" w:space="0" w:color="auto"/>
            </w:tcBorders>
            <w:shd w:val="clear" w:color="auto" w:fill="auto"/>
            <w:vAlign w:val="bottom"/>
            <w:hideMark/>
          </w:tcPr>
          <w:p w14:paraId="799365F8" w14:textId="77777777" w:rsidR="00A374DA" w:rsidRPr="00FB27C3" w:rsidRDefault="00A374D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de apoyo a la gestión como coordinador indígena del </w:t>
            </w:r>
            <w:r w:rsidR="00C746BD">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2533" w:type="pct"/>
            <w:vMerge w:val="restart"/>
            <w:tcBorders>
              <w:top w:val="nil"/>
              <w:left w:val="single" w:sz="4" w:space="0" w:color="auto"/>
              <w:bottom w:val="single" w:sz="4" w:space="0" w:color="auto"/>
              <w:right w:val="single" w:sz="4" w:space="0" w:color="auto"/>
            </w:tcBorders>
            <w:shd w:val="clear" w:color="auto" w:fill="auto"/>
            <w:vAlign w:val="bottom"/>
            <w:hideMark/>
          </w:tcPr>
          <w:p w14:paraId="26BBDF0B" w14:textId="77777777" w:rsidR="00C746BD" w:rsidRDefault="00A374D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Apoyar la formulación de proyectos de inversión que hagan parte de los planes de vida o correspondan a los usos y costumbres de los pueblos indígenas</w:t>
            </w:r>
            <w:r w:rsidR="00C746BD">
              <w:rPr>
                <w:rFonts w:eastAsia="Times New Roman" w:cs="Arial"/>
                <w:color w:val="000000"/>
                <w:sz w:val="18"/>
                <w:szCs w:val="18"/>
                <w:lang w:val="es-CO" w:eastAsia="es-CO"/>
              </w:rPr>
              <w:t>.</w:t>
            </w:r>
          </w:p>
          <w:p w14:paraId="10687DE5" w14:textId="77777777" w:rsidR="00C746BD" w:rsidRDefault="00A374D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Proyectar los contratos que celebran las autoridades de los resguardos y el </w:t>
            </w:r>
            <w:r w:rsidR="00C746BD">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lcalde </w:t>
            </w:r>
            <w:r w:rsidR="00C746BD">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 para la administración de los recursos de la AESGPRI</w:t>
            </w:r>
            <w:r w:rsidR="00C746BD">
              <w:rPr>
                <w:rFonts w:eastAsia="Times New Roman" w:cs="Arial"/>
                <w:color w:val="000000"/>
                <w:sz w:val="18"/>
                <w:szCs w:val="18"/>
                <w:lang w:val="es-CO" w:eastAsia="es-CO"/>
              </w:rPr>
              <w:t>.</w:t>
            </w:r>
          </w:p>
          <w:p w14:paraId="13B265F4" w14:textId="77777777" w:rsidR="00A374DA" w:rsidRPr="00FB27C3" w:rsidRDefault="00A374D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Proyectar los estudios previos de los contratos a ejecutarse en virtud del contrato de administración que celebran las autoridades de los resguardos con el </w:t>
            </w:r>
            <w:r w:rsidR="00C746BD">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lcalde </w:t>
            </w:r>
            <w:r w:rsidR="00C746BD">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w:t>
            </w:r>
            <w:r w:rsidR="00C746BD">
              <w:rPr>
                <w:rFonts w:eastAsia="Times New Roman" w:cs="Arial"/>
                <w:color w:val="000000"/>
                <w:sz w:val="18"/>
                <w:szCs w:val="18"/>
                <w:lang w:val="es-CO" w:eastAsia="es-CO"/>
              </w:rPr>
              <w:t>.</w:t>
            </w:r>
          </w:p>
        </w:tc>
        <w:tc>
          <w:tcPr>
            <w:tcW w:w="73" w:type="pct"/>
            <w:vAlign w:val="center"/>
            <w:hideMark/>
          </w:tcPr>
          <w:p w14:paraId="3DFDF81D" w14:textId="77777777" w:rsidR="00A374DA" w:rsidRPr="00FB27C3" w:rsidRDefault="00A374DA">
            <w:pPr>
              <w:spacing w:after="0" w:line="240" w:lineRule="auto"/>
              <w:contextualSpacing/>
              <w:rPr>
                <w:rFonts w:eastAsia="Times New Roman" w:cs="Arial"/>
                <w:sz w:val="18"/>
                <w:szCs w:val="18"/>
                <w:lang w:val="es-CO" w:eastAsia="es-CO"/>
              </w:rPr>
            </w:pPr>
          </w:p>
        </w:tc>
      </w:tr>
      <w:tr w:rsidR="00221538" w:rsidRPr="00C746BD" w14:paraId="0C9C5E82" w14:textId="77777777" w:rsidTr="00E54026">
        <w:trPr>
          <w:trHeight w:val="576"/>
          <w:jc w:val="center"/>
        </w:trPr>
        <w:tc>
          <w:tcPr>
            <w:tcW w:w="663" w:type="pct"/>
            <w:vMerge/>
            <w:tcBorders>
              <w:top w:val="nil"/>
              <w:left w:val="single" w:sz="4" w:space="0" w:color="auto"/>
              <w:bottom w:val="single" w:sz="4" w:space="0" w:color="auto"/>
              <w:right w:val="single" w:sz="4" w:space="0" w:color="auto"/>
            </w:tcBorders>
            <w:vAlign w:val="center"/>
            <w:hideMark/>
          </w:tcPr>
          <w:p w14:paraId="3293B30E" w14:textId="77777777" w:rsidR="00A374DA" w:rsidRPr="00FB27C3" w:rsidRDefault="00A374DA">
            <w:pPr>
              <w:spacing w:after="0" w:line="240" w:lineRule="auto"/>
              <w:contextualSpacing/>
              <w:rPr>
                <w:rFonts w:eastAsia="Times New Roman" w:cs="Arial"/>
                <w:b/>
                <w:bCs/>
                <w:color w:val="FFFFFF"/>
                <w:sz w:val="18"/>
                <w:szCs w:val="18"/>
                <w:lang w:val="es-CO" w:eastAsia="es-CO"/>
              </w:rPr>
            </w:pPr>
          </w:p>
        </w:tc>
        <w:tc>
          <w:tcPr>
            <w:tcW w:w="1731" w:type="pct"/>
            <w:vMerge/>
            <w:tcBorders>
              <w:top w:val="nil"/>
              <w:left w:val="single" w:sz="4" w:space="0" w:color="auto"/>
              <w:bottom w:val="single" w:sz="4" w:space="0" w:color="auto"/>
              <w:right w:val="single" w:sz="4" w:space="0" w:color="auto"/>
            </w:tcBorders>
            <w:vAlign w:val="center"/>
            <w:hideMark/>
          </w:tcPr>
          <w:p w14:paraId="6748FD4B"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2533" w:type="pct"/>
            <w:vMerge/>
            <w:tcBorders>
              <w:top w:val="nil"/>
              <w:left w:val="single" w:sz="4" w:space="0" w:color="auto"/>
              <w:bottom w:val="single" w:sz="4" w:space="0" w:color="auto"/>
              <w:right w:val="single" w:sz="4" w:space="0" w:color="auto"/>
            </w:tcBorders>
            <w:vAlign w:val="center"/>
            <w:hideMark/>
          </w:tcPr>
          <w:p w14:paraId="762A24F2"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73" w:type="pct"/>
            <w:tcBorders>
              <w:top w:val="nil"/>
              <w:left w:val="nil"/>
              <w:bottom w:val="nil"/>
              <w:right w:val="nil"/>
            </w:tcBorders>
            <w:shd w:val="clear" w:color="auto" w:fill="auto"/>
            <w:noWrap/>
            <w:vAlign w:val="bottom"/>
            <w:hideMark/>
          </w:tcPr>
          <w:p w14:paraId="49D85E09" w14:textId="77777777" w:rsidR="00A374DA" w:rsidRPr="00FB27C3" w:rsidRDefault="00A374DA">
            <w:pPr>
              <w:spacing w:after="0" w:line="240" w:lineRule="auto"/>
              <w:contextualSpacing/>
              <w:rPr>
                <w:rFonts w:eastAsia="Times New Roman" w:cs="Arial"/>
                <w:color w:val="000000"/>
                <w:sz w:val="18"/>
                <w:szCs w:val="18"/>
                <w:lang w:val="es-CO" w:eastAsia="es-CO"/>
              </w:rPr>
            </w:pPr>
          </w:p>
        </w:tc>
      </w:tr>
      <w:tr w:rsidR="00A374DA" w:rsidRPr="00C746BD" w14:paraId="6555D530" w14:textId="77777777" w:rsidTr="00E54026">
        <w:trPr>
          <w:trHeight w:val="414"/>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65E24F88" w14:textId="77777777" w:rsidR="00A374DA" w:rsidRPr="00FB27C3" w:rsidRDefault="00A374D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1731" w:type="pct"/>
            <w:tcBorders>
              <w:top w:val="nil"/>
              <w:left w:val="nil"/>
              <w:bottom w:val="single" w:sz="4" w:space="0" w:color="auto"/>
              <w:right w:val="single" w:sz="4" w:space="0" w:color="auto"/>
            </w:tcBorders>
            <w:shd w:val="clear" w:color="auto" w:fill="auto"/>
            <w:noWrap/>
            <w:vAlign w:val="bottom"/>
            <w:hideMark/>
          </w:tcPr>
          <w:p w14:paraId="3611F7FD" w14:textId="77777777" w:rsidR="00A374DA" w:rsidRPr="00FB27C3" w:rsidRDefault="00C746BD">
            <w:pPr>
              <w:spacing w:after="0" w:line="240" w:lineRule="auto"/>
              <w:contextualSpacing/>
              <w:jc w:val="center"/>
              <w:rPr>
                <w:rFonts w:eastAsia="Times New Roman" w:cs="Arial"/>
                <w:color w:val="000000"/>
                <w:sz w:val="18"/>
                <w:szCs w:val="18"/>
                <w:lang w:val="es-CO" w:eastAsia="es-CO"/>
              </w:rPr>
            </w:pPr>
            <w:r w:rsidRPr="00C746BD">
              <w:rPr>
                <w:rFonts w:eastAsia="Times New Roman" w:cs="Arial"/>
                <w:color w:val="000000"/>
                <w:sz w:val="18"/>
                <w:szCs w:val="18"/>
                <w:lang w:val="es-CO" w:eastAsia="es-CO"/>
              </w:rPr>
              <w:t>Alexander Henríquez Sanjuan</w:t>
            </w:r>
          </w:p>
        </w:tc>
        <w:tc>
          <w:tcPr>
            <w:tcW w:w="2533" w:type="pct"/>
            <w:vMerge/>
            <w:tcBorders>
              <w:top w:val="nil"/>
              <w:left w:val="single" w:sz="4" w:space="0" w:color="auto"/>
              <w:bottom w:val="single" w:sz="4" w:space="0" w:color="auto"/>
              <w:right w:val="single" w:sz="4" w:space="0" w:color="auto"/>
            </w:tcBorders>
            <w:vAlign w:val="center"/>
            <w:hideMark/>
          </w:tcPr>
          <w:p w14:paraId="6A6367BE"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73" w:type="pct"/>
            <w:vAlign w:val="center"/>
            <w:hideMark/>
          </w:tcPr>
          <w:p w14:paraId="028FE521" w14:textId="77777777" w:rsidR="00A374DA" w:rsidRPr="00FB27C3" w:rsidRDefault="00A374DA">
            <w:pPr>
              <w:spacing w:after="0" w:line="240" w:lineRule="auto"/>
              <w:contextualSpacing/>
              <w:rPr>
                <w:rFonts w:eastAsia="Times New Roman" w:cs="Arial"/>
                <w:sz w:val="18"/>
                <w:szCs w:val="18"/>
                <w:lang w:val="es-CO" w:eastAsia="es-CO"/>
              </w:rPr>
            </w:pPr>
          </w:p>
        </w:tc>
      </w:tr>
      <w:tr w:rsidR="00A374DA" w:rsidRPr="00C746BD" w14:paraId="58EEA203" w14:textId="77777777" w:rsidTr="00E54026">
        <w:trPr>
          <w:trHeight w:val="548"/>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28E0871B" w14:textId="77777777" w:rsidR="00A374DA" w:rsidRPr="00FB27C3" w:rsidRDefault="00A374D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1731" w:type="pct"/>
            <w:tcBorders>
              <w:top w:val="nil"/>
              <w:left w:val="nil"/>
              <w:bottom w:val="single" w:sz="4" w:space="0" w:color="auto"/>
              <w:right w:val="single" w:sz="4" w:space="0" w:color="auto"/>
            </w:tcBorders>
            <w:shd w:val="clear" w:color="auto" w:fill="auto"/>
            <w:vAlign w:val="center"/>
            <w:hideMark/>
          </w:tcPr>
          <w:p w14:paraId="48ABDA2B" w14:textId="77777777" w:rsidR="00A374DA" w:rsidRPr="00FB27C3" w:rsidRDefault="00A374D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$14.850.000</w:t>
            </w:r>
          </w:p>
        </w:tc>
        <w:tc>
          <w:tcPr>
            <w:tcW w:w="2533" w:type="pct"/>
            <w:vMerge/>
            <w:tcBorders>
              <w:top w:val="nil"/>
              <w:left w:val="single" w:sz="4" w:space="0" w:color="auto"/>
              <w:bottom w:val="single" w:sz="4" w:space="0" w:color="auto"/>
              <w:right w:val="single" w:sz="4" w:space="0" w:color="auto"/>
            </w:tcBorders>
            <w:vAlign w:val="center"/>
            <w:hideMark/>
          </w:tcPr>
          <w:p w14:paraId="03DD88C7"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73" w:type="pct"/>
            <w:vAlign w:val="center"/>
            <w:hideMark/>
          </w:tcPr>
          <w:p w14:paraId="64D4F602" w14:textId="77777777" w:rsidR="00A374DA" w:rsidRPr="00FB27C3" w:rsidRDefault="00A374DA">
            <w:pPr>
              <w:spacing w:after="0" w:line="240" w:lineRule="auto"/>
              <w:contextualSpacing/>
              <w:rPr>
                <w:rFonts w:eastAsia="Times New Roman" w:cs="Arial"/>
                <w:sz w:val="18"/>
                <w:szCs w:val="18"/>
                <w:lang w:val="es-CO" w:eastAsia="es-CO"/>
              </w:rPr>
            </w:pPr>
          </w:p>
        </w:tc>
      </w:tr>
      <w:tr w:rsidR="00A374DA" w:rsidRPr="00C746BD" w14:paraId="6C11E179" w14:textId="77777777" w:rsidTr="00E54026">
        <w:trPr>
          <w:trHeight w:val="192"/>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55CA2D86" w14:textId="77777777" w:rsidR="00A374DA" w:rsidRPr="00FB27C3" w:rsidRDefault="00A374DA"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1731" w:type="pct"/>
            <w:tcBorders>
              <w:top w:val="nil"/>
              <w:left w:val="nil"/>
              <w:bottom w:val="single" w:sz="4" w:space="0" w:color="auto"/>
              <w:right w:val="single" w:sz="4" w:space="0" w:color="auto"/>
            </w:tcBorders>
            <w:shd w:val="clear" w:color="auto" w:fill="auto"/>
            <w:noWrap/>
            <w:vAlign w:val="bottom"/>
            <w:hideMark/>
          </w:tcPr>
          <w:p w14:paraId="48413EC0" w14:textId="77777777" w:rsidR="00A374DA" w:rsidRPr="00FB27C3" w:rsidRDefault="00A374DA">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9 meses</w:t>
            </w:r>
          </w:p>
        </w:tc>
        <w:tc>
          <w:tcPr>
            <w:tcW w:w="2533" w:type="pct"/>
            <w:vMerge/>
            <w:tcBorders>
              <w:top w:val="nil"/>
              <w:left w:val="single" w:sz="4" w:space="0" w:color="auto"/>
              <w:bottom w:val="single" w:sz="4" w:space="0" w:color="auto"/>
              <w:right w:val="single" w:sz="4" w:space="0" w:color="auto"/>
            </w:tcBorders>
            <w:vAlign w:val="center"/>
            <w:hideMark/>
          </w:tcPr>
          <w:p w14:paraId="0A113A1F" w14:textId="77777777" w:rsidR="00A374DA" w:rsidRPr="00FB27C3" w:rsidRDefault="00A374DA">
            <w:pPr>
              <w:spacing w:after="0" w:line="240" w:lineRule="auto"/>
              <w:contextualSpacing/>
              <w:rPr>
                <w:rFonts w:eastAsia="Times New Roman" w:cs="Arial"/>
                <w:color w:val="000000"/>
                <w:sz w:val="18"/>
                <w:szCs w:val="18"/>
                <w:lang w:val="es-CO" w:eastAsia="es-CO"/>
              </w:rPr>
            </w:pPr>
          </w:p>
        </w:tc>
        <w:tc>
          <w:tcPr>
            <w:tcW w:w="73" w:type="pct"/>
            <w:vAlign w:val="center"/>
            <w:hideMark/>
          </w:tcPr>
          <w:p w14:paraId="51EF8017" w14:textId="77777777" w:rsidR="00A374DA" w:rsidRPr="00FB27C3" w:rsidRDefault="00A374DA">
            <w:pPr>
              <w:spacing w:after="0" w:line="240" w:lineRule="auto"/>
              <w:contextualSpacing/>
              <w:rPr>
                <w:rFonts w:eastAsia="Times New Roman" w:cs="Arial"/>
                <w:sz w:val="18"/>
                <w:szCs w:val="18"/>
                <w:lang w:val="es-CO" w:eastAsia="es-CO"/>
              </w:rPr>
            </w:pPr>
          </w:p>
        </w:tc>
      </w:tr>
    </w:tbl>
    <w:p w14:paraId="0503C71C" w14:textId="77777777" w:rsidR="006312A5" w:rsidRPr="00FB27C3" w:rsidRDefault="006312A5" w:rsidP="00286F4A">
      <w:pPr>
        <w:spacing w:line="240" w:lineRule="auto"/>
        <w:contextualSpacing/>
        <w:jc w:val="center"/>
        <w:rPr>
          <w:rFonts w:eastAsia="Arial" w:cs="Arial"/>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7CFA433A" w14:textId="77777777" w:rsidR="00FA6571" w:rsidRPr="00FB27C3" w:rsidRDefault="00FA6571">
      <w:pPr>
        <w:spacing w:line="240" w:lineRule="auto"/>
        <w:contextualSpacing/>
      </w:pPr>
    </w:p>
    <w:p w14:paraId="27F201E8" w14:textId="77777777" w:rsidR="009C3CB4" w:rsidRDefault="00FA6571">
      <w:pPr>
        <w:spacing w:line="240" w:lineRule="auto"/>
        <w:contextualSpacing/>
        <w:jc w:val="both"/>
      </w:pPr>
      <w:r>
        <w:t>Las actividades</w:t>
      </w:r>
      <w:r w:rsidR="00F42E4D">
        <w:t xml:space="preserve"> que se relacionan en los </w:t>
      </w:r>
      <w:r w:rsidR="00A61D30">
        <w:t>C</w:t>
      </w:r>
      <w:r w:rsidR="00F42E4D">
        <w:t>ontratos del cuadro anterior evidencian que se trata</w:t>
      </w:r>
      <w:r w:rsidR="00D66D3F">
        <w:t xml:space="preserve"> de desarrollar procesos asociados a</w:t>
      </w:r>
      <w:r w:rsidR="00C43375">
        <w:t>l cumplimiento de requisitos para la</w:t>
      </w:r>
      <w:r w:rsidR="00D66D3F">
        <w:t xml:space="preserve"> ejecución de los recursos de la Asignación Especial </w:t>
      </w:r>
      <w:r w:rsidR="00C43375">
        <w:t xml:space="preserve">del SGP Para Resguardos Indígenas – AESGPRI. Estas actividades no pueden entenderse como un proyecto de inversión dado que no se relacionan con una intervención enfocada en la transformación de una situación problemática o </w:t>
      </w:r>
      <w:r w:rsidR="00B34CBD">
        <w:t xml:space="preserve">una necesidad en la población indígena, sino que son trámites operativos que </w:t>
      </w:r>
      <w:r w:rsidR="008D473F">
        <w:t xml:space="preserve">parten de las competencias asignadas por ley al </w:t>
      </w:r>
      <w:r w:rsidR="00A61D30">
        <w:t>M</w:t>
      </w:r>
      <w:r w:rsidR="008D473F">
        <w:t xml:space="preserve">unicipio frente </w:t>
      </w:r>
      <w:r w:rsidR="008D473F">
        <w:lastRenderedPageBreak/>
        <w:t xml:space="preserve">a la adecuada ejecución de estos recursos. </w:t>
      </w:r>
      <w:r w:rsidR="00B84EAB">
        <w:t xml:space="preserve">Además, como se mencionó anteriormente, en el </w:t>
      </w:r>
      <w:r w:rsidR="00A61D30">
        <w:t>S</w:t>
      </w:r>
      <w:r w:rsidR="00B84EAB">
        <w:t xml:space="preserve">ector de Atención a Grupos Vulnerables solamente </w:t>
      </w:r>
      <w:r w:rsidR="00CE0E90">
        <w:t xml:space="preserve">se </w:t>
      </w:r>
      <w:r w:rsidR="00351C35">
        <w:t xml:space="preserve">permite financiar gastos de funcionamiento cuando el personal desarrolle actividades de apoyo para garantizar </w:t>
      </w:r>
      <w:r w:rsidR="00811A76">
        <w:t xml:space="preserve">el funcionamiento de los programas de superación de la pobreza. </w:t>
      </w:r>
      <w:r w:rsidR="00835B39">
        <w:t>En este caso</w:t>
      </w:r>
      <w:r w:rsidR="00CE0E90">
        <w:t>,</w:t>
      </w:r>
      <w:r w:rsidR="00835B39">
        <w:t xml:space="preserve"> también</w:t>
      </w:r>
      <w:r w:rsidR="00811A76">
        <w:t xml:space="preserve"> se identificaron contratos asociados con personal </w:t>
      </w:r>
      <w:r w:rsidR="0087160B">
        <w:t xml:space="preserve">como enlace del programa </w:t>
      </w:r>
      <w:r w:rsidR="00916729">
        <w:t>“</w:t>
      </w:r>
      <w:r w:rsidR="00CE0E90" w:rsidRPr="00FB27C3">
        <w:rPr>
          <w:i/>
          <w:iCs/>
        </w:rPr>
        <w:t>Más Familias en Acción</w:t>
      </w:r>
      <w:r w:rsidR="00916729">
        <w:t>”</w:t>
      </w:r>
      <w:r w:rsidR="00CE0E90">
        <w:t xml:space="preserve"> </w:t>
      </w:r>
      <w:r w:rsidR="0087160B">
        <w:t>frente a los resguardos indígenas</w:t>
      </w:r>
      <w:r w:rsidR="00F03B46">
        <w:t>, para lo cual sí está habilitad</w:t>
      </w:r>
      <w:r w:rsidR="00CE0E90">
        <w:t>a la financiación</w:t>
      </w:r>
      <w:r w:rsidR="00F03B46">
        <w:t xml:space="preserve"> con la fuente de financiación SGP </w:t>
      </w:r>
      <w:r w:rsidR="00916729">
        <w:t xml:space="preserve">- </w:t>
      </w:r>
      <w:r w:rsidR="00F03B46">
        <w:t>PG Libre Inversión.</w:t>
      </w:r>
    </w:p>
    <w:p w14:paraId="0A3FE23F" w14:textId="77777777" w:rsidR="009C3CB4" w:rsidRDefault="009C3CB4">
      <w:pPr>
        <w:spacing w:line="240" w:lineRule="auto"/>
        <w:contextualSpacing/>
        <w:jc w:val="both"/>
      </w:pPr>
    </w:p>
    <w:p w14:paraId="4FD750DE" w14:textId="77777777" w:rsidR="009C3CB4" w:rsidRDefault="009C3CB4">
      <w:pPr>
        <w:spacing w:line="240" w:lineRule="auto"/>
        <w:contextualSpacing/>
        <w:jc w:val="both"/>
        <w:rPr>
          <w:i/>
          <w:iCs/>
        </w:rPr>
      </w:pPr>
      <w:r>
        <w:t xml:space="preserve">Esta situación evidenció que la </w:t>
      </w:r>
      <w:r w:rsidR="006D09FB">
        <w:t>E</w:t>
      </w:r>
      <w:r>
        <w:t>ntidad</w:t>
      </w:r>
      <w:r w:rsidR="00731666">
        <w:t xml:space="preserve"> </w:t>
      </w:r>
      <w:r w:rsidR="006D09FB">
        <w:t>T</w:t>
      </w:r>
      <w:r w:rsidR="00731666">
        <w:t>erritorial</w:t>
      </w:r>
      <w:r>
        <w:t xml:space="preserve"> en las vigencias 2017, 2018 y 2019 suscribió contratos de prestación de servicios con cargo a los recursos de la Participación de Propósito General destinación de Libre Inversión orientado al ejercicio de funciones de carácter </w:t>
      </w:r>
      <w:r w:rsidR="00CE0E90">
        <w:t xml:space="preserve">misional y </w:t>
      </w:r>
      <w:r>
        <w:t>permanente.</w:t>
      </w:r>
    </w:p>
    <w:p w14:paraId="12464784" w14:textId="77777777" w:rsidR="00D4048B" w:rsidRDefault="00D4048B">
      <w:pPr>
        <w:spacing w:line="240" w:lineRule="auto"/>
        <w:contextualSpacing/>
        <w:jc w:val="both"/>
        <w:rPr>
          <w:i/>
          <w:iCs/>
        </w:rPr>
      </w:pPr>
    </w:p>
    <w:p w14:paraId="2D3257E3" w14:textId="77777777" w:rsidR="00D4048B" w:rsidRPr="001729F6" w:rsidRDefault="00D4048B">
      <w:pPr>
        <w:spacing w:line="240" w:lineRule="auto"/>
        <w:contextualSpacing/>
        <w:jc w:val="both"/>
        <w:rPr>
          <w:b/>
          <w:bCs/>
          <w:iCs/>
        </w:rPr>
      </w:pPr>
      <w:r w:rsidRPr="001729F6">
        <w:rPr>
          <w:b/>
          <w:bCs/>
          <w:iCs/>
        </w:rPr>
        <w:t xml:space="preserve">Entrega de elementos deportivos </w:t>
      </w:r>
    </w:p>
    <w:p w14:paraId="7F627D7F" w14:textId="77777777" w:rsidR="00D4048B" w:rsidRDefault="00D4048B">
      <w:pPr>
        <w:spacing w:line="240" w:lineRule="auto"/>
        <w:contextualSpacing/>
        <w:jc w:val="both"/>
        <w:rPr>
          <w:i/>
          <w:iCs/>
        </w:rPr>
      </w:pPr>
    </w:p>
    <w:p w14:paraId="00756FC5" w14:textId="77777777" w:rsidR="00504069" w:rsidRDefault="00A113F6">
      <w:pPr>
        <w:spacing w:line="240" w:lineRule="auto"/>
        <w:contextualSpacing/>
        <w:jc w:val="both"/>
      </w:pPr>
      <w:r>
        <w:t xml:space="preserve">Por otra parte, </w:t>
      </w:r>
      <w:r w:rsidR="001F5B59">
        <w:t xml:space="preserve">el Departamento Nacional de Planeación identificó que con cargo a los recursos del SGP </w:t>
      </w:r>
      <w:r w:rsidR="006D09FB">
        <w:t xml:space="preserve">- </w:t>
      </w:r>
      <w:r w:rsidR="001F5B59">
        <w:t>PG para Deporte se han financiado</w:t>
      </w:r>
      <w:r w:rsidR="006E5371">
        <w:t xml:space="preserve"> de manera recurrente</w:t>
      </w:r>
      <w:r w:rsidR="001F5B59">
        <w:t xml:space="preserve"> elementos deportivos que no quedan a disposición de la </w:t>
      </w:r>
      <w:r w:rsidR="006D09FB">
        <w:t>A</w:t>
      </w:r>
      <w:r w:rsidR="001F5B59">
        <w:t xml:space="preserve">dministración </w:t>
      </w:r>
      <w:r w:rsidR="006D09FB">
        <w:t>M</w:t>
      </w:r>
      <w:r w:rsidR="001F5B59">
        <w:t>unicipal</w:t>
      </w:r>
      <w:r w:rsidR="006E5371">
        <w:t xml:space="preserve"> </w:t>
      </w:r>
      <w:r w:rsidR="00BE6B38">
        <w:t>bajo el rubro presupuestal “</w:t>
      </w:r>
      <w:r w:rsidR="008837CC" w:rsidRPr="00DF2058">
        <w:rPr>
          <w:i/>
          <w:iCs/>
        </w:rPr>
        <w:t>dotación de escenarios deportivos e implementos para la práctica del deporte</w:t>
      </w:r>
      <w:r w:rsidR="008837CC">
        <w:t xml:space="preserve">” </w:t>
      </w:r>
      <w:r w:rsidR="006E5371">
        <w:t xml:space="preserve">como se evidencia en el siguiente </w:t>
      </w:r>
      <w:r w:rsidR="006D09FB">
        <w:t>C</w:t>
      </w:r>
      <w:r w:rsidR="006E5371">
        <w:t>uadro:</w:t>
      </w:r>
    </w:p>
    <w:p w14:paraId="344D8B25" w14:textId="77777777" w:rsidR="006D09FB" w:rsidRDefault="006D09FB">
      <w:pPr>
        <w:spacing w:line="240" w:lineRule="auto"/>
        <w:contextualSpacing/>
        <w:jc w:val="both"/>
      </w:pPr>
    </w:p>
    <w:p w14:paraId="1DDFD539" w14:textId="77777777" w:rsidR="00043699" w:rsidRPr="005370C5" w:rsidRDefault="00043699">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Pr>
          <w:rFonts w:eastAsia="Arial" w:cs="Arial"/>
          <w:b/>
          <w:bCs/>
          <w:sz w:val="20"/>
          <w:szCs w:val="20"/>
        </w:rPr>
        <w:t>1</w:t>
      </w:r>
      <w:r w:rsidR="0082253F">
        <w:rPr>
          <w:rFonts w:eastAsia="Arial" w:cs="Arial"/>
          <w:b/>
          <w:bCs/>
          <w:sz w:val="20"/>
          <w:szCs w:val="20"/>
        </w:rPr>
        <w:t>7</w:t>
      </w:r>
    </w:p>
    <w:p w14:paraId="2F03B553" w14:textId="77777777" w:rsidR="00043699" w:rsidRDefault="00043699">
      <w:pPr>
        <w:spacing w:after="0" w:line="240" w:lineRule="auto"/>
        <w:contextualSpacing/>
        <w:jc w:val="center"/>
        <w:rPr>
          <w:rFonts w:eastAsia="Arial" w:cs="Arial"/>
          <w:sz w:val="20"/>
          <w:szCs w:val="20"/>
        </w:rPr>
      </w:pPr>
      <w:r>
        <w:rPr>
          <w:rFonts w:eastAsia="Arial" w:cs="Arial"/>
          <w:sz w:val="20"/>
          <w:szCs w:val="20"/>
        </w:rPr>
        <w:t>Contratos de suministro de elementos deportivos</w:t>
      </w:r>
    </w:p>
    <w:p w14:paraId="3C500988" w14:textId="77777777" w:rsidR="00043699" w:rsidRPr="00C16E4B" w:rsidRDefault="00043699">
      <w:pPr>
        <w:spacing w:after="0" w:line="240" w:lineRule="auto"/>
        <w:contextualSpacing/>
        <w:jc w:val="center"/>
        <w:rPr>
          <w:rFonts w:eastAsia="Arial" w:cs="Arial"/>
          <w:sz w:val="20"/>
          <w:szCs w:val="20"/>
        </w:rPr>
      </w:pPr>
      <w:r>
        <w:rPr>
          <w:rFonts w:eastAsia="Arial" w:cs="Arial"/>
          <w:sz w:val="20"/>
          <w:szCs w:val="20"/>
        </w:rPr>
        <w:t>Municipio de Puerto Leguízamo – Putumayo</w:t>
      </w:r>
      <w:r w:rsidR="006D09FB">
        <w:rPr>
          <w:rFonts w:eastAsia="Arial" w:cs="Arial"/>
          <w:sz w:val="20"/>
          <w:szCs w:val="20"/>
        </w:rPr>
        <w:t>.</w:t>
      </w:r>
    </w:p>
    <w:tbl>
      <w:tblPr>
        <w:tblW w:w="5532" w:type="pct"/>
        <w:jc w:val="center"/>
        <w:tblCellMar>
          <w:left w:w="70" w:type="dxa"/>
          <w:right w:w="70" w:type="dxa"/>
        </w:tblCellMar>
        <w:tblLook w:val="04A0" w:firstRow="1" w:lastRow="0" w:firstColumn="1" w:lastColumn="0" w:noHBand="0" w:noVBand="1"/>
      </w:tblPr>
      <w:tblGrid>
        <w:gridCol w:w="1521"/>
        <w:gridCol w:w="4402"/>
        <w:gridCol w:w="3274"/>
        <w:gridCol w:w="201"/>
      </w:tblGrid>
      <w:tr w:rsidR="00043699" w:rsidRPr="0090413F" w14:paraId="76BC4750" w14:textId="77777777" w:rsidTr="00E54026">
        <w:trPr>
          <w:gridAfter w:val="1"/>
          <w:wAfter w:w="86" w:type="pct"/>
          <w:trHeight w:val="246"/>
          <w:jc w:val="center"/>
        </w:trPr>
        <w:tc>
          <w:tcPr>
            <w:tcW w:w="816"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658A7677" w14:textId="77777777" w:rsidR="00863B77" w:rsidRPr="00FB27C3" w:rsidRDefault="00863B77">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349" w:type="pct"/>
            <w:tcBorders>
              <w:top w:val="single" w:sz="4" w:space="0" w:color="auto"/>
              <w:left w:val="nil"/>
              <w:bottom w:val="single" w:sz="4" w:space="0" w:color="auto"/>
              <w:right w:val="single" w:sz="4" w:space="0" w:color="auto"/>
            </w:tcBorders>
            <w:shd w:val="clear" w:color="000000" w:fill="CCCCFF"/>
            <w:vAlign w:val="center"/>
            <w:hideMark/>
          </w:tcPr>
          <w:p w14:paraId="0BEFA37A" w14:textId="77777777" w:rsidR="00863B77" w:rsidRPr="00FB27C3" w:rsidRDefault="00863B77">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PS-MC-001-2018</w:t>
            </w:r>
          </w:p>
        </w:tc>
        <w:tc>
          <w:tcPr>
            <w:tcW w:w="1749" w:type="pct"/>
            <w:tcBorders>
              <w:top w:val="single" w:sz="4" w:space="0" w:color="auto"/>
              <w:left w:val="nil"/>
              <w:bottom w:val="single" w:sz="4" w:space="0" w:color="auto"/>
              <w:right w:val="single" w:sz="4" w:space="0" w:color="auto"/>
            </w:tcBorders>
            <w:shd w:val="clear" w:color="000000" w:fill="666699"/>
            <w:vAlign w:val="center"/>
            <w:hideMark/>
          </w:tcPr>
          <w:p w14:paraId="035F368C" w14:textId="77777777" w:rsidR="00863B77" w:rsidRPr="00FB27C3" w:rsidRDefault="00863B77">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863B77" w:rsidRPr="0090413F" w14:paraId="5ABA9617" w14:textId="77777777" w:rsidTr="00E54026">
        <w:trPr>
          <w:gridAfter w:val="1"/>
          <w:wAfter w:w="86" w:type="pct"/>
          <w:trHeight w:val="433"/>
          <w:jc w:val="center"/>
        </w:trPr>
        <w:tc>
          <w:tcPr>
            <w:tcW w:w="816" w:type="pct"/>
            <w:vMerge w:val="restart"/>
            <w:tcBorders>
              <w:top w:val="nil"/>
              <w:left w:val="single" w:sz="4" w:space="0" w:color="auto"/>
              <w:bottom w:val="single" w:sz="4" w:space="0" w:color="auto"/>
              <w:right w:val="single" w:sz="4" w:space="0" w:color="auto"/>
            </w:tcBorders>
            <w:shd w:val="clear" w:color="000000" w:fill="666699"/>
            <w:vAlign w:val="center"/>
            <w:hideMark/>
          </w:tcPr>
          <w:p w14:paraId="3008B995"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349" w:type="pct"/>
            <w:vMerge w:val="restart"/>
            <w:tcBorders>
              <w:top w:val="nil"/>
              <w:left w:val="single" w:sz="4" w:space="0" w:color="auto"/>
              <w:bottom w:val="single" w:sz="4" w:space="0" w:color="auto"/>
              <w:right w:val="single" w:sz="4" w:space="0" w:color="auto"/>
            </w:tcBorders>
            <w:shd w:val="clear" w:color="auto" w:fill="auto"/>
            <w:vAlign w:val="bottom"/>
            <w:hideMark/>
          </w:tcPr>
          <w:p w14:paraId="59C443CC"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Apoyo logístico en el desarrollo de actividades deportivas, tradicionales recreativas en el </w:t>
            </w:r>
            <w:r w:rsidR="006D09FB">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de Puerto Leguízamo </w:t>
            </w:r>
            <w:r w:rsidR="006D09FB">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w:t>
            </w:r>
            <w:r w:rsidR="008A78FB">
              <w:rPr>
                <w:rFonts w:eastAsia="Times New Roman" w:cs="Arial"/>
                <w:color w:val="000000"/>
                <w:sz w:val="18"/>
                <w:szCs w:val="18"/>
                <w:lang w:val="es-CO" w:eastAsia="es-CO"/>
              </w:rPr>
              <w:t>.</w:t>
            </w:r>
          </w:p>
        </w:tc>
        <w:tc>
          <w:tcPr>
            <w:tcW w:w="1749" w:type="pct"/>
            <w:vMerge w:val="restart"/>
            <w:tcBorders>
              <w:top w:val="nil"/>
              <w:left w:val="single" w:sz="4" w:space="0" w:color="auto"/>
              <w:bottom w:val="single" w:sz="4" w:space="0" w:color="auto"/>
              <w:right w:val="single" w:sz="4" w:space="0" w:color="auto"/>
            </w:tcBorders>
            <w:shd w:val="clear" w:color="auto" w:fill="auto"/>
            <w:vAlign w:val="center"/>
            <w:hideMark/>
          </w:tcPr>
          <w:p w14:paraId="5969CB90" w14:textId="77777777" w:rsidR="006D09FB" w:rsidRDefault="00863B7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Entrega de 108 petos, 144 uniformes deportivos, 126 busos deportivos, 30 uniformes de entrenamiento</w:t>
            </w:r>
            <w:r w:rsidR="006D09FB">
              <w:rPr>
                <w:rFonts w:eastAsia="Times New Roman" w:cs="Arial"/>
                <w:color w:val="000000"/>
                <w:sz w:val="18"/>
                <w:szCs w:val="18"/>
                <w:lang w:val="es-CO" w:eastAsia="es-CO"/>
              </w:rPr>
              <w:t>.</w:t>
            </w:r>
          </w:p>
          <w:p w14:paraId="4AB34714" w14:textId="77777777" w:rsidR="00863B77" w:rsidRPr="00FB27C3" w:rsidRDefault="00863B7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Suministro de cemento para demarcación de cancha deportiva, 6 balones de fútbol, 6 trofeos, elementos de sonido y 30 pacas de agua</w:t>
            </w:r>
            <w:r w:rsidR="00CE0E90" w:rsidRPr="00FB27C3">
              <w:rPr>
                <w:rFonts w:eastAsia="Times New Roman" w:cs="Arial"/>
                <w:color w:val="000000"/>
                <w:sz w:val="18"/>
                <w:szCs w:val="18"/>
                <w:lang w:val="es-CO" w:eastAsia="es-CO"/>
              </w:rPr>
              <w:t>.</w:t>
            </w:r>
          </w:p>
        </w:tc>
      </w:tr>
      <w:tr w:rsidR="00043699" w:rsidRPr="0090413F" w14:paraId="6F50D67E" w14:textId="77777777" w:rsidTr="00E54026">
        <w:trPr>
          <w:trHeight w:val="246"/>
          <w:jc w:val="center"/>
        </w:trPr>
        <w:tc>
          <w:tcPr>
            <w:tcW w:w="816" w:type="pct"/>
            <w:vMerge/>
            <w:tcBorders>
              <w:top w:val="nil"/>
              <w:left w:val="single" w:sz="4" w:space="0" w:color="auto"/>
              <w:bottom w:val="single" w:sz="4" w:space="0" w:color="auto"/>
              <w:right w:val="single" w:sz="4" w:space="0" w:color="auto"/>
            </w:tcBorders>
            <w:vAlign w:val="center"/>
            <w:hideMark/>
          </w:tcPr>
          <w:p w14:paraId="431CE9AA" w14:textId="77777777" w:rsidR="00863B77" w:rsidRPr="00FB27C3" w:rsidRDefault="00863B77">
            <w:pPr>
              <w:spacing w:after="0" w:line="240" w:lineRule="auto"/>
              <w:contextualSpacing/>
              <w:rPr>
                <w:rFonts w:eastAsia="Times New Roman" w:cs="Arial"/>
                <w:b/>
                <w:bCs/>
                <w:color w:val="FFFFFF"/>
                <w:sz w:val="18"/>
                <w:szCs w:val="18"/>
                <w:lang w:val="es-CO" w:eastAsia="es-CO"/>
              </w:rPr>
            </w:pPr>
          </w:p>
        </w:tc>
        <w:tc>
          <w:tcPr>
            <w:tcW w:w="2349" w:type="pct"/>
            <w:vMerge/>
            <w:tcBorders>
              <w:top w:val="nil"/>
              <w:left w:val="single" w:sz="4" w:space="0" w:color="auto"/>
              <w:bottom w:val="single" w:sz="4" w:space="0" w:color="auto"/>
              <w:right w:val="single" w:sz="4" w:space="0" w:color="auto"/>
            </w:tcBorders>
            <w:vAlign w:val="center"/>
            <w:hideMark/>
          </w:tcPr>
          <w:p w14:paraId="473CFB85"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1749" w:type="pct"/>
            <w:vMerge/>
            <w:tcBorders>
              <w:top w:val="nil"/>
              <w:left w:val="single" w:sz="4" w:space="0" w:color="auto"/>
              <w:bottom w:val="single" w:sz="4" w:space="0" w:color="auto"/>
              <w:right w:val="single" w:sz="4" w:space="0" w:color="auto"/>
            </w:tcBorders>
            <w:vAlign w:val="center"/>
            <w:hideMark/>
          </w:tcPr>
          <w:p w14:paraId="0989F237"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tcBorders>
              <w:top w:val="nil"/>
              <w:left w:val="nil"/>
              <w:bottom w:val="nil"/>
              <w:right w:val="nil"/>
            </w:tcBorders>
            <w:shd w:val="clear" w:color="auto" w:fill="auto"/>
            <w:noWrap/>
            <w:vAlign w:val="bottom"/>
            <w:hideMark/>
          </w:tcPr>
          <w:p w14:paraId="0C1DD3BE" w14:textId="77777777" w:rsidR="00863B77" w:rsidRPr="00FB27C3" w:rsidRDefault="00863B77">
            <w:pPr>
              <w:spacing w:after="0" w:line="240" w:lineRule="auto"/>
              <w:contextualSpacing/>
              <w:rPr>
                <w:rFonts w:eastAsia="Times New Roman" w:cs="Arial"/>
                <w:color w:val="000000"/>
                <w:sz w:val="18"/>
                <w:szCs w:val="18"/>
                <w:lang w:val="es-CO" w:eastAsia="es-CO"/>
              </w:rPr>
            </w:pPr>
          </w:p>
        </w:tc>
      </w:tr>
      <w:tr w:rsidR="00043699" w:rsidRPr="0090413F" w14:paraId="5E1A96FC"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0B41A201"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349" w:type="pct"/>
            <w:tcBorders>
              <w:top w:val="nil"/>
              <w:left w:val="nil"/>
              <w:bottom w:val="single" w:sz="4" w:space="0" w:color="auto"/>
              <w:right w:val="single" w:sz="4" w:space="0" w:color="auto"/>
            </w:tcBorders>
            <w:shd w:val="clear" w:color="auto" w:fill="auto"/>
            <w:noWrap/>
            <w:vAlign w:val="bottom"/>
            <w:hideMark/>
          </w:tcPr>
          <w:p w14:paraId="6FF0A826" w14:textId="77777777" w:rsidR="00863B77" w:rsidRPr="00FB27C3" w:rsidRDefault="006D09FB">
            <w:pPr>
              <w:spacing w:after="0" w:line="240" w:lineRule="auto"/>
              <w:contextualSpacing/>
              <w:jc w:val="center"/>
              <w:rPr>
                <w:rFonts w:eastAsia="Times New Roman" w:cs="Arial"/>
                <w:color w:val="000000"/>
                <w:sz w:val="18"/>
                <w:szCs w:val="18"/>
                <w:lang w:val="es-CO" w:eastAsia="es-CO"/>
              </w:rPr>
            </w:pPr>
            <w:r w:rsidRPr="0090413F">
              <w:rPr>
                <w:rFonts w:eastAsia="Times New Roman" w:cs="Arial"/>
                <w:color w:val="000000"/>
                <w:sz w:val="18"/>
                <w:szCs w:val="18"/>
                <w:lang w:val="es-CO" w:eastAsia="es-CO"/>
              </w:rPr>
              <w:t xml:space="preserve">Fundación Aroma </w:t>
            </w:r>
            <w:r>
              <w:rPr>
                <w:rFonts w:eastAsia="Times New Roman" w:cs="Arial"/>
                <w:color w:val="000000"/>
                <w:sz w:val="18"/>
                <w:szCs w:val="18"/>
                <w:lang w:val="es-CO" w:eastAsia="es-CO"/>
              </w:rPr>
              <w:t>d</w:t>
            </w:r>
            <w:r w:rsidRPr="0090413F">
              <w:rPr>
                <w:rFonts w:eastAsia="Times New Roman" w:cs="Arial"/>
                <w:color w:val="000000"/>
                <w:sz w:val="18"/>
                <w:szCs w:val="18"/>
                <w:lang w:val="es-CO" w:eastAsia="es-CO"/>
              </w:rPr>
              <w:t>e Mujer</w:t>
            </w:r>
          </w:p>
        </w:tc>
        <w:tc>
          <w:tcPr>
            <w:tcW w:w="1749" w:type="pct"/>
            <w:vMerge/>
            <w:tcBorders>
              <w:top w:val="nil"/>
              <w:left w:val="single" w:sz="4" w:space="0" w:color="auto"/>
              <w:bottom w:val="single" w:sz="4" w:space="0" w:color="auto"/>
              <w:right w:val="single" w:sz="4" w:space="0" w:color="auto"/>
            </w:tcBorders>
            <w:vAlign w:val="center"/>
            <w:hideMark/>
          </w:tcPr>
          <w:p w14:paraId="7E6FA4F3"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1C17F4E4"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60DC0177"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3D1F1850"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349" w:type="pct"/>
            <w:tcBorders>
              <w:top w:val="nil"/>
              <w:left w:val="nil"/>
              <w:bottom w:val="single" w:sz="4" w:space="0" w:color="auto"/>
              <w:right w:val="single" w:sz="4" w:space="0" w:color="auto"/>
            </w:tcBorders>
            <w:shd w:val="clear" w:color="auto" w:fill="auto"/>
            <w:vAlign w:val="center"/>
            <w:hideMark/>
          </w:tcPr>
          <w:p w14:paraId="6CF49BF0"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$21.500.000</w:t>
            </w:r>
          </w:p>
        </w:tc>
        <w:tc>
          <w:tcPr>
            <w:tcW w:w="1749" w:type="pct"/>
            <w:vMerge/>
            <w:tcBorders>
              <w:top w:val="nil"/>
              <w:left w:val="single" w:sz="4" w:space="0" w:color="auto"/>
              <w:bottom w:val="single" w:sz="4" w:space="0" w:color="auto"/>
              <w:right w:val="single" w:sz="4" w:space="0" w:color="auto"/>
            </w:tcBorders>
            <w:vAlign w:val="center"/>
            <w:hideMark/>
          </w:tcPr>
          <w:p w14:paraId="7F0F2F15"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048E4439"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398B6953"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73312C5C"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349" w:type="pct"/>
            <w:tcBorders>
              <w:top w:val="nil"/>
              <w:left w:val="nil"/>
              <w:bottom w:val="single" w:sz="4" w:space="0" w:color="auto"/>
              <w:right w:val="single" w:sz="4" w:space="0" w:color="auto"/>
            </w:tcBorders>
            <w:shd w:val="clear" w:color="auto" w:fill="auto"/>
            <w:noWrap/>
            <w:vAlign w:val="bottom"/>
            <w:hideMark/>
          </w:tcPr>
          <w:p w14:paraId="407FC879"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mes </w:t>
            </w:r>
          </w:p>
        </w:tc>
        <w:tc>
          <w:tcPr>
            <w:tcW w:w="1749" w:type="pct"/>
            <w:vMerge/>
            <w:tcBorders>
              <w:top w:val="nil"/>
              <w:left w:val="single" w:sz="4" w:space="0" w:color="auto"/>
              <w:bottom w:val="single" w:sz="4" w:space="0" w:color="auto"/>
              <w:right w:val="single" w:sz="4" w:space="0" w:color="auto"/>
            </w:tcBorders>
            <w:vAlign w:val="center"/>
            <w:hideMark/>
          </w:tcPr>
          <w:p w14:paraId="013A97F6"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3FE46F37"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40BF8EBF"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34545A03"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349" w:type="pct"/>
            <w:tcBorders>
              <w:top w:val="nil"/>
              <w:left w:val="nil"/>
              <w:bottom w:val="single" w:sz="4" w:space="0" w:color="auto"/>
              <w:right w:val="single" w:sz="4" w:space="0" w:color="auto"/>
            </w:tcBorders>
            <w:shd w:val="clear" w:color="000000" w:fill="CCCCFF"/>
            <w:vAlign w:val="center"/>
            <w:hideMark/>
          </w:tcPr>
          <w:p w14:paraId="230DFC29" w14:textId="77777777" w:rsidR="00863B77" w:rsidRPr="00FB27C3" w:rsidRDefault="00863B77">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PS-MC-047-2018</w:t>
            </w:r>
          </w:p>
        </w:tc>
        <w:tc>
          <w:tcPr>
            <w:tcW w:w="1749" w:type="pct"/>
            <w:tcBorders>
              <w:top w:val="nil"/>
              <w:left w:val="nil"/>
              <w:bottom w:val="single" w:sz="4" w:space="0" w:color="auto"/>
              <w:right w:val="single" w:sz="4" w:space="0" w:color="auto"/>
            </w:tcBorders>
            <w:shd w:val="clear" w:color="000000" w:fill="666699"/>
            <w:vAlign w:val="center"/>
            <w:hideMark/>
          </w:tcPr>
          <w:p w14:paraId="6A8F66EA" w14:textId="77777777" w:rsidR="00863B77" w:rsidRPr="00FB27C3" w:rsidRDefault="00863B77">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86" w:type="pct"/>
            <w:vAlign w:val="center"/>
            <w:hideMark/>
          </w:tcPr>
          <w:p w14:paraId="1A6C1DCA"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3641B196" w14:textId="77777777" w:rsidTr="00E54026">
        <w:trPr>
          <w:trHeight w:val="246"/>
          <w:jc w:val="center"/>
        </w:trPr>
        <w:tc>
          <w:tcPr>
            <w:tcW w:w="816" w:type="pct"/>
            <w:vMerge w:val="restart"/>
            <w:tcBorders>
              <w:top w:val="nil"/>
              <w:left w:val="single" w:sz="4" w:space="0" w:color="auto"/>
              <w:bottom w:val="single" w:sz="4" w:space="0" w:color="auto"/>
              <w:right w:val="single" w:sz="4" w:space="0" w:color="auto"/>
            </w:tcBorders>
            <w:shd w:val="clear" w:color="000000" w:fill="666699"/>
            <w:vAlign w:val="center"/>
            <w:hideMark/>
          </w:tcPr>
          <w:p w14:paraId="0FD4105A"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349" w:type="pct"/>
            <w:vMerge w:val="restart"/>
            <w:tcBorders>
              <w:top w:val="nil"/>
              <w:left w:val="single" w:sz="4" w:space="0" w:color="auto"/>
              <w:bottom w:val="single" w:sz="4" w:space="0" w:color="auto"/>
              <w:right w:val="single" w:sz="4" w:space="0" w:color="auto"/>
            </w:tcBorders>
            <w:shd w:val="clear" w:color="auto" w:fill="auto"/>
            <w:vAlign w:val="bottom"/>
            <w:hideMark/>
          </w:tcPr>
          <w:p w14:paraId="558413CD"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Com</w:t>
            </w:r>
            <w:r w:rsidR="00C23265" w:rsidRPr="00FB27C3">
              <w:rPr>
                <w:rFonts w:eastAsia="Times New Roman" w:cs="Arial"/>
                <w:color w:val="000000"/>
                <w:sz w:val="18"/>
                <w:szCs w:val="18"/>
                <w:lang w:val="es-CO" w:eastAsia="es-CO"/>
              </w:rPr>
              <w:t>p</w:t>
            </w:r>
            <w:r w:rsidRPr="00FB27C3">
              <w:rPr>
                <w:rFonts w:eastAsia="Times New Roman" w:cs="Arial"/>
                <w:color w:val="000000"/>
                <w:sz w:val="18"/>
                <w:szCs w:val="18"/>
                <w:lang w:val="es-CO" w:eastAsia="es-CO"/>
              </w:rPr>
              <w:t xml:space="preserve">raventa de elementos deportivos para el fortalecimiento de las actividades deportivas del </w:t>
            </w:r>
            <w:r w:rsidR="006D09FB">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de Leguízamo, </w:t>
            </w:r>
            <w:r w:rsidR="006D09FB">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 Amazonas</w:t>
            </w:r>
          </w:p>
        </w:tc>
        <w:tc>
          <w:tcPr>
            <w:tcW w:w="1749" w:type="pct"/>
            <w:vMerge w:val="restart"/>
            <w:tcBorders>
              <w:top w:val="nil"/>
              <w:left w:val="single" w:sz="4" w:space="0" w:color="auto"/>
              <w:bottom w:val="single" w:sz="4" w:space="0" w:color="auto"/>
              <w:right w:val="single" w:sz="4" w:space="0" w:color="auto"/>
            </w:tcBorders>
            <w:shd w:val="clear" w:color="auto" w:fill="auto"/>
            <w:vAlign w:val="center"/>
            <w:hideMark/>
          </w:tcPr>
          <w:p w14:paraId="46F887C6" w14:textId="77777777" w:rsidR="00863B77" w:rsidRPr="00FB27C3" w:rsidRDefault="00863B7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Entrega de 180 uniformes deportivos, 18 trofeos, 51 balones de fútbol, 2 pares de redes deportivas, 3 uniformes de entrenamiento y 1 malla de voleibol</w:t>
            </w:r>
            <w:r w:rsidR="00CE0E90" w:rsidRPr="00FB27C3">
              <w:rPr>
                <w:rFonts w:eastAsia="Times New Roman" w:cs="Arial"/>
                <w:color w:val="000000"/>
                <w:sz w:val="18"/>
                <w:szCs w:val="18"/>
                <w:lang w:val="es-CO" w:eastAsia="es-CO"/>
              </w:rPr>
              <w:t>.</w:t>
            </w:r>
          </w:p>
        </w:tc>
        <w:tc>
          <w:tcPr>
            <w:tcW w:w="86" w:type="pct"/>
            <w:vAlign w:val="center"/>
            <w:hideMark/>
          </w:tcPr>
          <w:p w14:paraId="477D8AC6"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68932F20" w14:textId="77777777" w:rsidTr="00E54026">
        <w:trPr>
          <w:trHeight w:val="246"/>
          <w:jc w:val="center"/>
        </w:trPr>
        <w:tc>
          <w:tcPr>
            <w:tcW w:w="816" w:type="pct"/>
            <w:vMerge/>
            <w:tcBorders>
              <w:top w:val="nil"/>
              <w:left w:val="single" w:sz="4" w:space="0" w:color="auto"/>
              <w:bottom w:val="single" w:sz="4" w:space="0" w:color="auto"/>
              <w:right w:val="single" w:sz="4" w:space="0" w:color="auto"/>
            </w:tcBorders>
            <w:vAlign w:val="center"/>
            <w:hideMark/>
          </w:tcPr>
          <w:p w14:paraId="1146914D" w14:textId="77777777" w:rsidR="00863B77" w:rsidRPr="00FB27C3" w:rsidRDefault="00863B77">
            <w:pPr>
              <w:spacing w:after="0" w:line="240" w:lineRule="auto"/>
              <w:contextualSpacing/>
              <w:rPr>
                <w:rFonts w:eastAsia="Times New Roman" w:cs="Arial"/>
                <w:b/>
                <w:bCs/>
                <w:color w:val="FFFFFF"/>
                <w:sz w:val="18"/>
                <w:szCs w:val="18"/>
                <w:lang w:val="es-CO" w:eastAsia="es-CO"/>
              </w:rPr>
            </w:pPr>
          </w:p>
        </w:tc>
        <w:tc>
          <w:tcPr>
            <w:tcW w:w="2349" w:type="pct"/>
            <w:vMerge/>
            <w:tcBorders>
              <w:top w:val="nil"/>
              <w:left w:val="single" w:sz="4" w:space="0" w:color="auto"/>
              <w:bottom w:val="single" w:sz="4" w:space="0" w:color="auto"/>
              <w:right w:val="single" w:sz="4" w:space="0" w:color="auto"/>
            </w:tcBorders>
            <w:vAlign w:val="center"/>
            <w:hideMark/>
          </w:tcPr>
          <w:p w14:paraId="5B40E73A"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1749" w:type="pct"/>
            <w:vMerge/>
            <w:tcBorders>
              <w:top w:val="nil"/>
              <w:left w:val="single" w:sz="4" w:space="0" w:color="auto"/>
              <w:bottom w:val="single" w:sz="4" w:space="0" w:color="auto"/>
              <w:right w:val="single" w:sz="4" w:space="0" w:color="auto"/>
            </w:tcBorders>
            <w:vAlign w:val="center"/>
            <w:hideMark/>
          </w:tcPr>
          <w:p w14:paraId="63F37502"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tcBorders>
              <w:top w:val="nil"/>
              <w:left w:val="nil"/>
              <w:bottom w:val="nil"/>
              <w:right w:val="nil"/>
            </w:tcBorders>
            <w:shd w:val="clear" w:color="auto" w:fill="auto"/>
            <w:noWrap/>
            <w:vAlign w:val="bottom"/>
            <w:hideMark/>
          </w:tcPr>
          <w:p w14:paraId="0DDCBEDF" w14:textId="77777777" w:rsidR="00863B77" w:rsidRPr="00FB27C3" w:rsidRDefault="00863B77">
            <w:pPr>
              <w:spacing w:after="0" w:line="240" w:lineRule="auto"/>
              <w:contextualSpacing/>
              <w:rPr>
                <w:rFonts w:eastAsia="Times New Roman" w:cs="Arial"/>
                <w:color w:val="000000"/>
                <w:sz w:val="18"/>
                <w:szCs w:val="18"/>
                <w:lang w:val="es-CO" w:eastAsia="es-CO"/>
              </w:rPr>
            </w:pPr>
          </w:p>
        </w:tc>
      </w:tr>
      <w:tr w:rsidR="00043699" w:rsidRPr="0090413F" w14:paraId="5D560F55"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7183CEB7"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349" w:type="pct"/>
            <w:tcBorders>
              <w:top w:val="nil"/>
              <w:left w:val="nil"/>
              <w:bottom w:val="single" w:sz="4" w:space="0" w:color="auto"/>
              <w:right w:val="single" w:sz="4" w:space="0" w:color="auto"/>
            </w:tcBorders>
            <w:shd w:val="clear" w:color="auto" w:fill="auto"/>
            <w:noWrap/>
            <w:vAlign w:val="bottom"/>
            <w:hideMark/>
          </w:tcPr>
          <w:p w14:paraId="689E387E" w14:textId="77777777" w:rsidR="00863B77" w:rsidRPr="00FB27C3" w:rsidRDefault="006D09FB">
            <w:pPr>
              <w:spacing w:after="0" w:line="240" w:lineRule="auto"/>
              <w:contextualSpacing/>
              <w:jc w:val="center"/>
              <w:rPr>
                <w:rFonts w:eastAsia="Times New Roman" w:cs="Arial"/>
                <w:color w:val="000000"/>
                <w:sz w:val="18"/>
                <w:szCs w:val="18"/>
                <w:lang w:val="es-CO" w:eastAsia="es-CO"/>
              </w:rPr>
            </w:pPr>
            <w:r w:rsidRPr="0090413F">
              <w:rPr>
                <w:rFonts w:eastAsia="Times New Roman" w:cs="Arial"/>
                <w:color w:val="000000"/>
                <w:sz w:val="18"/>
                <w:szCs w:val="18"/>
                <w:lang w:val="es-CO" w:eastAsia="es-CO"/>
              </w:rPr>
              <w:t>Jaiber Perdomo Salgado</w:t>
            </w:r>
          </w:p>
        </w:tc>
        <w:tc>
          <w:tcPr>
            <w:tcW w:w="1749" w:type="pct"/>
            <w:vMerge/>
            <w:tcBorders>
              <w:top w:val="nil"/>
              <w:left w:val="single" w:sz="4" w:space="0" w:color="auto"/>
              <w:bottom w:val="single" w:sz="4" w:space="0" w:color="auto"/>
              <w:right w:val="single" w:sz="4" w:space="0" w:color="auto"/>
            </w:tcBorders>
            <w:vAlign w:val="center"/>
            <w:hideMark/>
          </w:tcPr>
          <w:p w14:paraId="18EA16E9"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677DBA04"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7B62F4F9"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49970E97"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349" w:type="pct"/>
            <w:tcBorders>
              <w:top w:val="nil"/>
              <w:left w:val="nil"/>
              <w:bottom w:val="single" w:sz="4" w:space="0" w:color="auto"/>
              <w:right w:val="single" w:sz="4" w:space="0" w:color="auto"/>
            </w:tcBorders>
            <w:shd w:val="clear" w:color="auto" w:fill="auto"/>
            <w:vAlign w:val="center"/>
            <w:hideMark/>
          </w:tcPr>
          <w:p w14:paraId="4317811C"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$14.935.000</w:t>
            </w:r>
          </w:p>
        </w:tc>
        <w:tc>
          <w:tcPr>
            <w:tcW w:w="1749" w:type="pct"/>
            <w:vMerge/>
            <w:tcBorders>
              <w:top w:val="nil"/>
              <w:left w:val="single" w:sz="4" w:space="0" w:color="auto"/>
              <w:bottom w:val="single" w:sz="4" w:space="0" w:color="auto"/>
              <w:right w:val="single" w:sz="4" w:space="0" w:color="auto"/>
            </w:tcBorders>
            <w:vAlign w:val="center"/>
            <w:hideMark/>
          </w:tcPr>
          <w:p w14:paraId="77C0E93C"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3EC08960"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5AC64111"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1E5CF124"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349" w:type="pct"/>
            <w:tcBorders>
              <w:top w:val="nil"/>
              <w:left w:val="nil"/>
              <w:bottom w:val="single" w:sz="4" w:space="0" w:color="auto"/>
              <w:right w:val="single" w:sz="4" w:space="0" w:color="auto"/>
            </w:tcBorders>
            <w:shd w:val="clear" w:color="auto" w:fill="auto"/>
            <w:noWrap/>
            <w:vAlign w:val="bottom"/>
            <w:hideMark/>
          </w:tcPr>
          <w:p w14:paraId="6E9BAF24"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15 días </w:t>
            </w:r>
          </w:p>
        </w:tc>
        <w:tc>
          <w:tcPr>
            <w:tcW w:w="1749" w:type="pct"/>
            <w:vMerge/>
            <w:tcBorders>
              <w:top w:val="nil"/>
              <w:left w:val="single" w:sz="4" w:space="0" w:color="auto"/>
              <w:bottom w:val="single" w:sz="4" w:space="0" w:color="auto"/>
              <w:right w:val="single" w:sz="4" w:space="0" w:color="auto"/>
            </w:tcBorders>
            <w:vAlign w:val="center"/>
            <w:hideMark/>
          </w:tcPr>
          <w:p w14:paraId="659AF9B4"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056A5186"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3A0A9175"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02BB1CA5"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349" w:type="pct"/>
            <w:tcBorders>
              <w:top w:val="nil"/>
              <w:left w:val="nil"/>
              <w:bottom w:val="single" w:sz="4" w:space="0" w:color="auto"/>
              <w:right w:val="single" w:sz="4" w:space="0" w:color="auto"/>
            </w:tcBorders>
            <w:shd w:val="clear" w:color="000000" w:fill="CCCCFF"/>
            <w:vAlign w:val="center"/>
            <w:hideMark/>
          </w:tcPr>
          <w:p w14:paraId="5F4695E5" w14:textId="77777777" w:rsidR="00863B77" w:rsidRPr="00FB27C3" w:rsidRDefault="00863B77">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PS-MC-SEM-026-2020</w:t>
            </w:r>
          </w:p>
        </w:tc>
        <w:tc>
          <w:tcPr>
            <w:tcW w:w="1749" w:type="pct"/>
            <w:tcBorders>
              <w:top w:val="nil"/>
              <w:left w:val="nil"/>
              <w:bottom w:val="single" w:sz="4" w:space="0" w:color="auto"/>
              <w:right w:val="single" w:sz="4" w:space="0" w:color="auto"/>
            </w:tcBorders>
            <w:shd w:val="clear" w:color="000000" w:fill="666699"/>
            <w:vAlign w:val="center"/>
            <w:hideMark/>
          </w:tcPr>
          <w:p w14:paraId="31F155A0" w14:textId="77777777" w:rsidR="00863B77" w:rsidRPr="00FB27C3" w:rsidRDefault="00863B77">
            <w:pPr>
              <w:spacing w:after="0" w:line="240" w:lineRule="auto"/>
              <w:contextualSpacing/>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86" w:type="pct"/>
            <w:vAlign w:val="center"/>
            <w:hideMark/>
          </w:tcPr>
          <w:p w14:paraId="126EA708"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56EAC7A3" w14:textId="77777777" w:rsidTr="00E54026">
        <w:trPr>
          <w:trHeight w:val="246"/>
          <w:jc w:val="center"/>
        </w:trPr>
        <w:tc>
          <w:tcPr>
            <w:tcW w:w="816" w:type="pct"/>
            <w:vMerge w:val="restart"/>
            <w:tcBorders>
              <w:top w:val="nil"/>
              <w:left w:val="single" w:sz="4" w:space="0" w:color="auto"/>
              <w:bottom w:val="single" w:sz="4" w:space="0" w:color="auto"/>
              <w:right w:val="single" w:sz="4" w:space="0" w:color="auto"/>
            </w:tcBorders>
            <w:shd w:val="clear" w:color="000000" w:fill="666699"/>
            <w:vAlign w:val="center"/>
            <w:hideMark/>
          </w:tcPr>
          <w:p w14:paraId="427B0E25"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349" w:type="pct"/>
            <w:vMerge w:val="restart"/>
            <w:tcBorders>
              <w:top w:val="nil"/>
              <w:left w:val="single" w:sz="4" w:space="0" w:color="auto"/>
              <w:bottom w:val="single" w:sz="4" w:space="0" w:color="auto"/>
              <w:right w:val="single" w:sz="4" w:space="0" w:color="auto"/>
            </w:tcBorders>
            <w:shd w:val="clear" w:color="auto" w:fill="auto"/>
            <w:vAlign w:val="bottom"/>
            <w:hideMark/>
          </w:tcPr>
          <w:p w14:paraId="05DA76B7"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Dotación de implementos deportivos para la práctica de actividades </w:t>
            </w:r>
            <w:r w:rsidR="00156381" w:rsidRPr="00FB27C3">
              <w:rPr>
                <w:rFonts w:eastAsia="Times New Roman" w:cs="Arial"/>
                <w:color w:val="000000"/>
                <w:sz w:val="18"/>
                <w:szCs w:val="18"/>
                <w:lang w:val="es-CO" w:eastAsia="es-CO"/>
              </w:rPr>
              <w:t>lúdico-recreativas</w:t>
            </w:r>
            <w:r w:rsidRPr="00FB27C3">
              <w:rPr>
                <w:rFonts w:eastAsia="Times New Roman" w:cs="Arial"/>
                <w:color w:val="000000"/>
                <w:sz w:val="18"/>
                <w:szCs w:val="18"/>
                <w:lang w:val="es-CO" w:eastAsia="es-CO"/>
              </w:rPr>
              <w:t xml:space="preserve"> en el </w:t>
            </w:r>
            <w:r w:rsidR="006D09FB">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w:t>
            </w:r>
            <w:r w:rsidR="00C23265" w:rsidRPr="00FB27C3">
              <w:rPr>
                <w:rFonts w:eastAsia="Times New Roman" w:cs="Arial"/>
                <w:color w:val="000000"/>
                <w:sz w:val="18"/>
                <w:szCs w:val="18"/>
                <w:lang w:val="es-CO" w:eastAsia="es-CO"/>
              </w:rPr>
              <w:t>de Leguízamo</w:t>
            </w:r>
            <w:r w:rsidRPr="00FB27C3">
              <w:rPr>
                <w:rFonts w:eastAsia="Times New Roman" w:cs="Arial"/>
                <w:color w:val="000000"/>
                <w:sz w:val="18"/>
                <w:szCs w:val="18"/>
                <w:lang w:val="es-CO" w:eastAsia="es-CO"/>
              </w:rPr>
              <w:t xml:space="preserve"> </w:t>
            </w:r>
          </w:p>
        </w:tc>
        <w:tc>
          <w:tcPr>
            <w:tcW w:w="1749" w:type="pct"/>
            <w:vMerge w:val="restart"/>
            <w:tcBorders>
              <w:top w:val="nil"/>
              <w:left w:val="single" w:sz="4" w:space="0" w:color="auto"/>
              <w:bottom w:val="single" w:sz="4" w:space="0" w:color="auto"/>
              <w:right w:val="single" w:sz="4" w:space="0" w:color="auto"/>
            </w:tcBorders>
            <w:shd w:val="clear" w:color="auto" w:fill="auto"/>
            <w:vAlign w:val="center"/>
            <w:hideMark/>
          </w:tcPr>
          <w:p w14:paraId="2908F2B8" w14:textId="77777777" w:rsidR="00863B77" w:rsidRPr="00FB27C3" w:rsidRDefault="00863B7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Entrega de 130 balones, 3 mallas deportivas, 10 pitos, 10 cronómetros, 100 petos, 4 tableros, 6 balones de baloncesto, 48 uniformes deportivos, 20 chaquetas institucionales, entre otros.</w:t>
            </w:r>
          </w:p>
        </w:tc>
        <w:tc>
          <w:tcPr>
            <w:tcW w:w="86" w:type="pct"/>
            <w:vAlign w:val="center"/>
            <w:hideMark/>
          </w:tcPr>
          <w:p w14:paraId="57544513"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3A5C4B0A" w14:textId="77777777" w:rsidTr="00E54026">
        <w:trPr>
          <w:trHeight w:val="246"/>
          <w:jc w:val="center"/>
        </w:trPr>
        <w:tc>
          <w:tcPr>
            <w:tcW w:w="816" w:type="pct"/>
            <w:vMerge/>
            <w:tcBorders>
              <w:top w:val="nil"/>
              <w:left w:val="single" w:sz="4" w:space="0" w:color="auto"/>
              <w:bottom w:val="single" w:sz="4" w:space="0" w:color="auto"/>
              <w:right w:val="single" w:sz="4" w:space="0" w:color="auto"/>
            </w:tcBorders>
            <w:vAlign w:val="center"/>
            <w:hideMark/>
          </w:tcPr>
          <w:p w14:paraId="07F99AF9" w14:textId="77777777" w:rsidR="00863B77" w:rsidRPr="00FB27C3" w:rsidRDefault="00863B77">
            <w:pPr>
              <w:spacing w:after="0" w:line="240" w:lineRule="auto"/>
              <w:contextualSpacing/>
              <w:rPr>
                <w:rFonts w:eastAsia="Times New Roman" w:cs="Arial"/>
                <w:b/>
                <w:bCs/>
                <w:color w:val="FFFFFF"/>
                <w:sz w:val="18"/>
                <w:szCs w:val="18"/>
                <w:lang w:val="es-CO" w:eastAsia="es-CO"/>
              </w:rPr>
            </w:pPr>
          </w:p>
        </w:tc>
        <w:tc>
          <w:tcPr>
            <w:tcW w:w="2349" w:type="pct"/>
            <w:vMerge/>
            <w:tcBorders>
              <w:top w:val="nil"/>
              <w:left w:val="single" w:sz="4" w:space="0" w:color="auto"/>
              <w:bottom w:val="single" w:sz="4" w:space="0" w:color="auto"/>
              <w:right w:val="single" w:sz="4" w:space="0" w:color="auto"/>
            </w:tcBorders>
            <w:vAlign w:val="center"/>
            <w:hideMark/>
          </w:tcPr>
          <w:p w14:paraId="0DBB055F"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1749" w:type="pct"/>
            <w:vMerge/>
            <w:tcBorders>
              <w:top w:val="nil"/>
              <w:left w:val="single" w:sz="4" w:space="0" w:color="auto"/>
              <w:bottom w:val="single" w:sz="4" w:space="0" w:color="auto"/>
              <w:right w:val="single" w:sz="4" w:space="0" w:color="auto"/>
            </w:tcBorders>
            <w:vAlign w:val="center"/>
            <w:hideMark/>
          </w:tcPr>
          <w:p w14:paraId="5AC9C8DB"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tcBorders>
              <w:top w:val="nil"/>
              <w:left w:val="nil"/>
              <w:bottom w:val="nil"/>
              <w:right w:val="nil"/>
            </w:tcBorders>
            <w:shd w:val="clear" w:color="auto" w:fill="auto"/>
            <w:noWrap/>
            <w:vAlign w:val="bottom"/>
            <w:hideMark/>
          </w:tcPr>
          <w:p w14:paraId="0A2B4E02" w14:textId="77777777" w:rsidR="00863B77" w:rsidRPr="00FB27C3" w:rsidRDefault="00863B77">
            <w:pPr>
              <w:spacing w:after="0" w:line="240" w:lineRule="auto"/>
              <w:contextualSpacing/>
              <w:rPr>
                <w:rFonts w:eastAsia="Times New Roman" w:cs="Arial"/>
                <w:color w:val="000000"/>
                <w:sz w:val="18"/>
                <w:szCs w:val="18"/>
                <w:lang w:val="es-CO" w:eastAsia="es-CO"/>
              </w:rPr>
            </w:pPr>
          </w:p>
        </w:tc>
      </w:tr>
      <w:tr w:rsidR="00043699" w:rsidRPr="0090413F" w14:paraId="5F6B7A62"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01B78DD6"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349" w:type="pct"/>
            <w:tcBorders>
              <w:top w:val="nil"/>
              <w:left w:val="nil"/>
              <w:bottom w:val="single" w:sz="4" w:space="0" w:color="auto"/>
              <w:right w:val="single" w:sz="4" w:space="0" w:color="auto"/>
            </w:tcBorders>
            <w:shd w:val="clear" w:color="auto" w:fill="auto"/>
            <w:noWrap/>
            <w:vAlign w:val="bottom"/>
            <w:hideMark/>
          </w:tcPr>
          <w:p w14:paraId="79C8FDFD" w14:textId="77777777" w:rsidR="00863B77" w:rsidRPr="00FB27C3" w:rsidRDefault="006D09FB">
            <w:pPr>
              <w:spacing w:after="0" w:line="240" w:lineRule="auto"/>
              <w:contextualSpacing/>
              <w:jc w:val="center"/>
              <w:rPr>
                <w:rFonts w:eastAsia="Times New Roman" w:cs="Arial"/>
                <w:color w:val="000000"/>
                <w:sz w:val="18"/>
                <w:szCs w:val="18"/>
                <w:lang w:val="es-CO" w:eastAsia="es-CO"/>
              </w:rPr>
            </w:pPr>
            <w:r w:rsidRPr="0090413F">
              <w:rPr>
                <w:rFonts w:eastAsia="Times New Roman" w:cs="Arial"/>
                <w:color w:val="000000"/>
                <w:sz w:val="18"/>
                <w:szCs w:val="18"/>
                <w:lang w:val="es-CO" w:eastAsia="es-CO"/>
              </w:rPr>
              <w:t>Juan Carlos Córdoba</w:t>
            </w:r>
          </w:p>
        </w:tc>
        <w:tc>
          <w:tcPr>
            <w:tcW w:w="1749" w:type="pct"/>
            <w:vMerge/>
            <w:tcBorders>
              <w:top w:val="nil"/>
              <w:left w:val="single" w:sz="4" w:space="0" w:color="auto"/>
              <w:bottom w:val="single" w:sz="4" w:space="0" w:color="auto"/>
              <w:right w:val="single" w:sz="4" w:space="0" w:color="auto"/>
            </w:tcBorders>
            <w:vAlign w:val="center"/>
            <w:hideMark/>
          </w:tcPr>
          <w:p w14:paraId="2EC4DC68"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5148582C"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1635A3AC"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3942D8BE"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349" w:type="pct"/>
            <w:tcBorders>
              <w:top w:val="nil"/>
              <w:left w:val="nil"/>
              <w:bottom w:val="single" w:sz="4" w:space="0" w:color="auto"/>
              <w:right w:val="single" w:sz="4" w:space="0" w:color="auto"/>
            </w:tcBorders>
            <w:shd w:val="clear" w:color="auto" w:fill="auto"/>
            <w:vAlign w:val="center"/>
            <w:hideMark/>
          </w:tcPr>
          <w:p w14:paraId="5481D461"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$22.600.000</w:t>
            </w:r>
          </w:p>
        </w:tc>
        <w:tc>
          <w:tcPr>
            <w:tcW w:w="1749" w:type="pct"/>
            <w:vMerge/>
            <w:tcBorders>
              <w:top w:val="nil"/>
              <w:left w:val="single" w:sz="4" w:space="0" w:color="auto"/>
              <w:bottom w:val="single" w:sz="4" w:space="0" w:color="auto"/>
              <w:right w:val="single" w:sz="4" w:space="0" w:color="auto"/>
            </w:tcBorders>
            <w:vAlign w:val="center"/>
            <w:hideMark/>
          </w:tcPr>
          <w:p w14:paraId="13BD6189"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63538581"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76C0D1CF"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22D4AFFD"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349" w:type="pct"/>
            <w:tcBorders>
              <w:top w:val="nil"/>
              <w:left w:val="nil"/>
              <w:bottom w:val="single" w:sz="4" w:space="0" w:color="auto"/>
              <w:right w:val="single" w:sz="4" w:space="0" w:color="auto"/>
            </w:tcBorders>
            <w:shd w:val="clear" w:color="auto" w:fill="auto"/>
            <w:noWrap/>
            <w:vAlign w:val="bottom"/>
            <w:hideMark/>
          </w:tcPr>
          <w:p w14:paraId="547040B8"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mes </w:t>
            </w:r>
          </w:p>
        </w:tc>
        <w:tc>
          <w:tcPr>
            <w:tcW w:w="1749" w:type="pct"/>
            <w:vMerge/>
            <w:tcBorders>
              <w:top w:val="nil"/>
              <w:left w:val="single" w:sz="4" w:space="0" w:color="auto"/>
              <w:bottom w:val="single" w:sz="4" w:space="0" w:color="auto"/>
              <w:right w:val="single" w:sz="4" w:space="0" w:color="auto"/>
            </w:tcBorders>
            <w:vAlign w:val="center"/>
            <w:hideMark/>
          </w:tcPr>
          <w:p w14:paraId="716FBB71"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6676CDC4"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0EF24E01"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5E3DEAD5"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349" w:type="pct"/>
            <w:tcBorders>
              <w:top w:val="nil"/>
              <w:left w:val="nil"/>
              <w:bottom w:val="single" w:sz="4" w:space="0" w:color="auto"/>
              <w:right w:val="single" w:sz="4" w:space="0" w:color="auto"/>
            </w:tcBorders>
            <w:shd w:val="clear" w:color="000000" w:fill="CCCCFF"/>
            <w:vAlign w:val="center"/>
            <w:hideMark/>
          </w:tcPr>
          <w:p w14:paraId="0866D84E" w14:textId="77777777" w:rsidR="00863B77" w:rsidRPr="00FB27C3" w:rsidRDefault="00863B77">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PS-MC-SEM-045-2020</w:t>
            </w:r>
          </w:p>
        </w:tc>
        <w:tc>
          <w:tcPr>
            <w:tcW w:w="1749" w:type="pct"/>
            <w:tcBorders>
              <w:top w:val="nil"/>
              <w:left w:val="nil"/>
              <w:bottom w:val="single" w:sz="4" w:space="0" w:color="auto"/>
              <w:right w:val="single" w:sz="4" w:space="0" w:color="auto"/>
            </w:tcBorders>
            <w:shd w:val="clear" w:color="000000" w:fill="666699"/>
            <w:vAlign w:val="center"/>
            <w:hideMark/>
          </w:tcPr>
          <w:p w14:paraId="6C84E387" w14:textId="77777777" w:rsidR="00863B77" w:rsidRPr="00FB27C3" w:rsidRDefault="00863B77">
            <w:pPr>
              <w:spacing w:after="0" w:line="240" w:lineRule="auto"/>
              <w:contextualSpacing/>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86" w:type="pct"/>
            <w:vAlign w:val="center"/>
            <w:hideMark/>
          </w:tcPr>
          <w:p w14:paraId="41199EEA"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761977A3" w14:textId="77777777" w:rsidTr="00E54026">
        <w:trPr>
          <w:trHeight w:val="246"/>
          <w:jc w:val="center"/>
        </w:trPr>
        <w:tc>
          <w:tcPr>
            <w:tcW w:w="816" w:type="pct"/>
            <w:vMerge w:val="restart"/>
            <w:tcBorders>
              <w:top w:val="nil"/>
              <w:left w:val="single" w:sz="4" w:space="0" w:color="auto"/>
              <w:bottom w:val="single" w:sz="4" w:space="0" w:color="auto"/>
              <w:right w:val="single" w:sz="4" w:space="0" w:color="auto"/>
            </w:tcBorders>
            <w:shd w:val="clear" w:color="000000" w:fill="666699"/>
            <w:vAlign w:val="center"/>
            <w:hideMark/>
          </w:tcPr>
          <w:p w14:paraId="00A72B6C"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349" w:type="pct"/>
            <w:vMerge w:val="restart"/>
            <w:tcBorders>
              <w:top w:val="nil"/>
              <w:left w:val="single" w:sz="4" w:space="0" w:color="auto"/>
              <w:bottom w:val="single" w:sz="4" w:space="0" w:color="auto"/>
              <w:right w:val="single" w:sz="4" w:space="0" w:color="auto"/>
            </w:tcBorders>
            <w:shd w:val="clear" w:color="auto" w:fill="auto"/>
            <w:vAlign w:val="bottom"/>
            <w:hideMark/>
          </w:tcPr>
          <w:p w14:paraId="28398469"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Dotación de implementos deportivos para la práctica de actividades deportivas en las zona rural y centros poblados rurales del </w:t>
            </w:r>
            <w:r w:rsidR="006D09FB">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1749" w:type="pct"/>
            <w:vMerge w:val="restart"/>
            <w:tcBorders>
              <w:top w:val="nil"/>
              <w:left w:val="single" w:sz="4" w:space="0" w:color="auto"/>
              <w:bottom w:val="single" w:sz="4" w:space="0" w:color="auto"/>
              <w:right w:val="single" w:sz="4" w:space="0" w:color="auto"/>
            </w:tcBorders>
            <w:shd w:val="clear" w:color="auto" w:fill="auto"/>
            <w:vAlign w:val="center"/>
            <w:hideMark/>
          </w:tcPr>
          <w:p w14:paraId="41997022" w14:textId="77777777" w:rsidR="00863B77" w:rsidRPr="00FB27C3" w:rsidRDefault="00863B7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Entrega de 110 balones, 3 juegos de mallas, 16 balones de baloncesto, 15 balones de voleibol, 60 balones oficiales, 100 juegos de uniformes deportivos</w:t>
            </w:r>
            <w:r w:rsidR="006D09FB">
              <w:rPr>
                <w:rFonts w:eastAsia="Times New Roman" w:cs="Arial"/>
                <w:color w:val="000000"/>
                <w:sz w:val="18"/>
                <w:szCs w:val="18"/>
                <w:lang w:val="es-CO" w:eastAsia="es-CO"/>
              </w:rPr>
              <w:t>.</w:t>
            </w:r>
          </w:p>
        </w:tc>
        <w:tc>
          <w:tcPr>
            <w:tcW w:w="86" w:type="pct"/>
            <w:vAlign w:val="center"/>
            <w:hideMark/>
          </w:tcPr>
          <w:p w14:paraId="366FB257"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436DE1F9" w14:textId="77777777" w:rsidTr="00E54026">
        <w:trPr>
          <w:trHeight w:val="246"/>
          <w:jc w:val="center"/>
        </w:trPr>
        <w:tc>
          <w:tcPr>
            <w:tcW w:w="816" w:type="pct"/>
            <w:vMerge/>
            <w:tcBorders>
              <w:top w:val="nil"/>
              <w:left w:val="single" w:sz="4" w:space="0" w:color="auto"/>
              <w:bottom w:val="single" w:sz="4" w:space="0" w:color="auto"/>
              <w:right w:val="single" w:sz="4" w:space="0" w:color="auto"/>
            </w:tcBorders>
            <w:vAlign w:val="center"/>
            <w:hideMark/>
          </w:tcPr>
          <w:p w14:paraId="4A0FA5B8" w14:textId="77777777" w:rsidR="00863B77" w:rsidRPr="00FB27C3" w:rsidRDefault="00863B77">
            <w:pPr>
              <w:spacing w:after="0" w:line="240" w:lineRule="auto"/>
              <w:contextualSpacing/>
              <w:rPr>
                <w:rFonts w:eastAsia="Times New Roman" w:cs="Arial"/>
                <w:b/>
                <w:bCs/>
                <w:color w:val="FFFFFF"/>
                <w:sz w:val="18"/>
                <w:szCs w:val="18"/>
                <w:lang w:val="es-CO" w:eastAsia="es-CO"/>
              </w:rPr>
            </w:pPr>
          </w:p>
        </w:tc>
        <w:tc>
          <w:tcPr>
            <w:tcW w:w="2349" w:type="pct"/>
            <w:vMerge/>
            <w:tcBorders>
              <w:top w:val="nil"/>
              <w:left w:val="single" w:sz="4" w:space="0" w:color="auto"/>
              <w:bottom w:val="single" w:sz="4" w:space="0" w:color="auto"/>
              <w:right w:val="single" w:sz="4" w:space="0" w:color="auto"/>
            </w:tcBorders>
            <w:vAlign w:val="center"/>
            <w:hideMark/>
          </w:tcPr>
          <w:p w14:paraId="55556746"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1749" w:type="pct"/>
            <w:vMerge/>
            <w:tcBorders>
              <w:top w:val="nil"/>
              <w:left w:val="single" w:sz="4" w:space="0" w:color="auto"/>
              <w:bottom w:val="single" w:sz="4" w:space="0" w:color="auto"/>
              <w:right w:val="single" w:sz="4" w:space="0" w:color="auto"/>
            </w:tcBorders>
            <w:vAlign w:val="center"/>
            <w:hideMark/>
          </w:tcPr>
          <w:p w14:paraId="4867C3B1"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tcBorders>
              <w:top w:val="nil"/>
              <w:left w:val="nil"/>
              <w:bottom w:val="nil"/>
              <w:right w:val="nil"/>
            </w:tcBorders>
            <w:shd w:val="clear" w:color="auto" w:fill="auto"/>
            <w:noWrap/>
            <w:vAlign w:val="bottom"/>
            <w:hideMark/>
          </w:tcPr>
          <w:p w14:paraId="4FCB4048" w14:textId="77777777" w:rsidR="00863B77" w:rsidRPr="00FB27C3" w:rsidRDefault="00863B77">
            <w:pPr>
              <w:spacing w:after="0" w:line="240" w:lineRule="auto"/>
              <w:contextualSpacing/>
              <w:rPr>
                <w:rFonts w:eastAsia="Times New Roman" w:cs="Arial"/>
                <w:color w:val="000000"/>
                <w:sz w:val="18"/>
                <w:szCs w:val="18"/>
                <w:lang w:val="es-CO" w:eastAsia="es-CO"/>
              </w:rPr>
            </w:pPr>
          </w:p>
        </w:tc>
      </w:tr>
      <w:tr w:rsidR="00043699" w:rsidRPr="0090413F" w14:paraId="11103D9C"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6982E2CC"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349" w:type="pct"/>
            <w:tcBorders>
              <w:top w:val="nil"/>
              <w:left w:val="nil"/>
              <w:bottom w:val="single" w:sz="4" w:space="0" w:color="auto"/>
              <w:right w:val="single" w:sz="4" w:space="0" w:color="auto"/>
            </w:tcBorders>
            <w:shd w:val="clear" w:color="auto" w:fill="auto"/>
            <w:noWrap/>
            <w:vAlign w:val="bottom"/>
            <w:hideMark/>
          </w:tcPr>
          <w:p w14:paraId="5D43A80A" w14:textId="77777777" w:rsidR="00863B77" w:rsidRPr="00FB27C3" w:rsidRDefault="006D09FB">
            <w:pPr>
              <w:spacing w:after="0" w:line="240" w:lineRule="auto"/>
              <w:contextualSpacing/>
              <w:jc w:val="center"/>
              <w:rPr>
                <w:rFonts w:eastAsia="Times New Roman" w:cs="Arial"/>
                <w:color w:val="000000"/>
                <w:sz w:val="18"/>
                <w:szCs w:val="18"/>
                <w:lang w:val="es-CO" w:eastAsia="es-CO"/>
              </w:rPr>
            </w:pPr>
            <w:r w:rsidRPr="0090413F">
              <w:rPr>
                <w:rFonts w:eastAsia="Times New Roman" w:cs="Arial"/>
                <w:color w:val="000000"/>
                <w:sz w:val="18"/>
                <w:szCs w:val="18"/>
                <w:lang w:val="es-CO" w:eastAsia="es-CO"/>
              </w:rPr>
              <w:t>Edgar Andrés Bravo</w:t>
            </w:r>
          </w:p>
        </w:tc>
        <w:tc>
          <w:tcPr>
            <w:tcW w:w="1749" w:type="pct"/>
            <w:vMerge/>
            <w:tcBorders>
              <w:top w:val="nil"/>
              <w:left w:val="single" w:sz="4" w:space="0" w:color="auto"/>
              <w:bottom w:val="single" w:sz="4" w:space="0" w:color="auto"/>
              <w:right w:val="single" w:sz="4" w:space="0" w:color="auto"/>
            </w:tcBorders>
            <w:vAlign w:val="center"/>
            <w:hideMark/>
          </w:tcPr>
          <w:p w14:paraId="0792721C"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183053EC"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5A1E7842"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371837FA"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349" w:type="pct"/>
            <w:tcBorders>
              <w:top w:val="nil"/>
              <w:left w:val="nil"/>
              <w:bottom w:val="single" w:sz="4" w:space="0" w:color="auto"/>
              <w:right w:val="single" w:sz="4" w:space="0" w:color="auto"/>
            </w:tcBorders>
            <w:shd w:val="clear" w:color="auto" w:fill="auto"/>
            <w:noWrap/>
            <w:vAlign w:val="bottom"/>
            <w:hideMark/>
          </w:tcPr>
          <w:p w14:paraId="37285567"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$24.000.000</w:t>
            </w:r>
          </w:p>
        </w:tc>
        <w:tc>
          <w:tcPr>
            <w:tcW w:w="1749" w:type="pct"/>
            <w:vMerge/>
            <w:tcBorders>
              <w:top w:val="nil"/>
              <w:left w:val="single" w:sz="4" w:space="0" w:color="auto"/>
              <w:bottom w:val="single" w:sz="4" w:space="0" w:color="auto"/>
              <w:right w:val="single" w:sz="4" w:space="0" w:color="auto"/>
            </w:tcBorders>
            <w:vAlign w:val="center"/>
            <w:hideMark/>
          </w:tcPr>
          <w:p w14:paraId="21611342"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242C7F5A" w14:textId="77777777" w:rsidR="00863B77" w:rsidRPr="00FB27C3" w:rsidRDefault="00863B77">
            <w:pPr>
              <w:spacing w:after="0" w:line="240" w:lineRule="auto"/>
              <w:contextualSpacing/>
              <w:rPr>
                <w:rFonts w:eastAsia="Times New Roman" w:cs="Arial"/>
                <w:sz w:val="18"/>
                <w:szCs w:val="18"/>
                <w:lang w:val="es-CO" w:eastAsia="es-CO"/>
              </w:rPr>
            </w:pPr>
          </w:p>
        </w:tc>
      </w:tr>
      <w:tr w:rsidR="00043699" w:rsidRPr="0090413F" w14:paraId="4226A36D" w14:textId="77777777" w:rsidTr="00E54026">
        <w:trPr>
          <w:trHeight w:val="246"/>
          <w:jc w:val="center"/>
        </w:trPr>
        <w:tc>
          <w:tcPr>
            <w:tcW w:w="816" w:type="pct"/>
            <w:tcBorders>
              <w:top w:val="nil"/>
              <w:left w:val="single" w:sz="4" w:space="0" w:color="auto"/>
              <w:bottom w:val="single" w:sz="4" w:space="0" w:color="auto"/>
              <w:right w:val="single" w:sz="4" w:space="0" w:color="auto"/>
            </w:tcBorders>
            <w:shd w:val="clear" w:color="000000" w:fill="666699"/>
            <w:vAlign w:val="center"/>
            <w:hideMark/>
          </w:tcPr>
          <w:p w14:paraId="5DF870A3" w14:textId="77777777" w:rsidR="00863B77" w:rsidRPr="00FB27C3" w:rsidRDefault="00863B7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349" w:type="pct"/>
            <w:tcBorders>
              <w:top w:val="nil"/>
              <w:left w:val="nil"/>
              <w:bottom w:val="single" w:sz="4" w:space="0" w:color="auto"/>
              <w:right w:val="single" w:sz="4" w:space="0" w:color="auto"/>
            </w:tcBorders>
            <w:shd w:val="clear" w:color="auto" w:fill="auto"/>
            <w:noWrap/>
            <w:vAlign w:val="bottom"/>
            <w:hideMark/>
          </w:tcPr>
          <w:p w14:paraId="1F06164D" w14:textId="77777777" w:rsidR="00863B77" w:rsidRPr="00FB27C3" w:rsidRDefault="00863B7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días</w:t>
            </w:r>
          </w:p>
        </w:tc>
        <w:tc>
          <w:tcPr>
            <w:tcW w:w="1749" w:type="pct"/>
            <w:vMerge/>
            <w:tcBorders>
              <w:top w:val="nil"/>
              <w:left w:val="single" w:sz="4" w:space="0" w:color="auto"/>
              <w:bottom w:val="single" w:sz="4" w:space="0" w:color="auto"/>
              <w:right w:val="single" w:sz="4" w:space="0" w:color="auto"/>
            </w:tcBorders>
            <w:vAlign w:val="center"/>
            <w:hideMark/>
          </w:tcPr>
          <w:p w14:paraId="47924FD4" w14:textId="77777777" w:rsidR="00863B77" w:rsidRPr="00FB27C3" w:rsidRDefault="00863B77">
            <w:pPr>
              <w:spacing w:after="0" w:line="240" w:lineRule="auto"/>
              <w:contextualSpacing/>
              <w:rPr>
                <w:rFonts w:eastAsia="Times New Roman" w:cs="Arial"/>
                <w:color w:val="000000"/>
                <w:sz w:val="18"/>
                <w:szCs w:val="18"/>
                <w:lang w:val="es-CO" w:eastAsia="es-CO"/>
              </w:rPr>
            </w:pPr>
          </w:p>
        </w:tc>
        <w:tc>
          <w:tcPr>
            <w:tcW w:w="86" w:type="pct"/>
            <w:vAlign w:val="center"/>
            <w:hideMark/>
          </w:tcPr>
          <w:p w14:paraId="530D5946" w14:textId="77777777" w:rsidR="00863B77" w:rsidRPr="00FB27C3" w:rsidRDefault="00863B77">
            <w:pPr>
              <w:spacing w:after="0" w:line="240" w:lineRule="auto"/>
              <w:contextualSpacing/>
              <w:rPr>
                <w:rFonts w:eastAsia="Times New Roman" w:cs="Arial"/>
                <w:sz w:val="18"/>
                <w:szCs w:val="18"/>
                <w:lang w:val="es-CO" w:eastAsia="es-CO"/>
              </w:rPr>
            </w:pPr>
          </w:p>
        </w:tc>
      </w:tr>
    </w:tbl>
    <w:p w14:paraId="5F5873FF" w14:textId="77777777" w:rsidR="00C143D7" w:rsidRPr="00FB27C3" w:rsidRDefault="00043699" w:rsidP="00286F4A">
      <w:pPr>
        <w:spacing w:line="240" w:lineRule="auto"/>
        <w:contextualSpacing/>
        <w:jc w:val="center"/>
        <w:rPr>
          <w:rFonts w:eastAsia="Arial" w:cs="Arial"/>
          <w:sz w:val="16"/>
          <w:szCs w:val="16"/>
        </w:rPr>
      </w:pPr>
      <w:r w:rsidRPr="00FB27C3">
        <w:rPr>
          <w:rFonts w:eastAsia="Arial" w:cs="Arial"/>
          <w:b/>
          <w:bCs/>
          <w:sz w:val="16"/>
          <w:szCs w:val="16"/>
          <w:lang w:val="es"/>
        </w:rPr>
        <w:lastRenderedPageBreak/>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5F66F0F3" w14:textId="77777777" w:rsidR="00C143D7" w:rsidRPr="00FB27C3" w:rsidRDefault="00C143D7">
      <w:pPr>
        <w:spacing w:line="240" w:lineRule="auto"/>
        <w:contextualSpacing/>
        <w:rPr>
          <w:rFonts w:eastAsia="Arial" w:cs="Arial"/>
        </w:rPr>
      </w:pPr>
    </w:p>
    <w:p w14:paraId="0B368906" w14:textId="77777777" w:rsidR="001B04EB" w:rsidRDefault="00C143D7">
      <w:pPr>
        <w:spacing w:line="240" w:lineRule="auto"/>
        <w:contextualSpacing/>
        <w:jc w:val="both"/>
      </w:pPr>
      <w:r w:rsidRPr="004F5BAF">
        <w:rPr>
          <w:rFonts w:eastAsia="Arial" w:cs="Arial"/>
        </w:rPr>
        <w:t xml:space="preserve">Como se puede observar en el </w:t>
      </w:r>
      <w:r w:rsidR="0090413F">
        <w:rPr>
          <w:rFonts w:eastAsia="Arial" w:cs="Arial"/>
        </w:rPr>
        <w:t>C</w:t>
      </w:r>
      <w:r w:rsidRPr="004F5BAF">
        <w:rPr>
          <w:rFonts w:eastAsia="Arial" w:cs="Arial"/>
        </w:rPr>
        <w:t xml:space="preserve">uadro anterior, </w:t>
      </w:r>
      <w:r w:rsidR="00EA3EAE" w:rsidRPr="004F5BAF">
        <w:rPr>
          <w:rFonts w:eastAsia="Arial" w:cs="Arial"/>
        </w:rPr>
        <w:t xml:space="preserve">el </w:t>
      </w:r>
      <w:r w:rsidR="0090413F">
        <w:rPr>
          <w:rFonts w:eastAsia="Arial" w:cs="Arial"/>
        </w:rPr>
        <w:t>M</w:t>
      </w:r>
      <w:r w:rsidR="00EA3EAE" w:rsidRPr="004F5BAF">
        <w:rPr>
          <w:rFonts w:eastAsia="Arial" w:cs="Arial"/>
        </w:rPr>
        <w:t xml:space="preserve">unicipio realiza la adquisición </w:t>
      </w:r>
      <w:r w:rsidR="004F5BAF" w:rsidRPr="004F5BAF">
        <w:rPr>
          <w:rFonts w:eastAsia="Arial" w:cs="Arial"/>
        </w:rPr>
        <w:t>de elementos deportivos</w:t>
      </w:r>
      <w:r w:rsidR="004F5BAF">
        <w:rPr>
          <w:rFonts w:eastAsia="Arial" w:cs="Arial"/>
        </w:rPr>
        <w:t xml:space="preserve"> con características similares de manera recurrente</w:t>
      </w:r>
      <w:r w:rsidR="00C64143">
        <w:rPr>
          <w:rFonts w:eastAsia="Arial" w:cs="Arial"/>
        </w:rPr>
        <w:t xml:space="preserve"> a través de </w:t>
      </w:r>
      <w:r w:rsidR="00CF4EC8">
        <w:rPr>
          <w:rFonts w:eastAsia="Arial" w:cs="Arial"/>
        </w:rPr>
        <w:t>la modalidad de contratación de Mínima Cuantía</w:t>
      </w:r>
      <w:r w:rsidR="009F6808">
        <w:rPr>
          <w:rFonts w:eastAsia="Arial" w:cs="Arial"/>
        </w:rPr>
        <w:t xml:space="preserve">. Al respecto, en el </w:t>
      </w:r>
      <w:r w:rsidR="0090413F">
        <w:rPr>
          <w:rFonts w:eastAsia="Arial" w:cs="Arial"/>
        </w:rPr>
        <w:t>“</w:t>
      </w:r>
      <w:r w:rsidR="0041142E" w:rsidRPr="00DF2058">
        <w:rPr>
          <w:rFonts w:eastAsia="Arial" w:cs="Arial"/>
          <w:i/>
          <w:iCs/>
        </w:rPr>
        <w:t>Informe de monitoreo de campo, Puerto Leguízamo - Putumayo, Vigencias 2018 y 2019 (corte junio)</w:t>
      </w:r>
      <w:r w:rsidR="0090413F">
        <w:rPr>
          <w:rFonts w:eastAsia="Arial" w:cs="Arial"/>
        </w:rPr>
        <w:t>”</w:t>
      </w:r>
      <w:r w:rsidR="0041142E" w:rsidRPr="0041142E">
        <w:rPr>
          <w:rFonts w:eastAsia="Arial" w:cs="Arial"/>
        </w:rPr>
        <w:t xml:space="preserve"> </w:t>
      </w:r>
      <w:r w:rsidR="009F6808">
        <w:rPr>
          <w:rFonts w:eastAsia="Arial" w:cs="Arial"/>
        </w:rPr>
        <w:t xml:space="preserve">el DNP menciona que </w:t>
      </w:r>
      <w:r w:rsidR="0079654E">
        <w:t>“</w:t>
      </w:r>
      <w:r w:rsidR="0079654E" w:rsidRPr="009F6808">
        <w:rPr>
          <w:i/>
          <w:iCs/>
        </w:rPr>
        <w:t>Se observa que se entregan bienes similares a los ya entregados en otros contratos en una misma vigencia, por ejemplo, balones y uniformes, se podrían estar invirtiendo recursos en bienes que ya tiene la alcaldía</w:t>
      </w:r>
      <w:r w:rsidR="0079654E">
        <w:t>”</w:t>
      </w:r>
      <w:r w:rsidR="0090413F">
        <w:t>.</w:t>
      </w:r>
      <w:r w:rsidR="0079654E">
        <w:t xml:space="preserve"> </w:t>
      </w:r>
      <w:r w:rsidR="002406BA">
        <w:t xml:space="preserve">Si bien estos </w:t>
      </w:r>
      <w:r w:rsidR="0090413F">
        <w:t>C</w:t>
      </w:r>
      <w:r w:rsidR="002406BA">
        <w:t xml:space="preserve">ontratos se enmarcan en proyectos de formación y práctica deportiva, los elementos deportivos no pueden ser entregados a la ciudadanía, ya que esto contraviene el artículo 355 de la Constitución Política referente a la prohibición de </w:t>
      </w:r>
      <w:r w:rsidR="000A0B92">
        <w:t>realizar donaciones a terceros con recursos públicos.</w:t>
      </w:r>
    </w:p>
    <w:p w14:paraId="4633707D" w14:textId="77777777" w:rsidR="001B04EB" w:rsidRDefault="001B04EB">
      <w:pPr>
        <w:spacing w:line="240" w:lineRule="auto"/>
        <w:contextualSpacing/>
        <w:jc w:val="both"/>
      </w:pPr>
    </w:p>
    <w:p w14:paraId="3E6F45ED" w14:textId="77777777" w:rsidR="009F6808" w:rsidRDefault="009F6808">
      <w:pPr>
        <w:spacing w:line="240" w:lineRule="auto"/>
        <w:contextualSpacing/>
        <w:jc w:val="both"/>
      </w:pPr>
      <w:r>
        <w:t xml:space="preserve">Lo anterior llama la atención porque estos bienes si bien pueden ser adquiridos por el </w:t>
      </w:r>
      <w:r w:rsidR="00EC0C0E">
        <w:t>M</w:t>
      </w:r>
      <w:r>
        <w:t xml:space="preserve">unicipio para el desarrollo de actividades de fomento y práctica deportiva, deben quedar bajo el cuidado de la </w:t>
      </w:r>
      <w:r w:rsidR="00EC0C0E">
        <w:t>A</w:t>
      </w:r>
      <w:r>
        <w:t xml:space="preserve">dministración </w:t>
      </w:r>
      <w:r w:rsidR="00EC0C0E">
        <w:t>M</w:t>
      </w:r>
      <w:r>
        <w:t>unicipal</w:t>
      </w:r>
      <w:r w:rsidR="001B04EB">
        <w:t xml:space="preserve"> una vez se utilizan para las actividades o eventos deportivos</w:t>
      </w:r>
      <w:r w:rsidR="00EC0C0E">
        <w:t>;</w:t>
      </w:r>
      <w:r>
        <w:t xml:space="preserve"> por esta razón</w:t>
      </w:r>
      <w:r w:rsidR="00EC0C0E">
        <w:t>,</w:t>
      </w:r>
      <w:r>
        <w:t xml:space="preserve"> no se explica la necesidad constante de adquirir bienes de similares características en cada vigencia. </w:t>
      </w:r>
      <w:r w:rsidR="00EE04E6">
        <w:t>Esto incluye los bienes que se emplean en la práctica del deporte, así como la indumentaria necesaria (uniformes) los cuales</w:t>
      </w:r>
      <w:r w:rsidR="00254039">
        <w:t xml:space="preserve"> deben reutilizarse y ponerse a disposición de toda la población beneficiaria de los programas de formación deportiva mientras se agota su vida útil.</w:t>
      </w:r>
    </w:p>
    <w:p w14:paraId="4DDA58C2" w14:textId="77777777" w:rsidR="009F6808" w:rsidRDefault="009F6808">
      <w:pPr>
        <w:spacing w:line="240" w:lineRule="auto"/>
        <w:contextualSpacing/>
        <w:jc w:val="both"/>
      </w:pPr>
    </w:p>
    <w:p w14:paraId="4C8BE524" w14:textId="77777777" w:rsidR="005B3941" w:rsidRDefault="00654BA4">
      <w:pPr>
        <w:spacing w:line="240" w:lineRule="auto"/>
        <w:contextualSpacing/>
        <w:jc w:val="both"/>
      </w:pPr>
      <w:r>
        <w:t xml:space="preserve">Esta situación se relaciona con la entrega que realiza la </w:t>
      </w:r>
      <w:r w:rsidR="00EC0C0E">
        <w:t>E</w:t>
      </w:r>
      <w:r>
        <w:t xml:space="preserve">ntidad </w:t>
      </w:r>
      <w:r w:rsidR="00EC0C0E">
        <w:t>T</w:t>
      </w:r>
      <w:r>
        <w:t xml:space="preserve">erritorial de los bienes a la ciudadanía que participa de las actividades deportivas. Esto se refuerza porque, por ejemplo, </w:t>
      </w:r>
      <w:r w:rsidR="0070032D">
        <w:t>en el</w:t>
      </w:r>
      <w:r w:rsidR="002F3E90">
        <w:t xml:space="preserve"> expediente del</w:t>
      </w:r>
      <w:r w:rsidR="0070032D">
        <w:t xml:space="preserve"> </w:t>
      </w:r>
      <w:r w:rsidR="00EC0C0E">
        <w:t>C</w:t>
      </w:r>
      <w:r w:rsidR="0070032D">
        <w:t xml:space="preserve">ontrato </w:t>
      </w:r>
      <w:r w:rsidR="002F3E90" w:rsidRPr="002F3E90">
        <w:t>PS-MC-001-2018</w:t>
      </w:r>
      <w:r w:rsidR="002F3E90">
        <w:t xml:space="preserve"> remitido por la </w:t>
      </w:r>
      <w:r w:rsidR="00EC0C0E">
        <w:t>E</w:t>
      </w:r>
      <w:r w:rsidR="002F3E90">
        <w:t>ntidad</w:t>
      </w:r>
      <w:r w:rsidR="00EF133D">
        <w:t>,</w:t>
      </w:r>
      <w:r w:rsidR="002F3E90">
        <w:t xml:space="preserve"> se encontró un certificado de entrada y salida del </w:t>
      </w:r>
      <w:r w:rsidR="00EC0C0E">
        <w:t>A</w:t>
      </w:r>
      <w:r w:rsidR="002F3E90">
        <w:t xml:space="preserve">lmacén de la </w:t>
      </w:r>
      <w:r w:rsidR="00EC0C0E">
        <w:t>E</w:t>
      </w:r>
      <w:r w:rsidR="002F3E90">
        <w:t>ntidad</w:t>
      </w:r>
      <w:r w:rsidR="00337367">
        <w:t xml:space="preserve"> con fecha 20 de enero de 2018, en este mismo documento se </w:t>
      </w:r>
      <w:r w:rsidR="000A319F">
        <w:t>referencia el número de ingreso y de egreso de los bienes</w:t>
      </w:r>
      <w:r w:rsidR="00EF133D">
        <w:t>. E</w:t>
      </w:r>
      <w:r w:rsidR="000876BC">
        <w:t xml:space="preserve">n primer lugar, ingresan al </w:t>
      </w:r>
      <w:r w:rsidR="00AD45DC">
        <w:t>A</w:t>
      </w:r>
      <w:r w:rsidR="000876BC">
        <w:t xml:space="preserve">lmacén una vez son </w:t>
      </w:r>
      <w:r w:rsidR="003D164A">
        <w:t>entregados por el contratista y</w:t>
      </w:r>
      <w:r w:rsidR="00AD45DC">
        <w:t>,</w:t>
      </w:r>
      <w:r w:rsidR="003D164A">
        <w:t xml:space="preserve"> en segundo lugar, se entregan a la Secretaría de Educación, </w:t>
      </w:r>
      <w:r w:rsidR="00D13DBF">
        <w:t>Cultura y Deporte.</w:t>
      </w:r>
      <w:r w:rsidR="00057E93">
        <w:t xml:space="preserve"> </w:t>
      </w:r>
      <w:r w:rsidR="005B3941">
        <w:t xml:space="preserve">Dicho comprobante también se encuentra para el caso del Contrato </w:t>
      </w:r>
      <w:r w:rsidR="005B3941" w:rsidRPr="006D7A57">
        <w:t>PS-MC-SEM-026-2020</w:t>
      </w:r>
      <w:r w:rsidR="005B3941">
        <w:t>, en el que se presenta un egreso de los implementos con fecha de 24 de noviembre de 2020. Los otros dos contratos referenciados no entregaron esta información en los expedientes.</w:t>
      </w:r>
    </w:p>
    <w:p w14:paraId="2DE267AD" w14:textId="77777777" w:rsidR="0039301A" w:rsidRDefault="0039301A">
      <w:pPr>
        <w:spacing w:line="240" w:lineRule="auto"/>
        <w:contextualSpacing/>
        <w:jc w:val="both"/>
      </w:pPr>
    </w:p>
    <w:p w14:paraId="61B02A44" w14:textId="77777777" w:rsidR="0039301A" w:rsidRDefault="0039301A">
      <w:pPr>
        <w:spacing w:line="240" w:lineRule="auto"/>
        <w:contextualSpacing/>
        <w:jc w:val="both"/>
      </w:pPr>
      <w:r>
        <w:t xml:space="preserve">Posteriormente, los elementos deportivos son entregados por parte de la Secretaría de Educación, Cultura y Deporte a los monitores o a los representantes de las comunidades (presidentes de juntas de acción comunal) como consta en las Actas de Entrega remitidas a esta Dirección. Por ejemplo, en el caso del </w:t>
      </w:r>
      <w:r w:rsidR="00286F4A">
        <w:t>C</w:t>
      </w:r>
      <w:r>
        <w:t xml:space="preserve">ontrato </w:t>
      </w:r>
      <w:r w:rsidR="00BD40EB" w:rsidRPr="00BD40EB">
        <w:t>PS-MC-047-2018</w:t>
      </w:r>
      <w:r w:rsidR="00BD40EB">
        <w:t xml:space="preserve"> </w:t>
      </w:r>
      <w:r>
        <w:t xml:space="preserve">se relacionó un acta </w:t>
      </w:r>
      <w:r w:rsidR="00F32D3B">
        <w:t xml:space="preserve">firmada </w:t>
      </w:r>
      <w:r>
        <w:t>con fecha del 24 de noviembre de 2018 en donde se reunieron el Secretario de Educación, Cultura y Deporte con el señor Oliver Macaya Garcés “</w:t>
      </w:r>
      <w:r w:rsidRPr="002873C1">
        <w:rPr>
          <w:i/>
          <w:iCs/>
        </w:rPr>
        <w:t xml:space="preserve">con el fin de hacer entrega </w:t>
      </w:r>
      <w:r w:rsidRPr="002873C1">
        <w:rPr>
          <w:b/>
          <w:bCs/>
          <w:i/>
          <w:iCs/>
        </w:rPr>
        <w:t>para su distribución</w:t>
      </w:r>
      <w:r w:rsidRPr="002873C1">
        <w:rPr>
          <w:i/>
          <w:iCs/>
        </w:rPr>
        <w:t xml:space="preserve"> de dotación de implementos deportivos para la práctica de actividades deportivas en el Municipio de Leguízamo, adquiridos bajo la compra del contrato […]” </w:t>
      </w:r>
      <w:r>
        <w:t>en cuestión</w:t>
      </w:r>
      <w:r w:rsidR="004C41BB">
        <w:t>´ (</w:t>
      </w:r>
      <w:r w:rsidR="00650D51">
        <w:t>Énfasis fuera del texto)</w:t>
      </w:r>
      <w:r>
        <w:t xml:space="preserve">. </w:t>
      </w:r>
    </w:p>
    <w:p w14:paraId="3E526B6A" w14:textId="77777777" w:rsidR="007E1074" w:rsidRDefault="007E1074">
      <w:pPr>
        <w:spacing w:line="240" w:lineRule="auto"/>
        <w:contextualSpacing/>
        <w:jc w:val="both"/>
      </w:pPr>
    </w:p>
    <w:p w14:paraId="7AEF8CE2" w14:textId="77777777" w:rsidR="007E1074" w:rsidRDefault="007E1074">
      <w:pPr>
        <w:spacing w:line="240" w:lineRule="auto"/>
        <w:contextualSpacing/>
        <w:jc w:val="both"/>
      </w:pPr>
      <w:r>
        <w:t xml:space="preserve">En el caso del </w:t>
      </w:r>
      <w:r w:rsidR="00286F4A">
        <w:t>C</w:t>
      </w:r>
      <w:r>
        <w:t xml:space="preserve">ontrato </w:t>
      </w:r>
      <w:r w:rsidRPr="007E1074">
        <w:t>PS-MC-SEM-026-2020</w:t>
      </w:r>
      <w:r>
        <w:t xml:space="preserve"> </w:t>
      </w:r>
      <w:r w:rsidR="00B93B07">
        <w:t xml:space="preserve">se remitió un archivo con nueve actas firmadas entre marzo y abril de 2021, en las que se relaciona la entrega de elementos deportivos como balones, uniformes y otros elementos deportivos a los presidentes de las juntas de acción comunal de las comunidades, a los presidentes de los equipos de fútbol </w:t>
      </w:r>
      <w:r w:rsidR="00E9432F">
        <w:t xml:space="preserve">y a los gobernadores de cabildos indígenas del Municipio. </w:t>
      </w:r>
      <w:r w:rsidR="005B3941">
        <w:t xml:space="preserve">Además, se anexó un acta con fecha del 17 de septiembre de 2021, en donde se indica que el 27 de enero de </w:t>
      </w:r>
      <w:r w:rsidR="005B3941">
        <w:lastRenderedPageBreak/>
        <w:t xml:space="preserve">esa vigencia se hizo entrega de los elementos deportivos adquiridos mediante el </w:t>
      </w:r>
      <w:r w:rsidR="00286F4A">
        <w:t>C</w:t>
      </w:r>
      <w:r w:rsidR="005B3941">
        <w:t xml:space="preserve">ontrato al señor Rafael Franco Gutiérrez para la práctica de las actividades lúdico-recreativas. Esta misma situación se evidencia en el </w:t>
      </w:r>
      <w:r w:rsidR="00286F4A">
        <w:t>C</w:t>
      </w:r>
      <w:r w:rsidR="005B3941">
        <w:t xml:space="preserve">ontrato </w:t>
      </w:r>
      <w:r w:rsidR="005B3941" w:rsidRPr="005B3941">
        <w:t>PS-MC-SEM-045-2020</w:t>
      </w:r>
      <w:r w:rsidR="005B3941">
        <w:t xml:space="preserve">, en donde el acta firmada en la misma fecha (27 de enero de 2021) enuncia la entrega al señor Rafael Franco Gutiérrez de los elementos deportivos adquiridos mediante el </w:t>
      </w:r>
      <w:r w:rsidR="00286F4A">
        <w:t>C</w:t>
      </w:r>
      <w:r w:rsidR="005B3941">
        <w:t>ontrato “</w:t>
      </w:r>
      <w:r w:rsidR="005B3941" w:rsidRPr="001729F6">
        <w:rPr>
          <w:i/>
        </w:rPr>
        <w:t>[…] para la zona rural y centros poblados rurales del municipio</w:t>
      </w:r>
      <w:r w:rsidR="005B3941">
        <w:t>”</w:t>
      </w:r>
      <w:r w:rsidR="00EC6A43">
        <w:t>.</w:t>
      </w:r>
    </w:p>
    <w:p w14:paraId="52FCAFF7" w14:textId="77777777" w:rsidR="00057E93" w:rsidRDefault="00057E93">
      <w:pPr>
        <w:spacing w:line="240" w:lineRule="auto"/>
        <w:contextualSpacing/>
        <w:jc w:val="both"/>
      </w:pPr>
    </w:p>
    <w:p w14:paraId="42F765EE" w14:textId="77777777" w:rsidR="00057E93" w:rsidRDefault="00057E93">
      <w:pPr>
        <w:spacing w:line="240" w:lineRule="auto"/>
        <w:contextualSpacing/>
        <w:jc w:val="both"/>
      </w:pPr>
      <w:r>
        <w:t>Esta situación evidencia una entrega directa de los implementos deportivos</w:t>
      </w:r>
      <w:r w:rsidR="00EC6A43">
        <w:t xml:space="preserve"> a la comunidad</w:t>
      </w:r>
      <w:r>
        <w:t xml:space="preserve">, lo cual representa un riesgo porque va en contra de la normatividad y no se tiene certeza del destino de dichos implementos una vez son entregados a terceros. Es decir, no es posible determinar bajo qué criterios se están entregando dichos elementos. Además, se cae en una ineficiencia del gasto dado que son elementos que no se reutilizan y que se adquieren cada año independientemente de la vida útil de estos elementos. </w:t>
      </w:r>
    </w:p>
    <w:p w14:paraId="280E3514" w14:textId="77777777" w:rsidR="00B375D1" w:rsidRDefault="00B375D1">
      <w:pPr>
        <w:spacing w:line="240" w:lineRule="auto"/>
        <w:contextualSpacing/>
        <w:jc w:val="both"/>
      </w:pPr>
    </w:p>
    <w:p w14:paraId="4416FD08" w14:textId="77777777" w:rsidR="0054069C" w:rsidRDefault="00DC16F5">
      <w:pPr>
        <w:spacing w:line="240" w:lineRule="auto"/>
        <w:contextualSpacing/>
        <w:jc w:val="both"/>
      </w:pPr>
      <w:r>
        <w:t>Cabe resaltar que el DNP</w:t>
      </w:r>
      <w:r w:rsidR="00EF133D">
        <w:t>,</w:t>
      </w:r>
      <w:r>
        <w:t xml:space="preserve"> en su Guía de </w:t>
      </w:r>
      <w:r w:rsidR="00385F8B">
        <w:t>“</w:t>
      </w:r>
      <w:r w:rsidRPr="00FB27C3">
        <w:rPr>
          <w:i/>
          <w:iCs/>
        </w:rPr>
        <w:t>Orientaciones para la Programación y Ejecución de los recursos del SGP</w:t>
      </w:r>
      <w:r w:rsidR="008A5152">
        <w:rPr>
          <w:i/>
          <w:iCs/>
        </w:rPr>
        <w:t xml:space="preserve"> (</w:t>
      </w:r>
      <w:r w:rsidR="008A5152">
        <w:rPr>
          <w:i/>
          <w:iCs/>
        </w:rPr>
        <w:tab/>
        <w:t>2017)</w:t>
      </w:r>
      <w:r w:rsidR="00385F8B">
        <w:t>”</w:t>
      </w:r>
      <w:r w:rsidR="00EF133D">
        <w:t>,</w:t>
      </w:r>
      <w:r>
        <w:t xml:space="preserve"> establece</w:t>
      </w:r>
      <w:r w:rsidR="0054069C">
        <w:t xml:space="preserve"> para los recursos de Deporte que</w:t>
      </w:r>
      <w:r w:rsidR="00385F8B">
        <w:t>:</w:t>
      </w:r>
    </w:p>
    <w:p w14:paraId="40F601A9" w14:textId="77777777" w:rsidR="00385F8B" w:rsidRDefault="00385F8B">
      <w:pPr>
        <w:spacing w:line="240" w:lineRule="auto"/>
        <w:contextualSpacing/>
        <w:jc w:val="both"/>
      </w:pPr>
    </w:p>
    <w:p w14:paraId="38AA7D7F" w14:textId="77777777" w:rsidR="0028768B" w:rsidRPr="00FB27C3" w:rsidRDefault="0054069C">
      <w:pPr>
        <w:spacing w:line="240" w:lineRule="auto"/>
        <w:ind w:left="709"/>
        <w:contextualSpacing/>
        <w:jc w:val="both"/>
        <w:rPr>
          <w:i/>
          <w:iCs/>
          <w:sz w:val="18"/>
          <w:szCs w:val="18"/>
        </w:rPr>
      </w:pPr>
      <w:r w:rsidRPr="00FB27C3">
        <w:rPr>
          <w:i/>
          <w:iCs/>
          <w:sz w:val="18"/>
          <w:szCs w:val="18"/>
        </w:rPr>
        <w:t>“</w:t>
      </w:r>
      <w:r w:rsidR="00745C72" w:rsidRPr="00FB27C3">
        <w:rPr>
          <w:i/>
          <w:iCs/>
          <w:sz w:val="18"/>
          <w:szCs w:val="18"/>
        </w:rPr>
        <w:t>En cuanto al apoyo a eventos deportivos, las acciones desarrolladas tienen que ver con la disponibilidad de la logística necesaria para su realización, tales como la dotación de escenarios de carácter municipal de los equipos e implementos necesarios para la práctica de las actividades deportivas. Sin embargo, estos no se pueden entregar a las agrupaciones deportivas en calidad de donación por parte del municipio, sino que deberá ser cuidado y administrado por el respectivo instituto de deporte o la entidad que haga sus veces, dadas las restricciones establecidas por la Constitu</w:t>
      </w:r>
      <w:r w:rsidR="00A66D5A" w:rsidRPr="00FB27C3">
        <w:rPr>
          <w:i/>
          <w:iCs/>
          <w:sz w:val="18"/>
          <w:szCs w:val="18"/>
        </w:rPr>
        <w:t>ción en materia de donaciones y auxilios con los recursos públicos</w:t>
      </w:r>
      <w:r w:rsidRPr="00FB27C3">
        <w:rPr>
          <w:i/>
          <w:iCs/>
          <w:sz w:val="18"/>
          <w:szCs w:val="18"/>
        </w:rPr>
        <w:t>”</w:t>
      </w:r>
      <w:r w:rsidR="00385F8B">
        <w:rPr>
          <w:i/>
          <w:iCs/>
          <w:sz w:val="18"/>
          <w:szCs w:val="18"/>
        </w:rPr>
        <w:t>.</w:t>
      </w:r>
      <w:r w:rsidR="00A66D5A" w:rsidRPr="00FB27C3">
        <w:rPr>
          <w:i/>
          <w:iCs/>
          <w:sz w:val="18"/>
          <w:szCs w:val="18"/>
        </w:rPr>
        <w:t xml:space="preserve"> (p.135)</w:t>
      </w:r>
    </w:p>
    <w:p w14:paraId="7F9D4773" w14:textId="77777777" w:rsidR="00385F8B" w:rsidRDefault="00385F8B">
      <w:pPr>
        <w:spacing w:line="240" w:lineRule="auto"/>
        <w:contextualSpacing/>
        <w:jc w:val="both"/>
      </w:pPr>
    </w:p>
    <w:p w14:paraId="4FCB1092" w14:textId="77777777" w:rsidR="0016392D" w:rsidRDefault="0016392D">
      <w:pPr>
        <w:spacing w:line="240" w:lineRule="auto"/>
        <w:contextualSpacing/>
        <w:jc w:val="both"/>
      </w:pPr>
      <w:r>
        <w:t xml:space="preserve">En síntesis, en los contratos relacionados anteriormente, se puede evidenciar que el objeto y alcance de estos, al entregar directamente a la población estos elementos, incumple la normatividad vigente relacionada con el uso de los recursos del Sistema General de Participaciones Propósito General. En todo caso, los bienes que no se utilizan y consumen en su totalidad durante la realización de los eventos </w:t>
      </w:r>
      <w:r w:rsidR="000470E5">
        <w:t>deportivos</w:t>
      </w:r>
      <w:r w:rsidR="00EF133D">
        <w:t>,</w:t>
      </w:r>
      <w:r w:rsidR="000470E5">
        <w:t xml:space="preserve"> </w:t>
      </w:r>
      <w:r>
        <w:t>deben quedar en custodia de la</w:t>
      </w:r>
      <w:r w:rsidR="00385F8B">
        <w:t>s</w:t>
      </w:r>
      <w:r>
        <w:t xml:space="preserve"> entidad</w:t>
      </w:r>
      <w:r w:rsidR="00385F8B">
        <w:t>es</w:t>
      </w:r>
      <w:r>
        <w:t xml:space="preserve"> territorial</w:t>
      </w:r>
      <w:r w:rsidR="00385F8B">
        <w:t>es</w:t>
      </w:r>
      <w:r w:rsidR="00D27E2B">
        <w:t>.</w:t>
      </w:r>
    </w:p>
    <w:p w14:paraId="3C478C61" w14:textId="77777777" w:rsidR="00385F8B" w:rsidRDefault="00385F8B">
      <w:pPr>
        <w:spacing w:line="240" w:lineRule="auto"/>
        <w:contextualSpacing/>
        <w:jc w:val="both"/>
      </w:pPr>
    </w:p>
    <w:p w14:paraId="1FE128D3" w14:textId="77777777" w:rsidR="00812913" w:rsidRPr="00FB27C3" w:rsidRDefault="00812913">
      <w:pPr>
        <w:spacing w:line="240" w:lineRule="auto"/>
        <w:contextualSpacing/>
        <w:jc w:val="both"/>
        <w:rPr>
          <w:rFonts w:eastAsia="Arial" w:cs="Arial"/>
          <w:b/>
          <w:bCs/>
        </w:rPr>
      </w:pPr>
      <w:r w:rsidRPr="00FB27C3">
        <w:rPr>
          <w:rFonts w:eastAsia="Arial" w:cs="Arial"/>
          <w:b/>
          <w:bCs/>
        </w:rPr>
        <w:t>Publicación de la documentación contractual</w:t>
      </w:r>
      <w:r w:rsidR="00385F8B">
        <w:rPr>
          <w:rFonts w:eastAsia="Arial" w:cs="Arial"/>
          <w:b/>
          <w:bCs/>
        </w:rPr>
        <w:t>.</w:t>
      </w:r>
    </w:p>
    <w:p w14:paraId="1BE7FA5A" w14:textId="77777777" w:rsidR="00812913" w:rsidRDefault="00812913">
      <w:pPr>
        <w:spacing w:line="240" w:lineRule="auto"/>
        <w:contextualSpacing/>
        <w:jc w:val="both"/>
        <w:rPr>
          <w:rFonts w:eastAsia="Arial" w:cs="Arial"/>
        </w:rPr>
      </w:pPr>
    </w:p>
    <w:p w14:paraId="2D7BFE0D" w14:textId="77777777" w:rsidR="00D27E2B" w:rsidRDefault="00D27E2B">
      <w:pPr>
        <w:spacing w:line="240" w:lineRule="auto"/>
        <w:contextualSpacing/>
        <w:jc w:val="both"/>
        <w:rPr>
          <w:rFonts w:eastAsia="Arial" w:cs="Arial"/>
        </w:rPr>
      </w:pPr>
      <w:r w:rsidRPr="1A0F71D1">
        <w:rPr>
          <w:rFonts w:eastAsia="Arial" w:cs="Arial"/>
        </w:rPr>
        <w:t xml:space="preserve">En la misma revisión y verificación </w:t>
      </w:r>
      <w:r>
        <w:rPr>
          <w:rFonts w:eastAsia="Arial" w:cs="Arial"/>
        </w:rPr>
        <w:t xml:space="preserve">de la actividad contractual del </w:t>
      </w:r>
      <w:r w:rsidR="009A1567">
        <w:rPr>
          <w:rFonts w:eastAsia="Arial" w:cs="Arial"/>
        </w:rPr>
        <w:t>M</w:t>
      </w:r>
      <w:r>
        <w:rPr>
          <w:rFonts w:eastAsia="Arial" w:cs="Arial"/>
        </w:rPr>
        <w:t>unicipio en</w:t>
      </w:r>
      <w:r w:rsidRPr="1A0F71D1">
        <w:rPr>
          <w:rFonts w:eastAsia="Arial" w:cs="Arial"/>
        </w:rPr>
        <w:t xml:space="preserve"> el </w:t>
      </w:r>
      <w:r w:rsidR="009A1567">
        <w:rPr>
          <w:rFonts w:eastAsia="Arial" w:cs="Arial"/>
        </w:rPr>
        <w:t>S</w:t>
      </w:r>
      <w:r w:rsidRPr="1A0F71D1">
        <w:rPr>
          <w:rFonts w:eastAsia="Arial" w:cs="Arial"/>
        </w:rPr>
        <w:t xml:space="preserve">istema </w:t>
      </w:r>
      <w:r w:rsidR="009A1567" w:rsidRPr="009A1567">
        <w:rPr>
          <w:rFonts w:eastAsia="Arial" w:cs="Arial"/>
        </w:rPr>
        <w:t xml:space="preserve">Electrónico para la Contratación Pública </w:t>
      </w:r>
      <w:r w:rsidR="009A1567">
        <w:rPr>
          <w:rFonts w:eastAsia="Arial" w:cs="Arial"/>
        </w:rPr>
        <w:t>-</w:t>
      </w:r>
      <w:r w:rsidRPr="1A0F71D1">
        <w:rPr>
          <w:rFonts w:eastAsia="Arial" w:cs="Arial"/>
        </w:rPr>
        <w:t xml:space="preserve"> SECOP, esta Dirección evidenció la no publicación de documentación asociada a la etapa precontractual y, en mayor medida, en las etapas contractual y poscontra</w:t>
      </w:r>
      <w:r>
        <w:rPr>
          <w:rFonts w:eastAsia="Arial" w:cs="Arial"/>
        </w:rPr>
        <w:t>c</w:t>
      </w:r>
      <w:r w:rsidRPr="1A0F71D1">
        <w:rPr>
          <w:rFonts w:eastAsia="Arial" w:cs="Arial"/>
        </w:rPr>
        <w:t>tual</w:t>
      </w:r>
      <w:r w:rsidR="00EF133D">
        <w:rPr>
          <w:rFonts w:eastAsia="Arial" w:cs="Arial"/>
        </w:rPr>
        <w:t>. E</w:t>
      </w:r>
      <w:r w:rsidRPr="1A0F71D1">
        <w:rPr>
          <w:rFonts w:eastAsia="Arial" w:cs="Arial"/>
        </w:rPr>
        <w:t>ntre estos</w:t>
      </w:r>
      <w:r w:rsidR="00EF133D">
        <w:rPr>
          <w:rFonts w:eastAsia="Arial" w:cs="Arial"/>
        </w:rPr>
        <w:t>,</w:t>
      </w:r>
      <w:r w:rsidRPr="1A0F71D1">
        <w:rPr>
          <w:rFonts w:eastAsia="Arial" w:cs="Arial"/>
        </w:rPr>
        <w:t xml:space="preserve"> se evidencia la ausencia sistemática</w:t>
      </w:r>
      <w:r w:rsidR="00A944E9">
        <w:rPr>
          <w:rFonts w:eastAsia="Arial" w:cs="Arial"/>
        </w:rPr>
        <w:t xml:space="preserve"> de</w:t>
      </w:r>
      <w:r w:rsidRPr="1A0F71D1">
        <w:rPr>
          <w:rFonts w:eastAsia="Arial" w:cs="Arial"/>
        </w:rPr>
        <w:t xml:space="preserve"> los informes de supervisión, los informes de </w:t>
      </w:r>
      <w:r>
        <w:rPr>
          <w:rFonts w:eastAsia="Arial" w:cs="Arial"/>
        </w:rPr>
        <w:t>ejecución</w:t>
      </w:r>
      <w:r w:rsidRPr="1A0F71D1">
        <w:rPr>
          <w:rFonts w:eastAsia="Arial" w:cs="Arial"/>
        </w:rPr>
        <w:t xml:space="preserve">, y los </w:t>
      </w:r>
      <w:r>
        <w:rPr>
          <w:rFonts w:eastAsia="Arial" w:cs="Arial"/>
        </w:rPr>
        <w:t>d</w:t>
      </w:r>
      <w:r w:rsidRPr="1A0F71D1">
        <w:rPr>
          <w:rFonts w:eastAsia="Arial" w:cs="Arial"/>
        </w:rPr>
        <w:t>ocumentos presupuestales (</w:t>
      </w:r>
      <w:r>
        <w:rPr>
          <w:rFonts w:eastAsia="Arial" w:cs="Arial"/>
        </w:rPr>
        <w:t>r</w:t>
      </w:r>
      <w:r w:rsidRPr="1A0F71D1">
        <w:rPr>
          <w:rFonts w:eastAsia="Arial" w:cs="Arial"/>
        </w:rPr>
        <w:t xml:space="preserve">esolución de pago, </w:t>
      </w:r>
      <w:r>
        <w:rPr>
          <w:rFonts w:eastAsia="Arial" w:cs="Arial"/>
        </w:rPr>
        <w:t>c</w:t>
      </w:r>
      <w:r w:rsidRPr="1A0F71D1">
        <w:rPr>
          <w:rFonts w:eastAsia="Arial" w:cs="Arial"/>
        </w:rPr>
        <w:t xml:space="preserve">omprobante de </w:t>
      </w:r>
      <w:r>
        <w:rPr>
          <w:rFonts w:eastAsia="Arial" w:cs="Arial"/>
        </w:rPr>
        <w:t>e</w:t>
      </w:r>
      <w:r w:rsidRPr="1A0F71D1">
        <w:rPr>
          <w:rFonts w:eastAsia="Arial" w:cs="Arial"/>
        </w:rPr>
        <w:t xml:space="preserve">gresos, </w:t>
      </w:r>
      <w:r>
        <w:rPr>
          <w:rFonts w:eastAsia="Arial" w:cs="Arial"/>
        </w:rPr>
        <w:t>r</w:t>
      </w:r>
      <w:r w:rsidRPr="1A0F71D1">
        <w:rPr>
          <w:rFonts w:eastAsia="Arial" w:cs="Arial"/>
        </w:rPr>
        <w:t xml:space="preserve">egistros </w:t>
      </w:r>
      <w:r>
        <w:rPr>
          <w:rFonts w:eastAsia="Arial" w:cs="Arial"/>
        </w:rPr>
        <w:t>p</w:t>
      </w:r>
      <w:r w:rsidRPr="1A0F71D1">
        <w:rPr>
          <w:rFonts w:eastAsia="Arial" w:cs="Arial"/>
        </w:rPr>
        <w:t>resupuestales, entre otros)</w:t>
      </w:r>
      <w:r w:rsidR="00017D28">
        <w:rPr>
          <w:rFonts w:eastAsia="Arial" w:cs="Arial"/>
        </w:rPr>
        <w:t xml:space="preserve">, </w:t>
      </w:r>
      <w:r w:rsidRPr="1A0F71D1">
        <w:rPr>
          <w:rFonts w:eastAsia="Arial" w:cs="Arial"/>
        </w:rPr>
        <w:t>como se relaciona a continuación en el cuadro:</w:t>
      </w:r>
    </w:p>
    <w:p w14:paraId="08CE0AC6" w14:textId="77777777" w:rsidR="000C1D69" w:rsidRDefault="000C1D69">
      <w:pPr>
        <w:spacing w:line="240" w:lineRule="auto"/>
        <w:contextualSpacing/>
        <w:jc w:val="both"/>
        <w:rPr>
          <w:rFonts w:eastAsia="Arial" w:cs="Arial"/>
        </w:rPr>
      </w:pPr>
    </w:p>
    <w:p w14:paraId="637FFD6F" w14:textId="77777777" w:rsidR="007B05AE" w:rsidRPr="005370C5" w:rsidRDefault="007B05AE">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Pr>
          <w:rFonts w:eastAsia="Arial" w:cs="Arial"/>
          <w:b/>
          <w:bCs/>
          <w:sz w:val="20"/>
          <w:szCs w:val="20"/>
        </w:rPr>
        <w:t>1</w:t>
      </w:r>
      <w:r w:rsidR="00AA749C">
        <w:rPr>
          <w:rFonts w:eastAsia="Arial" w:cs="Arial"/>
          <w:b/>
          <w:bCs/>
          <w:sz w:val="20"/>
          <w:szCs w:val="20"/>
        </w:rPr>
        <w:t>8</w:t>
      </w:r>
    </w:p>
    <w:p w14:paraId="402A6B4F" w14:textId="77777777" w:rsidR="007B05AE" w:rsidRDefault="007B05AE">
      <w:pPr>
        <w:spacing w:after="0" w:line="240" w:lineRule="auto"/>
        <w:contextualSpacing/>
        <w:jc w:val="center"/>
        <w:rPr>
          <w:rFonts w:eastAsia="Arial" w:cs="Arial"/>
          <w:sz w:val="20"/>
          <w:szCs w:val="20"/>
        </w:rPr>
      </w:pPr>
      <w:r>
        <w:rPr>
          <w:rFonts w:eastAsia="Arial" w:cs="Arial"/>
          <w:sz w:val="20"/>
          <w:szCs w:val="20"/>
        </w:rPr>
        <w:t>Contratos con documentación pendiente de cargar</w:t>
      </w:r>
    </w:p>
    <w:p w14:paraId="36638353" w14:textId="77777777" w:rsidR="007B05AE" w:rsidRDefault="007B05AE">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8819" w:type="dxa"/>
        <w:jc w:val="center"/>
        <w:tblCellMar>
          <w:top w:w="15" w:type="dxa"/>
          <w:left w:w="70" w:type="dxa"/>
          <w:bottom w:w="15" w:type="dxa"/>
          <w:right w:w="70" w:type="dxa"/>
        </w:tblCellMar>
        <w:tblLook w:val="04A0" w:firstRow="1" w:lastRow="0" w:firstColumn="1" w:lastColumn="0" w:noHBand="0" w:noVBand="1"/>
      </w:tblPr>
      <w:tblGrid>
        <w:gridCol w:w="1435"/>
        <w:gridCol w:w="901"/>
        <w:gridCol w:w="1021"/>
        <w:gridCol w:w="1380"/>
        <w:gridCol w:w="871"/>
        <w:gridCol w:w="971"/>
        <w:gridCol w:w="1231"/>
        <w:gridCol w:w="1091"/>
      </w:tblGrid>
      <w:tr w:rsidR="00727F32" w:rsidRPr="00727F32" w14:paraId="5B69C83E" w14:textId="77777777" w:rsidTr="00727F32">
        <w:trPr>
          <w:trHeight w:val="20"/>
          <w:jc w:val="center"/>
        </w:trPr>
        <w:tc>
          <w:tcPr>
            <w:tcW w:w="1435" w:type="dxa"/>
            <w:tcBorders>
              <w:top w:val="nil"/>
              <w:left w:val="nil"/>
              <w:bottom w:val="nil"/>
              <w:right w:val="nil"/>
            </w:tcBorders>
            <w:noWrap/>
            <w:vAlign w:val="bottom"/>
            <w:hideMark/>
          </w:tcPr>
          <w:p w14:paraId="22B1E7E3" w14:textId="77777777" w:rsidR="007E3531" w:rsidRPr="002C436F" w:rsidRDefault="007E3531" w:rsidP="001729F6">
            <w:pPr>
              <w:spacing w:after="0" w:line="240" w:lineRule="auto"/>
              <w:contextualSpacing/>
              <w:rPr>
                <w:rFonts w:ascii="Times New Roman" w:eastAsia="Times New Roman" w:hAnsi="Times New Roman" w:cs="Times New Roman"/>
                <w:sz w:val="18"/>
                <w:szCs w:val="18"/>
                <w:lang w:val="es-CO" w:eastAsia="es-CO"/>
              </w:rPr>
            </w:pPr>
          </w:p>
        </w:tc>
        <w:tc>
          <w:tcPr>
            <w:tcW w:w="0" w:type="auto"/>
            <w:gridSpan w:val="7"/>
            <w:tcBorders>
              <w:top w:val="single" w:sz="4" w:space="0" w:color="auto"/>
              <w:left w:val="single" w:sz="4" w:space="0" w:color="auto"/>
              <w:bottom w:val="single" w:sz="4" w:space="0" w:color="auto"/>
              <w:right w:val="nil"/>
            </w:tcBorders>
            <w:shd w:val="clear" w:color="000000" w:fill="666699"/>
            <w:vAlign w:val="center"/>
            <w:hideMark/>
          </w:tcPr>
          <w:p w14:paraId="1E19B60D" w14:textId="77777777" w:rsidR="007E3531" w:rsidRPr="002C436F" w:rsidRDefault="007E3531" w:rsidP="001729F6">
            <w:pPr>
              <w:spacing w:after="0" w:line="240" w:lineRule="auto"/>
              <w:contextualSpacing/>
              <w:jc w:val="center"/>
              <w:rPr>
                <w:rFonts w:eastAsia="Times New Roman" w:cs="Arial"/>
                <w:b/>
                <w:bCs/>
                <w:color w:val="FFFFFF"/>
                <w:sz w:val="18"/>
                <w:szCs w:val="18"/>
                <w:lang w:val="es-CO" w:eastAsia="es-CO"/>
              </w:rPr>
            </w:pPr>
            <w:r w:rsidRPr="002C436F">
              <w:rPr>
                <w:rFonts w:eastAsia="Times New Roman" w:cs="Arial"/>
                <w:b/>
                <w:bCs/>
                <w:color w:val="FFFFFF"/>
                <w:sz w:val="18"/>
                <w:szCs w:val="18"/>
                <w:lang w:val="es-CO" w:eastAsia="es-CO"/>
              </w:rPr>
              <w:t xml:space="preserve">Documentación faltante </w:t>
            </w:r>
          </w:p>
        </w:tc>
      </w:tr>
      <w:tr w:rsidR="007E3531" w:rsidRPr="007E3531" w14:paraId="1D0F8B41" w14:textId="77777777" w:rsidTr="002C436F">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0433E338" w14:textId="77777777" w:rsidR="007E3531" w:rsidRPr="002C436F" w:rsidRDefault="007E3531" w:rsidP="001729F6">
            <w:pPr>
              <w:spacing w:after="0" w:line="240" w:lineRule="auto"/>
              <w:contextualSpacing/>
              <w:jc w:val="center"/>
              <w:rPr>
                <w:rFonts w:eastAsia="Times New Roman" w:cs="Arial"/>
                <w:b/>
                <w:bCs/>
                <w:color w:val="FFFFFF"/>
                <w:sz w:val="18"/>
                <w:szCs w:val="18"/>
                <w:lang w:val="es-CO" w:eastAsia="es-CO"/>
              </w:rPr>
            </w:pPr>
            <w:r w:rsidRPr="002C436F">
              <w:rPr>
                <w:rFonts w:eastAsia="Times New Roman" w:cs="Arial"/>
                <w:b/>
                <w:bCs/>
                <w:color w:val="FFFFFF"/>
                <w:sz w:val="18"/>
                <w:szCs w:val="18"/>
                <w:lang w:val="es-CO" w:eastAsia="es-CO"/>
              </w:rPr>
              <w:t>Número del proceso</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55A09603"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Estudios previos</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0CA7D38D"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 xml:space="preserve">Propuesta </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1D6B6F43"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Certificado de Disponibilidad Pres</w:t>
            </w:r>
            <w:r w:rsidR="007577E7">
              <w:rPr>
                <w:rFonts w:eastAsia="Times New Roman" w:cs="Arial"/>
                <w:b/>
                <w:bCs/>
                <w:color w:val="000000"/>
                <w:sz w:val="18"/>
                <w:szCs w:val="18"/>
                <w:lang w:val="es-CO" w:eastAsia="es-CO"/>
              </w:rPr>
              <w:t>u</w:t>
            </w:r>
            <w:r w:rsidRPr="002C436F">
              <w:rPr>
                <w:rFonts w:eastAsia="Times New Roman" w:cs="Arial"/>
                <w:b/>
                <w:bCs/>
                <w:color w:val="000000"/>
                <w:sz w:val="18"/>
                <w:szCs w:val="18"/>
                <w:lang w:val="es-CO" w:eastAsia="es-CO"/>
              </w:rPr>
              <w:t>puestal</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3D98292B"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Órdenes de pago</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11702992"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Informes de ejecución</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16F77C71"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Informes de supervisión o interventoría</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2F6DA995"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Acta de liquidación</w:t>
            </w:r>
          </w:p>
        </w:tc>
      </w:tr>
      <w:tr w:rsidR="007E3531" w:rsidRPr="007E3531" w14:paraId="6C7D754A" w14:textId="77777777" w:rsidTr="002C436F">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785DF315"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CPS-022-2018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7436EDB"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10095B7" w14:textId="77777777" w:rsidR="007E3531" w:rsidRPr="002C436F" w:rsidRDefault="007E3531"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E7C2BE8"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CAD0D04"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5D93E77"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A3E1B86"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BB2914F"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p>
        </w:tc>
      </w:tr>
      <w:tr w:rsidR="007E3531" w:rsidRPr="007E3531" w14:paraId="2F88D0B0" w14:textId="77777777" w:rsidTr="002C436F">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24097FCF"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lastRenderedPageBreak/>
              <w:t>CPS-039-2018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B78FFA5"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BF40F72" w14:textId="77777777" w:rsidR="007E3531" w:rsidRPr="002C436F" w:rsidRDefault="007E3531"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D014C3A"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5D60F4F"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016130E"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9E5D343"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0E65647"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p>
        </w:tc>
      </w:tr>
      <w:tr w:rsidR="007E3531" w:rsidRPr="007E3531" w14:paraId="27906827" w14:textId="77777777" w:rsidTr="002C436F">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2EBAC32F"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PS-MC-001-2018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DDEB458"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3B97EBD"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E4012A5"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B1812B0"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591E679"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9435F3D"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8A9723D"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p>
        </w:tc>
      </w:tr>
      <w:tr w:rsidR="007E3531" w:rsidRPr="007E3531" w14:paraId="0DE53B71" w14:textId="77777777" w:rsidTr="002C436F">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69F85969"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CPS-027-2019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78B08A7"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BD7E402" w14:textId="77777777" w:rsidR="007E3531" w:rsidRPr="002C436F" w:rsidRDefault="007E3531"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452E597"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B3E828F"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8238456"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598AFA8"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D97A6C3"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p>
        </w:tc>
      </w:tr>
      <w:tr w:rsidR="007E3531" w:rsidRPr="007E3531" w14:paraId="72C7E15B" w14:textId="77777777" w:rsidTr="002C436F">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2E262529"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CPS-021-2019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6C57D6"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F725A39"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0FC205D"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3725998"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4E3CC79"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2816E6"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7034056"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r>
      <w:tr w:rsidR="007E3531" w:rsidRPr="007E3531" w14:paraId="447DDB2A" w14:textId="77777777" w:rsidTr="002C436F">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791D5026"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CPS-079-2019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498B7D0"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D0AA10" w14:textId="77777777" w:rsidR="007E3531" w:rsidRPr="002C436F" w:rsidRDefault="007E3531"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D18F942"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21F43D4"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479D03E"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036A526"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B6A9FB5"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r>
      <w:tr w:rsidR="007E3531" w:rsidRPr="007E3531" w14:paraId="6AB072A8" w14:textId="77777777" w:rsidTr="002C436F">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2B4DB034"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CPS-044-2020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E6D7B7A"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26E731" w14:textId="77777777" w:rsidR="007E3531" w:rsidRPr="002C436F" w:rsidRDefault="007E3531"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47FFD8B"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D2EA6EB"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1C67504"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583E6A9"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0348A75"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p>
        </w:tc>
      </w:tr>
      <w:tr w:rsidR="007E3531" w:rsidRPr="007E3531" w14:paraId="16AE6AB1" w14:textId="77777777" w:rsidTr="002C436F">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0E2B942A"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CPS-048-2020</w:t>
            </w:r>
          </w:p>
        </w:tc>
        <w:tc>
          <w:tcPr>
            <w:tcW w:w="0" w:type="auto"/>
            <w:tcBorders>
              <w:top w:val="single" w:sz="4" w:space="0" w:color="auto"/>
              <w:left w:val="single" w:sz="4" w:space="0" w:color="auto"/>
              <w:bottom w:val="nil"/>
              <w:right w:val="single" w:sz="4" w:space="0" w:color="auto"/>
            </w:tcBorders>
            <w:noWrap/>
            <w:vAlign w:val="bottom"/>
            <w:hideMark/>
          </w:tcPr>
          <w:p w14:paraId="38DFCFC6"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nil"/>
              <w:right w:val="single" w:sz="4" w:space="0" w:color="auto"/>
            </w:tcBorders>
            <w:noWrap/>
            <w:vAlign w:val="bottom"/>
            <w:hideMark/>
          </w:tcPr>
          <w:p w14:paraId="7D32A176" w14:textId="77777777" w:rsidR="007E3531" w:rsidRPr="002C436F" w:rsidRDefault="007E3531"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nil"/>
              <w:right w:val="single" w:sz="4" w:space="0" w:color="auto"/>
            </w:tcBorders>
            <w:noWrap/>
            <w:vAlign w:val="bottom"/>
            <w:hideMark/>
          </w:tcPr>
          <w:p w14:paraId="1A693776"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nil"/>
              <w:right w:val="single" w:sz="4" w:space="0" w:color="auto"/>
            </w:tcBorders>
            <w:noWrap/>
            <w:vAlign w:val="bottom"/>
            <w:hideMark/>
          </w:tcPr>
          <w:p w14:paraId="51816CA1"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nil"/>
              <w:right w:val="single" w:sz="4" w:space="0" w:color="auto"/>
            </w:tcBorders>
            <w:noWrap/>
            <w:vAlign w:val="bottom"/>
            <w:hideMark/>
          </w:tcPr>
          <w:p w14:paraId="6D313041"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nil"/>
              <w:right w:val="single" w:sz="4" w:space="0" w:color="auto"/>
            </w:tcBorders>
            <w:noWrap/>
            <w:vAlign w:val="bottom"/>
            <w:hideMark/>
          </w:tcPr>
          <w:p w14:paraId="131530AA"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auto"/>
              <w:left w:val="single" w:sz="4" w:space="0" w:color="auto"/>
              <w:bottom w:val="nil"/>
              <w:right w:val="single" w:sz="4" w:space="0" w:color="auto"/>
            </w:tcBorders>
            <w:noWrap/>
            <w:vAlign w:val="bottom"/>
            <w:hideMark/>
          </w:tcPr>
          <w:p w14:paraId="2EF8B7C2"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p>
        </w:tc>
      </w:tr>
      <w:tr w:rsidR="007E3531" w:rsidRPr="007E3531" w14:paraId="49297D6B" w14:textId="77777777" w:rsidTr="002C436F">
        <w:trPr>
          <w:trHeight w:val="20"/>
          <w:jc w:val="center"/>
        </w:trPr>
        <w:tc>
          <w:tcPr>
            <w:tcW w:w="1435" w:type="dxa"/>
            <w:tcBorders>
              <w:top w:val="single" w:sz="4" w:space="0" w:color="auto"/>
              <w:left w:val="single" w:sz="4" w:space="0" w:color="auto"/>
              <w:bottom w:val="single" w:sz="4" w:space="0" w:color="auto"/>
              <w:right w:val="nil"/>
            </w:tcBorders>
            <w:shd w:val="clear" w:color="000000" w:fill="CCCCFF"/>
            <w:vAlign w:val="center"/>
            <w:hideMark/>
          </w:tcPr>
          <w:p w14:paraId="3C3FBA47"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PS-MC-SEM-026-2020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3DA158C"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079A14F"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52E1A82"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4BBB9A7"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0CE1FFF"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EAE5BDE"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2073282"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r>
      <w:tr w:rsidR="007E3531" w:rsidRPr="007E3531" w14:paraId="0B580D18" w14:textId="77777777" w:rsidTr="002C436F">
        <w:trPr>
          <w:trHeight w:val="20"/>
          <w:jc w:val="center"/>
        </w:trPr>
        <w:tc>
          <w:tcPr>
            <w:tcW w:w="1435" w:type="dxa"/>
            <w:tcBorders>
              <w:top w:val="single" w:sz="4" w:space="0" w:color="auto"/>
              <w:left w:val="single" w:sz="4" w:space="0" w:color="auto"/>
              <w:bottom w:val="single" w:sz="4" w:space="0" w:color="auto"/>
              <w:right w:val="nil"/>
            </w:tcBorders>
            <w:shd w:val="clear" w:color="000000" w:fill="CCCCFF"/>
            <w:vAlign w:val="center"/>
            <w:hideMark/>
          </w:tcPr>
          <w:p w14:paraId="57BD43B1"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r w:rsidRPr="002C436F">
              <w:rPr>
                <w:rFonts w:eastAsia="Times New Roman" w:cs="Arial"/>
                <w:b/>
                <w:bCs/>
                <w:color w:val="000000"/>
                <w:sz w:val="18"/>
                <w:szCs w:val="18"/>
                <w:lang w:val="es-CO" w:eastAsia="es-CO"/>
              </w:rPr>
              <w:t>PS-MC-SEM-045-2020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2DAC4A1" w14:textId="77777777" w:rsidR="007E3531" w:rsidRPr="002C436F" w:rsidRDefault="007E3531"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DB61A78"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E226075"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7DB53E1"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2D9D75"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4FE4640"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9DA00A9" w14:textId="77777777" w:rsidR="007E3531" w:rsidRPr="002C436F" w:rsidRDefault="007E3531" w:rsidP="001729F6">
            <w:pPr>
              <w:spacing w:after="0" w:line="240" w:lineRule="auto"/>
              <w:contextualSpacing/>
              <w:jc w:val="center"/>
              <w:rPr>
                <w:rFonts w:eastAsia="Times New Roman" w:cs="Arial"/>
                <w:color w:val="000000"/>
                <w:sz w:val="18"/>
                <w:szCs w:val="18"/>
                <w:lang w:val="es-CO" w:eastAsia="es-CO"/>
              </w:rPr>
            </w:pPr>
            <w:r w:rsidRPr="002C436F">
              <w:rPr>
                <w:rFonts w:eastAsia="Times New Roman" w:cs="Arial"/>
                <w:color w:val="000000"/>
                <w:sz w:val="18"/>
                <w:szCs w:val="18"/>
                <w:lang w:val="es-CO" w:eastAsia="es-CO"/>
              </w:rPr>
              <w:t>X</w:t>
            </w:r>
          </w:p>
        </w:tc>
      </w:tr>
    </w:tbl>
    <w:p w14:paraId="4BFAFFF3" w14:textId="77777777" w:rsidR="00083C46" w:rsidRPr="00FB27C3" w:rsidRDefault="00083C46">
      <w:pPr>
        <w:spacing w:line="240" w:lineRule="auto"/>
        <w:contextualSpacing/>
        <w:jc w:val="center"/>
        <w:rPr>
          <w:rFonts w:eastAsia="Arial" w:cs="Arial"/>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7739E9E3" w14:textId="77777777" w:rsidR="0007452F" w:rsidRDefault="0007452F">
      <w:pPr>
        <w:spacing w:line="240" w:lineRule="auto"/>
        <w:contextualSpacing/>
        <w:jc w:val="both"/>
        <w:rPr>
          <w:rFonts w:eastAsia="Arial" w:cs="Arial"/>
        </w:rPr>
      </w:pPr>
    </w:p>
    <w:p w14:paraId="03CE96CA" w14:textId="77777777" w:rsidR="002C436F" w:rsidRDefault="00136708">
      <w:pPr>
        <w:spacing w:line="240" w:lineRule="auto"/>
        <w:contextualSpacing/>
        <w:jc w:val="both"/>
        <w:rPr>
          <w:rFonts w:eastAsia="Arial" w:cs="Arial"/>
        </w:rPr>
      </w:pPr>
      <w:r>
        <w:rPr>
          <w:rFonts w:eastAsia="Arial" w:cs="Arial"/>
        </w:rPr>
        <w:t xml:space="preserve">Si bien el proceso de liquidación de los contratos no es obligatorio, en sede de reconocimiento virtual se abordó </w:t>
      </w:r>
      <w:r w:rsidR="00286F4A">
        <w:rPr>
          <w:rFonts w:eastAsia="Arial" w:cs="Arial"/>
        </w:rPr>
        <w:t xml:space="preserve">este </w:t>
      </w:r>
      <w:r>
        <w:rPr>
          <w:rFonts w:eastAsia="Arial" w:cs="Arial"/>
        </w:rPr>
        <w:t xml:space="preserve">proceso </w:t>
      </w:r>
      <w:r w:rsidR="00286F4A">
        <w:rPr>
          <w:rFonts w:eastAsia="Arial" w:cs="Arial"/>
        </w:rPr>
        <w:t xml:space="preserve">a partir de lo </w:t>
      </w:r>
      <w:r>
        <w:rPr>
          <w:rFonts w:eastAsia="Arial" w:cs="Arial"/>
        </w:rPr>
        <w:t>que realiza el Municipio de Puerto Leguízamo – Putumayo, en donde indicó que el supervisor de cada contrato realiza un acta al finalizar la ejecución de</w:t>
      </w:r>
      <w:r w:rsidR="00286F4A">
        <w:rPr>
          <w:rFonts w:eastAsia="Arial" w:cs="Arial"/>
        </w:rPr>
        <w:t xml:space="preserve"> cada uno de ellos</w:t>
      </w:r>
      <w:r w:rsidR="002C436F">
        <w:rPr>
          <w:rFonts w:eastAsia="Arial" w:cs="Arial"/>
        </w:rPr>
        <w:t>,</w:t>
      </w:r>
      <w:r>
        <w:rPr>
          <w:rFonts w:eastAsia="Arial" w:cs="Arial"/>
        </w:rPr>
        <w:t xml:space="preserve"> en donde </w:t>
      </w:r>
      <w:r w:rsidR="002C436F">
        <w:rPr>
          <w:rFonts w:eastAsia="Arial" w:cs="Arial"/>
        </w:rPr>
        <w:t>se d</w:t>
      </w:r>
      <w:r>
        <w:rPr>
          <w:rFonts w:eastAsia="Arial" w:cs="Arial"/>
        </w:rPr>
        <w:t>a cuenta del cumplimiento del objeto contractual y de las posibles obligaciones que pudieron haber queda</w:t>
      </w:r>
      <w:r w:rsidR="002873C1">
        <w:rPr>
          <w:rFonts w:eastAsia="Arial" w:cs="Arial"/>
        </w:rPr>
        <w:t>d</w:t>
      </w:r>
      <w:r>
        <w:rPr>
          <w:rFonts w:eastAsia="Arial" w:cs="Arial"/>
        </w:rPr>
        <w:t>o pendientes</w:t>
      </w:r>
      <w:r w:rsidR="002C436F">
        <w:rPr>
          <w:rFonts w:eastAsia="Arial" w:cs="Arial"/>
        </w:rPr>
        <w:t>,</w:t>
      </w:r>
      <w:r>
        <w:rPr>
          <w:rFonts w:eastAsia="Arial" w:cs="Arial"/>
        </w:rPr>
        <w:t xml:space="preserve"> con el fin de liquidar bilateralmente estos contratos</w:t>
      </w:r>
      <w:r w:rsidR="00424860">
        <w:rPr>
          <w:rFonts w:eastAsia="Arial" w:cs="Arial"/>
        </w:rPr>
        <w:t>;</w:t>
      </w:r>
      <w:r>
        <w:rPr>
          <w:rFonts w:eastAsia="Arial" w:cs="Arial"/>
        </w:rPr>
        <w:t xml:space="preserve"> </w:t>
      </w:r>
      <w:r w:rsidR="00424860">
        <w:rPr>
          <w:rFonts w:eastAsia="Arial" w:cs="Arial"/>
        </w:rPr>
        <w:t>es así como, para los casos de los contratos que tienen este documento sin publicar mencionados en la tabla anterior</w:t>
      </w:r>
      <w:r w:rsidR="002873C1">
        <w:rPr>
          <w:rFonts w:eastAsia="Arial" w:cs="Arial"/>
        </w:rPr>
        <w:t>,</w:t>
      </w:r>
      <w:r w:rsidR="00424860">
        <w:rPr>
          <w:rFonts w:eastAsia="Arial" w:cs="Arial"/>
        </w:rPr>
        <w:t xml:space="preserve"> se evidenció que se realizó el acta de liquidación bilateral y esta se encuentra en el expediente contractual correspondiente, </w:t>
      </w:r>
      <w:r>
        <w:rPr>
          <w:rFonts w:eastAsia="Arial" w:cs="Arial"/>
        </w:rPr>
        <w:t xml:space="preserve">razón por la cual se evidencia la existencia de dichos documentos que deben publicarse también en la </w:t>
      </w:r>
      <w:r w:rsidR="00286F4A">
        <w:rPr>
          <w:rFonts w:eastAsia="Arial" w:cs="Arial"/>
        </w:rPr>
        <w:t>P</w:t>
      </w:r>
      <w:r>
        <w:rPr>
          <w:rFonts w:eastAsia="Arial" w:cs="Arial"/>
        </w:rPr>
        <w:t>lataforma SECOP</w:t>
      </w:r>
      <w:r w:rsidR="00376010">
        <w:rPr>
          <w:rFonts w:eastAsia="Arial" w:cs="Arial"/>
        </w:rPr>
        <w:t xml:space="preserve"> en el entendido de que hacen parte del proceso contractual</w:t>
      </w:r>
      <w:r w:rsidR="00807470">
        <w:rPr>
          <w:rFonts w:eastAsia="Arial" w:cs="Arial"/>
        </w:rPr>
        <w:t>, según lo establecido en el Decreto 1082 de 2015 referente a la publicación de la totalidad de los documentos del proceso contractual</w:t>
      </w:r>
      <w:r>
        <w:rPr>
          <w:rFonts w:eastAsia="Arial" w:cs="Arial"/>
        </w:rPr>
        <w:t xml:space="preserve">. </w:t>
      </w:r>
    </w:p>
    <w:p w14:paraId="277B7776" w14:textId="77777777" w:rsidR="002C436F" w:rsidRDefault="002C436F">
      <w:pPr>
        <w:spacing w:line="240" w:lineRule="auto"/>
        <w:contextualSpacing/>
        <w:jc w:val="both"/>
        <w:rPr>
          <w:rFonts w:eastAsia="Arial" w:cs="Arial"/>
        </w:rPr>
      </w:pPr>
    </w:p>
    <w:p w14:paraId="46A2A68F" w14:textId="77777777" w:rsidR="00472C85" w:rsidRDefault="00472C85">
      <w:pPr>
        <w:spacing w:line="240" w:lineRule="auto"/>
        <w:contextualSpacing/>
        <w:jc w:val="both"/>
        <w:rPr>
          <w:rFonts w:eastAsia="Arial" w:cs="Arial"/>
        </w:rPr>
      </w:pPr>
      <w:r w:rsidRPr="1A0F71D1">
        <w:rPr>
          <w:rFonts w:eastAsia="Arial" w:cs="Arial"/>
        </w:rPr>
        <w:t xml:space="preserve">Con lo anterior, se soporta que en el SECOP no se cuenta con la documentación pertinente que permita ver la trazabilidad de los contratos celebrados por el </w:t>
      </w:r>
      <w:r>
        <w:rPr>
          <w:rFonts w:eastAsia="Arial" w:cs="Arial"/>
        </w:rPr>
        <w:t>M</w:t>
      </w:r>
      <w:r w:rsidRPr="1A0F71D1">
        <w:rPr>
          <w:rFonts w:eastAsia="Arial" w:cs="Arial"/>
        </w:rPr>
        <w:t>unicipio en sus diferentes etapas</w:t>
      </w:r>
      <w:r w:rsidR="00EC1451">
        <w:rPr>
          <w:rFonts w:eastAsia="Arial" w:cs="Arial"/>
        </w:rPr>
        <w:t>, lo cual incumple la normativa</w:t>
      </w:r>
      <w:r w:rsidR="007A753D">
        <w:rPr>
          <w:rFonts w:eastAsia="Arial" w:cs="Arial"/>
        </w:rPr>
        <w:t>, específicamente lo</w:t>
      </w:r>
      <w:r w:rsidR="007A753D">
        <w:t xml:space="preserve"> preceptuado en los artículos 2.2.1.1.1.7.1</w:t>
      </w:r>
      <w:r w:rsidR="00EF133D">
        <w:t xml:space="preserve"> y</w:t>
      </w:r>
      <w:r w:rsidR="007A753D">
        <w:t xml:space="preserve"> 2.2.2.1.8.3 del Decreto 1082 de 2015 en lo relacionado con “</w:t>
      </w:r>
      <w:r w:rsidR="007A753D">
        <w:rPr>
          <w:i/>
          <w:iCs/>
        </w:rPr>
        <w:t>la publicidad de los procedimientos, documentos y actos asociados a los procesos de contratación”</w:t>
      </w:r>
      <w:r w:rsidR="007A753D">
        <w:rPr>
          <w:rFonts w:eastAsia="Arial" w:cs="Arial"/>
        </w:rPr>
        <w:t>.</w:t>
      </w:r>
    </w:p>
    <w:p w14:paraId="68DC9ABB" w14:textId="77777777" w:rsidR="00781A97" w:rsidRDefault="00781A97">
      <w:pPr>
        <w:spacing w:line="240" w:lineRule="auto"/>
        <w:contextualSpacing/>
        <w:rPr>
          <w:rFonts w:eastAsia="Arial" w:cs="Arial"/>
        </w:rPr>
      </w:pPr>
    </w:p>
    <w:p w14:paraId="7228EF84" w14:textId="77777777" w:rsidR="00D76594" w:rsidRPr="00D76594" w:rsidRDefault="00D76594">
      <w:pPr>
        <w:pStyle w:val="Prrafodelista"/>
        <w:numPr>
          <w:ilvl w:val="1"/>
          <w:numId w:val="32"/>
        </w:numPr>
        <w:spacing w:line="240" w:lineRule="auto"/>
        <w:rPr>
          <w:rFonts w:eastAsia="Arial" w:cs="Arial"/>
          <w:b/>
          <w:bCs/>
        </w:rPr>
      </w:pPr>
      <w:r w:rsidRPr="00D76594">
        <w:rPr>
          <w:rFonts w:eastAsia="Arial" w:cs="Arial"/>
          <w:b/>
          <w:bCs/>
        </w:rPr>
        <w:t xml:space="preserve">PROYECTOS DE INVERSIÓN </w:t>
      </w:r>
    </w:p>
    <w:p w14:paraId="27799743" w14:textId="77777777" w:rsidR="00B6513B" w:rsidRDefault="00B6513B">
      <w:pPr>
        <w:spacing w:line="240" w:lineRule="auto"/>
        <w:contextualSpacing/>
        <w:jc w:val="both"/>
      </w:pPr>
    </w:p>
    <w:p w14:paraId="7EACA600" w14:textId="77777777" w:rsidR="00781A97" w:rsidRDefault="00781A97">
      <w:pPr>
        <w:spacing w:line="240" w:lineRule="auto"/>
        <w:contextualSpacing/>
        <w:jc w:val="both"/>
      </w:pPr>
      <w:r>
        <w:t xml:space="preserve">La planeación </w:t>
      </w:r>
      <w:r w:rsidR="00283010">
        <w:t>es</w:t>
      </w:r>
      <w:r>
        <w:t xml:space="preserve"> un elemento clave en la gestión pública</w:t>
      </w:r>
      <w:r w:rsidR="00D84AE7">
        <w:t>,</w:t>
      </w:r>
      <w:r>
        <w:t xml:space="preserve"> ya que permite a los gobernantes de los distintos niveles de gobierno territoriales tener plasmado</w:t>
      </w:r>
      <w:r w:rsidR="00D84AE7">
        <w:t>s</w:t>
      </w:r>
      <w:r>
        <w:t xml:space="preserve"> los proyectos y las metas a ejecutar durante su paso por las administraciones municipales, departamentales y nacional. En este orden de ideas, el principal instrumento de planeación se contempla en la </w:t>
      </w:r>
      <w:r w:rsidR="004772FE">
        <w:t>L</w:t>
      </w:r>
      <w:r>
        <w:t>ey 152 de 1994, “</w:t>
      </w:r>
      <w:r w:rsidRPr="004772FE">
        <w:rPr>
          <w:i/>
          <w:iCs/>
        </w:rPr>
        <w:t>por la cual se establece la ley Orgánica del Plan de Desarrollo</w:t>
      </w:r>
      <w:r>
        <w:t>”</w:t>
      </w:r>
      <w:r w:rsidR="00D84AE7">
        <w:t>,</w:t>
      </w:r>
      <w:r>
        <w:t xml:space="preserve"> en donde se han </w:t>
      </w:r>
      <w:r w:rsidR="00D84AE7">
        <w:t>establecido</w:t>
      </w:r>
      <w:r>
        <w:t xml:space="preserve"> los lineamientos para la elaboración, aprobación, ejecución, seguimiento, evaluación y control de los planes de desarrollo, los cuales han sido claves para trazar la ruta de navegación de un gobierno y a partir de este</w:t>
      </w:r>
      <w:r w:rsidR="00D84AE7">
        <w:t>,</w:t>
      </w:r>
      <w:r>
        <w:t xml:space="preserve"> se ha podido determinar el cumplimiento de indicadores y metas propuestas. En este orden de ideas, en el artículo 36 se estableció que “</w:t>
      </w:r>
      <w:r w:rsidRPr="00ED2958">
        <w:rPr>
          <w:i/>
          <w:iCs/>
        </w:rPr>
        <w:t>En materia de elaboración, aprobación, ejecución seguimiento y evaluación de los planes de desarrollo de las entidades territoriales, se aplicarán, en cuanto sean compatibles, las mismas reglas previstas en esta Ley para el Plan Nacional de Desarrollo</w:t>
      </w:r>
      <w:r>
        <w:t>”.</w:t>
      </w:r>
    </w:p>
    <w:p w14:paraId="406944D6" w14:textId="77777777" w:rsidR="00A235A3" w:rsidRDefault="00A235A3">
      <w:pPr>
        <w:spacing w:line="240" w:lineRule="auto"/>
        <w:contextualSpacing/>
        <w:jc w:val="both"/>
      </w:pPr>
    </w:p>
    <w:p w14:paraId="2182A2E1" w14:textId="77777777" w:rsidR="00781A97" w:rsidRDefault="00781A97">
      <w:pPr>
        <w:spacing w:line="240" w:lineRule="auto"/>
        <w:contextualSpacing/>
        <w:jc w:val="both"/>
      </w:pPr>
      <w:r>
        <w:lastRenderedPageBreak/>
        <w:t>De este modo, en esta sección se analiza el Plan de Desarrollo Territorial de Puerto Leguizamo para el periodo 2020-2023 y su implementación a partir de otros instrumentos de planificación</w:t>
      </w:r>
      <w:r w:rsidR="00D84AE7">
        <w:t>,</w:t>
      </w:r>
      <w:r>
        <w:t xml:space="preserve"> como el Plan indicativo -</w:t>
      </w:r>
      <w:r w:rsidR="006110F3">
        <w:t xml:space="preserve"> </w:t>
      </w:r>
      <w:r>
        <w:t xml:space="preserve">PI, el </w:t>
      </w:r>
      <w:r w:rsidR="006110F3">
        <w:t>p</w:t>
      </w:r>
      <w:r>
        <w:t xml:space="preserve">resupuesto </w:t>
      </w:r>
      <w:r w:rsidR="006110F3">
        <w:t>g</w:t>
      </w:r>
      <w:r>
        <w:t>eneral y los Planes Operativos Anuales de Inversiones -</w:t>
      </w:r>
      <w:r w:rsidR="006110F3">
        <w:t xml:space="preserve"> </w:t>
      </w:r>
      <w:r>
        <w:t>POAI</w:t>
      </w:r>
      <w:r w:rsidR="006110F3">
        <w:t>;</w:t>
      </w:r>
      <w:r>
        <w:t xml:space="preserve"> en donde se permita dar cuenta de la manera en cómo se ha </w:t>
      </w:r>
      <w:r w:rsidR="00D84AE7">
        <w:t xml:space="preserve">planeado el </w:t>
      </w:r>
      <w:r>
        <w:t>uso de los recursos de la Participación Propósito General del SGP.</w:t>
      </w:r>
    </w:p>
    <w:p w14:paraId="2BAF631D" w14:textId="77777777" w:rsidR="006110F3" w:rsidRDefault="006110F3">
      <w:pPr>
        <w:spacing w:line="240" w:lineRule="auto"/>
        <w:contextualSpacing/>
        <w:jc w:val="both"/>
      </w:pPr>
    </w:p>
    <w:p w14:paraId="027A0D0E" w14:textId="77777777" w:rsidR="003F3D88" w:rsidRPr="003F3D88" w:rsidRDefault="003F3D88">
      <w:pPr>
        <w:pStyle w:val="Prrafodelista"/>
        <w:numPr>
          <w:ilvl w:val="0"/>
          <w:numId w:val="14"/>
        </w:numPr>
        <w:spacing w:line="240" w:lineRule="auto"/>
        <w:jc w:val="both"/>
        <w:rPr>
          <w:b/>
          <w:bCs/>
        </w:rPr>
      </w:pPr>
      <w:r w:rsidRPr="003F3D88">
        <w:rPr>
          <w:b/>
          <w:bCs/>
        </w:rPr>
        <w:t>Plan Indicativo 2020-2023 y reporte SIEE vigencias 2018 y 2019</w:t>
      </w:r>
      <w:r w:rsidR="00D10A77">
        <w:rPr>
          <w:b/>
          <w:bCs/>
        </w:rPr>
        <w:t>.</w:t>
      </w:r>
    </w:p>
    <w:p w14:paraId="1F538A6F" w14:textId="77777777" w:rsidR="00D10A77" w:rsidRDefault="00D10A77">
      <w:pPr>
        <w:spacing w:line="240" w:lineRule="auto"/>
        <w:contextualSpacing/>
        <w:jc w:val="both"/>
      </w:pPr>
    </w:p>
    <w:p w14:paraId="62F28E94" w14:textId="77777777" w:rsidR="003F3D88" w:rsidRDefault="003F3D88">
      <w:pPr>
        <w:spacing w:line="240" w:lineRule="auto"/>
        <w:contextualSpacing/>
        <w:jc w:val="both"/>
      </w:pPr>
      <w:r>
        <w:t xml:space="preserve">El Plan </w:t>
      </w:r>
      <w:r w:rsidR="00FD2163">
        <w:t>I</w:t>
      </w:r>
      <w:r>
        <w:t xml:space="preserve">ndicativo es un instrumento de planeación estratégica que complementa y contribuye a especificar el alcance de las disposiciones contenidas en el Plan de Desarrollo Territorial </w:t>
      </w:r>
      <w:r w:rsidR="00D10A77">
        <w:t xml:space="preserve">- </w:t>
      </w:r>
      <w:r>
        <w:t xml:space="preserve">PDT. A partir de este instrumento, es posible establecer el nivel de cumplimiento y avance del PDT. De este modo, su elaboración a partir de la parte estratégica </w:t>
      </w:r>
      <w:r w:rsidR="00FD2163">
        <w:t xml:space="preserve">del PDT </w:t>
      </w:r>
      <w:r>
        <w:t>y del Plan Plurianual de Inversiones, contribuye a aclarar y precisar las metas previstas en el PDT.</w:t>
      </w:r>
    </w:p>
    <w:p w14:paraId="0E54B4D6" w14:textId="77777777" w:rsidR="00373347" w:rsidRDefault="00373347">
      <w:pPr>
        <w:spacing w:line="240" w:lineRule="auto"/>
        <w:contextualSpacing/>
        <w:jc w:val="both"/>
      </w:pPr>
    </w:p>
    <w:p w14:paraId="62AA2CE3" w14:textId="77777777" w:rsidR="00D45DE0" w:rsidRDefault="003F3D88">
      <w:pPr>
        <w:spacing w:line="240" w:lineRule="auto"/>
        <w:contextualSpacing/>
        <w:jc w:val="both"/>
      </w:pPr>
      <w:r>
        <w:t xml:space="preserve">En este orden de ideas, el </w:t>
      </w:r>
      <w:r w:rsidR="00373347">
        <w:t>M</w:t>
      </w:r>
      <w:r>
        <w:t xml:space="preserve">unicipio remitió el Plan </w:t>
      </w:r>
      <w:r w:rsidR="00373347">
        <w:t>I</w:t>
      </w:r>
      <w:r>
        <w:t>ndicativo 2020</w:t>
      </w:r>
      <w:r w:rsidR="00FD2163">
        <w:t>–</w:t>
      </w:r>
      <w:r>
        <w:t>2023</w:t>
      </w:r>
      <w:r w:rsidR="00FD2163">
        <w:t>,</w:t>
      </w:r>
      <w:r>
        <w:t xml:space="preserve"> en donde fue posible identificar las metas y la distribución de recursos para cada año por sectores</w:t>
      </w:r>
      <w:r w:rsidR="00FD2163">
        <w:t>,</w:t>
      </w:r>
      <w:r>
        <w:t xml:space="preserve"> como se observa a continuación:</w:t>
      </w:r>
    </w:p>
    <w:p w14:paraId="3588F4AE" w14:textId="77777777" w:rsidR="00B6513B" w:rsidRDefault="00B6513B">
      <w:pPr>
        <w:spacing w:line="240" w:lineRule="auto"/>
        <w:contextualSpacing/>
        <w:jc w:val="both"/>
      </w:pPr>
    </w:p>
    <w:p w14:paraId="621F867C" w14:textId="77777777" w:rsidR="00D45DE0" w:rsidRPr="00D45DE0" w:rsidRDefault="00D45DE0" w:rsidP="00286F4A">
      <w:pPr>
        <w:spacing w:after="0" w:line="240" w:lineRule="auto"/>
        <w:contextualSpacing/>
        <w:jc w:val="center"/>
        <w:rPr>
          <w:b/>
          <w:bCs/>
          <w:sz w:val="20"/>
          <w:szCs w:val="20"/>
        </w:rPr>
      </w:pPr>
      <w:r w:rsidRPr="00D45DE0">
        <w:rPr>
          <w:b/>
          <w:bCs/>
          <w:sz w:val="20"/>
          <w:szCs w:val="20"/>
        </w:rPr>
        <w:t>Gráfico No. 5</w:t>
      </w:r>
    </w:p>
    <w:p w14:paraId="6E7723A0" w14:textId="77777777" w:rsidR="00D45DE0" w:rsidRPr="00D45DE0" w:rsidRDefault="00D45DE0">
      <w:pPr>
        <w:spacing w:after="0" w:line="240" w:lineRule="auto"/>
        <w:contextualSpacing/>
        <w:jc w:val="center"/>
        <w:rPr>
          <w:sz w:val="20"/>
          <w:szCs w:val="20"/>
        </w:rPr>
      </w:pPr>
      <w:r w:rsidRPr="00D45DE0">
        <w:rPr>
          <w:sz w:val="20"/>
          <w:szCs w:val="20"/>
        </w:rPr>
        <w:t xml:space="preserve">Distribución sectorial </w:t>
      </w:r>
      <w:r w:rsidR="00265B34">
        <w:rPr>
          <w:sz w:val="20"/>
          <w:szCs w:val="20"/>
        </w:rPr>
        <w:t>del</w:t>
      </w:r>
      <w:r w:rsidRPr="00D45DE0">
        <w:rPr>
          <w:sz w:val="20"/>
          <w:szCs w:val="20"/>
        </w:rPr>
        <w:t xml:space="preserve"> Plan Indicativo </w:t>
      </w:r>
    </w:p>
    <w:p w14:paraId="6B9EB67F" w14:textId="77777777" w:rsidR="00D45DE0" w:rsidRPr="00D45DE0" w:rsidRDefault="00D45DE0">
      <w:pPr>
        <w:spacing w:after="0" w:line="240" w:lineRule="auto"/>
        <w:contextualSpacing/>
        <w:jc w:val="center"/>
        <w:rPr>
          <w:sz w:val="20"/>
          <w:szCs w:val="20"/>
        </w:rPr>
      </w:pPr>
      <w:r w:rsidRPr="00D45DE0">
        <w:rPr>
          <w:sz w:val="20"/>
          <w:szCs w:val="20"/>
        </w:rPr>
        <w:t>Municipio de Puerto Leguízamo</w:t>
      </w:r>
      <w:r>
        <w:rPr>
          <w:sz w:val="20"/>
          <w:szCs w:val="20"/>
        </w:rPr>
        <w:t xml:space="preserve"> – </w:t>
      </w:r>
      <w:r w:rsidRPr="00D45DE0">
        <w:rPr>
          <w:sz w:val="20"/>
          <w:szCs w:val="20"/>
        </w:rPr>
        <w:t>Putumayo</w:t>
      </w:r>
      <w:r>
        <w:rPr>
          <w:sz w:val="20"/>
          <w:szCs w:val="20"/>
        </w:rPr>
        <w:t xml:space="preserve"> </w:t>
      </w:r>
    </w:p>
    <w:p w14:paraId="42CC0C44" w14:textId="77777777" w:rsidR="003F3D88" w:rsidRDefault="00AD7ADA">
      <w:pPr>
        <w:spacing w:line="240" w:lineRule="auto"/>
        <w:contextualSpacing/>
        <w:jc w:val="both"/>
      </w:pPr>
      <w:r>
        <w:rPr>
          <w:noProof/>
          <w:lang w:val="es-CO" w:eastAsia="es-CO"/>
        </w:rPr>
        <w:drawing>
          <wp:inline distT="0" distB="0" distL="0" distR="0" wp14:anchorId="1D3AA6F5" wp14:editId="6E23C284">
            <wp:extent cx="5400040" cy="4219575"/>
            <wp:effectExtent l="0" t="0" r="0" b="0"/>
            <wp:docPr id="4" name="Gráfico 4">
              <a:extLst xmlns:a="http://schemas.openxmlformats.org/drawingml/2006/main">
                <a:ext uri="{FF2B5EF4-FFF2-40B4-BE49-F238E27FC236}">
                  <a16:creationId xmlns:a16="http://schemas.microsoft.com/office/drawing/2014/main" id="{53D02543-4D5C-44E6-B703-D8252275A1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FF565C" w14:textId="77777777" w:rsidR="00D45DE0" w:rsidRPr="00FB27C3" w:rsidRDefault="00D45DE0">
      <w:pPr>
        <w:spacing w:line="240" w:lineRule="auto"/>
        <w:contextualSpacing/>
        <w:jc w:val="center"/>
        <w:rPr>
          <w:rFonts w:eastAsia="Arial" w:cs="Arial"/>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el Plan Indicativo remitido por la </w:t>
      </w:r>
      <w:r w:rsidR="00373347">
        <w:rPr>
          <w:rFonts w:eastAsia="Arial" w:cs="Arial"/>
          <w:sz w:val="16"/>
          <w:szCs w:val="16"/>
          <w:lang w:val="es"/>
        </w:rPr>
        <w:t>E</w:t>
      </w:r>
      <w:r w:rsidRPr="00FB27C3">
        <w:rPr>
          <w:rFonts w:eastAsia="Arial" w:cs="Arial"/>
          <w:sz w:val="16"/>
          <w:szCs w:val="16"/>
          <w:lang w:val="es"/>
        </w:rPr>
        <w:t xml:space="preserve">ntidad </w:t>
      </w:r>
      <w:r w:rsidR="00373347">
        <w:rPr>
          <w:rFonts w:eastAsia="Arial" w:cs="Arial"/>
          <w:sz w:val="16"/>
          <w:szCs w:val="16"/>
          <w:lang w:val="es"/>
        </w:rPr>
        <w:t>T</w:t>
      </w:r>
      <w:r w:rsidRPr="00FB27C3">
        <w:rPr>
          <w:rFonts w:eastAsia="Arial" w:cs="Arial"/>
          <w:sz w:val="16"/>
          <w:szCs w:val="16"/>
          <w:lang w:val="es"/>
        </w:rPr>
        <w:t>erritorial.</w:t>
      </w:r>
      <w:r w:rsidRPr="00FB27C3">
        <w:rPr>
          <w:rFonts w:eastAsia="Arial" w:cs="Arial"/>
          <w:sz w:val="16"/>
          <w:szCs w:val="16"/>
        </w:rPr>
        <w:t xml:space="preserve"> </w:t>
      </w:r>
    </w:p>
    <w:p w14:paraId="66A0D01A" w14:textId="77777777" w:rsidR="00D45DE0" w:rsidRDefault="00D45DE0">
      <w:pPr>
        <w:spacing w:line="240" w:lineRule="auto"/>
        <w:contextualSpacing/>
        <w:jc w:val="both"/>
        <w:rPr>
          <w:bCs/>
        </w:rPr>
      </w:pPr>
    </w:p>
    <w:p w14:paraId="425C56A1" w14:textId="77777777" w:rsidR="0071464C" w:rsidRDefault="0071464C">
      <w:pPr>
        <w:spacing w:line="240" w:lineRule="auto"/>
        <w:contextualSpacing/>
        <w:jc w:val="both"/>
        <w:rPr>
          <w:bCs/>
        </w:rPr>
      </w:pPr>
      <w:r w:rsidRPr="0071464C">
        <w:rPr>
          <w:bCs/>
        </w:rPr>
        <w:t xml:space="preserve">Por otro lado, se pudo identificar que no se </w:t>
      </w:r>
      <w:r w:rsidR="00FD2163">
        <w:rPr>
          <w:bCs/>
        </w:rPr>
        <w:t>discriminan</w:t>
      </w:r>
      <w:r w:rsidRPr="0071464C">
        <w:rPr>
          <w:bCs/>
        </w:rPr>
        <w:t xml:space="preserve"> recursos desde SGP </w:t>
      </w:r>
      <w:r w:rsidR="00373347">
        <w:rPr>
          <w:bCs/>
        </w:rPr>
        <w:t>- C</w:t>
      </w:r>
      <w:r w:rsidRPr="0071464C">
        <w:rPr>
          <w:bCs/>
        </w:rPr>
        <w:t xml:space="preserve">ultura, SGP </w:t>
      </w:r>
      <w:r w:rsidR="00373347">
        <w:rPr>
          <w:bCs/>
        </w:rPr>
        <w:t>- D</w:t>
      </w:r>
      <w:r w:rsidRPr="0071464C">
        <w:rPr>
          <w:bCs/>
        </w:rPr>
        <w:t xml:space="preserve">eporte ni SGP </w:t>
      </w:r>
      <w:r w:rsidR="00373347">
        <w:rPr>
          <w:bCs/>
        </w:rPr>
        <w:t>- L</w:t>
      </w:r>
      <w:r w:rsidRPr="0071464C">
        <w:rPr>
          <w:bCs/>
        </w:rPr>
        <w:t xml:space="preserve">ibre </w:t>
      </w:r>
      <w:r w:rsidR="00373347">
        <w:rPr>
          <w:bCs/>
        </w:rPr>
        <w:t>D</w:t>
      </w:r>
      <w:r w:rsidRPr="0071464C">
        <w:rPr>
          <w:bCs/>
        </w:rPr>
        <w:t>estinación. En su lugar, los valores monetarios de todos los recursos provenientes de SGP se encuentran agrupados en la sección de Libre Inversión. As</w:t>
      </w:r>
      <w:r w:rsidR="00373347">
        <w:rPr>
          <w:bCs/>
        </w:rPr>
        <w:t xml:space="preserve">í </w:t>
      </w:r>
      <w:r w:rsidRPr="0071464C">
        <w:rPr>
          <w:bCs/>
        </w:rPr>
        <w:t xml:space="preserve">mismo, es posible determinar que Vivienda, </w:t>
      </w:r>
      <w:r w:rsidR="00373347">
        <w:rPr>
          <w:bCs/>
        </w:rPr>
        <w:t>C</w:t>
      </w:r>
      <w:r w:rsidRPr="0071464C">
        <w:rPr>
          <w:bCs/>
        </w:rPr>
        <w:t xml:space="preserve">iudad y </w:t>
      </w:r>
      <w:r w:rsidR="00373347">
        <w:rPr>
          <w:bCs/>
        </w:rPr>
        <w:t>T</w:t>
      </w:r>
      <w:r w:rsidRPr="0071464C">
        <w:rPr>
          <w:bCs/>
        </w:rPr>
        <w:t>erritorio y Educación son los dos sectores con mayor monto de recursos asignados desde esta fuente de recursos; en este sentido</w:t>
      </w:r>
      <w:r w:rsidR="00986166">
        <w:rPr>
          <w:bCs/>
        </w:rPr>
        <w:t>,</w:t>
      </w:r>
      <w:r w:rsidRPr="0071464C">
        <w:rPr>
          <w:bCs/>
        </w:rPr>
        <w:t xml:space="preserve"> para el </w:t>
      </w:r>
      <w:r w:rsidR="00373347">
        <w:rPr>
          <w:bCs/>
        </w:rPr>
        <w:t>S</w:t>
      </w:r>
      <w:r w:rsidRPr="0071464C">
        <w:rPr>
          <w:bCs/>
        </w:rPr>
        <w:t xml:space="preserve">ector de Vivienda, </w:t>
      </w:r>
      <w:r w:rsidR="00373347">
        <w:rPr>
          <w:bCs/>
        </w:rPr>
        <w:t>C</w:t>
      </w:r>
      <w:r w:rsidRPr="0071464C">
        <w:rPr>
          <w:bCs/>
        </w:rPr>
        <w:t xml:space="preserve">iudad y </w:t>
      </w:r>
      <w:r w:rsidR="00373347">
        <w:rPr>
          <w:bCs/>
        </w:rPr>
        <w:t>T</w:t>
      </w:r>
      <w:r w:rsidRPr="0071464C">
        <w:rPr>
          <w:bCs/>
        </w:rPr>
        <w:t>erritorio se proyectó invertir $4.403.000.000 durante el cuatrienio</w:t>
      </w:r>
      <w:r w:rsidR="00986166">
        <w:rPr>
          <w:bCs/>
        </w:rPr>
        <w:t>,</w:t>
      </w:r>
      <w:r w:rsidRPr="0071464C">
        <w:rPr>
          <w:bCs/>
        </w:rPr>
        <w:t xml:space="preserve"> equivalente al 30,72</w:t>
      </w:r>
      <w:r w:rsidR="00373347">
        <w:rPr>
          <w:bCs/>
        </w:rPr>
        <w:t xml:space="preserve"> </w:t>
      </w:r>
      <w:r w:rsidRPr="0071464C">
        <w:rPr>
          <w:bCs/>
        </w:rPr>
        <w:t>% de la totalidad de todos los sectores y</w:t>
      </w:r>
      <w:r w:rsidR="00EF2E2C">
        <w:rPr>
          <w:bCs/>
        </w:rPr>
        <w:t>,</w:t>
      </w:r>
      <w:r w:rsidRPr="0071464C">
        <w:rPr>
          <w:bCs/>
        </w:rPr>
        <w:t xml:space="preserve"> además</w:t>
      </w:r>
      <w:r w:rsidR="00986166">
        <w:rPr>
          <w:bCs/>
        </w:rPr>
        <w:t>,</w:t>
      </w:r>
      <w:r w:rsidRPr="0071464C">
        <w:rPr>
          <w:bCs/>
        </w:rPr>
        <w:t xml:space="preserve"> es el </w:t>
      </w:r>
      <w:r w:rsidR="00373347">
        <w:rPr>
          <w:bCs/>
        </w:rPr>
        <w:t>S</w:t>
      </w:r>
      <w:r w:rsidRPr="0071464C">
        <w:rPr>
          <w:bCs/>
        </w:rPr>
        <w:t>ector que más metas físicas tiene previsto ejecutar</w:t>
      </w:r>
      <w:r w:rsidR="00986166">
        <w:rPr>
          <w:bCs/>
        </w:rPr>
        <w:t>,</w:t>
      </w:r>
      <w:r w:rsidRPr="0071464C">
        <w:rPr>
          <w:bCs/>
        </w:rPr>
        <w:t xml:space="preserve"> con un total de </w:t>
      </w:r>
      <w:r w:rsidRPr="00986166">
        <w:rPr>
          <w:bCs/>
        </w:rPr>
        <w:t>12.636</w:t>
      </w:r>
      <w:r w:rsidR="00986166">
        <w:rPr>
          <w:bCs/>
        </w:rPr>
        <w:t>. E</w:t>
      </w:r>
      <w:r w:rsidRPr="0071464C">
        <w:rPr>
          <w:bCs/>
        </w:rPr>
        <w:t>n el caso de Educación se proyectó invertir $3.015.000.000</w:t>
      </w:r>
      <w:r w:rsidR="00986166">
        <w:rPr>
          <w:bCs/>
        </w:rPr>
        <w:t>,</w:t>
      </w:r>
      <w:r w:rsidRPr="0071464C">
        <w:rPr>
          <w:bCs/>
        </w:rPr>
        <w:t xml:space="preserve"> equivalente al 21</w:t>
      </w:r>
      <w:r w:rsidR="00373347">
        <w:rPr>
          <w:bCs/>
        </w:rPr>
        <w:t xml:space="preserve"> </w:t>
      </w:r>
      <w:r w:rsidRPr="0071464C">
        <w:rPr>
          <w:bCs/>
        </w:rPr>
        <w:t xml:space="preserve">% del total de todos los sectores, </w:t>
      </w:r>
      <w:r w:rsidR="00986166">
        <w:rPr>
          <w:bCs/>
        </w:rPr>
        <w:t>con</w:t>
      </w:r>
      <w:r w:rsidRPr="0071464C">
        <w:rPr>
          <w:bCs/>
        </w:rPr>
        <w:t xml:space="preserve"> 246 metas físicas propuestas para el cuatrienio.</w:t>
      </w:r>
    </w:p>
    <w:p w14:paraId="6B742884" w14:textId="77777777" w:rsidR="00373347" w:rsidRDefault="00373347">
      <w:pPr>
        <w:spacing w:line="240" w:lineRule="auto"/>
        <w:contextualSpacing/>
        <w:jc w:val="both"/>
        <w:rPr>
          <w:bCs/>
        </w:rPr>
      </w:pPr>
    </w:p>
    <w:p w14:paraId="62433B79" w14:textId="77777777" w:rsidR="0071464C" w:rsidRDefault="0071464C">
      <w:pPr>
        <w:spacing w:line="240" w:lineRule="auto"/>
        <w:contextualSpacing/>
        <w:jc w:val="both"/>
        <w:rPr>
          <w:bCs/>
        </w:rPr>
      </w:pPr>
      <w:r w:rsidRPr="0071464C">
        <w:rPr>
          <w:bCs/>
        </w:rPr>
        <w:t>De este modo, se pudo determinar que los dos sectores mencionados con anterioridad concentran el 51,72</w:t>
      </w:r>
      <w:r w:rsidR="00373347">
        <w:rPr>
          <w:bCs/>
        </w:rPr>
        <w:t xml:space="preserve"> </w:t>
      </w:r>
      <w:r w:rsidRPr="0071464C">
        <w:rPr>
          <w:bCs/>
        </w:rPr>
        <w:t>% de los recursos</w:t>
      </w:r>
      <w:r w:rsidR="00986166">
        <w:rPr>
          <w:bCs/>
        </w:rPr>
        <w:t xml:space="preserve"> de SGP </w:t>
      </w:r>
      <w:r w:rsidR="00373347">
        <w:rPr>
          <w:bCs/>
        </w:rPr>
        <w:t xml:space="preserve">- </w:t>
      </w:r>
      <w:r w:rsidR="00986166">
        <w:rPr>
          <w:bCs/>
        </w:rPr>
        <w:t>Libre Inversión</w:t>
      </w:r>
      <w:r w:rsidRPr="0071464C">
        <w:rPr>
          <w:bCs/>
        </w:rPr>
        <w:t xml:space="preserve">. Por su parte, Comercio, Industria y Turismo fue el </w:t>
      </w:r>
      <w:r w:rsidR="00373347">
        <w:rPr>
          <w:bCs/>
        </w:rPr>
        <w:t>S</w:t>
      </w:r>
      <w:r w:rsidRPr="0071464C">
        <w:rPr>
          <w:bCs/>
        </w:rPr>
        <w:t xml:space="preserve">ector </w:t>
      </w:r>
      <w:r w:rsidR="00986166">
        <w:rPr>
          <w:bCs/>
        </w:rPr>
        <w:t>con</w:t>
      </w:r>
      <w:r w:rsidRPr="0071464C">
        <w:rPr>
          <w:bCs/>
        </w:rPr>
        <w:t xml:space="preserve"> menos recursos </w:t>
      </w:r>
      <w:r w:rsidR="00986166">
        <w:rPr>
          <w:bCs/>
        </w:rPr>
        <w:t xml:space="preserve">proyectados, </w:t>
      </w:r>
      <w:r w:rsidRPr="0071464C">
        <w:rPr>
          <w:bCs/>
        </w:rPr>
        <w:t>en tanto la cifra para los 4 años fue de $13.550.000 y con 5 metas físicas a cumplir</w:t>
      </w:r>
      <w:r w:rsidR="00986166">
        <w:rPr>
          <w:bCs/>
        </w:rPr>
        <w:t>,</w:t>
      </w:r>
      <w:r w:rsidRPr="0071464C">
        <w:rPr>
          <w:bCs/>
        </w:rPr>
        <w:t xml:space="preserve"> siendo también el </w:t>
      </w:r>
      <w:r w:rsidR="00373347">
        <w:rPr>
          <w:bCs/>
        </w:rPr>
        <w:t>S</w:t>
      </w:r>
      <w:r w:rsidRPr="0071464C">
        <w:rPr>
          <w:bCs/>
        </w:rPr>
        <w:t>ector que menor cantidad de metas tiene proyectadas.</w:t>
      </w:r>
    </w:p>
    <w:p w14:paraId="484D83F9" w14:textId="77777777" w:rsidR="00373347" w:rsidRPr="0071464C" w:rsidRDefault="00373347">
      <w:pPr>
        <w:spacing w:line="240" w:lineRule="auto"/>
        <w:contextualSpacing/>
        <w:jc w:val="both"/>
        <w:rPr>
          <w:bCs/>
        </w:rPr>
      </w:pPr>
    </w:p>
    <w:p w14:paraId="60CCBA53" w14:textId="77777777" w:rsidR="0071464C" w:rsidRDefault="0071464C">
      <w:pPr>
        <w:spacing w:line="240" w:lineRule="auto"/>
        <w:contextualSpacing/>
        <w:jc w:val="both"/>
        <w:rPr>
          <w:bCs/>
        </w:rPr>
      </w:pPr>
      <w:r w:rsidRPr="0071464C">
        <w:rPr>
          <w:bCs/>
        </w:rPr>
        <w:t xml:space="preserve">Por otra parte, se puede identificar que se proyectó exactamente la misma cantidad de recursos para cada uno de los sectores en los años 2021 y 2022, siendo estos dos años en los que más se presupuestaron recursos provenientes de SGP </w:t>
      </w:r>
      <w:r w:rsidR="00373347">
        <w:rPr>
          <w:bCs/>
        </w:rPr>
        <w:t xml:space="preserve">- </w:t>
      </w:r>
      <w:r w:rsidRPr="0071464C">
        <w:rPr>
          <w:bCs/>
        </w:rPr>
        <w:t>Propósito General.</w:t>
      </w:r>
    </w:p>
    <w:p w14:paraId="2914FE4F" w14:textId="77777777" w:rsidR="00373347" w:rsidRPr="0071464C" w:rsidRDefault="00373347">
      <w:pPr>
        <w:spacing w:line="240" w:lineRule="auto"/>
        <w:contextualSpacing/>
        <w:jc w:val="both"/>
        <w:rPr>
          <w:bCs/>
        </w:rPr>
      </w:pPr>
    </w:p>
    <w:p w14:paraId="256CF5B7" w14:textId="77777777" w:rsidR="0071464C" w:rsidRDefault="0071464C">
      <w:pPr>
        <w:spacing w:line="240" w:lineRule="auto"/>
        <w:contextualSpacing/>
        <w:jc w:val="both"/>
        <w:rPr>
          <w:bCs/>
        </w:rPr>
      </w:pPr>
      <w:r w:rsidRPr="0071464C">
        <w:rPr>
          <w:bCs/>
        </w:rPr>
        <w:t>Del mismo modo, haciendo una comparación entre el Plan Plurianual de Inversiones y el Plan Indicativo</w:t>
      </w:r>
      <w:r w:rsidR="00373347">
        <w:rPr>
          <w:bCs/>
        </w:rPr>
        <w:t>;</w:t>
      </w:r>
      <w:r w:rsidRPr="0071464C">
        <w:rPr>
          <w:bCs/>
        </w:rPr>
        <w:t xml:space="preserve"> se encontró que</w:t>
      </w:r>
      <w:r w:rsidR="00373347">
        <w:rPr>
          <w:bCs/>
        </w:rPr>
        <w:t>,</w:t>
      </w:r>
      <w:r w:rsidRPr="0071464C">
        <w:rPr>
          <w:bCs/>
        </w:rPr>
        <w:t xml:space="preserve"> mientras en el primer instrumento se proyectaron $15.257.301.000</w:t>
      </w:r>
      <w:r w:rsidR="00CB2936">
        <w:rPr>
          <w:bCs/>
        </w:rPr>
        <w:t xml:space="preserve"> de SGP</w:t>
      </w:r>
      <w:r w:rsidRPr="0071464C">
        <w:rPr>
          <w:bCs/>
        </w:rPr>
        <w:t>, en el Plan indicativo la cifra es de $14.332.500.001</w:t>
      </w:r>
      <w:r w:rsidR="00986166">
        <w:rPr>
          <w:bCs/>
        </w:rPr>
        <w:t>,</w:t>
      </w:r>
      <w:r w:rsidRPr="0071464C">
        <w:rPr>
          <w:bCs/>
        </w:rPr>
        <w:t xml:space="preserve"> evidenciando una diferencia de $24.800.999. Por lo tanto, se le recomienda a la Entidad Territorial </w:t>
      </w:r>
      <w:r w:rsidR="00CB2936">
        <w:rPr>
          <w:bCs/>
        </w:rPr>
        <w:t>garantizar la</w:t>
      </w:r>
      <w:r w:rsidRPr="0071464C">
        <w:rPr>
          <w:bCs/>
        </w:rPr>
        <w:t xml:space="preserve"> </w:t>
      </w:r>
      <w:r w:rsidR="00CB2936" w:rsidRPr="0071464C">
        <w:rPr>
          <w:bCs/>
        </w:rPr>
        <w:t>co</w:t>
      </w:r>
      <w:r w:rsidR="00CB2936">
        <w:rPr>
          <w:bCs/>
        </w:rPr>
        <w:t>nsistencia</w:t>
      </w:r>
      <w:r w:rsidR="00CB2936" w:rsidRPr="0071464C">
        <w:rPr>
          <w:bCs/>
        </w:rPr>
        <w:t xml:space="preserve"> </w:t>
      </w:r>
      <w:r w:rsidRPr="0071464C">
        <w:rPr>
          <w:bCs/>
        </w:rPr>
        <w:t>entre lo proyectado en los diferentes instrumentos de Planeación</w:t>
      </w:r>
      <w:r w:rsidR="00CB2936">
        <w:rPr>
          <w:bCs/>
        </w:rPr>
        <w:t>,</w:t>
      </w:r>
      <w:r w:rsidRPr="0071464C">
        <w:rPr>
          <w:bCs/>
        </w:rPr>
        <w:t xml:space="preserve"> con el fin de tener mayor claridad con relación al presupuesto </w:t>
      </w:r>
      <w:r w:rsidR="00B03250">
        <w:rPr>
          <w:bCs/>
        </w:rPr>
        <w:t xml:space="preserve">de inversión </w:t>
      </w:r>
      <w:r w:rsidRPr="0071464C">
        <w:rPr>
          <w:bCs/>
        </w:rPr>
        <w:t>a ejecutar en el cuatrienio</w:t>
      </w:r>
      <w:r w:rsidR="00B03250">
        <w:rPr>
          <w:bCs/>
        </w:rPr>
        <w:t>.</w:t>
      </w:r>
    </w:p>
    <w:p w14:paraId="601B3F3A" w14:textId="77777777" w:rsidR="00373347" w:rsidRDefault="00373347">
      <w:pPr>
        <w:spacing w:line="240" w:lineRule="auto"/>
        <w:contextualSpacing/>
        <w:jc w:val="both"/>
        <w:rPr>
          <w:bCs/>
        </w:rPr>
      </w:pPr>
    </w:p>
    <w:p w14:paraId="1055746E" w14:textId="77777777" w:rsidR="009D28C7" w:rsidRPr="00562B6D" w:rsidRDefault="009D28C7">
      <w:pPr>
        <w:spacing w:after="0" w:line="240" w:lineRule="auto"/>
        <w:contextualSpacing/>
        <w:jc w:val="center"/>
        <w:rPr>
          <w:b/>
          <w:bCs/>
          <w:sz w:val="20"/>
          <w:szCs w:val="20"/>
        </w:rPr>
      </w:pPr>
      <w:r w:rsidRPr="00562B6D">
        <w:rPr>
          <w:b/>
          <w:bCs/>
          <w:sz w:val="20"/>
          <w:szCs w:val="20"/>
        </w:rPr>
        <w:t xml:space="preserve">Cuadro No. </w:t>
      </w:r>
      <w:r w:rsidR="00F93970">
        <w:rPr>
          <w:b/>
          <w:bCs/>
          <w:sz w:val="20"/>
          <w:szCs w:val="20"/>
        </w:rPr>
        <w:t>19</w:t>
      </w:r>
    </w:p>
    <w:p w14:paraId="39606A11" w14:textId="77777777" w:rsidR="009D28C7" w:rsidRPr="006C11BD" w:rsidRDefault="003D108C">
      <w:pPr>
        <w:spacing w:after="0" w:line="240" w:lineRule="auto"/>
        <w:contextualSpacing/>
        <w:jc w:val="center"/>
        <w:rPr>
          <w:sz w:val="20"/>
          <w:szCs w:val="20"/>
        </w:rPr>
      </w:pPr>
      <w:r>
        <w:rPr>
          <w:sz w:val="20"/>
          <w:szCs w:val="20"/>
        </w:rPr>
        <w:t>Metas del Plan Indicativo 2020 - 2023</w:t>
      </w:r>
    </w:p>
    <w:p w14:paraId="42D1DA4E" w14:textId="77777777" w:rsidR="00760BFB" w:rsidRPr="003D108C" w:rsidRDefault="009D28C7">
      <w:pPr>
        <w:spacing w:after="0" w:line="240" w:lineRule="auto"/>
        <w:contextualSpacing/>
        <w:jc w:val="center"/>
        <w:rPr>
          <w:sz w:val="20"/>
          <w:szCs w:val="20"/>
        </w:rPr>
      </w:pPr>
      <w:r w:rsidRPr="006C11BD">
        <w:rPr>
          <w:sz w:val="20"/>
          <w:szCs w:val="20"/>
        </w:rPr>
        <w:t>Municipio de Puerto Leguízamo - Putumayo</w:t>
      </w:r>
    </w:p>
    <w:tbl>
      <w:tblPr>
        <w:tblW w:w="8058" w:type="dxa"/>
        <w:jc w:val="center"/>
        <w:tblCellMar>
          <w:left w:w="70" w:type="dxa"/>
          <w:right w:w="70" w:type="dxa"/>
        </w:tblCellMar>
        <w:tblLook w:val="04A0" w:firstRow="1" w:lastRow="0" w:firstColumn="1" w:lastColumn="0" w:noHBand="0" w:noVBand="1"/>
      </w:tblPr>
      <w:tblGrid>
        <w:gridCol w:w="2972"/>
        <w:gridCol w:w="951"/>
        <w:gridCol w:w="1304"/>
        <w:gridCol w:w="1093"/>
        <w:gridCol w:w="1093"/>
        <w:gridCol w:w="727"/>
      </w:tblGrid>
      <w:tr w:rsidR="00314084" w:rsidRPr="00025B8D" w14:paraId="198CD4CF" w14:textId="77777777" w:rsidTr="00282ADE">
        <w:trPr>
          <w:trHeight w:val="802"/>
          <w:jc w:val="center"/>
        </w:trPr>
        <w:tc>
          <w:tcPr>
            <w:tcW w:w="2972" w:type="dxa"/>
            <w:tcBorders>
              <w:top w:val="single" w:sz="4" w:space="0" w:color="auto"/>
              <w:left w:val="single" w:sz="4" w:space="0" w:color="auto"/>
              <w:bottom w:val="single" w:sz="4" w:space="0" w:color="auto"/>
              <w:right w:val="single" w:sz="4" w:space="0" w:color="auto"/>
            </w:tcBorders>
            <w:shd w:val="clear" w:color="auto" w:fill="666699"/>
            <w:vAlign w:val="center"/>
            <w:hideMark/>
          </w:tcPr>
          <w:p w14:paraId="07B0AACC"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Sector</w:t>
            </w:r>
          </w:p>
        </w:tc>
        <w:tc>
          <w:tcPr>
            <w:tcW w:w="869" w:type="dxa"/>
            <w:tcBorders>
              <w:top w:val="single" w:sz="4" w:space="0" w:color="auto"/>
              <w:left w:val="nil"/>
              <w:bottom w:val="single" w:sz="4" w:space="0" w:color="auto"/>
              <w:right w:val="single" w:sz="4" w:space="0" w:color="auto"/>
            </w:tcBorders>
            <w:shd w:val="clear" w:color="auto" w:fill="666699"/>
            <w:vAlign w:val="center"/>
            <w:hideMark/>
          </w:tcPr>
          <w:p w14:paraId="1F94FA07"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Meta Física Esperada 2020</w:t>
            </w:r>
          </w:p>
        </w:tc>
        <w:tc>
          <w:tcPr>
            <w:tcW w:w="1304" w:type="dxa"/>
            <w:tcBorders>
              <w:top w:val="single" w:sz="4" w:space="0" w:color="auto"/>
              <w:left w:val="nil"/>
              <w:bottom w:val="single" w:sz="4" w:space="0" w:color="auto"/>
              <w:right w:val="single" w:sz="4" w:space="0" w:color="auto"/>
            </w:tcBorders>
            <w:shd w:val="clear" w:color="auto" w:fill="666699"/>
            <w:vAlign w:val="center"/>
            <w:hideMark/>
          </w:tcPr>
          <w:p w14:paraId="31488E93"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Meta Física Esperada 2021</w:t>
            </w:r>
          </w:p>
        </w:tc>
        <w:tc>
          <w:tcPr>
            <w:tcW w:w="1093" w:type="dxa"/>
            <w:tcBorders>
              <w:top w:val="single" w:sz="4" w:space="0" w:color="auto"/>
              <w:left w:val="nil"/>
              <w:bottom w:val="single" w:sz="4" w:space="0" w:color="auto"/>
              <w:right w:val="single" w:sz="4" w:space="0" w:color="auto"/>
            </w:tcBorders>
            <w:shd w:val="clear" w:color="auto" w:fill="666699"/>
            <w:vAlign w:val="center"/>
            <w:hideMark/>
          </w:tcPr>
          <w:p w14:paraId="47926170"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Meta Física Esperada 2022</w:t>
            </w:r>
          </w:p>
        </w:tc>
        <w:tc>
          <w:tcPr>
            <w:tcW w:w="1093" w:type="dxa"/>
            <w:tcBorders>
              <w:top w:val="single" w:sz="4" w:space="0" w:color="auto"/>
              <w:left w:val="nil"/>
              <w:bottom w:val="single" w:sz="4" w:space="0" w:color="auto"/>
              <w:right w:val="single" w:sz="4" w:space="0" w:color="auto"/>
            </w:tcBorders>
            <w:shd w:val="clear" w:color="auto" w:fill="666699"/>
            <w:vAlign w:val="center"/>
            <w:hideMark/>
          </w:tcPr>
          <w:p w14:paraId="55B0DCD4"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Meta Física Esperada 2023</w:t>
            </w:r>
          </w:p>
        </w:tc>
        <w:tc>
          <w:tcPr>
            <w:tcW w:w="727" w:type="dxa"/>
            <w:tcBorders>
              <w:top w:val="single" w:sz="4" w:space="0" w:color="auto"/>
              <w:left w:val="nil"/>
              <w:bottom w:val="single" w:sz="4" w:space="0" w:color="auto"/>
              <w:right w:val="single" w:sz="4" w:space="0" w:color="auto"/>
            </w:tcBorders>
            <w:shd w:val="clear" w:color="auto" w:fill="666699"/>
            <w:vAlign w:val="center"/>
            <w:hideMark/>
          </w:tcPr>
          <w:p w14:paraId="7D14945E"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Total</w:t>
            </w:r>
          </w:p>
        </w:tc>
      </w:tr>
      <w:tr w:rsidR="00386BBC" w:rsidRPr="00025B8D" w14:paraId="496CA0A2" w14:textId="77777777" w:rsidTr="00282ADE">
        <w:trPr>
          <w:trHeight w:val="226"/>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ACCCA03"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Vivienda, ciudad y territorio</w:t>
            </w:r>
          </w:p>
        </w:tc>
        <w:tc>
          <w:tcPr>
            <w:tcW w:w="869" w:type="dxa"/>
            <w:tcBorders>
              <w:top w:val="nil"/>
              <w:left w:val="nil"/>
              <w:bottom w:val="single" w:sz="4" w:space="0" w:color="auto"/>
              <w:right w:val="single" w:sz="4" w:space="0" w:color="auto"/>
            </w:tcBorders>
            <w:shd w:val="clear" w:color="auto" w:fill="auto"/>
            <w:noWrap/>
            <w:vAlign w:val="center"/>
            <w:hideMark/>
          </w:tcPr>
          <w:p w14:paraId="2D6EB380"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3</w:t>
            </w:r>
            <w:r w:rsidR="00373347">
              <w:rPr>
                <w:rFonts w:eastAsia="Times New Roman" w:cs="Arial"/>
                <w:color w:val="000000"/>
                <w:sz w:val="18"/>
                <w:szCs w:val="18"/>
                <w:lang w:eastAsia="es-CO"/>
              </w:rPr>
              <w:t>.</w:t>
            </w:r>
            <w:r w:rsidRPr="00FB27C3">
              <w:rPr>
                <w:rFonts w:eastAsia="Times New Roman" w:cs="Arial"/>
                <w:color w:val="000000"/>
                <w:sz w:val="18"/>
                <w:szCs w:val="18"/>
                <w:lang w:eastAsia="es-CO"/>
              </w:rPr>
              <w:t>063</w:t>
            </w:r>
          </w:p>
        </w:tc>
        <w:tc>
          <w:tcPr>
            <w:tcW w:w="1304" w:type="dxa"/>
            <w:tcBorders>
              <w:top w:val="nil"/>
              <w:left w:val="nil"/>
              <w:bottom w:val="single" w:sz="4" w:space="0" w:color="auto"/>
              <w:right w:val="single" w:sz="4" w:space="0" w:color="auto"/>
            </w:tcBorders>
            <w:shd w:val="clear" w:color="auto" w:fill="auto"/>
            <w:noWrap/>
            <w:vAlign w:val="center"/>
            <w:hideMark/>
          </w:tcPr>
          <w:p w14:paraId="0AE90A3F"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3</w:t>
            </w:r>
            <w:r w:rsidR="00373347">
              <w:rPr>
                <w:rFonts w:eastAsia="Times New Roman" w:cs="Arial"/>
                <w:color w:val="000000"/>
                <w:sz w:val="18"/>
                <w:szCs w:val="18"/>
                <w:lang w:eastAsia="es-CO"/>
              </w:rPr>
              <w:t>.</w:t>
            </w:r>
            <w:r w:rsidRPr="00FB27C3">
              <w:rPr>
                <w:rFonts w:eastAsia="Times New Roman" w:cs="Arial"/>
                <w:color w:val="000000"/>
                <w:sz w:val="18"/>
                <w:szCs w:val="18"/>
                <w:lang w:eastAsia="es-CO"/>
              </w:rPr>
              <w:t>240</w:t>
            </w:r>
          </w:p>
        </w:tc>
        <w:tc>
          <w:tcPr>
            <w:tcW w:w="1093" w:type="dxa"/>
            <w:tcBorders>
              <w:top w:val="nil"/>
              <w:left w:val="nil"/>
              <w:bottom w:val="single" w:sz="4" w:space="0" w:color="auto"/>
              <w:right w:val="single" w:sz="4" w:space="0" w:color="auto"/>
            </w:tcBorders>
            <w:shd w:val="clear" w:color="auto" w:fill="auto"/>
            <w:noWrap/>
            <w:vAlign w:val="center"/>
            <w:hideMark/>
          </w:tcPr>
          <w:p w14:paraId="293AD713"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3</w:t>
            </w:r>
            <w:r w:rsidR="00373347">
              <w:rPr>
                <w:rFonts w:eastAsia="Times New Roman" w:cs="Arial"/>
                <w:color w:val="000000"/>
                <w:sz w:val="18"/>
                <w:szCs w:val="18"/>
                <w:lang w:eastAsia="es-CO"/>
              </w:rPr>
              <w:t>.</w:t>
            </w:r>
            <w:r w:rsidRPr="00FB27C3">
              <w:rPr>
                <w:rFonts w:eastAsia="Times New Roman" w:cs="Arial"/>
                <w:color w:val="000000"/>
                <w:sz w:val="18"/>
                <w:szCs w:val="18"/>
                <w:lang w:eastAsia="es-CO"/>
              </w:rPr>
              <w:t>223</w:t>
            </w:r>
          </w:p>
        </w:tc>
        <w:tc>
          <w:tcPr>
            <w:tcW w:w="1093" w:type="dxa"/>
            <w:tcBorders>
              <w:top w:val="nil"/>
              <w:left w:val="nil"/>
              <w:bottom w:val="single" w:sz="4" w:space="0" w:color="auto"/>
              <w:right w:val="single" w:sz="4" w:space="0" w:color="auto"/>
            </w:tcBorders>
            <w:shd w:val="clear" w:color="auto" w:fill="auto"/>
            <w:noWrap/>
            <w:vAlign w:val="center"/>
            <w:hideMark/>
          </w:tcPr>
          <w:p w14:paraId="5159B29E"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3</w:t>
            </w:r>
            <w:r w:rsidR="00373347">
              <w:rPr>
                <w:rFonts w:eastAsia="Times New Roman" w:cs="Arial"/>
                <w:color w:val="000000"/>
                <w:sz w:val="18"/>
                <w:szCs w:val="18"/>
                <w:lang w:eastAsia="es-CO"/>
              </w:rPr>
              <w:t>.</w:t>
            </w:r>
            <w:r w:rsidRPr="00FB27C3">
              <w:rPr>
                <w:rFonts w:eastAsia="Times New Roman" w:cs="Arial"/>
                <w:color w:val="000000"/>
                <w:sz w:val="18"/>
                <w:szCs w:val="18"/>
                <w:lang w:eastAsia="es-CO"/>
              </w:rPr>
              <w:t>110</w:t>
            </w:r>
          </w:p>
        </w:tc>
        <w:tc>
          <w:tcPr>
            <w:tcW w:w="727" w:type="dxa"/>
            <w:tcBorders>
              <w:top w:val="nil"/>
              <w:left w:val="nil"/>
              <w:bottom w:val="single" w:sz="4" w:space="0" w:color="auto"/>
              <w:right w:val="single" w:sz="4" w:space="0" w:color="auto"/>
            </w:tcBorders>
            <w:shd w:val="clear" w:color="auto" w:fill="auto"/>
            <w:noWrap/>
            <w:vAlign w:val="center"/>
            <w:hideMark/>
          </w:tcPr>
          <w:p w14:paraId="79263282"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12</w:t>
            </w:r>
            <w:r w:rsidR="00373347">
              <w:rPr>
                <w:rFonts w:eastAsia="Times New Roman" w:cs="Arial"/>
                <w:b/>
                <w:bCs/>
                <w:color w:val="000000"/>
                <w:sz w:val="18"/>
                <w:szCs w:val="18"/>
                <w:lang w:eastAsia="es-CO"/>
              </w:rPr>
              <w:t>.</w:t>
            </w:r>
            <w:r w:rsidRPr="00FB27C3">
              <w:rPr>
                <w:rFonts w:eastAsia="Times New Roman" w:cs="Arial"/>
                <w:b/>
                <w:bCs/>
                <w:color w:val="000000"/>
                <w:sz w:val="18"/>
                <w:szCs w:val="18"/>
                <w:lang w:eastAsia="es-CO"/>
              </w:rPr>
              <w:t>636</w:t>
            </w:r>
          </w:p>
        </w:tc>
      </w:tr>
      <w:tr w:rsidR="00386BBC" w:rsidRPr="00025B8D" w14:paraId="731036A7" w14:textId="77777777" w:rsidTr="00282ADE">
        <w:trPr>
          <w:trHeight w:val="19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75B46FC"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Transporte</w:t>
            </w:r>
          </w:p>
        </w:tc>
        <w:tc>
          <w:tcPr>
            <w:tcW w:w="869" w:type="dxa"/>
            <w:tcBorders>
              <w:top w:val="nil"/>
              <w:left w:val="nil"/>
              <w:bottom w:val="single" w:sz="4" w:space="0" w:color="auto"/>
              <w:right w:val="single" w:sz="4" w:space="0" w:color="auto"/>
            </w:tcBorders>
            <w:shd w:val="clear" w:color="auto" w:fill="auto"/>
            <w:noWrap/>
            <w:vAlign w:val="center"/>
            <w:hideMark/>
          </w:tcPr>
          <w:p w14:paraId="33BF0D1C"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w:t>
            </w:r>
            <w:r w:rsidR="00373347">
              <w:rPr>
                <w:rFonts w:eastAsia="Times New Roman" w:cs="Arial"/>
                <w:color w:val="000000"/>
                <w:sz w:val="18"/>
                <w:szCs w:val="18"/>
                <w:lang w:eastAsia="es-CO"/>
              </w:rPr>
              <w:t>.</w:t>
            </w:r>
            <w:r w:rsidRPr="00FB27C3">
              <w:rPr>
                <w:rFonts w:eastAsia="Times New Roman" w:cs="Arial"/>
                <w:color w:val="000000"/>
                <w:sz w:val="18"/>
                <w:szCs w:val="18"/>
                <w:lang w:eastAsia="es-CO"/>
              </w:rPr>
              <w:t>002</w:t>
            </w:r>
          </w:p>
        </w:tc>
        <w:tc>
          <w:tcPr>
            <w:tcW w:w="1304" w:type="dxa"/>
            <w:tcBorders>
              <w:top w:val="nil"/>
              <w:left w:val="nil"/>
              <w:bottom w:val="single" w:sz="4" w:space="0" w:color="auto"/>
              <w:right w:val="single" w:sz="4" w:space="0" w:color="auto"/>
            </w:tcBorders>
            <w:shd w:val="clear" w:color="auto" w:fill="auto"/>
            <w:noWrap/>
            <w:vAlign w:val="center"/>
            <w:hideMark/>
          </w:tcPr>
          <w:p w14:paraId="4366C3AA"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w:t>
            </w:r>
            <w:r w:rsidR="00373347">
              <w:rPr>
                <w:rFonts w:eastAsia="Times New Roman" w:cs="Arial"/>
                <w:color w:val="000000"/>
                <w:sz w:val="18"/>
                <w:szCs w:val="18"/>
                <w:lang w:eastAsia="es-CO"/>
              </w:rPr>
              <w:t>.</w:t>
            </w:r>
            <w:r w:rsidRPr="00FB27C3">
              <w:rPr>
                <w:rFonts w:eastAsia="Times New Roman" w:cs="Arial"/>
                <w:color w:val="000000"/>
                <w:sz w:val="18"/>
                <w:szCs w:val="18"/>
                <w:lang w:eastAsia="es-CO"/>
              </w:rPr>
              <w:t>950</w:t>
            </w:r>
          </w:p>
        </w:tc>
        <w:tc>
          <w:tcPr>
            <w:tcW w:w="1093" w:type="dxa"/>
            <w:tcBorders>
              <w:top w:val="nil"/>
              <w:left w:val="nil"/>
              <w:bottom w:val="single" w:sz="4" w:space="0" w:color="auto"/>
              <w:right w:val="single" w:sz="4" w:space="0" w:color="auto"/>
            </w:tcBorders>
            <w:shd w:val="clear" w:color="auto" w:fill="auto"/>
            <w:noWrap/>
            <w:vAlign w:val="center"/>
            <w:hideMark/>
          </w:tcPr>
          <w:p w14:paraId="586D1817"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w:t>
            </w:r>
            <w:r w:rsidR="00373347">
              <w:rPr>
                <w:rFonts w:eastAsia="Times New Roman" w:cs="Arial"/>
                <w:color w:val="000000"/>
                <w:sz w:val="18"/>
                <w:szCs w:val="18"/>
                <w:lang w:eastAsia="es-CO"/>
              </w:rPr>
              <w:t>.</w:t>
            </w:r>
            <w:r w:rsidRPr="00FB27C3">
              <w:rPr>
                <w:rFonts w:eastAsia="Times New Roman" w:cs="Arial"/>
                <w:color w:val="000000"/>
                <w:sz w:val="18"/>
                <w:szCs w:val="18"/>
                <w:lang w:eastAsia="es-CO"/>
              </w:rPr>
              <w:t>996</w:t>
            </w:r>
          </w:p>
        </w:tc>
        <w:tc>
          <w:tcPr>
            <w:tcW w:w="1093" w:type="dxa"/>
            <w:tcBorders>
              <w:top w:val="nil"/>
              <w:left w:val="nil"/>
              <w:bottom w:val="single" w:sz="4" w:space="0" w:color="auto"/>
              <w:right w:val="single" w:sz="4" w:space="0" w:color="auto"/>
            </w:tcBorders>
            <w:shd w:val="clear" w:color="auto" w:fill="auto"/>
            <w:noWrap/>
            <w:vAlign w:val="center"/>
            <w:hideMark/>
          </w:tcPr>
          <w:p w14:paraId="6C420132"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w:t>
            </w:r>
            <w:r w:rsidR="00373347">
              <w:rPr>
                <w:rFonts w:eastAsia="Times New Roman" w:cs="Arial"/>
                <w:color w:val="000000"/>
                <w:sz w:val="18"/>
                <w:szCs w:val="18"/>
                <w:lang w:eastAsia="es-CO"/>
              </w:rPr>
              <w:t>.</w:t>
            </w:r>
            <w:r w:rsidRPr="00FB27C3">
              <w:rPr>
                <w:rFonts w:eastAsia="Times New Roman" w:cs="Arial"/>
                <w:color w:val="000000"/>
                <w:sz w:val="18"/>
                <w:szCs w:val="18"/>
                <w:lang w:eastAsia="es-CO"/>
              </w:rPr>
              <w:t>603</w:t>
            </w:r>
          </w:p>
        </w:tc>
        <w:tc>
          <w:tcPr>
            <w:tcW w:w="727" w:type="dxa"/>
            <w:tcBorders>
              <w:top w:val="nil"/>
              <w:left w:val="nil"/>
              <w:bottom w:val="single" w:sz="4" w:space="0" w:color="auto"/>
              <w:right w:val="single" w:sz="4" w:space="0" w:color="auto"/>
            </w:tcBorders>
            <w:shd w:val="clear" w:color="auto" w:fill="auto"/>
            <w:noWrap/>
            <w:vAlign w:val="center"/>
            <w:hideMark/>
          </w:tcPr>
          <w:p w14:paraId="3B34C902"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6</w:t>
            </w:r>
            <w:r w:rsidR="00373347">
              <w:rPr>
                <w:rFonts w:eastAsia="Times New Roman" w:cs="Arial"/>
                <w:b/>
                <w:bCs/>
                <w:color w:val="000000"/>
                <w:sz w:val="18"/>
                <w:szCs w:val="18"/>
                <w:lang w:eastAsia="es-CO"/>
              </w:rPr>
              <w:t>.</w:t>
            </w:r>
            <w:r w:rsidRPr="00FB27C3">
              <w:rPr>
                <w:rFonts w:eastAsia="Times New Roman" w:cs="Arial"/>
                <w:b/>
                <w:bCs/>
                <w:color w:val="000000"/>
                <w:sz w:val="18"/>
                <w:szCs w:val="18"/>
                <w:lang w:eastAsia="es-CO"/>
              </w:rPr>
              <w:t>551</w:t>
            </w:r>
          </w:p>
        </w:tc>
      </w:tr>
      <w:tr w:rsidR="00386BBC" w:rsidRPr="00025B8D" w14:paraId="3F11FDBC"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00D9835"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Minas y energía</w:t>
            </w:r>
          </w:p>
        </w:tc>
        <w:tc>
          <w:tcPr>
            <w:tcW w:w="869" w:type="dxa"/>
            <w:tcBorders>
              <w:top w:val="nil"/>
              <w:left w:val="nil"/>
              <w:bottom w:val="single" w:sz="4" w:space="0" w:color="auto"/>
              <w:right w:val="single" w:sz="4" w:space="0" w:color="auto"/>
            </w:tcBorders>
            <w:shd w:val="clear" w:color="auto" w:fill="auto"/>
            <w:noWrap/>
            <w:vAlign w:val="center"/>
            <w:hideMark/>
          </w:tcPr>
          <w:p w14:paraId="349506B1"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851</w:t>
            </w:r>
          </w:p>
        </w:tc>
        <w:tc>
          <w:tcPr>
            <w:tcW w:w="1304" w:type="dxa"/>
            <w:tcBorders>
              <w:top w:val="nil"/>
              <w:left w:val="nil"/>
              <w:bottom w:val="single" w:sz="4" w:space="0" w:color="auto"/>
              <w:right w:val="single" w:sz="4" w:space="0" w:color="auto"/>
            </w:tcBorders>
            <w:shd w:val="clear" w:color="auto" w:fill="auto"/>
            <w:noWrap/>
            <w:vAlign w:val="center"/>
            <w:hideMark/>
          </w:tcPr>
          <w:p w14:paraId="542E7B2F"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960</w:t>
            </w:r>
          </w:p>
        </w:tc>
        <w:tc>
          <w:tcPr>
            <w:tcW w:w="1093" w:type="dxa"/>
            <w:tcBorders>
              <w:top w:val="nil"/>
              <w:left w:val="nil"/>
              <w:bottom w:val="single" w:sz="4" w:space="0" w:color="auto"/>
              <w:right w:val="single" w:sz="4" w:space="0" w:color="auto"/>
            </w:tcBorders>
            <w:shd w:val="clear" w:color="auto" w:fill="auto"/>
            <w:noWrap/>
            <w:vAlign w:val="center"/>
            <w:hideMark/>
          </w:tcPr>
          <w:p w14:paraId="16388D79"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953</w:t>
            </w:r>
          </w:p>
        </w:tc>
        <w:tc>
          <w:tcPr>
            <w:tcW w:w="1093" w:type="dxa"/>
            <w:tcBorders>
              <w:top w:val="nil"/>
              <w:left w:val="nil"/>
              <w:bottom w:val="single" w:sz="4" w:space="0" w:color="auto"/>
              <w:right w:val="single" w:sz="4" w:space="0" w:color="auto"/>
            </w:tcBorders>
            <w:shd w:val="clear" w:color="auto" w:fill="auto"/>
            <w:noWrap/>
            <w:vAlign w:val="center"/>
            <w:hideMark/>
          </w:tcPr>
          <w:p w14:paraId="129814CE"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853</w:t>
            </w:r>
          </w:p>
        </w:tc>
        <w:tc>
          <w:tcPr>
            <w:tcW w:w="727" w:type="dxa"/>
            <w:tcBorders>
              <w:top w:val="nil"/>
              <w:left w:val="nil"/>
              <w:bottom w:val="single" w:sz="4" w:space="0" w:color="auto"/>
              <w:right w:val="single" w:sz="4" w:space="0" w:color="auto"/>
            </w:tcBorders>
            <w:shd w:val="clear" w:color="auto" w:fill="auto"/>
            <w:noWrap/>
            <w:vAlign w:val="center"/>
            <w:hideMark/>
          </w:tcPr>
          <w:p w14:paraId="6F62DF00"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3</w:t>
            </w:r>
            <w:r w:rsidR="00373347">
              <w:rPr>
                <w:rFonts w:eastAsia="Times New Roman" w:cs="Arial"/>
                <w:b/>
                <w:bCs/>
                <w:color w:val="000000"/>
                <w:sz w:val="18"/>
                <w:szCs w:val="18"/>
                <w:lang w:eastAsia="es-CO"/>
              </w:rPr>
              <w:t>.</w:t>
            </w:r>
            <w:r w:rsidRPr="00FB27C3">
              <w:rPr>
                <w:rFonts w:eastAsia="Times New Roman" w:cs="Arial"/>
                <w:b/>
                <w:bCs/>
                <w:color w:val="000000"/>
                <w:sz w:val="18"/>
                <w:szCs w:val="18"/>
                <w:lang w:eastAsia="es-CO"/>
              </w:rPr>
              <w:t>617</w:t>
            </w:r>
          </w:p>
        </w:tc>
      </w:tr>
      <w:tr w:rsidR="00386BBC" w:rsidRPr="00025B8D" w14:paraId="1218AD99"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03FDD28"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Inclusión social y reconciliación</w:t>
            </w:r>
          </w:p>
        </w:tc>
        <w:tc>
          <w:tcPr>
            <w:tcW w:w="869" w:type="dxa"/>
            <w:tcBorders>
              <w:top w:val="nil"/>
              <w:left w:val="nil"/>
              <w:bottom w:val="single" w:sz="4" w:space="0" w:color="auto"/>
              <w:right w:val="single" w:sz="4" w:space="0" w:color="auto"/>
            </w:tcBorders>
            <w:shd w:val="clear" w:color="auto" w:fill="auto"/>
            <w:noWrap/>
            <w:vAlign w:val="center"/>
            <w:hideMark/>
          </w:tcPr>
          <w:p w14:paraId="1D14026D"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615</w:t>
            </w:r>
          </w:p>
        </w:tc>
        <w:tc>
          <w:tcPr>
            <w:tcW w:w="1304" w:type="dxa"/>
            <w:tcBorders>
              <w:top w:val="nil"/>
              <w:left w:val="nil"/>
              <w:bottom w:val="single" w:sz="4" w:space="0" w:color="auto"/>
              <w:right w:val="single" w:sz="4" w:space="0" w:color="auto"/>
            </w:tcBorders>
            <w:shd w:val="clear" w:color="auto" w:fill="auto"/>
            <w:noWrap/>
            <w:vAlign w:val="center"/>
            <w:hideMark/>
          </w:tcPr>
          <w:p w14:paraId="23ADE099"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886</w:t>
            </w:r>
          </w:p>
        </w:tc>
        <w:tc>
          <w:tcPr>
            <w:tcW w:w="1093" w:type="dxa"/>
            <w:tcBorders>
              <w:top w:val="nil"/>
              <w:left w:val="nil"/>
              <w:bottom w:val="single" w:sz="4" w:space="0" w:color="auto"/>
              <w:right w:val="single" w:sz="4" w:space="0" w:color="auto"/>
            </w:tcBorders>
            <w:shd w:val="clear" w:color="auto" w:fill="auto"/>
            <w:noWrap/>
            <w:vAlign w:val="center"/>
            <w:hideMark/>
          </w:tcPr>
          <w:p w14:paraId="608E0E9E"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883</w:t>
            </w:r>
          </w:p>
        </w:tc>
        <w:tc>
          <w:tcPr>
            <w:tcW w:w="1093" w:type="dxa"/>
            <w:tcBorders>
              <w:top w:val="nil"/>
              <w:left w:val="nil"/>
              <w:bottom w:val="single" w:sz="4" w:space="0" w:color="auto"/>
              <w:right w:val="single" w:sz="4" w:space="0" w:color="auto"/>
            </w:tcBorders>
            <w:shd w:val="clear" w:color="auto" w:fill="auto"/>
            <w:noWrap/>
            <w:vAlign w:val="center"/>
            <w:hideMark/>
          </w:tcPr>
          <w:p w14:paraId="44D3B6B7"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661</w:t>
            </w:r>
          </w:p>
        </w:tc>
        <w:tc>
          <w:tcPr>
            <w:tcW w:w="727" w:type="dxa"/>
            <w:tcBorders>
              <w:top w:val="nil"/>
              <w:left w:val="nil"/>
              <w:bottom w:val="single" w:sz="4" w:space="0" w:color="auto"/>
              <w:right w:val="single" w:sz="4" w:space="0" w:color="auto"/>
            </w:tcBorders>
            <w:shd w:val="clear" w:color="auto" w:fill="auto"/>
            <w:noWrap/>
            <w:vAlign w:val="center"/>
            <w:hideMark/>
          </w:tcPr>
          <w:p w14:paraId="091552DD"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3</w:t>
            </w:r>
            <w:r w:rsidR="00373347">
              <w:rPr>
                <w:rFonts w:eastAsia="Times New Roman" w:cs="Arial"/>
                <w:b/>
                <w:bCs/>
                <w:color w:val="000000"/>
                <w:sz w:val="18"/>
                <w:szCs w:val="18"/>
                <w:lang w:eastAsia="es-CO"/>
              </w:rPr>
              <w:t>.</w:t>
            </w:r>
            <w:r w:rsidRPr="00FB27C3">
              <w:rPr>
                <w:rFonts w:eastAsia="Times New Roman" w:cs="Arial"/>
                <w:b/>
                <w:bCs/>
                <w:color w:val="000000"/>
                <w:sz w:val="18"/>
                <w:szCs w:val="18"/>
                <w:lang w:eastAsia="es-CO"/>
              </w:rPr>
              <w:t>045</w:t>
            </w:r>
          </w:p>
        </w:tc>
      </w:tr>
      <w:tr w:rsidR="00386BBC" w:rsidRPr="00025B8D" w14:paraId="54D22149"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7C87ABB"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Agricultura y desarrollo rural</w:t>
            </w:r>
          </w:p>
        </w:tc>
        <w:tc>
          <w:tcPr>
            <w:tcW w:w="869" w:type="dxa"/>
            <w:tcBorders>
              <w:top w:val="nil"/>
              <w:left w:val="nil"/>
              <w:bottom w:val="single" w:sz="4" w:space="0" w:color="auto"/>
              <w:right w:val="single" w:sz="4" w:space="0" w:color="auto"/>
            </w:tcBorders>
            <w:shd w:val="clear" w:color="auto" w:fill="auto"/>
            <w:noWrap/>
            <w:vAlign w:val="center"/>
            <w:hideMark/>
          </w:tcPr>
          <w:p w14:paraId="411941F5"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444</w:t>
            </w:r>
          </w:p>
        </w:tc>
        <w:tc>
          <w:tcPr>
            <w:tcW w:w="1304" w:type="dxa"/>
            <w:tcBorders>
              <w:top w:val="nil"/>
              <w:left w:val="nil"/>
              <w:bottom w:val="single" w:sz="4" w:space="0" w:color="auto"/>
              <w:right w:val="single" w:sz="4" w:space="0" w:color="auto"/>
            </w:tcBorders>
            <w:shd w:val="clear" w:color="auto" w:fill="auto"/>
            <w:noWrap/>
            <w:vAlign w:val="center"/>
            <w:hideMark/>
          </w:tcPr>
          <w:p w14:paraId="01042EAC"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518</w:t>
            </w:r>
          </w:p>
        </w:tc>
        <w:tc>
          <w:tcPr>
            <w:tcW w:w="1093" w:type="dxa"/>
            <w:tcBorders>
              <w:top w:val="nil"/>
              <w:left w:val="nil"/>
              <w:bottom w:val="single" w:sz="4" w:space="0" w:color="auto"/>
              <w:right w:val="single" w:sz="4" w:space="0" w:color="auto"/>
            </w:tcBorders>
            <w:shd w:val="clear" w:color="auto" w:fill="auto"/>
            <w:noWrap/>
            <w:vAlign w:val="center"/>
            <w:hideMark/>
          </w:tcPr>
          <w:p w14:paraId="187F27B9"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522</w:t>
            </w:r>
          </w:p>
        </w:tc>
        <w:tc>
          <w:tcPr>
            <w:tcW w:w="1093" w:type="dxa"/>
            <w:tcBorders>
              <w:top w:val="nil"/>
              <w:left w:val="nil"/>
              <w:bottom w:val="single" w:sz="4" w:space="0" w:color="auto"/>
              <w:right w:val="single" w:sz="4" w:space="0" w:color="auto"/>
            </w:tcBorders>
            <w:shd w:val="clear" w:color="auto" w:fill="auto"/>
            <w:noWrap/>
            <w:vAlign w:val="center"/>
            <w:hideMark/>
          </w:tcPr>
          <w:p w14:paraId="61239044"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447</w:t>
            </w:r>
          </w:p>
        </w:tc>
        <w:tc>
          <w:tcPr>
            <w:tcW w:w="727" w:type="dxa"/>
            <w:tcBorders>
              <w:top w:val="nil"/>
              <w:left w:val="nil"/>
              <w:bottom w:val="single" w:sz="4" w:space="0" w:color="auto"/>
              <w:right w:val="single" w:sz="4" w:space="0" w:color="auto"/>
            </w:tcBorders>
            <w:shd w:val="clear" w:color="auto" w:fill="auto"/>
            <w:noWrap/>
            <w:vAlign w:val="center"/>
            <w:hideMark/>
          </w:tcPr>
          <w:p w14:paraId="2C625E8D"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1</w:t>
            </w:r>
            <w:r w:rsidR="00373347">
              <w:rPr>
                <w:rFonts w:eastAsia="Times New Roman" w:cs="Arial"/>
                <w:b/>
                <w:bCs/>
                <w:color w:val="000000"/>
                <w:sz w:val="18"/>
                <w:szCs w:val="18"/>
                <w:lang w:eastAsia="es-CO"/>
              </w:rPr>
              <w:t>.</w:t>
            </w:r>
            <w:r w:rsidRPr="00FB27C3">
              <w:rPr>
                <w:rFonts w:eastAsia="Times New Roman" w:cs="Arial"/>
                <w:b/>
                <w:bCs/>
                <w:color w:val="000000"/>
                <w:sz w:val="18"/>
                <w:szCs w:val="18"/>
                <w:lang w:eastAsia="es-CO"/>
              </w:rPr>
              <w:t>931</w:t>
            </w:r>
          </w:p>
        </w:tc>
      </w:tr>
      <w:tr w:rsidR="00386BBC" w:rsidRPr="00025B8D" w14:paraId="208FDA7D"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C53D419"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Gobierno territorial</w:t>
            </w:r>
          </w:p>
        </w:tc>
        <w:tc>
          <w:tcPr>
            <w:tcW w:w="869" w:type="dxa"/>
            <w:tcBorders>
              <w:top w:val="nil"/>
              <w:left w:val="nil"/>
              <w:bottom w:val="single" w:sz="4" w:space="0" w:color="auto"/>
              <w:right w:val="single" w:sz="4" w:space="0" w:color="auto"/>
            </w:tcBorders>
            <w:shd w:val="clear" w:color="auto" w:fill="auto"/>
            <w:noWrap/>
            <w:vAlign w:val="center"/>
            <w:hideMark/>
          </w:tcPr>
          <w:p w14:paraId="56FC901B"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103</w:t>
            </w:r>
          </w:p>
        </w:tc>
        <w:tc>
          <w:tcPr>
            <w:tcW w:w="1304" w:type="dxa"/>
            <w:tcBorders>
              <w:top w:val="nil"/>
              <w:left w:val="nil"/>
              <w:bottom w:val="single" w:sz="4" w:space="0" w:color="auto"/>
              <w:right w:val="single" w:sz="4" w:space="0" w:color="auto"/>
            </w:tcBorders>
            <w:shd w:val="clear" w:color="auto" w:fill="auto"/>
            <w:noWrap/>
            <w:vAlign w:val="center"/>
            <w:hideMark/>
          </w:tcPr>
          <w:p w14:paraId="32315186"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183</w:t>
            </w:r>
          </w:p>
        </w:tc>
        <w:tc>
          <w:tcPr>
            <w:tcW w:w="1093" w:type="dxa"/>
            <w:tcBorders>
              <w:top w:val="nil"/>
              <w:left w:val="nil"/>
              <w:bottom w:val="single" w:sz="4" w:space="0" w:color="auto"/>
              <w:right w:val="single" w:sz="4" w:space="0" w:color="auto"/>
            </w:tcBorders>
            <w:shd w:val="clear" w:color="auto" w:fill="auto"/>
            <w:noWrap/>
            <w:vAlign w:val="center"/>
            <w:hideMark/>
          </w:tcPr>
          <w:p w14:paraId="291142DE"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167</w:t>
            </w:r>
          </w:p>
        </w:tc>
        <w:tc>
          <w:tcPr>
            <w:tcW w:w="1093" w:type="dxa"/>
            <w:tcBorders>
              <w:top w:val="nil"/>
              <w:left w:val="nil"/>
              <w:bottom w:val="single" w:sz="4" w:space="0" w:color="auto"/>
              <w:right w:val="single" w:sz="4" w:space="0" w:color="auto"/>
            </w:tcBorders>
            <w:shd w:val="clear" w:color="auto" w:fill="auto"/>
            <w:noWrap/>
            <w:vAlign w:val="center"/>
            <w:hideMark/>
          </w:tcPr>
          <w:p w14:paraId="163F198A"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113</w:t>
            </w:r>
          </w:p>
        </w:tc>
        <w:tc>
          <w:tcPr>
            <w:tcW w:w="727" w:type="dxa"/>
            <w:tcBorders>
              <w:top w:val="nil"/>
              <w:left w:val="nil"/>
              <w:bottom w:val="single" w:sz="4" w:space="0" w:color="auto"/>
              <w:right w:val="single" w:sz="4" w:space="0" w:color="auto"/>
            </w:tcBorders>
            <w:shd w:val="clear" w:color="auto" w:fill="auto"/>
            <w:noWrap/>
            <w:vAlign w:val="center"/>
            <w:hideMark/>
          </w:tcPr>
          <w:p w14:paraId="0DC38346"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566</w:t>
            </w:r>
          </w:p>
        </w:tc>
      </w:tr>
      <w:tr w:rsidR="00386BBC" w:rsidRPr="00025B8D" w14:paraId="379BB05E" w14:textId="77777777" w:rsidTr="00282ADE">
        <w:trPr>
          <w:trHeight w:val="209"/>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9BDC0E1"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Salud y protección social</w:t>
            </w:r>
          </w:p>
        </w:tc>
        <w:tc>
          <w:tcPr>
            <w:tcW w:w="869" w:type="dxa"/>
            <w:tcBorders>
              <w:top w:val="nil"/>
              <w:left w:val="nil"/>
              <w:bottom w:val="single" w:sz="4" w:space="0" w:color="auto"/>
              <w:right w:val="single" w:sz="4" w:space="0" w:color="auto"/>
            </w:tcBorders>
            <w:shd w:val="clear" w:color="auto" w:fill="auto"/>
            <w:noWrap/>
            <w:vAlign w:val="center"/>
            <w:hideMark/>
          </w:tcPr>
          <w:p w14:paraId="0F9D5EEB"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110</w:t>
            </w:r>
          </w:p>
        </w:tc>
        <w:tc>
          <w:tcPr>
            <w:tcW w:w="1304" w:type="dxa"/>
            <w:tcBorders>
              <w:top w:val="nil"/>
              <w:left w:val="nil"/>
              <w:bottom w:val="single" w:sz="4" w:space="0" w:color="auto"/>
              <w:right w:val="single" w:sz="4" w:space="0" w:color="auto"/>
            </w:tcBorders>
            <w:shd w:val="clear" w:color="auto" w:fill="auto"/>
            <w:noWrap/>
            <w:vAlign w:val="center"/>
            <w:hideMark/>
          </w:tcPr>
          <w:p w14:paraId="234F156B"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154</w:t>
            </w:r>
          </w:p>
        </w:tc>
        <w:tc>
          <w:tcPr>
            <w:tcW w:w="1093" w:type="dxa"/>
            <w:tcBorders>
              <w:top w:val="nil"/>
              <w:left w:val="nil"/>
              <w:bottom w:val="single" w:sz="4" w:space="0" w:color="auto"/>
              <w:right w:val="single" w:sz="4" w:space="0" w:color="auto"/>
            </w:tcBorders>
            <w:shd w:val="clear" w:color="auto" w:fill="auto"/>
            <w:noWrap/>
            <w:vAlign w:val="center"/>
            <w:hideMark/>
          </w:tcPr>
          <w:p w14:paraId="2BF57E9E"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143</w:t>
            </w:r>
          </w:p>
        </w:tc>
        <w:tc>
          <w:tcPr>
            <w:tcW w:w="1093" w:type="dxa"/>
            <w:tcBorders>
              <w:top w:val="nil"/>
              <w:left w:val="nil"/>
              <w:bottom w:val="single" w:sz="4" w:space="0" w:color="auto"/>
              <w:right w:val="single" w:sz="4" w:space="0" w:color="auto"/>
            </w:tcBorders>
            <w:shd w:val="clear" w:color="auto" w:fill="auto"/>
            <w:noWrap/>
            <w:vAlign w:val="center"/>
            <w:hideMark/>
          </w:tcPr>
          <w:p w14:paraId="04073796"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114</w:t>
            </w:r>
          </w:p>
        </w:tc>
        <w:tc>
          <w:tcPr>
            <w:tcW w:w="727" w:type="dxa"/>
            <w:tcBorders>
              <w:top w:val="nil"/>
              <w:left w:val="nil"/>
              <w:bottom w:val="single" w:sz="4" w:space="0" w:color="auto"/>
              <w:right w:val="single" w:sz="4" w:space="0" w:color="auto"/>
            </w:tcBorders>
            <w:shd w:val="clear" w:color="auto" w:fill="auto"/>
            <w:noWrap/>
            <w:vAlign w:val="center"/>
            <w:hideMark/>
          </w:tcPr>
          <w:p w14:paraId="23EC3436"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521</w:t>
            </w:r>
          </w:p>
        </w:tc>
      </w:tr>
      <w:tr w:rsidR="00386BBC" w:rsidRPr="00025B8D" w14:paraId="620A1CCE"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AC9DB31"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Ambiente y desarrollo sostenible</w:t>
            </w:r>
          </w:p>
        </w:tc>
        <w:tc>
          <w:tcPr>
            <w:tcW w:w="869" w:type="dxa"/>
            <w:tcBorders>
              <w:top w:val="nil"/>
              <w:left w:val="nil"/>
              <w:bottom w:val="single" w:sz="4" w:space="0" w:color="auto"/>
              <w:right w:val="single" w:sz="4" w:space="0" w:color="auto"/>
            </w:tcBorders>
            <w:shd w:val="clear" w:color="auto" w:fill="auto"/>
            <w:noWrap/>
            <w:vAlign w:val="center"/>
            <w:hideMark/>
          </w:tcPr>
          <w:p w14:paraId="5CEAC6DC"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84</w:t>
            </w:r>
          </w:p>
        </w:tc>
        <w:tc>
          <w:tcPr>
            <w:tcW w:w="1304" w:type="dxa"/>
            <w:tcBorders>
              <w:top w:val="nil"/>
              <w:left w:val="nil"/>
              <w:bottom w:val="single" w:sz="4" w:space="0" w:color="auto"/>
              <w:right w:val="single" w:sz="4" w:space="0" w:color="auto"/>
            </w:tcBorders>
            <w:shd w:val="clear" w:color="auto" w:fill="auto"/>
            <w:noWrap/>
            <w:vAlign w:val="center"/>
            <w:hideMark/>
          </w:tcPr>
          <w:p w14:paraId="35DBBAAB"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125</w:t>
            </w:r>
          </w:p>
        </w:tc>
        <w:tc>
          <w:tcPr>
            <w:tcW w:w="1093" w:type="dxa"/>
            <w:tcBorders>
              <w:top w:val="nil"/>
              <w:left w:val="nil"/>
              <w:bottom w:val="single" w:sz="4" w:space="0" w:color="auto"/>
              <w:right w:val="single" w:sz="4" w:space="0" w:color="auto"/>
            </w:tcBorders>
            <w:shd w:val="clear" w:color="auto" w:fill="auto"/>
            <w:noWrap/>
            <w:vAlign w:val="center"/>
            <w:hideMark/>
          </w:tcPr>
          <w:p w14:paraId="4994F64E"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121</w:t>
            </w:r>
          </w:p>
        </w:tc>
        <w:tc>
          <w:tcPr>
            <w:tcW w:w="1093" w:type="dxa"/>
            <w:tcBorders>
              <w:top w:val="nil"/>
              <w:left w:val="nil"/>
              <w:bottom w:val="single" w:sz="4" w:space="0" w:color="auto"/>
              <w:right w:val="single" w:sz="4" w:space="0" w:color="auto"/>
            </w:tcBorders>
            <w:shd w:val="clear" w:color="auto" w:fill="auto"/>
            <w:noWrap/>
            <w:vAlign w:val="center"/>
            <w:hideMark/>
          </w:tcPr>
          <w:p w14:paraId="72B9F369"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101</w:t>
            </w:r>
          </w:p>
        </w:tc>
        <w:tc>
          <w:tcPr>
            <w:tcW w:w="727" w:type="dxa"/>
            <w:tcBorders>
              <w:top w:val="nil"/>
              <w:left w:val="nil"/>
              <w:bottom w:val="single" w:sz="4" w:space="0" w:color="auto"/>
              <w:right w:val="single" w:sz="4" w:space="0" w:color="auto"/>
            </w:tcBorders>
            <w:shd w:val="clear" w:color="auto" w:fill="auto"/>
            <w:noWrap/>
            <w:vAlign w:val="center"/>
            <w:hideMark/>
          </w:tcPr>
          <w:p w14:paraId="62BC049E"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431</w:t>
            </w:r>
          </w:p>
        </w:tc>
      </w:tr>
      <w:tr w:rsidR="00386BBC" w:rsidRPr="00025B8D" w14:paraId="383839F6"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8FFEAE5"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Educación</w:t>
            </w:r>
          </w:p>
        </w:tc>
        <w:tc>
          <w:tcPr>
            <w:tcW w:w="869" w:type="dxa"/>
            <w:tcBorders>
              <w:top w:val="nil"/>
              <w:left w:val="nil"/>
              <w:bottom w:val="single" w:sz="4" w:space="0" w:color="auto"/>
              <w:right w:val="single" w:sz="4" w:space="0" w:color="auto"/>
            </w:tcBorders>
            <w:shd w:val="clear" w:color="auto" w:fill="auto"/>
            <w:noWrap/>
            <w:vAlign w:val="center"/>
            <w:hideMark/>
          </w:tcPr>
          <w:p w14:paraId="4CE327C9"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40</w:t>
            </w:r>
          </w:p>
        </w:tc>
        <w:tc>
          <w:tcPr>
            <w:tcW w:w="1304" w:type="dxa"/>
            <w:tcBorders>
              <w:top w:val="nil"/>
              <w:left w:val="nil"/>
              <w:bottom w:val="single" w:sz="4" w:space="0" w:color="auto"/>
              <w:right w:val="single" w:sz="4" w:space="0" w:color="auto"/>
            </w:tcBorders>
            <w:shd w:val="clear" w:color="auto" w:fill="auto"/>
            <w:noWrap/>
            <w:vAlign w:val="center"/>
            <w:hideMark/>
          </w:tcPr>
          <w:p w14:paraId="417A26A2"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81</w:t>
            </w:r>
          </w:p>
        </w:tc>
        <w:tc>
          <w:tcPr>
            <w:tcW w:w="1093" w:type="dxa"/>
            <w:tcBorders>
              <w:top w:val="nil"/>
              <w:left w:val="nil"/>
              <w:bottom w:val="single" w:sz="4" w:space="0" w:color="auto"/>
              <w:right w:val="single" w:sz="4" w:space="0" w:color="auto"/>
            </w:tcBorders>
            <w:shd w:val="clear" w:color="auto" w:fill="auto"/>
            <w:noWrap/>
            <w:vAlign w:val="center"/>
            <w:hideMark/>
          </w:tcPr>
          <w:p w14:paraId="0628DBD0"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73</w:t>
            </w:r>
          </w:p>
        </w:tc>
        <w:tc>
          <w:tcPr>
            <w:tcW w:w="1093" w:type="dxa"/>
            <w:tcBorders>
              <w:top w:val="nil"/>
              <w:left w:val="nil"/>
              <w:bottom w:val="single" w:sz="4" w:space="0" w:color="auto"/>
              <w:right w:val="single" w:sz="4" w:space="0" w:color="auto"/>
            </w:tcBorders>
            <w:shd w:val="clear" w:color="auto" w:fill="auto"/>
            <w:noWrap/>
            <w:vAlign w:val="center"/>
            <w:hideMark/>
          </w:tcPr>
          <w:p w14:paraId="68856E90"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52</w:t>
            </w:r>
          </w:p>
        </w:tc>
        <w:tc>
          <w:tcPr>
            <w:tcW w:w="727" w:type="dxa"/>
            <w:tcBorders>
              <w:top w:val="nil"/>
              <w:left w:val="nil"/>
              <w:bottom w:val="single" w:sz="4" w:space="0" w:color="auto"/>
              <w:right w:val="single" w:sz="4" w:space="0" w:color="auto"/>
            </w:tcBorders>
            <w:shd w:val="clear" w:color="auto" w:fill="auto"/>
            <w:noWrap/>
            <w:vAlign w:val="center"/>
            <w:hideMark/>
          </w:tcPr>
          <w:p w14:paraId="61EF6666"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246</w:t>
            </w:r>
          </w:p>
        </w:tc>
      </w:tr>
      <w:tr w:rsidR="00386BBC" w:rsidRPr="00025B8D" w14:paraId="678B96E2"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0146337"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Justicia y del derecho</w:t>
            </w:r>
          </w:p>
        </w:tc>
        <w:tc>
          <w:tcPr>
            <w:tcW w:w="869" w:type="dxa"/>
            <w:tcBorders>
              <w:top w:val="nil"/>
              <w:left w:val="nil"/>
              <w:bottom w:val="single" w:sz="4" w:space="0" w:color="auto"/>
              <w:right w:val="single" w:sz="4" w:space="0" w:color="auto"/>
            </w:tcBorders>
            <w:shd w:val="clear" w:color="auto" w:fill="auto"/>
            <w:noWrap/>
            <w:vAlign w:val="center"/>
            <w:hideMark/>
          </w:tcPr>
          <w:p w14:paraId="092F0E73"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23</w:t>
            </w:r>
          </w:p>
        </w:tc>
        <w:tc>
          <w:tcPr>
            <w:tcW w:w="1304" w:type="dxa"/>
            <w:tcBorders>
              <w:top w:val="nil"/>
              <w:left w:val="nil"/>
              <w:bottom w:val="single" w:sz="4" w:space="0" w:color="auto"/>
              <w:right w:val="single" w:sz="4" w:space="0" w:color="auto"/>
            </w:tcBorders>
            <w:shd w:val="clear" w:color="auto" w:fill="auto"/>
            <w:noWrap/>
            <w:vAlign w:val="center"/>
            <w:hideMark/>
          </w:tcPr>
          <w:p w14:paraId="6D4A009B"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49</w:t>
            </w:r>
          </w:p>
        </w:tc>
        <w:tc>
          <w:tcPr>
            <w:tcW w:w="1093" w:type="dxa"/>
            <w:tcBorders>
              <w:top w:val="nil"/>
              <w:left w:val="nil"/>
              <w:bottom w:val="single" w:sz="4" w:space="0" w:color="auto"/>
              <w:right w:val="single" w:sz="4" w:space="0" w:color="auto"/>
            </w:tcBorders>
            <w:shd w:val="clear" w:color="auto" w:fill="auto"/>
            <w:noWrap/>
            <w:vAlign w:val="center"/>
            <w:hideMark/>
          </w:tcPr>
          <w:p w14:paraId="4B06284E"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61</w:t>
            </w:r>
          </w:p>
        </w:tc>
        <w:tc>
          <w:tcPr>
            <w:tcW w:w="1093" w:type="dxa"/>
            <w:tcBorders>
              <w:top w:val="nil"/>
              <w:left w:val="nil"/>
              <w:bottom w:val="single" w:sz="4" w:space="0" w:color="auto"/>
              <w:right w:val="single" w:sz="4" w:space="0" w:color="auto"/>
            </w:tcBorders>
            <w:shd w:val="clear" w:color="auto" w:fill="auto"/>
            <w:noWrap/>
            <w:vAlign w:val="center"/>
            <w:hideMark/>
          </w:tcPr>
          <w:p w14:paraId="464504B0"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24</w:t>
            </w:r>
          </w:p>
        </w:tc>
        <w:tc>
          <w:tcPr>
            <w:tcW w:w="727" w:type="dxa"/>
            <w:tcBorders>
              <w:top w:val="nil"/>
              <w:left w:val="nil"/>
              <w:bottom w:val="single" w:sz="4" w:space="0" w:color="auto"/>
              <w:right w:val="single" w:sz="4" w:space="0" w:color="auto"/>
            </w:tcBorders>
            <w:shd w:val="clear" w:color="auto" w:fill="auto"/>
            <w:noWrap/>
            <w:vAlign w:val="center"/>
            <w:hideMark/>
          </w:tcPr>
          <w:p w14:paraId="60D1B14C"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157</w:t>
            </w:r>
          </w:p>
        </w:tc>
      </w:tr>
      <w:tr w:rsidR="00386BBC" w:rsidRPr="00025B8D" w14:paraId="3F66FE72"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12859FA"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Cultura</w:t>
            </w:r>
          </w:p>
        </w:tc>
        <w:tc>
          <w:tcPr>
            <w:tcW w:w="869" w:type="dxa"/>
            <w:tcBorders>
              <w:top w:val="nil"/>
              <w:left w:val="nil"/>
              <w:bottom w:val="single" w:sz="4" w:space="0" w:color="auto"/>
              <w:right w:val="single" w:sz="4" w:space="0" w:color="auto"/>
            </w:tcBorders>
            <w:shd w:val="clear" w:color="auto" w:fill="auto"/>
            <w:noWrap/>
            <w:vAlign w:val="center"/>
            <w:hideMark/>
          </w:tcPr>
          <w:p w14:paraId="3410D205"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19</w:t>
            </w:r>
          </w:p>
        </w:tc>
        <w:tc>
          <w:tcPr>
            <w:tcW w:w="1304" w:type="dxa"/>
            <w:tcBorders>
              <w:top w:val="nil"/>
              <w:left w:val="nil"/>
              <w:bottom w:val="single" w:sz="4" w:space="0" w:color="auto"/>
              <w:right w:val="single" w:sz="4" w:space="0" w:color="auto"/>
            </w:tcBorders>
            <w:shd w:val="clear" w:color="auto" w:fill="auto"/>
            <w:noWrap/>
            <w:vAlign w:val="center"/>
            <w:hideMark/>
          </w:tcPr>
          <w:p w14:paraId="0455C996"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52</w:t>
            </w:r>
          </w:p>
        </w:tc>
        <w:tc>
          <w:tcPr>
            <w:tcW w:w="1093" w:type="dxa"/>
            <w:tcBorders>
              <w:top w:val="nil"/>
              <w:left w:val="nil"/>
              <w:bottom w:val="single" w:sz="4" w:space="0" w:color="auto"/>
              <w:right w:val="single" w:sz="4" w:space="0" w:color="auto"/>
            </w:tcBorders>
            <w:shd w:val="clear" w:color="auto" w:fill="auto"/>
            <w:noWrap/>
            <w:vAlign w:val="center"/>
            <w:hideMark/>
          </w:tcPr>
          <w:p w14:paraId="6A2322B5"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40</w:t>
            </w:r>
          </w:p>
        </w:tc>
        <w:tc>
          <w:tcPr>
            <w:tcW w:w="1093" w:type="dxa"/>
            <w:tcBorders>
              <w:top w:val="nil"/>
              <w:left w:val="nil"/>
              <w:bottom w:val="single" w:sz="4" w:space="0" w:color="auto"/>
              <w:right w:val="single" w:sz="4" w:space="0" w:color="auto"/>
            </w:tcBorders>
            <w:shd w:val="clear" w:color="auto" w:fill="auto"/>
            <w:noWrap/>
            <w:vAlign w:val="center"/>
            <w:hideMark/>
          </w:tcPr>
          <w:p w14:paraId="60F761D4"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33</w:t>
            </w:r>
          </w:p>
        </w:tc>
        <w:tc>
          <w:tcPr>
            <w:tcW w:w="727" w:type="dxa"/>
            <w:tcBorders>
              <w:top w:val="nil"/>
              <w:left w:val="nil"/>
              <w:bottom w:val="single" w:sz="4" w:space="0" w:color="auto"/>
              <w:right w:val="single" w:sz="4" w:space="0" w:color="auto"/>
            </w:tcBorders>
            <w:shd w:val="clear" w:color="auto" w:fill="auto"/>
            <w:noWrap/>
            <w:vAlign w:val="center"/>
            <w:hideMark/>
          </w:tcPr>
          <w:p w14:paraId="0D70E752"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144</w:t>
            </w:r>
          </w:p>
        </w:tc>
      </w:tr>
      <w:tr w:rsidR="00386BBC" w:rsidRPr="00025B8D" w14:paraId="25D1DF77" w14:textId="77777777" w:rsidTr="00282ADE">
        <w:trPr>
          <w:trHeight w:val="193"/>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D3C2418"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Deporte y recreación</w:t>
            </w:r>
          </w:p>
        </w:tc>
        <w:tc>
          <w:tcPr>
            <w:tcW w:w="869" w:type="dxa"/>
            <w:tcBorders>
              <w:top w:val="nil"/>
              <w:left w:val="nil"/>
              <w:bottom w:val="single" w:sz="4" w:space="0" w:color="auto"/>
              <w:right w:val="single" w:sz="4" w:space="0" w:color="auto"/>
            </w:tcBorders>
            <w:shd w:val="clear" w:color="auto" w:fill="auto"/>
            <w:noWrap/>
            <w:vAlign w:val="center"/>
            <w:hideMark/>
          </w:tcPr>
          <w:p w14:paraId="37418DE7"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15</w:t>
            </w:r>
          </w:p>
        </w:tc>
        <w:tc>
          <w:tcPr>
            <w:tcW w:w="1304" w:type="dxa"/>
            <w:tcBorders>
              <w:top w:val="nil"/>
              <w:left w:val="nil"/>
              <w:bottom w:val="single" w:sz="4" w:space="0" w:color="auto"/>
              <w:right w:val="single" w:sz="4" w:space="0" w:color="auto"/>
            </w:tcBorders>
            <w:shd w:val="clear" w:color="auto" w:fill="auto"/>
            <w:noWrap/>
            <w:vAlign w:val="center"/>
            <w:hideMark/>
          </w:tcPr>
          <w:p w14:paraId="68EDA105"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21</w:t>
            </w:r>
          </w:p>
        </w:tc>
        <w:tc>
          <w:tcPr>
            <w:tcW w:w="1093" w:type="dxa"/>
            <w:tcBorders>
              <w:top w:val="nil"/>
              <w:left w:val="nil"/>
              <w:bottom w:val="single" w:sz="4" w:space="0" w:color="auto"/>
              <w:right w:val="single" w:sz="4" w:space="0" w:color="auto"/>
            </w:tcBorders>
            <w:shd w:val="clear" w:color="auto" w:fill="auto"/>
            <w:noWrap/>
            <w:vAlign w:val="center"/>
            <w:hideMark/>
          </w:tcPr>
          <w:p w14:paraId="7F472F4E"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20</w:t>
            </w:r>
          </w:p>
        </w:tc>
        <w:tc>
          <w:tcPr>
            <w:tcW w:w="1093" w:type="dxa"/>
            <w:tcBorders>
              <w:top w:val="nil"/>
              <w:left w:val="nil"/>
              <w:bottom w:val="single" w:sz="4" w:space="0" w:color="auto"/>
              <w:right w:val="single" w:sz="4" w:space="0" w:color="auto"/>
            </w:tcBorders>
            <w:shd w:val="clear" w:color="auto" w:fill="auto"/>
            <w:noWrap/>
            <w:vAlign w:val="center"/>
            <w:hideMark/>
          </w:tcPr>
          <w:p w14:paraId="68EEB227"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17</w:t>
            </w:r>
          </w:p>
        </w:tc>
        <w:tc>
          <w:tcPr>
            <w:tcW w:w="727" w:type="dxa"/>
            <w:tcBorders>
              <w:top w:val="nil"/>
              <w:left w:val="nil"/>
              <w:bottom w:val="single" w:sz="4" w:space="0" w:color="auto"/>
              <w:right w:val="single" w:sz="4" w:space="0" w:color="auto"/>
            </w:tcBorders>
            <w:shd w:val="clear" w:color="auto" w:fill="auto"/>
            <w:noWrap/>
            <w:vAlign w:val="center"/>
            <w:hideMark/>
          </w:tcPr>
          <w:p w14:paraId="283574E3"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73</w:t>
            </w:r>
          </w:p>
        </w:tc>
      </w:tr>
      <w:tr w:rsidR="00386BBC" w:rsidRPr="00025B8D" w14:paraId="10675690"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F769824"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Trabajo</w:t>
            </w:r>
          </w:p>
        </w:tc>
        <w:tc>
          <w:tcPr>
            <w:tcW w:w="869" w:type="dxa"/>
            <w:tcBorders>
              <w:top w:val="nil"/>
              <w:left w:val="nil"/>
              <w:bottom w:val="single" w:sz="4" w:space="0" w:color="auto"/>
              <w:right w:val="single" w:sz="4" w:space="0" w:color="auto"/>
            </w:tcBorders>
            <w:shd w:val="clear" w:color="auto" w:fill="auto"/>
            <w:noWrap/>
            <w:vAlign w:val="center"/>
            <w:hideMark/>
          </w:tcPr>
          <w:p w14:paraId="03B79AF6"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5</w:t>
            </w:r>
          </w:p>
        </w:tc>
        <w:tc>
          <w:tcPr>
            <w:tcW w:w="1304" w:type="dxa"/>
            <w:tcBorders>
              <w:top w:val="nil"/>
              <w:left w:val="nil"/>
              <w:bottom w:val="single" w:sz="4" w:space="0" w:color="auto"/>
              <w:right w:val="single" w:sz="4" w:space="0" w:color="auto"/>
            </w:tcBorders>
            <w:shd w:val="clear" w:color="auto" w:fill="auto"/>
            <w:noWrap/>
            <w:vAlign w:val="center"/>
            <w:hideMark/>
          </w:tcPr>
          <w:p w14:paraId="35C088D7"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9</w:t>
            </w:r>
          </w:p>
        </w:tc>
        <w:tc>
          <w:tcPr>
            <w:tcW w:w="1093" w:type="dxa"/>
            <w:tcBorders>
              <w:top w:val="nil"/>
              <w:left w:val="nil"/>
              <w:bottom w:val="single" w:sz="4" w:space="0" w:color="auto"/>
              <w:right w:val="single" w:sz="4" w:space="0" w:color="auto"/>
            </w:tcBorders>
            <w:shd w:val="clear" w:color="auto" w:fill="auto"/>
            <w:noWrap/>
            <w:vAlign w:val="center"/>
            <w:hideMark/>
          </w:tcPr>
          <w:p w14:paraId="364E5FCC"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9</w:t>
            </w:r>
          </w:p>
        </w:tc>
        <w:tc>
          <w:tcPr>
            <w:tcW w:w="1093" w:type="dxa"/>
            <w:tcBorders>
              <w:top w:val="nil"/>
              <w:left w:val="nil"/>
              <w:bottom w:val="single" w:sz="4" w:space="0" w:color="auto"/>
              <w:right w:val="single" w:sz="4" w:space="0" w:color="auto"/>
            </w:tcBorders>
            <w:shd w:val="clear" w:color="auto" w:fill="auto"/>
            <w:noWrap/>
            <w:vAlign w:val="center"/>
            <w:hideMark/>
          </w:tcPr>
          <w:p w14:paraId="77BDD7B8"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5</w:t>
            </w:r>
          </w:p>
        </w:tc>
        <w:tc>
          <w:tcPr>
            <w:tcW w:w="727" w:type="dxa"/>
            <w:tcBorders>
              <w:top w:val="nil"/>
              <w:left w:val="nil"/>
              <w:bottom w:val="single" w:sz="4" w:space="0" w:color="auto"/>
              <w:right w:val="single" w:sz="4" w:space="0" w:color="auto"/>
            </w:tcBorders>
            <w:shd w:val="clear" w:color="auto" w:fill="auto"/>
            <w:noWrap/>
            <w:vAlign w:val="center"/>
            <w:hideMark/>
          </w:tcPr>
          <w:p w14:paraId="49099A0A"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28</w:t>
            </w:r>
          </w:p>
        </w:tc>
      </w:tr>
      <w:tr w:rsidR="00386BBC" w:rsidRPr="00025B8D" w14:paraId="15496DB2"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7709F7D"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Tecnologías de la información y las comunicaciones</w:t>
            </w:r>
          </w:p>
        </w:tc>
        <w:tc>
          <w:tcPr>
            <w:tcW w:w="869" w:type="dxa"/>
            <w:tcBorders>
              <w:top w:val="nil"/>
              <w:left w:val="nil"/>
              <w:bottom w:val="single" w:sz="4" w:space="0" w:color="auto"/>
              <w:right w:val="single" w:sz="4" w:space="0" w:color="auto"/>
            </w:tcBorders>
            <w:shd w:val="clear" w:color="auto" w:fill="auto"/>
            <w:noWrap/>
            <w:vAlign w:val="center"/>
            <w:hideMark/>
          </w:tcPr>
          <w:p w14:paraId="66A35BB2"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2</w:t>
            </w:r>
          </w:p>
        </w:tc>
        <w:tc>
          <w:tcPr>
            <w:tcW w:w="1304" w:type="dxa"/>
            <w:tcBorders>
              <w:top w:val="nil"/>
              <w:left w:val="nil"/>
              <w:bottom w:val="single" w:sz="4" w:space="0" w:color="auto"/>
              <w:right w:val="single" w:sz="4" w:space="0" w:color="auto"/>
            </w:tcBorders>
            <w:shd w:val="clear" w:color="auto" w:fill="auto"/>
            <w:noWrap/>
            <w:vAlign w:val="center"/>
            <w:hideMark/>
          </w:tcPr>
          <w:p w14:paraId="24019AFA"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6</w:t>
            </w:r>
          </w:p>
        </w:tc>
        <w:tc>
          <w:tcPr>
            <w:tcW w:w="1093" w:type="dxa"/>
            <w:tcBorders>
              <w:top w:val="nil"/>
              <w:left w:val="nil"/>
              <w:bottom w:val="single" w:sz="4" w:space="0" w:color="auto"/>
              <w:right w:val="single" w:sz="4" w:space="0" w:color="auto"/>
            </w:tcBorders>
            <w:shd w:val="clear" w:color="auto" w:fill="auto"/>
            <w:noWrap/>
            <w:vAlign w:val="center"/>
            <w:hideMark/>
          </w:tcPr>
          <w:p w14:paraId="6CA31E18"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5</w:t>
            </w:r>
          </w:p>
        </w:tc>
        <w:tc>
          <w:tcPr>
            <w:tcW w:w="1093" w:type="dxa"/>
            <w:tcBorders>
              <w:top w:val="nil"/>
              <w:left w:val="nil"/>
              <w:bottom w:val="single" w:sz="4" w:space="0" w:color="auto"/>
              <w:right w:val="single" w:sz="4" w:space="0" w:color="auto"/>
            </w:tcBorders>
            <w:shd w:val="clear" w:color="auto" w:fill="auto"/>
            <w:noWrap/>
            <w:vAlign w:val="center"/>
            <w:hideMark/>
          </w:tcPr>
          <w:p w14:paraId="48C65E2D"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3</w:t>
            </w:r>
          </w:p>
        </w:tc>
        <w:tc>
          <w:tcPr>
            <w:tcW w:w="727" w:type="dxa"/>
            <w:tcBorders>
              <w:top w:val="nil"/>
              <w:left w:val="nil"/>
              <w:bottom w:val="single" w:sz="4" w:space="0" w:color="auto"/>
              <w:right w:val="single" w:sz="4" w:space="0" w:color="auto"/>
            </w:tcBorders>
            <w:shd w:val="clear" w:color="auto" w:fill="auto"/>
            <w:noWrap/>
            <w:vAlign w:val="center"/>
            <w:hideMark/>
          </w:tcPr>
          <w:p w14:paraId="7D17CE11"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16</w:t>
            </w:r>
          </w:p>
        </w:tc>
      </w:tr>
      <w:tr w:rsidR="00386BBC" w:rsidRPr="00025B8D" w14:paraId="3439AE10" w14:textId="77777777" w:rsidTr="00282ADE">
        <w:trPr>
          <w:trHeight w:val="401"/>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D020188"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lastRenderedPageBreak/>
              <w:t>Información estadística</w:t>
            </w:r>
          </w:p>
        </w:tc>
        <w:tc>
          <w:tcPr>
            <w:tcW w:w="869" w:type="dxa"/>
            <w:tcBorders>
              <w:top w:val="nil"/>
              <w:left w:val="nil"/>
              <w:bottom w:val="single" w:sz="4" w:space="0" w:color="auto"/>
              <w:right w:val="single" w:sz="4" w:space="0" w:color="auto"/>
            </w:tcBorders>
            <w:shd w:val="clear" w:color="auto" w:fill="auto"/>
            <w:noWrap/>
            <w:vAlign w:val="center"/>
            <w:hideMark/>
          </w:tcPr>
          <w:p w14:paraId="11019D45"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w:t>
            </w:r>
          </w:p>
        </w:tc>
        <w:tc>
          <w:tcPr>
            <w:tcW w:w="1304" w:type="dxa"/>
            <w:tcBorders>
              <w:top w:val="nil"/>
              <w:left w:val="nil"/>
              <w:bottom w:val="single" w:sz="4" w:space="0" w:color="auto"/>
              <w:right w:val="single" w:sz="4" w:space="0" w:color="auto"/>
            </w:tcBorders>
            <w:shd w:val="clear" w:color="auto" w:fill="auto"/>
            <w:noWrap/>
            <w:vAlign w:val="center"/>
            <w:hideMark/>
          </w:tcPr>
          <w:p w14:paraId="05FB11E6"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6</w:t>
            </w:r>
          </w:p>
        </w:tc>
        <w:tc>
          <w:tcPr>
            <w:tcW w:w="1093" w:type="dxa"/>
            <w:tcBorders>
              <w:top w:val="nil"/>
              <w:left w:val="nil"/>
              <w:bottom w:val="single" w:sz="4" w:space="0" w:color="auto"/>
              <w:right w:val="single" w:sz="4" w:space="0" w:color="auto"/>
            </w:tcBorders>
            <w:shd w:val="clear" w:color="auto" w:fill="auto"/>
            <w:noWrap/>
            <w:vAlign w:val="center"/>
            <w:hideMark/>
          </w:tcPr>
          <w:p w14:paraId="0BEA5004"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2</w:t>
            </w:r>
          </w:p>
        </w:tc>
        <w:tc>
          <w:tcPr>
            <w:tcW w:w="1093" w:type="dxa"/>
            <w:tcBorders>
              <w:top w:val="nil"/>
              <w:left w:val="nil"/>
              <w:bottom w:val="single" w:sz="4" w:space="0" w:color="auto"/>
              <w:right w:val="single" w:sz="4" w:space="0" w:color="auto"/>
            </w:tcBorders>
            <w:shd w:val="clear" w:color="auto" w:fill="auto"/>
            <w:noWrap/>
            <w:vAlign w:val="center"/>
            <w:hideMark/>
          </w:tcPr>
          <w:p w14:paraId="370C6A6B"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2</w:t>
            </w:r>
          </w:p>
        </w:tc>
        <w:tc>
          <w:tcPr>
            <w:tcW w:w="727" w:type="dxa"/>
            <w:tcBorders>
              <w:top w:val="nil"/>
              <w:left w:val="nil"/>
              <w:bottom w:val="single" w:sz="4" w:space="0" w:color="auto"/>
              <w:right w:val="single" w:sz="4" w:space="0" w:color="auto"/>
            </w:tcBorders>
            <w:shd w:val="clear" w:color="auto" w:fill="auto"/>
            <w:noWrap/>
            <w:vAlign w:val="center"/>
            <w:hideMark/>
          </w:tcPr>
          <w:p w14:paraId="725B50DA"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11</w:t>
            </w:r>
          </w:p>
        </w:tc>
      </w:tr>
      <w:tr w:rsidR="00386BBC" w:rsidRPr="00025B8D" w14:paraId="46AF8A9D"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3D760D3" w14:textId="77777777" w:rsidR="00386BBC" w:rsidRPr="00FB27C3" w:rsidRDefault="00386BBC" w:rsidP="00286F4A">
            <w:pPr>
              <w:spacing w:after="0" w:line="240" w:lineRule="auto"/>
              <w:contextualSpacing/>
              <w:rPr>
                <w:rFonts w:eastAsia="Times New Roman" w:cs="Arial"/>
                <w:color w:val="000000"/>
                <w:sz w:val="18"/>
                <w:szCs w:val="18"/>
                <w:lang w:eastAsia="es-CO"/>
              </w:rPr>
            </w:pPr>
            <w:r w:rsidRPr="00FB27C3">
              <w:rPr>
                <w:rFonts w:eastAsia="Times New Roman" w:cs="Arial"/>
                <w:color w:val="000000"/>
                <w:sz w:val="18"/>
                <w:szCs w:val="18"/>
                <w:lang w:eastAsia="es-CO"/>
              </w:rPr>
              <w:t>Comercio, industria y turismo</w:t>
            </w:r>
          </w:p>
        </w:tc>
        <w:tc>
          <w:tcPr>
            <w:tcW w:w="869" w:type="dxa"/>
            <w:tcBorders>
              <w:top w:val="nil"/>
              <w:left w:val="nil"/>
              <w:bottom w:val="single" w:sz="4" w:space="0" w:color="auto"/>
              <w:right w:val="single" w:sz="4" w:space="0" w:color="auto"/>
            </w:tcBorders>
            <w:shd w:val="clear" w:color="auto" w:fill="auto"/>
            <w:noWrap/>
            <w:vAlign w:val="center"/>
            <w:hideMark/>
          </w:tcPr>
          <w:p w14:paraId="18AA3D4C"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w:t>
            </w:r>
          </w:p>
        </w:tc>
        <w:tc>
          <w:tcPr>
            <w:tcW w:w="1304" w:type="dxa"/>
            <w:tcBorders>
              <w:top w:val="nil"/>
              <w:left w:val="nil"/>
              <w:bottom w:val="single" w:sz="4" w:space="0" w:color="auto"/>
              <w:right w:val="single" w:sz="4" w:space="0" w:color="auto"/>
            </w:tcBorders>
            <w:shd w:val="clear" w:color="auto" w:fill="auto"/>
            <w:noWrap/>
            <w:vAlign w:val="center"/>
            <w:hideMark/>
          </w:tcPr>
          <w:p w14:paraId="55FE3A64"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2</w:t>
            </w:r>
          </w:p>
        </w:tc>
        <w:tc>
          <w:tcPr>
            <w:tcW w:w="1093" w:type="dxa"/>
            <w:tcBorders>
              <w:top w:val="nil"/>
              <w:left w:val="nil"/>
              <w:bottom w:val="single" w:sz="4" w:space="0" w:color="auto"/>
              <w:right w:val="single" w:sz="4" w:space="0" w:color="auto"/>
            </w:tcBorders>
            <w:shd w:val="clear" w:color="auto" w:fill="auto"/>
            <w:noWrap/>
            <w:vAlign w:val="center"/>
            <w:hideMark/>
          </w:tcPr>
          <w:p w14:paraId="1512E77F"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w:t>
            </w:r>
          </w:p>
        </w:tc>
        <w:tc>
          <w:tcPr>
            <w:tcW w:w="1093" w:type="dxa"/>
            <w:tcBorders>
              <w:top w:val="nil"/>
              <w:left w:val="nil"/>
              <w:bottom w:val="single" w:sz="4" w:space="0" w:color="auto"/>
              <w:right w:val="single" w:sz="4" w:space="0" w:color="auto"/>
            </w:tcBorders>
            <w:shd w:val="clear" w:color="auto" w:fill="auto"/>
            <w:noWrap/>
            <w:vAlign w:val="center"/>
            <w:hideMark/>
          </w:tcPr>
          <w:p w14:paraId="1147AC76" w14:textId="77777777" w:rsidR="00386BBC" w:rsidRPr="00FB27C3" w:rsidRDefault="00386BBC">
            <w:pPr>
              <w:spacing w:after="0" w:line="240" w:lineRule="auto"/>
              <w:contextualSpacing/>
              <w:jc w:val="center"/>
              <w:rPr>
                <w:rFonts w:eastAsia="Times New Roman" w:cs="Arial"/>
                <w:color w:val="000000"/>
                <w:sz w:val="18"/>
                <w:szCs w:val="18"/>
                <w:lang w:eastAsia="es-CO"/>
              </w:rPr>
            </w:pPr>
            <w:r w:rsidRPr="00FB27C3">
              <w:rPr>
                <w:rFonts w:eastAsia="Times New Roman" w:cs="Arial"/>
                <w:color w:val="000000"/>
                <w:sz w:val="18"/>
                <w:szCs w:val="18"/>
                <w:lang w:eastAsia="es-CO"/>
              </w:rPr>
              <w:t>1</w:t>
            </w:r>
          </w:p>
        </w:tc>
        <w:tc>
          <w:tcPr>
            <w:tcW w:w="727" w:type="dxa"/>
            <w:tcBorders>
              <w:top w:val="nil"/>
              <w:left w:val="nil"/>
              <w:bottom w:val="single" w:sz="4" w:space="0" w:color="auto"/>
              <w:right w:val="single" w:sz="4" w:space="0" w:color="auto"/>
            </w:tcBorders>
            <w:shd w:val="clear" w:color="auto" w:fill="auto"/>
            <w:noWrap/>
            <w:vAlign w:val="center"/>
            <w:hideMark/>
          </w:tcPr>
          <w:p w14:paraId="05AFDCA0" w14:textId="77777777" w:rsidR="00386BBC" w:rsidRPr="00FB27C3" w:rsidRDefault="00386BBC">
            <w:pPr>
              <w:spacing w:after="0" w:line="240" w:lineRule="auto"/>
              <w:contextualSpacing/>
              <w:jc w:val="center"/>
              <w:rPr>
                <w:rFonts w:eastAsia="Times New Roman" w:cs="Arial"/>
                <w:b/>
                <w:bCs/>
                <w:color w:val="000000"/>
                <w:sz w:val="18"/>
                <w:szCs w:val="18"/>
                <w:lang w:eastAsia="es-CO"/>
              </w:rPr>
            </w:pPr>
            <w:r w:rsidRPr="00FB27C3">
              <w:rPr>
                <w:rFonts w:eastAsia="Times New Roman" w:cs="Arial"/>
                <w:b/>
                <w:bCs/>
                <w:color w:val="000000"/>
                <w:sz w:val="18"/>
                <w:szCs w:val="18"/>
                <w:lang w:eastAsia="es-CO"/>
              </w:rPr>
              <w:t>5</w:t>
            </w:r>
          </w:p>
        </w:tc>
      </w:tr>
      <w:tr w:rsidR="00314084" w:rsidRPr="00025B8D" w14:paraId="297F346B" w14:textId="77777777" w:rsidTr="00282ADE">
        <w:trPr>
          <w:trHeight w:val="200"/>
          <w:jc w:val="center"/>
        </w:trPr>
        <w:tc>
          <w:tcPr>
            <w:tcW w:w="2972" w:type="dxa"/>
            <w:tcBorders>
              <w:top w:val="nil"/>
              <w:left w:val="single" w:sz="4" w:space="0" w:color="auto"/>
              <w:bottom w:val="single" w:sz="4" w:space="0" w:color="auto"/>
              <w:right w:val="single" w:sz="4" w:space="0" w:color="auto"/>
            </w:tcBorders>
            <w:shd w:val="clear" w:color="auto" w:fill="666699"/>
            <w:vAlign w:val="center"/>
            <w:hideMark/>
          </w:tcPr>
          <w:p w14:paraId="5765947B" w14:textId="77777777" w:rsidR="00386BBC" w:rsidRPr="00FB27C3" w:rsidRDefault="00386BBC" w:rsidP="00286F4A">
            <w:pPr>
              <w:spacing w:after="0" w:line="240" w:lineRule="auto"/>
              <w:contextualSpacing/>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Total general</w:t>
            </w:r>
          </w:p>
        </w:tc>
        <w:tc>
          <w:tcPr>
            <w:tcW w:w="869" w:type="dxa"/>
            <w:tcBorders>
              <w:top w:val="nil"/>
              <w:left w:val="nil"/>
              <w:bottom w:val="single" w:sz="4" w:space="0" w:color="auto"/>
              <w:right w:val="single" w:sz="4" w:space="0" w:color="auto"/>
            </w:tcBorders>
            <w:shd w:val="clear" w:color="auto" w:fill="666699"/>
            <w:vAlign w:val="center"/>
            <w:hideMark/>
          </w:tcPr>
          <w:p w14:paraId="6EFE1EA7"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6</w:t>
            </w:r>
            <w:r w:rsidR="00373347">
              <w:rPr>
                <w:rFonts w:eastAsia="Times New Roman" w:cs="Arial"/>
                <w:b/>
                <w:bCs/>
                <w:color w:val="FFFFFF" w:themeColor="background1"/>
                <w:sz w:val="18"/>
                <w:szCs w:val="18"/>
                <w:lang w:eastAsia="es-CO"/>
              </w:rPr>
              <w:t>.</w:t>
            </w:r>
            <w:r w:rsidRPr="00FB27C3">
              <w:rPr>
                <w:rFonts w:eastAsia="Times New Roman" w:cs="Arial"/>
                <w:b/>
                <w:bCs/>
                <w:color w:val="FFFFFF" w:themeColor="background1"/>
                <w:sz w:val="18"/>
                <w:szCs w:val="18"/>
                <w:lang w:eastAsia="es-CO"/>
              </w:rPr>
              <w:t>378</w:t>
            </w:r>
          </w:p>
        </w:tc>
        <w:tc>
          <w:tcPr>
            <w:tcW w:w="1304" w:type="dxa"/>
            <w:tcBorders>
              <w:top w:val="nil"/>
              <w:left w:val="nil"/>
              <w:bottom w:val="single" w:sz="4" w:space="0" w:color="auto"/>
              <w:right w:val="single" w:sz="4" w:space="0" w:color="auto"/>
            </w:tcBorders>
            <w:shd w:val="clear" w:color="auto" w:fill="666699"/>
            <w:vAlign w:val="center"/>
            <w:hideMark/>
          </w:tcPr>
          <w:p w14:paraId="25EAE30E"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8</w:t>
            </w:r>
            <w:r w:rsidR="00373347">
              <w:rPr>
                <w:rFonts w:eastAsia="Times New Roman" w:cs="Arial"/>
                <w:b/>
                <w:bCs/>
                <w:color w:val="FFFFFF" w:themeColor="background1"/>
                <w:sz w:val="18"/>
                <w:szCs w:val="18"/>
                <w:lang w:eastAsia="es-CO"/>
              </w:rPr>
              <w:t>.</w:t>
            </w:r>
            <w:r w:rsidRPr="00FB27C3">
              <w:rPr>
                <w:rFonts w:eastAsia="Times New Roman" w:cs="Arial"/>
                <w:b/>
                <w:bCs/>
                <w:color w:val="FFFFFF" w:themeColor="background1"/>
                <w:sz w:val="18"/>
                <w:szCs w:val="18"/>
                <w:lang w:eastAsia="es-CO"/>
              </w:rPr>
              <w:t>242</w:t>
            </w:r>
          </w:p>
        </w:tc>
        <w:tc>
          <w:tcPr>
            <w:tcW w:w="1093" w:type="dxa"/>
            <w:tcBorders>
              <w:top w:val="nil"/>
              <w:left w:val="nil"/>
              <w:bottom w:val="single" w:sz="4" w:space="0" w:color="auto"/>
              <w:right w:val="single" w:sz="4" w:space="0" w:color="auto"/>
            </w:tcBorders>
            <w:shd w:val="clear" w:color="auto" w:fill="666699"/>
            <w:vAlign w:val="center"/>
            <w:hideMark/>
          </w:tcPr>
          <w:p w14:paraId="3F1569A0"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8</w:t>
            </w:r>
            <w:r w:rsidR="00373347">
              <w:rPr>
                <w:rFonts w:eastAsia="Times New Roman" w:cs="Arial"/>
                <w:b/>
                <w:bCs/>
                <w:color w:val="FFFFFF" w:themeColor="background1"/>
                <w:sz w:val="18"/>
                <w:szCs w:val="18"/>
                <w:lang w:eastAsia="es-CO"/>
              </w:rPr>
              <w:t>.</w:t>
            </w:r>
            <w:r w:rsidRPr="00FB27C3">
              <w:rPr>
                <w:rFonts w:eastAsia="Times New Roman" w:cs="Arial"/>
                <w:b/>
                <w:bCs/>
                <w:color w:val="FFFFFF" w:themeColor="background1"/>
                <w:sz w:val="18"/>
                <w:szCs w:val="18"/>
                <w:lang w:eastAsia="es-CO"/>
              </w:rPr>
              <w:t>219</w:t>
            </w:r>
          </w:p>
        </w:tc>
        <w:tc>
          <w:tcPr>
            <w:tcW w:w="1093" w:type="dxa"/>
            <w:tcBorders>
              <w:top w:val="nil"/>
              <w:left w:val="nil"/>
              <w:bottom w:val="single" w:sz="4" w:space="0" w:color="auto"/>
              <w:right w:val="single" w:sz="4" w:space="0" w:color="auto"/>
            </w:tcBorders>
            <w:shd w:val="clear" w:color="auto" w:fill="666699"/>
            <w:vAlign w:val="center"/>
            <w:hideMark/>
          </w:tcPr>
          <w:p w14:paraId="3381FB4A"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7</w:t>
            </w:r>
            <w:r w:rsidR="00373347">
              <w:rPr>
                <w:rFonts w:eastAsia="Times New Roman" w:cs="Arial"/>
                <w:b/>
                <w:bCs/>
                <w:color w:val="FFFFFF" w:themeColor="background1"/>
                <w:sz w:val="18"/>
                <w:szCs w:val="18"/>
                <w:lang w:eastAsia="es-CO"/>
              </w:rPr>
              <w:t>.</w:t>
            </w:r>
            <w:r w:rsidRPr="00FB27C3">
              <w:rPr>
                <w:rFonts w:eastAsia="Times New Roman" w:cs="Arial"/>
                <w:b/>
                <w:bCs/>
                <w:color w:val="FFFFFF" w:themeColor="background1"/>
                <w:sz w:val="18"/>
                <w:szCs w:val="18"/>
                <w:lang w:eastAsia="es-CO"/>
              </w:rPr>
              <w:t>139</w:t>
            </w:r>
          </w:p>
        </w:tc>
        <w:tc>
          <w:tcPr>
            <w:tcW w:w="727" w:type="dxa"/>
            <w:tcBorders>
              <w:top w:val="nil"/>
              <w:left w:val="nil"/>
              <w:bottom w:val="single" w:sz="4" w:space="0" w:color="auto"/>
              <w:right w:val="single" w:sz="4" w:space="0" w:color="auto"/>
            </w:tcBorders>
            <w:shd w:val="clear" w:color="auto" w:fill="666699"/>
            <w:vAlign w:val="center"/>
            <w:hideMark/>
          </w:tcPr>
          <w:p w14:paraId="1C920965" w14:textId="77777777" w:rsidR="00386BBC" w:rsidRPr="00FB27C3" w:rsidRDefault="00386BBC">
            <w:pPr>
              <w:spacing w:after="0" w:line="240" w:lineRule="auto"/>
              <w:contextualSpacing/>
              <w:jc w:val="center"/>
              <w:rPr>
                <w:rFonts w:eastAsia="Times New Roman" w:cs="Arial"/>
                <w:b/>
                <w:bCs/>
                <w:color w:val="FFFFFF" w:themeColor="background1"/>
                <w:sz w:val="18"/>
                <w:szCs w:val="18"/>
                <w:lang w:eastAsia="es-CO"/>
              </w:rPr>
            </w:pPr>
            <w:r w:rsidRPr="00FB27C3">
              <w:rPr>
                <w:rFonts w:eastAsia="Times New Roman" w:cs="Arial"/>
                <w:b/>
                <w:bCs/>
                <w:color w:val="FFFFFF" w:themeColor="background1"/>
                <w:sz w:val="18"/>
                <w:szCs w:val="18"/>
                <w:lang w:eastAsia="es-CO"/>
              </w:rPr>
              <w:t>29</w:t>
            </w:r>
            <w:r w:rsidR="00373347">
              <w:rPr>
                <w:rFonts w:eastAsia="Times New Roman" w:cs="Arial"/>
                <w:b/>
                <w:bCs/>
                <w:color w:val="FFFFFF" w:themeColor="background1"/>
                <w:sz w:val="18"/>
                <w:szCs w:val="18"/>
                <w:lang w:eastAsia="es-CO"/>
              </w:rPr>
              <w:t>.</w:t>
            </w:r>
            <w:r w:rsidRPr="00FB27C3">
              <w:rPr>
                <w:rFonts w:eastAsia="Times New Roman" w:cs="Arial"/>
                <w:b/>
                <w:bCs/>
                <w:color w:val="FFFFFF" w:themeColor="background1"/>
                <w:sz w:val="18"/>
                <w:szCs w:val="18"/>
                <w:lang w:eastAsia="es-CO"/>
              </w:rPr>
              <w:t>978</w:t>
            </w:r>
          </w:p>
        </w:tc>
      </w:tr>
    </w:tbl>
    <w:p w14:paraId="100AC6B7" w14:textId="77777777" w:rsidR="000C1D69" w:rsidRDefault="00265B34" w:rsidP="00286F4A">
      <w:pPr>
        <w:spacing w:line="240" w:lineRule="auto"/>
        <w:contextualSpacing/>
        <w:jc w:val="center"/>
        <w:rPr>
          <w:rFonts w:eastAsia="Arial" w:cs="Arial"/>
          <w:sz w:val="20"/>
          <w:szCs w:val="20"/>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el Plan Indicativo remitido por la </w:t>
      </w:r>
      <w:r w:rsidR="00373347">
        <w:rPr>
          <w:rFonts w:eastAsia="Arial" w:cs="Arial"/>
          <w:sz w:val="16"/>
          <w:szCs w:val="16"/>
          <w:lang w:val="es"/>
        </w:rPr>
        <w:t>E</w:t>
      </w:r>
      <w:r w:rsidRPr="00FB27C3">
        <w:rPr>
          <w:rFonts w:eastAsia="Arial" w:cs="Arial"/>
          <w:sz w:val="16"/>
          <w:szCs w:val="16"/>
          <w:lang w:val="es"/>
        </w:rPr>
        <w:t xml:space="preserve">ntidad </w:t>
      </w:r>
      <w:r w:rsidR="00373347">
        <w:rPr>
          <w:rFonts w:eastAsia="Arial" w:cs="Arial"/>
          <w:sz w:val="16"/>
          <w:szCs w:val="16"/>
          <w:lang w:val="es"/>
        </w:rPr>
        <w:t>T</w:t>
      </w:r>
      <w:r w:rsidRPr="00FB27C3">
        <w:rPr>
          <w:rFonts w:eastAsia="Arial" w:cs="Arial"/>
          <w:sz w:val="16"/>
          <w:szCs w:val="16"/>
          <w:lang w:val="es"/>
        </w:rPr>
        <w:t>erritorial.</w:t>
      </w:r>
      <w:r w:rsidRPr="00FB27C3">
        <w:rPr>
          <w:rFonts w:eastAsia="Arial" w:cs="Arial"/>
          <w:sz w:val="16"/>
          <w:szCs w:val="16"/>
        </w:rPr>
        <w:t xml:space="preserve"> </w:t>
      </w:r>
    </w:p>
    <w:p w14:paraId="087605CB" w14:textId="77777777" w:rsidR="000C1D69" w:rsidRPr="00FB27C3" w:rsidRDefault="000C1D69">
      <w:pPr>
        <w:spacing w:line="240" w:lineRule="auto"/>
        <w:contextualSpacing/>
        <w:rPr>
          <w:rFonts w:eastAsia="Arial" w:cs="Arial"/>
        </w:rPr>
      </w:pPr>
    </w:p>
    <w:p w14:paraId="32C8EFC6" w14:textId="77777777" w:rsidR="00EB7E71" w:rsidRPr="00EB7E71" w:rsidRDefault="00EB7E71">
      <w:pPr>
        <w:pStyle w:val="Prrafodelista"/>
        <w:numPr>
          <w:ilvl w:val="0"/>
          <w:numId w:val="14"/>
        </w:numPr>
        <w:spacing w:line="240" w:lineRule="auto"/>
        <w:jc w:val="both"/>
        <w:rPr>
          <w:b/>
          <w:bCs/>
        </w:rPr>
      </w:pPr>
      <w:r w:rsidRPr="00EB7E71">
        <w:rPr>
          <w:b/>
          <w:bCs/>
        </w:rPr>
        <w:t xml:space="preserve">Reporte </w:t>
      </w:r>
      <w:r w:rsidR="00152AC9">
        <w:rPr>
          <w:b/>
          <w:bCs/>
        </w:rPr>
        <w:t xml:space="preserve">en el </w:t>
      </w:r>
      <w:r w:rsidR="00152AC9" w:rsidRPr="00152AC9">
        <w:rPr>
          <w:b/>
          <w:bCs/>
        </w:rPr>
        <w:t xml:space="preserve">Sistema de Información para la Evaluación de la Eficacia </w:t>
      </w:r>
      <w:r w:rsidR="00152AC9">
        <w:rPr>
          <w:b/>
          <w:bCs/>
        </w:rPr>
        <w:t xml:space="preserve">- </w:t>
      </w:r>
      <w:r w:rsidRPr="00EB7E71">
        <w:rPr>
          <w:b/>
          <w:bCs/>
        </w:rPr>
        <w:t>SIEE vigencias 2018 y 2019.</w:t>
      </w:r>
    </w:p>
    <w:p w14:paraId="61A34D27" w14:textId="77777777" w:rsidR="00373347" w:rsidRDefault="00373347">
      <w:pPr>
        <w:spacing w:line="240" w:lineRule="auto"/>
        <w:contextualSpacing/>
        <w:jc w:val="both"/>
      </w:pPr>
    </w:p>
    <w:p w14:paraId="50D3C348" w14:textId="77777777" w:rsidR="00EB7E71" w:rsidRDefault="00EB7E71">
      <w:pPr>
        <w:spacing w:line="240" w:lineRule="auto"/>
        <w:contextualSpacing/>
        <w:jc w:val="both"/>
      </w:pPr>
      <w:r w:rsidRPr="00EB7E71">
        <w:t>En lo que respecta a la información que recopila el Sistema de Información para la Evaluación de la Eficacia - SIEE</w:t>
      </w:r>
      <w:r w:rsidR="00CB2936">
        <w:t>,</w:t>
      </w:r>
      <w:r w:rsidRPr="00EB7E71">
        <w:t xml:space="preserve"> se ha podido evidenciar que el </w:t>
      </w:r>
      <w:r w:rsidR="00152AC9">
        <w:t>M</w:t>
      </w:r>
      <w:r w:rsidRPr="00EB7E71">
        <w:t xml:space="preserve">unicipio ha realizado el respectivo reporte de información del Plan </w:t>
      </w:r>
      <w:r w:rsidR="00CB2936">
        <w:t>I</w:t>
      </w:r>
      <w:r w:rsidRPr="00EB7E71">
        <w:t>ndicativo para las vigencias 2018 y 2019. En este orden de ideas, se observa a continuación la relación entre la cantidad de recursos programados frente a los ejecutados por sectores durante las vigencias 2018 y 2019.</w:t>
      </w:r>
    </w:p>
    <w:p w14:paraId="66F7937F" w14:textId="77777777" w:rsidR="00B6513B" w:rsidRDefault="00B6513B">
      <w:pPr>
        <w:spacing w:line="240" w:lineRule="auto"/>
        <w:contextualSpacing/>
        <w:jc w:val="both"/>
      </w:pPr>
    </w:p>
    <w:p w14:paraId="42E25005" w14:textId="77777777" w:rsidR="00560DE9" w:rsidRPr="00560DE9" w:rsidRDefault="00560DE9" w:rsidP="00286F4A">
      <w:pPr>
        <w:spacing w:after="0" w:line="240" w:lineRule="auto"/>
        <w:contextualSpacing/>
        <w:jc w:val="center"/>
        <w:rPr>
          <w:b/>
          <w:bCs/>
          <w:sz w:val="20"/>
          <w:szCs w:val="20"/>
        </w:rPr>
      </w:pPr>
      <w:r w:rsidRPr="00560DE9">
        <w:rPr>
          <w:b/>
          <w:bCs/>
          <w:sz w:val="20"/>
          <w:szCs w:val="20"/>
        </w:rPr>
        <w:t>Gráfico 6</w:t>
      </w:r>
    </w:p>
    <w:p w14:paraId="7F24A455" w14:textId="77777777" w:rsidR="00560DE9" w:rsidRPr="00560DE9" w:rsidRDefault="00560DE9">
      <w:pPr>
        <w:spacing w:after="0" w:line="240" w:lineRule="auto"/>
        <w:contextualSpacing/>
        <w:jc w:val="center"/>
        <w:rPr>
          <w:sz w:val="20"/>
          <w:szCs w:val="20"/>
        </w:rPr>
      </w:pPr>
      <w:r w:rsidRPr="00560DE9">
        <w:rPr>
          <w:sz w:val="20"/>
          <w:szCs w:val="20"/>
        </w:rPr>
        <w:t xml:space="preserve">Reporte de información del Plan Indicativo en la plataforma SIEE para las vigencias 2018 </w:t>
      </w:r>
    </w:p>
    <w:p w14:paraId="3BC14CE3" w14:textId="77777777" w:rsidR="00C63F90" w:rsidRPr="00560DE9" w:rsidRDefault="00560DE9">
      <w:pPr>
        <w:spacing w:after="0" w:line="240" w:lineRule="auto"/>
        <w:contextualSpacing/>
        <w:jc w:val="center"/>
        <w:rPr>
          <w:sz w:val="20"/>
          <w:szCs w:val="20"/>
        </w:rPr>
      </w:pPr>
      <w:r w:rsidRPr="00560DE9">
        <w:rPr>
          <w:sz w:val="20"/>
          <w:szCs w:val="20"/>
        </w:rPr>
        <w:t>Municipio de Puerto Leguízamo – Putumayo</w:t>
      </w:r>
    </w:p>
    <w:p w14:paraId="01AF6B9F" w14:textId="77777777" w:rsidR="004727F2" w:rsidRDefault="004727F2">
      <w:pPr>
        <w:spacing w:line="240" w:lineRule="auto"/>
        <w:contextualSpacing/>
        <w:jc w:val="both"/>
      </w:pPr>
      <w:r>
        <w:rPr>
          <w:noProof/>
          <w:lang w:val="es-CO" w:eastAsia="es-CO"/>
        </w:rPr>
        <w:drawing>
          <wp:inline distT="0" distB="0" distL="0" distR="0" wp14:anchorId="6CEA4706" wp14:editId="72B3A1CB">
            <wp:extent cx="5400040" cy="3895022"/>
            <wp:effectExtent l="0" t="0" r="0" b="0"/>
            <wp:docPr id="7" name="Gráfico 7">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C06D5B" w14:textId="77777777" w:rsidR="00DB26CE" w:rsidRPr="00FB27C3" w:rsidRDefault="00DB26CE">
      <w:pPr>
        <w:spacing w:line="240" w:lineRule="auto"/>
        <w:contextualSpacing/>
        <w:jc w:val="center"/>
        <w:rPr>
          <w:sz w:val="16"/>
          <w:szCs w:val="16"/>
        </w:rPr>
      </w:pPr>
      <w:r w:rsidRPr="00FB27C3">
        <w:rPr>
          <w:b/>
          <w:bCs/>
          <w:sz w:val="16"/>
          <w:szCs w:val="16"/>
        </w:rPr>
        <w:t>Fuente:</w:t>
      </w:r>
      <w:r w:rsidRPr="00FB27C3">
        <w:rPr>
          <w:sz w:val="16"/>
          <w:szCs w:val="16"/>
        </w:rPr>
        <w:t xml:space="preserve"> Elaboración DAF con base al reporte en SIEE.</w:t>
      </w:r>
    </w:p>
    <w:p w14:paraId="0E30178D" w14:textId="77777777" w:rsidR="00152AC9" w:rsidRDefault="00152AC9">
      <w:pPr>
        <w:spacing w:line="240" w:lineRule="auto"/>
        <w:contextualSpacing/>
        <w:jc w:val="both"/>
      </w:pPr>
    </w:p>
    <w:p w14:paraId="66043E62" w14:textId="77777777" w:rsidR="002B6B7A" w:rsidRDefault="002B6B7A">
      <w:pPr>
        <w:spacing w:line="240" w:lineRule="auto"/>
        <w:contextualSpacing/>
        <w:jc w:val="both"/>
      </w:pPr>
      <w:r>
        <w:t xml:space="preserve">De acuerdo con lo anterior, para la vigencia 2018, los </w:t>
      </w:r>
      <w:r w:rsidR="00152AC9">
        <w:t>S</w:t>
      </w:r>
      <w:r>
        <w:t xml:space="preserve">ectores A.11. Centros de </w:t>
      </w:r>
      <w:r w:rsidR="00152AC9">
        <w:t>R</w:t>
      </w:r>
      <w:r>
        <w:t>eclusión, A.6. Servicios Públicos Diferentes a Acueducto</w:t>
      </w:r>
      <w:r w:rsidR="00CB2936">
        <w:t>,</w:t>
      </w:r>
      <w:r>
        <w:t xml:space="preserve"> Alcantarillado y Aseo y A.9. Transporte</w:t>
      </w:r>
      <w:r w:rsidR="00CB2936">
        <w:t>,</w:t>
      </w:r>
      <w:r>
        <w:t xml:space="preserve"> no se report</w:t>
      </w:r>
      <w:r w:rsidR="00CB2936">
        <w:t>aron recursos</w:t>
      </w:r>
      <w:r>
        <w:t xml:space="preserve"> programado</w:t>
      </w:r>
      <w:r w:rsidR="00CB2936">
        <w:t>s</w:t>
      </w:r>
      <w:r>
        <w:t xml:space="preserve"> ni ejecutado</w:t>
      </w:r>
      <w:r w:rsidR="00CB2936">
        <w:t>s</w:t>
      </w:r>
      <w:r>
        <w:t xml:space="preserve">. </w:t>
      </w:r>
      <w:r w:rsidR="00CB2936">
        <w:t>Sin embargo</w:t>
      </w:r>
      <w:r>
        <w:t xml:space="preserve">, en </w:t>
      </w:r>
      <w:r w:rsidR="006F31A1">
        <w:t xml:space="preserve">el análisis de </w:t>
      </w:r>
      <w:r>
        <w:t>patrones de inversi</w:t>
      </w:r>
      <w:r w:rsidR="006F31A1">
        <w:t>ón presentado en el apartado financiero de este informe,</w:t>
      </w:r>
      <w:r>
        <w:t xml:space="preserve"> se puede identificar que el </w:t>
      </w:r>
      <w:r w:rsidR="00152AC9">
        <w:t>S</w:t>
      </w:r>
      <w:r>
        <w:t xml:space="preserve">ector de Centros de </w:t>
      </w:r>
      <w:r w:rsidR="00152AC9">
        <w:t>R</w:t>
      </w:r>
      <w:r>
        <w:t xml:space="preserve">eclusión es uno de los que más </w:t>
      </w:r>
      <w:r>
        <w:lastRenderedPageBreak/>
        <w:t>acapara recursos</w:t>
      </w:r>
      <w:r w:rsidR="006F31A1">
        <w:t xml:space="preserve"> ejecutados</w:t>
      </w:r>
      <w:r>
        <w:t>.</w:t>
      </w:r>
      <w:r w:rsidR="006F31A1">
        <w:t xml:space="preserve"> Esta situación es evidencia de que los instrumentos de planeación no se encuentran articulados con las decisiones de inversión en el </w:t>
      </w:r>
      <w:r w:rsidR="00152AC9">
        <w:t>M</w:t>
      </w:r>
      <w:r w:rsidR="006F31A1">
        <w:t>unicipio.</w:t>
      </w:r>
    </w:p>
    <w:p w14:paraId="4BDA1E5A" w14:textId="77777777" w:rsidR="00152AC9" w:rsidRDefault="00152AC9">
      <w:pPr>
        <w:spacing w:line="240" w:lineRule="auto"/>
        <w:contextualSpacing/>
        <w:jc w:val="both"/>
      </w:pPr>
    </w:p>
    <w:p w14:paraId="09CB39FE" w14:textId="77777777" w:rsidR="002B6B7A" w:rsidRDefault="002B6B7A">
      <w:pPr>
        <w:spacing w:line="240" w:lineRule="auto"/>
        <w:contextualSpacing/>
        <w:jc w:val="both"/>
      </w:pPr>
      <w:r>
        <w:t>As</w:t>
      </w:r>
      <w:r w:rsidR="00152AC9">
        <w:t xml:space="preserve">í </w:t>
      </w:r>
      <w:r>
        <w:t xml:space="preserve">mismo, el </w:t>
      </w:r>
      <w:r w:rsidR="00152AC9">
        <w:t>S</w:t>
      </w:r>
      <w:r>
        <w:t>ector que más presentó variaciones fue el A.14. Atención a Grupos Vulnerables - Promoción Social</w:t>
      </w:r>
      <w:r w:rsidR="006F31A1">
        <w:t>,</w:t>
      </w:r>
      <w:r>
        <w:t xml:space="preserve"> puesto que se programaron recursos de SGP por valor de $283.000.000. Sin embargo, no se reportó información respecto a los montos ejecutados</w:t>
      </w:r>
      <w:r w:rsidR="006F31A1">
        <w:t>,</w:t>
      </w:r>
      <w:r>
        <w:t xml:space="preserve"> al igual que A.5. Cultura, A.7. Vivienda y A.8. Agropecuario. En este orden de ideas, se presentó una diferencia del 52</w:t>
      </w:r>
      <w:r w:rsidR="00152AC9">
        <w:t xml:space="preserve"> </w:t>
      </w:r>
      <w:r>
        <w:t xml:space="preserve">% entre los recursos presupuestados y los ejecutados de Cultura, </w:t>
      </w:r>
      <w:r w:rsidR="00152AC9">
        <w:t>D</w:t>
      </w:r>
      <w:r>
        <w:t xml:space="preserve">eporte, Libre </w:t>
      </w:r>
      <w:r w:rsidR="00152AC9">
        <w:t>I</w:t>
      </w:r>
      <w:r>
        <w:t xml:space="preserve">nversión y </w:t>
      </w:r>
      <w:r w:rsidR="006F31A1">
        <w:t xml:space="preserve">Libre </w:t>
      </w:r>
      <w:r w:rsidR="00152AC9">
        <w:t>D</w:t>
      </w:r>
      <w:r>
        <w:t>estinación</w:t>
      </w:r>
      <w:r w:rsidR="000C1D69">
        <w:t>,</w:t>
      </w:r>
      <w:r>
        <w:t xml:space="preserve"> provenientes de SG</w:t>
      </w:r>
      <w:r w:rsidR="006F31A1">
        <w:t>P</w:t>
      </w:r>
      <w:r>
        <w:t xml:space="preserve"> Propósito General.</w:t>
      </w:r>
    </w:p>
    <w:p w14:paraId="547C69D6" w14:textId="77777777" w:rsidR="00B6513B" w:rsidRDefault="00B6513B">
      <w:pPr>
        <w:spacing w:line="240" w:lineRule="auto"/>
        <w:contextualSpacing/>
        <w:jc w:val="both"/>
      </w:pPr>
    </w:p>
    <w:p w14:paraId="43F52928" w14:textId="77777777" w:rsidR="00560DE9" w:rsidRPr="00560DE9" w:rsidRDefault="00560DE9" w:rsidP="00286F4A">
      <w:pPr>
        <w:spacing w:after="0" w:line="240" w:lineRule="auto"/>
        <w:contextualSpacing/>
        <w:jc w:val="center"/>
        <w:rPr>
          <w:b/>
          <w:bCs/>
          <w:sz w:val="20"/>
          <w:szCs w:val="20"/>
        </w:rPr>
      </w:pPr>
      <w:r w:rsidRPr="00560DE9">
        <w:rPr>
          <w:b/>
          <w:bCs/>
          <w:sz w:val="20"/>
          <w:szCs w:val="20"/>
        </w:rPr>
        <w:t xml:space="preserve">Gráfico </w:t>
      </w:r>
      <w:r>
        <w:rPr>
          <w:b/>
          <w:bCs/>
          <w:sz w:val="20"/>
          <w:szCs w:val="20"/>
        </w:rPr>
        <w:t>7</w:t>
      </w:r>
    </w:p>
    <w:p w14:paraId="2F38CB62" w14:textId="77777777" w:rsidR="00560DE9" w:rsidRPr="00560DE9" w:rsidRDefault="00560DE9">
      <w:pPr>
        <w:spacing w:after="0" w:line="240" w:lineRule="auto"/>
        <w:contextualSpacing/>
        <w:jc w:val="center"/>
        <w:rPr>
          <w:sz w:val="20"/>
          <w:szCs w:val="20"/>
        </w:rPr>
      </w:pPr>
      <w:r w:rsidRPr="00560DE9">
        <w:rPr>
          <w:sz w:val="20"/>
          <w:szCs w:val="20"/>
        </w:rPr>
        <w:t>Reporte de información del Plan Indicativo en la plataforma SIEE para las vigencias 201</w:t>
      </w:r>
      <w:r>
        <w:rPr>
          <w:sz w:val="20"/>
          <w:szCs w:val="20"/>
        </w:rPr>
        <w:t>9</w:t>
      </w:r>
      <w:r w:rsidRPr="00560DE9">
        <w:rPr>
          <w:sz w:val="20"/>
          <w:szCs w:val="20"/>
        </w:rPr>
        <w:t xml:space="preserve"> </w:t>
      </w:r>
    </w:p>
    <w:p w14:paraId="30DF3F00" w14:textId="77777777" w:rsidR="00560DE9" w:rsidRPr="00560DE9" w:rsidRDefault="00560DE9">
      <w:pPr>
        <w:spacing w:after="0" w:line="240" w:lineRule="auto"/>
        <w:contextualSpacing/>
        <w:jc w:val="center"/>
        <w:rPr>
          <w:sz w:val="20"/>
          <w:szCs w:val="20"/>
        </w:rPr>
      </w:pPr>
      <w:r w:rsidRPr="00560DE9">
        <w:rPr>
          <w:sz w:val="20"/>
          <w:szCs w:val="20"/>
        </w:rPr>
        <w:t>Municipio de Puerto Leguízamo – Putumayo</w:t>
      </w:r>
    </w:p>
    <w:p w14:paraId="7F80B904" w14:textId="77777777" w:rsidR="00960B20" w:rsidRDefault="00960B20">
      <w:pPr>
        <w:spacing w:line="240" w:lineRule="auto"/>
        <w:contextualSpacing/>
        <w:jc w:val="both"/>
      </w:pPr>
      <w:r>
        <w:rPr>
          <w:noProof/>
          <w:lang w:val="es-CO" w:eastAsia="es-CO"/>
        </w:rPr>
        <w:drawing>
          <wp:inline distT="0" distB="0" distL="0" distR="0" wp14:anchorId="7052E93F" wp14:editId="37CB0382">
            <wp:extent cx="5393802" cy="4606724"/>
            <wp:effectExtent l="0" t="0" r="0" b="3810"/>
            <wp:docPr id="9" name="Gráfico 9">
              <a:extLst xmlns:a="http://schemas.openxmlformats.org/drawingml/2006/main">
                <a:ext uri="{FF2B5EF4-FFF2-40B4-BE49-F238E27FC236}">
                  <a16:creationId xmlns:a16="http://schemas.microsoft.com/office/drawing/2014/main" id="{D460059B-4629-48DF-8DEF-E7DF869D9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46BC60" w14:textId="77777777" w:rsidR="00DB26CE" w:rsidRPr="00FB27C3" w:rsidRDefault="00DB26CE">
      <w:pPr>
        <w:spacing w:line="240" w:lineRule="auto"/>
        <w:contextualSpacing/>
        <w:jc w:val="center"/>
        <w:rPr>
          <w:sz w:val="16"/>
          <w:szCs w:val="16"/>
        </w:rPr>
      </w:pPr>
      <w:r w:rsidRPr="00FB27C3">
        <w:rPr>
          <w:b/>
          <w:bCs/>
          <w:sz w:val="16"/>
          <w:szCs w:val="16"/>
        </w:rPr>
        <w:t>Fuente:</w:t>
      </w:r>
      <w:r w:rsidRPr="00FB27C3">
        <w:rPr>
          <w:sz w:val="16"/>
          <w:szCs w:val="16"/>
        </w:rPr>
        <w:t xml:space="preserve"> Elaboración DAF con base al reporte en SIEE.</w:t>
      </w:r>
    </w:p>
    <w:p w14:paraId="1CB57456" w14:textId="77777777" w:rsidR="00152AC9" w:rsidRDefault="00152AC9">
      <w:pPr>
        <w:spacing w:line="240" w:lineRule="auto"/>
        <w:contextualSpacing/>
        <w:jc w:val="both"/>
      </w:pPr>
    </w:p>
    <w:p w14:paraId="783CC953" w14:textId="77777777" w:rsidR="00314084" w:rsidRDefault="00314084">
      <w:pPr>
        <w:spacing w:line="240" w:lineRule="auto"/>
        <w:contextualSpacing/>
        <w:jc w:val="both"/>
      </w:pPr>
      <w:r>
        <w:t xml:space="preserve">Por su parte, para la vigencia 2019, en el </w:t>
      </w:r>
      <w:r w:rsidR="00152AC9">
        <w:t>S</w:t>
      </w:r>
      <w:r>
        <w:t>ector A.9. Transporte, no reportó información relacionada con recursos de Propósito General</w:t>
      </w:r>
      <w:r w:rsidR="006F31A1">
        <w:t xml:space="preserve">, a pesar de evidenciarse la ejecución de recursos SGP </w:t>
      </w:r>
      <w:r w:rsidR="00152AC9">
        <w:t xml:space="preserve">- </w:t>
      </w:r>
      <w:r w:rsidR="006F31A1">
        <w:t>PG en la vigencia</w:t>
      </w:r>
      <w:r>
        <w:t>. As</w:t>
      </w:r>
      <w:r w:rsidR="00152AC9">
        <w:t xml:space="preserve">í </w:t>
      </w:r>
      <w:r>
        <w:t>mismo, para Propósito General se evidencia un 93</w:t>
      </w:r>
      <w:r w:rsidR="00152AC9">
        <w:t xml:space="preserve"> </w:t>
      </w:r>
      <w:r>
        <w:t xml:space="preserve">% de ejecución con relación a lo planeado. Del mismo modo, </w:t>
      </w:r>
      <w:r w:rsidR="006F31A1">
        <w:t xml:space="preserve">se </w:t>
      </w:r>
      <w:r>
        <w:t>evidenci</w:t>
      </w:r>
      <w:r w:rsidR="006F31A1">
        <w:t>aron</w:t>
      </w:r>
      <w:r>
        <w:t xml:space="preserve"> inconvenientes en los reportes debido a que no se reportó la planificación, pero si la ejecución</w:t>
      </w:r>
      <w:r w:rsidR="006F31A1">
        <w:t>,</w:t>
      </w:r>
      <w:r>
        <w:t xml:space="preserve"> como es el caso de deporte y recreación</w:t>
      </w:r>
      <w:r w:rsidR="006F31A1">
        <w:t>,</w:t>
      </w:r>
      <w:r>
        <w:t xml:space="preserve"> en donde se proyectaron $90.000.000 pero se evidenci</w:t>
      </w:r>
      <w:r w:rsidR="006F31A1">
        <w:t>ó</w:t>
      </w:r>
      <w:r>
        <w:t xml:space="preserve"> que ejecutaron $185.000.000</w:t>
      </w:r>
      <w:r w:rsidR="00152AC9">
        <w:t>;</w:t>
      </w:r>
      <w:r>
        <w:t xml:space="preserve"> es decir, más del doble </w:t>
      </w:r>
      <w:r>
        <w:lastRenderedPageBreak/>
        <w:t xml:space="preserve">de lo programado. Por otra parte, el </w:t>
      </w:r>
      <w:r w:rsidR="00152AC9">
        <w:t>S</w:t>
      </w:r>
      <w:r>
        <w:t xml:space="preserve">ector </w:t>
      </w:r>
      <w:r w:rsidR="00152AC9">
        <w:t>V</w:t>
      </w:r>
      <w:r>
        <w:t xml:space="preserve">ivienda programó $40.000.000, no obstante, la </w:t>
      </w:r>
      <w:r w:rsidR="00152AC9">
        <w:t>E</w:t>
      </w:r>
      <w:r>
        <w:t xml:space="preserve">ntidad reportó $228.000.000. </w:t>
      </w:r>
      <w:r w:rsidR="006F31A1">
        <w:t>También está el caso de</w:t>
      </w:r>
      <w:r w:rsidR="00025B8D">
        <w:t>l Sector</w:t>
      </w:r>
      <w:r w:rsidR="006F31A1">
        <w:t xml:space="preserve"> A.17. Fortalecimiento Institucional, en el cual se proyect</w:t>
      </w:r>
      <w:r w:rsidR="00025B8D">
        <w:t>aron</w:t>
      </w:r>
      <w:r w:rsidR="006F31A1">
        <w:t xml:space="preserve"> $385.900.000 pero el nivel de ejecución es de $60.000.000, equivalente al 15</w:t>
      </w:r>
      <w:r w:rsidR="003E531A">
        <w:t xml:space="preserve"> </w:t>
      </w:r>
      <w:r w:rsidR="006F31A1">
        <w:t xml:space="preserve">% de lo que inicialmente se proyectó ejecutar. </w:t>
      </w:r>
      <w:r>
        <w:t xml:space="preserve">Por consiguiente, la información plasmada no da cuenta real del nivel de avance en la ejecución </w:t>
      </w:r>
      <w:r w:rsidR="00802D56">
        <w:t>y,</w:t>
      </w:r>
      <w:r>
        <w:t xml:space="preserve"> por lo tanto</w:t>
      </w:r>
      <w:r w:rsidR="006F31A1">
        <w:t>,</w:t>
      </w:r>
      <w:r>
        <w:t xml:space="preserve"> en el cumplimiento de metas, en la medida en que se presentó información ejecutada sin planear</w:t>
      </w:r>
      <w:r w:rsidR="009B2F98">
        <w:t>.</w:t>
      </w:r>
    </w:p>
    <w:p w14:paraId="4F047D4C" w14:textId="77777777" w:rsidR="003E531A" w:rsidRDefault="003E531A">
      <w:pPr>
        <w:spacing w:line="240" w:lineRule="auto"/>
        <w:contextualSpacing/>
        <w:jc w:val="both"/>
      </w:pPr>
    </w:p>
    <w:p w14:paraId="7A47A818" w14:textId="77777777" w:rsidR="00314084" w:rsidRDefault="00314084">
      <w:pPr>
        <w:spacing w:line="240" w:lineRule="auto"/>
        <w:contextualSpacing/>
        <w:jc w:val="both"/>
      </w:pPr>
      <w:r>
        <w:t>As</w:t>
      </w:r>
      <w:r w:rsidR="00CB21E0">
        <w:t xml:space="preserve">í </w:t>
      </w:r>
      <w:r>
        <w:t xml:space="preserve">mismo, en el </w:t>
      </w:r>
      <w:r w:rsidR="00CB21E0">
        <w:t>“</w:t>
      </w:r>
      <w:r w:rsidR="0041142E" w:rsidRPr="00BC07AE">
        <w:rPr>
          <w:i/>
          <w:iCs/>
        </w:rPr>
        <w:t>Informe de monitoreo de campo, Puerto Leguízamo - Putumayo, Vigencias 2018 y 2019 (corte junio)</w:t>
      </w:r>
      <w:r w:rsidR="00CB21E0">
        <w:t>”</w:t>
      </w:r>
      <w:r w:rsidR="00DF2058">
        <w:rPr>
          <w:i/>
          <w:iCs/>
        </w:rPr>
        <w:t xml:space="preserve"> </w:t>
      </w:r>
      <w:r>
        <w:t>que realizó el DNP</w:t>
      </w:r>
      <w:r w:rsidR="009B2F98">
        <w:t>,</w:t>
      </w:r>
      <w:r>
        <w:t xml:space="preserve"> se destacó que, durante la visita de campo, el personal encargado </w:t>
      </w:r>
      <w:r w:rsidR="009B2F98">
        <w:t xml:space="preserve">identificó </w:t>
      </w:r>
      <w:r>
        <w:t>que en el reporte SIEE se produjo una programación errónea con relación a los avances de las metas</w:t>
      </w:r>
      <w:r w:rsidR="009B2F98">
        <w:t>,</w:t>
      </w:r>
      <w:r>
        <w:t xml:space="preserve"> puesto que quedaron todas en el primer año de gobierno. Por lo tanto, a pesar de que la alcaldía solicitó apoyo para realizar los ajustes necesarios, estos no fueron posibles puesto que ya se había vencido el plazo permit</w:t>
      </w:r>
      <w:r w:rsidR="009B2F98">
        <w:t>id</w:t>
      </w:r>
      <w:r>
        <w:t>o para ejecutar los cambios.</w:t>
      </w:r>
    </w:p>
    <w:p w14:paraId="2A08989B" w14:textId="77777777" w:rsidR="00CB21E0" w:rsidRDefault="00CB21E0">
      <w:pPr>
        <w:spacing w:line="240" w:lineRule="auto"/>
        <w:contextualSpacing/>
        <w:jc w:val="both"/>
      </w:pPr>
    </w:p>
    <w:p w14:paraId="26D33DC3" w14:textId="77777777" w:rsidR="009B2F98" w:rsidRDefault="009B2F98">
      <w:pPr>
        <w:spacing w:line="240" w:lineRule="auto"/>
        <w:contextualSpacing/>
        <w:jc w:val="both"/>
      </w:pPr>
      <w:r>
        <w:t>Todo lo anterior evidencia la desarticulación de la planeación con los recursos realmente ejecutados, además de los problemas asociados al reporte de la información al sistema de seguimiento de metas de desarrollo.</w:t>
      </w:r>
    </w:p>
    <w:p w14:paraId="10F5384F" w14:textId="77777777" w:rsidR="00CB21E0" w:rsidRDefault="00CB21E0">
      <w:pPr>
        <w:spacing w:line="240" w:lineRule="auto"/>
        <w:contextualSpacing/>
        <w:jc w:val="both"/>
      </w:pPr>
    </w:p>
    <w:p w14:paraId="2A7DF9B4" w14:textId="77777777" w:rsidR="00314084" w:rsidRDefault="00314084">
      <w:pPr>
        <w:pStyle w:val="Prrafodelista"/>
        <w:numPr>
          <w:ilvl w:val="0"/>
          <w:numId w:val="14"/>
        </w:numPr>
        <w:spacing w:line="240" w:lineRule="auto"/>
        <w:jc w:val="both"/>
      </w:pPr>
      <w:r w:rsidRPr="00314084">
        <w:rPr>
          <w:b/>
          <w:bCs/>
        </w:rPr>
        <w:t>Plan Operativo Anual de Inversiones -</w:t>
      </w:r>
      <w:r w:rsidR="00CB21E0">
        <w:rPr>
          <w:b/>
          <w:bCs/>
        </w:rPr>
        <w:t xml:space="preserve"> </w:t>
      </w:r>
      <w:r w:rsidRPr="00314084">
        <w:rPr>
          <w:b/>
          <w:bCs/>
        </w:rPr>
        <w:t>POAI.</w:t>
      </w:r>
    </w:p>
    <w:p w14:paraId="3DE14169" w14:textId="77777777" w:rsidR="00CB21E0" w:rsidRDefault="00CB21E0">
      <w:pPr>
        <w:spacing w:line="240" w:lineRule="auto"/>
        <w:contextualSpacing/>
        <w:jc w:val="both"/>
      </w:pPr>
    </w:p>
    <w:p w14:paraId="05973CE1" w14:textId="77777777" w:rsidR="00314084" w:rsidRDefault="00314084">
      <w:pPr>
        <w:spacing w:line="240" w:lineRule="auto"/>
        <w:contextualSpacing/>
        <w:jc w:val="both"/>
      </w:pPr>
      <w:r>
        <w:t>De acuerdo con el artículo 8 del Decreto 111 de 1996, el Plan Operativo Anual de Inversiones -</w:t>
      </w:r>
      <w:r w:rsidR="00D92ED4">
        <w:t xml:space="preserve"> </w:t>
      </w:r>
      <w:r>
        <w:t>POAI tiene como objeto determinar los proyectos de inversión clasificados por sectores, programas y órganos (dependencias), que la administración territorial ejecutará en una vigencia fiscal determinada.</w:t>
      </w:r>
    </w:p>
    <w:p w14:paraId="16072E27" w14:textId="77777777" w:rsidR="00D92ED4" w:rsidRDefault="00D92ED4">
      <w:pPr>
        <w:spacing w:line="240" w:lineRule="auto"/>
        <w:contextualSpacing/>
        <w:jc w:val="both"/>
      </w:pPr>
    </w:p>
    <w:p w14:paraId="2C823A4D" w14:textId="77777777" w:rsidR="00314084" w:rsidRDefault="00314084">
      <w:pPr>
        <w:spacing w:line="240" w:lineRule="auto"/>
        <w:contextualSpacing/>
        <w:jc w:val="both"/>
      </w:pPr>
      <w:r>
        <w:t xml:space="preserve">En este orden de ideas, para la verificación de este instrumento de planeación, </w:t>
      </w:r>
      <w:r w:rsidR="009B2F98">
        <w:t>l</w:t>
      </w:r>
      <w:r>
        <w:t>a Entidad Territorial únicamente remitió el POAI del año 2019. A partir de este</w:t>
      </w:r>
      <w:r w:rsidR="009B2F98">
        <w:t>,</w:t>
      </w:r>
      <w:r>
        <w:t xml:space="preserve"> se evidenció que se encuentra distribuido por </w:t>
      </w:r>
      <w:r w:rsidR="00D92ED4">
        <w:t>s</w:t>
      </w:r>
      <w:r>
        <w:t>ecretarías (</w:t>
      </w:r>
      <w:r w:rsidR="00D92ED4">
        <w:t>s</w:t>
      </w:r>
      <w:r>
        <w:t xml:space="preserve">ecciones </w:t>
      </w:r>
      <w:r w:rsidR="00D92ED4">
        <w:t>p</w:t>
      </w:r>
      <w:r>
        <w:t xml:space="preserve">resupuestales) </w:t>
      </w:r>
      <w:r w:rsidR="009B2F98">
        <w:t xml:space="preserve">y que </w:t>
      </w:r>
      <w:r>
        <w:t>a pesar de que se encuentra desagregad</w:t>
      </w:r>
      <w:r w:rsidR="009B2F98">
        <w:t>o</w:t>
      </w:r>
      <w:r>
        <w:t xml:space="preserve"> por fuentes de financiación, no cuenta con el suficiente nivel de detalle para identificar </w:t>
      </w:r>
      <w:r w:rsidR="009B2F98">
        <w:t xml:space="preserve">particularmente </w:t>
      </w:r>
      <w:r>
        <w:t>los recursos de Propósito General</w:t>
      </w:r>
      <w:r w:rsidR="009B2F98">
        <w:t xml:space="preserve"> que financian cada sección</w:t>
      </w:r>
      <w:r>
        <w:t xml:space="preserve">. Por consiguiente, las secciones presupuestales identificas </w:t>
      </w:r>
      <w:r w:rsidR="00D84C93">
        <w:t xml:space="preserve">con recursos SGP </w:t>
      </w:r>
      <w:r>
        <w:t xml:space="preserve">son: Educación, Agricultura, Gobierno, Hacienda, </w:t>
      </w:r>
      <w:r w:rsidR="009B2F98">
        <w:t>O</w:t>
      </w:r>
      <w:r>
        <w:t>bras, Planeación y Salud.</w:t>
      </w:r>
    </w:p>
    <w:p w14:paraId="1B03754A" w14:textId="77777777" w:rsidR="00D92ED4" w:rsidRDefault="00D92ED4">
      <w:pPr>
        <w:spacing w:line="240" w:lineRule="auto"/>
        <w:contextualSpacing/>
        <w:jc w:val="both"/>
      </w:pPr>
    </w:p>
    <w:p w14:paraId="6EB75F23" w14:textId="77777777" w:rsidR="00314084" w:rsidRDefault="00314084">
      <w:pPr>
        <w:spacing w:line="240" w:lineRule="auto"/>
        <w:contextualSpacing/>
        <w:jc w:val="both"/>
      </w:pPr>
      <w:r>
        <w:t xml:space="preserve">De acuerdo con lo anterior, se le recomienda al </w:t>
      </w:r>
      <w:r w:rsidR="00D92ED4">
        <w:t>M</w:t>
      </w:r>
      <w:r>
        <w:t xml:space="preserve">unicipio tener en cuenta el </w:t>
      </w:r>
      <w:r w:rsidR="00D92ED4">
        <w:t>K</w:t>
      </w:r>
      <w:r>
        <w:t xml:space="preserve">it </w:t>
      </w:r>
      <w:r w:rsidR="00D92ED4">
        <w:t>F</w:t>
      </w:r>
      <w:r>
        <w:t xml:space="preserve">inanciero propuesto por el DNP y el </w:t>
      </w:r>
      <w:r w:rsidR="00D92ED4">
        <w:t xml:space="preserve">Ministerio de Hacienda y Crédito Público - </w:t>
      </w:r>
      <w:r>
        <w:t xml:space="preserve">MHCP para realizar un formato de manera idónea de los </w:t>
      </w:r>
      <w:r w:rsidR="00D92ED4">
        <w:t>p</w:t>
      </w:r>
      <w:r>
        <w:t xml:space="preserve">lanes </w:t>
      </w:r>
      <w:r w:rsidR="00D92ED4">
        <w:t>o</w:t>
      </w:r>
      <w:r>
        <w:t xml:space="preserve">perativos </w:t>
      </w:r>
      <w:r w:rsidR="00D92ED4">
        <w:t>a</w:t>
      </w:r>
      <w:r>
        <w:t xml:space="preserve">nuales de </w:t>
      </w:r>
      <w:r w:rsidR="00D92ED4">
        <w:t>i</w:t>
      </w:r>
      <w:r>
        <w:t xml:space="preserve">nversiones del tal modo que se pueden identificar </w:t>
      </w:r>
      <w:r w:rsidR="00D84C93">
        <w:t xml:space="preserve">para </w:t>
      </w:r>
      <w:r>
        <w:t xml:space="preserve">cada una de las secciones los recursos provenientes de SGP </w:t>
      </w:r>
      <w:r w:rsidR="00D84C93">
        <w:t xml:space="preserve">debidamente discriminados, como se observa en la </w:t>
      </w:r>
      <w:r w:rsidR="00D92ED4">
        <w:t>I</w:t>
      </w:r>
      <w:r w:rsidR="00D84C93">
        <w:t xml:space="preserve">magen 1, para garantizar la correspondencia </w:t>
      </w:r>
      <w:r w:rsidR="00C87041">
        <w:t>y articulación con el Plan Indicativo</w:t>
      </w:r>
      <w:r>
        <w:t>:</w:t>
      </w:r>
    </w:p>
    <w:p w14:paraId="0BC9B7F5" w14:textId="77777777" w:rsidR="00D92ED4" w:rsidRDefault="00D92ED4" w:rsidP="001729F6">
      <w:pPr>
        <w:spacing w:line="240" w:lineRule="auto"/>
        <w:contextualSpacing/>
      </w:pPr>
      <w:r>
        <w:br w:type="page"/>
      </w:r>
    </w:p>
    <w:p w14:paraId="54A2D764" w14:textId="77777777" w:rsidR="004C18D2" w:rsidRPr="00C94E99" w:rsidRDefault="004C18D2" w:rsidP="00286F4A">
      <w:pPr>
        <w:spacing w:after="0" w:line="240" w:lineRule="auto"/>
        <w:contextualSpacing/>
        <w:jc w:val="center"/>
        <w:rPr>
          <w:b/>
          <w:bCs/>
          <w:sz w:val="20"/>
          <w:szCs w:val="20"/>
        </w:rPr>
      </w:pPr>
      <w:r w:rsidRPr="00C94E99">
        <w:rPr>
          <w:b/>
          <w:bCs/>
          <w:sz w:val="20"/>
          <w:szCs w:val="20"/>
        </w:rPr>
        <w:lastRenderedPageBreak/>
        <w:t>Imagen 1</w:t>
      </w:r>
    </w:p>
    <w:p w14:paraId="062E09AC" w14:textId="77777777" w:rsidR="00C94E99" w:rsidRPr="00C94E99" w:rsidRDefault="00C94E99">
      <w:pPr>
        <w:spacing w:after="0" w:line="240" w:lineRule="auto"/>
        <w:contextualSpacing/>
        <w:jc w:val="center"/>
        <w:rPr>
          <w:sz w:val="20"/>
          <w:szCs w:val="20"/>
        </w:rPr>
      </w:pPr>
      <w:r w:rsidRPr="00C94E99">
        <w:rPr>
          <w:sz w:val="20"/>
          <w:szCs w:val="20"/>
        </w:rPr>
        <w:t>Estructura del Plan Operativo Anual de Inversiones</w:t>
      </w:r>
    </w:p>
    <w:p w14:paraId="2F35C601" w14:textId="77777777" w:rsidR="00C94E99" w:rsidRPr="00C94E99" w:rsidRDefault="00C94E99">
      <w:pPr>
        <w:spacing w:after="0" w:line="240" w:lineRule="auto"/>
        <w:contextualSpacing/>
        <w:jc w:val="center"/>
        <w:rPr>
          <w:sz w:val="20"/>
          <w:szCs w:val="20"/>
        </w:rPr>
      </w:pPr>
      <w:r w:rsidRPr="00C94E99">
        <w:rPr>
          <w:sz w:val="20"/>
          <w:szCs w:val="20"/>
        </w:rPr>
        <w:t>Municipio de Puerto Leguízamo – Putumayo</w:t>
      </w:r>
    </w:p>
    <w:p w14:paraId="3CF9E8E2" w14:textId="77777777" w:rsidR="000C1D69" w:rsidRDefault="003C4CDB">
      <w:pPr>
        <w:spacing w:line="240" w:lineRule="auto"/>
        <w:contextualSpacing/>
        <w:jc w:val="center"/>
        <w:rPr>
          <w:b/>
          <w:bCs/>
          <w:sz w:val="20"/>
          <w:szCs w:val="20"/>
        </w:rPr>
      </w:pPr>
      <w:r>
        <w:rPr>
          <w:noProof/>
          <w:lang w:val="es-CO" w:eastAsia="es-CO"/>
        </w:rPr>
        <w:drawing>
          <wp:inline distT="0" distB="0" distL="0" distR="0" wp14:anchorId="0252622E" wp14:editId="2D8D2AEC">
            <wp:extent cx="4243754" cy="2777416"/>
            <wp:effectExtent l="0" t="0" r="4445" b="444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rotWithShape="1">
                    <a:blip r:embed="rId20"/>
                    <a:srcRect t="9295"/>
                    <a:stretch/>
                  </pic:blipFill>
                  <pic:spPr bwMode="auto">
                    <a:xfrm>
                      <a:off x="0" y="0"/>
                      <a:ext cx="4262035" cy="2789380"/>
                    </a:xfrm>
                    <a:prstGeom prst="rect">
                      <a:avLst/>
                    </a:prstGeom>
                    <a:ln>
                      <a:noFill/>
                    </a:ln>
                    <a:extLst>
                      <a:ext uri="{53640926-AAD7-44D8-BBD7-CCE9431645EC}">
                        <a14:shadowObscured xmlns:a14="http://schemas.microsoft.com/office/drawing/2010/main"/>
                      </a:ext>
                    </a:extLst>
                  </pic:spPr>
                </pic:pic>
              </a:graphicData>
            </a:graphic>
          </wp:inline>
        </w:drawing>
      </w:r>
    </w:p>
    <w:p w14:paraId="5A67FBBE" w14:textId="77777777" w:rsidR="003C4CDB" w:rsidRPr="00FB27C3" w:rsidRDefault="00C94E99">
      <w:pPr>
        <w:spacing w:line="240" w:lineRule="auto"/>
        <w:contextualSpacing/>
        <w:jc w:val="center"/>
        <w:rPr>
          <w:sz w:val="16"/>
          <w:szCs w:val="16"/>
        </w:rPr>
      </w:pPr>
      <w:r w:rsidRPr="00FB27C3">
        <w:rPr>
          <w:b/>
          <w:bCs/>
          <w:sz w:val="16"/>
          <w:szCs w:val="16"/>
        </w:rPr>
        <w:t>F</w:t>
      </w:r>
      <w:r w:rsidR="003C4CDB" w:rsidRPr="00FB27C3">
        <w:rPr>
          <w:b/>
          <w:bCs/>
          <w:sz w:val="16"/>
          <w:szCs w:val="16"/>
        </w:rPr>
        <w:t>uente:</w:t>
      </w:r>
      <w:r w:rsidR="003C4CDB" w:rsidRPr="00FB27C3">
        <w:rPr>
          <w:sz w:val="16"/>
          <w:szCs w:val="16"/>
        </w:rPr>
        <w:t xml:space="preserve"> Kit Financiero</w:t>
      </w:r>
      <w:r w:rsidRPr="00FB27C3">
        <w:rPr>
          <w:sz w:val="16"/>
          <w:szCs w:val="16"/>
        </w:rPr>
        <w:t xml:space="preserve"> DNP – </w:t>
      </w:r>
      <w:r w:rsidR="003C4CDB" w:rsidRPr="00FB27C3">
        <w:rPr>
          <w:sz w:val="16"/>
          <w:szCs w:val="16"/>
        </w:rPr>
        <w:t>POAI</w:t>
      </w:r>
    </w:p>
    <w:p w14:paraId="62319977" w14:textId="77777777" w:rsidR="00D92ED4" w:rsidRPr="00FB27C3" w:rsidRDefault="00D92ED4">
      <w:pPr>
        <w:spacing w:line="240" w:lineRule="auto"/>
        <w:contextualSpacing/>
      </w:pPr>
    </w:p>
    <w:p w14:paraId="23D94439" w14:textId="77777777" w:rsidR="00C71A57" w:rsidRDefault="00C71A57">
      <w:pPr>
        <w:pStyle w:val="Prrafodelista"/>
        <w:numPr>
          <w:ilvl w:val="0"/>
          <w:numId w:val="14"/>
        </w:numPr>
        <w:spacing w:line="240" w:lineRule="auto"/>
        <w:jc w:val="both"/>
        <w:rPr>
          <w:b/>
          <w:bCs/>
        </w:rPr>
      </w:pPr>
      <w:r>
        <w:rPr>
          <w:b/>
          <w:bCs/>
        </w:rPr>
        <w:t>Banco de Programas y Proyectos de Inversión Municipal</w:t>
      </w:r>
      <w:r w:rsidR="002A0700">
        <w:rPr>
          <w:b/>
          <w:bCs/>
        </w:rPr>
        <w:t>.</w:t>
      </w:r>
    </w:p>
    <w:p w14:paraId="611AF7F3" w14:textId="77777777" w:rsidR="00D92ED4" w:rsidRDefault="00D92ED4">
      <w:pPr>
        <w:spacing w:line="240" w:lineRule="auto"/>
        <w:contextualSpacing/>
        <w:jc w:val="both"/>
      </w:pPr>
    </w:p>
    <w:p w14:paraId="62A71CC9" w14:textId="77777777" w:rsidR="00F73C51" w:rsidRDefault="00F73C51">
      <w:pPr>
        <w:spacing w:line="240" w:lineRule="auto"/>
        <w:contextualSpacing/>
        <w:jc w:val="both"/>
      </w:pPr>
      <w:r>
        <w:t xml:space="preserve">De conformidad con el artículo 27 de la Ley 152 de 1994, Ley Orgánica del Plan de Desarrollo, </w:t>
      </w:r>
      <w:r w:rsidR="00303F38">
        <w:t xml:space="preserve">la cual según su artículo 2 aplica también para el ámbito territorial, </w:t>
      </w:r>
      <w:r>
        <w:t>“</w:t>
      </w:r>
      <w:r w:rsidRPr="00F73C51">
        <w:rPr>
          <w:i/>
          <w:iCs/>
        </w:rPr>
        <w:t>el Banco de Programas y Proyectos de Inversión Nacional es un instrumento para la planeación que registra los programas y proyectos viables técnica, ambiental y socioeconómicamente, susceptibles de financiación con recursos del Presupuesto General de la Nación</w:t>
      </w:r>
      <w:r>
        <w:t xml:space="preserve">”. En esta línea, los bancos de programas y proyectos constituyen un instrumento fundamental para </w:t>
      </w:r>
      <w:r w:rsidR="005764B1">
        <w:t>la planeación de la ejecución de los recursos</w:t>
      </w:r>
      <w:r>
        <w:t xml:space="preserve"> de las entidades estatales </w:t>
      </w:r>
      <w:r w:rsidR="005764B1">
        <w:t>que financian</w:t>
      </w:r>
      <w:r>
        <w:t xml:space="preserve"> la inversión pública </w:t>
      </w:r>
      <w:r w:rsidR="005764B1">
        <w:t xml:space="preserve">orientada a </w:t>
      </w:r>
      <w:r>
        <w:t>la entrega efectiva de bienes y servicios públicos.</w:t>
      </w:r>
    </w:p>
    <w:p w14:paraId="4008405C" w14:textId="77777777" w:rsidR="002A0700" w:rsidRPr="00F73C51" w:rsidRDefault="002A0700">
      <w:pPr>
        <w:spacing w:line="240" w:lineRule="auto"/>
        <w:contextualSpacing/>
        <w:jc w:val="both"/>
        <w:rPr>
          <w:b/>
          <w:bCs/>
        </w:rPr>
      </w:pPr>
    </w:p>
    <w:p w14:paraId="1799CE22" w14:textId="77777777" w:rsidR="00F43B1A" w:rsidRDefault="00C71A57">
      <w:pPr>
        <w:spacing w:line="240" w:lineRule="auto"/>
        <w:contextualSpacing/>
        <w:jc w:val="both"/>
      </w:pPr>
      <w:r>
        <w:t xml:space="preserve">El </w:t>
      </w:r>
      <w:r w:rsidR="002A0700">
        <w:t>M</w:t>
      </w:r>
      <w:r>
        <w:t xml:space="preserve">unicipio de Puerto Leguízamo – Putumayo remitió a esta Dirección una </w:t>
      </w:r>
      <w:r w:rsidR="009550AD" w:rsidRPr="00EB2D28">
        <w:rPr>
          <w:i/>
          <w:iCs/>
        </w:rPr>
        <w:t>“Relación</w:t>
      </w:r>
      <w:r w:rsidR="00EB2D28" w:rsidRPr="00EB2D28">
        <w:rPr>
          <w:i/>
          <w:iCs/>
        </w:rPr>
        <w:t xml:space="preserve"> de proyectos</w:t>
      </w:r>
      <w:r w:rsidR="009550AD" w:rsidRPr="00EB2D28">
        <w:rPr>
          <w:i/>
          <w:iCs/>
        </w:rPr>
        <w:t xml:space="preserve"> BPIM</w:t>
      </w:r>
      <w:r w:rsidR="00EB2D28" w:rsidRPr="00EB2D28">
        <w:rPr>
          <w:i/>
          <w:iCs/>
        </w:rPr>
        <w:t xml:space="preserve"> 2018 – 2020”</w:t>
      </w:r>
      <w:r>
        <w:t xml:space="preserve"> que </w:t>
      </w:r>
      <w:r w:rsidR="00EB2D28">
        <w:t xml:space="preserve">contiene, entre otros aspectos, </w:t>
      </w:r>
      <w:r>
        <w:t xml:space="preserve">el código de registro en el Banco de Programas y Proyectos de Inversión. </w:t>
      </w:r>
      <w:r w:rsidR="001146D9">
        <w:t xml:space="preserve">Esto confirma la información revisada por el DNP en el </w:t>
      </w:r>
      <w:r w:rsidR="002A0700">
        <w:t>“</w:t>
      </w:r>
      <w:r w:rsidR="0041142E" w:rsidRPr="00BC07AE">
        <w:rPr>
          <w:i/>
          <w:iCs/>
        </w:rPr>
        <w:t>Informe de monitoreo de campo, Puerto Leguízamo - Putumayo, Vigencias 2018 y 2019 (corte junio)</w:t>
      </w:r>
      <w:r w:rsidR="002A0700">
        <w:t>”</w:t>
      </w:r>
      <w:r w:rsidR="0041142E">
        <w:t xml:space="preserve"> </w:t>
      </w:r>
      <w:r w:rsidR="001146D9">
        <w:t xml:space="preserve">en donde </w:t>
      </w:r>
      <w:r w:rsidR="002A0700">
        <w:t xml:space="preserve">indica </w:t>
      </w:r>
      <w:r w:rsidR="001146D9">
        <w:t>que “</w:t>
      </w:r>
      <w:r w:rsidR="001146D9" w:rsidRPr="001146D9">
        <w:rPr>
          <w:i/>
          <w:iCs/>
        </w:rPr>
        <w:t>En la revisión se evidenció que la entidad cuenta con proyectos formulados. Se observó también que existe un proceso metodológico para su formulación en un formato similar a la Metodología General Ajustada –MGA usada por el DNP</w:t>
      </w:r>
      <w:r w:rsidR="001146D9">
        <w:t>”. Sin embargo, los proyectos relacionados no cuentan con la fuente de financiación específica,</w:t>
      </w:r>
      <w:r w:rsidR="00743A7C">
        <w:t xml:space="preserve"> que permita realizar un análisis de los proyectos financiados con SGP </w:t>
      </w:r>
      <w:r w:rsidR="002A0700">
        <w:t xml:space="preserve">- </w:t>
      </w:r>
      <w:r w:rsidR="00743A7C">
        <w:t xml:space="preserve">Propósito General. </w:t>
      </w:r>
      <w:r w:rsidR="000673C1">
        <w:t xml:space="preserve">Para la vigencia 2018 se relacionaron 40 proyectos, en la vigencia 2019 </w:t>
      </w:r>
      <w:r w:rsidR="009424D9">
        <w:t xml:space="preserve">se relacionaron 335 proyectos </w:t>
      </w:r>
      <w:r w:rsidR="000673C1">
        <w:t>y en la vigencia 2020</w:t>
      </w:r>
      <w:r w:rsidR="00641941">
        <w:t xml:space="preserve"> se remitieron 147 proyectos</w:t>
      </w:r>
      <w:r w:rsidR="000673C1">
        <w:t>.</w:t>
      </w:r>
    </w:p>
    <w:p w14:paraId="0285B77C" w14:textId="77777777" w:rsidR="002A0700" w:rsidRDefault="002A0700">
      <w:pPr>
        <w:spacing w:line="240" w:lineRule="auto"/>
        <w:contextualSpacing/>
        <w:jc w:val="both"/>
      </w:pPr>
    </w:p>
    <w:p w14:paraId="5EDCCE50" w14:textId="77777777" w:rsidR="0066489D" w:rsidRDefault="00804826">
      <w:pPr>
        <w:spacing w:line="240" w:lineRule="auto"/>
        <w:contextualSpacing/>
        <w:jc w:val="both"/>
      </w:pPr>
      <w:r>
        <w:t xml:space="preserve">Cabe resaltar que las hojas en donde se consigna la información </w:t>
      </w:r>
      <w:r w:rsidR="005764B1">
        <w:t xml:space="preserve">para cada una de las </w:t>
      </w:r>
      <w:r w:rsidR="001015A1">
        <w:t>vigencias</w:t>
      </w:r>
      <w:r w:rsidR="005764B1">
        <w:t xml:space="preserve"> </w:t>
      </w:r>
      <w:r>
        <w:t>no guardan la misma estructura</w:t>
      </w:r>
      <w:r w:rsidR="005764B1">
        <w:t>. E</w:t>
      </w:r>
      <w:r w:rsidR="0097662B">
        <w:t xml:space="preserve">sto llama la atención ya que </w:t>
      </w:r>
      <w:r w:rsidR="00E03EA9">
        <w:t>el Banco de Programas y Proyectos</w:t>
      </w:r>
      <w:r w:rsidR="0097662B">
        <w:t xml:space="preserve"> de Inversión</w:t>
      </w:r>
      <w:r w:rsidR="00E03EA9">
        <w:t xml:space="preserve"> debe guardar consistencia en la información que </w:t>
      </w:r>
      <w:r w:rsidR="00E03EA9">
        <w:lastRenderedPageBreak/>
        <w:t xml:space="preserve">registra y en </w:t>
      </w:r>
      <w:r w:rsidR="005764B1">
        <w:t>el formato</w:t>
      </w:r>
      <w:r w:rsidR="00E03EA9">
        <w:t xml:space="preserve"> en que l</w:t>
      </w:r>
      <w:r w:rsidR="005764B1">
        <w:t>o</w:t>
      </w:r>
      <w:r w:rsidR="00E03EA9">
        <w:t xml:space="preserve"> hace</w:t>
      </w:r>
      <w:r w:rsidR="00C97381">
        <w:t>, pues es</w:t>
      </w:r>
      <w:r w:rsidR="00E03EA9">
        <w:t xml:space="preserve"> un instrumento que debe estar institucionalizado</w:t>
      </w:r>
      <w:r w:rsidR="00C97381">
        <w:t xml:space="preserve"> en la</w:t>
      </w:r>
      <w:r w:rsidR="002A0700">
        <w:t>s</w:t>
      </w:r>
      <w:r w:rsidR="00C97381">
        <w:t xml:space="preserve"> entidad</w:t>
      </w:r>
      <w:r w:rsidR="002A0700">
        <w:t>es territoriales</w:t>
      </w:r>
      <w:r w:rsidR="00E03EA9">
        <w:t>. Además, en el año 2020 la información se encuentra incompleta</w:t>
      </w:r>
      <w:r w:rsidR="00F73F3D">
        <w:t xml:space="preserve"> en la relación de proyectos suministrada</w:t>
      </w:r>
      <w:r w:rsidR="005764B1">
        <w:t>,</w:t>
      </w:r>
      <w:r w:rsidR="00E03EA9">
        <w:t xml:space="preserve"> debido a que </w:t>
      </w:r>
      <w:r w:rsidR="00002B8E">
        <w:t>l</w:t>
      </w:r>
      <w:r w:rsidR="00AE5489">
        <w:t xml:space="preserve">os proyectos que se relacionan en la pestaña de la vigencia 2020 no cuentan con información de línea base, </w:t>
      </w:r>
      <w:r w:rsidR="007D367F">
        <w:t>la acción del Plan de Desarrollo a la que se relacionan, así como tampoco se especifican las metas</w:t>
      </w:r>
      <w:r w:rsidR="00125B9E">
        <w:t xml:space="preserve">, el producto que se entrega, </w:t>
      </w:r>
      <w:r w:rsidR="007D367F">
        <w:t xml:space="preserve">el nivel de </w:t>
      </w:r>
      <w:r w:rsidR="003A1BAC">
        <w:t>avance o estado</w:t>
      </w:r>
      <w:r w:rsidR="007D367F">
        <w:t xml:space="preserve"> de los proyectos.</w:t>
      </w:r>
    </w:p>
    <w:p w14:paraId="57E3AABB" w14:textId="77777777" w:rsidR="002A0700" w:rsidRDefault="002A0700">
      <w:pPr>
        <w:spacing w:line="240" w:lineRule="auto"/>
        <w:contextualSpacing/>
        <w:jc w:val="both"/>
      </w:pPr>
    </w:p>
    <w:p w14:paraId="5419A658" w14:textId="77777777" w:rsidR="00BA6758" w:rsidRDefault="003D4924">
      <w:pPr>
        <w:spacing w:line="240" w:lineRule="auto"/>
        <w:contextualSpacing/>
        <w:jc w:val="both"/>
      </w:pPr>
      <w:r>
        <w:t xml:space="preserve">En general, se evidencia que en las vigencias más recientes la información que se registra es cada vez menos, </w:t>
      </w:r>
      <w:r w:rsidR="00671483">
        <w:t>ya no se registran los números y fechas de radicado de los proyectos</w:t>
      </w:r>
      <w:r w:rsidR="003F44E4">
        <w:t xml:space="preserve"> ni </w:t>
      </w:r>
      <w:r w:rsidR="00796A14">
        <w:t xml:space="preserve">el área </w:t>
      </w:r>
      <w:r w:rsidR="008B4533">
        <w:t xml:space="preserve">misional </w:t>
      </w:r>
      <w:r w:rsidR="003F44E4">
        <w:t xml:space="preserve">encargada de llevar a cabo </w:t>
      </w:r>
      <w:r w:rsidR="00CF43F4">
        <w:t>su implementación</w:t>
      </w:r>
      <w:r w:rsidR="003A1BAC">
        <w:t xml:space="preserve">, por lo cual no queda confirmado el registro de </w:t>
      </w:r>
      <w:r w:rsidR="0066489D">
        <w:t>todos los proyectos</w:t>
      </w:r>
      <w:r w:rsidR="003F44E4">
        <w:t xml:space="preserve">. </w:t>
      </w:r>
      <w:r w:rsidR="0066489D">
        <w:t xml:space="preserve">Lo anterior, a pesar de que en los expedientes contractuales allegados a esta Dirección se evidencian las certificaciones BPIM en donde la Secretaría de </w:t>
      </w:r>
      <w:r w:rsidR="00807BDF">
        <w:t xml:space="preserve">Planeación </w:t>
      </w:r>
      <w:r w:rsidR="0066489D">
        <w:t>certifica la existencia y registro de los proyectos que sustentan los contratos. Sin embargo, para la vigencia 2020 dichos certificados referencian información del Plan de Desarrollo Territorial anterior, el cual todavía estaba en vigencia mientras se aprobaba el nuevo Plan de Desarrollo del gobierno</w:t>
      </w:r>
      <w:r w:rsidR="00135486">
        <w:t xml:space="preserve"> municipal</w:t>
      </w:r>
      <w:r w:rsidR="0066489D">
        <w:t xml:space="preserve"> actual</w:t>
      </w:r>
      <w:r w:rsidR="00BA6758">
        <w:t>, pero no hay evidencias o referencias del actual Plan de Desarrollo Municipal.</w:t>
      </w:r>
    </w:p>
    <w:p w14:paraId="770F52B6" w14:textId="77777777" w:rsidR="00570933" w:rsidRDefault="00570933">
      <w:pPr>
        <w:spacing w:line="240" w:lineRule="auto"/>
        <w:contextualSpacing/>
        <w:jc w:val="both"/>
      </w:pPr>
    </w:p>
    <w:p w14:paraId="21E4FAAB" w14:textId="77777777" w:rsidR="004B241C" w:rsidRDefault="004B241C">
      <w:pPr>
        <w:spacing w:line="240" w:lineRule="auto"/>
        <w:contextualSpacing/>
        <w:jc w:val="both"/>
      </w:pPr>
      <w:r>
        <w:t>A</w:t>
      </w:r>
      <w:r w:rsidR="00327BB2">
        <w:t>dicionalmente, a</w:t>
      </w:r>
      <w:r>
        <w:t xml:space="preserve">l consultar la página web del </w:t>
      </w:r>
      <w:r w:rsidR="00570933">
        <w:t>M</w:t>
      </w:r>
      <w:r>
        <w:t>unicipio para profundizar en la información relacionada con los proyectos de inversión</w:t>
      </w:r>
      <w:r w:rsidR="004C30FB">
        <w:t>,</w:t>
      </w:r>
      <w:r>
        <w:t xml:space="preserve"> se pudo constatar que no existe ningún tipo de publicación</w:t>
      </w:r>
      <w:r w:rsidR="004C30FB">
        <w:t>,</w:t>
      </w:r>
      <w:r>
        <w:t xml:space="preserve"> como se evidencia a continuación:</w:t>
      </w:r>
    </w:p>
    <w:p w14:paraId="687130FC" w14:textId="77777777" w:rsidR="00570933" w:rsidRDefault="00570933">
      <w:pPr>
        <w:spacing w:line="240" w:lineRule="auto"/>
        <w:contextualSpacing/>
        <w:jc w:val="both"/>
      </w:pPr>
    </w:p>
    <w:p w14:paraId="59711C98" w14:textId="77777777" w:rsidR="00683D42" w:rsidRPr="00D026A8" w:rsidRDefault="00683D42">
      <w:pPr>
        <w:spacing w:after="0" w:line="240" w:lineRule="auto"/>
        <w:contextualSpacing/>
        <w:jc w:val="center"/>
        <w:rPr>
          <w:b/>
          <w:bCs/>
          <w:sz w:val="20"/>
          <w:szCs w:val="20"/>
        </w:rPr>
      </w:pPr>
      <w:r w:rsidRPr="00D026A8">
        <w:rPr>
          <w:b/>
          <w:bCs/>
          <w:sz w:val="20"/>
          <w:szCs w:val="20"/>
        </w:rPr>
        <w:t>Imagen 2</w:t>
      </w:r>
    </w:p>
    <w:p w14:paraId="6362E662" w14:textId="77777777" w:rsidR="00683D42" w:rsidRDefault="00683D42">
      <w:pPr>
        <w:spacing w:after="0" w:line="240" w:lineRule="auto"/>
        <w:contextualSpacing/>
        <w:jc w:val="center"/>
        <w:rPr>
          <w:rStyle w:val="normaltextrun"/>
          <w:rFonts w:cs="Arial"/>
          <w:color w:val="000000"/>
          <w:sz w:val="20"/>
          <w:szCs w:val="20"/>
          <w:bdr w:val="none" w:sz="0" w:space="0" w:color="auto" w:frame="1"/>
        </w:rPr>
      </w:pPr>
      <w:r>
        <w:rPr>
          <w:rStyle w:val="normaltextrun"/>
          <w:rFonts w:cs="Arial"/>
          <w:color w:val="000000"/>
          <w:sz w:val="20"/>
          <w:szCs w:val="20"/>
          <w:bdr w:val="none" w:sz="0" w:space="0" w:color="auto" w:frame="1"/>
        </w:rPr>
        <w:t>Publicación proyectos de inversión</w:t>
      </w:r>
    </w:p>
    <w:p w14:paraId="642D1E68" w14:textId="77777777" w:rsidR="00C71A57" w:rsidRDefault="00683D42">
      <w:pPr>
        <w:spacing w:after="0" w:line="240" w:lineRule="auto"/>
        <w:contextualSpacing/>
        <w:jc w:val="center"/>
      </w:pPr>
      <w:r>
        <w:rPr>
          <w:rStyle w:val="normaltextrun"/>
          <w:rFonts w:cs="Arial"/>
          <w:color w:val="000000"/>
          <w:sz w:val="20"/>
          <w:szCs w:val="20"/>
          <w:bdr w:val="none" w:sz="0" w:space="0" w:color="auto" w:frame="1"/>
        </w:rPr>
        <w:t>Municipio de Puerto Leguízamo - Putumayo</w:t>
      </w:r>
      <w:r w:rsidR="004B241C">
        <w:rPr>
          <w:noProof/>
          <w:lang w:val="es-CO" w:eastAsia="es-CO"/>
        </w:rPr>
        <w:drawing>
          <wp:inline distT="0" distB="0" distL="0" distR="0" wp14:anchorId="1BB459A9" wp14:editId="70E05C2B">
            <wp:extent cx="5400040" cy="3037840"/>
            <wp:effectExtent l="0" t="0" r="0" b="0"/>
            <wp:docPr id="11" name="Imagen 1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 Correo electrónico&#10;&#10;Descripción generada automáticamente"/>
                    <pic:cNvPicPr/>
                  </pic:nvPicPr>
                  <pic:blipFill>
                    <a:blip r:embed="rId21"/>
                    <a:stretch>
                      <a:fillRect/>
                    </a:stretch>
                  </pic:blipFill>
                  <pic:spPr>
                    <a:xfrm>
                      <a:off x="0" y="0"/>
                      <a:ext cx="5400040" cy="3037840"/>
                    </a:xfrm>
                    <a:prstGeom prst="rect">
                      <a:avLst/>
                    </a:prstGeom>
                  </pic:spPr>
                </pic:pic>
              </a:graphicData>
            </a:graphic>
          </wp:inline>
        </w:drawing>
      </w:r>
    </w:p>
    <w:p w14:paraId="31F46FB2" w14:textId="77777777" w:rsidR="004B241C" w:rsidRPr="00FB27C3" w:rsidRDefault="004B241C">
      <w:pPr>
        <w:spacing w:line="240" w:lineRule="auto"/>
        <w:contextualSpacing/>
        <w:jc w:val="center"/>
        <w:rPr>
          <w:sz w:val="18"/>
          <w:szCs w:val="18"/>
        </w:rPr>
      </w:pPr>
      <w:r w:rsidRPr="00FB27C3">
        <w:rPr>
          <w:rStyle w:val="normaltextrun"/>
          <w:rFonts w:cs="Arial"/>
          <w:b/>
          <w:bCs/>
          <w:color w:val="000000"/>
          <w:sz w:val="16"/>
          <w:szCs w:val="16"/>
          <w:shd w:val="clear" w:color="auto" w:fill="FFFFFF"/>
        </w:rPr>
        <w:t>Fuente:</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Página</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oficial</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Alcaldía</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de</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Puerto</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Leguízamo</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Putumayo,</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consulta</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noviembre</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de</w:t>
      </w:r>
      <w:r w:rsidR="0057093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2021.</w:t>
      </w:r>
    </w:p>
    <w:p w14:paraId="096DD96F" w14:textId="77777777" w:rsidR="00570933" w:rsidRDefault="00570933">
      <w:pPr>
        <w:spacing w:line="240" w:lineRule="auto"/>
        <w:contextualSpacing/>
        <w:jc w:val="both"/>
      </w:pPr>
    </w:p>
    <w:p w14:paraId="563B1BAA" w14:textId="77777777" w:rsidR="000933B9" w:rsidRDefault="00BA6758">
      <w:pPr>
        <w:spacing w:line="240" w:lineRule="auto"/>
        <w:contextualSpacing/>
        <w:jc w:val="both"/>
      </w:pPr>
      <w:r>
        <w:t xml:space="preserve">Esta Dirección concluye que el </w:t>
      </w:r>
      <w:r w:rsidR="00570933">
        <w:t>M</w:t>
      </w:r>
      <w:r>
        <w:t>unicipio, presenta falencias en el componente de acceso y transparencia de la información contenida en el Banco de Programas y Proyectos de Inversión Municipal</w:t>
      </w:r>
      <w:r w:rsidR="004C30FB">
        <w:t>,</w:t>
      </w:r>
      <w:r>
        <w:t xml:space="preserve"> ya que no está disponible para consulta por parte de la ciudadanía y la información remitida carece de las características de claridad y </w:t>
      </w:r>
      <w:r>
        <w:lastRenderedPageBreak/>
        <w:t>completitud, lo cual contraviene el artículo 77 de la Ley 1474 de 2011 en cuando a la publicidad de la totalidad de la información de los proyectos de inversión que se ejecutan en la</w:t>
      </w:r>
      <w:r w:rsidR="00570933">
        <w:t>s</w:t>
      </w:r>
      <w:r>
        <w:t xml:space="preserve"> entidad</w:t>
      </w:r>
      <w:r w:rsidR="00570933">
        <w:t>es</w:t>
      </w:r>
      <w:r>
        <w:t xml:space="preserve"> territorial</w:t>
      </w:r>
      <w:r w:rsidR="00570933">
        <w:t>es</w:t>
      </w:r>
      <w:r>
        <w:t>.</w:t>
      </w:r>
    </w:p>
    <w:p w14:paraId="34A12645" w14:textId="77777777" w:rsidR="00B6513B" w:rsidRDefault="00B6513B">
      <w:pPr>
        <w:spacing w:line="240" w:lineRule="auto"/>
        <w:contextualSpacing/>
        <w:jc w:val="both"/>
      </w:pPr>
    </w:p>
    <w:p w14:paraId="2545F2EB" w14:textId="77777777" w:rsidR="00947C8E" w:rsidRDefault="00952AE3">
      <w:pPr>
        <w:pStyle w:val="Ttulo1"/>
        <w:numPr>
          <w:ilvl w:val="0"/>
          <w:numId w:val="4"/>
        </w:numPr>
        <w:spacing w:line="240" w:lineRule="auto"/>
        <w:contextualSpacing/>
        <w:rPr>
          <w:rFonts w:ascii="Arial" w:hAnsi="Arial" w:cs="Arial"/>
          <w:b/>
          <w:bCs/>
          <w:color w:val="auto"/>
          <w:sz w:val="22"/>
          <w:szCs w:val="22"/>
        </w:rPr>
      </w:pPr>
      <w:r w:rsidRPr="009E19B7">
        <w:rPr>
          <w:rFonts w:ascii="Arial" w:hAnsi="Arial" w:cs="Arial"/>
          <w:b/>
          <w:bCs/>
          <w:color w:val="auto"/>
          <w:sz w:val="22"/>
          <w:szCs w:val="22"/>
        </w:rPr>
        <w:t>PROBLEMÁTICA</w:t>
      </w:r>
      <w:r w:rsidR="004B3989">
        <w:rPr>
          <w:rFonts w:ascii="Arial" w:hAnsi="Arial" w:cs="Arial"/>
          <w:b/>
          <w:bCs/>
          <w:color w:val="auto"/>
          <w:sz w:val="22"/>
          <w:szCs w:val="22"/>
        </w:rPr>
        <w:t>.</w:t>
      </w:r>
    </w:p>
    <w:p w14:paraId="0784F0A6" w14:textId="77777777" w:rsidR="00AC2419" w:rsidRDefault="00AC2419">
      <w:pPr>
        <w:spacing w:line="240" w:lineRule="auto"/>
        <w:contextualSpacing/>
        <w:jc w:val="both"/>
      </w:pPr>
    </w:p>
    <w:p w14:paraId="1210CA87" w14:textId="77777777" w:rsidR="00444818" w:rsidRDefault="00444818">
      <w:pPr>
        <w:spacing w:line="240" w:lineRule="auto"/>
        <w:contextualSpacing/>
        <w:jc w:val="both"/>
      </w:pPr>
      <w:r>
        <w:t xml:space="preserve">Al analizar la información remitida por el </w:t>
      </w:r>
      <w:r w:rsidR="006C17C5">
        <w:t>M</w:t>
      </w:r>
      <w:r>
        <w:t xml:space="preserve">unicipio y </w:t>
      </w:r>
      <w:r w:rsidR="006C17C5">
        <w:t xml:space="preserve">al </w:t>
      </w:r>
      <w:r>
        <w:t>evaluar la consistencia de los procesos presupuestales, contractuales y de planeación</w:t>
      </w:r>
      <w:r w:rsidR="000933B9">
        <w:t>,</w:t>
      </w:r>
      <w:r>
        <w:t xml:space="preserve"> se pudo determinar que existe un manejo inadecuado de los recursos del Sistema General de Participaciones para Propósito General por parte de la Entidad Territorial. Esta problemática se explica por las deficiencias en los procesos a través de los cuales se programan y ejecutan los recursos, como se detalla a continuación:</w:t>
      </w:r>
    </w:p>
    <w:p w14:paraId="293655B1" w14:textId="77777777" w:rsidR="00444818" w:rsidRDefault="00444818">
      <w:pPr>
        <w:spacing w:line="240" w:lineRule="auto"/>
        <w:contextualSpacing/>
      </w:pPr>
    </w:p>
    <w:p w14:paraId="24822711" w14:textId="77777777" w:rsidR="00FB12A0" w:rsidRDefault="00FB12A0">
      <w:pPr>
        <w:spacing w:line="240" w:lineRule="auto"/>
        <w:contextualSpacing/>
      </w:pPr>
      <w:r>
        <w:t>En el ámbito presupuestal:</w:t>
      </w:r>
    </w:p>
    <w:p w14:paraId="302180C2" w14:textId="77777777" w:rsidR="00DC7538" w:rsidRPr="000D0030" w:rsidRDefault="00AA4813">
      <w:pPr>
        <w:pStyle w:val="Prrafodelista"/>
        <w:numPr>
          <w:ilvl w:val="0"/>
          <w:numId w:val="15"/>
        </w:numPr>
        <w:spacing w:line="240" w:lineRule="auto"/>
        <w:jc w:val="both"/>
      </w:pPr>
      <w:r>
        <w:rPr>
          <w:lang w:val="es-CO"/>
        </w:rPr>
        <w:t xml:space="preserve">Inconsistencias entre el presupuesto que realiza la </w:t>
      </w:r>
      <w:r w:rsidR="006C17C5">
        <w:rPr>
          <w:lang w:val="es-CO"/>
        </w:rPr>
        <w:t>E</w:t>
      </w:r>
      <w:r>
        <w:rPr>
          <w:lang w:val="es-CO"/>
        </w:rPr>
        <w:t xml:space="preserve">ntidad </w:t>
      </w:r>
      <w:r w:rsidR="006C17C5">
        <w:rPr>
          <w:lang w:val="es-CO"/>
        </w:rPr>
        <w:t>T</w:t>
      </w:r>
      <w:r>
        <w:rPr>
          <w:lang w:val="es-CO"/>
        </w:rPr>
        <w:t>erritorial y el recaudo efectivo de lo que se asigna a través de los documentos de distribución.</w:t>
      </w:r>
    </w:p>
    <w:p w14:paraId="10555431" w14:textId="77777777" w:rsidR="000D0030" w:rsidRDefault="000D0030">
      <w:pPr>
        <w:pStyle w:val="Prrafodelista"/>
        <w:numPr>
          <w:ilvl w:val="0"/>
          <w:numId w:val="15"/>
        </w:numPr>
        <w:spacing w:line="240" w:lineRule="auto"/>
        <w:jc w:val="both"/>
      </w:pPr>
      <w:r>
        <w:t xml:space="preserve">Inadecuado manejo de los recursos de capital. En el caso de los recursos de superávit fiscal, estos no se incorporan en su totalidad en el presupuesto de la vigencia posterior a la que se originaron. En cuanto a los rendimientos financieros, no se reconocen </w:t>
      </w:r>
      <w:r w:rsidR="000933B9">
        <w:t xml:space="preserve">presupuestalmente </w:t>
      </w:r>
      <w:r>
        <w:t>y por lo tanto no se incluyen en el presupuesto de ingresos de la Entidad, a pesar de que son reconocidos por la entidad bancaria en donde se tiene la Cuenta Maestra a través de la cual se administran.</w:t>
      </w:r>
    </w:p>
    <w:p w14:paraId="348B9ABE" w14:textId="77777777" w:rsidR="000D0030" w:rsidRDefault="001617CD">
      <w:pPr>
        <w:pStyle w:val="Prrafodelista"/>
        <w:numPr>
          <w:ilvl w:val="0"/>
          <w:numId w:val="15"/>
        </w:numPr>
        <w:spacing w:line="240" w:lineRule="auto"/>
        <w:jc w:val="both"/>
      </w:pPr>
      <w:r>
        <w:t xml:space="preserve">Inconsistencias en el manejo presupuestal de los recursos. El </w:t>
      </w:r>
      <w:r w:rsidR="006C17C5">
        <w:t>M</w:t>
      </w:r>
      <w:r>
        <w:t xml:space="preserve">unicipio presenta </w:t>
      </w:r>
      <w:r w:rsidR="00B204B3">
        <w:t>vigencias en donde se registran montos de ejecución mayores al presupuesto de ingresos. Esta situación deriva en un desequilibrio fiscal</w:t>
      </w:r>
      <w:r w:rsidR="001E2836">
        <w:t xml:space="preserve"> en las vigencias 2019 y 2020</w:t>
      </w:r>
      <w:r w:rsidR="00B204B3">
        <w:t xml:space="preserve"> que </w:t>
      </w:r>
      <w:r w:rsidR="00B902C8">
        <w:t xml:space="preserve">la </w:t>
      </w:r>
      <w:r w:rsidR="006C17C5">
        <w:t>E</w:t>
      </w:r>
      <w:r w:rsidR="00B902C8">
        <w:t xml:space="preserve">ntidad </w:t>
      </w:r>
      <w:r w:rsidR="006C17C5">
        <w:t>T</w:t>
      </w:r>
      <w:r w:rsidR="00B902C8">
        <w:t>erritorial no refleja en el cierre fiscal ni en el presupuesto de las vigencias analizadas</w:t>
      </w:r>
      <w:r w:rsidR="00384C73">
        <w:t>, así como tampoco en el reporte en los sistemas de información presupuestal nacionales</w:t>
      </w:r>
      <w:r w:rsidR="00B902C8">
        <w:t>.</w:t>
      </w:r>
    </w:p>
    <w:p w14:paraId="6ABC34AD" w14:textId="77777777" w:rsidR="00173EBA" w:rsidRDefault="00173EBA">
      <w:pPr>
        <w:pStyle w:val="Prrafodelista"/>
        <w:numPr>
          <w:ilvl w:val="0"/>
          <w:numId w:val="15"/>
        </w:numPr>
        <w:spacing w:line="240" w:lineRule="auto"/>
        <w:jc w:val="both"/>
      </w:pPr>
      <w:r>
        <w:t xml:space="preserve">Deficiencias en el reconocimiento e incorporación del rezago presupuestal. </w:t>
      </w:r>
      <w:r w:rsidR="00217013">
        <w:t>E</w:t>
      </w:r>
      <w:r w:rsidR="00217013" w:rsidRPr="00217013">
        <w:t xml:space="preserve">l </w:t>
      </w:r>
      <w:r w:rsidR="006C17C5">
        <w:t>M</w:t>
      </w:r>
      <w:r w:rsidR="00217013" w:rsidRPr="00217013">
        <w:t>unicipio incorporó saldos de reservas presupuestales no ejecutadas en las vigencias anteriores, en el acto administrativo de constitución de reservas de 2019.</w:t>
      </w:r>
    </w:p>
    <w:p w14:paraId="513DBFE4" w14:textId="77777777" w:rsidR="006A4015" w:rsidRDefault="006A4015">
      <w:pPr>
        <w:pStyle w:val="Prrafodelista"/>
        <w:numPr>
          <w:ilvl w:val="0"/>
          <w:numId w:val="15"/>
        </w:numPr>
        <w:spacing w:line="240" w:lineRule="auto"/>
        <w:jc w:val="both"/>
      </w:pPr>
      <w:r>
        <w:t xml:space="preserve">Desarticulación </w:t>
      </w:r>
      <w:r w:rsidRPr="00B115FB">
        <w:t xml:space="preserve">entre los ámbitos presupuestales y de tesorería de la </w:t>
      </w:r>
      <w:r w:rsidR="006C17C5">
        <w:t>E</w:t>
      </w:r>
      <w:r w:rsidRPr="00B115FB">
        <w:t xml:space="preserve">ntidad </w:t>
      </w:r>
      <w:r w:rsidR="006C17C5">
        <w:t>T</w:t>
      </w:r>
      <w:r w:rsidRPr="00B115FB">
        <w:t>erritorial</w:t>
      </w:r>
      <w:r>
        <w:t>, debido a que se no se están reconociendo en tesorería egresos que se reportan presupuestalmente, además que se asimilan las obligaciones a los pagos desde el punto de vista de tesorería.</w:t>
      </w:r>
    </w:p>
    <w:p w14:paraId="48F76F03" w14:textId="77777777" w:rsidR="003A49A2" w:rsidRDefault="003A49A2">
      <w:pPr>
        <w:pStyle w:val="Prrafodelista"/>
        <w:numPr>
          <w:ilvl w:val="0"/>
          <w:numId w:val="15"/>
        </w:numPr>
        <w:spacing w:line="240" w:lineRule="auto"/>
        <w:jc w:val="both"/>
      </w:pPr>
      <w:r>
        <w:t xml:space="preserve">Inconsistencias en los reportes de información presupuestal en el FUT. Se presentan diferencias entre lo registrado en las ejecuciones presupuestales y lo reportado en las categorías de ingresos, específicamente </w:t>
      </w:r>
      <w:r w:rsidR="00BB4E7E">
        <w:t xml:space="preserve">en los ingresos corrientes, en </w:t>
      </w:r>
      <w:r>
        <w:t>recursos de capital; en gastos y en cierre fiscal.</w:t>
      </w:r>
    </w:p>
    <w:p w14:paraId="576A901E" w14:textId="77777777" w:rsidR="003E63C0" w:rsidRDefault="00C356C5">
      <w:pPr>
        <w:pStyle w:val="Prrafodelista"/>
        <w:numPr>
          <w:ilvl w:val="0"/>
          <w:numId w:val="15"/>
        </w:numPr>
        <w:spacing w:line="240" w:lineRule="auto"/>
        <w:jc w:val="both"/>
      </w:pPr>
      <w:r>
        <w:t xml:space="preserve">Inconsistencias en el manejo de la Cuenta Maestra y la omisión de </w:t>
      </w:r>
      <w:r w:rsidR="003E63C0">
        <w:t xml:space="preserve">uso </w:t>
      </w:r>
      <w:r>
        <w:t>de la Cuenta Maestra Pagadora.</w:t>
      </w:r>
    </w:p>
    <w:p w14:paraId="2E27BA6C" w14:textId="77777777" w:rsidR="003A49A2" w:rsidRDefault="00A5520C">
      <w:pPr>
        <w:pStyle w:val="Prrafodelista"/>
        <w:numPr>
          <w:ilvl w:val="0"/>
          <w:numId w:val="15"/>
        </w:numPr>
        <w:spacing w:line="240" w:lineRule="auto"/>
        <w:jc w:val="both"/>
      </w:pPr>
      <w:r>
        <w:t xml:space="preserve">No </w:t>
      </w:r>
      <w:r w:rsidR="002A7898">
        <w:t xml:space="preserve">utilización de la cuenta de manejo de garantías. </w:t>
      </w:r>
      <w:r w:rsidR="002A7898">
        <w:rPr>
          <w:color w:val="000000"/>
        </w:rPr>
        <w:t>Se evidenció que no se realiza</w:t>
      </w:r>
      <w:r>
        <w:rPr>
          <w:color w:val="000000"/>
        </w:rPr>
        <w:t>ron</w:t>
      </w:r>
      <w:r w:rsidR="002A7898">
        <w:rPr>
          <w:color w:val="000000"/>
        </w:rPr>
        <w:t xml:space="preserve"> los pagos asociados a un empréstito por medio de la Cuenta de Manejo de Garantías</w:t>
      </w:r>
      <w:r w:rsidR="002A7898">
        <w:t>, sino de manera directa desde la Cuenta Maestra de Propósito General.</w:t>
      </w:r>
    </w:p>
    <w:p w14:paraId="45278DD0" w14:textId="77777777" w:rsidR="005C41BB" w:rsidRDefault="005C41BB">
      <w:pPr>
        <w:spacing w:line="240" w:lineRule="auto"/>
        <w:contextualSpacing/>
      </w:pPr>
    </w:p>
    <w:p w14:paraId="19783078" w14:textId="77777777" w:rsidR="00FB12A0" w:rsidRDefault="00FB12A0">
      <w:pPr>
        <w:spacing w:line="240" w:lineRule="auto"/>
        <w:contextualSpacing/>
      </w:pPr>
      <w:r>
        <w:lastRenderedPageBreak/>
        <w:t>En el ámbito contractual:</w:t>
      </w:r>
    </w:p>
    <w:p w14:paraId="32E81F25" w14:textId="77777777" w:rsidR="005C41BB" w:rsidRDefault="005C41BB">
      <w:pPr>
        <w:spacing w:line="240" w:lineRule="auto"/>
        <w:contextualSpacing/>
      </w:pPr>
    </w:p>
    <w:p w14:paraId="0DFFA716" w14:textId="77777777" w:rsidR="002F55F0" w:rsidRDefault="002F55F0">
      <w:pPr>
        <w:pStyle w:val="Prrafodelista"/>
        <w:numPr>
          <w:ilvl w:val="0"/>
          <w:numId w:val="17"/>
        </w:numPr>
        <w:spacing w:line="240" w:lineRule="auto"/>
        <w:jc w:val="both"/>
      </w:pPr>
      <w:r w:rsidRPr="005E0297">
        <w:t xml:space="preserve">Cambio en la destinación de los recursos. Para las tres vigencias analizadas se encuentra que la destinación de </w:t>
      </w:r>
      <w:r w:rsidR="009D37AB">
        <w:t xml:space="preserve">SGP </w:t>
      </w:r>
      <w:r w:rsidR="006C17C5">
        <w:t xml:space="preserve">- </w:t>
      </w:r>
      <w:r w:rsidR="009D37AB">
        <w:t xml:space="preserve">Propósito General para inversión </w:t>
      </w:r>
      <w:r w:rsidRPr="005E0297">
        <w:t xml:space="preserve">financia gastos de funcionamiento. Por tanto, el </w:t>
      </w:r>
      <w:r w:rsidR="006C17C5">
        <w:t>M</w:t>
      </w:r>
      <w:r w:rsidRPr="005E0297">
        <w:t>unicipio financia objetos de gasto que no están permitidos en el marco de las competencias de los municipios establecidas en la</w:t>
      </w:r>
      <w:r w:rsidR="005C41BB">
        <w:t>s</w:t>
      </w:r>
      <w:r w:rsidRPr="005E0297">
        <w:t xml:space="preserve"> Ley</w:t>
      </w:r>
      <w:r w:rsidR="005C41BB">
        <w:t>es</w:t>
      </w:r>
      <w:r w:rsidRPr="005E0297">
        <w:t xml:space="preserve"> 715 de 2001 y 1176 de 2007.</w:t>
      </w:r>
    </w:p>
    <w:p w14:paraId="23B9A5E6" w14:textId="77777777" w:rsidR="001E35AA" w:rsidRDefault="005E001A">
      <w:pPr>
        <w:pStyle w:val="Prrafodelista"/>
        <w:numPr>
          <w:ilvl w:val="0"/>
          <w:numId w:val="17"/>
        </w:numPr>
        <w:spacing w:line="240" w:lineRule="auto"/>
        <w:jc w:val="both"/>
      </w:pPr>
      <w:r>
        <w:t>Ejecución de recursos en desconocimiento de la normatividad vigente</w:t>
      </w:r>
      <w:r w:rsidR="00A5520C">
        <w:t>,</w:t>
      </w:r>
      <w:r>
        <w:t xml:space="preserve"> debido a que se entregan elementos deportivos que no quedan a disposición de la administración municipal.</w:t>
      </w:r>
    </w:p>
    <w:p w14:paraId="241E3728" w14:textId="77777777" w:rsidR="005E001A" w:rsidRDefault="005E001A">
      <w:pPr>
        <w:pStyle w:val="Prrafodelista"/>
        <w:numPr>
          <w:ilvl w:val="0"/>
          <w:numId w:val="17"/>
        </w:numPr>
        <w:spacing w:line="240" w:lineRule="auto"/>
        <w:jc w:val="both"/>
      </w:pPr>
      <w:r w:rsidRPr="00274797">
        <w:t>Fal</w:t>
      </w:r>
      <w:r w:rsidR="00605D8C">
        <w:t xml:space="preserve">encias en la </w:t>
      </w:r>
      <w:r w:rsidRPr="00274797">
        <w:t xml:space="preserve">publicación de la totalidad de los expedientes contractuales en SECOP. Para las tres vigencias analizadas y de manera transversal a las destinaciones de Cultura, Deporte y Libre Inversión, el </w:t>
      </w:r>
      <w:r w:rsidR="005C41BB">
        <w:t>M</w:t>
      </w:r>
      <w:r w:rsidRPr="00274797">
        <w:t xml:space="preserve">unicipio no cumple con el </w:t>
      </w:r>
      <w:r>
        <w:t>P</w:t>
      </w:r>
      <w:r w:rsidRPr="00274797">
        <w:t xml:space="preserve">rincipio de </w:t>
      </w:r>
      <w:r>
        <w:t>P</w:t>
      </w:r>
      <w:r w:rsidRPr="00274797">
        <w:t>ublicidad en la contratación pública. Varios de los documentos que conforman los expedientes contractuales no se encuentran en SECOP, principalmente aquellos que dan cuenta de la etapa contractual y poscontractual.</w:t>
      </w:r>
    </w:p>
    <w:p w14:paraId="3636C1C3" w14:textId="77777777" w:rsidR="005C41BB" w:rsidRDefault="005C41BB">
      <w:pPr>
        <w:spacing w:line="240" w:lineRule="auto"/>
        <w:contextualSpacing/>
      </w:pPr>
    </w:p>
    <w:p w14:paraId="6DB43393" w14:textId="77777777" w:rsidR="00FB12A0" w:rsidRDefault="00FB12A0">
      <w:pPr>
        <w:spacing w:line="240" w:lineRule="auto"/>
        <w:contextualSpacing/>
      </w:pPr>
      <w:r>
        <w:t>En el ámbito de planeación:</w:t>
      </w:r>
    </w:p>
    <w:p w14:paraId="352B7129" w14:textId="77777777" w:rsidR="005C41BB" w:rsidRDefault="005C41BB">
      <w:pPr>
        <w:spacing w:line="240" w:lineRule="auto"/>
        <w:contextualSpacing/>
      </w:pPr>
    </w:p>
    <w:p w14:paraId="5EA0F4F4" w14:textId="77777777" w:rsidR="00FF61F2" w:rsidRDefault="00FF61F2">
      <w:pPr>
        <w:pStyle w:val="Prrafodelista"/>
        <w:numPr>
          <w:ilvl w:val="0"/>
          <w:numId w:val="18"/>
        </w:numPr>
        <w:spacing w:line="240" w:lineRule="auto"/>
        <w:jc w:val="both"/>
      </w:pPr>
      <w:r>
        <w:t xml:space="preserve">Desarticulación de los instrumentos de planeación de la inversión con los instrumentos de programación y ejecución presupuestal. </w:t>
      </w:r>
    </w:p>
    <w:p w14:paraId="5FE22448" w14:textId="77777777" w:rsidR="0025369B" w:rsidRDefault="00F434CF">
      <w:pPr>
        <w:pStyle w:val="Prrafodelista"/>
        <w:numPr>
          <w:ilvl w:val="0"/>
          <w:numId w:val="18"/>
        </w:numPr>
        <w:spacing w:line="240" w:lineRule="auto"/>
        <w:jc w:val="both"/>
      </w:pPr>
      <w:r>
        <w:t xml:space="preserve">Falencias en el </w:t>
      </w:r>
      <w:r w:rsidR="00B34BA8">
        <w:t>Banco de Programas y Proyectos de Inversión</w:t>
      </w:r>
      <w:r>
        <w:t xml:space="preserve">. </w:t>
      </w:r>
      <w:r w:rsidR="00B34BA8">
        <w:t>La información relacionada con la formulación, registro, viabilización y estado de los proyectos de inversión a financiar es incompleta y de baja calidad</w:t>
      </w:r>
      <w:r w:rsidR="004C30FB">
        <w:t>,</w:t>
      </w:r>
      <w:r w:rsidR="00A5520C">
        <w:t xml:space="preserve"> </w:t>
      </w:r>
      <w:r w:rsidR="0015523F">
        <w:t xml:space="preserve">por lo cual no se cumple con la transparencia </w:t>
      </w:r>
      <w:r w:rsidR="004C30FB">
        <w:t>en la información de</w:t>
      </w:r>
      <w:r w:rsidR="0015523F">
        <w:t xml:space="preserve"> los proyectos de inversión ejecutados</w:t>
      </w:r>
      <w:r w:rsidR="0059394E">
        <w:t>.</w:t>
      </w:r>
    </w:p>
    <w:p w14:paraId="0196D0BA" w14:textId="77777777" w:rsidR="0025369B" w:rsidRDefault="0025369B">
      <w:pPr>
        <w:pStyle w:val="Prrafodelista"/>
        <w:spacing w:line="240" w:lineRule="auto"/>
        <w:jc w:val="both"/>
      </w:pPr>
    </w:p>
    <w:p w14:paraId="11D218A2" w14:textId="77777777" w:rsidR="0025369B" w:rsidRPr="0025369B" w:rsidRDefault="0025369B">
      <w:pPr>
        <w:pStyle w:val="Ttulo1"/>
        <w:numPr>
          <w:ilvl w:val="0"/>
          <w:numId w:val="4"/>
        </w:numPr>
        <w:spacing w:line="240" w:lineRule="auto"/>
        <w:contextualSpacing/>
        <w:rPr>
          <w:rFonts w:ascii="Arial" w:hAnsi="Arial" w:cs="Arial"/>
          <w:b/>
          <w:bCs/>
          <w:color w:val="auto"/>
          <w:sz w:val="22"/>
          <w:szCs w:val="22"/>
        </w:rPr>
      </w:pPr>
      <w:r w:rsidRPr="0025369B">
        <w:rPr>
          <w:rFonts w:ascii="Arial" w:hAnsi="Arial" w:cs="Arial"/>
          <w:b/>
          <w:bCs/>
          <w:color w:val="auto"/>
          <w:sz w:val="22"/>
          <w:szCs w:val="22"/>
        </w:rPr>
        <w:t>CONCLUSIONES Y RECOMENDACIÓN DE MEDIDA.</w:t>
      </w:r>
    </w:p>
    <w:p w14:paraId="4407C702" w14:textId="77777777" w:rsidR="0025369B" w:rsidRDefault="0025369B">
      <w:pPr>
        <w:spacing w:line="240" w:lineRule="auto"/>
        <w:contextualSpacing/>
        <w:jc w:val="both"/>
      </w:pPr>
    </w:p>
    <w:p w14:paraId="796A79FE" w14:textId="77777777" w:rsidR="0025369B" w:rsidRDefault="0025369B">
      <w:pPr>
        <w:spacing w:line="240" w:lineRule="auto"/>
        <w:contextualSpacing/>
        <w:jc w:val="both"/>
      </w:pPr>
      <w:r>
        <w:t>A partir del análisis de la información remitida por la Entidad Territorial, el “</w:t>
      </w:r>
      <w:r w:rsidRPr="00BC07AE">
        <w:rPr>
          <w:i/>
          <w:iCs/>
        </w:rPr>
        <w:t>Informe de monitoreo de campo, Puerto Leguízamo - Putumayo, Vigencias 2018 y 2019 (corte junio)</w:t>
      </w:r>
      <w:r>
        <w:t xml:space="preserve">” realizado por el DNP y sus respectivos anexos, así como la información reportada a los diferentes sistemas de información por el Municipio, se puede evidenciar en el uso de los recursos de SGP - Propósito General la existencia de los Eventos </w:t>
      </w:r>
      <w:r w:rsidRPr="00947C8E">
        <w:t xml:space="preserve">de Riesgo </w:t>
      </w:r>
      <w:r w:rsidRPr="009A7E16">
        <w:t>9.1, 9.4, 9.5, 9.10 y 9.18</w:t>
      </w:r>
      <w:r>
        <w:t xml:space="preserve"> definidos en el artículo 9 del Decreto 028 de 2008, relacionados con el inadecuado uso de los recursos del Sistema General de Participaciones de Propósito General.</w:t>
      </w:r>
    </w:p>
    <w:p w14:paraId="04D6FAC4" w14:textId="77777777" w:rsidR="0025369B" w:rsidRDefault="0025369B">
      <w:pPr>
        <w:spacing w:line="240" w:lineRule="auto"/>
        <w:contextualSpacing/>
        <w:jc w:val="both"/>
      </w:pPr>
    </w:p>
    <w:p w14:paraId="465EDD7C" w14:textId="77777777" w:rsidR="0025369B" w:rsidRPr="00E565EC" w:rsidRDefault="0025369B">
      <w:pPr>
        <w:spacing w:line="240" w:lineRule="auto"/>
        <w:contextualSpacing/>
        <w:jc w:val="both"/>
      </w:pPr>
      <w:r>
        <w:t xml:space="preserve">Por lo anterior, enmarcados en las funciones contenidas en el artículo 11 del Decreto 028 de 2008 y los artículos 2.6.3.4.1 y 2.6.3.4.1.1 del Decreto 1068 de 2015, se recomienda la adopción de una Medida Preventiva de Plan de Desempeño en la Participación de Propósito General del Sistema General de Participaciones en el Municipio de Puerto Leguízamo - Putumayo. La Medida Preventiva tendrá como objetivo corregir las situaciones que ponen en riesgo el uso de los recursos, la prestación de los servicios financiados con el SGP y la calidad del gasto realizado por la Entidad. </w:t>
      </w:r>
    </w:p>
    <w:p w14:paraId="4063C54C" w14:textId="77777777" w:rsidR="0025369B" w:rsidRPr="00444818" w:rsidRDefault="0025369B" w:rsidP="001729F6">
      <w:pPr>
        <w:spacing w:line="240" w:lineRule="auto"/>
        <w:contextualSpacing/>
        <w:jc w:val="both"/>
      </w:pPr>
    </w:p>
    <w:p w14:paraId="4E94D9FD" w14:textId="77777777" w:rsidR="00947C8E" w:rsidRDefault="00947C8E" w:rsidP="00286F4A">
      <w:pPr>
        <w:pStyle w:val="Ttulo1"/>
        <w:numPr>
          <w:ilvl w:val="0"/>
          <w:numId w:val="4"/>
        </w:numPr>
        <w:spacing w:line="240" w:lineRule="auto"/>
        <w:contextualSpacing/>
        <w:rPr>
          <w:rFonts w:ascii="Arial" w:hAnsi="Arial" w:cs="Arial"/>
          <w:b/>
          <w:bCs/>
          <w:color w:val="auto"/>
          <w:sz w:val="22"/>
          <w:szCs w:val="22"/>
        </w:rPr>
      </w:pPr>
      <w:r w:rsidRPr="00947C8E">
        <w:rPr>
          <w:rFonts w:ascii="Arial" w:hAnsi="Arial" w:cs="Arial"/>
          <w:b/>
          <w:bCs/>
          <w:color w:val="auto"/>
          <w:sz w:val="22"/>
          <w:szCs w:val="22"/>
        </w:rPr>
        <w:lastRenderedPageBreak/>
        <w:t>EVENTOS DE RIESGO IDENTIFICADOS EN EL MARCO DEL DECRETO 028 DE 2008</w:t>
      </w:r>
      <w:r w:rsidR="00700B1B">
        <w:rPr>
          <w:rFonts w:ascii="Arial" w:hAnsi="Arial" w:cs="Arial"/>
          <w:b/>
          <w:bCs/>
          <w:color w:val="auto"/>
          <w:sz w:val="22"/>
          <w:szCs w:val="22"/>
        </w:rPr>
        <w:t>.</w:t>
      </w:r>
    </w:p>
    <w:p w14:paraId="3F7B8F89" w14:textId="77777777" w:rsidR="0039139C" w:rsidRPr="0039139C" w:rsidRDefault="0039139C">
      <w:pPr>
        <w:spacing w:line="240" w:lineRule="auto"/>
        <w:contextualSpacing/>
      </w:pPr>
    </w:p>
    <w:p w14:paraId="023E3F55" w14:textId="77777777" w:rsidR="0039139C" w:rsidRDefault="007E0088">
      <w:pPr>
        <w:tabs>
          <w:tab w:val="left" w:pos="2268"/>
        </w:tabs>
        <w:spacing w:line="240" w:lineRule="auto"/>
        <w:contextualSpacing/>
        <w:jc w:val="both"/>
        <w:rPr>
          <w:rFonts w:cs="Arial"/>
          <w:b/>
        </w:rPr>
      </w:pPr>
      <w:r>
        <w:rPr>
          <w:rFonts w:cs="Arial"/>
          <w:b/>
        </w:rPr>
        <w:t xml:space="preserve">Evento de Riesgo </w:t>
      </w:r>
      <w:r w:rsidR="0039139C">
        <w:rPr>
          <w:rFonts w:cs="Arial"/>
          <w:b/>
        </w:rPr>
        <w:t>9.1 “</w:t>
      </w:r>
      <w:r w:rsidR="0039139C" w:rsidRPr="000E7802">
        <w:rPr>
          <w:rFonts w:cs="Arial"/>
          <w:b/>
          <w:i/>
          <w:iCs/>
        </w:rPr>
        <w:t>No envío de información conforme a los plazos, condiciones y formatos indicados por el Gobierno Nacional, y/o haber remitido o entregado información incompleta y/o errónea</w:t>
      </w:r>
      <w:r w:rsidR="0039139C">
        <w:rPr>
          <w:rFonts w:cs="Arial"/>
          <w:b/>
        </w:rPr>
        <w:t>”.</w:t>
      </w:r>
    </w:p>
    <w:p w14:paraId="29105B13" w14:textId="77777777" w:rsidR="0039139C" w:rsidRPr="00C96ACC" w:rsidRDefault="0039139C">
      <w:pPr>
        <w:tabs>
          <w:tab w:val="left" w:pos="2268"/>
        </w:tabs>
        <w:spacing w:line="240" w:lineRule="auto"/>
        <w:contextualSpacing/>
        <w:jc w:val="both"/>
        <w:rPr>
          <w:rFonts w:cs="Arial"/>
          <w:b/>
          <w:i/>
          <w:iCs/>
        </w:rPr>
      </w:pPr>
    </w:p>
    <w:p w14:paraId="7382AE69" w14:textId="77777777" w:rsidR="0039139C" w:rsidRDefault="0039139C">
      <w:pPr>
        <w:pStyle w:val="Prrafodelista"/>
        <w:numPr>
          <w:ilvl w:val="0"/>
          <w:numId w:val="19"/>
        </w:numPr>
        <w:tabs>
          <w:tab w:val="left" w:pos="2268"/>
        </w:tabs>
        <w:spacing w:line="240" w:lineRule="auto"/>
        <w:jc w:val="both"/>
        <w:rPr>
          <w:rFonts w:cs="Arial"/>
          <w:b/>
        </w:rPr>
      </w:pPr>
      <w:r>
        <w:rPr>
          <w:rFonts w:cs="Arial"/>
          <w:b/>
        </w:rPr>
        <w:t>Incumplimiento en la calidad de la información reportada en el Formulario Único Territorial - FUT.</w:t>
      </w:r>
    </w:p>
    <w:p w14:paraId="7769E010" w14:textId="77777777" w:rsidR="00700B1B" w:rsidRDefault="00700B1B">
      <w:pPr>
        <w:pStyle w:val="paragraph"/>
        <w:spacing w:before="0" w:beforeAutospacing="0" w:after="0" w:afterAutospacing="0"/>
        <w:contextualSpacing/>
        <w:jc w:val="both"/>
        <w:textAlignment w:val="baseline"/>
        <w:rPr>
          <w:rStyle w:val="normaltextrun"/>
          <w:rFonts w:ascii="Arial" w:eastAsiaTheme="minorHAnsi" w:hAnsi="Arial" w:cs="Arial"/>
          <w:sz w:val="22"/>
          <w:szCs w:val="22"/>
          <w:lang w:val="es-ES" w:eastAsia="en-US"/>
        </w:rPr>
      </w:pPr>
    </w:p>
    <w:p w14:paraId="33C5B1A3" w14:textId="77777777" w:rsidR="00822637" w:rsidRDefault="00822637">
      <w:pPr>
        <w:pStyle w:val="paragraph"/>
        <w:spacing w:before="0" w:beforeAutospacing="0" w:after="0" w:afterAutospacing="0"/>
        <w:contextualSpacing/>
        <w:jc w:val="both"/>
        <w:textAlignment w:val="baseline"/>
        <w:rPr>
          <w:rStyle w:val="eop"/>
          <w:rFonts w:ascii="Arial" w:eastAsiaTheme="majorEastAsia" w:hAnsi="Arial" w:cs="Arial"/>
          <w:sz w:val="22"/>
          <w:szCs w:val="22"/>
          <w:lang w:val="es-MX" w:eastAsia="en-US"/>
        </w:rPr>
      </w:pPr>
      <w:r>
        <w:rPr>
          <w:rStyle w:val="normaltextrun"/>
          <w:rFonts w:ascii="Arial" w:hAnsi="Arial" w:cs="Arial"/>
          <w:sz w:val="22"/>
          <w:szCs w:val="22"/>
          <w:lang w:val="es-ES"/>
        </w:rPr>
        <w:t>El Decreto 1068 de 2015 establece la adopción del Formulario Único Territorial – FUT del Sistema Consolidado de Hacienda e Información Pública – CHIP, como mecanismo de reporte de información</w:t>
      </w:r>
      <w:r w:rsidRPr="00C96ACC">
        <w:rPr>
          <w:rStyle w:val="normaltextrun"/>
          <w:rFonts w:ascii="Arial" w:hAnsi="Arial" w:cs="Arial"/>
          <w:sz w:val="22"/>
          <w:szCs w:val="22"/>
          <w:lang w:val="es-ES"/>
        </w:rPr>
        <w:t xml:space="preserve"> </w:t>
      </w:r>
      <w:r>
        <w:rPr>
          <w:rStyle w:val="normaltextrun"/>
          <w:rFonts w:ascii="Arial" w:hAnsi="Arial" w:cs="Arial"/>
          <w:sz w:val="22"/>
          <w:szCs w:val="22"/>
          <w:lang w:val="es-ES"/>
        </w:rPr>
        <w:t>con fines de monitoreo, seguimiento, evaluación y control. De esta manera, para la captura de información presupuestal de los recursos administrados por las entidades territoriales, en su artículo 2.6.4.2 del Decreto 1068 de 2015, modificado por el artículo 1 del Decreto 1536 de 2016, se establece que “</w:t>
      </w:r>
      <w:r>
        <w:rPr>
          <w:rStyle w:val="normaltextrun"/>
          <w:rFonts w:ascii="Arial" w:hAnsi="Arial" w:cs="Arial"/>
          <w:i/>
          <w:iCs/>
          <w:sz w:val="22"/>
          <w:szCs w:val="22"/>
          <w:lang w:val="es-ES"/>
        </w:rPr>
        <w:t xml:space="preserve">El FUT será de obligatorio diligenciamiento y presentación por el sector central de los Departamentos, Distritos y Municipios </w:t>
      </w:r>
      <w:r w:rsidRPr="00F4383B">
        <w:rPr>
          <w:rStyle w:val="normaltextrun"/>
          <w:rFonts w:ascii="Arial" w:hAnsi="Arial" w:cs="Arial"/>
          <w:i/>
          <w:iCs/>
          <w:sz w:val="22"/>
          <w:szCs w:val="22"/>
          <w:lang w:val="es-ES"/>
        </w:rPr>
        <w:t>[…]</w:t>
      </w:r>
      <w:r>
        <w:rPr>
          <w:rStyle w:val="normaltextrun"/>
          <w:rFonts w:ascii="Arial" w:hAnsi="Arial" w:cs="Arial"/>
          <w:sz w:val="22"/>
          <w:szCs w:val="22"/>
          <w:lang w:val="es-ES"/>
        </w:rPr>
        <w:t>”. Lo anterior, por parte de los alcaldes sobre quienes reposa esta responsabilidad según el artículo 2.6.4.4.</w:t>
      </w:r>
      <w:r w:rsidR="008142FE">
        <w:rPr>
          <w:rStyle w:val="normaltextrun"/>
          <w:rFonts w:ascii="Arial" w:hAnsi="Arial" w:cs="Arial"/>
          <w:sz w:val="22"/>
          <w:szCs w:val="22"/>
          <w:lang w:val="es-ES"/>
        </w:rPr>
        <w:t xml:space="preserve"> Cabe resaltar que a </w:t>
      </w:r>
      <w:r w:rsidR="008142FE" w:rsidRPr="008142FE">
        <w:rPr>
          <w:rStyle w:val="normaltextrun"/>
          <w:rFonts w:ascii="Arial" w:hAnsi="Arial" w:cs="Arial"/>
          <w:sz w:val="22"/>
          <w:szCs w:val="22"/>
          <w:lang w:val="es-ES"/>
        </w:rPr>
        <w:t>pesar de los cambios normativos que se han desarrollado en el CHIP</w:t>
      </w:r>
      <w:r w:rsidR="008142FE">
        <w:rPr>
          <w:rStyle w:val="normaltextrun"/>
          <w:rFonts w:ascii="Arial" w:hAnsi="Arial" w:cs="Arial"/>
          <w:sz w:val="22"/>
          <w:szCs w:val="22"/>
          <w:lang w:val="es-ES"/>
        </w:rPr>
        <w:t xml:space="preserve"> frente a los </w:t>
      </w:r>
      <w:r w:rsidR="00FA2642">
        <w:rPr>
          <w:rStyle w:val="normaltextrun"/>
          <w:rFonts w:ascii="Arial" w:hAnsi="Arial" w:cs="Arial"/>
          <w:sz w:val="22"/>
          <w:szCs w:val="22"/>
          <w:lang w:val="es-ES"/>
        </w:rPr>
        <w:t>formularios</w:t>
      </w:r>
      <w:r w:rsidR="008142FE">
        <w:rPr>
          <w:rStyle w:val="normaltextrun"/>
          <w:rFonts w:ascii="Arial" w:hAnsi="Arial" w:cs="Arial"/>
          <w:sz w:val="22"/>
          <w:szCs w:val="22"/>
          <w:lang w:val="es-ES"/>
        </w:rPr>
        <w:t xml:space="preserve"> y el Catálogo de Clasificación Presupuestal</w:t>
      </w:r>
      <w:r w:rsidR="008142FE" w:rsidRPr="008142FE">
        <w:rPr>
          <w:rStyle w:val="normaltextrun"/>
          <w:rFonts w:ascii="Arial" w:hAnsi="Arial" w:cs="Arial"/>
          <w:sz w:val="22"/>
          <w:szCs w:val="22"/>
          <w:lang w:val="es-ES"/>
        </w:rPr>
        <w:t>, la información que aquí se tiene en cuenta</w:t>
      </w:r>
      <w:r w:rsidR="008142FE">
        <w:rPr>
          <w:rStyle w:val="normaltextrun"/>
          <w:rFonts w:ascii="Arial" w:hAnsi="Arial" w:cs="Arial"/>
          <w:sz w:val="22"/>
          <w:szCs w:val="22"/>
          <w:lang w:val="es-ES"/>
        </w:rPr>
        <w:t xml:space="preserve"> y la normatividad relacionada </w:t>
      </w:r>
      <w:r w:rsidR="008142FE" w:rsidRPr="008142FE">
        <w:rPr>
          <w:rStyle w:val="normaltextrun"/>
          <w:rFonts w:ascii="Arial" w:hAnsi="Arial" w:cs="Arial"/>
          <w:sz w:val="22"/>
          <w:szCs w:val="22"/>
          <w:lang w:val="es-ES"/>
        </w:rPr>
        <w:t>era de obligatorio cumplimiento</w:t>
      </w:r>
      <w:r w:rsidR="008142FE">
        <w:rPr>
          <w:rStyle w:val="normaltextrun"/>
          <w:rFonts w:ascii="Arial" w:hAnsi="Arial" w:cs="Arial"/>
          <w:sz w:val="22"/>
          <w:szCs w:val="22"/>
          <w:lang w:val="es-ES"/>
        </w:rPr>
        <w:t xml:space="preserve"> para las vigencias analizadas</w:t>
      </w:r>
      <w:r w:rsidR="008142FE" w:rsidRPr="008142FE">
        <w:rPr>
          <w:rStyle w:val="normaltextrun"/>
          <w:rFonts w:ascii="Arial" w:hAnsi="Arial" w:cs="Arial"/>
          <w:sz w:val="22"/>
          <w:szCs w:val="22"/>
          <w:lang w:val="es-ES"/>
        </w:rPr>
        <w:t>.</w:t>
      </w:r>
    </w:p>
    <w:p w14:paraId="423C7C60" w14:textId="77777777" w:rsidR="00822637" w:rsidRDefault="00822637">
      <w:pPr>
        <w:pStyle w:val="paragraph"/>
        <w:spacing w:before="0" w:beforeAutospacing="0" w:after="0" w:afterAutospacing="0"/>
        <w:contextualSpacing/>
        <w:jc w:val="both"/>
        <w:textAlignment w:val="baseline"/>
        <w:rPr>
          <w:rStyle w:val="eop"/>
          <w:rFonts w:ascii="Arial" w:eastAsiaTheme="majorEastAsia" w:hAnsi="Arial" w:cs="Arial"/>
          <w:sz w:val="22"/>
          <w:szCs w:val="22"/>
        </w:rPr>
      </w:pPr>
    </w:p>
    <w:p w14:paraId="257C57A0" w14:textId="77777777" w:rsidR="00822637" w:rsidRDefault="00822637">
      <w:pPr>
        <w:pStyle w:val="paragraph"/>
        <w:spacing w:before="0" w:beforeAutospacing="0" w:after="0" w:afterAutospacing="0"/>
        <w:contextualSpacing/>
        <w:jc w:val="both"/>
        <w:textAlignment w:val="baseline"/>
        <w:rPr>
          <w:rStyle w:val="normaltextrun"/>
          <w:rFonts w:ascii="Arial" w:hAnsi="Arial" w:cs="Arial"/>
          <w:sz w:val="22"/>
          <w:szCs w:val="22"/>
          <w:lang w:val="es-ES"/>
        </w:rPr>
      </w:pPr>
      <w:r w:rsidRPr="00822637">
        <w:rPr>
          <w:rStyle w:val="normaltextrun"/>
          <w:rFonts w:ascii="Arial" w:hAnsi="Arial" w:cs="Arial"/>
          <w:sz w:val="22"/>
          <w:szCs w:val="22"/>
          <w:lang w:val="es-ES"/>
        </w:rPr>
        <w:t>El Formulario Único Territorial del Sistema Consolidador de Hacienda e Información Pública – FUT, en su estructura contempla las Categorías de: Ingresos; Gastos de Funcionamiento; Gastos de Inversión; y Cierre Fiscal para el reporte periódico de la información presupuestal. Por lo tanto, para cada categoría las entidades territoriales deben realizar su respectivo reporte, de acuerdo con el contenido de cada formulario.</w:t>
      </w:r>
    </w:p>
    <w:p w14:paraId="2E3A6C6B" w14:textId="77777777" w:rsidR="00475806" w:rsidRDefault="00475806">
      <w:pPr>
        <w:pStyle w:val="paragraph"/>
        <w:spacing w:before="0" w:beforeAutospacing="0" w:after="0" w:afterAutospacing="0"/>
        <w:contextualSpacing/>
        <w:jc w:val="both"/>
        <w:textAlignment w:val="baseline"/>
        <w:rPr>
          <w:rStyle w:val="normaltextrun"/>
          <w:rFonts w:ascii="Arial" w:hAnsi="Arial" w:cs="Arial"/>
          <w:sz w:val="22"/>
          <w:szCs w:val="22"/>
          <w:lang w:val="es-ES"/>
        </w:rPr>
      </w:pPr>
    </w:p>
    <w:p w14:paraId="125E0FCD" w14:textId="77777777" w:rsidR="002C4BC9" w:rsidRDefault="00987313">
      <w:pPr>
        <w:spacing w:line="240" w:lineRule="auto"/>
        <w:contextualSpacing/>
        <w:jc w:val="both"/>
      </w:pPr>
      <w:r w:rsidRPr="00987313">
        <w:rPr>
          <w:rStyle w:val="normaltextrun"/>
          <w:rFonts w:cs="Arial"/>
          <w:lang w:val="es-ES"/>
        </w:rPr>
        <w:t xml:space="preserve">Al consultar el reporte en el FUT realizado por el </w:t>
      </w:r>
      <w:r w:rsidR="0067489C">
        <w:rPr>
          <w:rStyle w:val="normaltextrun"/>
          <w:rFonts w:cs="Arial"/>
          <w:lang w:val="es-ES"/>
        </w:rPr>
        <w:t>M</w:t>
      </w:r>
      <w:r>
        <w:rPr>
          <w:rStyle w:val="normaltextrun"/>
          <w:rFonts w:cs="Arial"/>
          <w:lang w:val="es-ES"/>
        </w:rPr>
        <w:t>unicipio de Puerto Leguízamo - Putumayo</w:t>
      </w:r>
      <w:r w:rsidRPr="00987313">
        <w:rPr>
          <w:rStyle w:val="normaltextrun"/>
          <w:rFonts w:cs="Arial"/>
          <w:lang w:val="es-ES"/>
        </w:rPr>
        <w:t xml:space="preserve"> en la Categoría de Ingresos</w:t>
      </w:r>
      <w:r>
        <w:rPr>
          <w:rStyle w:val="normaltextrun"/>
          <w:rFonts w:cs="Arial"/>
          <w:lang w:val="es-ES"/>
        </w:rPr>
        <w:t xml:space="preserve">, </w:t>
      </w:r>
      <w:r>
        <w:t xml:space="preserve">en la vigencia 2018 presentó significativas diferencias entre los saldos de ingresos contenidos en las ejecuciones presupuestales y lo reportado en el Formulario Único Territorial. Las inconsistencias se evidencian al </w:t>
      </w:r>
      <w:r w:rsidRPr="00692F8A">
        <w:t xml:space="preserve">revisar el reporte de la </w:t>
      </w:r>
      <w:r w:rsidR="0067489C">
        <w:t>C</w:t>
      </w:r>
      <w:r w:rsidRPr="00692F8A">
        <w:t xml:space="preserve">ategoría de </w:t>
      </w:r>
      <w:r w:rsidR="0067489C">
        <w:t>I</w:t>
      </w:r>
      <w:r w:rsidRPr="00692F8A">
        <w:t xml:space="preserve">ngresos para </w:t>
      </w:r>
      <w:r>
        <w:t>la vigencia 2018</w:t>
      </w:r>
      <w:r w:rsidR="00210D64">
        <w:t>,</w:t>
      </w:r>
      <w:r>
        <w:t xml:space="preserve"> en donde </w:t>
      </w:r>
      <w:r w:rsidRPr="00692F8A">
        <w:t xml:space="preserve">se confirmó que la </w:t>
      </w:r>
      <w:r w:rsidR="0067489C">
        <w:t>E</w:t>
      </w:r>
      <w:r w:rsidRPr="00692F8A">
        <w:t xml:space="preserve">ntidad </w:t>
      </w:r>
      <w:r w:rsidR="0067489C">
        <w:t>T</w:t>
      </w:r>
      <w:r w:rsidRPr="00692F8A">
        <w:t>erritorial reportó únicamente saldos relacionados con SGP Propósito General para Libre Destinación de manera discriminada</w:t>
      </w:r>
      <w:r>
        <w:t>.</w:t>
      </w:r>
      <w:r w:rsidRPr="00692F8A">
        <w:t xml:space="preserve"> En cuanto a los recursos para Libre Inversión, Deporte y Cultura, estos se presentaron de manera agregada en una única cuenta</w:t>
      </w:r>
      <w:r w:rsidR="0067489C">
        <w:t>, la</w:t>
      </w:r>
      <w:r w:rsidRPr="00692F8A">
        <w:t xml:space="preserve"> </w:t>
      </w:r>
      <w:r w:rsidR="0067489C">
        <w:t>“</w:t>
      </w:r>
      <w:r w:rsidRPr="000361F5">
        <w:rPr>
          <w:i/>
          <w:iCs/>
        </w:rPr>
        <w:t>TI.A.2.6.2 Transferencias para inversión-Del Nivel Nacional-Sistema General de Participaciones</w:t>
      </w:r>
      <w:r w:rsidR="0067489C">
        <w:t>”</w:t>
      </w:r>
      <w:r w:rsidRPr="00692F8A">
        <w:t>.</w:t>
      </w:r>
    </w:p>
    <w:p w14:paraId="3D90F786" w14:textId="77777777" w:rsidR="002C4BC9" w:rsidRDefault="002C4BC9">
      <w:pPr>
        <w:spacing w:line="240" w:lineRule="auto"/>
        <w:contextualSpacing/>
        <w:jc w:val="both"/>
      </w:pPr>
    </w:p>
    <w:p w14:paraId="7D74B787" w14:textId="77777777" w:rsidR="007C2DAB" w:rsidRDefault="002C4BC9">
      <w:pPr>
        <w:spacing w:line="240" w:lineRule="auto"/>
        <w:contextualSpacing/>
        <w:jc w:val="both"/>
      </w:pPr>
      <w:r>
        <w:t>Por su parte, e</w:t>
      </w:r>
      <w:r w:rsidR="00987313">
        <w:t xml:space="preserve">n las vigencias 2019 y 2020 se presentan diferencias entre las cifras de las ejecuciones presupuestales y las cifras del reporte en el FUT, en los valores de los ingresos corrientes para todas las destinaciones del SGP Propósito General. </w:t>
      </w:r>
      <w:r w:rsidR="007C2DAB">
        <w:t>Específicamente,</w:t>
      </w:r>
      <w:r w:rsidR="005817D9">
        <w:t xml:space="preserve"> en la vigencia 2019</w:t>
      </w:r>
      <w:r w:rsidR="007C2DAB">
        <w:t xml:space="preserve"> para el caso de Libre Destinación</w:t>
      </w:r>
      <w:r>
        <w:t>,</w:t>
      </w:r>
      <w:r w:rsidR="007C2DAB">
        <w:t xml:space="preserve"> la diferencia es de $</w:t>
      </w:r>
      <w:r w:rsidR="007C2DAB" w:rsidRPr="009625DA">
        <w:t>88.659.240</w:t>
      </w:r>
      <w:r w:rsidR="007C2DAB">
        <w:t xml:space="preserve"> en el presupuesto definitivo y en el recaudo. En Libre </w:t>
      </w:r>
      <w:r w:rsidR="0067489C">
        <w:t>I</w:t>
      </w:r>
      <w:r w:rsidR="007C2DAB">
        <w:t>nversión, la diferencia entre la ejecución presupuestal y el reporte es de $</w:t>
      </w:r>
      <w:r w:rsidR="007C2DAB" w:rsidRPr="009625DA">
        <w:t>116.633.345</w:t>
      </w:r>
      <w:r w:rsidR="007C2DAB">
        <w:t xml:space="preserve"> en el presupuesto y en el recaudo. En Deporte y Recreación la diferencia asciende a $</w:t>
      </w:r>
      <w:r w:rsidR="007C2DAB" w:rsidRPr="007C2F39">
        <w:t>4.634.040</w:t>
      </w:r>
      <w:r w:rsidR="007C2DAB">
        <w:t>, y en Cultura $</w:t>
      </w:r>
      <w:r w:rsidR="007C2DAB" w:rsidRPr="009B7DE8">
        <w:t>3.475.530</w:t>
      </w:r>
      <w:r w:rsidR="007C2DAB">
        <w:t xml:space="preserve"> para el presupuesto y el recaudo.</w:t>
      </w:r>
    </w:p>
    <w:p w14:paraId="01B1ACCF" w14:textId="77777777" w:rsidR="007C2DAB" w:rsidRDefault="007C2DAB">
      <w:pPr>
        <w:spacing w:line="240" w:lineRule="auto"/>
        <w:contextualSpacing/>
        <w:jc w:val="both"/>
      </w:pPr>
    </w:p>
    <w:p w14:paraId="183F30EE" w14:textId="77777777" w:rsidR="00987313" w:rsidRDefault="005817D9">
      <w:pPr>
        <w:spacing w:line="240" w:lineRule="auto"/>
        <w:contextualSpacing/>
        <w:jc w:val="both"/>
        <w:rPr>
          <w:rFonts w:eastAsia="Times New Roman" w:cs="Arial"/>
          <w:lang w:val="es-CO" w:eastAsia="es-CO"/>
        </w:rPr>
      </w:pPr>
      <w:r>
        <w:lastRenderedPageBreak/>
        <w:t xml:space="preserve">Para el caso de 2020 la </w:t>
      </w:r>
      <w:r w:rsidR="0067489C">
        <w:t>E</w:t>
      </w:r>
      <w:r>
        <w:t xml:space="preserve">ntidad </w:t>
      </w:r>
      <w:r w:rsidR="0067489C">
        <w:t>T</w:t>
      </w:r>
      <w:r>
        <w:t xml:space="preserve">erritorial presenta inconsistencias en el reporte de información de los ingresos corrientes y en el recaudo de los recursos de capital, esto último debido a que en la ejecución presupuestal no incluyó los saldos de superávit fiscal de vigencias </w:t>
      </w:r>
      <w:r w:rsidRPr="00671E68">
        <w:t>anteriores (</w:t>
      </w:r>
      <w:r>
        <w:t>$</w:t>
      </w:r>
      <w:r w:rsidRPr="00085BDB">
        <w:rPr>
          <w:rFonts w:eastAsia="Times New Roman" w:cs="Arial"/>
          <w:color w:val="000000"/>
          <w:lang w:val="es-CO" w:eastAsia="es-CO"/>
        </w:rPr>
        <w:t>154.493.355</w:t>
      </w:r>
      <w:r w:rsidRPr="00671E68">
        <w:rPr>
          <w:rFonts w:eastAsia="Times New Roman" w:cs="Arial"/>
          <w:color w:val="000000"/>
          <w:lang w:val="es-CO" w:eastAsia="es-CO"/>
        </w:rPr>
        <w:t>)</w:t>
      </w:r>
      <w:r w:rsidRPr="00671E68">
        <w:t>,</w:t>
      </w:r>
      <w:r>
        <w:t xml:space="preserve"> pero sí lo reportó en el FUT. Particularmente, en el caso de Libre Destinación, las diferencias de reporte en el presupuesto definitivo y en el recaudo son de $</w:t>
      </w:r>
      <w:r w:rsidRPr="00DB6CE8">
        <w:t>83.215.823</w:t>
      </w:r>
      <w:r>
        <w:t>; en Libre Inversión se presenta la mayor diferencia con $</w:t>
      </w:r>
      <w:r w:rsidRPr="00DB6CE8">
        <w:t>109.323.111</w:t>
      </w:r>
      <w:r>
        <w:t xml:space="preserve"> menos en el reporte</w:t>
      </w:r>
      <w:r w:rsidR="002C4BC9">
        <w:t>,</w:t>
      </w:r>
      <w:r>
        <w:t xml:space="preserve"> frente a las ejecuciones presupuestales. En el caso de Deporte y Recreación y Cultura, las diferencias ascienden $</w:t>
      </w:r>
      <w:r w:rsidRPr="00F11EC9">
        <w:t>3.196.558</w:t>
      </w:r>
      <w:r>
        <w:t xml:space="preserve"> y $</w:t>
      </w:r>
      <w:r w:rsidRPr="00F11EC9">
        <w:t>2.397.419</w:t>
      </w:r>
      <w:r>
        <w:t xml:space="preserve"> respectivamente.</w:t>
      </w:r>
    </w:p>
    <w:p w14:paraId="4B44E8FD" w14:textId="77777777" w:rsidR="005817D9" w:rsidRPr="00467C60" w:rsidRDefault="005817D9">
      <w:pPr>
        <w:spacing w:line="240" w:lineRule="auto"/>
        <w:contextualSpacing/>
        <w:jc w:val="both"/>
        <w:rPr>
          <w:b/>
          <w:bCs/>
          <w:lang w:val="es-CO"/>
        </w:rPr>
      </w:pPr>
    </w:p>
    <w:p w14:paraId="2DAB0A2D" w14:textId="77777777" w:rsidR="00687E15" w:rsidRDefault="00687E15">
      <w:pPr>
        <w:spacing w:line="240" w:lineRule="auto"/>
        <w:contextualSpacing/>
        <w:jc w:val="both"/>
        <w:rPr>
          <w:rStyle w:val="normaltextrun"/>
          <w:rFonts w:cs="Arial"/>
          <w:color w:val="000000"/>
          <w:lang w:val="es-ES"/>
        </w:rPr>
      </w:pPr>
      <w:r>
        <w:rPr>
          <w:rStyle w:val="normaltextrun"/>
          <w:rFonts w:cs="Arial"/>
          <w:color w:val="000000"/>
          <w:lang w:val="es-ES"/>
        </w:rPr>
        <w:t>En la Categoría de Gastos s</w:t>
      </w:r>
      <w:r w:rsidRPr="00E10EF4">
        <w:rPr>
          <w:rStyle w:val="normaltextrun"/>
          <w:rFonts w:cs="Arial"/>
          <w:color w:val="000000"/>
          <w:lang w:val="es-ES"/>
        </w:rPr>
        <w:t xml:space="preserve">e evidencia que existen diferencias, las cuales se resaltan en detalle en el </w:t>
      </w:r>
      <w:r>
        <w:rPr>
          <w:rStyle w:val="normaltextrun"/>
          <w:rFonts w:cs="Arial"/>
          <w:color w:val="000000"/>
          <w:lang w:val="es-ES"/>
        </w:rPr>
        <w:t>cuadro</w:t>
      </w:r>
      <w:r w:rsidRPr="00E10EF4">
        <w:rPr>
          <w:rStyle w:val="normaltextrun"/>
          <w:rFonts w:cs="Arial"/>
          <w:color w:val="000000"/>
          <w:lang w:val="es-ES"/>
        </w:rPr>
        <w:t>, en todas las vigencias entre los saldos presupuestados, comprometidos, obligados y pagados que se reportan y los que se registraron en las ejecuciones presupuestales remitidas a esta Dirección. Las diferencias se presentan porque se reportan saldos mayores o menores en Libre Destinación, Libre Inversión, Deporte y Recreación y Cultura.</w:t>
      </w:r>
    </w:p>
    <w:p w14:paraId="15B23924" w14:textId="77777777" w:rsidR="00282ADE" w:rsidRPr="00665F83" w:rsidRDefault="00282ADE">
      <w:pPr>
        <w:spacing w:line="240" w:lineRule="auto"/>
        <w:contextualSpacing/>
        <w:jc w:val="both"/>
        <w:rPr>
          <w:rStyle w:val="normaltextrun"/>
          <w:rFonts w:cs="Arial"/>
          <w:color w:val="000000"/>
          <w:lang w:val="es-ES"/>
        </w:rPr>
      </w:pPr>
    </w:p>
    <w:p w14:paraId="7146D6EB" w14:textId="77777777" w:rsidR="00687E15" w:rsidRPr="00FB27C3" w:rsidRDefault="00687E15">
      <w:pPr>
        <w:spacing w:after="0" w:line="240" w:lineRule="auto"/>
        <w:contextualSpacing/>
        <w:jc w:val="center"/>
        <w:rPr>
          <w:b/>
          <w:bCs/>
          <w:sz w:val="20"/>
          <w:szCs w:val="20"/>
        </w:rPr>
      </w:pPr>
      <w:r w:rsidRPr="00FB27C3">
        <w:rPr>
          <w:b/>
          <w:bCs/>
          <w:sz w:val="20"/>
          <w:szCs w:val="20"/>
        </w:rPr>
        <w:t>Cuadro No. 1</w:t>
      </w:r>
    </w:p>
    <w:p w14:paraId="45AFE218" w14:textId="77777777" w:rsidR="00687E15" w:rsidRPr="00FB27C3" w:rsidRDefault="00687E15">
      <w:pPr>
        <w:spacing w:after="0" w:line="240" w:lineRule="auto"/>
        <w:contextualSpacing/>
        <w:jc w:val="center"/>
        <w:rPr>
          <w:sz w:val="20"/>
          <w:szCs w:val="20"/>
        </w:rPr>
      </w:pPr>
      <w:r w:rsidRPr="00FB27C3">
        <w:rPr>
          <w:sz w:val="20"/>
          <w:szCs w:val="20"/>
        </w:rPr>
        <w:t xml:space="preserve">Reporte FUT de Gastos </w:t>
      </w:r>
    </w:p>
    <w:p w14:paraId="07817BC7" w14:textId="77777777" w:rsidR="00687E15" w:rsidRPr="00FB27C3" w:rsidRDefault="00687E15">
      <w:pPr>
        <w:spacing w:after="0" w:line="240" w:lineRule="auto"/>
        <w:contextualSpacing/>
        <w:jc w:val="center"/>
        <w:rPr>
          <w:b/>
          <w:bCs/>
          <w:sz w:val="24"/>
          <w:szCs w:val="24"/>
        </w:rPr>
      </w:pPr>
      <w:r w:rsidRPr="00FB27C3">
        <w:rPr>
          <w:sz w:val="20"/>
          <w:szCs w:val="20"/>
        </w:rPr>
        <w:t xml:space="preserve">Municipio de Puerto Leguízamo – Putumayo </w:t>
      </w:r>
    </w:p>
    <w:tbl>
      <w:tblPr>
        <w:tblW w:w="10918" w:type="dxa"/>
        <w:jc w:val="center"/>
        <w:tblCellMar>
          <w:left w:w="70" w:type="dxa"/>
          <w:right w:w="70" w:type="dxa"/>
        </w:tblCellMar>
        <w:tblLook w:val="04A0" w:firstRow="1" w:lastRow="0" w:firstColumn="1" w:lastColumn="0" w:noHBand="0" w:noVBand="1"/>
      </w:tblPr>
      <w:tblGrid>
        <w:gridCol w:w="912"/>
        <w:gridCol w:w="875"/>
        <w:gridCol w:w="875"/>
        <w:gridCol w:w="875"/>
        <w:gridCol w:w="875"/>
        <w:gridCol w:w="875"/>
        <w:gridCol w:w="875"/>
        <w:gridCol w:w="779"/>
        <w:gridCol w:w="779"/>
        <w:gridCol w:w="779"/>
        <w:gridCol w:w="779"/>
        <w:gridCol w:w="715"/>
        <w:gridCol w:w="779"/>
        <w:gridCol w:w="201"/>
      </w:tblGrid>
      <w:tr w:rsidR="00687E15" w:rsidRPr="00C44B45" w14:paraId="0B65D4A5" w14:textId="77777777" w:rsidTr="00FB27C3">
        <w:trPr>
          <w:gridAfter w:val="1"/>
          <w:wAfter w:w="146" w:type="dxa"/>
          <w:trHeight w:val="120"/>
          <w:tblHeader/>
          <w:jc w:val="center"/>
        </w:trPr>
        <w:tc>
          <w:tcPr>
            <w:tcW w:w="10772" w:type="dxa"/>
            <w:gridSpan w:val="13"/>
            <w:tcBorders>
              <w:top w:val="single" w:sz="4" w:space="0" w:color="auto"/>
              <w:left w:val="single" w:sz="4" w:space="0" w:color="auto"/>
              <w:bottom w:val="single" w:sz="4" w:space="0" w:color="auto"/>
              <w:right w:val="single" w:sz="4" w:space="0" w:color="000000"/>
            </w:tcBorders>
            <w:shd w:val="clear" w:color="000000" w:fill="666699"/>
            <w:noWrap/>
            <w:vAlign w:val="center"/>
            <w:hideMark/>
          </w:tcPr>
          <w:p w14:paraId="0D763898"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 xml:space="preserve">Sector Propósito General </w:t>
            </w:r>
            <w:r w:rsidRPr="00C44B45">
              <w:rPr>
                <w:rFonts w:ascii="Arial Narrow" w:eastAsia="Times New Roman" w:hAnsi="Arial Narrow" w:cs="Calibri"/>
                <w:b/>
                <w:bCs/>
                <w:i/>
                <w:iCs/>
                <w:color w:val="FFFFFF"/>
                <w:sz w:val="14"/>
                <w:szCs w:val="14"/>
                <w:lang w:val="es-CO" w:eastAsia="es-CO"/>
              </w:rPr>
              <w:t>(cifras en pesos)</w:t>
            </w:r>
          </w:p>
        </w:tc>
      </w:tr>
      <w:tr w:rsidR="00687E15" w:rsidRPr="00C46123" w14:paraId="528D9F97" w14:textId="77777777" w:rsidTr="00FB27C3">
        <w:trPr>
          <w:gridAfter w:val="1"/>
          <w:wAfter w:w="146" w:type="dxa"/>
          <w:trHeight w:val="433"/>
          <w:tblHeader/>
          <w:jc w:val="center"/>
        </w:trPr>
        <w:tc>
          <w:tcPr>
            <w:tcW w:w="912" w:type="dxa"/>
            <w:vMerge w:val="restart"/>
            <w:tcBorders>
              <w:top w:val="nil"/>
              <w:left w:val="single" w:sz="4" w:space="0" w:color="auto"/>
              <w:bottom w:val="single" w:sz="4" w:space="0" w:color="auto"/>
              <w:right w:val="single" w:sz="4" w:space="0" w:color="auto"/>
            </w:tcBorders>
            <w:shd w:val="clear" w:color="000000" w:fill="666699"/>
            <w:vAlign w:val="center"/>
            <w:hideMark/>
          </w:tcPr>
          <w:p w14:paraId="5C9B84F9" w14:textId="77777777" w:rsidR="00687E15" w:rsidRPr="00C44B45" w:rsidRDefault="00687E1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Gastos Totales</w:t>
            </w:r>
          </w:p>
        </w:tc>
        <w:tc>
          <w:tcPr>
            <w:tcW w:w="2625"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554925CA"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1.1. Libre Destinación</w:t>
            </w:r>
          </w:p>
        </w:tc>
        <w:tc>
          <w:tcPr>
            <w:tcW w:w="2625"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723B8E59"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1.2 Libre inversión</w:t>
            </w:r>
          </w:p>
        </w:tc>
        <w:tc>
          <w:tcPr>
            <w:tcW w:w="2337"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71D0CF9C"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1.3. Deporte y Recreación</w:t>
            </w:r>
          </w:p>
        </w:tc>
        <w:tc>
          <w:tcPr>
            <w:tcW w:w="2273"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72B9876F"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1.4. Cultura</w:t>
            </w:r>
          </w:p>
        </w:tc>
      </w:tr>
      <w:tr w:rsidR="00687E15" w:rsidRPr="00C46123" w14:paraId="2C4D2EF0" w14:textId="77777777" w:rsidTr="00FB27C3">
        <w:trPr>
          <w:trHeight w:val="342"/>
          <w:tblHeader/>
          <w:jc w:val="center"/>
        </w:trPr>
        <w:tc>
          <w:tcPr>
            <w:tcW w:w="912" w:type="dxa"/>
            <w:vMerge/>
            <w:tcBorders>
              <w:top w:val="nil"/>
              <w:left w:val="single" w:sz="4" w:space="0" w:color="auto"/>
              <w:bottom w:val="single" w:sz="4" w:space="0" w:color="auto"/>
              <w:right w:val="single" w:sz="4" w:space="0" w:color="auto"/>
            </w:tcBorders>
            <w:vAlign w:val="center"/>
            <w:hideMark/>
          </w:tcPr>
          <w:p w14:paraId="1E303DD9" w14:textId="77777777" w:rsidR="00687E15" w:rsidRPr="00C44B45" w:rsidRDefault="00687E15">
            <w:pPr>
              <w:spacing w:after="0" w:line="240" w:lineRule="auto"/>
              <w:contextualSpacing/>
              <w:rPr>
                <w:rFonts w:ascii="Arial Narrow" w:eastAsia="Times New Roman" w:hAnsi="Arial Narrow" w:cs="Calibri"/>
                <w:b/>
                <w:bCs/>
                <w:color w:val="FFFFFF"/>
                <w:sz w:val="14"/>
                <w:szCs w:val="14"/>
                <w:lang w:val="es-CO" w:eastAsia="es-CO"/>
              </w:rPr>
            </w:pPr>
          </w:p>
        </w:tc>
        <w:tc>
          <w:tcPr>
            <w:tcW w:w="2625" w:type="dxa"/>
            <w:gridSpan w:val="3"/>
            <w:vMerge/>
            <w:tcBorders>
              <w:top w:val="single" w:sz="4" w:space="0" w:color="auto"/>
              <w:left w:val="single" w:sz="4" w:space="0" w:color="auto"/>
              <w:bottom w:val="single" w:sz="4" w:space="0" w:color="auto"/>
              <w:right w:val="single" w:sz="4" w:space="0" w:color="auto"/>
            </w:tcBorders>
            <w:vAlign w:val="center"/>
            <w:hideMark/>
          </w:tcPr>
          <w:p w14:paraId="3BC16714" w14:textId="77777777" w:rsidR="00687E15" w:rsidRPr="00C44B45" w:rsidRDefault="00687E15">
            <w:pPr>
              <w:spacing w:after="0" w:line="240" w:lineRule="auto"/>
              <w:contextualSpacing/>
              <w:rPr>
                <w:rFonts w:ascii="Arial Narrow" w:eastAsia="Times New Roman" w:hAnsi="Arial Narrow" w:cs="Calibri"/>
                <w:b/>
                <w:bCs/>
                <w:color w:val="FFFFFF"/>
                <w:sz w:val="14"/>
                <w:szCs w:val="14"/>
                <w:lang w:val="es-CO" w:eastAsia="es-CO"/>
              </w:rPr>
            </w:pPr>
          </w:p>
        </w:tc>
        <w:tc>
          <w:tcPr>
            <w:tcW w:w="2625" w:type="dxa"/>
            <w:gridSpan w:val="3"/>
            <w:vMerge/>
            <w:tcBorders>
              <w:top w:val="single" w:sz="4" w:space="0" w:color="auto"/>
              <w:left w:val="single" w:sz="4" w:space="0" w:color="auto"/>
              <w:bottom w:val="single" w:sz="4" w:space="0" w:color="auto"/>
              <w:right w:val="single" w:sz="4" w:space="0" w:color="auto"/>
            </w:tcBorders>
            <w:vAlign w:val="center"/>
            <w:hideMark/>
          </w:tcPr>
          <w:p w14:paraId="059C3B6B" w14:textId="77777777" w:rsidR="00687E15" w:rsidRPr="00C44B45" w:rsidRDefault="00687E15">
            <w:pPr>
              <w:spacing w:after="0" w:line="240" w:lineRule="auto"/>
              <w:contextualSpacing/>
              <w:rPr>
                <w:rFonts w:ascii="Arial Narrow" w:eastAsia="Times New Roman" w:hAnsi="Arial Narrow" w:cs="Calibri"/>
                <w:b/>
                <w:bCs/>
                <w:color w:val="FFFFFF"/>
                <w:sz w:val="14"/>
                <w:szCs w:val="14"/>
                <w:lang w:val="es-CO" w:eastAsia="es-CO"/>
              </w:rPr>
            </w:pPr>
          </w:p>
        </w:tc>
        <w:tc>
          <w:tcPr>
            <w:tcW w:w="2337" w:type="dxa"/>
            <w:gridSpan w:val="3"/>
            <w:vMerge/>
            <w:tcBorders>
              <w:top w:val="single" w:sz="4" w:space="0" w:color="auto"/>
              <w:left w:val="single" w:sz="4" w:space="0" w:color="auto"/>
              <w:bottom w:val="single" w:sz="4" w:space="0" w:color="auto"/>
              <w:right w:val="single" w:sz="4" w:space="0" w:color="auto"/>
            </w:tcBorders>
            <w:vAlign w:val="center"/>
            <w:hideMark/>
          </w:tcPr>
          <w:p w14:paraId="55A0207B" w14:textId="77777777" w:rsidR="00687E15" w:rsidRPr="00C44B45" w:rsidRDefault="00687E15">
            <w:pPr>
              <w:spacing w:after="0" w:line="240" w:lineRule="auto"/>
              <w:contextualSpacing/>
              <w:rPr>
                <w:rFonts w:ascii="Arial Narrow" w:eastAsia="Times New Roman" w:hAnsi="Arial Narrow" w:cs="Calibri"/>
                <w:b/>
                <w:bCs/>
                <w:color w:val="FFFFFF"/>
                <w:sz w:val="14"/>
                <w:szCs w:val="14"/>
                <w:lang w:val="es-CO" w:eastAsia="es-CO"/>
              </w:rPr>
            </w:pPr>
          </w:p>
        </w:tc>
        <w:tc>
          <w:tcPr>
            <w:tcW w:w="2273" w:type="dxa"/>
            <w:gridSpan w:val="3"/>
            <w:vMerge/>
            <w:tcBorders>
              <w:top w:val="single" w:sz="4" w:space="0" w:color="auto"/>
              <w:left w:val="single" w:sz="4" w:space="0" w:color="auto"/>
              <w:bottom w:val="single" w:sz="4" w:space="0" w:color="auto"/>
              <w:right w:val="single" w:sz="4" w:space="0" w:color="auto"/>
            </w:tcBorders>
            <w:vAlign w:val="center"/>
            <w:hideMark/>
          </w:tcPr>
          <w:p w14:paraId="7B0AF9C1" w14:textId="77777777" w:rsidR="00687E15" w:rsidRPr="00C44B45" w:rsidRDefault="00687E15">
            <w:pPr>
              <w:spacing w:after="0" w:line="240" w:lineRule="auto"/>
              <w:contextualSpacing/>
              <w:rPr>
                <w:rFonts w:ascii="Arial Narrow" w:eastAsia="Times New Roman" w:hAnsi="Arial Narrow" w:cs="Calibri"/>
                <w:b/>
                <w:bCs/>
                <w:color w:val="FFFFFF"/>
                <w:sz w:val="14"/>
                <w:szCs w:val="14"/>
                <w:lang w:val="es-CO" w:eastAsia="es-CO"/>
              </w:rPr>
            </w:pPr>
          </w:p>
        </w:tc>
        <w:tc>
          <w:tcPr>
            <w:tcW w:w="146" w:type="dxa"/>
            <w:tcBorders>
              <w:top w:val="nil"/>
              <w:left w:val="nil"/>
              <w:bottom w:val="nil"/>
              <w:right w:val="nil"/>
            </w:tcBorders>
            <w:shd w:val="clear" w:color="auto" w:fill="auto"/>
            <w:noWrap/>
            <w:vAlign w:val="bottom"/>
            <w:hideMark/>
          </w:tcPr>
          <w:p w14:paraId="6F1C509B"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p>
        </w:tc>
      </w:tr>
      <w:tr w:rsidR="00687E15" w:rsidRPr="00C46123" w14:paraId="32DED16C" w14:textId="77777777" w:rsidTr="00FB27C3">
        <w:trPr>
          <w:trHeight w:val="115"/>
          <w:tblHeader/>
          <w:jc w:val="center"/>
        </w:trPr>
        <w:tc>
          <w:tcPr>
            <w:tcW w:w="912" w:type="dxa"/>
            <w:vMerge/>
            <w:tcBorders>
              <w:top w:val="nil"/>
              <w:left w:val="single" w:sz="4" w:space="0" w:color="auto"/>
              <w:bottom w:val="single" w:sz="4" w:space="0" w:color="auto"/>
              <w:right w:val="single" w:sz="4" w:space="0" w:color="auto"/>
            </w:tcBorders>
            <w:vAlign w:val="center"/>
            <w:hideMark/>
          </w:tcPr>
          <w:p w14:paraId="280E84EE" w14:textId="77777777" w:rsidR="00687E15" w:rsidRPr="00C44B45" w:rsidRDefault="00687E15">
            <w:pPr>
              <w:spacing w:after="0" w:line="240" w:lineRule="auto"/>
              <w:contextualSpacing/>
              <w:rPr>
                <w:rFonts w:ascii="Arial Narrow" w:eastAsia="Times New Roman" w:hAnsi="Arial Narrow" w:cs="Calibri"/>
                <w:b/>
                <w:bCs/>
                <w:color w:val="FFFFFF"/>
                <w:sz w:val="14"/>
                <w:szCs w:val="14"/>
                <w:lang w:val="es-CO" w:eastAsia="es-CO"/>
              </w:rPr>
            </w:pPr>
          </w:p>
        </w:tc>
        <w:tc>
          <w:tcPr>
            <w:tcW w:w="875" w:type="dxa"/>
            <w:tcBorders>
              <w:top w:val="nil"/>
              <w:left w:val="nil"/>
              <w:bottom w:val="single" w:sz="4" w:space="0" w:color="auto"/>
              <w:right w:val="single" w:sz="4" w:space="0" w:color="auto"/>
            </w:tcBorders>
            <w:shd w:val="clear" w:color="000000" w:fill="666699"/>
            <w:vAlign w:val="center"/>
            <w:hideMark/>
          </w:tcPr>
          <w:p w14:paraId="500E6CD6"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2018</w:t>
            </w:r>
          </w:p>
        </w:tc>
        <w:tc>
          <w:tcPr>
            <w:tcW w:w="875" w:type="dxa"/>
            <w:tcBorders>
              <w:top w:val="nil"/>
              <w:left w:val="nil"/>
              <w:bottom w:val="single" w:sz="4" w:space="0" w:color="auto"/>
              <w:right w:val="single" w:sz="4" w:space="0" w:color="auto"/>
            </w:tcBorders>
            <w:shd w:val="clear" w:color="000000" w:fill="666699"/>
            <w:vAlign w:val="center"/>
            <w:hideMark/>
          </w:tcPr>
          <w:p w14:paraId="5472276E"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2019</w:t>
            </w:r>
          </w:p>
        </w:tc>
        <w:tc>
          <w:tcPr>
            <w:tcW w:w="875" w:type="dxa"/>
            <w:tcBorders>
              <w:top w:val="nil"/>
              <w:left w:val="nil"/>
              <w:bottom w:val="single" w:sz="4" w:space="0" w:color="auto"/>
              <w:right w:val="single" w:sz="4" w:space="0" w:color="auto"/>
            </w:tcBorders>
            <w:shd w:val="clear" w:color="000000" w:fill="666699"/>
            <w:vAlign w:val="center"/>
            <w:hideMark/>
          </w:tcPr>
          <w:p w14:paraId="3A5F910F"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2020</w:t>
            </w:r>
          </w:p>
        </w:tc>
        <w:tc>
          <w:tcPr>
            <w:tcW w:w="875" w:type="dxa"/>
            <w:tcBorders>
              <w:top w:val="nil"/>
              <w:left w:val="nil"/>
              <w:bottom w:val="single" w:sz="4" w:space="0" w:color="auto"/>
              <w:right w:val="single" w:sz="4" w:space="0" w:color="auto"/>
            </w:tcBorders>
            <w:shd w:val="clear" w:color="000000" w:fill="666699"/>
            <w:vAlign w:val="center"/>
            <w:hideMark/>
          </w:tcPr>
          <w:p w14:paraId="7F4CCE14"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2018</w:t>
            </w:r>
          </w:p>
        </w:tc>
        <w:tc>
          <w:tcPr>
            <w:tcW w:w="875" w:type="dxa"/>
            <w:tcBorders>
              <w:top w:val="nil"/>
              <w:left w:val="nil"/>
              <w:bottom w:val="single" w:sz="4" w:space="0" w:color="auto"/>
              <w:right w:val="single" w:sz="4" w:space="0" w:color="auto"/>
            </w:tcBorders>
            <w:shd w:val="clear" w:color="000000" w:fill="666699"/>
            <w:vAlign w:val="center"/>
            <w:hideMark/>
          </w:tcPr>
          <w:p w14:paraId="408AC91B"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2019</w:t>
            </w:r>
          </w:p>
        </w:tc>
        <w:tc>
          <w:tcPr>
            <w:tcW w:w="875" w:type="dxa"/>
            <w:tcBorders>
              <w:top w:val="nil"/>
              <w:left w:val="nil"/>
              <w:bottom w:val="single" w:sz="4" w:space="0" w:color="auto"/>
              <w:right w:val="single" w:sz="4" w:space="0" w:color="auto"/>
            </w:tcBorders>
            <w:shd w:val="clear" w:color="000000" w:fill="666699"/>
            <w:vAlign w:val="center"/>
            <w:hideMark/>
          </w:tcPr>
          <w:p w14:paraId="2751E3C2"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2020</w:t>
            </w:r>
          </w:p>
        </w:tc>
        <w:tc>
          <w:tcPr>
            <w:tcW w:w="779" w:type="dxa"/>
            <w:tcBorders>
              <w:top w:val="nil"/>
              <w:left w:val="nil"/>
              <w:bottom w:val="single" w:sz="4" w:space="0" w:color="auto"/>
              <w:right w:val="single" w:sz="4" w:space="0" w:color="auto"/>
            </w:tcBorders>
            <w:shd w:val="clear" w:color="000000" w:fill="666699"/>
            <w:vAlign w:val="center"/>
            <w:hideMark/>
          </w:tcPr>
          <w:p w14:paraId="0B9B3FE1"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2018</w:t>
            </w:r>
          </w:p>
        </w:tc>
        <w:tc>
          <w:tcPr>
            <w:tcW w:w="779" w:type="dxa"/>
            <w:tcBorders>
              <w:top w:val="nil"/>
              <w:left w:val="nil"/>
              <w:bottom w:val="single" w:sz="4" w:space="0" w:color="auto"/>
              <w:right w:val="single" w:sz="4" w:space="0" w:color="auto"/>
            </w:tcBorders>
            <w:shd w:val="clear" w:color="000000" w:fill="666699"/>
            <w:vAlign w:val="center"/>
            <w:hideMark/>
          </w:tcPr>
          <w:p w14:paraId="5DEE4944"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2019</w:t>
            </w:r>
          </w:p>
        </w:tc>
        <w:tc>
          <w:tcPr>
            <w:tcW w:w="779" w:type="dxa"/>
            <w:tcBorders>
              <w:top w:val="nil"/>
              <w:left w:val="nil"/>
              <w:bottom w:val="single" w:sz="4" w:space="0" w:color="auto"/>
              <w:right w:val="single" w:sz="4" w:space="0" w:color="auto"/>
            </w:tcBorders>
            <w:shd w:val="clear" w:color="000000" w:fill="666699"/>
            <w:vAlign w:val="center"/>
            <w:hideMark/>
          </w:tcPr>
          <w:p w14:paraId="197DAE31"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2020</w:t>
            </w:r>
          </w:p>
        </w:tc>
        <w:tc>
          <w:tcPr>
            <w:tcW w:w="779" w:type="dxa"/>
            <w:tcBorders>
              <w:top w:val="nil"/>
              <w:left w:val="nil"/>
              <w:bottom w:val="single" w:sz="4" w:space="0" w:color="auto"/>
              <w:right w:val="single" w:sz="4" w:space="0" w:color="auto"/>
            </w:tcBorders>
            <w:shd w:val="clear" w:color="000000" w:fill="666699"/>
            <w:vAlign w:val="center"/>
            <w:hideMark/>
          </w:tcPr>
          <w:p w14:paraId="05904447"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2018</w:t>
            </w:r>
          </w:p>
        </w:tc>
        <w:tc>
          <w:tcPr>
            <w:tcW w:w="715" w:type="dxa"/>
            <w:tcBorders>
              <w:top w:val="nil"/>
              <w:left w:val="nil"/>
              <w:bottom w:val="single" w:sz="4" w:space="0" w:color="auto"/>
              <w:right w:val="single" w:sz="4" w:space="0" w:color="auto"/>
            </w:tcBorders>
            <w:shd w:val="clear" w:color="000000" w:fill="666699"/>
            <w:vAlign w:val="center"/>
            <w:hideMark/>
          </w:tcPr>
          <w:p w14:paraId="0A980D4C"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2019</w:t>
            </w:r>
          </w:p>
        </w:tc>
        <w:tc>
          <w:tcPr>
            <w:tcW w:w="779" w:type="dxa"/>
            <w:tcBorders>
              <w:top w:val="nil"/>
              <w:left w:val="nil"/>
              <w:bottom w:val="single" w:sz="4" w:space="0" w:color="auto"/>
              <w:right w:val="single" w:sz="4" w:space="0" w:color="auto"/>
            </w:tcBorders>
            <w:shd w:val="clear" w:color="000000" w:fill="666699"/>
            <w:vAlign w:val="center"/>
            <w:hideMark/>
          </w:tcPr>
          <w:p w14:paraId="0642C440"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2020</w:t>
            </w:r>
          </w:p>
        </w:tc>
        <w:tc>
          <w:tcPr>
            <w:tcW w:w="146" w:type="dxa"/>
            <w:vAlign w:val="center"/>
            <w:hideMark/>
          </w:tcPr>
          <w:p w14:paraId="4A6F8219"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249A6B99" w14:textId="77777777" w:rsidTr="004663B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2914FBFF" w14:textId="77777777" w:rsidR="00687E15" w:rsidRPr="00C44B45" w:rsidRDefault="00687E1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PPTO Definitivo (Ejecución)</w:t>
            </w:r>
          </w:p>
        </w:tc>
        <w:tc>
          <w:tcPr>
            <w:tcW w:w="875" w:type="dxa"/>
            <w:tcBorders>
              <w:top w:val="nil"/>
              <w:left w:val="nil"/>
              <w:bottom w:val="single" w:sz="4" w:space="0" w:color="auto"/>
              <w:right w:val="single" w:sz="4" w:space="0" w:color="auto"/>
            </w:tcBorders>
            <w:shd w:val="clear" w:color="auto" w:fill="auto"/>
            <w:noWrap/>
            <w:vAlign w:val="center"/>
            <w:hideMark/>
          </w:tcPr>
          <w:p w14:paraId="25141E5C"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1.126.131.786</w:t>
            </w:r>
          </w:p>
        </w:tc>
        <w:tc>
          <w:tcPr>
            <w:tcW w:w="875" w:type="dxa"/>
            <w:tcBorders>
              <w:top w:val="nil"/>
              <w:left w:val="nil"/>
              <w:bottom w:val="single" w:sz="4" w:space="0" w:color="auto"/>
              <w:right w:val="single" w:sz="4" w:space="0" w:color="auto"/>
            </w:tcBorders>
            <w:shd w:val="clear" w:color="auto" w:fill="auto"/>
            <w:noWrap/>
            <w:vAlign w:val="center"/>
            <w:hideMark/>
          </w:tcPr>
          <w:p w14:paraId="0FDD7628"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1.240.450.794</w:t>
            </w:r>
          </w:p>
        </w:tc>
        <w:tc>
          <w:tcPr>
            <w:tcW w:w="875" w:type="dxa"/>
            <w:tcBorders>
              <w:top w:val="nil"/>
              <w:left w:val="nil"/>
              <w:bottom w:val="single" w:sz="4" w:space="0" w:color="auto"/>
              <w:right w:val="single" w:sz="4" w:space="0" w:color="auto"/>
            </w:tcBorders>
            <w:shd w:val="clear" w:color="auto" w:fill="auto"/>
            <w:noWrap/>
            <w:vAlign w:val="center"/>
            <w:hideMark/>
          </w:tcPr>
          <w:p w14:paraId="3E0AA1FD"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1.088.729.369</w:t>
            </w:r>
          </w:p>
        </w:tc>
        <w:tc>
          <w:tcPr>
            <w:tcW w:w="875" w:type="dxa"/>
            <w:tcBorders>
              <w:top w:val="nil"/>
              <w:left w:val="nil"/>
              <w:bottom w:val="single" w:sz="4" w:space="0" w:color="auto"/>
              <w:right w:val="single" w:sz="4" w:space="0" w:color="auto"/>
            </w:tcBorders>
            <w:shd w:val="clear" w:color="auto" w:fill="auto"/>
            <w:noWrap/>
            <w:vAlign w:val="center"/>
            <w:hideMark/>
          </w:tcPr>
          <w:p w14:paraId="38F54F5C"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1.683.625.033</w:t>
            </w:r>
          </w:p>
        </w:tc>
        <w:tc>
          <w:tcPr>
            <w:tcW w:w="875" w:type="dxa"/>
            <w:tcBorders>
              <w:top w:val="nil"/>
              <w:left w:val="nil"/>
              <w:bottom w:val="single" w:sz="4" w:space="0" w:color="auto"/>
              <w:right w:val="single" w:sz="4" w:space="0" w:color="auto"/>
            </w:tcBorders>
            <w:shd w:val="clear" w:color="auto" w:fill="auto"/>
            <w:noWrap/>
            <w:vAlign w:val="center"/>
            <w:hideMark/>
          </w:tcPr>
          <w:p w14:paraId="35F25E34"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1.495.132.948</w:t>
            </w:r>
          </w:p>
        </w:tc>
        <w:tc>
          <w:tcPr>
            <w:tcW w:w="875" w:type="dxa"/>
            <w:tcBorders>
              <w:top w:val="nil"/>
              <w:left w:val="nil"/>
              <w:bottom w:val="single" w:sz="4" w:space="0" w:color="auto"/>
              <w:right w:val="single" w:sz="4" w:space="0" w:color="auto"/>
            </w:tcBorders>
            <w:shd w:val="clear" w:color="auto" w:fill="auto"/>
            <w:noWrap/>
            <w:vAlign w:val="center"/>
            <w:hideMark/>
          </w:tcPr>
          <w:p w14:paraId="2E14CC4E"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1.411.956.108</w:t>
            </w:r>
          </w:p>
        </w:tc>
        <w:tc>
          <w:tcPr>
            <w:tcW w:w="779" w:type="dxa"/>
            <w:tcBorders>
              <w:top w:val="nil"/>
              <w:left w:val="nil"/>
              <w:bottom w:val="single" w:sz="4" w:space="0" w:color="auto"/>
              <w:right w:val="single" w:sz="4" w:space="0" w:color="auto"/>
            </w:tcBorders>
            <w:shd w:val="clear" w:color="auto" w:fill="auto"/>
            <w:noWrap/>
            <w:vAlign w:val="center"/>
            <w:hideMark/>
          </w:tcPr>
          <w:p w14:paraId="6EEE96E3"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110.681.230</w:t>
            </w:r>
          </w:p>
        </w:tc>
        <w:tc>
          <w:tcPr>
            <w:tcW w:w="779" w:type="dxa"/>
            <w:tcBorders>
              <w:top w:val="nil"/>
              <w:left w:val="nil"/>
              <w:bottom w:val="single" w:sz="4" w:space="0" w:color="auto"/>
              <w:right w:val="single" w:sz="4" w:space="0" w:color="auto"/>
            </w:tcBorders>
            <w:shd w:val="clear" w:color="auto" w:fill="auto"/>
            <w:noWrap/>
            <w:vAlign w:val="center"/>
            <w:hideMark/>
          </w:tcPr>
          <w:p w14:paraId="521F7867"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43.192.391</w:t>
            </w:r>
          </w:p>
        </w:tc>
        <w:tc>
          <w:tcPr>
            <w:tcW w:w="779" w:type="dxa"/>
            <w:tcBorders>
              <w:top w:val="nil"/>
              <w:left w:val="nil"/>
              <w:bottom w:val="single" w:sz="4" w:space="0" w:color="auto"/>
              <w:right w:val="single" w:sz="4" w:space="0" w:color="auto"/>
            </w:tcBorders>
            <w:shd w:val="clear" w:color="auto" w:fill="auto"/>
            <w:noWrap/>
            <w:vAlign w:val="center"/>
            <w:hideMark/>
          </w:tcPr>
          <w:p w14:paraId="1C5ADDAA"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138.596.775</w:t>
            </w:r>
          </w:p>
        </w:tc>
        <w:tc>
          <w:tcPr>
            <w:tcW w:w="779" w:type="dxa"/>
            <w:tcBorders>
              <w:top w:val="nil"/>
              <w:left w:val="nil"/>
              <w:bottom w:val="single" w:sz="4" w:space="0" w:color="auto"/>
              <w:right w:val="single" w:sz="4" w:space="0" w:color="auto"/>
            </w:tcBorders>
            <w:shd w:val="clear" w:color="auto" w:fill="auto"/>
            <w:noWrap/>
            <w:vAlign w:val="center"/>
            <w:hideMark/>
          </w:tcPr>
          <w:p w14:paraId="64F678DB"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47.498.912</w:t>
            </w:r>
          </w:p>
        </w:tc>
        <w:tc>
          <w:tcPr>
            <w:tcW w:w="715" w:type="dxa"/>
            <w:tcBorders>
              <w:top w:val="nil"/>
              <w:left w:val="nil"/>
              <w:bottom w:val="single" w:sz="4" w:space="0" w:color="auto"/>
              <w:right w:val="single" w:sz="4" w:space="0" w:color="auto"/>
            </w:tcBorders>
            <w:shd w:val="clear" w:color="auto" w:fill="auto"/>
            <w:noWrap/>
            <w:vAlign w:val="center"/>
            <w:hideMark/>
          </w:tcPr>
          <w:p w14:paraId="5E8748F1"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40.800.100</w:t>
            </w:r>
          </w:p>
        </w:tc>
        <w:tc>
          <w:tcPr>
            <w:tcW w:w="779" w:type="dxa"/>
            <w:tcBorders>
              <w:top w:val="nil"/>
              <w:left w:val="nil"/>
              <w:bottom w:val="single" w:sz="4" w:space="0" w:color="auto"/>
              <w:right w:val="single" w:sz="4" w:space="0" w:color="auto"/>
            </w:tcBorders>
            <w:shd w:val="clear" w:color="auto" w:fill="auto"/>
            <w:noWrap/>
            <w:vAlign w:val="center"/>
            <w:hideMark/>
          </w:tcPr>
          <w:p w14:paraId="07062829"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107.423.885</w:t>
            </w:r>
          </w:p>
        </w:tc>
        <w:tc>
          <w:tcPr>
            <w:tcW w:w="146" w:type="dxa"/>
            <w:vAlign w:val="center"/>
            <w:hideMark/>
          </w:tcPr>
          <w:p w14:paraId="123F61DF"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211B7D10" w14:textId="77777777" w:rsidTr="004663B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531EA047" w14:textId="77777777" w:rsidR="00687E15" w:rsidRPr="00C44B45" w:rsidRDefault="00687E1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PPTO Definitivo FUT</w:t>
            </w:r>
          </w:p>
        </w:tc>
        <w:tc>
          <w:tcPr>
            <w:tcW w:w="875" w:type="dxa"/>
            <w:tcBorders>
              <w:top w:val="nil"/>
              <w:left w:val="nil"/>
              <w:bottom w:val="single" w:sz="4" w:space="0" w:color="auto"/>
              <w:right w:val="single" w:sz="4" w:space="0" w:color="auto"/>
            </w:tcBorders>
            <w:shd w:val="clear" w:color="auto" w:fill="auto"/>
            <w:noWrap/>
            <w:vAlign w:val="center"/>
            <w:hideMark/>
          </w:tcPr>
          <w:p w14:paraId="58F79982"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751.342.087</w:t>
            </w:r>
          </w:p>
        </w:tc>
        <w:tc>
          <w:tcPr>
            <w:tcW w:w="875" w:type="dxa"/>
            <w:tcBorders>
              <w:top w:val="nil"/>
              <w:left w:val="nil"/>
              <w:bottom w:val="single" w:sz="4" w:space="0" w:color="auto"/>
              <w:right w:val="single" w:sz="4" w:space="0" w:color="auto"/>
            </w:tcBorders>
            <w:shd w:val="clear" w:color="auto" w:fill="auto"/>
            <w:vAlign w:val="center"/>
            <w:hideMark/>
          </w:tcPr>
          <w:p w14:paraId="2DC908A3"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2.215.588.673</w:t>
            </w:r>
          </w:p>
        </w:tc>
        <w:tc>
          <w:tcPr>
            <w:tcW w:w="875" w:type="dxa"/>
            <w:tcBorders>
              <w:top w:val="nil"/>
              <w:left w:val="nil"/>
              <w:bottom w:val="single" w:sz="4" w:space="0" w:color="auto"/>
              <w:right w:val="single" w:sz="4" w:space="0" w:color="auto"/>
            </w:tcBorders>
            <w:shd w:val="clear" w:color="auto" w:fill="auto"/>
            <w:noWrap/>
            <w:vAlign w:val="center"/>
            <w:hideMark/>
          </w:tcPr>
          <w:p w14:paraId="145D2B16"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635.254.815</w:t>
            </w:r>
          </w:p>
        </w:tc>
        <w:tc>
          <w:tcPr>
            <w:tcW w:w="875" w:type="dxa"/>
            <w:tcBorders>
              <w:top w:val="nil"/>
              <w:left w:val="nil"/>
              <w:bottom w:val="single" w:sz="4" w:space="0" w:color="auto"/>
              <w:right w:val="single" w:sz="4" w:space="0" w:color="auto"/>
            </w:tcBorders>
            <w:shd w:val="clear" w:color="auto" w:fill="auto"/>
            <w:noWrap/>
            <w:vAlign w:val="center"/>
            <w:hideMark/>
          </w:tcPr>
          <w:p w14:paraId="554AA49C"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2.112.920.684</w:t>
            </w:r>
          </w:p>
        </w:tc>
        <w:tc>
          <w:tcPr>
            <w:tcW w:w="875" w:type="dxa"/>
            <w:tcBorders>
              <w:top w:val="nil"/>
              <w:left w:val="nil"/>
              <w:bottom w:val="single" w:sz="4" w:space="0" w:color="auto"/>
              <w:right w:val="single" w:sz="4" w:space="0" w:color="auto"/>
            </w:tcBorders>
            <w:shd w:val="clear" w:color="auto" w:fill="auto"/>
            <w:noWrap/>
            <w:vAlign w:val="center"/>
            <w:hideMark/>
          </w:tcPr>
          <w:p w14:paraId="2B99E8AA"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454.645.002</w:t>
            </w:r>
          </w:p>
        </w:tc>
        <w:tc>
          <w:tcPr>
            <w:tcW w:w="875" w:type="dxa"/>
            <w:tcBorders>
              <w:top w:val="nil"/>
              <w:left w:val="nil"/>
              <w:bottom w:val="single" w:sz="4" w:space="0" w:color="auto"/>
              <w:right w:val="single" w:sz="4" w:space="0" w:color="auto"/>
            </w:tcBorders>
            <w:shd w:val="clear" w:color="auto" w:fill="auto"/>
            <w:noWrap/>
            <w:vAlign w:val="center"/>
            <w:hideMark/>
          </w:tcPr>
          <w:p w14:paraId="4A7F7C20"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1.267.356.108</w:t>
            </w:r>
          </w:p>
        </w:tc>
        <w:tc>
          <w:tcPr>
            <w:tcW w:w="779" w:type="dxa"/>
            <w:tcBorders>
              <w:top w:val="nil"/>
              <w:left w:val="nil"/>
              <w:bottom w:val="single" w:sz="4" w:space="0" w:color="auto"/>
              <w:right w:val="single" w:sz="4" w:space="0" w:color="auto"/>
            </w:tcBorders>
            <w:shd w:val="clear" w:color="auto" w:fill="auto"/>
            <w:noWrap/>
            <w:vAlign w:val="center"/>
            <w:hideMark/>
          </w:tcPr>
          <w:p w14:paraId="17C9C493"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236.307.286</w:t>
            </w:r>
          </w:p>
        </w:tc>
        <w:tc>
          <w:tcPr>
            <w:tcW w:w="779" w:type="dxa"/>
            <w:tcBorders>
              <w:top w:val="nil"/>
              <w:left w:val="nil"/>
              <w:bottom w:val="single" w:sz="4" w:space="0" w:color="auto"/>
              <w:right w:val="single" w:sz="4" w:space="0" w:color="auto"/>
            </w:tcBorders>
            <w:shd w:val="clear" w:color="auto" w:fill="auto"/>
            <w:noWrap/>
            <w:vAlign w:val="center"/>
            <w:hideMark/>
          </w:tcPr>
          <w:p w14:paraId="3286F2ED"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292.073.620</w:t>
            </w:r>
          </w:p>
        </w:tc>
        <w:tc>
          <w:tcPr>
            <w:tcW w:w="779" w:type="dxa"/>
            <w:tcBorders>
              <w:top w:val="nil"/>
              <w:left w:val="nil"/>
              <w:bottom w:val="single" w:sz="4" w:space="0" w:color="auto"/>
              <w:right w:val="single" w:sz="4" w:space="0" w:color="auto"/>
            </w:tcBorders>
            <w:shd w:val="clear" w:color="auto" w:fill="auto"/>
            <w:noWrap/>
            <w:vAlign w:val="center"/>
            <w:hideMark/>
          </w:tcPr>
          <w:p w14:paraId="7E22386C"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171.246.630</w:t>
            </w:r>
          </w:p>
        </w:tc>
        <w:tc>
          <w:tcPr>
            <w:tcW w:w="779" w:type="dxa"/>
            <w:tcBorders>
              <w:top w:val="nil"/>
              <w:left w:val="nil"/>
              <w:bottom w:val="single" w:sz="4" w:space="0" w:color="auto"/>
              <w:right w:val="single" w:sz="4" w:space="0" w:color="auto"/>
            </w:tcBorders>
            <w:shd w:val="clear" w:color="auto" w:fill="auto"/>
            <w:noWrap/>
            <w:vAlign w:val="center"/>
            <w:hideMark/>
          </w:tcPr>
          <w:p w14:paraId="01DB8EA2"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107.389.851</w:t>
            </w:r>
          </w:p>
        </w:tc>
        <w:tc>
          <w:tcPr>
            <w:tcW w:w="715" w:type="dxa"/>
            <w:tcBorders>
              <w:top w:val="nil"/>
              <w:left w:val="nil"/>
              <w:bottom w:val="single" w:sz="4" w:space="0" w:color="auto"/>
              <w:right w:val="single" w:sz="4" w:space="0" w:color="auto"/>
            </w:tcBorders>
            <w:shd w:val="clear" w:color="auto" w:fill="auto"/>
            <w:noWrap/>
            <w:vAlign w:val="center"/>
            <w:hideMark/>
          </w:tcPr>
          <w:p w14:paraId="5EFB9904"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28.396.890</w:t>
            </w:r>
          </w:p>
        </w:tc>
        <w:tc>
          <w:tcPr>
            <w:tcW w:w="779" w:type="dxa"/>
            <w:tcBorders>
              <w:top w:val="nil"/>
              <w:left w:val="nil"/>
              <w:bottom w:val="single" w:sz="4" w:space="0" w:color="auto"/>
              <w:right w:val="single" w:sz="4" w:space="0" w:color="auto"/>
            </w:tcBorders>
            <w:shd w:val="clear" w:color="auto" w:fill="auto"/>
            <w:noWrap/>
            <w:vAlign w:val="center"/>
            <w:hideMark/>
          </w:tcPr>
          <w:p w14:paraId="752A292F"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74.774.030</w:t>
            </w:r>
          </w:p>
        </w:tc>
        <w:tc>
          <w:tcPr>
            <w:tcW w:w="146" w:type="dxa"/>
            <w:vAlign w:val="center"/>
            <w:hideMark/>
          </w:tcPr>
          <w:p w14:paraId="6D7AF525"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549E911A" w14:textId="77777777" w:rsidTr="004663BF">
        <w:trPr>
          <w:trHeight w:val="115"/>
          <w:jc w:val="center"/>
        </w:trPr>
        <w:tc>
          <w:tcPr>
            <w:tcW w:w="912" w:type="dxa"/>
            <w:tcBorders>
              <w:top w:val="nil"/>
              <w:left w:val="single" w:sz="4" w:space="0" w:color="auto"/>
              <w:bottom w:val="single" w:sz="4" w:space="0" w:color="auto"/>
              <w:right w:val="single" w:sz="4" w:space="0" w:color="auto"/>
            </w:tcBorders>
            <w:shd w:val="clear" w:color="000000" w:fill="5F497A"/>
            <w:vAlign w:val="center"/>
            <w:hideMark/>
          </w:tcPr>
          <w:p w14:paraId="36998297" w14:textId="77777777" w:rsidR="00687E15" w:rsidRPr="00C44B45" w:rsidRDefault="00687E1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Diferencia</w:t>
            </w:r>
          </w:p>
        </w:tc>
        <w:tc>
          <w:tcPr>
            <w:tcW w:w="875" w:type="dxa"/>
            <w:tcBorders>
              <w:top w:val="nil"/>
              <w:left w:val="nil"/>
              <w:bottom w:val="single" w:sz="4" w:space="0" w:color="auto"/>
              <w:right w:val="single" w:sz="4" w:space="0" w:color="auto"/>
            </w:tcBorders>
            <w:shd w:val="clear" w:color="000000" w:fill="5F497A"/>
            <w:vAlign w:val="center"/>
            <w:hideMark/>
          </w:tcPr>
          <w:p w14:paraId="3A33A20A"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374.789.699</w:t>
            </w:r>
          </w:p>
        </w:tc>
        <w:tc>
          <w:tcPr>
            <w:tcW w:w="875" w:type="dxa"/>
            <w:tcBorders>
              <w:top w:val="nil"/>
              <w:left w:val="nil"/>
              <w:bottom w:val="single" w:sz="4" w:space="0" w:color="auto"/>
              <w:right w:val="single" w:sz="4" w:space="0" w:color="auto"/>
            </w:tcBorders>
            <w:shd w:val="clear" w:color="000000" w:fill="5F497A"/>
            <w:vAlign w:val="center"/>
            <w:hideMark/>
          </w:tcPr>
          <w:p w14:paraId="69DC2289"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-975.137.879</w:t>
            </w:r>
          </w:p>
        </w:tc>
        <w:tc>
          <w:tcPr>
            <w:tcW w:w="875" w:type="dxa"/>
            <w:tcBorders>
              <w:top w:val="nil"/>
              <w:left w:val="nil"/>
              <w:bottom w:val="single" w:sz="4" w:space="0" w:color="auto"/>
              <w:right w:val="single" w:sz="4" w:space="0" w:color="auto"/>
            </w:tcBorders>
            <w:shd w:val="clear" w:color="000000" w:fill="5F497A"/>
            <w:vAlign w:val="center"/>
            <w:hideMark/>
          </w:tcPr>
          <w:p w14:paraId="3D25D7DB"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453.474.554</w:t>
            </w:r>
          </w:p>
        </w:tc>
        <w:tc>
          <w:tcPr>
            <w:tcW w:w="875" w:type="dxa"/>
            <w:tcBorders>
              <w:top w:val="nil"/>
              <w:left w:val="nil"/>
              <w:bottom w:val="single" w:sz="4" w:space="0" w:color="auto"/>
              <w:right w:val="single" w:sz="4" w:space="0" w:color="auto"/>
            </w:tcBorders>
            <w:shd w:val="clear" w:color="000000" w:fill="5F497A"/>
            <w:vAlign w:val="center"/>
            <w:hideMark/>
          </w:tcPr>
          <w:p w14:paraId="6FD6D096"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-429.295.651</w:t>
            </w:r>
          </w:p>
        </w:tc>
        <w:tc>
          <w:tcPr>
            <w:tcW w:w="875" w:type="dxa"/>
            <w:tcBorders>
              <w:top w:val="nil"/>
              <w:left w:val="nil"/>
              <w:bottom w:val="single" w:sz="4" w:space="0" w:color="auto"/>
              <w:right w:val="single" w:sz="4" w:space="0" w:color="auto"/>
            </w:tcBorders>
            <w:shd w:val="clear" w:color="000000" w:fill="5F497A"/>
            <w:vAlign w:val="center"/>
            <w:hideMark/>
          </w:tcPr>
          <w:p w14:paraId="1F0CF724"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1.040.487.946</w:t>
            </w:r>
          </w:p>
        </w:tc>
        <w:tc>
          <w:tcPr>
            <w:tcW w:w="875" w:type="dxa"/>
            <w:tcBorders>
              <w:top w:val="nil"/>
              <w:left w:val="nil"/>
              <w:bottom w:val="single" w:sz="4" w:space="0" w:color="auto"/>
              <w:right w:val="single" w:sz="4" w:space="0" w:color="auto"/>
            </w:tcBorders>
            <w:shd w:val="clear" w:color="000000" w:fill="5F497A"/>
            <w:vAlign w:val="center"/>
            <w:hideMark/>
          </w:tcPr>
          <w:p w14:paraId="4F71E23D"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144.600.000</w:t>
            </w:r>
          </w:p>
        </w:tc>
        <w:tc>
          <w:tcPr>
            <w:tcW w:w="779" w:type="dxa"/>
            <w:tcBorders>
              <w:top w:val="nil"/>
              <w:left w:val="nil"/>
              <w:bottom w:val="single" w:sz="4" w:space="0" w:color="auto"/>
              <w:right w:val="single" w:sz="4" w:space="0" w:color="auto"/>
            </w:tcBorders>
            <w:shd w:val="clear" w:color="000000" w:fill="5F497A"/>
            <w:vAlign w:val="center"/>
            <w:hideMark/>
          </w:tcPr>
          <w:p w14:paraId="5F0126E9"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-125.626.056</w:t>
            </w:r>
          </w:p>
        </w:tc>
        <w:tc>
          <w:tcPr>
            <w:tcW w:w="779" w:type="dxa"/>
            <w:tcBorders>
              <w:top w:val="nil"/>
              <w:left w:val="nil"/>
              <w:bottom w:val="single" w:sz="4" w:space="0" w:color="auto"/>
              <w:right w:val="single" w:sz="4" w:space="0" w:color="auto"/>
            </w:tcBorders>
            <w:shd w:val="clear" w:color="000000" w:fill="5F497A"/>
            <w:vAlign w:val="center"/>
            <w:hideMark/>
          </w:tcPr>
          <w:p w14:paraId="4A3E8FF0"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-248.881.229</w:t>
            </w:r>
          </w:p>
        </w:tc>
        <w:tc>
          <w:tcPr>
            <w:tcW w:w="779" w:type="dxa"/>
            <w:tcBorders>
              <w:top w:val="nil"/>
              <w:left w:val="nil"/>
              <w:bottom w:val="single" w:sz="4" w:space="0" w:color="auto"/>
              <w:right w:val="single" w:sz="4" w:space="0" w:color="auto"/>
            </w:tcBorders>
            <w:shd w:val="clear" w:color="000000" w:fill="5F497A"/>
            <w:vAlign w:val="center"/>
            <w:hideMark/>
          </w:tcPr>
          <w:p w14:paraId="5D24B51D"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-32.649.855</w:t>
            </w:r>
          </w:p>
        </w:tc>
        <w:tc>
          <w:tcPr>
            <w:tcW w:w="779" w:type="dxa"/>
            <w:tcBorders>
              <w:top w:val="nil"/>
              <w:left w:val="nil"/>
              <w:bottom w:val="single" w:sz="4" w:space="0" w:color="auto"/>
              <w:right w:val="single" w:sz="4" w:space="0" w:color="auto"/>
            </w:tcBorders>
            <w:shd w:val="clear" w:color="000000" w:fill="5F497A"/>
            <w:vAlign w:val="center"/>
            <w:hideMark/>
          </w:tcPr>
          <w:p w14:paraId="64450BF3"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-59.890.939</w:t>
            </w:r>
          </w:p>
        </w:tc>
        <w:tc>
          <w:tcPr>
            <w:tcW w:w="715" w:type="dxa"/>
            <w:tcBorders>
              <w:top w:val="nil"/>
              <w:left w:val="nil"/>
              <w:bottom w:val="single" w:sz="4" w:space="0" w:color="auto"/>
              <w:right w:val="single" w:sz="4" w:space="0" w:color="auto"/>
            </w:tcBorders>
            <w:shd w:val="clear" w:color="000000" w:fill="5F497A"/>
            <w:vAlign w:val="center"/>
            <w:hideMark/>
          </w:tcPr>
          <w:p w14:paraId="47E85121"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12.403.210</w:t>
            </w:r>
          </w:p>
        </w:tc>
        <w:tc>
          <w:tcPr>
            <w:tcW w:w="779" w:type="dxa"/>
            <w:tcBorders>
              <w:top w:val="nil"/>
              <w:left w:val="nil"/>
              <w:bottom w:val="single" w:sz="4" w:space="0" w:color="auto"/>
              <w:right w:val="single" w:sz="4" w:space="0" w:color="auto"/>
            </w:tcBorders>
            <w:shd w:val="clear" w:color="000000" w:fill="5F497A"/>
            <w:vAlign w:val="center"/>
            <w:hideMark/>
          </w:tcPr>
          <w:p w14:paraId="367D2F63"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32.649.855</w:t>
            </w:r>
          </w:p>
        </w:tc>
        <w:tc>
          <w:tcPr>
            <w:tcW w:w="146" w:type="dxa"/>
            <w:vAlign w:val="center"/>
            <w:hideMark/>
          </w:tcPr>
          <w:p w14:paraId="7B8FBEFB"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76E7ED59" w14:textId="77777777" w:rsidTr="004663B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62317E44" w14:textId="77777777" w:rsidR="00687E15" w:rsidRPr="00C44B45" w:rsidRDefault="00687E1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Compromisos (Ejecución)</w:t>
            </w:r>
          </w:p>
        </w:tc>
        <w:tc>
          <w:tcPr>
            <w:tcW w:w="875" w:type="dxa"/>
            <w:tcBorders>
              <w:top w:val="nil"/>
              <w:left w:val="nil"/>
              <w:bottom w:val="single" w:sz="4" w:space="0" w:color="auto"/>
              <w:right w:val="single" w:sz="4" w:space="0" w:color="auto"/>
            </w:tcBorders>
            <w:shd w:val="clear" w:color="auto" w:fill="auto"/>
            <w:vAlign w:val="center"/>
            <w:hideMark/>
          </w:tcPr>
          <w:p w14:paraId="1FC5DF28"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1.009.443.024</w:t>
            </w:r>
          </w:p>
        </w:tc>
        <w:tc>
          <w:tcPr>
            <w:tcW w:w="875" w:type="dxa"/>
            <w:tcBorders>
              <w:top w:val="nil"/>
              <w:left w:val="nil"/>
              <w:bottom w:val="single" w:sz="4" w:space="0" w:color="auto"/>
              <w:right w:val="single" w:sz="4" w:space="0" w:color="auto"/>
            </w:tcBorders>
            <w:shd w:val="clear" w:color="auto" w:fill="auto"/>
            <w:noWrap/>
            <w:vAlign w:val="center"/>
            <w:hideMark/>
          </w:tcPr>
          <w:p w14:paraId="050EBCF4"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1.235.554.822</w:t>
            </w:r>
          </w:p>
        </w:tc>
        <w:tc>
          <w:tcPr>
            <w:tcW w:w="875" w:type="dxa"/>
            <w:tcBorders>
              <w:top w:val="nil"/>
              <w:left w:val="nil"/>
              <w:bottom w:val="single" w:sz="4" w:space="0" w:color="auto"/>
              <w:right w:val="single" w:sz="4" w:space="0" w:color="auto"/>
            </w:tcBorders>
            <w:shd w:val="clear" w:color="auto" w:fill="auto"/>
            <w:noWrap/>
            <w:vAlign w:val="center"/>
            <w:hideMark/>
          </w:tcPr>
          <w:p w14:paraId="217391B1"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1.082.264.487</w:t>
            </w:r>
          </w:p>
        </w:tc>
        <w:tc>
          <w:tcPr>
            <w:tcW w:w="875" w:type="dxa"/>
            <w:tcBorders>
              <w:top w:val="nil"/>
              <w:left w:val="nil"/>
              <w:bottom w:val="single" w:sz="4" w:space="0" w:color="auto"/>
              <w:right w:val="single" w:sz="4" w:space="0" w:color="auto"/>
            </w:tcBorders>
            <w:shd w:val="clear" w:color="auto" w:fill="auto"/>
            <w:noWrap/>
            <w:vAlign w:val="center"/>
            <w:hideMark/>
          </w:tcPr>
          <w:p w14:paraId="69A8FDDA"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1.533.036.905</w:t>
            </w:r>
          </w:p>
        </w:tc>
        <w:tc>
          <w:tcPr>
            <w:tcW w:w="875" w:type="dxa"/>
            <w:tcBorders>
              <w:top w:val="nil"/>
              <w:left w:val="nil"/>
              <w:bottom w:val="single" w:sz="4" w:space="0" w:color="auto"/>
              <w:right w:val="single" w:sz="4" w:space="0" w:color="auto"/>
            </w:tcBorders>
            <w:shd w:val="clear" w:color="auto" w:fill="auto"/>
            <w:noWrap/>
            <w:vAlign w:val="center"/>
            <w:hideMark/>
          </w:tcPr>
          <w:p w14:paraId="131F8A23"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1.491.664.169</w:t>
            </w:r>
          </w:p>
        </w:tc>
        <w:tc>
          <w:tcPr>
            <w:tcW w:w="875" w:type="dxa"/>
            <w:tcBorders>
              <w:top w:val="nil"/>
              <w:left w:val="nil"/>
              <w:bottom w:val="single" w:sz="4" w:space="0" w:color="auto"/>
              <w:right w:val="single" w:sz="4" w:space="0" w:color="auto"/>
            </w:tcBorders>
            <w:shd w:val="clear" w:color="auto" w:fill="auto"/>
            <w:noWrap/>
            <w:vAlign w:val="center"/>
            <w:hideMark/>
          </w:tcPr>
          <w:p w14:paraId="3C031072"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1.393.449.720</w:t>
            </w:r>
          </w:p>
        </w:tc>
        <w:tc>
          <w:tcPr>
            <w:tcW w:w="779" w:type="dxa"/>
            <w:tcBorders>
              <w:top w:val="nil"/>
              <w:left w:val="nil"/>
              <w:bottom w:val="single" w:sz="4" w:space="0" w:color="auto"/>
              <w:right w:val="single" w:sz="4" w:space="0" w:color="auto"/>
            </w:tcBorders>
            <w:shd w:val="clear" w:color="auto" w:fill="auto"/>
            <w:noWrap/>
            <w:vAlign w:val="center"/>
            <w:hideMark/>
          </w:tcPr>
          <w:p w14:paraId="5C9AB3F0"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105.233.764</w:t>
            </w:r>
          </w:p>
        </w:tc>
        <w:tc>
          <w:tcPr>
            <w:tcW w:w="779" w:type="dxa"/>
            <w:tcBorders>
              <w:top w:val="nil"/>
              <w:left w:val="nil"/>
              <w:bottom w:val="single" w:sz="4" w:space="0" w:color="auto"/>
              <w:right w:val="single" w:sz="4" w:space="0" w:color="auto"/>
            </w:tcBorders>
            <w:shd w:val="clear" w:color="auto" w:fill="auto"/>
            <w:noWrap/>
            <w:vAlign w:val="center"/>
            <w:hideMark/>
          </w:tcPr>
          <w:p w14:paraId="35F5E5D0"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43.192.391</w:t>
            </w:r>
          </w:p>
        </w:tc>
        <w:tc>
          <w:tcPr>
            <w:tcW w:w="779" w:type="dxa"/>
            <w:tcBorders>
              <w:top w:val="nil"/>
              <w:left w:val="nil"/>
              <w:bottom w:val="single" w:sz="4" w:space="0" w:color="auto"/>
              <w:right w:val="single" w:sz="4" w:space="0" w:color="auto"/>
            </w:tcBorders>
            <w:shd w:val="clear" w:color="auto" w:fill="auto"/>
            <w:noWrap/>
            <w:vAlign w:val="center"/>
            <w:hideMark/>
          </w:tcPr>
          <w:p w14:paraId="357E3E6B"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94.642.655</w:t>
            </w:r>
          </w:p>
        </w:tc>
        <w:tc>
          <w:tcPr>
            <w:tcW w:w="779" w:type="dxa"/>
            <w:tcBorders>
              <w:top w:val="nil"/>
              <w:left w:val="nil"/>
              <w:bottom w:val="single" w:sz="4" w:space="0" w:color="auto"/>
              <w:right w:val="single" w:sz="4" w:space="0" w:color="auto"/>
            </w:tcBorders>
            <w:shd w:val="clear" w:color="auto" w:fill="auto"/>
            <w:noWrap/>
            <w:vAlign w:val="center"/>
            <w:hideMark/>
          </w:tcPr>
          <w:p w14:paraId="472D7140"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43.213.000</w:t>
            </w:r>
          </w:p>
        </w:tc>
        <w:tc>
          <w:tcPr>
            <w:tcW w:w="715" w:type="dxa"/>
            <w:tcBorders>
              <w:top w:val="nil"/>
              <w:left w:val="nil"/>
              <w:bottom w:val="single" w:sz="4" w:space="0" w:color="auto"/>
              <w:right w:val="single" w:sz="4" w:space="0" w:color="auto"/>
            </w:tcBorders>
            <w:shd w:val="clear" w:color="auto" w:fill="auto"/>
            <w:noWrap/>
            <w:vAlign w:val="center"/>
            <w:hideMark/>
          </w:tcPr>
          <w:p w14:paraId="355E910C"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32.327.680</w:t>
            </w:r>
          </w:p>
        </w:tc>
        <w:tc>
          <w:tcPr>
            <w:tcW w:w="779" w:type="dxa"/>
            <w:tcBorders>
              <w:top w:val="nil"/>
              <w:left w:val="nil"/>
              <w:bottom w:val="single" w:sz="4" w:space="0" w:color="auto"/>
              <w:right w:val="single" w:sz="4" w:space="0" w:color="auto"/>
            </w:tcBorders>
            <w:shd w:val="clear" w:color="auto" w:fill="auto"/>
            <w:noWrap/>
            <w:vAlign w:val="center"/>
            <w:hideMark/>
          </w:tcPr>
          <w:p w14:paraId="07EF4950"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61.658.854</w:t>
            </w:r>
          </w:p>
        </w:tc>
        <w:tc>
          <w:tcPr>
            <w:tcW w:w="146" w:type="dxa"/>
            <w:vAlign w:val="center"/>
            <w:hideMark/>
          </w:tcPr>
          <w:p w14:paraId="01DC2E46"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79BC0E60" w14:textId="77777777" w:rsidTr="004663B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3A8958D6" w14:textId="77777777" w:rsidR="00687E15" w:rsidRPr="00C44B45" w:rsidRDefault="00687E1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Compromisos FUT</w:t>
            </w:r>
          </w:p>
        </w:tc>
        <w:tc>
          <w:tcPr>
            <w:tcW w:w="875" w:type="dxa"/>
            <w:tcBorders>
              <w:top w:val="nil"/>
              <w:left w:val="nil"/>
              <w:bottom w:val="single" w:sz="4" w:space="0" w:color="auto"/>
              <w:right w:val="single" w:sz="4" w:space="0" w:color="auto"/>
            </w:tcBorders>
            <w:shd w:val="clear" w:color="auto" w:fill="auto"/>
            <w:noWrap/>
            <w:vAlign w:val="center"/>
            <w:hideMark/>
          </w:tcPr>
          <w:p w14:paraId="4221CAB5"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655.561.334</w:t>
            </w:r>
          </w:p>
        </w:tc>
        <w:tc>
          <w:tcPr>
            <w:tcW w:w="875" w:type="dxa"/>
            <w:tcBorders>
              <w:top w:val="nil"/>
              <w:left w:val="nil"/>
              <w:bottom w:val="single" w:sz="4" w:space="0" w:color="auto"/>
              <w:right w:val="single" w:sz="4" w:space="0" w:color="auto"/>
            </w:tcBorders>
            <w:shd w:val="clear" w:color="auto" w:fill="auto"/>
            <w:noWrap/>
            <w:vAlign w:val="center"/>
            <w:hideMark/>
          </w:tcPr>
          <w:p w14:paraId="256A47BD"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1.975.356.786</w:t>
            </w:r>
          </w:p>
        </w:tc>
        <w:tc>
          <w:tcPr>
            <w:tcW w:w="875" w:type="dxa"/>
            <w:tcBorders>
              <w:top w:val="nil"/>
              <w:left w:val="nil"/>
              <w:bottom w:val="single" w:sz="4" w:space="0" w:color="auto"/>
              <w:right w:val="single" w:sz="4" w:space="0" w:color="auto"/>
            </w:tcBorders>
            <w:shd w:val="clear" w:color="auto" w:fill="auto"/>
            <w:noWrap/>
            <w:vAlign w:val="center"/>
            <w:hideMark/>
          </w:tcPr>
          <w:p w14:paraId="794EEA29"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604.082.068</w:t>
            </w:r>
          </w:p>
        </w:tc>
        <w:tc>
          <w:tcPr>
            <w:tcW w:w="875" w:type="dxa"/>
            <w:tcBorders>
              <w:top w:val="nil"/>
              <w:left w:val="nil"/>
              <w:bottom w:val="single" w:sz="4" w:space="0" w:color="auto"/>
              <w:right w:val="single" w:sz="4" w:space="0" w:color="auto"/>
            </w:tcBorders>
            <w:shd w:val="clear" w:color="auto" w:fill="auto"/>
            <w:vAlign w:val="center"/>
            <w:hideMark/>
          </w:tcPr>
          <w:p w14:paraId="637A1231"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1.940.518.276</w:t>
            </w:r>
          </w:p>
        </w:tc>
        <w:tc>
          <w:tcPr>
            <w:tcW w:w="875" w:type="dxa"/>
            <w:tcBorders>
              <w:top w:val="nil"/>
              <w:left w:val="nil"/>
              <w:bottom w:val="single" w:sz="4" w:space="0" w:color="auto"/>
              <w:right w:val="single" w:sz="4" w:space="0" w:color="auto"/>
            </w:tcBorders>
            <w:shd w:val="clear" w:color="auto" w:fill="auto"/>
            <w:noWrap/>
            <w:vAlign w:val="center"/>
            <w:hideMark/>
          </w:tcPr>
          <w:p w14:paraId="5D18BFD6"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453.576.223</w:t>
            </w:r>
          </w:p>
        </w:tc>
        <w:tc>
          <w:tcPr>
            <w:tcW w:w="875" w:type="dxa"/>
            <w:tcBorders>
              <w:top w:val="nil"/>
              <w:left w:val="nil"/>
              <w:bottom w:val="single" w:sz="4" w:space="0" w:color="auto"/>
              <w:right w:val="single" w:sz="4" w:space="0" w:color="auto"/>
            </w:tcBorders>
            <w:shd w:val="clear" w:color="auto" w:fill="auto"/>
            <w:noWrap/>
            <w:vAlign w:val="center"/>
            <w:hideMark/>
          </w:tcPr>
          <w:p w14:paraId="19844D03"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1.115.381.464</w:t>
            </w:r>
          </w:p>
        </w:tc>
        <w:tc>
          <w:tcPr>
            <w:tcW w:w="779" w:type="dxa"/>
            <w:tcBorders>
              <w:top w:val="nil"/>
              <w:left w:val="nil"/>
              <w:bottom w:val="single" w:sz="4" w:space="0" w:color="auto"/>
              <w:right w:val="single" w:sz="4" w:space="0" w:color="auto"/>
            </w:tcBorders>
            <w:shd w:val="clear" w:color="auto" w:fill="auto"/>
            <w:noWrap/>
            <w:vAlign w:val="center"/>
            <w:hideMark/>
          </w:tcPr>
          <w:p w14:paraId="038B1E85"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208.586.593</w:t>
            </w:r>
          </w:p>
        </w:tc>
        <w:tc>
          <w:tcPr>
            <w:tcW w:w="779" w:type="dxa"/>
            <w:tcBorders>
              <w:top w:val="nil"/>
              <w:left w:val="nil"/>
              <w:bottom w:val="single" w:sz="4" w:space="0" w:color="auto"/>
              <w:right w:val="single" w:sz="4" w:space="0" w:color="auto"/>
            </w:tcBorders>
            <w:shd w:val="clear" w:color="auto" w:fill="auto"/>
            <w:noWrap/>
            <w:vAlign w:val="center"/>
            <w:hideMark/>
          </w:tcPr>
          <w:p w14:paraId="0B1E9129"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292.073.620</w:t>
            </w:r>
          </w:p>
        </w:tc>
        <w:tc>
          <w:tcPr>
            <w:tcW w:w="779" w:type="dxa"/>
            <w:tcBorders>
              <w:top w:val="nil"/>
              <w:left w:val="nil"/>
              <w:bottom w:val="single" w:sz="4" w:space="0" w:color="auto"/>
              <w:right w:val="single" w:sz="4" w:space="0" w:color="auto"/>
            </w:tcBorders>
            <w:shd w:val="clear" w:color="auto" w:fill="auto"/>
            <w:noWrap/>
            <w:vAlign w:val="center"/>
            <w:hideMark/>
          </w:tcPr>
          <w:p w14:paraId="2EB39841"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57.392.855</w:t>
            </w:r>
          </w:p>
        </w:tc>
        <w:tc>
          <w:tcPr>
            <w:tcW w:w="779" w:type="dxa"/>
            <w:tcBorders>
              <w:top w:val="nil"/>
              <w:left w:val="nil"/>
              <w:bottom w:val="single" w:sz="4" w:space="0" w:color="auto"/>
              <w:right w:val="single" w:sz="4" w:space="0" w:color="auto"/>
            </w:tcBorders>
            <w:shd w:val="clear" w:color="auto" w:fill="auto"/>
            <w:noWrap/>
            <w:vAlign w:val="center"/>
            <w:hideMark/>
          </w:tcPr>
          <w:p w14:paraId="3AE4BE98"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103.103.000</w:t>
            </w:r>
          </w:p>
        </w:tc>
        <w:tc>
          <w:tcPr>
            <w:tcW w:w="715" w:type="dxa"/>
            <w:tcBorders>
              <w:top w:val="nil"/>
              <w:left w:val="nil"/>
              <w:bottom w:val="single" w:sz="4" w:space="0" w:color="auto"/>
              <w:right w:val="single" w:sz="4" w:space="0" w:color="auto"/>
            </w:tcBorders>
            <w:shd w:val="clear" w:color="auto" w:fill="auto"/>
            <w:noWrap/>
            <w:vAlign w:val="center"/>
            <w:hideMark/>
          </w:tcPr>
          <w:p w14:paraId="7470A3E8"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23.400.000</w:t>
            </w:r>
          </w:p>
        </w:tc>
        <w:tc>
          <w:tcPr>
            <w:tcW w:w="779" w:type="dxa"/>
            <w:tcBorders>
              <w:top w:val="nil"/>
              <w:left w:val="nil"/>
              <w:bottom w:val="single" w:sz="4" w:space="0" w:color="auto"/>
              <w:right w:val="single" w:sz="4" w:space="0" w:color="auto"/>
            </w:tcBorders>
            <w:shd w:val="clear" w:color="auto" w:fill="auto"/>
            <w:noWrap/>
            <w:vAlign w:val="center"/>
            <w:hideMark/>
          </w:tcPr>
          <w:p w14:paraId="204D018E"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23.238.579</w:t>
            </w:r>
          </w:p>
        </w:tc>
        <w:tc>
          <w:tcPr>
            <w:tcW w:w="146" w:type="dxa"/>
            <w:vAlign w:val="center"/>
            <w:hideMark/>
          </w:tcPr>
          <w:p w14:paraId="45416B3E"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368B1458" w14:textId="77777777" w:rsidTr="004663BF">
        <w:trPr>
          <w:trHeight w:val="115"/>
          <w:jc w:val="center"/>
        </w:trPr>
        <w:tc>
          <w:tcPr>
            <w:tcW w:w="912" w:type="dxa"/>
            <w:tcBorders>
              <w:top w:val="nil"/>
              <w:left w:val="single" w:sz="4" w:space="0" w:color="auto"/>
              <w:bottom w:val="single" w:sz="4" w:space="0" w:color="auto"/>
              <w:right w:val="single" w:sz="4" w:space="0" w:color="auto"/>
            </w:tcBorders>
            <w:shd w:val="clear" w:color="000000" w:fill="5F497A"/>
            <w:vAlign w:val="center"/>
            <w:hideMark/>
          </w:tcPr>
          <w:p w14:paraId="3E806572" w14:textId="77777777" w:rsidR="00687E15" w:rsidRPr="00C44B45" w:rsidRDefault="00687E1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 xml:space="preserve">Diferencia </w:t>
            </w:r>
          </w:p>
        </w:tc>
        <w:tc>
          <w:tcPr>
            <w:tcW w:w="875" w:type="dxa"/>
            <w:tcBorders>
              <w:top w:val="nil"/>
              <w:left w:val="nil"/>
              <w:bottom w:val="single" w:sz="4" w:space="0" w:color="auto"/>
              <w:right w:val="single" w:sz="4" w:space="0" w:color="auto"/>
            </w:tcBorders>
            <w:shd w:val="clear" w:color="000000" w:fill="5F497A"/>
            <w:vAlign w:val="center"/>
            <w:hideMark/>
          </w:tcPr>
          <w:p w14:paraId="5EC0A7E5"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353.881.690</w:t>
            </w:r>
          </w:p>
        </w:tc>
        <w:tc>
          <w:tcPr>
            <w:tcW w:w="875" w:type="dxa"/>
            <w:tcBorders>
              <w:top w:val="nil"/>
              <w:left w:val="nil"/>
              <w:bottom w:val="single" w:sz="4" w:space="0" w:color="auto"/>
              <w:right w:val="single" w:sz="4" w:space="0" w:color="auto"/>
            </w:tcBorders>
            <w:shd w:val="clear" w:color="000000" w:fill="5F497A"/>
            <w:vAlign w:val="center"/>
            <w:hideMark/>
          </w:tcPr>
          <w:p w14:paraId="1FF5E219"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-739.801.964</w:t>
            </w:r>
          </w:p>
        </w:tc>
        <w:tc>
          <w:tcPr>
            <w:tcW w:w="875" w:type="dxa"/>
            <w:tcBorders>
              <w:top w:val="nil"/>
              <w:left w:val="nil"/>
              <w:bottom w:val="single" w:sz="4" w:space="0" w:color="auto"/>
              <w:right w:val="single" w:sz="4" w:space="0" w:color="auto"/>
            </w:tcBorders>
            <w:shd w:val="clear" w:color="000000" w:fill="5F497A"/>
            <w:vAlign w:val="center"/>
            <w:hideMark/>
          </w:tcPr>
          <w:p w14:paraId="36EF8DC2"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478.182.419</w:t>
            </w:r>
          </w:p>
        </w:tc>
        <w:tc>
          <w:tcPr>
            <w:tcW w:w="875" w:type="dxa"/>
            <w:tcBorders>
              <w:top w:val="nil"/>
              <w:left w:val="nil"/>
              <w:bottom w:val="single" w:sz="4" w:space="0" w:color="auto"/>
              <w:right w:val="single" w:sz="4" w:space="0" w:color="auto"/>
            </w:tcBorders>
            <w:shd w:val="clear" w:color="000000" w:fill="5F497A"/>
            <w:vAlign w:val="center"/>
            <w:hideMark/>
          </w:tcPr>
          <w:p w14:paraId="1F1E198E"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-407.481.371</w:t>
            </w:r>
          </w:p>
        </w:tc>
        <w:tc>
          <w:tcPr>
            <w:tcW w:w="875" w:type="dxa"/>
            <w:tcBorders>
              <w:top w:val="nil"/>
              <w:left w:val="nil"/>
              <w:bottom w:val="single" w:sz="4" w:space="0" w:color="auto"/>
              <w:right w:val="single" w:sz="4" w:space="0" w:color="auto"/>
            </w:tcBorders>
            <w:shd w:val="clear" w:color="000000" w:fill="5F497A"/>
            <w:vAlign w:val="center"/>
            <w:hideMark/>
          </w:tcPr>
          <w:p w14:paraId="60C71A66"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1.038.087.946</w:t>
            </w:r>
          </w:p>
        </w:tc>
        <w:tc>
          <w:tcPr>
            <w:tcW w:w="875" w:type="dxa"/>
            <w:tcBorders>
              <w:top w:val="nil"/>
              <w:left w:val="nil"/>
              <w:bottom w:val="single" w:sz="4" w:space="0" w:color="auto"/>
              <w:right w:val="single" w:sz="4" w:space="0" w:color="auto"/>
            </w:tcBorders>
            <w:shd w:val="clear" w:color="000000" w:fill="5F497A"/>
            <w:vAlign w:val="center"/>
            <w:hideMark/>
          </w:tcPr>
          <w:p w14:paraId="514CB5A3"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278.068.256</w:t>
            </w:r>
          </w:p>
        </w:tc>
        <w:tc>
          <w:tcPr>
            <w:tcW w:w="779" w:type="dxa"/>
            <w:tcBorders>
              <w:top w:val="nil"/>
              <w:left w:val="nil"/>
              <w:bottom w:val="single" w:sz="4" w:space="0" w:color="auto"/>
              <w:right w:val="single" w:sz="4" w:space="0" w:color="auto"/>
            </w:tcBorders>
            <w:shd w:val="clear" w:color="000000" w:fill="5F497A"/>
            <w:vAlign w:val="center"/>
            <w:hideMark/>
          </w:tcPr>
          <w:p w14:paraId="06E10E5A"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-103.352.829</w:t>
            </w:r>
          </w:p>
        </w:tc>
        <w:tc>
          <w:tcPr>
            <w:tcW w:w="779" w:type="dxa"/>
            <w:tcBorders>
              <w:top w:val="nil"/>
              <w:left w:val="nil"/>
              <w:bottom w:val="single" w:sz="4" w:space="0" w:color="auto"/>
              <w:right w:val="single" w:sz="4" w:space="0" w:color="auto"/>
            </w:tcBorders>
            <w:shd w:val="clear" w:color="000000" w:fill="5F497A"/>
            <w:vAlign w:val="center"/>
            <w:hideMark/>
          </w:tcPr>
          <w:p w14:paraId="02F047E6"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-248.881.229</w:t>
            </w:r>
          </w:p>
        </w:tc>
        <w:tc>
          <w:tcPr>
            <w:tcW w:w="779" w:type="dxa"/>
            <w:tcBorders>
              <w:top w:val="nil"/>
              <w:left w:val="nil"/>
              <w:bottom w:val="single" w:sz="4" w:space="0" w:color="auto"/>
              <w:right w:val="single" w:sz="4" w:space="0" w:color="auto"/>
            </w:tcBorders>
            <w:shd w:val="clear" w:color="000000" w:fill="5F497A"/>
            <w:vAlign w:val="center"/>
            <w:hideMark/>
          </w:tcPr>
          <w:p w14:paraId="5702F4AE"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37.249.800</w:t>
            </w:r>
          </w:p>
        </w:tc>
        <w:tc>
          <w:tcPr>
            <w:tcW w:w="779" w:type="dxa"/>
            <w:tcBorders>
              <w:top w:val="nil"/>
              <w:left w:val="nil"/>
              <w:bottom w:val="single" w:sz="4" w:space="0" w:color="auto"/>
              <w:right w:val="single" w:sz="4" w:space="0" w:color="auto"/>
            </w:tcBorders>
            <w:shd w:val="clear" w:color="000000" w:fill="5F497A"/>
            <w:vAlign w:val="center"/>
            <w:hideMark/>
          </w:tcPr>
          <w:p w14:paraId="2771A4E9"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-59.890.000</w:t>
            </w:r>
          </w:p>
        </w:tc>
        <w:tc>
          <w:tcPr>
            <w:tcW w:w="715" w:type="dxa"/>
            <w:tcBorders>
              <w:top w:val="nil"/>
              <w:left w:val="nil"/>
              <w:bottom w:val="single" w:sz="4" w:space="0" w:color="auto"/>
              <w:right w:val="single" w:sz="4" w:space="0" w:color="auto"/>
            </w:tcBorders>
            <w:shd w:val="clear" w:color="000000" w:fill="5F497A"/>
            <w:vAlign w:val="center"/>
            <w:hideMark/>
          </w:tcPr>
          <w:p w14:paraId="4DD04620"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8.927.680</w:t>
            </w:r>
          </w:p>
        </w:tc>
        <w:tc>
          <w:tcPr>
            <w:tcW w:w="779" w:type="dxa"/>
            <w:tcBorders>
              <w:top w:val="nil"/>
              <w:left w:val="nil"/>
              <w:bottom w:val="single" w:sz="4" w:space="0" w:color="auto"/>
              <w:right w:val="single" w:sz="4" w:space="0" w:color="auto"/>
            </w:tcBorders>
            <w:shd w:val="clear" w:color="000000" w:fill="5F497A"/>
            <w:vAlign w:val="center"/>
            <w:hideMark/>
          </w:tcPr>
          <w:p w14:paraId="4A1F1E67"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38.420.275</w:t>
            </w:r>
          </w:p>
        </w:tc>
        <w:tc>
          <w:tcPr>
            <w:tcW w:w="146" w:type="dxa"/>
            <w:vAlign w:val="center"/>
            <w:hideMark/>
          </w:tcPr>
          <w:p w14:paraId="26DE3B06"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15DDC462" w14:textId="77777777" w:rsidTr="004663B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10985288" w14:textId="77777777" w:rsidR="00687E15" w:rsidRPr="00C44B45" w:rsidRDefault="00687E1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Obligaciones (Ejecución)</w:t>
            </w:r>
          </w:p>
        </w:tc>
        <w:tc>
          <w:tcPr>
            <w:tcW w:w="875" w:type="dxa"/>
            <w:tcBorders>
              <w:top w:val="nil"/>
              <w:left w:val="nil"/>
              <w:bottom w:val="single" w:sz="4" w:space="0" w:color="auto"/>
              <w:right w:val="single" w:sz="4" w:space="0" w:color="auto"/>
            </w:tcBorders>
            <w:shd w:val="clear" w:color="auto" w:fill="auto"/>
            <w:vAlign w:val="center"/>
            <w:hideMark/>
          </w:tcPr>
          <w:p w14:paraId="3EA2E7B9"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1.009.709.324</w:t>
            </w:r>
          </w:p>
        </w:tc>
        <w:tc>
          <w:tcPr>
            <w:tcW w:w="875" w:type="dxa"/>
            <w:tcBorders>
              <w:top w:val="nil"/>
              <w:left w:val="nil"/>
              <w:bottom w:val="single" w:sz="4" w:space="0" w:color="auto"/>
              <w:right w:val="single" w:sz="4" w:space="0" w:color="auto"/>
            </w:tcBorders>
            <w:shd w:val="clear" w:color="auto" w:fill="auto"/>
            <w:noWrap/>
            <w:vAlign w:val="center"/>
            <w:hideMark/>
          </w:tcPr>
          <w:p w14:paraId="0AA08684"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1.235.554.822</w:t>
            </w:r>
          </w:p>
        </w:tc>
        <w:tc>
          <w:tcPr>
            <w:tcW w:w="875" w:type="dxa"/>
            <w:tcBorders>
              <w:top w:val="nil"/>
              <w:left w:val="nil"/>
              <w:bottom w:val="single" w:sz="4" w:space="0" w:color="auto"/>
              <w:right w:val="single" w:sz="4" w:space="0" w:color="auto"/>
            </w:tcBorders>
            <w:shd w:val="clear" w:color="auto" w:fill="auto"/>
            <w:noWrap/>
            <w:vAlign w:val="center"/>
            <w:hideMark/>
          </w:tcPr>
          <w:p w14:paraId="4B55356B"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1.065.472.753</w:t>
            </w:r>
          </w:p>
        </w:tc>
        <w:tc>
          <w:tcPr>
            <w:tcW w:w="875" w:type="dxa"/>
            <w:tcBorders>
              <w:top w:val="nil"/>
              <w:left w:val="nil"/>
              <w:bottom w:val="single" w:sz="4" w:space="0" w:color="auto"/>
              <w:right w:val="single" w:sz="4" w:space="0" w:color="auto"/>
            </w:tcBorders>
            <w:shd w:val="clear" w:color="auto" w:fill="auto"/>
            <w:noWrap/>
            <w:vAlign w:val="center"/>
            <w:hideMark/>
          </w:tcPr>
          <w:p w14:paraId="1EEF1DF1"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1.503.849.567</w:t>
            </w:r>
          </w:p>
        </w:tc>
        <w:tc>
          <w:tcPr>
            <w:tcW w:w="875" w:type="dxa"/>
            <w:tcBorders>
              <w:top w:val="nil"/>
              <w:left w:val="nil"/>
              <w:bottom w:val="single" w:sz="4" w:space="0" w:color="auto"/>
              <w:right w:val="single" w:sz="4" w:space="0" w:color="auto"/>
            </w:tcBorders>
            <w:shd w:val="clear" w:color="auto" w:fill="auto"/>
            <w:noWrap/>
            <w:vAlign w:val="center"/>
            <w:hideMark/>
          </w:tcPr>
          <w:p w14:paraId="565C78BF"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1.470.164.173</w:t>
            </w:r>
          </w:p>
        </w:tc>
        <w:tc>
          <w:tcPr>
            <w:tcW w:w="875" w:type="dxa"/>
            <w:tcBorders>
              <w:top w:val="nil"/>
              <w:left w:val="nil"/>
              <w:bottom w:val="single" w:sz="4" w:space="0" w:color="auto"/>
              <w:right w:val="single" w:sz="4" w:space="0" w:color="auto"/>
            </w:tcBorders>
            <w:shd w:val="clear" w:color="auto" w:fill="auto"/>
            <w:noWrap/>
            <w:vAlign w:val="center"/>
            <w:hideMark/>
          </w:tcPr>
          <w:p w14:paraId="34911B31"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1.369.239.554</w:t>
            </w:r>
          </w:p>
        </w:tc>
        <w:tc>
          <w:tcPr>
            <w:tcW w:w="779" w:type="dxa"/>
            <w:tcBorders>
              <w:top w:val="nil"/>
              <w:left w:val="nil"/>
              <w:bottom w:val="single" w:sz="4" w:space="0" w:color="auto"/>
              <w:right w:val="single" w:sz="4" w:space="0" w:color="auto"/>
            </w:tcBorders>
            <w:shd w:val="clear" w:color="auto" w:fill="auto"/>
            <w:noWrap/>
            <w:vAlign w:val="center"/>
            <w:hideMark/>
          </w:tcPr>
          <w:p w14:paraId="3DCCFE8B"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105.233.764</w:t>
            </w:r>
          </w:p>
        </w:tc>
        <w:tc>
          <w:tcPr>
            <w:tcW w:w="779" w:type="dxa"/>
            <w:tcBorders>
              <w:top w:val="nil"/>
              <w:left w:val="nil"/>
              <w:bottom w:val="single" w:sz="4" w:space="0" w:color="auto"/>
              <w:right w:val="single" w:sz="4" w:space="0" w:color="auto"/>
            </w:tcBorders>
            <w:shd w:val="clear" w:color="auto" w:fill="auto"/>
            <w:noWrap/>
            <w:vAlign w:val="center"/>
            <w:hideMark/>
          </w:tcPr>
          <w:p w14:paraId="7C4DE8DE"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43.192.391</w:t>
            </w:r>
          </w:p>
        </w:tc>
        <w:tc>
          <w:tcPr>
            <w:tcW w:w="779" w:type="dxa"/>
            <w:tcBorders>
              <w:top w:val="nil"/>
              <w:left w:val="nil"/>
              <w:bottom w:val="single" w:sz="4" w:space="0" w:color="auto"/>
              <w:right w:val="single" w:sz="4" w:space="0" w:color="auto"/>
            </w:tcBorders>
            <w:shd w:val="clear" w:color="auto" w:fill="auto"/>
            <w:noWrap/>
            <w:vAlign w:val="center"/>
            <w:hideMark/>
          </w:tcPr>
          <w:p w14:paraId="53EB8CB3"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94.589.754</w:t>
            </w:r>
          </w:p>
        </w:tc>
        <w:tc>
          <w:tcPr>
            <w:tcW w:w="779" w:type="dxa"/>
            <w:tcBorders>
              <w:top w:val="nil"/>
              <w:left w:val="nil"/>
              <w:bottom w:val="single" w:sz="4" w:space="0" w:color="auto"/>
              <w:right w:val="single" w:sz="4" w:space="0" w:color="auto"/>
            </w:tcBorders>
            <w:shd w:val="clear" w:color="auto" w:fill="auto"/>
            <w:noWrap/>
            <w:vAlign w:val="center"/>
            <w:hideMark/>
          </w:tcPr>
          <w:p w14:paraId="0E819934"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43.213.000</w:t>
            </w:r>
          </w:p>
        </w:tc>
        <w:tc>
          <w:tcPr>
            <w:tcW w:w="715" w:type="dxa"/>
            <w:tcBorders>
              <w:top w:val="nil"/>
              <w:left w:val="nil"/>
              <w:bottom w:val="single" w:sz="4" w:space="0" w:color="auto"/>
              <w:right w:val="single" w:sz="4" w:space="0" w:color="auto"/>
            </w:tcBorders>
            <w:shd w:val="clear" w:color="auto" w:fill="auto"/>
            <w:noWrap/>
            <w:vAlign w:val="center"/>
            <w:hideMark/>
          </w:tcPr>
          <w:p w14:paraId="1CDF2221"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32.327.680</w:t>
            </w:r>
          </w:p>
        </w:tc>
        <w:tc>
          <w:tcPr>
            <w:tcW w:w="779" w:type="dxa"/>
            <w:tcBorders>
              <w:top w:val="nil"/>
              <w:left w:val="nil"/>
              <w:bottom w:val="single" w:sz="4" w:space="0" w:color="auto"/>
              <w:right w:val="single" w:sz="4" w:space="0" w:color="auto"/>
            </w:tcBorders>
            <w:shd w:val="clear" w:color="auto" w:fill="auto"/>
            <w:noWrap/>
            <w:vAlign w:val="center"/>
            <w:hideMark/>
          </w:tcPr>
          <w:p w14:paraId="372D1558"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40.761.964</w:t>
            </w:r>
          </w:p>
        </w:tc>
        <w:tc>
          <w:tcPr>
            <w:tcW w:w="146" w:type="dxa"/>
            <w:vAlign w:val="center"/>
            <w:hideMark/>
          </w:tcPr>
          <w:p w14:paraId="5798A423"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3C64A189" w14:textId="77777777" w:rsidTr="004663B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77C3AC21" w14:textId="77777777" w:rsidR="00687E15" w:rsidRPr="00C44B45" w:rsidRDefault="00687E1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Obligaciones FUT</w:t>
            </w:r>
          </w:p>
        </w:tc>
        <w:tc>
          <w:tcPr>
            <w:tcW w:w="875" w:type="dxa"/>
            <w:tcBorders>
              <w:top w:val="nil"/>
              <w:left w:val="nil"/>
              <w:bottom w:val="single" w:sz="4" w:space="0" w:color="auto"/>
              <w:right w:val="single" w:sz="4" w:space="0" w:color="auto"/>
            </w:tcBorders>
            <w:shd w:val="clear" w:color="auto" w:fill="auto"/>
            <w:noWrap/>
            <w:vAlign w:val="center"/>
            <w:hideMark/>
          </w:tcPr>
          <w:p w14:paraId="28AF6799"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653.964.234</w:t>
            </w:r>
          </w:p>
        </w:tc>
        <w:tc>
          <w:tcPr>
            <w:tcW w:w="875" w:type="dxa"/>
            <w:tcBorders>
              <w:top w:val="nil"/>
              <w:left w:val="nil"/>
              <w:bottom w:val="single" w:sz="4" w:space="0" w:color="auto"/>
              <w:right w:val="single" w:sz="4" w:space="0" w:color="auto"/>
            </w:tcBorders>
            <w:shd w:val="clear" w:color="auto" w:fill="auto"/>
            <w:noWrap/>
            <w:vAlign w:val="center"/>
            <w:hideMark/>
          </w:tcPr>
          <w:p w14:paraId="6C262AED"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1.971.909.086</w:t>
            </w:r>
          </w:p>
        </w:tc>
        <w:tc>
          <w:tcPr>
            <w:tcW w:w="875" w:type="dxa"/>
            <w:tcBorders>
              <w:top w:val="nil"/>
              <w:left w:val="nil"/>
              <w:bottom w:val="single" w:sz="4" w:space="0" w:color="auto"/>
              <w:right w:val="single" w:sz="4" w:space="0" w:color="auto"/>
            </w:tcBorders>
            <w:shd w:val="clear" w:color="auto" w:fill="auto"/>
            <w:noWrap/>
            <w:vAlign w:val="center"/>
            <w:hideMark/>
          </w:tcPr>
          <w:p w14:paraId="0F49B7D8"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602.759.657</w:t>
            </w:r>
          </w:p>
        </w:tc>
        <w:tc>
          <w:tcPr>
            <w:tcW w:w="875" w:type="dxa"/>
            <w:tcBorders>
              <w:top w:val="nil"/>
              <w:left w:val="nil"/>
              <w:bottom w:val="single" w:sz="4" w:space="0" w:color="auto"/>
              <w:right w:val="single" w:sz="4" w:space="0" w:color="auto"/>
            </w:tcBorders>
            <w:shd w:val="clear" w:color="auto" w:fill="auto"/>
            <w:noWrap/>
            <w:vAlign w:val="center"/>
            <w:hideMark/>
          </w:tcPr>
          <w:p w14:paraId="1A1E82C2"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1.632.286.002</w:t>
            </w:r>
          </w:p>
        </w:tc>
        <w:tc>
          <w:tcPr>
            <w:tcW w:w="875" w:type="dxa"/>
            <w:tcBorders>
              <w:top w:val="nil"/>
              <w:left w:val="nil"/>
              <w:bottom w:val="single" w:sz="4" w:space="0" w:color="auto"/>
              <w:right w:val="single" w:sz="4" w:space="0" w:color="auto"/>
            </w:tcBorders>
            <w:shd w:val="clear" w:color="auto" w:fill="auto"/>
            <w:noWrap/>
            <w:vAlign w:val="center"/>
            <w:hideMark/>
          </w:tcPr>
          <w:p w14:paraId="1F8B032D"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432.076.227</w:t>
            </w:r>
          </w:p>
        </w:tc>
        <w:tc>
          <w:tcPr>
            <w:tcW w:w="875" w:type="dxa"/>
            <w:tcBorders>
              <w:top w:val="nil"/>
              <w:left w:val="nil"/>
              <w:bottom w:val="single" w:sz="4" w:space="0" w:color="auto"/>
              <w:right w:val="single" w:sz="4" w:space="0" w:color="auto"/>
            </w:tcBorders>
            <w:shd w:val="clear" w:color="auto" w:fill="auto"/>
            <w:noWrap/>
            <w:vAlign w:val="center"/>
            <w:hideMark/>
          </w:tcPr>
          <w:p w14:paraId="33059FC1"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983.254.099</w:t>
            </w:r>
          </w:p>
        </w:tc>
        <w:tc>
          <w:tcPr>
            <w:tcW w:w="779" w:type="dxa"/>
            <w:tcBorders>
              <w:top w:val="nil"/>
              <w:left w:val="nil"/>
              <w:bottom w:val="single" w:sz="4" w:space="0" w:color="auto"/>
              <w:right w:val="single" w:sz="4" w:space="0" w:color="auto"/>
            </w:tcBorders>
            <w:shd w:val="clear" w:color="auto" w:fill="auto"/>
            <w:noWrap/>
            <w:vAlign w:val="center"/>
            <w:hideMark/>
          </w:tcPr>
          <w:p w14:paraId="79CE70BF"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208.586.593</w:t>
            </w:r>
          </w:p>
        </w:tc>
        <w:tc>
          <w:tcPr>
            <w:tcW w:w="779" w:type="dxa"/>
            <w:tcBorders>
              <w:top w:val="nil"/>
              <w:left w:val="nil"/>
              <w:bottom w:val="single" w:sz="4" w:space="0" w:color="auto"/>
              <w:right w:val="single" w:sz="4" w:space="0" w:color="auto"/>
            </w:tcBorders>
            <w:shd w:val="clear" w:color="auto" w:fill="auto"/>
            <w:noWrap/>
            <w:vAlign w:val="center"/>
            <w:hideMark/>
          </w:tcPr>
          <w:p w14:paraId="7FC85415"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292.073.620</w:t>
            </w:r>
          </w:p>
        </w:tc>
        <w:tc>
          <w:tcPr>
            <w:tcW w:w="779" w:type="dxa"/>
            <w:tcBorders>
              <w:top w:val="nil"/>
              <w:left w:val="nil"/>
              <w:bottom w:val="single" w:sz="4" w:space="0" w:color="auto"/>
              <w:right w:val="single" w:sz="4" w:space="0" w:color="auto"/>
            </w:tcBorders>
            <w:shd w:val="clear" w:color="auto" w:fill="auto"/>
            <w:noWrap/>
            <w:vAlign w:val="center"/>
            <w:hideMark/>
          </w:tcPr>
          <w:p w14:paraId="434E9DD8"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43.649.855</w:t>
            </w:r>
          </w:p>
        </w:tc>
        <w:tc>
          <w:tcPr>
            <w:tcW w:w="779" w:type="dxa"/>
            <w:tcBorders>
              <w:top w:val="nil"/>
              <w:left w:val="nil"/>
              <w:bottom w:val="single" w:sz="4" w:space="0" w:color="auto"/>
              <w:right w:val="single" w:sz="4" w:space="0" w:color="auto"/>
            </w:tcBorders>
            <w:shd w:val="clear" w:color="auto" w:fill="auto"/>
            <w:noWrap/>
            <w:vAlign w:val="center"/>
            <w:hideMark/>
          </w:tcPr>
          <w:p w14:paraId="3A0A36D2"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103.103.000</w:t>
            </w:r>
          </w:p>
        </w:tc>
        <w:tc>
          <w:tcPr>
            <w:tcW w:w="715" w:type="dxa"/>
            <w:tcBorders>
              <w:top w:val="nil"/>
              <w:left w:val="nil"/>
              <w:bottom w:val="single" w:sz="4" w:space="0" w:color="auto"/>
              <w:right w:val="single" w:sz="4" w:space="0" w:color="auto"/>
            </w:tcBorders>
            <w:shd w:val="clear" w:color="auto" w:fill="auto"/>
            <w:noWrap/>
            <w:vAlign w:val="center"/>
            <w:hideMark/>
          </w:tcPr>
          <w:p w14:paraId="34E5D77A"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23.400.000</w:t>
            </w:r>
          </w:p>
        </w:tc>
        <w:tc>
          <w:tcPr>
            <w:tcW w:w="779" w:type="dxa"/>
            <w:tcBorders>
              <w:top w:val="nil"/>
              <w:left w:val="nil"/>
              <w:bottom w:val="single" w:sz="4" w:space="0" w:color="auto"/>
              <w:right w:val="single" w:sz="4" w:space="0" w:color="auto"/>
            </w:tcBorders>
            <w:shd w:val="clear" w:color="auto" w:fill="auto"/>
            <w:noWrap/>
            <w:vAlign w:val="center"/>
            <w:hideMark/>
          </w:tcPr>
          <w:p w14:paraId="70883E35"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23.238.579</w:t>
            </w:r>
          </w:p>
        </w:tc>
        <w:tc>
          <w:tcPr>
            <w:tcW w:w="146" w:type="dxa"/>
            <w:vAlign w:val="center"/>
            <w:hideMark/>
          </w:tcPr>
          <w:p w14:paraId="35C75DC2"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4221E375" w14:textId="77777777" w:rsidTr="004663BF">
        <w:trPr>
          <w:trHeight w:val="115"/>
          <w:jc w:val="center"/>
        </w:trPr>
        <w:tc>
          <w:tcPr>
            <w:tcW w:w="912" w:type="dxa"/>
            <w:tcBorders>
              <w:top w:val="nil"/>
              <w:left w:val="single" w:sz="4" w:space="0" w:color="auto"/>
              <w:bottom w:val="single" w:sz="4" w:space="0" w:color="auto"/>
              <w:right w:val="single" w:sz="4" w:space="0" w:color="auto"/>
            </w:tcBorders>
            <w:shd w:val="clear" w:color="000000" w:fill="5F497A"/>
            <w:vAlign w:val="center"/>
            <w:hideMark/>
          </w:tcPr>
          <w:p w14:paraId="7B95D83D" w14:textId="77777777" w:rsidR="00687E15" w:rsidRPr="00C44B45" w:rsidRDefault="00687E1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Diferencia</w:t>
            </w:r>
          </w:p>
        </w:tc>
        <w:tc>
          <w:tcPr>
            <w:tcW w:w="875" w:type="dxa"/>
            <w:tcBorders>
              <w:top w:val="nil"/>
              <w:left w:val="nil"/>
              <w:bottom w:val="single" w:sz="4" w:space="0" w:color="auto"/>
              <w:right w:val="single" w:sz="4" w:space="0" w:color="auto"/>
            </w:tcBorders>
            <w:shd w:val="clear" w:color="000000" w:fill="5F497A"/>
            <w:vAlign w:val="center"/>
            <w:hideMark/>
          </w:tcPr>
          <w:p w14:paraId="3E958356"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355.745.090</w:t>
            </w:r>
          </w:p>
        </w:tc>
        <w:tc>
          <w:tcPr>
            <w:tcW w:w="875" w:type="dxa"/>
            <w:tcBorders>
              <w:top w:val="nil"/>
              <w:left w:val="nil"/>
              <w:bottom w:val="single" w:sz="4" w:space="0" w:color="auto"/>
              <w:right w:val="single" w:sz="4" w:space="0" w:color="auto"/>
            </w:tcBorders>
            <w:shd w:val="clear" w:color="000000" w:fill="5F497A"/>
            <w:vAlign w:val="center"/>
            <w:hideMark/>
          </w:tcPr>
          <w:p w14:paraId="08DC58BB"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-736.354.264</w:t>
            </w:r>
          </w:p>
        </w:tc>
        <w:tc>
          <w:tcPr>
            <w:tcW w:w="875" w:type="dxa"/>
            <w:tcBorders>
              <w:top w:val="nil"/>
              <w:left w:val="nil"/>
              <w:bottom w:val="single" w:sz="4" w:space="0" w:color="auto"/>
              <w:right w:val="single" w:sz="4" w:space="0" w:color="auto"/>
            </w:tcBorders>
            <w:shd w:val="clear" w:color="000000" w:fill="5F497A"/>
            <w:vAlign w:val="center"/>
            <w:hideMark/>
          </w:tcPr>
          <w:p w14:paraId="0844B349"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462.713.096</w:t>
            </w:r>
          </w:p>
        </w:tc>
        <w:tc>
          <w:tcPr>
            <w:tcW w:w="875" w:type="dxa"/>
            <w:tcBorders>
              <w:top w:val="nil"/>
              <w:left w:val="nil"/>
              <w:bottom w:val="single" w:sz="4" w:space="0" w:color="auto"/>
              <w:right w:val="single" w:sz="4" w:space="0" w:color="auto"/>
            </w:tcBorders>
            <w:shd w:val="clear" w:color="000000" w:fill="5F497A"/>
            <w:vAlign w:val="center"/>
            <w:hideMark/>
          </w:tcPr>
          <w:p w14:paraId="4E9EB795"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-128.436.435</w:t>
            </w:r>
          </w:p>
        </w:tc>
        <w:tc>
          <w:tcPr>
            <w:tcW w:w="875" w:type="dxa"/>
            <w:tcBorders>
              <w:top w:val="nil"/>
              <w:left w:val="nil"/>
              <w:bottom w:val="single" w:sz="4" w:space="0" w:color="auto"/>
              <w:right w:val="single" w:sz="4" w:space="0" w:color="auto"/>
            </w:tcBorders>
            <w:shd w:val="clear" w:color="000000" w:fill="5F497A"/>
            <w:vAlign w:val="center"/>
            <w:hideMark/>
          </w:tcPr>
          <w:p w14:paraId="39F5B495"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1.038.087.946</w:t>
            </w:r>
          </w:p>
        </w:tc>
        <w:tc>
          <w:tcPr>
            <w:tcW w:w="875" w:type="dxa"/>
            <w:tcBorders>
              <w:top w:val="nil"/>
              <w:left w:val="nil"/>
              <w:bottom w:val="single" w:sz="4" w:space="0" w:color="auto"/>
              <w:right w:val="single" w:sz="4" w:space="0" w:color="auto"/>
            </w:tcBorders>
            <w:shd w:val="clear" w:color="000000" w:fill="5F497A"/>
            <w:vAlign w:val="center"/>
            <w:hideMark/>
          </w:tcPr>
          <w:p w14:paraId="221D8FB9"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385.985.455</w:t>
            </w:r>
          </w:p>
        </w:tc>
        <w:tc>
          <w:tcPr>
            <w:tcW w:w="779" w:type="dxa"/>
            <w:tcBorders>
              <w:top w:val="nil"/>
              <w:left w:val="nil"/>
              <w:bottom w:val="single" w:sz="4" w:space="0" w:color="auto"/>
              <w:right w:val="single" w:sz="4" w:space="0" w:color="auto"/>
            </w:tcBorders>
            <w:shd w:val="clear" w:color="000000" w:fill="5F497A"/>
            <w:vAlign w:val="center"/>
            <w:hideMark/>
          </w:tcPr>
          <w:p w14:paraId="631F6CA5"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-103.352.829</w:t>
            </w:r>
          </w:p>
        </w:tc>
        <w:tc>
          <w:tcPr>
            <w:tcW w:w="779" w:type="dxa"/>
            <w:tcBorders>
              <w:top w:val="nil"/>
              <w:left w:val="nil"/>
              <w:bottom w:val="single" w:sz="4" w:space="0" w:color="auto"/>
              <w:right w:val="single" w:sz="4" w:space="0" w:color="auto"/>
            </w:tcBorders>
            <w:shd w:val="clear" w:color="000000" w:fill="5F497A"/>
            <w:vAlign w:val="center"/>
            <w:hideMark/>
          </w:tcPr>
          <w:p w14:paraId="4797D7DF"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-248.881.229</w:t>
            </w:r>
          </w:p>
        </w:tc>
        <w:tc>
          <w:tcPr>
            <w:tcW w:w="779" w:type="dxa"/>
            <w:tcBorders>
              <w:top w:val="nil"/>
              <w:left w:val="nil"/>
              <w:bottom w:val="single" w:sz="4" w:space="0" w:color="auto"/>
              <w:right w:val="single" w:sz="4" w:space="0" w:color="auto"/>
            </w:tcBorders>
            <w:shd w:val="clear" w:color="000000" w:fill="5F497A"/>
            <w:vAlign w:val="center"/>
            <w:hideMark/>
          </w:tcPr>
          <w:p w14:paraId="27416F5D"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50.939.899</w:t>
            </w:r>
          </w:p>
        </w:tc>
        <w:tc>
          <w:tcPr>
            <w:tcW w:w="779" w:type="dxa"/>
            <w:tcBorders>
              <w:top w:val="nil"/>
              <w:left w:val="nil"/>
              <w:bottom w:val="single" w:sz="4" w:space="0" w:color="auto"/>
              <w:right w:val="single" w:sz="4" w:space="0" w:color="auto"/>
            </w:tcBorders>
            <w:shd w:val="clear" w:color="000000" w:fill="5F497A"/>
            <w:vAlign w:val="center"/>
            <w:hideMark/>
          </w:tcPr>
          <w:p w14:paraId="145A051A"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-59.890.000</w:t>
            </w:r>
          </w:p>
        </w:tc>
        <w:tc>
          <w:tcPr>
            <w:tcW w:w="715" w:type="dxa"/>
            <w:tcBorders>
              <w:top w:val="nil"/>
              <w:left w:val="nil"/>
              <w:bottom w:val="single" w:sz="4" w:space="0" w:color="auto"/>
              <w:right w:val="single" w:sz="4" w:space="0" w:color="auto"/>
            </w:tcBorders>
            <w:shd w:val="clear" w:color="000000" w:fill="5F497A"/>
            <w:vAlign w:val="center"/>
            <w:hideMark/>
          </w:tcPr>
          <w:p w14:paraId="5C826067"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8.927.680</w:t>
            </w:r>
          </w:p>
        </w:tc>
        <w:tc>
          <w:tcPr>
            <w:tcW w:w="779" w:type="dxa"/>
            <w:tcBorders>
              <w:top w:val="nil"/>
              <w:left w:val="nil"/>
              <w:bottom w:val="single" w:sz="4" w:space="0" w:color="auto"/>
              <w:right w:val="single" w:sz="4" w:space="0" w:color="auto"/>
            </w:tcBorders>
            <w:shd w:val="clear" w:color="000000" w:fill="5F497A"/>
            <w:vAlign w:val="center"/>
            <w:hideMark/>
          </w:tcPr>
          <w:p w14:paraId="10B944D5"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17.523.385</w:t>
            </w:r>
          </w:p>
        </w:tc>
        <w:tc>
          <w:tcPr>
            <w:tcW w:w="146" w:type="dxa"/>
            <w:vAlign w:val="center"/>
            <w:hideMark/>
          </w:tcPr>
          <w:p w14:paraId="2E926B0F"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5A694143" w14:textId="77777777" w:rsidTr="004663B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291FE482" w14:textId="77777777" w:rsidR="00687E15" w:rsidRPr="00C44B45" w:rsidRDefault="00687E1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Pagos (Ejecución)</w:t>
            </w:r>
          </w:p>
        </w:tc>
        <w:tc>
          <w:tcPr>
            <w:tcW w:w="875" w:type="dxa"/>
            <w:tcBorders>
              <w:top w:val="nil"/>
              <w:left w:val="nil"/>
              <w:bottom w:val="single" w:sz="4" w:space="0" w:color="auto"/>
              <w:right w:val="single" w:sz="4" w:space="0" w:color="auto"/>
            </w:tcBorders>
            <w:shd w:val="clear" w:color="auto" w:fill="auto"/>
            <w:vAlign w:val="center"/>
            <w:hideMark/>
          </w:tcPr>
          <w:p w14:paraId="478E235F"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984.778.320</w:t>
            </w:r>
          </w:p>
        </w:tc>
        <w:tc>
          <w:tcPr>
            <w:tcW w:w="875" w:type="dxa"/>
            <w:tcBorders>
              <w:top w:val="nil"/>
              <w:left w:val="nil"/>
              <w:bottom w:val="single" w:sz="4" w:space="0" w:color="auto"/>
              <w:right w:val="single" w:sz="4" w:space="0" w:color="auto"/>
            </w:tcBorders>
            <w:shd w:val="clear" w:color="auto" w:fill="auto"/>
            <w:noWrap/>
            <w:vAlign w:val="center"/>
            <w:hideMark/>
          </w:tcPr>
          <w:p w14:paraId="32EFCCAD"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1.212.033.516</w:t>
            </w:r>
          </w:p>
        </w:tc>
        <w:tc>
          <w:tcPr>
            <w:tcW w:w="875" w:type="dxa"/>
            <w:tcBorders>
              <w:top w:val="nil"/>
              <w:left w:val="nil"/>
              <w:bottom w:val="single" w:sz="4" w:space="0" w:color="auto"/>
              <w:right w:val="single" w:sz="4" w:space="0" w:color="auto"/>
            </w:tcBorders>
            <w:shd w:val="clear" w:color="auto" w:fill="auto"/>
            <w:noWrap/>
            <w:vAlign w:val="center"/>
            <w:hideMark/>
          </w:tcPr>
          <w:p w14:paraId="348BE888"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1.035.417.600</w:t>
            </w:r>
          </w:p>
        </w:tc>
        <w:tc>
          <w:tcPr>
            <w:tcW w:w="875" w:type="dxa"/>
            <w:tcBorders>
              <w:top w:val="nil"/>
              <w:left w:val="nil"/>
              <w:bottom w:val="single" w:sz="4" w:space="0" w:color="auto"/>
              <w:right w:val="single" w:sz="4" w:space="0" w:color="auto"/>
            </w:tcBorders>
            <w:shd w:val="clear" w:color="auto" w:fill="auto"/>
            <w:noWrap/>
            <w:vAlign w:val="center"/>
            <w:hideMark/>
          </w:tcPr>
          <w:p w14:paraId="76648185"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1.428.200.500</w:t>
            </w:r>
          </w:p>
        </w:tc>
        <w:tc>
          <w:tcPr>
            <w:tcW w:w="875" w:type="dxa"/>
            <w:tcBorders>
              <w:top w:val="nil"/>
              <w:left w:val="nil"/>
              <w:bottom w:val="single" w:sz="4" w:space="0" w:color="auto"/>
              <w:right w:val="single" w:sz="4" w:space="0" w:color="auto"/>
            </w:tcBorders>
            <w:shd w:val="clear" w:color="auto" w:fill="auto"/>
            <w:noWrap/>
            <w:vAlign w:val="center"/>
            <w:hideMark/>
          </w:tcPr>
          <w:p w14:paraId="08C9BC89"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1.439.639.173</w:t>
            </w:r>
          </w:p>
        </w:tc>
        <w:tc>
          <w:tcPr>
            <w:tcW w:w="875" w:type="dxa"/>
            <w:tcBorders>
              <w:top w:val="nil"/>
              <w:left w:val="nil"/>
              <w:bottom w:val="single" w:sz="4" w:space="0" w:color="auto"/>
              <w:right w:val="single" w:sz="4" w:space="0" w:color="auto"/>
            </w:tcBorders>
            <w:shd w:val="clear" w:color="auto" w:fill="auto"/>
            <w:noWrap/>
            <w:vAlign w:val="center"/>
            <w:hideMark/>
          </w:tcPr>
          <w:p w14:paraId="3E5298EE"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1.352.264.554</w:t>
            </w:r>
          </w:p>
        </w:tc>
        <w:tc>
          <w:tcPr>
            <w:tcW w:w="779" w:type="dxa"/>
            <w:tcBorders>
              <w:top w:val="nil"/>
              <w:left w:val="nil"/>
              <w:bottom w:val="single" w:sz="4" w:space="0" w:color="auto"/>
              <w:right w:val="single" w:sz="4" w:space="0" w:color="auto"/>
            </w:tcBorders>
            <w:shd w:val="clear" w:color="auto" w:fill="auto"/>
            <w:noWrap/>
            <w:vAlign w:val="center"/>
            <w:hideMark/>
          </w:tcPr>
          <w:p w14:paraId="01C1AF0B"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105.233.764</w:t>
            </w:r>
          </w:p>
        </w:tc>
        <w:tc>
          <w:tcPr>
            <w:tcW w:w="779" w:type="dxa"/>
            <w:tcBorders>
              <w:top w:val="nil"/>
              <w:left w:val="nil"/>
              <w:bottom w:val="single" w:sz="4" w:space="0" w:color="auto"/>
              <w:right w:val="single" w:sz="4" w:space="0" w:color="auto"/>
            </w:tcBorders>
            <w:shd w:val="clear" w:color="auto" w:fill="auto"/>
            <w:noWrap/>
            <w:vAlign w:val="center"/>
            <w:hideMark/>
          </w:tcPr>
          <w:p w14:paraId="7E64DE88"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43.192.391</w:t>
            </w:r>
          </w:p>
        </w:tc>
        <w:tc>
          <w:tcPr>
            <w:tcW w:w="779" w:type="dxa"/>
            <w:tcBorders>
              <w:top w:val="nil"/>
              <w:left w:val="nil"/>
              <w:bottom w:val="single" w:sz="4" w:space="0" w:color="auto"/>
              <w:right w:val="single" w:sz="4" w:space="0" w:color="auto"/>
            </w:tcBorders>
            <w:shd w:val="clear" w:color="auto" w:fill="auto"/>
            <w:noWrap/>
            <w:vAlign w:val="center"/>
            <w:hideMark/>
          </w:tcPr>
          <w:p w14:paraId="7EBA07AF"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94.589.754</w:t>
            </w:r>
          </w:p>
        </w:tc>
        <w:tc>
          <w:tcPr>
            <w:tcW w:w="779" w:type="dxa"/>
            <w:tcBorders>
              <w:top w:val="nil"/>
              <w:left w:val="nil"/>
              <w:bottom w:val="single" w:sz="4" w:space="0" w:color="auto"/>
              <w:right w:val="single" w:sz="4" w:space="0" w:color="auto"/>
            </w:tcBorders>
            <w:shd w:val="clear" w:color="auto" w:fill="auto"/>
            <w:noWrap/>
            <w:vAlign w:val="center"/>
            <w:hideMark/>
          </w:tcPr>
          <w:p w14:paraId="41C5B44B"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43.213.000</w:t>
            </w:r>
          </w:p>
        </w:tc>
        <w:tc>
          <w:tcPr>
            <w:tcW w:w="715" w:type="dxa"/>
            <w:tcBorders>
              <w:top w:val="nil"/>
              <w:left w:val="nil"/>
              <w:bottom w:val="single" w:sz="4" w:space="0" w:color="auto"/>
              <w:right w:val="single" w:sz="4" w:space="0" w:color="auto"/>
            </w:tcBorders>
            <w:shd w:val="clear" w:color="auto" w:fill="auto"/>
            <w:noWrap/>
            <w:vAlign w:val="center"/>
            <w:hideMark/>
          </w:tcPr>
          <w:p w14:paraId="58A2747E"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32.327.680</w:t>
            </w:r>
          </w:p>
        </w:tc>
        <w:tc>
          <w:tcPr>
            <w:tcW w:w="779" w:type="dxa"/>
            <w:tcBorders>
              <w:top w:val="nil"/>
              <w:left w:val="nil"/>
              <w:bottom w:val="single" w:sz="4" w:space="0" w:color="auto"/>
              <w:right w:val="single" w:sz="4" w:space="0" w:color="auto"/>
            </w:tcBorders>
            <w:shd w:val="clear" w:color="auto" w:fill="auto"/>
            <w:noWrap/>
            <w:vAlign w:val="center"/>
            <w:hideMark/>
          </w:tcPr>
          <w:p w14:paraId="6B5BD80B" w14:textId="77777777" w:rsidR="00687E15" w:rsidRPr="00C44B45" w:rsidRDefault="00687E1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17.502.000</w:t>
            </w:r>
          </w:p>
        </w:tc>
        <w:tc>
          <w:tcPr>
            <w:tcW w:w="146" w:type="dxa"/>
            <w:vAlign w:val="center"/>
            <w:hideMark/>
          </w:tcPr>
          <w:p w14:paraId="3D7C08C5"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660D32E1" w14:textId="77777777" w:rsidTr="004663BF">
        <w:trPr>
          <w:trHeight w:val="115"/>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12F97D10" w14:textId="77777777" w:rsidR="00687E15" w:rsidRPr="00C44B45" w:rsidRDefault="00687E1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Pagos FUT</w:t>
            </w:r>
          </w:p>
        </w:tc>
        <w:tc>
          <w:tcPr>
            <w:tcW w:w="875" w:type="dxa"/>
            <w:tcBorders>
              <w:top w:val="nil"/>
              <w:left w:val="nil"/>
              <w:bottom w:val="single" w:sz="4" w:space="0" w:color="auto"/>
              <w:right w:val="single" w:sz="4" w:space="0" w:color="auto"/>
            </w:tcBorders>
            <w:shd w:val="clear" w:color="auto" w:fill="auto"/>
            <w:noWrap/>
            <w:vAlign w:val="center"/>
            <w:hideMark/>
          </w:tcPr>
          <w:p w14:paraId="083F7A80"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642.427.606</w:t>
            </w:r>
          </w:p>
        </w:tc>
        <w:tc>
          <w:tcPr>
            <w:tcW w:w="875" w:type="dxa"/>
            <w:tcBorders>
              <w:top w:val="nil"/>
              <w:left w:val="nil"/>
              <w:bottom w:val="single" w:sz="4" w:space="0" w:color="auto"/>
              <w:right w:val="single" w:sz="4" w:space="0" w:color="auto"/>
            </w:tcBorders>
            <w:shd w:val="clear" w:color="auto" w:fill="auto"/>
            <w:noWrap/>
            <w:vAlign w:val="center"/>
            <w:hideMark/>
          </w:tcPr>
          <w:p w14:paraId="064B3002"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1.920.133.726</w:t>
            </w:r>
          </w:p>
        </w:tc>
        <w:tc>
          <w:tcPr>
            <w:tcW w:w="875" w:type="dxa"/>
            <w:tcBorders>
              <w:top w:val="nil"/>
              <w:left w:val="nil"/>
              <w:bottom w:val="single" w:sz="4" w:space="0" w:color="auto"/>
              <w:right w:val="single" w:sz="4" w:space="0" w:color="auto"/>
            </w:tcBorders>
            <w:shd w:val="clear" w:color="auto" w:fill="auto"/>
            <w:noWrap/>
            <w:vAlign w:val="center"/>
            <w:hideMark/>
          </w:tcPr>
          <w:p w14:paraId="0D7D765A"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596.748.629</w:t>
            </w:r>
          </w:p>
        </w:tc>
        <w:tc>
          <w:tcPr>
            <w:tcW w:w="875" w:type="dxa"/>
            <w:tcBorders>
              <w:top w:val="nil"/>
              <w:left w:val="nil"/>
              <w:bottom w:val="single" w:sz="4" w:space="0" w:color="auto"/>
              <w:right w:val="single" w:sz="4" w:space="0" w:color="auto"/>
            </w:tcBorders>
            <w:shd w:val="clear" w:color="auto" w:fill="auto"/>
            <w:noWrap/>
            <w:vAlign w:val="center"/>
            <w:hideMark/>
          </w:tcPr>
          <w:p w14:paraId="213201F6"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1.569.429.197</w:t>
            </w:r>
          </w:p>
        </w:tc>
        <w:tc>
          <w:tcPr>
            <w:tcW w:w="875" w:type="dxa"/>
            <w:tcBorders>
              <w:top w:val="nil"/>
              <w:left w:val="nil"/>
              <w:bottom w:val="single" w:sz="4" w:space="0" w:color="auto"/>
              <w:right w:val="single" w:sz="4" w:space="0" w:color="auto"/>
            </w:tcBorders>
            <w:shd w:val="clear" w:color="auto" w:fill="auto"/>
            <w:noWrap/>
            <w:vAlign w:val="center"/>
            <w:hideMark/>
          </w:tcPr>
          <w:p w14:paraId="1681F4BD"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432.076.227</w:t>
            </w:r>
          </w:p>
        </w:tc>
        <w:tc>
          <w:tcPr>
            <w:tcW w:w="875" w:type="dxa"/>
            <w:tcBorders>
              <w:top w:val="nil"/>
              <w:left w:val="nil"/>
              <w:bottom w:val="single" w:sz="4" w:space="0" w:color="auto"/>
              <w:right w:val="single" w:sz="4" w:space="0" w:color="auto"/>
            </w:tcBorders>
            <w:shd w:val="clear" w:color="auto" w:fill="auto"/>
            <w:noWrap/>
            <w:vAlign w:val="center"/>
            <w:hideMark/>
          </w:tcPr>
          <w:p w14:paraId="1296BD3F"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973.254.099</w:t>
            </w:r>
          </w:p>
        </w:tc>
        <w:tc>
          <w:tcPr>
            <w:tcW w:w="779" w:type="dxa"/>
            <w:tcBorders>
              <w:top w:val="nil"/>
              <w:left w:val="nil"/>
              <w:bottom w:val="single" w:sz="4" w:space="0" w:color="auto"/>
              <w:right w:val="single" w:sz="4" w:space="0" w:color="auto"/>
            </w:tcBorders>
            <w:shd w:val="clear" w:color="auto" w:fill="auto"/>
            <w:noWrap/>
            <w:vAlign w:val="center"/>
            <w:hideMark/>
          </w:tcPr>
          <w:p w14:paraId="3BE6D169"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202.610.593</w:t>
            </w:r>
          </w:p>
        </w:tc>
        <w:tc>
          <w:tcPr>
            <w:tcW w:w="779" w:type="dxa"/>
            <w:tcBorders>
              <w:top w:val="nil"/>
              <w:left w:val="nil"/>
              <w:bottom w:val="single" w:sz="4" w:space="0" w:color="auto"/>
              <w:right w:val="single" w:sz="4" w:space="0" w:color="auto"/>
            </w:tcBorders>
            <w:shd w:val="clear" w:color="auto" w:fill="auto"/>
            <w:noWrap/>
            <w:vAlign w:val="center"/>
            <w:hideMark/>
          </w:tcPr>
          <w:p w14:paraId="20FC737A"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290.718.620</w:t>
            </w:r>
          </w:p>
        </w:tc>
        <w:tc>
          <w:tcPr>
            <w:tcW w:w="779" w:type="dxa"/>
            <w:tcBorders>
              <w:top w:val="nil"/>
              <w:left w:val="nil"/>
              <w:bottom w:val="single" w:sz="4" w:space="0" w:color="auto"/>
              <w:right w:val="single" w:sz="4" w:space="0" w:color="auto"/>
            </w:tcBorders>
            <w:shd w:val="clear" w:color="auto" w:fill="auto"/>
            <w:noWrap/>
            <w:vAlign w:val="center"/>
            <w:hideMark/>
          </w:tcPr>
          <w:p w14:paraId="0FE6C9FE"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43.649.855</w:t>
            </w:r>
          </w:p>
        </w:tc>
        <w:tc>
          <w:tcPr>
            <w:tcW w:w="779" w:type="dxa"/>
            <w:tcBorders>
              <w:top w:val="nil"/>
              <w:left w:val="nil"/>
              <w:bottom w:val="single" w:sz="4" w:space="0" w:color="auto"/>
              <w:right w:val="single" w:sz="4" w:space="0" w:color="auto"/>
            </w:tcBorders>
            <w:shd w:val="clear" w:color="auto" w:fill="auto"/>
            <w:noWrap/>
            <w:vAlign w:val="center"/>
            <w:hideMark/>
          </w:tcPr>
          <w:p w14:paraId="23DFD15E"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69.603.000</w:t>
            </w:r>
          </w:p>
        </w:tc>
        <w:tc>
          <w:tcPr>
            <w:tcW w:w="715" w:type="dxa"/>
            <w:tcBorders>
              <w:top w:val="nil"/>
              <w:left w:val="nil"/>
              <w:bottom w:val="single" w:sz="4" w:space="0" w:color="auto"/>
              <w:right w:val="single" w:sz="4" w:space="0" w:color="auto"/>
            </w:tcBorders>
            <w:shd w:val="clear" w:color="auto" w:fill="auto"/>
            <w:noWrap/>
            <w:vAlign w:val="center"/>
            <w:hideMark/>
          </w:tcPr>
          <w:p w14:paraId="5C6FD08C"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23.400.000</w:t>
            </w:r>
          </w:p>
        </w:tc>
        <w:tc>
          <w:tcPr>
            <w:tcW w:w="779" w:type="dxa"/>
            <w:tcBorders>
              <w:top w:val="nil"/>
              <w:left w:val="nil"/>
              <w:bottom w:val="single" w:sz="4" w:space="0" w:color="auto"/>
              <w:right w:val="single" w:sz="4" w:space="0" w:color="auto"/>
            </w:tcBorders>
            <w:shd w:val="clear" w:color="auto" w:fill="auto"/>
            <w:noWrap/>
            <w:vAlign w:val="center"/>
            <w:hideMark/>
          </w:tcPr>
          <w:p w14:paraId="48A07D0D" w14:textId="77777777" w:rsidR="00687E15" w:rsidRPr="00C44B45" w:rsidRDefault="00687E1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23.238.579</w:t>
            </w:r>
          </w:p>
        </w:tc>
        <w:tc>
          <w:tcPr>
            <w:tcW w:w="146" w:type="dxa"/>
            <w:vAlign w:val="center"/>
            <w:hideMark/>
          </w:tcPr>
          <w:p w14:paraId="4FEA2EAB"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r w:rsidR="00687E15" w:rsidRPr="00C46123" w14:paraId="3E15AE2D" w14:textId="77777777" w:rsidTr="004663BF">
        <w:trPr>
          <w:trHeight w:val="204"/>
          <w:jc w:val="center"/>
        </w:trPr>
        <w:tc>
          <w:tcPr>
            <w:tcW w:w="912" w:type="dxa"/>
            <w:tcBorders>
              <w:top w:val="nil"/>
              <w:left w:val="single" w:sz="4" w:space="0" w:color="auto"/>
              <w:bottom w:val="single" w:sz="4" w:space="0" w:color="auto"/>
              <w:right w:val="single" w:sz="4" w:space="0" w:color="auto"/>
            </w:tcBorders>
            <w:shd w:val="clear" w:color="000000" w:fill="5F497A"/>
            <w:vAlign w:val="center"/>
            <w:hideMark/>
          </w:tcPr>
          <w:p w14:paraId="2365DCFF" w14:textId="77777777" w:rsidR="00687E15" w:rsidRPr="00C44B45" w:rsidRDefault="00687E1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Diferencia</w:t>
            </w:r>
          </w:p>
        </w:tc>
        <w:tc>
          <w:tcPr>
            <w:tcW w:w="875" w:type="dxa"/>
            <w:tcBorders>
              <w:top w:val="nil"/>
              <w:left w:val="nil"/>
              <w:bottom w:val="single" w:sz="4" w:space="0" w:color="auto"/>
              <w:right w:val="single" w:sz="4" w:space="0" w:color="auto"/>
            </w:tcBorders>
            <w:shd w:val="clear" w:color="000000" w:fill="5F497A"/>
            <w:vAlign w:val="center"/>
            <w:hideMark/>
          </w:tcPr>
          <w:p w14:paraId="15DBF4C3"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342.350.714</w:t>
            </w:r>
          </w:p>
        </w:tc>
        <w:tc>
          <w:tcPr>
            <w:tcW w:w="875" w:type="dxa"/>
            <w:tcBorders>
              <w:top w:val="nil"/>
              <w:left w:val="nil"/>
              <w:bottom w:val="single" w:sz="4" w:space="0" w:color="auto"/>
              <w:right w:val="single" w:sz="4" w:space="0" w:color="auto"/>
            </w:tcBorders>
            <w:shd w:val="clear" w:color="000000" w:fill="5F497A"/>
            <w:vAlign w:val="center"/>
            <w:hideMark/>
          </w:tcPr>
          <w:p w14:paraId="32499350"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-708.100.210</w:t>
            </w:r>
          </w:p>
        </w:tc>
        <w:tc>
          <w:tcPr>
            <w:tcW w:w="875" w:type="dxa"/>
            <w:tcBorders>
              <w:top w:val="nil"/>
              <w:left w:val="nil"/>
              <w:bottom w:val="single" w:sz="4" w:space="0" w:color="auto"/>
              <w:right w:val="single" w:sz="4" w:space="0" w:color="auto"/>
            </w:tcBorders>
            <w:shd w:val="clear" w:color="000000" w:fill="5F497A"/>
            <w:vAlign w:val="center"/>
            <w:hideMark/>
          </w:tcPr>
          <w:p w14:paraId="4BA53FED"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438.668.971</w:t>
            </w:r>
          </w:p>
        </w:tc>
        <w:tc>
          <w:tcPr>
            <w:tcW w:w="875" w:type="dxa"/>
            <w:tcBorders>
              <w:top w:val="nil"/>
              <w:left w:val="nil"/>
              <w:bottom w:val="single" w:sz="4" w:space="0" w:color="auto"/>
              <w:right w:val="single" w:sz="4" w:space="0" w:color="auto"/>
            </w:tcBorders>
            <w:shd w:val="clear" w:color="000000" w:fill="5F497A"/>
            <w:vAlign w:val="center"/>
            <w:hideMark/>
          </w:tcPr>
          <w:p w14:paraId="1D92351A"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-141.228.697</w:t>
            </w:r>
          </w:p>
        </w:tc>
        <w:tc>
          <w:tcPr>
            <w:tcW w:w="875" w:type="dxa"/>
            <w:tcBorders>
              <w:top w:val="nil"/>
              <w:left w:val="nil"/>
              <w:bottom w:val="single" w:sz="4" w:space="0" w:color="auto"/>
              <w:right w:val="single" w:sz="4" w:space="0" w:color="auto"/>
            </w:tcBorders>
            <w:shd w:val="clear" w:color="000000" w:fill="5F497A"/>
            <w:vAlign w:val="center"/>
            <w:hideMark/>
          </w:tcPr>
          <w:p w14:paraId="0D0BDD4C"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1.007.562.946</w:t>
            </w:r>
          </w:p>
        </w:tc>
        <w:tc>
          <w:tcPr>
            <w:tcW w:w="875" w:type="dxa"/>
            <w:tcBorders>
              <w:top w:val="nil"/>
              <w:left w:val="nil"/>
              <w:bottom w:val="single" w:sz="4" w:space="0" w:color="auto"/>
              <w:right w:val="single" w:sz="4" w:space="0" w:color="auto"/>
            </w:tcBorders>
            <w:shd w:val="clear" w:color="000000" w:fill="5F497A"/>
            <w:vAlign w:val="center"/>
            <w:hideMark/>
          </w:tcPr>
          <w:p w14:paraId="1B355E97"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379.010.455</w:t>
            </w:r>
          </w:p>
        </w:tc>
        <w:tc>
          <w:tcPr>
            <w:tcW w:w="779" w:type="dxa"/>
            <w:tcBorders>
              <w:top w:val="nil"/>
              <w:left w:val="nil"/>
              <w:bottom w:val="single" w:sz="4" w:space="0" w:color="auto"/>
              <w:right w:val="single" w:sz="4" w:space="0" w:color="auto"/>
            </w:tcBorders>
            <w:shd w:val="clear" w:color="000000" w:fill="5F497A"/>
            <w:vAlign w:val="center"/>
            <w:hideMark/>
          </w:tcPr>
          <w:p w14:paraId="697A8040"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-97.376.829</w:t>
            </w:r>
          </w:p>
        </w:tc>
        <w:tc>
          <w:tcPr>
            <w:tcW w:w="779" w:type="dxa"/>
            <w:tcBorders>
              <w:top w:val="nil"/>
              <w:left w:val="nil"/>
              <w:bottom w:val="single" w:sz="4" w:space="0" w:color="auto"/>
              <w:right w:val="single" w:sz="4" w:space="0" w:color="auto"/>
            </w:tcBorders>
            <w:shd w:val="clear" w:color="000000" w:fill="5F497A"/>
            <w:vAlign w:val="center"/>
            <w:hideMark/>
          </w:tcPr>
          <w:p w14:paraId="1B96F656"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-247.526.229</w:t>
            </w:r>
          </w:p>
        </w:tc>
        <w:tc>
          <w:tcPr>
            <w:tcW w:w="779" w:type="dxa"/>
            <w:tcBorders>
              <w:top w:val="nil"/>
              <w:left w:val="nil"/>
              <w:bottom w:val="single" w:sz="4" w:space="0" w:color="auto"/>
              <w:right w:val="single" w:sz="4" w:space="0" w:color="auto"/>
            </w:tcBorders>
            <w:shd w:val="clear" w:color="000000" w:fill="5F497A"/>
            <w:vAlign w:val="center"/>
            <w:hideMark/>
          </w:tcPr>
          <w:p w14:paraId="097507FA"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50.939.899</w:t>
            </w:r>
          </w:p>
        </w:tc>
        <w:tc>
          <w:tcPr>
            <w:tcW w:w="779" w:type="dxa"/>
            <w:tcBorders>
              <w:top w:val="nil"/>
              <w:left w:val="nil"/>
              <w:bottom w:val="single" w:sz="4" w:space="0" w:color="auto"/>
              <w:right w:val="single" w:sz="4" w:space="0" w:color="auto"/>
            </w:tcBorders>
            <w:shd w:val="clear" w:color="000000" w:fill="5F497A"/>
            <w:vAlign w:val="center"/>
            <w:hideMark/>
          </w:tcPr>
          <w:p w14:paraId="69BFC747"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-26.390.000</w:t>
            </w:r>
          </w:p>
        </w:tc>
        <w:tc>
          <w:tcPr>
            <w:tcW w:w="715" w:type="dxa"/>
            <w:tcBorders>
              <w:top w:val="nil"/>
              <w:left w:val="nil"/>
              <w:bottom w:val="single" w:sz="4" w:space="0" w:color="auto"/>
              <w:right w:val="single" w:sz="4" w:space="0" w:color="auto"/>
            </w:tcBorders>
            <w:shd w:val="clear" w:color="000000" w:fill="5F497A"/>
            <w:vAlign w:val="center"/>
            <w:hideMark/>
          </w:tcPr>
          <w:p w14:paraId="7D4CD73D"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8.927.680</w:t>
            </w:r>
          </w:p>
        </w:tc>
        <w:tc>
          <w:tcPr>
            <w:tcW w:w="779" w:type="dxa"/>
            <w:tcBorders>
              <w:top w:val="nil"/>
              <w:left w:val="nil"/>
              <w:bottom w:val="single" w:sz="4" w:space="0" w:color="auto"/>
              <w:right w:val="single" w:sz="4" w:space="0" w:color="auto"/>
            </w:tcBorders>
            <w:shd w:val="clear" w:color="000000" w:fill="5F497A"/>
            <w:vAlign w:val="center"/>
            <w:hideMark/>
          </w:tcPr>
          <w:p w14:paraId="07EA474F" w14:textId="77777777" w:rsidR="00687E15" w:rsidRPr="00C44B45" w:rsidRDefault="00687E1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-5.736.579</w:t>
            </w:r>
          </w:p>
        </w:tc>
        <w:tc>
          <w:tcPr>
            <w:tcW w:w="146" w:type="dxa"/>
            <w:vAlign w:val="center"/>
            <w:hideMark/>
          </w:tcPr>
          <w:p w14:paraId="41BE56D3" w14:textId="77777777" w:rsidR="00687E15" w:rsidRPr="00C44B45" w:rsidRDefault="00687E15">
            <w:pPr>
              <w:spacing w:after="0" w:line="240" w:lineRule="auto"/>
              <w:contextualSpacing/>
              <w:rPr>
                <w:rFonts w:ascii="Times New Roman" w:eastAsia="Times New Roman" w:hAnsi="Times New Roman" w:cs="Times New Roman"/>
                <w:sz w:val="14"/>
                <w:szCs w:val="14"/>
                <w:lang w:val="es-CO" w:eastAsia="es-CO"/>
              </w:rPr>
            </w:pPr>
          </w:p>
        </w:tc>
      </w:tr>
    </w:tbl>
    <w:p w14:paraId="60C7BFCC" w14:textId="77777777" w:rsidR="00687E15" w:rsidRPr="00FB27C3" w:rsidRDefault="00687E15" w:rsidP="00286F4A">
      <w:pPr>
        <w:spacing w:line="240" w:lineRule="auto"/>
        <w:contextualSpacing/>
        <w:jc w:val="center"/>
        <w:rPr>
          <w:sz w:val="16"/>
          <w:szCs w:val="16"/>
        </w:rPr>
      </w:pPr>
      <w:r w:rsidRPr="00FB27C3">
        <w:rPr>
          <w:b/>
          <w:bCs/>
          <w:sz w:val="16"/>
          <w:szCs w:val="16"/>
        </w:rPr>
        <w:t xml:space="preserve">Fuente: </w:t>
      </w:r>
      <w:r w:rsidRPr="00FB27C3">
        <w:rPr>
          <w:sz w:val="16"/>
          <w:szCs w:val="16"/>
        </w:rPr>
        <w:t>Elaboración DAF con base en las ejecuciones presupuestales y el reporte FUT Gastos de Funcionamiento y FUT Gastos de Inversión.</w:t>
      </w:r>
    </w:p>
    <w:p w14:paraId="6A15F1F0" w14:textId="77777777" w:rsidR="007D7645" w:rsidRPr="00FB27C3" w:rsidRDefault="007D7645">
      <w:pPr>
        <w:spacing w:line="240" w:lineRule="auto"/>
        <w:contextualSpacing/>
      </w:pPr>
    </w:p>
    <w:p w14:paraId="66EF758D" w14:textId="77777777" w:rsidR="007D7645" w:rsidRDefault="007D7645">
      <w:pPr>
        <w:spacing w:line="240" w:lineRule="auto"/>
        <w:contextualSpacing/>
        <w:jc w:val="both"/>
      </w:pPr>
      <w:r w:rsidRPr="0030418A">
        <w:t xml:space="preserve">En la </w:t>
      </w:r>
      <w:r w:rsidR="0067489C">
        <w:t>C</w:t>
      </w:r>
      <w:r w:rsidRPr="0030418A">
        <w:t xml:space="preserve">ategoría de Cierre Fiscal, el </w:t>
      </w:r>
      <w:r w:rsidR="0067489C">
        <w:t>M</w:t>
      </w:r>
      <w:r w:rsidRPr="0030418A">
        <w:t xml:space="preserve">unicipio presenta varias </w:t>
      </w:r>
      <w:r>
        <w:t>i</w:t>
      </w:r>
      <w:r w:rsidRPr="0030418A">
        <w:t xml:space="preserve">nconsistencias </w:t>
      </w:r>
      <w:r>
        <w:t xml:space="preserve">frente a los datos que derivan de las ejecuciones presupuestales. En el caso de 2018, </w:t>
      </w:r>
      <w:r w:rsidR="00681EFE">
        <w:t>reportó</w:t>
      </w:r>
      <w:r>
        <w:t xml:space="preserve"> un superávit fiscal de $</w:t>
      </w:r>
      <w:r w:rsidRPr="006108BB">
        <w:t>1.537.195.354</w:t>
      </w:r>
      <w:r>
        <w:t>, saldo que no coincide ni con el resultado presupuestal del cierre fiscal ni con el monto incorporado en el presupuesto de ingresos de la vigencia 2019,</w:t>
      </w:r>
      <w:r w:rsidR="00681EFE">
        <w:t xml:space="preserve"> donde</w:t>
      </w:r>
      <w:r>
        <w:t xml:space="preserve"> el mayor monto de superávit se reporta en 2019 para Libre Destinación con $</w:t>
      </w:r>
      <w:r w:rsidRPr="00D93712">
        <w:t>936.990.406</w:t>
      </w:r>
      <w:r>
        <w:t>. Llama especialmente la atención en esta vigencia que en el caso de Cultura se reporta un déficit de $</w:t>
      </w:r>
      <w:r w:rsidRPr="00E80B13">
        <w:t>1.070.019</w:t>
      </w:r>
      <w:r>
        <w:t xml:space="preserve">, valor que no coincide con los montos de las ejecuciones presupuestales. En la vigencia 2019, el monto de superávit </w:t>
      </w:r>
      <w:r>
        <w:lastRenderedPageBreak/>
        <w:t>fiscal reportado fue de $</w:t>
      </w:r>
      <w:r w:rsidRPr="00D57C77">
        <w:t>1.423.177.516</w:t>
      </w:r>
      <w:r>
        <w:t>, mientras</w:t>
      </w:r>
      <w:r w:rsidR="00681EFE">
        <w:t xml:space="preserve"> que</w:t>
      </w:r>
      <w:r>
        <w:t xml:space="preserve"> en el ejercicio basado en las ejecuciones presupuestales para esta vigencia se evidenció un resultado presupuestal deficitario</w:t>
      </w:r>
      <w:r w:rsidR="002E1165">
        <w:t xml:space="preserve"> de $206.114.223</w:t>
      </w:r>
      <w:r>
        <w:t>; esta situación se repite en 2020, en donde a pesar de que el ejercicio arrojó un déficit presupuestal</w:t>
      </w:r>
      <w:r w:rsidR="002E1165">
        <w:t xml:space="preserve"> de $39.802.935</w:t>
      </w:r>
      <w:r>
        <w:t>, se reporta un superávit de $</w:t>
      </w:r>
      <w:r w:rsidRPr="002D6681">
        <w:t>1.082.959.163</w:t>
      </w:r>
      <w:r>
        <w:t xml:space="preserve">. </w:t>
      </w:r>
      <w:r w:rsidR="006306C1">
        <w:t>Adicionalmente,</w:t>
      </w:r>
      <w:r>
        <w:t xml:space="preserve"> para 2020 no se reportaron saldos de cierre fiscal para Deporte y Recreación ni para Cultura</w:t>
      </w:r>
      <w:r w:rsidR="003A52CD">
        <w:t>, a pesar de que el ejercicio arrojó</w:t>
      </w:r>
      <w:r w:rsidR="00EB090A">
        <w:t xml:space="preserve"> un saldo sin comprometer de $</w:t>
      </w:r>
      <w:r w:rsidR="00EB090A" w:rsidRPr="00EB090A">
        <w:t>43.954.120</w:t>
      </w:r>
      <w:r w:rsidR="00EB090A">
        <w:t xml:space="preserve"> para Deporte y $</w:t>
      </w:r>
      <w:r w:rsidR="00EB090A" w:rsidRPr="00EB090A">
        <w:t>45.765.031</w:t>
      </w:r>
      <w:r w:rsidR="00494C30">
        <w:t xml:space="preserve"> para </w:t>
      </w:r>
      <w:r w:rsidR="00286F4A">
        <w:t>C</w:t>
      </w:r>
      <w:r w:rsidR="00494C30">
        <w:t>ultura</w:t>
      </w:r>
      <w:r w:rsidR="00EB090A">
        <w:t>, los cuales debieron incorporarse como superávit fiscal en el reporte de cierre de la vigencia</w:t>
      </w:r>
      <w:r>
        <w:t>.</w:t>
      </w:r>
    </w:p>
    <w:p w14:paraId="0B7D9B9C" w14:textId="77777777" w:rsidR="0059060F" w:rsidRDefault="0059060F">
      <w:pPr>
        <w:spacing w:line="240" w:lineRule="auto"/>
        <w:contextualSpacing/>
        <w:jc w:val="both"/>
      </w:pPr>
    </w:p>
    <w:p w14:paraId="6CC76D09" w14:textId="77777777" w:rsidR="007D7645" w:rsidRDefault="007D7645">
      <w:pPr>
        <w:spacing w:line="240" w:lineRule="auto"/>
        <w:contextualSpacing/>
        <w:jc w:val="both"/>
      </w:pPr>
      <w:r>
        <w:t xml:space="preserve">En cuanto al rezago presupuestal, se evidencia que el </w:t>
      </w:r>
      <w:r w:rsidR="0059060F">
        <w:t>M</w:t>
      </w:r>
      <w:r>
        <w:t xml:space="preserve">unicipio reporta </w:t>
      </w:r>
      <w:r w:rsidR="006306C1">
        <w:t xml:space="preserve">en el FUT </w:t>
      </w:r>
      <w:r>
        <w:t>reservas presupuestales</w:t>
      </w:r>
      <w:r w:rsidR="00AF5B86">
        <w:t xml:space="preserve"> con inconsistencias</w:t>
      </w:r>
      <w:r>
        <w:t xml:space="preserve"> para </w:t>
      </w:r>
      <w:r w:rsidR="00AF5B86">
        <w:t xml:space="preserve">los </w:t>
      </w:r>
      <w:r>
        <w:t>componente</w:t>
      </w:r>
      <w:r w:rsidR="00AF5B86">
        <w:t>s</w:t>
      </w:r>
      <w:r>
        <w:t xml:space="preserve"> de la Participación de Propósito General en las vigencias analizadas</w:t>
      </w:r>
      <w:r w:rsidR="00AF5B86">
        <w:t>.</w:t>
      </w:r>
      <w:r>
        <w:t xml:space="preserve"> </w:t>
      </w:r>
      <w:r w:rsidR="00AF5B86">
        <w:t>En este sentido</w:t>
      </w:r>
      <w:r>
        <w:t xml:space="preserve">, si bien no es posible comparar </w:t>
      </w:r>
      <w:r w:rsidR="00AF5B86">
        <w:t xml:space="preserve">de manera directa </w:t>
      </w:r>
      <w:r>
        <w:t xml:space="preserve">los saldos de las cuentas por pagar con los decretos de constitución por la ausencia de </w:t>
      </w:r>
      <w:r w:rsidR="006306C1">
        <w:t xml:space="preserve">discriminación de </w:t>
      </w:r>
      <w:r>
        <w:t>la fuente de financiación</w:t>
      </w:r>
      <w:r w:rsidR="006306C1">
        <w:t xml:space="preserve"> en ellos</w:t>
      </w:r>
      <w:r>
        <w:t>, los saldos reportados en el FUT no coinciden con los valores calculados por esta Dirección en el análisis presupuestal.</w:t>
      </w:r>
    </w:p>
    <w:p w14:paraId="39AEE968" w14:textId="77777777" w:rsidR="0059060F" w:rsidRDefault="0059060F">
      <w:pPr>
        <w:spacing w:line="240" w:lineRule="auto"/>
        <w:contextualSpacing/>
        <w:jc w:val="both"/>
      </w:pPr>
    </w:p>
    <w:p w14:paraId="063D0D6E" w14:textId="77777777" w:rsidR="002D727E" w:rsidRDefault="007D7645">
      <w:pPr>
        <w:spacing w:line="240" w:lineRule="auto"/>
        <w:contextualSpacing/>
        <w:jc w:val="both"/>
      </w:pPr>
      <w:r>
        <w:t>Por ejemplo, en 2018 el ejercicio arroja cuentas por pagar de $</w:t>
      </w:r>
      <w:r w:rsidRPr="00D414D3">
        <w:t>100.580.071</w:t>
      </w:r>
      <w:r>
        <w:t xml:space="preserve"> con cargo a Libre Destinación y Libre Inversión y en el reporte se reflejan $</w:t>
      </w:r>
      <w:r w:rsidRPr="00F622C6">
        <w:t xml:space="preserve">124.780.435 </w:t>
      </w:r>
      <w:r>
        <w:t>de cuentas por pagar con cargo únicamente a Libre Inversión. Para 2019 no se reportan cuentas por pagar a pesar de que el ejercicio arrojó $</w:t>
      </w:r>
      <w:r w:rsidRPr="00EA3017">
        <w:t>54.046.306</w:t>
      </w:r>
      <w:r>
        <w:t xml:space="preserve"> pendientes por </w:t>
      </w:r>
      <w:r w:rsidR="006306C1">
        <w:t>pagar</w:t>
      </w:r>
      <w:r>
        <w:t xml:space="preserve"> y, por último, en 2020 se reportaron</w:t>
      </w:r>
      <w:r w:rsidRPr="00E7453B">
        <w:t xml:space="preserve"> </w:t>
      </w:r>
      <w:r>
        <w:t>$</w:t>
      </w:r>
      <w:r w:rsidRPr="00E7453B">
        <w:t>28.456.897</w:t>
      </w:r>
      <w:r>
        <w:t xml:space="preserve"> de cuentas por pagar en Libre Destinación, mientras que el ejercicio presupuestal arrojó $</w:t>
      </w:r>
      <w:r w:rsidRPr="00E7453B">
        <w:t>70.290.117</w:t>
      </w:r>
      <w:r>
        <w:t>.</w:t>
      </w:r>
    </w:p>
    <w:p w14:paraId="6F38F5D9" w14:textId="77777777" w:rsidR="0059060F" w:rsidRDefault="0059060F">
      <w:pPr>
        <w:spacing w:line="240" w:lineRule="auto"/>
        <w:contextualSpacing/>
        <w:jc w:val="both"/>
      </w:pPr>
    </w:p>
    <w:p w14:paraId="773C6B35" w14:textId="77777777" w:rsidR="007D7645" w:rsidRPr="0030418A" w:rsidRDefault="007D7645">
      <w:pPr>
        <w:spacing w:line="240" w:lineRule="auto"/>
        <w:contextualSpacing/>
        <w:jc w:val="both"/>
      </w:pPr>
      <w:r>
        <w:t xml:space="preserve">En el caso de los saldos mínimos disponibles en bancos reportados, </w:t>
      </w:r>
      <w:r w:rsidRPr="00136150">
        <w:t>es</w:t>
      </w:r>
      <w:r>
        <w:t>tos son</w:t>
      </w:r>
      <w:r w:rsidRPr="00136150">
        <w:t xml:space="preserve"> </w:t>
      </w:r>
      <w:r>
        <w:t>in</w:t>
      </w:r>
      <w:r w:rsidRPr="00136150">
        <w:t>consistente</w:t>
      </w:r>
      <w:r>
        <w:t>s</w:t>
      </w:r>
      <w:r w:rsidRPr="00136150">
        <w:t xml:space="preserve"> con lo contenido en l</w:t>
      </w:r>
      <w:r>
        <w:t>os</w:t>
      </w:r>
      <w:r w:rsidRPr="00136150">
        <w:t xml:space="preserve"> extracto</w:t>
      </w:r>
      <w:r>
        <w:t>s</w:t>
      </w:r>
      <w:r w:rsidRPr="00136150">
        <w:t xml:space="preserve"> bancario</w:t>
      </w:r>
      <w:r>
        <w:t>s</w:t>
      </w:r>
      <w:r w:rsidRPr="00136150">
        <w:t xml:space="preserve"> remitido</w:t>
      </w:r>
      <w:r w:rsidR="00AF5B86">
        <w:t>s</w:t>
      </w:r>
      <w:r w:rsidRPr="00136150">
        <w:t xml:space="preserve"> por la Entidad Territorial.</w:t>
      </w:r>
      <w:r w:rsidR="002D727E">
        <w:t xml:space="preserve"> </w:t>
      </w:r>
      <w:r w:rsidR="00D52566">
        <w:t>Así</w:t>
      </w:r>
      <w:r w:rsidR="002D727E" w:rsidRPr="00D0410F">
        <w:t xml:space="preserve">, </w:t>
      </w:r>
      <w:r w:rsidR="00D52566">
        <w:t xml:space="preserve">según los extractos, los saldos </w:t>
      </w:r>
      <w:r w:rsidR="002D727E">
        <w:t>en 2018 fueron</w:t>
      </w:r>
      <w:r w:rsidR="002D727E" w:rsidRPr="00D0410F">
        <w:t xml:space="preserve"> $311.769.024, e</w:t>
      </w:r>
      <w:r w:rsidR="002D727E">
        <w:t xml:space="preserve">n 2019 representaron </w:t>
      </w:r>
      <w:r w:rsidR="002D727E" w:rsidRPr="00D0410F">
        <w:t>$</w:t>
      </w:r>
      <w:r w:rsidR="002D727E" w:rsidRPr="00D563DF">
        <w:t>48.686.375</w:t>
      </w:r>
      <w:r w:rsidR="002D727E" w:rsidRPr="00D0410F">
        <w:t xml:space="preserve"> y e</w:t>
      </w:r>
      <w:r w:rsidR="002D727E">
        <w:t xml:space="preserve">n 2020 fueron </w:t>
      </w:r>
      <w:r w:rsidR="002D727E" w:rsidRPr="00D0410F">
        <w:t>$</w:t>
      </w:r>
      <w:r w:rsidR="002D727E" w:rsidRPr="00101602">
        <w:t>552.070.013</w:t>
      </w:r>
      <w:r w:rsidR="00D52566">
        <w:t>, m</w:t>
      </w:r>
      <w:r w:rsidR="002D727E">
        <w:t>ientras que, los saldos reportados en el FUT Cierre Fiscal fueron de $</w:t>
      </w:r>
      <w:r w:rsidR="002D727E" w:rsidRPr="002D727E">
        <w:t>1.707.675.538</w:t>
      </w:r>
      <w:r w:rsidR="002D727E">
        <w:t xml:space="preserve"> en 2018, $</w:t>
      </w:r>
      <w:r w:rsidR="002D727E" w:rsidRPr="002D727E">
        <w:t xml:space="preserve">1.423.177.516 </w:t>
      </w:r>
      <w:r w:rsidR="002D727E">
        <w:t>en 2019 y $</w:t>
      </w:r>
      <w:r w:rsidR="002D727E" w:rsidRPr="002D727E">
        <w:t>1.111.416.060</w:t>
      </w:r>
      <w:r w:rsidR="002D727E">
        <w:t xml:space="preserve"> en 2020.</w:t>
      </w:r>
    </w:p>
    <w:p w14:paraId="63E9C750" w14:textId="77777777" w:rsidR="00475806" w:rsidRDefault="00475806">
      <w:pPr>
        <w:pStyle w:val="paragraph"/>
        <w:spacing w:before="0" w:beforeAutospacing="0" w:after="0" w:afterAutospacing="0"/>
        <w:contextualSpacing/>
        <w:jc w:val="both"/>
        <w:textAlignment w:val="baseline"/>
        <w:rPr>
          <w:rStyle w:val="normaltextrun"/>
          <w:rFonts w:ascii="Arial" w:eastAsiaTheme="majorEastAsia" w:hAnsi="Arial" w:cs="Arial"/>
          <w:sz w:val="22"/>
          <w:szCs w:val="22"/>
          <w:lang w:val="es-MX" w:eastAsia="en-US"/>
        </w:rPr>
      </w:pPr>
      <w:r w:rsidRPr="00475806">
        <w:rPr>
          <w:rStyle w:val="normaltextrun"/>
          <w:rFonts w:ascii="Arial" w:eastAsiaTheme="majorEastAsia" w:hAnsi="Arial" w:cs="Arial"/>
          <w:sz w:val="22"/>
          <w:szCs w:val="22"/>
        </w:rPr>
        <w:t xml:space="preserve">Las inconsistencias presentadas evidencian que los procesos de administración y reporte de información financiera por parte de la </w:t>
      </w:r>
      <w:r w:rsidR="0059060F">
        <w:rPr>
          <w:rStyle w:val="normaltextrun"/>
          <w:rFonts w:ascii="Arial" w:eastAsiaTheme="majorEastAsia" w:hAnsi="Arial" w:cs="Arial"/>
          <w:sz w:val="22"/>
          <w:szCs w:val="22"/>
        </w:rPr>
        <w:t>E</w:t>
      </w:r>
      <w:r w:rsidRPr="00475806">
        <w:rPr>
          <w:rStyle w:val="normaltextrun"/>
          <w:rFonts w:ascii="Arial" w:eastAsiaTheme="majorEastAsia" w:hAnsi="Arial" w:cs="Arial"/>
          <w:sz w:val="22"/>
          <w:szCs w:val="22"/>
        </w:rPr>
        <w:t xml:space="preserve">ntidad </w:t>
      </w:r>
      <w:r w:rsidR="0059060F">
        <w:rPr>
          <w:rStyle w:val="normaltextrun"/>
          <w:rFonts w:ascii="Arial" w:eastAsiaTheme="majorEastAsia" w:hAnsi="Arial" w:cs="Arial"/>
          <w:sz w:val="22"/>
          <w:szCs w:val="22"/>
        </w:rPr>
        <w:t>T</w:t>
      </w:r>
      <w:r w:rsidRPr="00475806">
        <w:rPr>
          <w:rStyle w:val="normaltextrun"/>
          <w:rFonts w:ascii="Arial" w:eastAsiaTheme="majorEastAsia" w:hAnsi="Arial" w:cs="Arial"/>
          <w:sz w:val="22"/>
          <w:szCs w:val="22"/>
        </w:rPr>
        <w:t>erritorial incumplen los requerimientos en términos de calidad, contraviniendo lo establecido en el artículo 2.6.4.1 del Decreto 1068 de 2015, modificado por el artículo 1 del Decreto 1536 de 2016</w:t>
      </w:r>
      <w:r w:rsidR="0059060F">
        <w:rPr>
          <w:rStyle w:val="normaltextrun"/>
          <w:rFonts w:ascii="Arial" w:eastAsiaTheme="majorEastAsia" w:hAnsi="Arial" w:cs="Arial"/>
          <w:sz w:val="22"/>
          <w:szCs w:val="22"/>
        </w:rPr>
        <w:t>, situación que no permite que el desarrollo de los mecanismo</w:t>
      </w:r>
      <w:r w:rsidR="00DF1173">
        <w:rPr>
          <w:rStyle w:val="normaltextrun"/>
          <w:rFonts w:ascii="Arial" w:eastAsiaTheme="majorEastAsia" w:hAnsi="Arial" w:cs="Arial"/>
          <w:sz w:val="22"/>
          <w:szCs w:val="22"/>
        </w:rPr>
        <w:t>s</w:t>
      </w:r>
      <w:r w:rsidR="0059060F">
        <w:rPr>
          <w:rStyle w:val="normaltextrun"/>
          <w:rFonts w:ascii="Arial" w:eastAsiaTheme="majorEastAsia" w:hAnsi="Arial" w:cs="Arial"/>
          <w:sz w:val="22"/>
          <w:szCs w:val="22"/>
        </w:rPr>
        <w:t xml:space="preserve"> de </w:t>
      </w:r>
      <w:r w:rsidR="00DF1173">
        <w:rPr>
          <w:rStyle w:val="normaltextrun"/>
          <w:rFonts w:ascii="Arial" w:hAnsi="Arial" w:cs="Arial"/>
          <w:sz w:val="22"/>
          <w:szCs w:val="22"/>
          <w:lang w:val="es-ES"/>
        </w:rPr>
        <w:t>monitoreo, seguimiento, evaluación y control,</w:t>
      </w:r>
      <w:r w:rsidR="00DF1173">
        <w:rPr>
          <w:rStyle w:val="normaltextrun"/>
          <w:rFonts w:ascii="Arial" w:eastAsiaTheme="majorEastAsia" w:hAnsi="Arial" w:cs="Arial"/>
          <w:sz w:val="22"/>
          <w:szCs w:val="22"/>
        </w:rPr>
        <w:t xml:space="preserve"> </w:t>
      </w:r>
      <w:r w:rsidR="0059060F">
        <w:rPr>
          <w:rStyle w:val="normaltextrun"/>
          <w:rFonts w:ascii="Arial" w:eastAsiaTheme="majorEastAsia" w:hAnsi="Arial" w:cs="Arial"/>
          <w:sz w:val="22"/>
          <w:szCs w:val="22"/>
        </w:rPr>
        <w:t>que dan origen a la norma</w:t>
      </w:r>
      <w:r w:rsidR="00DF1173">
        <w:rPr>
          <w:rStyle w:val="normaltextrun"/>
          <w:rFonts w:ascii="Arial" w:eastAsiaTheme="majorEastAsia" w:hAnsi="Arial" w:cs="Arial"/>
          <w:sz w:val="22"/>
          <w:szCs w:val="22"/>
        </w:rPr>
        <w:t>,</w:t>
      </w:r>
      <w:r w:rsidR="0059060F">
        <w:rPr>
          <w:rStyle w:val="normaltextrun"/>
          <w:rFonts w:ascii="Arial" w:eastAsiaTheme="majorEastAsia" w:hAnsi="Arial" w:cs="Arial"/>
          <w:sz w:val="22"/>
          <w:szCs w:val="22"/>
        </w:rPr>
        <w:t xml:space="preserve"> se adelanten de manera eficiente</w:t>
      </w:r>
      <w:r w:rsidRPr="00475806">
        <w:rPr>
          <w:rStyle w:val="normaltextrun"/>
          <w:rFonts w:ascii="Arial" w:eastAsiaTheme="majorEastAsia" w:hAnsi="Arial" w:cs="Arial"/>
          <w:sz w:val="22"/>
          <w:szCs w:val="22"/>
        </w:rPr>
        <w:t>.</w:t>
      </w:r>
    </w:p>
    <w:p w14:paraId="1A903A08" w14:textId="77777777" w:rsidR="00707423" w:rsidRPr="00822637" w:rsidRDefault="00707423">
      <w:pPr>
        <w:pStyle w:val="paragraph"/>
        <w:spacing w:before="0" w:beforeAutospacing="0" w:after="0" w:afterAutospacing="0"/>
        <w:contextualSpacing/>
        <w:jc w:val="both"/>
        <w:textAlignment w:val="baseline"/>
        <w:rPr>
          <w:rStyle w:val="normaltextrun"/>
          <w:rFonts w:ascii="Arial" w:eastAsiaTheme="majorEastAsia" w:hAnsi="Arial" w:cs="Arial"/>
          <w:sz w:val="22"/>
          <w:szCs w:val="22"/>
        </w:rPr>
      </w:pPr>
    </w:p>
    <w:p w14:paraId="2A0F02F3" w14:textId="77777777" w:rsidR="007676B3" w:rsidRDefault="007676B3">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DF2058">
        <w:rPr>
          <w:rStyle w:val="normaltextrun"/>
          <w:rFonts w:ascii="Arial" w:eastAsiaTheme="minorHAnsi" w:hAnsi="Arial" w:cs="Arial"/>
          <w:b/>
          <w:bCs/>
          <w:color w:val="000000"/>
          <w:sz w:val="22"/>
          <w:szCs w:val="22"/>
          <w:shd w:val="clear" w:color="auto" w:fill="FFFFFF"/>
          <w:lang w:val="es-ES" w:eastAsia="en-US"/>
        </w:rPr>
        <w:t>Evidencias</w:t>
      </w:r>
      <w:r w:rsidRPr="00DF2058">
        <w:rPr>
          <w:rStyle w:val="normaltextrun"/>
          <w:rFonts w:ascii="Arial" w:eastAsiaTheme="minorHAnsi" w:hAnsi="Arial" w:cs="Arial"/>
          <w:color w:val="000000"/>
          <w:sz w:val="22"/>
          <w:szCs w:val="22"/>
          <w:shd w:val="clear" w:color="auto" w:fill="FFFFFF"/>
          <w:lang w:val="es-ES" w:eastAsia="en-US"/>
        </w:rPr>
        <w:t xml:space="preserve">: los documentos </w:t>
      </w:r>
      <w:r w:rsidR="00D52566">
        <w:rPr>
          <w:rStyle w:val="normaltextrun"/>
          <w:rFonts w:ascii="Arial" w:eastAsiaTheme="minorHAnsi" w:hAnsi="Arial" w:cs="Arial"/>
          <w:color w:val="000000"/>
          <w:sz w:val="22"/>
          <w:szCs w:val="22"/>
          <w:shd w:val="clear" w:color="auto" w:fill="FFFFFF"/>
          <w:lang w:val="es-ES" w:eastAsia="en-US"/>
        </w:rPr>
        <w:t xml:space="preserve">probatorios </w:t>
      </w:r>
      <w:r w:rsidRPr="00DF2058">
        <w:rPr>
          <w:rStyle w:val="normaltextrun"/>
          <w:rFonts w:ascii="Arial" w:eastAsiaTheme="minorHAnsi" w:hAnsi="Arial" w:cs="Arial"/>
          <w:color w:val="000000"/>
          <w:sz w:val="22"/>
          <w:szCs w:val="22"/>
          <w:shd w:val="clear" w:color="auto" w:fill="FFFFFF"/>
          <w:lang w:val="es-ES" w:eastAsia="en-US"/>
        </w:rPr>
        <w:t>obran en el expediente digital en el Sistema Electrónico Documental SIED del Ministerio de Hacienda y Crédito Público No. 17/2021/D028-PREDI</w:t>
      </w:r>
      <w:r w:rsidR="00D52566">
        <w:rPr>
          <w:rStyle w:val="normaltextrun"/>
          <w:rFonts w:ascii="Arial" w:eastAsiaTheme="minorHAnsi" w:hAnsi="Arial" w:cs="Arial"/>
          <w:color w:val="000000"/>
          <w:sz w:val="22"/>
          <w:szCs w:val="22"/>
          <w:shd w:val="clear" w:color="auto" w:fill="FFFFFF"/>
          <w:lang w:val="es-ES" w:eastAsia="en-US"/>
        </w:rPr>
        <w:t>,</w:t>
      </w:r>
      <w:r w:rsidR="000361F5">
        <w:rPr>
          <w:rStyle w:val="normaltextrun"/>
          <w:rFonts w:ascii="Arial" w:eastAsiaTheme="minorHAnsi" w:hAnsi="Arial" w:cs="Arial"/>
          <w:color w:val="000000"/>
          <w:sz w:val="22"/>
          <w:szCs w:val="22"/>
          <w:shd w:val="clear" w:color="auto" w:fill="FFFFFF"/>
          <w:lang w:val="es-ES" w:eastAsia="en-US"/>
        </w:rPr>
        <w:t xml:space="preserve"> </w:t>
      </w:r>
      <w:r w:rsidR="00D52566">
        <w:rPr>
          <w:rStyle w:val="normaltextrun"/>
          <w:rFonts w:ascii="Arial" w:eastAsiaTheme="minorHAnsi" w:hAnsi="Arial" w:cs="Arial"/>
          <w:color w:val="000000"/>
          <w:sz w:val="22"/>
          <w:szCs w:val="22"/>
          <w:shd w:val="clear" w:color="auto" w:fill="FFFFFF"/>
          <w:lang w:val="es-ES" w:eastAsia="en-US"/>
        </w:rPr>
        <w:t>así</w:t>
      </w:r>
      <w:r w:rsidRPr="00DF2058">
        <w:rPr>
          <w:rStyle w:val="normaltextrun"/>
          <w:rFonts w:ascii="Arial" w:eastAsiaTheme="minorHAnsi" w:hAnsi="Arial" w:cs="Arial"/>
          <w:color w:val="000000"/>
          <w:sz w:val="22"/>
          <w:szCs w:val="22"/>
          <w:shd w:val="clear" w:color="auto" w:fill="FFFFFF"/>
          <w:lang w:val="es-ES" w:eastAsia="en-US"/>
        </w:rPr>
        <w:t>:</w:t>
      </w:r>
    </w:p>
    <w:p w14:paraId="1CF0E70A" w14:textId="77777777" w:rsidR="00E565EC" w:rsidRDefault="00E565EC">
      <w:pPr>
        <w:spacing w:line="240" w:lineRule="auto"/>
        <w:contextualSpacing/>
        <w:rPr>
          <w:lang w:val="es-ES"/>
        </w:rPr>
      </w:pPr>
    </w:p>
    <w:p w14:paraId="60DC3E67" w14:textId="77777777" w:rsidR="00AC6BC2" w:rsidRPr="00DF2058" w:rsidRDefault="00AC6BC2">
      <w:pPr>
        <w:pStyle w:val="Prrafodelista"/>
        <w:numPr>
          <w:ilvl w:val="0"/>
          <w:numId w:val="25"/>
        </w:numPr>
        <w:spacing w:line="240" w:lineRule="auto"/>
        <w:jc w:val="both"/>
        <w:rPr>
          <w:rStyle w:val="normaltextrun"/>
          <w:sz w:val="20"/>
          <w:szCs w:val="20"/>
          <w:lang w:val="es-ES"/>
        </w:rPr>
      </w:pPr>
      <w:r w:rsidRPr="00DF2058">
        <w:rPr>
          <w:rStyle w:val="normaltextrun"/>
          <w:rFonts w:eastAsiaTheme="majorEastAsia" w:cs="Arial"/>
          <w:sz w:val="20"/>
          <w:szCs w:val="20"/>
        </w:rPr>
        <w:t>Reporte FUT Ingresos 2018. Participación de Propósito General. Municipio de Puerto Leguízamo - Putumayo. Serie “</w:t>
      </w:r>
      <w:r w:rsidRPr="00DF2058">
        <w:rPr>
          <w:rStyle w:val="normaltextrun"/>
          <w:rFonts w:eastAsiaTheme="majorEastAsia" w:cs="Arial"/>
          <w:i/>
          <w:iCs/>
          <w:sz w:val="20"/>
          <w:szCs w:val="20"/>
        </w:rPr>
        <w:t>Historial de Seguimiento y Control a los Recursos del Sistema General de Participaciones – Diagnóstico</w:t>
      </w:r>
      <w:r w:rsidRPr="00DF2058">
        <w:rPr>
          <w:rStyle w:val="normaltextrun"/>
          <w:rFonts w:eastAsiaTheme="majorEastAsia" w:cs="Arial"/>
          <w:sz w:val="20"/>
          <w:szCs w:val="20"/>
        </w:rPr>
        <w:t>”. Expediente digital No. 17/2021/D028-PREDI.</w:t>
      </w:r>
      <w:r w:rsidR="004663BF">
        <w:rPr>
          <w:rStyle w:val="normaltextrun"/>
          <w:rFonts w:eastAsiaTheme="majorEastAsia" w:cs="Arial"/>
          <w:sz w:val="20"/>
          <w:szCs w:val="20"/>
        </w:rPr>
        <w:t xml:space="preserve"> </w:t>
      </w:r>
      <w:hyperlink r:id="rId22" w:history="1">
        <w:r w:rsidR="00D52566" w:rsidRPr="005B0FC2">
          <w:rPr>
            <w:rStyle w:val="Hipervnculo"/>
            <w:rFonts w:eastAsiaTheme="majorEastAsia" w:cs="Arial"/>
            <w:sz w:val="20"/>
            <w:szCs w:val="20"/>
          </w:rPr>
          <w:t>https://bit.ly/30PeWtR</w:t>
        </w:r>
      </w:hyperlink>
      <w:r w:rsidR="00D52566">
        <w:rPr>
          <w:rStyle w:val="normaltextrun"/>
          <w:rFonts w:eastAsiaTheme="majorEastAsia" w:cs="Arial"/>
          <w:sz w:val="20"/>
          <w:szCs w:val="20"/>
        </w:rPr>
        <w:t xml:space="preserve"> </w:t>
      </w:r>
    </w:p>
    <w:p w14:paraId="7C52D21A" w14:textId="77777777" w:rsidR="00AC6BC2" w:rsidRPr="00DF2058" w:rsidRDefault="00AC6BC2">
      <w:pPr>
        <w:pStyle w:val="Prrafodelista"/>
        <w:numPr>
          <w:ilvl w:val="0"/>
          <w:numId w:val="25"/>
        </w:numPr>
        <w:spacing w:line="240" w:lineRule="auto"/>
        <w:jc w:val="both"/>
        <w:rPr>
          <w:sz w:val="20"/>
          <w:szCs w:val="20"/>
          <w:lang w:val="es-ES"/>
        </w:rPr>
      </w:pPr>
      <w:r w:rsidRPr="00DF2058">
        <w:rPr>
          <w:rStyle w:val="normaltextrun"/>
          <w:rFonts w:eastAsiaTheme="majorEastAsia" w:cs="Arial"/>
          <w:sz w:val="20"/>
          <w:szCs w:val="20"/>
        </w:rPr>
        <w:t>Reporte FUT Ingresos 2019. Participación de Propósito General. Municipio de Puerto Leguízamo - Putumayo. Serie “</w:t>
      </w:r>
      <w:r w:rsidRPr="00DF2058">
        <w:rPr>
          <w:rStyle w:val="normaltextrun"/>
          <w:rFonts w:eastAsiaTheme="majorEastAsia" w:cs="Arial"/>
          <w:i/>
          <w:iCs/>
          <w:sz w:val="20"/>
          <w:szCs w:val="20"/>
        </w:rPr>
        <w:t>Historial de Seguimiento y Control a los Recursos del Sistema General de Participaciones – Diagnóstico</w:t>
      </w:r>
      <w:r w:rsidRPr="00DF2058">
        <w:rPr>
          <w:rStyle w:val="normaltextrun"/>
          <w:rFonts w:eastAsiaTheme="majorEastAsia" w:cs="Arial"/>
          <w:sz w:val="20"/>
          <w:szCs w:val="20"/>
        </w:rPr>
        <w:t>”. Expediente digital No. 17/2021/D028-PREDI.</w:t>
      </w:r>
      <w:r w:rsidR="004663BF" w:rsidRPr="004663BF">
        <w:t xml:space="preserve"> </w:t>
      </w:r>
      <w:hyperlink r:id="rId23" w:history="1">
        <w:r w:rsidR="00D52566" w:rsidRPr="005B0FC2">
          <w:rPr>
            <w:rStyle w:val="Hipervnculo"/>
            <w:rFonts w:eastAsiaTheme="majorEastAsia" w:cs="Arial"/>
            <w:sz w:val="20"/>
            <w:szCs w:val="20"/>
          </w:rPr>
          <w:t>https://bit.ly/3nrpN54</w:t>
        </w:r>
      </w:hyperlink>
      <w:r w:rsidR="00D52566">
        <w:rPr>
          <w:rStyle w:val="normaltextrun"/>
          <w:rFonts w:eastAsiaTheme="majorEastAsia" w:cs="Arial"/>
          <w:sz w:val="20"/>
          <w:szCs w:val="20"/>
        </w:rPr>
        <w:t xml:space="preserve"> </w:t>
      </w:r>
    </w:p>
    <w:p w14:paraId="105323BD" w14:textId="77777777" w:rsidR="00AC6BC2" w:rsidRPr="00DF2058" w:rsidRDefault="00AC6BC2">
      <w:pPr>
        <w:pStyle w:val="Prrafodelista"/>
        <w:numPr>
          <w:ilvl w:val="0"/>
          <w:numId w:val="25"/>
        </w:numPr>
        <w:spacing w:line="240" w:lineRule="auto"/>
        <w:jc w:val="both"/>
        <w:rPr>
          <w:rStyle w:val="normaltextrun"/>
          <w:sz w:val="20"/>
          <w:szCs w:val="20"/>
          <w:lang w:val="es-ES"/>
        </w:rPr>
      </w:pPr>
      <w:r w:rsidRPr="00DF2058">
        <w:rPr>
          <w:rStyle w:val="normaltextrun"/>
          <w:rFonts w:eastAsiaTheme="majorEastAsia" w:cs="Arial"/>
          <w:sz w:val="20"/>
          <w:szCs w:val="20"/>
        </w:rPr>
        <w:lastRenderedPageBreak/>
        <w:t>Reporte FUT Ingresos 2020. Participación de Propósito General. Municipio de Puerto Leguízamo - Putumayo. Serie “</w:t>
      </w:r>
      <w:r w:rsidRPr="00DF2058">
        <w:rPr>
          <w:rStyle w:val="normaltextrun"/>
          <w:rFonts w:eastAsiaTheme="majorEastAsia" w:cs="Arial"/>
          <w:i/>
          <w:iCs/>
          <w:sz w:val="20"/>
          <w:szCs w:val="20"/>
        </w:rPr>
        <w:t>Historial de Seguimiento y Control a los Recursos del Sistema General de Participaciones – Diagnóstico</w:t>
      </w:r>
      <w:r w:rsidRPr="00DF2058">
        <w:rPr>
          <w:rStyle w:val="normaltextrun"/>
          <w:rFonts w:eastAsiaTheme="majorEastAsia" w:cs="Arial"/>
          <w:sz w:val="20"/>
          <w:szCs w:val="20"/>
        </w:rPr>
        <w:t>”. Expediente digital No. 17/2021/D028-PREDI.</w:t>
      </w:r>
      <w:r w:rsidR="004663BF">
        <w:rPr>
          <w:rStyle w:val="normaltextrun"/>
          <w:rFonts w:eastAsiaTheme="majorEastAsia" w:cs="Arial"/>
          <w:sz w:val="20"/>
          <w:szCs w:val="20"/>
        </w:rPr>
        <w:t xml:space="preserve"> </w:t>
      </w:r>
      <w:hyperlink r:id="rId24" w:history="1">
        <w:r w:rsidR="00D52566" w:rsidRPr="005B0FC2">
          <w:rPr>
            <w:rStyle w:val="Hipervnculo"/>
            <w:rFonts w:eastAsiaTheme="majorEastAsia" w:cs="Arial"/>
            <w:sz w:val="20"/>
            <w:szCs w:val="20"/>
          </w:rPr>
          <w:t>https://bit.ly/3CeRvbn</w:t>
        </w:r>
      </w:hyperlink>
      <w:r w:rsidR="00D52566">
        <w:rPr>
          <w:rStyle w:val="normaltextrun"/>
          <w:rFonts w:eastAsiaTheme="majorEastAsia" w:cs="Arial"/>
          <w:sz w:val="20"/>
          <w:szCs w:val="20"/>
        </w:rPr>
        <w:t xml:space="preserve"> </w:t>
      </w:r>
    </w:p>
    <w:p w14:paraId="608EB98A" w14:textId="77777777" w:rsidR="00AC6BC2" w:rsidRPr="00BC07AE" w:rsidRDefault="00AC6BC2">
      <w:pPr>
        <w:pStyle w:val="Prrafodelista"/>
        <w:numPr>
          <w:ilvl w:val="0"/>
          <w:numId w:val="25"/>
        </w:numPr>
        <w:spacing w:line="240" w:lineRule="auto"/>
        <w:jc w:val="both"/>
        <w:rPr>
          <w:rStyle w:val="normaltextrun"/>
          <w:sz w:val="20"/>
          <w:szCs w:val="20"/>
          <w:lang w:val="es-ES"/>
        </w:rPr>
      </w:pPr>
      <w:r>
        <w:rPr>
          <w:rStyle w:val="normaltextrun"/>
          <w:rFonts w:eastAsiaTheme="majorEastAsia" w:cs="Arial"/>
          <w:sz w:val="20"/>
          <w:szCs w:val="20"/>
        </w:rPr>
        <w:t xml:space="preserve">Reporte FUT Gastos de Funcionamiento 2018.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sidR="004663BF">
        <w:rPr>
          <w:rStyle w:val="normaltextrun"/>
          <w:rFonts w:eastAsiaTheme="majorEastAsia" w:cs="Arial"/>
          <w:sz w:val="20"/>
          <w:szCs w:val="20"/>
        </w:rPr>
        <w:t xml:space="preserve"> </w:t>
      </w:r>
      <w:hyperlink r:id="rId25" w:history="1">
        <w:r w:rsidR="00D52566" w:rsidRPr="005B0FC2">
          <w:rPr>
            <w:rStyle w:val="Hipervnculo"/>
            <w:rFonts w:eastAsiaTheme="majorEastAsia" w:cs="Arial"/>
            <w:sz w:val="20"/>
            <w:szCs w:val="20"/>
          </w:rPr>
          <w:t>https://bit.ly/3pJTbWG</w:t>
        </w:r>
      </w:hyperlink>
      <w:r w:rsidR="00D52566">
        <w:rPr>
          <w:rStyle w:val="normaltextrun"/>
          <w:rFonts w:eastAsiaTheme="majorEastAsia" w:cs="Arial"/>
          <w:sz w:val="20"/>
          <w:szCs w:val="20"/>
        </w:rPr>
        <w:t xml:space="preserve"> </w:t>
      </w:r>
    </w:p>
    <w:p w14:paraId="5E70BF98" w14:textId="77777777" w:rsidR="00AC6BC2" w:rsidRPr="00BC07AE" w:rsidRDefault="00AC6BC2">
      <w:pPr>
        <w:pStyle w:val="Prrafodelista"/>
        <w:numPr>
          <w:ilvl w:val="0"/>
          <w:numId w:val="25"/>
        </w:numPr>
        <w:spacing w:line="240" w:lineRule="auto"/>
        <w:jc w:val="both"/>
        <w:rPr>
          <w:rStyle w:val="normaltextrun"/>
          <w:sz w:val="20"/>
          <w:szCs w:val="20"/>
          <w:lang w:val="es-ES"/>
        </w:rPr>
      </w:pPr>
      <w:r>
        <w:rPr>
          <w:rStyle w:val="normaltextrun"/>
          <w:rFonts w:eastAsiaTheme="majorEastAsia" w:cs="Arial"/>
          <w:sz w:val="20"/>
          <w:szCs w:val="20"/>
        </w:rPr>
        <w:t xml:space="preserve">Reporte FUT Gastos de Funcionamiento 2019.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sidR="004663BF">
        <w:rPr>
          <w:rStyle w:val="normaltextrun"/>
          <w:rFonts w:eastAsiaTheme="majorEastAsia" w:cs="Arial"/>
          <w:sz w:val="20"/>
          <w:szCs w:val="20"/>
        </w:rPr>
        <w:t xml:space="preserve"> </w:t>
      </w:r>
      <w:hyperlink r:id="rId26" w:history="1">
        <w:r w:rsidR="00D52566" w:rsidRPr="005B0FC2">
          <w:rPr>
            <w:rStyle w:val="Hipervnculo"/>
            <w:rFonts w:eastAsiaTheme="majorEastAsia" w:cs="Arial"/>
            <w:sz w:val="20"/>
            <w:szCs w:val="20"/>
          </w:rPr>
          <w:t>https://bit.ly/3jyVXKw</w:t>
        </w:r>
      </w:hyperlink>
      <w:r w:rsidR="00D52566">
        <w:rPr>
          <w:rStyle w:val="normaltextrun"/>
          <w:rFonts w:eastAsiaTheme="majorEastAsia" w:cs="Arial"/>
          <w:sz w:val="20"/>
          <w:szCs w:val="20"/>
        </w:rPr>
        <w:t xml:space="preserve"> </w:t>
      </w:r>
    </w:p>
    <w:p w14:paraId="2673099B" w14:textId="77777777" w:rsidR="00AC6BC2" w:rsidRPr="00BC07AE" w:rsidRDefault="00AC6BC2">
      <w:pPr>
        <w:pStyle w:val="Prrafodelista"/>
        <w:numPr>
          <w:ilvl w:val="0"/>
          <w:numId w:val="25"/>
        </w:numPr>
        <w:spacing w:line="240" w:lineRule="auto"/>
        <w:jc w:val="both"/>
        <w:rPr>
          <w:rStyle w:val="normaltextrun"/>
          <w:sz w:val="20"/>
          <w:szCs w:val="20"/>
          <w:lang w:val="es-ES"/>
        </w:rPr>
      </w:pPr>
      <w:r>
        <w:rPr>
          <w:rStyle w:val="normaltextrun"/>
          <w:rFonts w:eastAsiaTheme="majorEastAsia" w:cs="Arial"/>
          <w:sz w:val="20"/>
          <w:szCs w:val="20"/>
        </w:rPr>
        <w:t xml:space="preserve">Reporte FUT Gastos de Funcionamiento 2020.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sidR="004663BF">
        <w:rPr>
          <w:rStyle w:val="normaltextrun"/>
          <w:rFonts w:eastAsiaTheme="majorEastAsia" w:cs="Arial"/>
          <w:sz w:val="20"/>
          <w:szCs w:val="20"/>
        </w:rPr>
        <w:t xml:space="preserve"> </w:t>
      </w:r>
      <w:hyperlink r:id="rId27" w:history="1">
        <w:r w:rsidR="00D52566" w:rsidRPr="005B0FC2">
          <w:rPr>
            <w:rStyle w:val="Hipervnculo"/>
            <w:rFonts w:eastAsiaTheme="majorEastAsia" w:cs="Arial"/>
            <w:sz w:val="20"/>
            <w:szCs w:val="20"/>
          </w:rPr>
          <w:t>https://bit.ly/3pCj0Ic</w:t>
        </w:r>
      </w:hyperlink>
      <w:r w:rsidR="00D52566">
        <w:rPr>
          <w:rStyle w:val="normaltextrun"/>
          <w:rFonts w:eastAsiaTheme="majorEastAsia" w:cs="Arial"/>
          <w:sz w:val="20"/>
          <w:szCs w:val="20"/>
        </w:rPr>
        <w:t xml:space="preserve"> </w:t>
      </w:r>
    </w:p>
    <w:p w14:paraId="26443B8E" w14:textId="77777777" w:rsidR="00AC6BC2" w:rsidRPr="00BC07AE" w:rsidRDefault="00AC6BC2">
      <w:pPr>
        <w:pStyle w:val="Prrafodelista"/>
        <w:numPr>
          <w:ilvl w:val="0"/>
          <w:numId w:val="25"/>
        </w:numPr>
        <w:spacing w:line="240" w:lineRule="auto"/>
        <w:jc w:val="both"/>
        <w:rPr>
          <w:rStyle w:val="normaltextrun"/>
          <w:sz w:val="20"/>
          <w:szCs w:val="20"/>
          <w:lang w:val="es-ES"/>
        </w:rPr>
      </w:pPr>
      <w:r>
        <w:rPr>
          <w:rStyle w:val="normaltextrun"/>
          <w:rFonts w:eastAsiaTheme="majorEastAsia" w:cs="Arial"/>
          <w:sz w:val="20"/>
          <w:szCs w:val="20"/>
        </w:rPr>
        <w:t xml:space="preserve">Reporte FUT Gastos de Inversión 2018.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sidR="004663BF">
        <w:rPr>
          <w:rStyle w:val="normaltextrun"/>
          <w:rFonts w:eastAsiaTheme="majorEastAsia" w:cs="Arial"/>
          <w:sz w:val="20"/>
          <w:szCs w:val="20"/>
        </w:rPr>
        <w:t xml:space="preserve"> </w:t>
      </w:r>
      <w:hyperlink r:id="rId28" w:history="1">
        <w:r w:rsidR="00D52566" w:rsidRPr="005B0FC2">
          <w:rPr>
            <w:rStyle w:val="Hipervnculo"/>
            <w:rFonts w:eastAsiaTheme="majorEastAsia" w:cs="Arial"/>
            <w:sz w:val="20"/>
            <w:szCs w:val="20"/>
          </w:rPr>
          <w:t>https://bit.ly/3md5t7V</w:t>
        </w:r>
      </w:hyperlink>
      <w:r w:rsidR="00D52566">
        <w:rPr>
          <w:rStyle w:val="normaltextrun"/>
          <w:rFonts w:eastAsiaTheme="majorEastAsia" w:cs="Arial"/>
          <w:sz w:val="20"/>
          <w:szCs w:val="20"/>
        </w:rPr>
        <w:t xml:space="preserve"> </w:t>
      </w:r>
    </w:p>
    <w:p w14:paraId="22AD6B90" w14:textId="77777777" w:rsidR="00AC6BC2" w:rsidRPr="00BC07AE" w:rsidRDefault="00AC6BC2">
      <w:pPr>
        <w:pStyle w:val="Prrafodelista"/>
        <w:numPr>
          <w:ilvl w:val="0"/>
          <w:numId w:val="25"/>
        </w:numPr>
        <w:spacing w:line="240" w:lineRule="auto"/>
        <w:jc w:val="both"/>
        <w:rPr>
          <w:rStyle w:val="normaltextrun"/>
          <w:sz w:val="20"/>
          <w:szCs w:val="20"/>
          <w:lang w:val="es-ES"/>
        </w:rPr>
      </w:pPr>
      <w:r>
        <w:rPr>
          <w:rStyle w:val="normaltextrun"/>
          <w:rFonts w:eastAsiaTheme="majorEastAsia" w:cs="Arial"/>
          <w:sz w:val="20"/>
          <w:szCs w:val="20"/>
        </w:rPr>
        <w:t xml:space="preserve">Reporte FUT Gastos de Inversión 2019.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sidR="004663BF" w:rsidRPr="004663BF">
        <w:t xml:space="preserve"> </w:t>
      </w:r>
      <w:hyperlink r:id="rId29" w:history="1">
        <w:r w:rsidR="00D52566" w:rsidRPr="005B0FC2">
          <w:rPr>
            <w:rStyle w:val="Hipervnculo"/>
            <w:rFonts w:eastAsiaTheme="majorEastAsia" w:cs="Arial"/>
            <w:sz w:val="20"/>
            <w:szCs w:val="20"/>
          </w:rPr>
          <w:t>https://bit.ly/3Ce6GkR</w:t>
        </w:r>
      </w:hyperlink>
      <w:r w:rsidR="00D52566">
        <w:rPr>
          <w:rStyle w:val="normaltextrun"/>
          <w:rFonts w:eastAsiaTheme="majorEastAsia" w:cs="Arial"/>
          <w:sz w:val="20"/>
          <w:szCs w:val="20"/>
        </w:rPr>
        <w:t xml:space="preserve"> </w:t>
      </w:r>
    </w:p>
    <w:p w14:paraId="720436E5" w14:textId="77777777" w:rsidR="00AC6BC2" w:rsidRPr="00BC07AE" w:rsidRDefault="00AC6BC2">
      <w:pPr>
        <w:pStyle w:val="Prrafodelista"/>
        <w:numPr>
          <w:ilvl w:val="0"/>
          <w:numId w:val="25"/>
        </w:numPr>
        <w:spacing w:line="240" w:lineRule="auto"/>
        <w:jc w:val="both"/>
        <w:rPr>
          <w:rStyle w:val="normaltextrun"/>
          <w:sz w:val="20"/>
          <w:szCs w:val="20"/>
          <w:lang w:val="es-ES"/>
        </w:rPr>
      </w:pPr>
      <w:r>
        <w:rPr>
          <w:rStyle w:val="normaltextrun"/>
          <w:rFonts w:eastAsiaTheme="majorEastAsia" w:cs="Arial"/>
          <w:sz w:val="20"/>
          <w:szCs w:val="20"/>
        </w:rPr>
        <w:t xml:space="preserve">Reporte FUT Gastos de Inversión 2020.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sidR="004663BF">
        <w:rPr>
          <w:rStyle w:val="normaltextrun"/>
          <w:rFonts w:eastAsiaTheme="majorEastAsia" w:cs="Arial"/>
          <w:sz w:val="20"/>
          <w:szCs w:val="20"/>
        </w:rPr>
        <w:t xml:space="preserve"> </w:t>
      </w:r>
      <w:hyperlink r:id="rId30" w:history="1">
        <w:r w:rsidR="00D52566" w:rsidRPr="005B0FC2">
          <w:rPr>
            <w:rStyle w:val="Hipervnculo"/>
            <w:rFonts w:eastAsiaTheme="majorEastAsia" w:cs="Arial"/>
            <w:sz w:val="20"/>
            <w:szCs w:val="20"/>
          </w:rPr>
          <w:t>https://bit.ly/3CdOWq4</w:t>
        </w:r>
      </w:hyperlink>
      <w:r w:rsidR="00D52566">
        <w:rPr>
          <w:rStyle w:val="normaltextrun"/>
          <w:rFonts w:eastAsiaTheme="majorEastAsia" w:cs="Arial"/>
          <w:sz w:val="20"/>
          <w:szCs w:val="20"/>
        </w:rPr>
        <w:t xml:space="preserve"> </w:t>
      </w:r>
    </w:p>
    <w:p w14:paraId="26BAE940" w14:textId="77777777" w:rsidR="004246DB" w:rsidRPr="00DF2058" w:rsidRDefault="00F455C6">
      <w:pPr>
        <w:pStyle w:val="Prrafodelista"/>
        <w:numPr>
          <w:ilvl w:val="0"/>
          <w:numId w:val="25"/>
        </w:numPr>
        <w:spacing w:line="240" w:lineRule="auto"/>
        <w:jc w:val="both"/>
        <w:rPr>
          <w:rStyle w:val="normaltextrun"/>
          <w:sz w:val="20"/>
          <w:szCs w:val="20"/>
          <w:lang w:val="es-ES"/>
        </w:rPr>
      </w:pPr>
      <w:r w:rsidRPr="004246DB">
        <w:rPr>
          <w:sz w:val="20"/>
          <w:szCs w:val="20"/>
          <w:lang w:val="es-ES"/>
        </w:rPr>
        <w:t xml:space="preserve">Reporte FUT Cierre Fiscal 2018. </w:t>
      </w:r>
      <w:r w:rsidRPr="004246DB">
        <w:rPr>
          <w:rStyle w:val="normaltextrun"/>
          <w:rFonts w:eastAsiaTheme="majorEastAsia" w:cs="Arial"/>
          <w:sz w:val="20"/>
          <w:szCs w:val="20"/>
        </w:rPr>
        <w:t>Participación de Propósito General. Municipio de Puerto Leguízamo - Putumayo. Serie “</w:t>
      </w:r>
      <w:r w:rsidRPr="004246DB">
        <w:rPr>
          <w:rStyle w:val="normaltextrun"/>
          <w:rFonts w:eastAsiaTheme="majorEastAsia" w:cs="Arial"/>
          <w:i/>
          <w:iCs/>
          <w:sz w:val="20"/>
          <w:szCs w:val="20"/>
        </w:rPr>
        <w:t>Historial de Seguimiento y Control a los Recursos del Sistema General de Participaciones – Diagnóstico</w:t>
      </w:r>
      <w:r w:rsidRPr="004246DB">
        <w:rPr>
          <w:rStyle w:val="normaltextrun"/>
          <w:rFonts w:eastAsiaTheme="majorEastAsia" w:cs="Arial"/>
          <w:sz w:val="20"/>
          <w:szCs w:val="20"/>
        </w:rPr>
        <w:t>”. Expediente digital No. 17/2021/D028-PREDI.</w:t>
      </w:r>
      <w:r w:rsidR="004663BF" w:rsidRPr="004246DB">
        <w:rPr>
          <w:rStyle w:val="normaltextrun"/>
          <w:rFonts w:eastAsiaTheme="majorEastAsia" w:cs="Arial"/>
          <w:sz w:val="20"/>
          <w:szCs w:val="20"/>
        </w:rPr>
        <w:t xml:space="preserve"> </w:t>
      </w:r>
      <w:hyperlink r:id="rId31" w:history="1">
        <w:r w:rsidR="004246DB" w:rsidRPr="00002BCD">
          <w:rPr>
            <w:rStyle w:val="Hipervnculo"/>
            <w:rFonts w:eastAsiaTheme="majorEastAsia" w:cs="Arial"/>
            <w:sz w:val="20"/>
            <w:szCs w:val="20"/>
          </w:rPr>
          <w:t>https://bit.ly/3pCjuOM</w:t>
        </w:r>
      </w:hyperlink>
    </w:p>
    <w:p w14:paraId="6B93120A" w14:textId="77777777" w:rsidR="00F455C6" w:rsidRPr="004246DB" w:rsidRDefault="00F455C6">
      <w:pPr>
        <w:pStyle w:val="Prrafodelista"/>
        <w:numPr>
          <w:ilvl w:val="0"/>
          <w:numId w:val="25"/>
        </w:numPr>
        <w:spacing w:line="240" w:lineRule="auto"/>
        <w:jc w:val="both"/>
        <w:rPr>
          <w:rStyle w:val="normaltextrun"/>
          <w:sz w:val="20"/>
          <w:szCs w:val="20"/>
          <w:lang w:val="es-ES"/>
        </w:rPr>
      </w:pPr>
      <w:r w:rsidRPr="004246DB">
        <w:rPr>
          <w:sz w:val="20"/>
          <w:szCs w:val="20"/>
          <w:lang w:val="es-ES"/>
        </w:rPr>
        <w:t xml:space="preserve">Reporte FUT Cierre Fiscal 2019. </w:t>
      </w:r>
      <w:r w:rsidRPr="004246DB">
        <w:rPr>
          <w:rStyle w:val="normaltextrun"/>
          <w:rFonts w:eastAsiaTheme="majorEastAsia" w:cs="Arial"/>
          <w:sz w:val="20"/>
          <w:szCs w:val="20"/>
        </w:rPr>
        <w:t>Participación de Propósito General. Municipio de Puerto Leguízamo - Putumayo. Serie “</w:t>
      </w:r>
      <w:r w:rsidRPr="004246DB">
        <w:rPr>
          <w:rStyle w:val="normaltextrun"/>
          <w:rFonts w:eastAsiaTheme="majorEastAsia" w:cs="Arial"/>
          <w:i/>
          <w:iCs/>
          <w:sz w:val="20"/>
          <w:szCs w:val="20"/>
        </w:rPr>
        <w:t>Historial de Seguimiento y Control a los Recursos del Sistema General de Participaciones – Diagnóstico</w:t>
      </w:r>
      <w:r w:rsidRPr="004246DB">
        <w:rPr>
          <w:rStyle w:val="normaltextrun"/>
          <w:rFonts w:eastAsiaTheme="majorEastAsia" w:cs="Arial"/>
          <w:sz w:val="20"/>
          <w:szCs w:val="20"/>
        </w:rPr>
        <w:t>”. Expediente digital No. 17/2021/D028-PREDI.</w:t>
      </w:r>
      <w:r w:rsidR="004663BF" w:rsidRPr="004663BF">
        <w:t xml:space="preserve"> </w:t>
      </w:r>
      <w:hyperlink r:id="rId32" w:history="1">
        <w:r w:rsidR="00D52566" w:rsidRPr="005B0FC2">
          <w:rPr>
            <w:rStyle w:val="Hipervnculo"/>
            <w:rFonts w:eastAsiaTheme="majorEastAsia" w:cs="Arial"/>
            <w:sz w:val="20"/>
            <w:szCs w:val="20"/>
          </w:rPr>
          <w:t>https://bit.ly/3vI8Kzp</w:t>
        </w:r>
      </w:hyperlink>
      <w:r w:rsidR="00D52566">
        <w:rPr>
          <w:rStyle w:val="normaltextrun"/>
          <w:rFonts w:eastAsiaTheme="majorEastAsia" w:cs="Arial"/>
          <w:sz w:val="20"/>
          <w:szCs w:val="20"/>
        </w:rPr>
        <w:t xml:space="preserve"> </w:t>
      </w:r>
    </w:p>
    <w:p w14:paraId="04280904" w14:textId="77777777" w:rsidR="00F455C6" w:rsidRPr="00BC07AE" w:rsidRDefault="00F455C6">
      <w:pPr>
        <w:pStyle w:val="Prrafodelista"/>
        <w:numPr>
          <w:ilvl w:val="0"/>
          <w:numId w:val="25"/>
        </w:numPr>
        <w:spacing w:line="240" w:lineRule="auto"/>
        <w:jc w:val="both"/>
        <w:rPr>
          <w:rStyle w:val="normaltextrun"/>
          <w:sz w:val="20"/>
          <w:szCs w:val="20"/>
          <w:lang w:val="es-ES"/>
        </w:rPr>
      </w:pPr>
      <w:r>
        <w:rPr>
          <w:sz w:val="20"/>
          <w:szCs w:val="20"/>
          <w:lang w:val="es-ES"/>
        </w:rPr>
        <w:t xml:space="preserve">Reporte FUT Cierre Fiscal 2020.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sidR="004663BF" w:rsidRPr="004663BF">
        <w:t xml:space="preserve"> </w:t>
      </w:r>
      <w:hyperlink r:id="rId33" w:history="1">
        <w:r w:rsidR="00D52566" w:rsidRPr="005B0FC2">
          <w:rPr>
            <w:rStyle w:val="Hipervnculo"/>
            <w:rFonts w:eastAsiaTheme="majorEastAsia" w:cs="Arial"/>
            <w:sz w:val="20"/>
            <w:szCs w:val="20"/>
          </w:rPr>
          <w:t>https://bit.ly/3mbtTP3</w:t>
        </w:r>
      </w:hyperlink>
      <w:r w:rsidR="00D52566">
        <w:rPr>
          <w:rStyle w:val="normaltextrun"/>
          <w:rFonts w:eastAsiaTheme="majorEastAsia" w:cs="Arial"/>
          <w:sz w:val="20"/>
          <w:szCs w:val="20"/>
        </w:rPr>
        <w:t xml:space="preserve"> </w:t>
      </w:r>
    </w:p>
    <w:p w14:paraId="0EEE89D7" w14:textId="77777777" w:rsidR="00AC6BC2" w:rsidRDefault="00B43C02">
      <w:pPr>
        <w:pStyle w:val="Prrafodelista"/>
        <w:numPr>
          <w:ilvl w:val="0"/>
          <w:numId w:val="25"/>
        </w:numPr>
        <w:spacing w:line="240" w:lineRule="auto"/>
        <w:jc w:val="both"/>
        <w:rPr>
          <w:sz w:val="20"/>
          <w:szCs w:val="20"/>
          <w:lang w:val="es-ES"/>
        </w:rPr>
      </w:pPr>
      <w:r>
        <w:rPr>
          <w:sz w:val="20"/>
          <w:szCs w:val="20"/>
          <w:lang w:val="es-ES"/>
        </w:rPr>
        <w:t xml:space="preserve">Ejecución de Ingresos 2018.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sidR="00AA6F0E">
        <w:rPr>
          <w:rStyle w:val="normaltextrun"/>
          <w:rFonts w:eastAsiaTheme="majorEastAsia" w:cs="Arial"/>
          <w:sz w:val="20"/>
          <w:szCs w:val="20"/>
        </w:rPr>
        <w:t xml:space="preserve"> Radicado No. </w:t>
      </w:r>
      <w:r w:rsidR="00AA6F0E" w:rsidRPr="00AA6F0E">
        <w:rPr>
          <w:rStyle w:val="normaltextrun"/>
          <w:rFonts w:eastAsiaTheme="majorEastAsia" w:cs="Arial"/>
          <w:sz w:val="20"/>
          <w:szCs w:val="20"/>
        </w:rPr>
        <w:t>1-2021-053320</w:t>
      </w:r>
      <w:r w:rsidR="00AA6F0E">
        <w:rPr>
          <w:rStyle w:val="normaltextrun"/>
          <w:rFonts w:eastAsiaTheme="majorEastAsia" w:cs="Arial"/>
          <w:sz w:val="20"/>
          <w:szCs w:val="20"/>
        </w:rPr>
        <w:t xml:space="preserve"> del </w:t>
      </w:r>
      <w:r w:rsidR="004A5A8F" w:rsidRPr="004A5A8F">
        <w:rPr>
          <w:rStyle w:val="normaltextrun"/>
          <w:rFonts w:eastAsiaTheme="majorEastAsia" w:cs="Arial"/>
          <w:sz w:val="20"/>
          <w:szCs w:val="20"/>
        </w:rPr>
        <w:t>22 de junio de 2021</w:t>
      </w:r>
      <w:r w:rsidR="00AA6F0E">
        <w:rPr>
          <w:rStyle w:val="normaltextrun"/>
          <w:rFonts w:eastAsiaTheme="majorEastAsia" w:cs="Arial"/>
          <w:sz w:val="20"/>
          <w:szCs w:val="20"/>
        </w:rPr>
        <w:t>.</w:t>
      </w:r>
      <w:r w:rsidR="007419D5">
        <w:rPr>
          <w:rStyle w:val="normaltextrun"/>
          <w:rFonts w:eastAsiaTheme="majorEastAsia" w:cs="Arial"/>
          <w:sz w:val="20"/>
          <w:szCs w:val="20"/>
        </w:rPr>
        <w:t xml:space="preserve"> </w:t>
      </w:r>
      <w:hyperlink r:id="rId34" w:history="1">
        <w:r w:rsidR="00D52566" w:rsidRPr="005B0FC2">
          <w:rPr>
            <w:rStyle w:val="Hipervnculo"/>
            <w:rFonts w:eastAsiaTheme="majorEastAsia" w:cs="Arial"/>
            <w:sz w:val="20"/>
            <w:szCs w:val="20"/>
          </w:rPr>
          <w:t>https://bit.ly/3ChKVAN</w:t>
        </w:r>
      </w:hyperlink>
      <w:r w:rsidR="00D52566">
        <w:rPr>
          <w:rStyle w:val="normaltextrun"/>
          <w:rFonts w:eastAsiaTheme="majorEastAsia" w:cs="Arial"/>
          <w:sz w:val="20"/>
          <w:szCs w:val="20"/>
        </w:rPr>
        <w:t xml:space="preserve"> </w:t>
      </w:r>
    </w:p>
    <w:p w14:paraId="702AB719" w14:textId="77777777" w:rsidR="00B43C02" w:rsidRDefault="00B43C02">
      <w:pPr>
        <w:pStyle w:val="Prrafodelista"/>
        <w:numPr>
          <w:ilvl w:val="0"/>
          <w:numId w:val="25"/>
        </w:numPr>
        <w:spacing w:line="240" w:lineRule="auto"/>
        <w:jc w:val="both"/>
        <w:rPr>
          <w:sz w:val="20"/>
          <w:szCs w:val="20"/>
          <w:lang w:val="es-ES"/>
        </w:rPr>
      </w:pPr>
      <w:r>
        <w:rPr>
          <w:sz w:val="20"/>
          <w:szCs w:val="20"/>
          <w:lang w:val="es-ES"/>
        </w:rPr>
        <w:t>Ejecución de Ingresos 2019</w:t>
      </w:r>
      <w:r w:rsidR="00AA6F0E">
        <w:rPr>
          <w:sz w:val="20"/>
          <w:szCs w:val="20"/>
          <w:lang w:val="es-ES"/>
        </w:rPr>
        <w:t xml:space="preserve">. </w:t>
      </w:r>
      <w:r w:rsidR="00AA6F0E" w:rsidRPr="00BC07AE">
        <w:rPr>
          <w:rStyle w:val="normaltextrun"/>
          <w:rFonts w:eastAsiaTheme="majorEastAsia" w:cs="Arial"/>
          <w:sz w:val="20"/>
          <w:szCs w:val="20"/>
        </w:rPr>
        <w:t>Participación de Propósito General. Municipio de Puerto Leguízamo - Putumayo. Serie “</w:t>
      </w:r>
      <w:r w:rsidR="00AA6F0E" w:rsidRPr="00BC07AE">
        <w:rPr>
          <w:rStyle w:val="normaltextrun"/>
          <w:rFonts w:eastAsiaTheme="majorEastAsia" w:cs="Arial"/>
          <w:i/>
          <w:iCs/>
          <w:sz w:val="20"/>
          <w:szCs w:val="20"/>
        </w:rPr>
        <w:t>Historial de Seguimiento y Control a los Recursos del Sistema General de Participaciones – Diagnóstico</w:t>
      </w:r>
      <w:r w:rsidR="00AA6F0E" w:rsidRPr="00BC07AE">
        <w:rPr>
          <w:rStyle w:val="normaltextrun"/>
          <w:rFonts w:eastAsiaTheme="majorEastAsia" w:cs="Arial"/>
          <w:sz w:val="20"/>
          <w:szCs w:val="20"/>
        </w:rPr>
        <w:t>”. Expediente digital No. 17/2021/D028-PREDI.</w:t>
      </w:r>
      <w:r w:rsidR="00AA6F0E">
        <w:rPr>
          <w:rStyle w:val="normaltextrun"/>
          <w:rFonts w:eastAsiaTheme="majorEastAsia" w:cs="Arial"/>
          <w:sz w:val="20"/>
          <w:szCs w:val="20"/>
        </w:rPr>
        <w:t xml:space="preserve"> Radicado No. </w:t>
      </w:r>
      <w:r w:rsidR="00AA6F0E" w:rsidRPr="00AA6F0E">
        <w:rPr>
          <w:rStyle w:val="normaltextrun"/>
          <w:rFonts w:eastAsiaTheme="majorEastAsia" w:cs="Arial"/>
          <w:sz w:val="20"/>
          <w:szCs w:val="20"/>
        </w:rPr>
        <w:t>1-2021-053320</w:t>
      </w:r>
      <w:r w:rsidR="00AA6F0E">
        <w:rPr>
          <w:rStyle w:val="normaltextrun"/>
          <w:rFonts w:eastAsiaTheme="majorEastAsia" w:cs="Arial"/>
          <w:sz w:val="20"/>
          <w:szCs w:val="20"/>
        </w:rPr>
        <w:t xml:space="preserve"> del </w:t>
      </w:r>
      <w:r w:rsidR="004A5A8F" w:rsidRPr="004A5A8F">
        <w:rPr>
          <w:rStyle w:val="normaltextrun"/>
          <w:rFonts w:eastAsiaTheme="majorEastAsia" w:cs="Arial"/>
          <w:sz w:val="20"/>
          <w:szCs w:val="20"/>
        </w:rPr>
        <w:t>22 de junio de 2021</w:t>
      </w:r>
      <w:r w:rsidR="00AA6F0E">
        <w:rPr>
          <w:rStyle w:val="normaltextrun"/>
          <w:rFonts w:eastAsiaTheme="majorEastAsia" w:cs="Arial"/>
          <w:sz w:val="20"/>
          <w:szCs w:val="20"/>
        </w:rPr>
        <w:t>.</w:t>
      </w:r>
      <w:r w:rsidR="007419D5">
        <w:rPr>
          <w:rStyle w:val="normaltextrun"/>
          <w:rFonts w:eastAsiaTheme="majorEastAsia" w:cs="Arial"/>
          <w:sz w:val="20"/>
          <w:szCs w:val="20"/>
        </w:rPr>
        <w:t xml:space="preserve"> </w:t>
      </w:r>
      <w:hyperlink r:id="rId35" w:history="1">
        <w:r w:rsidR="00D52566" w:rsidRPr="005B0FC2">
          <w:rPr>
            <w:rStyle w:val="Hipervnculo"/>
            <w:rFonts w:eastAsiaTheme="majorEastAsia" w:cs="Arial"/>
            <w:sz w:val="20"/>
            <w:szCs w:val="20"/>
          </w:rPr>
          <w:t>https://bit.ly/3BdwH2D</w:t>
        </w:r>
      </w:hyperlink>
      <w:r w:rsidR="00D52566">
        <w:rPr>
          <w:rStyle w:val="normaltextrun"/>
          <w:rFonts w:eastAsiaTheme="majorEastAsia" w:cs="Arial"/>
          <w:sz w:val="20"/>
          <w:szCs w:val="20"/>
        </w:rPr>
        <w:t xml:space="preserve"> </w:t>
      </w:r>
    </w:p>
    <w:p w14:paraId="31BF2A8D" w14:textId="77777777" w:rsidR="00B43C02" w:rsidRDefault="00B43C02">
      <w:pPr>
        <w:pStyle w:val="Prrafodelista"/>
        <w:numPr>
          <w:ilvl w:val="0"/>
          <w:numId w:val="25"/>
        </w:numPr>
        <w:spacing w:line="240" w:lineRule="auto"/>
        <w:jc w:val="both"/>
        <w:rPr>
          <w:sz w:val="20"/>
          <w:szCs w:val="20"/>
          <w:lang w:val="es-ES"/>
        </w:rPr>
      </w:pPr>
      <w:r>
        <w:rPr>
          <w:sz w:val="20"/>
          <w:szCs w:val="20"/>
          <w:lang w:val="es-ES"/>
        </w:rPr>
        <w:t>Ejecución de Ingresos 2020</w:t>
      </w:r>
      <w:r w:rsidR="00AA6F0E">
        <w:rPr>
          <w:sz w:val="20"/>
          <w:szCs w:val="20"/>
          <w:lang w:val="es-ES"/>
        </w:rPr>
        <w:t xml:space="preserve">. </w:t>
      </w:r>
      <w:r w:rsidR="00AA6F0E" w:rsidRPr="00BC07AE">
        <w:rPr>
          <w:rStyle w:val="normaltextrun"/>
          <w:rFonts w:eastAsiaTheme="majorEastAsia" w:cs="Arial"/>
          <w:sz w:val="20"/>
          <w:szCs w:val="20"/>
        </w:rPr>
        <w:t>Participación de Propósito General. Municipio de Puerto Leguízamo - Putumayo. Serie “</w:t>
      </w:r>
      <w:r w:rsidR="00AA6F0E" w:rsidRPr="00BC07AE">
        <w:rPr>
          <w:rStyle w:val="normaltextrun"/>
          <w:rFonts w:eastAsiaTheme="majorEastAsia" w:cs="Arial"/>
          <w:i/>
          <w:iCs/>
          <w:sz w:val="20"/>
          <w:szCs w:val="20"/>
        </w:rPr>
        <w:t>Historial de Seguimiento y Control a los Recursos del Sistema General de Participaciones – Diagnóstico</w:t>
      </w:r>
      <w:r w:rsidR="00AA6F0E" w:rsidRPr="00BC07AE">
        <w:rPr>
          <w:rStyle w:val="normaltextrun"/>
          <w:rFonts w:eastAsiaTheme="majorEastAsia" w:cs="Arial"/>
          <w:sz w:val="20"/>
          <w:szCs w:val="20"/>
        </w:rPr>
        <w:t>”. Expediente digital No. 17/2021/D028-PREDI.</w:t>
      </w:r>
      <w:r w:rsidR="00AA6F0E">
        <w:rPr>
          <w:rStyle w:val="normaltextrun"/>
          <w:rFonts w:eastAsiaTheme="majorEastAsia" w:cs="Arial"/>
          <w:sz w:val="20"/>
          <w:szCs w:val="20"/>
        </w:rPr>
        <w:t xml:space="preserve"> Radicado No. </w:t>
      </w:r>
      <w:r w:rsidR="00AA6F0E" w:rsidRPr="00AA6F0E">
        <w:rPr>
          <w:rStyle w:val="normaltextrun"/>
          <w:rFonts w:eastAsiaTheme="majorEastAsia" w:cs="Arial"/>
          <w:sz w:val="20"/>
          <w:szCs w:val="20"/>
        </w:rPr>
        <w:t>1-2021-053320</w:t>
      </w:r>
      <w:r w:rsidR="00AA6F0E">
        <w:rPr>
          <w:rStyle w:val="normaltextrun"/>
          <w:rFonts w:eastAsiaTheme="majorEastAsia" w:cs="Arial"/>
          <w:sz w:val="20"/>
          <w:szCs w:val="20"/>
        </w:rPr>
        <w:t xml:space="preserve"> del </w:t>
      </w:r>
      <w:r w:rsidR="004A5A8F" w:rsidRPr="004A5A8F">
        <w:rPr>
          <w:rStyle w:val="normaltextrun"/>
          <w:rFonts w:eastAsiaTheme="majorEastAsia" w:cs="Arial"/>
          <w:sz w:val="20"/>
          <w:szCs w:val="20"/>
        </w:rPr>
        <w:t>22 de junio de 2021</w:t>
      </w:r>
      <w:r w:rsidR="00AA6F0E">
        <w:rPr>
          <w:rStyle w:val="normaltextrun"/>
          <w:rFonts w:eastAsiaTheme="majorEastAsia" w:cs="Arial"/>
          <w:sz w:val="20"/>
          <w:szCs w:val="20"/>
        </w:rPr>
        <w:t>.</w:t>
      </w:r>
      <w:r w:rsidR="007419D5">
        <w:rPr>
          <w:rStyle w:val="normaltextrun"/>
          <w:rFonts w:eastAsiaTheme="majorEastAsia" w:cs="Arial"/>
          <w:sz w:val="20"/>
          <w:szCs w:val="20"/>
        </w:rPr>
        <w:t xml:space="preserve"> </w:t>
      </w:r>
      <w:hyperlink r:id="rId36" w:history="1">
        <w:r w:rsidR="00D52566" w:rsidRPr="005B0FC2">
          <w:rPr>
            <w:rStyle w:val="Hipervnculo"/>
            <w:rFonts w:eastAsiaTheme="majorEastAsia" w:cs="Arial"/>
            <w:sz w:val="20"/>
            <w:szCs w:val="20"/>
          </w:rPr>
          <w:t>https://bit.ly/3vIPmCc</w:t>
        </w:r>
      </w:hyperlink>
      <w:r w:rsidR="00D52566">
        <w:rPr>
          <w:rStyle w:val="normaltextrun"/>
          <w:rFonts w:eastAsiaTheme="majorEastAsia" w:cs="Arial"/>
          <w:sz w:val="20"/>
          <w:szCs w:val="20"/>
        </w:rPr>
        <w:t xml:space="preserve"> </w:t>
      </w:r>
    </w:p>
    <w:p w14:paraId="0DD02F6E" w14:textId="77777777" w:rsidR="00B43C02" w:rsidRDefault="00B43C02">
      <w:pPr>
        <w:pStyle w:val="Prrafodelista"/>
        <w:numPr>
          <w:ilvl w:val="0"/>
          <w:numId w:val="25"/>
        </w:numPr>
        <w:spacing w:line="240" w:lineRule="auto"/>
        <w:jc w:val="both"/>
        <w:rPr>
          <w:sz w:val="20"/>
          <w:szCs w:val="20"/>
          <w:lang w:val="es-ES"/>
        </w:rPr>
      </w:pPr>
      <w:r>
        <w:rPr>
          <w:sz w:val="20"/>
          <w:szCs w:val="20"/>
          <w:lang w:val="es-ES"/>
        </w:rPr>
        <w:lastRenderedPageBreak/>
        <w:t>Ejecución de Gastos 2018</w:t>
      </w:r>
      <w:r w:rsidR="00AA6F0E">
        <w:rPr>
          <w:sz w:val="20"/>
          <w:szCs w:val="20"/>
          <w:lang w:val="es-ES"/>
        </w:rPr>
        <w:t xml:space="preserve">. </w:t>
      </w:r>
      <w:r w:rsidR="00AA6F0E" w:rsidRPr="00BC07AE">
        <w:rPr>
          <w:rStyle w:val="normaltextrun"/>
          <w:rFonts w:eastAsiaTheme="majorEastAsia" w:cs="Arial"/>
          <w:sz w:val="20"/>
          <w:szCs w:val="20"/>
        </w:rPr>
        <w:t>Participación de Propósito General. Municipio de Puerto Leguízamo - Putumayo. Serie “</w:t>
      </w:r>
      <w:r w:rsidR="00AA6F0E" w:rsidRPr="00BC07AE">
        <w:rPr>
          <w:rStyle w:val="normaltextrun"/>
          <w:rFonts w:eastAsiaTheme="majorEastAsia" w:cs="Arial"/>
          <w:i/>
          <w:iCs/>
          <w:sz w:val="20"/>
          <w:szCs w:val="20"/>
        </w:rPr>
        <w:t>Historial de Seguimiento y Control a los Recursos del Sistema General de Participaciones – Diagnóstico</w:t>
      </w:r>
      <w:r w:rsidR="00AA6F0E" w:rsidRPr="00BC07AE">
        <w:rPr>
          <w:rStyle w:val="normaltextrun"/>
          <w:rFonts w:eastAsiaTheme="majorEastAsia" w:cs="Arial"/>
          <w:sz w:val="20"/>
          <w:szCs w:val="20"/>
        </w:rPr>
        <w:t>”. Expediente digital No. 17/2021/D028-PREDI.</w:t>
      </w:r>
      <w:r w:rsidR="00AA6F0E">
        <w:rPr>
          <w:rStyle w:val="normaltextrun"/>
          <w:rFonts w:eastAsiaTheme="majorEastAsia" w:cs="Arial"/>
          <w:sz w:val="20"/>
          <w:szCs w:val="20"/>
        </w:rPr>
        <w:t xml:space="preserve"> Radicado No. </w:t>
      </w:r>
      <w:r w:rsidR="00AA6F0E" w:rsidRPr="00AA6F0E">
        <w:rPr>
          <w:rStyle w:val="normaltextrun"/>
          <w:rFonts w:eastAsiaTheme="majorEastAsia" w:cs="Arial"/>
          <w:sz w:val="20"/>
          <w:szCs w:val="20"/>
        </w:rPr>
        <w:t>1-2021-053320</w:t>
      </w:r>
      <w:r w:rsidR="00AA6F0E">
        <w:rPr>
          <w:rStyle w:val="normaltextrun"/>
          <w:rFonts w:eastAsiaTheme="majorEastAsia" w:cs="Arial"/>
          <w:sz w:val="20"/>
          <w:szCs w:val="20"/>
        </w:rPr>
        <w:t xml:space="preserve"> del </w:t>
      </w:r>
      <w:r w:rsidR="004A5A8F" w:rsidRPr="004A5A8F">
        <w:rPr>
          <w:rStyle w:val="normaltextrun"/>
          <w:rFonts w:eastAsiaTheme="majorEastAsia" w:cs="Arial"/>
          <w:sz w:val="20"/>
          <w:szCs w:val="20"/>
        </w:rPr>
        <w:t>22 de junio de 2021</w:t>
      </w:r>
      <w:r w:rsidR="00AA6F0E">
        <w:rPr>
          <w:rStyle w:val="normaltextrun"/>
          <w:rFonts w:eastAsiaTheme="majorEastAsia" w:cs="Arial"/>
          <w:sz w:val="20"/>
          <w:szCs w:val="20"/>
        </w:rPr>
        <w:t>.</w:t>
      </w:r>
      <w:r w:rsidR="007419D5">
        <w:rPr>
          <w:rStyle w:val="normaltextrun"/>
          <w:rFonts w:eastAsiaTheme="majorEastAsia" w:cs="Arial"/>
          <w:sz w:val="20"/>
          <w:szCs w:val="20"/>
        </w:rPr>
        <w:t xml:space="preserve"> </w:t>
      </w:r>
      <w:hyperlink r:id="rId37" w:history="1">
        <w:r w:rsidR="00D52566" w:rsidRPr="005B0FC2">
          <w:rPr>
            <w:rStyle w:val="Hipervnculo"/>
            <w:rFonts w:eastAsiaTheme="majorEastAsia" w:cs="Arial"/>
            <w:sz w:val="20"/>
            <w:szCs w:val="20"/>
          </w:rPr>
          <w:t>https://bit.ly/3GkbZSu</w:t>
        </w:r>
      </w:hyperlink>
      <w:r w:rsidR="00D52566">
        <w:rPr>
          <w:rStyle w:val="normaltextrun"/>
          <w:rFonts w:eastAsiaTheme="majorEastAsia" w:cs="Arial"/>
          <w:sz w:val="20"/>
          <w:szCs w:val="20"/>
        </w:rPr>
        <w:t xml:space="preserve"> </w:t>
      </w:r>
    </w:p>
    <w:p w14:paraId="06B83807" w14:textId="77777777" w:rsidR="00B43C02" w:rsidRDefault="00B43C02">
      <w:pPr>
        <w:pStyle w:val="Prrafodelista"/>
        <w:numPr>
          <w:ilvl w:val="0"/>
          <w:numId w:val="25"/>
        </w:numPr>
        <w:spacing w:line="240" w:lineRule="auto"/>
        <w:jc w:val="both"/>
        <w:rPr>
          <w:sz w:val="20"/>
          <w:szCs w:val="20"/>
          <w:lang w:val="es-ES"/>
        </w:rPr>
      </w:pPr>
      <w:r>
        <w:rPr>
          <w:sz w:val="20"/>
          <w:szCs w:val="20"/>
          <w:lang w:val="es-ES"/>
        </w:rPr>
        <w:t>Ejecución de Gastos 2019</w:t>
      </w:r>
      <w:r w:rsidR="00AA6F0E">
        <w:rPr>
          <w:sz w:val="20"/>
          <w:szCs w:val="20"/>
          <w:lang w:val="es-ES"/>
        </w:rPr>
        <w:t xml:space="preserve">. </w:t>
      </w:r>
      <w:r w:rsidR="00AA6F0E" w:rsidRPr="00BC07AE">
        <w:rPr>
          <w:rStyle w:val="normaltextrun"/>
          <w:rFonts w:eastAsiaTheme="majorEastAsia" w:cs="Arial"/>
          <w:sz w:val="20"/>
          <w:szCs w:val="20"/>
        </w:rPr>
        <w:t>Participación de Propósito General. Municipio de Puerto Leguízamo - Putumayo. Serie “</w:t>
      </w:r>
      <w:r w:rsidR="00AA6F0E" w:rsidRPr="00BC07AE">
        <w:rPr>
          <w:rStyle w:val="normaltextrun"/>
          <w:rFonts w:eastAsiaTheme="majorEastAsia" w:cs="Arial"/>
          <w:i/>
          <w:iCs/>
          <w:sz w:val="20"/>
          <w:szCs w:val="20"/>
        </w:rPr>
        <w:t>Historial de Seguimiento y Control a los Recursos del Sistema General de Participaciones – Diagnóstico</w:t>
      </w:r>
      <w:r w:rsidR="00AA6F0E" w:rsidRPr="00BC07AE">
        <w:rPr>
          <w:rStyle w:val="normaltextrun"/>
          <w:rFonts w:eastAsiaTheme="majorEastAsia" w:cs="Arial"/>
          <w:sz w:val="20"/>
          <w:szCs w:val="20"/>
        </w:rPr>
        <w:t>”. Expediente digital No. 17/2021/D028-PREDI.</w:t>
      </w:r>
      <w:r w:rsidR="00AA6F0E">
        <w:rPr>
          <w:rStyle w:val="normaltextrun"/>
          <w:rFonts w:eastAsiaTheme="majorEastAsia" w:cs="Arial"/>
          <w:sz w:val="20"/>
          <w:szCs w:val="20"/>
        </w:rPr>
        <w:t xml:space="preserve"> Radicado No. </w:t>
      </w:r>
      <w:r w:rsidR="00AA6F0E" w:rsidRPr="00AA6F0E">
        <w:rPr>
          <w:rStyle w:val="normaltextrun"/>
          <w:rFonts w:eastAsiaTheme="majorEastAsia" w:cs="Arial"/>
          <w:sz w:val="20"/>
          <w:szCs w:val="20"/>
        </w:rPr>
        <w:t>1-2021-053320</w:t>
      </w:r>
      <w:r w:rsidR="00AA6F0E">
        <w:rPr>
          <w:rStyle w:val="normaltextrun"/>
          <w:rFonts w:eastAsiaTheme="majorEastAsia" w:cs="Arial"/>
          <w:sz w:val="20"/>
          <w:szCs w:val="20"/>
        </w:rPr>
        <w:t xml:space="preserve"> del </w:t>
      </w:r>
      <w:r w:rsidR="004A5A8F" w:rsidRPr="004A5A8F">
        <w:rPr>
          <w:rStyle w:val="normaltextrun"/>
          <w:rFonts w:eastAsiaTheme="majorEastAsia" w:cs="Arial"/>
          <w:sz w:val="20"/>
          <w:szCs w:val="20"/>
        </w:rPr>
        <w:t>22 de junio de 2021</w:t>
      </w:r>
      <w:r w:rsidR="00AA6F0E">
        <w:rPr>
          <w:rStyle w:val="normaltextrun"/>
          <w:rFonts w:eastAsiaTheme="majorEastAsia" w:cs="Arial"/>
          <w:sz w:val="20"/>
          <w:szCs w:val="20"/>
        </w:rPr>
        <w:t>.</w:t>
      </w:r>
      <w:r w:rsidR="007419D5">
        <w:rPr>
          <w:rStyle w:val="normaltextrun"/>
          <w:rFonts w:eastAsiaTheme="majorEastAsia" w:cs="Arial"/>
          <w:sz w:val="20"/>
          <w:szCs w:val="20"/>
        </w:rPr>
        <w:t xml:space="preserve"> </w:t>
      </w:r>
      <w:hyperlink r:id="rId38" w:history="1">
        <w:r w:rsidR="00D52566" w:rsidRPr="005B0FC2">
          <w:rPr>
            <w:rStyle w:val="Hipervnculo"/>
            <w:rFonts w:eastAsiaTheme="majorEastAsia" w:cs="Arial"/>
            <w:sz w:val="20"/>
            <w:szCs w:val="20"/>
          </w:rPr>
          <w:t>https://bit.ly/3jDlB0Z</w:t>
        </w:r>
      </w:hyperlink>
      <w:r w:rsidR="00D52566">
        <w:rPr>
          <w:rStyle w:val="normaltextrun"/>
          <w:rFonts w:eastAsiaTheme="majorEastAsia" w:cs="Arial"/>
          <w:sz w:val="20"/>
          <w:szCs w:val="20"/>
        </w:rPr>
        <w:t xml:space="preserve"> </w:t>
      </w:r>
    </w:p>
    <w:p w14:paraId="644A0655" w14:textId="77777777" w:rsidR="00B43C02" w:rsidRPr="00DF2058" w:rsidRDefault="00B43C02">
      <w:pPr>
        <w:pStyle w:val="Prrafodelista"/>
        <w:numPr>
          <w:ilvl w:val="0"/>
          <w:numId w:val="25"/>
        </w:numPr>
        <w:spacing w:line="240" w:lineRule="auto"/>
        <w:jc w:val="both"/>
        <w:rPr>
          <w:rStyle w:val="normaltextrun"/>
          <w:sz w:val="20"/>
          <w:szCs w:val="20"/>
          <w:lang w:val="es-ES"/>
        </w:rPr>
      </w:pPr>
      <w:r>
        <w:rPr>
          <w:sz w:val="20"/>
          <w:szCs w:val="20"/>
          <w:lang w:val="es-ES"/>
        </w:rPr>
        <w:t>Ejecución de Gastos 2020</w:t>
      </w:r>
      <w:r w:rsidR="00AA6F0E">
        <w:rPr>
          <w:sz w:val="20"/>
          <w:szCs w:val="20"/>
          <w:lang w:val="es-ES"/>
        </w:rPr>
        <w:t xml:space="preserve">. </w:t>
      </w:r>
      <w:r w:rsidR="00AA6F0E" w:rsidRPr="00BC07AE">
        <w:rPr>
          <w:rStyle w:val="normaltextrun"/>
          <w:rFonts w:eastAsiaTheme="majorEastAsia" w:cs="Arial"/>
          <w:sz w:val="20"/>
          <w:szCs w:val="20"/>
        </w:rPr>
        <w:t>Participación de Propósito General. Municipio de Puerto Leguízamo - Putumayo. Serie “</w:t>
      </w:r>
      <w:r w:rsidR="00AA6F0E" w:rsidRPr="00BC07AE">
        <w:rPr>
          <w:rStyle w:val="normaltextrun"/>
          <w:rFonts w:eastAsiaTheme="majorEastAsia" w:cs="Arial"/>
          <w:i/>
          <w:iCs/>
          <w:sz w:val="20"/>
          <w:szCs w:val="20"/>
        </w:rPr>
        <w:t>Historial de Seguimiento y Control a los Recursos del Sistema General de Participaciones – Diagnóstico</w:t>
      </w:r>
      <w:r w:rsidR="00AA6F0E" w:rsidRPr="00BC07AE">
        <w:rPr>
          <w:rStyle w:val="normaltextrun"/>
          <w:rFonts w:eastAsiaTheme="majorEastAsia" w:cs="Arial"/>
          <w:sz w:val="20"/>
          <w:szCs w:val="20"/>
        </w:rPr>
        <w:t>”. Expediente digital No. 17/2021/D028-PREDI.</w:t>
      </w:r>
      <w:r w:rsidR="00AA6F0E">
        <w:rPr>
          <w:rStyle w:val="normaltextrun"/>
          <w:rFonts w:eastAsiaTheme="majorEastAsia" w:cs="Arial"/>
          <w:sz w:val="20"/>
          <w:szCs w:val="20"/>
        </w:rPr>
        <w:t xml:space="preserve"> Radicado No. </w:t>
      </w:r>
      <w:r w:rsidR="00AA6F0E" w:rsidRPr="00AA6F0E">
        <w:rPr>
          <w:rStyle w:val="normaltextrun"/>
          <w:rFonts w:eastAsiaTheme="majorEastAsia" w:cs="Arial"/>
          <w:sz w:val="20"/>
          <w:szCs w:val="20"/>
        </w:rPr>
        <w:t>1-2021-053320</w:t>
      </w:r>
      <w:r w:rsidR="00AA6F0E">
        <w:rPr>
          <w:rStyle w:val="normaltextrun"/>
          <w:rFonts w:eastAsiaTheme="majorEastAsia" w:cs="Arial"/>
          <w:sz w:val="20"/>
          <w:szCs w:val="20"/>
        </w:rPr>
        <w:t xml:space="preserve"> del </w:t>
      </w:r>
      <w:r w:rsidR="004A5A8F" w:rsidRPr="004A5A8F">
        <w:rPr>
          <w:rStyle w:val="normaltextrun"/>
          <w:rFonts w:eastAsiaTheme="majorEastAsia" w:cs="Arial"/>
          <w:sz w:val="20"/>
          <w:szCs w:val="20"/>
        </w:rPr>
        <w:t>22 de junio de 2021</w:t>
      </w:r>
      <w:r w:rsidR="00AA6F0E">
        <w:rPr>
          <w:rStyle w:val="normaltextrun"/>
          <w:rFonts w:eastAsiaTheme="majorEastAsia" w:cs="Arial"/>
          <w:sz w:val="20"/>
          <w:szCs w:val="20"/>
        </w:rPr>
        <w:t>.</w:t>
      </w:r>
      <w:r w:rsidR="007419D5">
        <w:rPr>
          <w:rStyle w:val="normaltextrun"/>
          <w:rFonts w:eastAsiaTheme="majorEastAsia" w:cs="Arial"/>
          <w:sz w:val="20"/>
          <w:szCs w:val="20"/>
        </w:rPr>
        <w:t xml:space="preserve"> </w:t>
      </w:r>
      <w:hyperlink r:id="rId39" w:history="1">
        <w:r w:rsidR="00D52566" w:rsidRPr="005B0FC2">
          <w:rPr>
            <w:rStyle w:val="Hipervnculo"/>
            <w:rFonts w:eastAsiaTheme="majorEastAsia" w:cs="Arial"/>
            <w:sz w:val="20"/>
            <w:szCs w:val="20"/>
          </w:rPr>
          <w:t>https://bit.ly/3mbHfuH</w:t>
        </w:r>
      </w:hyperlink>
      <w:r w:rsidR="00D52566">
        <w:rPr>
          <w:rStyle w:val="normaltextrun"/>
          <w:rFonts w:eastAsiaTheme="majorEastAsia" w:cs="Arial"/>
          <w:sz w:val="20"/>
          <w:szCs w:val="20"/>
        </w:rPr>
        <w:t xml:space="preserve"> </w:t>
      </w:r>
    </w:p>
    <w:p w14:paraId="06E1E803" w14:textId="77777777" w:rsidR="00C0432E" w:rsidRDefault="00C0432E">
      <w:pPr>
        <w:pStyle w:val="Prrafodelista"/>
        <w:numPr>
          <w:ilvl w:val="0"/>
          <w:numId w:val="25"/>
        </w:numPr>
        <w:spacing w:line="240" w:lineRule="auto"/>
        <w:jc w:val="both"/>
        <w:rPr>
          <w:sz w:val="20"/>
          <w:szCs w:val="20"/>
          <w:lang w:val="es-ES"/>
        </w:rPr>
      </w:pPr>
      <w:r>
        <w:rPr>
          <w:sz w:val="20"/>
          <w:szCs w:val="20"/>
          <w:lang w:val="es-ES"/>
        </w:rPr>
        <w:t xml:space="preserve">Extracto bancario diciembre 2018.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Pr>
          <w:rStyle w:val="normaltextrun"/>
          <w:rFonts w:eastAsiaTheme="majorEastAsia" w:cs="Arial"/>
          <w:sz w:val="20"/>
          <w:szCs w:val="20"/>
        </w:rPr>
        <w:t xml:space="preserve"> Radicado No. </w:t>
      </w:r>
      <w:r w:rsidRPr="00AA6F0E">
        <w:rPr>
          <w:rStyle w:val="normaltextrun"/>
          <w:rFonts w:eastAsiaTheme="majorEastAsia" w:cs="Arial"/>
          <w:sz w:val="20"/>
          <w:szCs w:val="20"/>
        </w:rPr>
        <w:t>1-2021-053320</w:t>
      </w:r>
      <w:r>
        <w:rPr>
          <w:rStyle w:val="normaltextrun"/>
          <w:rFonts w:eastAsiaTheme="majorEastAsia" w:cs="Arial"/>
          <w:sz w:val="20"/>
          <w:szCs w:val="20"/>
        </w:rPr>
        <w:t xml:space="preserve"> del </w:t>
      </w:r>
      <w:r w:rsidR="004A5A8F" w:rsidRPr="004A5A8F">
        <w:rPr>
          <w:rStyle w:val="normaltextrun"/>
          <w:rFonts w:eastAsiaTheme="majorEastAsia" w:cs="Arial"/>
          <w:sz w:val="20"/>
          <w:szCs w:val="20"/>
        </w:rPr>
        <w:t>22 de junio de 2021</w:t>
      </w:r>
      <w:r>
        <w:rPr>
          <w:rStyle w:val="normaltextrun"/>
          <w:rFonts w:eastAsiaTheme="majorEastAsia" w:cs="Arial"/>
          <w:sz w:val="20"/>
          <w:szCs w:val="20"/>
        </w:rPr>
        <w:t xml:space="preserve">. </w:t>
      </w:r>
      <w:hyperlink r:id="rId40" w:history="1">
        <w:r w:rsidR="00D52566" w:rsidRPr="005B0FC2">
          <w:rPr>
            <w:rStyle w:val="Hipervnculo"/>
            <w:rFonts w:eastAsiaTheme="majorEastAsia" w:cs="Arial"/>
            <w:sz w:val="20"/>
            <w:szCs w:val="20"/>
          </w:rPr>
          <w:t>https://bit.ly/3pQBcOL</w:t>
        </w:r>
      </w:hyperlink>
      <w:r w:rsidR="00D52566">
        <w:rPr>
          <w:rStyle w:val="normaltextrun"/>
          <w:rFonts w:eastAsiaTheme="majorEastAsia" w:cs="Arial"/>
          <w:sz w:val="20"/>
          <w:szCs w:val="20"/>
        </w:rPr>
        <w:t xml:space="preserve"> </w:t>
      </w:r>
    </w:p>
    <w:p w14:paraId="238E7B9B" w14:textId="77777777" w:rsidR="00C0432E" w:rsidRDefault="00C0432E">
      <w:pPr>
        <w:pStyle w:val="Prrafodelista"/>
        <w:numPr>
          <w:ilvl w:val="0"/>
          <w:numId w:val="25"/>
        </w:numPr>
        <w:spacing w:line="240" w:lineRule="auto"/>
        <w:jc w:val="both"/>
        <w:rPr>
          <w:sz w:val="20"/>
          <w:szCs w:val="20"/>
          <w:lang w:val="es-ES"/>
        </w:rPr>
      </w:pPr>
      <w:r>
        <w:rPr>
          <w:sz w:val="20"/>
          <w:szCs w:val="20"/>
          <w:lang w:val="es-ES"/>
        </w:rPr>
        <w:t>Extracto bancario diciembre 2019.</w:t>
      </w:r>
      <w:r w:rsidRPr="00C0432E">
        <w:rPr>
          <w:rStyle w:val="normaltextrun"/>
          <w:rFonts w:eastAsiaTheme="majorEastAsia" w:cs="Arial"/>
          <w:sz w:val="20"/>
          <w:szCs w:val="20"/>
        </w:rPr>
        <w:t xml:space="preserve"> </w:t>
      </w:r>
      <w:r w:rsidRPr="00BC07AE">
        <w:rPr>
          <w:rStyle w:val="normaltextrun"/>
          <w:rFonts w:eastAsiaTheme="majorEastAsia" w:cs="Arial"/>
          <w:sz w:val="20"/>
          <w:szCs w:val="20"/>
        </w:rPr>
        <w:t>Participación de Propósito General. Municipio de Puerto Leguízamo - Putumayo. Serie “</w:t>
      </w:r>
      <w:r w:rsidRPr="00BC07AE">
        <w:rPr>
          <w:rStyle w:val="normaltextrun"/>
          <w:rFonts w:eastAsiaTheme="majorEastAsia" w:cs="Arial"/>
          <w:i/>
          <w:iCs/>
          <w:sz w:val="20"/>
          <w:szCs w:val="20"/>
        </w:rPr>
        <w:t>Historial de Seguimiento y Control a los Recursos del Sistema General de Participaciones – Diagnóstico</w:t>
      </w:r>
      <w:r w:rsidRPr="00BC07AE">
        <w:rPr>
          <w:rStyle w:val="normaltextrun"/>
          <w:rFonts w:eastAsiaTheme="majorEastAsia" w:cs="Arial"/>
          <w:sz w:val="20"/>
          <w:szCs w:val="20"/>
        </w:rPr>
        <w:t>”. Expediente digital No. 17/2021/D028-PREDI.</w:t>
      </w:r>
      <w:r>
        <w:rPr>
          <w:rStyle w:val="normaltextrun"/>
          <w:rFonts w:eastAsiaTheme="majorEastAsia" w:cs="Arial"/>
          <w:sz w:val="20"/>
          <w:szCs w:val="20"/>
        </w:rPr>
        <w:t xml:space="preserve"> Radicado No. </w:t>
      </w:r>
      <w:r w:rsidRPr="00AA6F0E">
        <w:rPr>
          <w:rStyle w:val="normaltextrun"/>
          <w:rFonts w:eastAsiaTheme="majorEastAsia" w:cs="Arial"/>
          <w:sz w:val="20"/>
          <w:szCs w:val="20"/>
        </w:rPr>
        <w:t>1-2021-053320</w:t>
      </w:r>
      <w:r>
        <w:rPr>
          <w:rStyle w:val="normaltextrun"/>
          <w:rFonts w:eastAsiaTheme="majorEastAsia" w:cs="Arial"/>
          <w:sz w:val="20"/>
          <w:szCs w:val="20"/>
        </w:rPr>
        <w:t xml:space="preserve"> del </w:t>
      </w:r>
      <w:r w:rsidR="004A5A8F" w:rsidRPr="004A5A8F">
        <w:rPr>
          <w:rStyle w:val="normaltextrun"/>
          <w:rFonts w:eastAsiaTheme="majorEastAsia" w:cs="Arial"/>
          <w:sz w:val="20"/>
          <w:szCs w:val="20"/>
        </w:rPr>
        <w:t>22 de junio de 2021</w:t>
      </w:r>
      <w:r>
        <w:rPr>
          <w:rStyle w:val="normaltextrun"/>
          <w:rFonts w:eastAsiaTheme="majorEastAsia" w:cs="Arial"/>
          <w:sz w:val="20"/>
          <w:szCs w:val="20"/>
        </w:rPr>
        <w:t xml:space="preserve">. </w:t>
      </w:r>
      <w:hyperlink r:id="rId41" w:history="1">
        <w:r w:rsidR="00D52566" w:rsidRPr="005B0FC2">
          <w:rPr>
            <w:rStyle w:val="Hipervnculo"/>
            <w:rFonts w:eastAsiaTheme="majorEastAsia" w:cs="Arial"/>
            <w:sz w:val="20"/>
            <w:szCs w:val="20"/>
          </w:rPr>
          <w:t>https://bit.ly/3baPBg0</w:t>
        </w:r>
      </w:hyperlink>
      <w:r w:rsidR="00D52566">
        <w:rPr>
          <w:rStyle w:val="normaltextrun"/>
          <w:rFonts w:eastAsiaTheme="majorEastAsia" w:cs="Arial"/>
          <w:sz w:val="20"/>
          <w:szCs w:val="20"/>
        </w:rPr>
        <w:t xml:space="preserve"> </w:t>
      </w:r>
    </w:p>
    <w:p w14:paraId="2C28ABD9" w14:textId="77777777" w:rsidR="00AC6BC2" w:rsidRPr="00DF2058" w:rsidRDefault="00C0432E">
      <w:pPr>
        <w:pStyle w:val="Prrafodelista"/>
        <w:numPr>
          <w:ilvl w:val="0"/>
          <w:numId w:val="25"/>
        </w:numPr>
        <w:spacing w:line="240" w:lineRule="auto"/>
        <w:jc w:val="both"/>
        <w:rPr>
          <w:rStyle w:val="normaltextrun"/>
          <w:lang w:val="es-ES"/>
        </w:rPr>
      </w:pPr>
      <w:r w:rsidRPr="004246DB">
        <w:rPr>
          <w:sz w:val="20"/>
          <w:szCs w:val="20"/>
          <w:lang w:val="es-ES"/>
        </w:rPr>
        <w:t xml:space="preserve">Extracto bancario diciembre 2020. </w:t>
      </w:r>
      <w:r w:rsidRPr="004246DB">
        <w:rPr>
          <w:rStyle w:val="normaltextrun"/>
          <w:rFonts w:eastAsiaTheme="majorEastAsia" w:cs="Arial"/>
          <w:sz w:val="20"/>
          <w:szCs w:val="20"/>
        </w:rPr>
        <w:t>Participación de Propósito General. Municipio de Puerto Leguízamo - Putumayo.</w:t>
      </w:r>
      <w:r w:rsidRPr="00BA701B">
        <w:rPr>
          <w:rStyle w:val="normaltextrun"/>
          <w:rFonts w:eastAsiaTheme="majorEastAsia" w:cs="Arial"/>
          <w:sz w:val="20"/>
          <w:szCs w:val="20"/>
        </w:rPr>
        <w:t xml:space="preserve"> </w:t>
      </w:r>
      <w:r w:rsidRPr="008752CC">
        <w:rPr>
          <w:rStyle w:val="normaltextrun"/>
          <w:rFonts w:eastAsiaTheme="majorEastAsia" w:cs="Arial"/>
          <w:sz w:val="20"/>
          <w:szCs w:val="20"/>
        </w:rPr>
        <w:t>Serie “</w:t>
      </w:r>
      <w:r w:rsidRPr="00C06E5D">
        <w:rPr>
          <w:rStyle w:val="normaltextrun"/>
          <w:rFonts w:eastAsiaTheme="majorEastAsia" w:cs="Arial"/>
          <w:i/>
          <w:iCs/>
          <w:sz w:val="20"/>
          <w:szCs w:val="20"/>
        </w:rPr>
        <w:t xml:space="preserve">Historial </w:t>
      </w:r>
      <w:r w:rsidRPr="003D28AE">
        <w:rPr>
          <w:rStyle w:val="normaltextrun"/>
          <w:rFonts w:eastAsiaTheme="majorEastAsia" w:cs="Arial"/>
          <w:i/>
          <w:iCs/>
          <w:sz w:val="20"/>
          <w:szCs w:val="20"/>
        </w:rPr>
        <w:t>de</w:t>
      </w:r>
      <w:r w:rsidRPr="004A5A8F">
        <w:rPr>
          <w:rStyle w:val="normaltextrun"/>
          <w:rFonts w:eastAsiaTheme="majorEastAsia" w:cs="Arial"/>
          <w:i/>
          <w:iCs/>
          <w:sz w:val="20"/>
          <w:szCs w:val="20"/>
        </w:rPr>
        <w:t xml:space="preserve"> Seguimiento y Control a los</w:t>
      </w:r>
      <w:r w:rsidRPr="00E90ED4">
        <w:rPr>
          <w:rStyle w:val="normaltextrun"/>
          <w:rFonts w:eastAsiaTheme="majorEastAsia" w:cs="Arial"/>
          <w:i/>
          <w:iCs/>
          <w:sz w:val="20"/>
          <w:szCs w:val="20"/>
        </w:rPr>
        <w:t xml:space="preserve"> </w:t>
      </w:r>
      <w:r w:rsidRPr="00780FA4">
        <w:rPr>
          <w:rStyle w:val="normaltextrun"/>
          <w:rFonts w:eastAsiaTheme="majorEastAsia" w:cs="Arial"/>
          <w:i/>
          <w:iCs/>
          <w:sz w:val="20"/>
          <w:szCs w:val="20"/>
        </w:rPr>
        <w:t xml:space="preserve">Recursos </w:t>
      </w:r>
      <w:r w:rsidRPr="001D27C0">
        <w:rPr>
          <w:rStyle w:val="normaltextrun"/>
          <w:rFonts w:eastAsiaTheme="majorEastAsia" w:cs="Arial"/>
          <w:i/>
          <w:iCs/>
          <w:sz w:val="20"/>
          <w:szCs w:val="20"/>
        </w:rPr>
        <w:t xml:space="preserve">del </w:t>
      </w:r>
      <w:r w:rsidRPr="00CD5A96">
        <w:rPr>
          <w:rStyle w:val="normaltextrun"/>
          <w:rFonts w:eastAsiaTheme="majorEastAsia" w:cs="Arial"/>
          <w:i/>
          <w:iCs/>
          <w:sz w:val="20"/>
          <w:szCs w:val="20"/>
        </w:rPr>
        <w:t>Sistema</w:t>
      </w:r>
      <w:r w:rsidRPr="00D64481">
        <w:rPr>
          <w:rStyle w:val="normaltextrun"/>
          <w:rFonts w:eastAsiaTheme="majorEastAsia" w:cs="Arial"/>
          <w:i/>
          <w:iCs/>
          <w:sz w:val="20"/>
          <w:szCs w:val="20"/>
        </w:rPr>
        <w:t xml:space="preserve"> General de </w:t>
      </w:r>
      <w:r w:rsidRPr="00055868">
        <w:rPr>
          <w:rStyle w:val="normaltextrun"/>
          <w:rFonts w:eastAsiaTheme="majorEastAsia" w:cs="Arial"/>
          <w:i/>
          <w:iCs/>
          <w:sz w:val="20"/>
          <w:szCs w:val="20"/>
        </w:rPr>
        <w:t xml:space="preserve">Participaciones </w:t>
      </w:r>
      <w:r w:rsidRPr="00774092">
        <w:rPr>
          <w:rStyle w:val="normaltextrun"/>
          <w:rFonts w:eastAsiaTheme="majorEastAsia" w:cs="Arial"/>
          <w:i/>
          <w:iCs/>
          <w:sz w:val="20"/>
          <w:szCs w:val="20"/>
        </w:rPr>
        <w:t xml:space="preserve">– </w:t>
      </w:r>
      <w:r w:rsidRPr="00425945">
        <w:rPr>
          <w:rStyle w:val="normaltextrun"/>
          <w:rFonts w:eastAsiaTheme="majorEastAsia" w:cs="Arial"/>
          <w:i/>
          <w:iCs/>
          <w:sz w:val="20"/>
          <w:szCs w:val="20"/>
        </w:rPr>
        <w:t>Diagnóstico</w:t>
      </w:r>
      <w:r w:rsidRPr="00425945">
        <w:rPr>
          <w:rStyle w:val="normaltextrun"/>
          <w:rFonts w:eastAsiaTheme="majorEastAsia" w:cs="Arial"/>
          <w:sz w:val="20"/>
          <w:szCs w:val="20"/>
        </w:rPr>
        <w:t>”.</w:t>
      </w:r>
      <w:r w:rsidRPr="00FF6B7D">
        <w:rPr>
          <w:rStyle w:val="normaltextrun"/>
          <w:rFonts w:eastAsiaTheme="majorEastAsia" w:cs="Arial"/>
          <w:sz w:val="20"/>
          <w:szCs w:val="20"/>
        </w:rPr>
        <w:t xml:space="preserve"> </w:t>
      </w:r>
      <w:r w:rsidRPr="0041142E">
        <w:rPr>
          <w:rStyle w:val="normaltextrun"/>
          <w:rFonts w:eastAsiaTheme="majorEastAsia" w:cs="Arial"/>
          <w:sz w:val="20"/>
          <w:szCs w:val="20"/>
        </w:rPr>
        <w:t xml:space="preserve">Expediente digital No. </w:t>
      </w:r>
      <w:r w:rsidRPr="007311D7">
        <w:rPr>
          <w:rStyle w:val="normaltextrun"/>
          <w:rFonts w:eastAsiaTheme="majorEastAsia" w:cs="Arial"/>
          <w:sz w:val="20"/>
          <w:szCs w:val="20"/>
        </w:rPr>
        <w:t>1</w:t>
      </w:r>
      <w:r w:rsidRPr="004246DB">
        <w:rPr>
          <w:rStyle w:val="normaltextrun"/>
          <w:rFonts w:eastAsiaTheme="majorEastAsia" w:cs="Arial"/>
          <w:sz w:val="20"/>
          <w:szCs w:val="20"/>
        </w:rPr>
        <w:t xml:space="preserve">7/2021/D028-PREDI. Radicado No. 1-2021-053320 del </w:t>
      </w:r>
      <w:r w:rsidR="004A5A8F" w:rsidRPr="004A5A8F">
        <w:rPr>
          <w:rStyle w:val="normaltextrun"/>
          <w:rFonts w:eastAsiaTheme="majorEastAsia" w:cs="Arial"/>
          <w:sz w:val="20"/>
          <w:szCs w:val="20"/>
        </w:rPr>
        <w:t>22 de junio de 2021</w:t>
      </w:r>
      <w:r w:rsidRPr="004A5A8F">
        <w:rPr>
          <w:rStyle w:val="normaltextrun"/>
          <w:rFonts w:eastAsiaTheme="majorEastAsia" w:cs="Arial"/>
          <w:sz w:val="20"/>
          <w:szCs w:val="20"/>
        </w:rPr>
        <w:t>.</w:t>
      </w:r>
      <w:r w:rsidRPr="004246DB">
        <w:rPr>
          <w:rStyle w:val="normaltextrun"/>
          <w:rFonts w:eastAsiaTheme="majorEastAsia" w:cs="Arial"/>
          <w:sz w:val="20"/>
          <w:szCs w:val="20"/>
        </w:rPr>
        <w:t xml:space="preserve"> </w:t>
      </w:r>
      <w:hyperlink r:id="rId42" w:history="1">
        <w:r w:rsidR="004246DB" w:rsidRPr="00002BCD">
          <w:rPr>
            <w:rStyle w:val="Hipervnculo"/>
            <w:rFonts w:eastAsiaTheme="majorEastAsia" w:cs="Arial"/>
            <w:sz w:val="20"/>
            <w:szCs w:val="20"/>
          </w:rPr>
          <w:t>https://bit.ly/3pFAEuK</w:t>
        </w:r>
      </w:hyperlink>
      <w:r w:rsidR="004246DB">
        <w:rPr>
          <w:rStyle w:val="normaltextrun"/>
          <w:rFonts w:eastAsiaTheme="majorEastAsia" w:cs="Arial"/>
          <w:sz w:val="20"/>
          <w:szCs w:val="20"/>
        </w:rPr>
        <w:t xml:space="preserve"> </w:t>
      </w:r>
    </w:p>
    <w:p w14:paraId="2F5562B3" w14:textId="77777777" w:rsidR="004246DB" w:rsidRPr="004246DB" w:rsidRDefault="004246DB">
      <w:pPr>
        <w:pStyle w:val="Prrafodelista"/>
        <w:spacing w:line="240" w:lineRule="auto"/>
        <w:jc w:val="both"/>
        <w:rPr>
          <w:lang w:val="es-ES"/>
        </w:rPr>
      </w:pPr>
    </w:p>
    <w:p w14:paraId="79B82FB6" w14:textId="77777777" w:rsidR="006E18EC" w:rsidRPr="004179C7" w:rsidRDefault="006E18EC">
      <w:pPr>
        <w:pStyle w:val="Prrafodelista"/>
        <w:numPr>
          <w:ilvl w:val="0"/>
          <w:numId w:val="20"/>
        </w:numPr>
        <w:tabs>
          <w:tab w:val="left" w:pos="2268"/>
        </w:tabs>
        <w:spacing w:line="240" w:lineRule="auto"/>
        <w:jc w:val="both"/>
        <w:rPr>
          <w:rFonts w:cs="Arial"/>
          <w:b/>
        </w:rPr>
      </w:pPr>
      <w:r w:rsidRPr="004179C7">
        <w:rPr>
          <w:rFonts w:cs="Arial"/>
          <w:b/>
        </w:rPr>
        <w:t xml:space="preserve">Omisión en el reporte de información de FUT de la </w:t>
      </w:r>
      <w:r>
        <w:rPr>
          <w:rFonts w:cs="Arial"/>
          <w:b/>
        </w:rPr>
        <w:t>C</w:t>
      </w:r>
      <w:r w:rsidRPr="004179C7">
        <w:rPr>
          <w:rFonts w:cs="Arial"/>
          <w:b/>
        </w:rPr>
        <w:t xml:space="preserve">ategoría </w:t>
      </w:r>
      <w:r>
        <w:rPr>
          <w:rFonts w:cs="Arial"/>
          <w:b/>
        </w:rPr>
        <w:t xml:space="preserve">de </w:t>
      </w:r>
      <w:r w:rsidRPr="004179C7">
        <w:rPr>
          <w:rFonts w:cs="Arial"/>
          <w:b/>
        </w:rPr>
        <w:t xml:space="preserve">Reservas </w:t>
      </w:r>
      <w:r>
        <w:rPr>
          <w:rFonts w:cs="Arial"/>
          <w:b/>
        </w:rPr>
        <w:t>P</w:t>
      </w:r>
      <w:r w:rsidRPr="004179C7">
        <w:rPr>
          <w:rFonts w:cs="Arial"/>
          <w:b/>
        </w:rPr>
        <w:t>resupuestales y COVID</w:t>
      </w:r>
      <w:r>
        <w:rPr>
          <w:rFonts w:cs="Arial"/>
          <w:b/>
        </w:rPr>
        <w:t>-</w:t>
      </w:r>
      <w:r w:rsidRPr="004179C7">
        <w:rPr>
          <w:rFonts w:cs="Arial"/>
          <w:b/>
        </w:rPr>
        <w:t>19</w:t>
      </w:r>
      <w:r>
        <w:rPr>
          <w:rFonts w:cs="Arial"/>
          <w:b/>
        </w:rPr>
        <w:t xml:space="preserve"> del FUT.</w:t>
      </w:r>
    </w:p>
    <w:p w14:paraId="2A0B4C49" w14:textId="77777777" w:rsidR="006E18EC" w:rsidRDefault="006E18EC">
      <w:pPr>
        <w:pStyle w:val="paragraph"/>
        <w:spacing w:before="0" w:beforeAutospacing="0" w:after="0" w:afterAutospacing="0"/>
        <w:contextualSpacing/>
        <w:jc w:val="both"/>
        <w:textAlignment w:val="baseline"/>
        <w:rPr>
          <w:rStyle w:val="normaltextrun"/>
          <w:rFonts w:ascii="Arial" w:eastAsiaTheme="minorHAnsi" w:hAnsi="Arial" w:cs="Arial"/>
          <w:sz w:val="22"/>
          <w:szCs w:val="22"/>
          <w:lang w:val="es-ES" w:eastAsia="en-US"/>
        </w:rPr>
      </w:pPr>
    </w:p>
    <w:p w14:paraId="0E7A470B" w14:textId="77777777" w:rsidR="00DF1173" w:rsidRDefault="00267908">
      <w:pPr>
        <w:pStyle w:val="paragraph"/>
        <w:spacing w:before="0" w:beforeAutospacing="0" w:after="0" w:afterAutospacing="0"/>
        <w:contextualSpacing/>
        <w:jc w:val="both"/>
        <w:textAlignment w:val="baseline"/>
        <w:rPr>
          <w:rStyle w:val="normaltextrun"/>
          <w:rFonts w:ascii="Arial" w:hAnsi="Arial" w:cs="Arial"/>
          <w:sz w:val="22"/>
          <w:szCs w:val="22"/>
          <w:lang w:val="es-ES"/>
        </w:rPr>
      </w:pPr>
      <w:r w:rsidRPr="00C277C6">
        <w:rPr>
          <w:rStyle w:val="normaltextrun"/>
          <w:rFonts w:ascii="Arial" w:hAnsi="Arial" w:cs="Arial"/>
          <w:sz w:val="22"/>
          <w:szCs w:val="22"/>
          <w:lang w:val="es-ES"/>
        </w:rPr>
        <w:t>E</w:t>
      </w:r>
      <w:r w:rsidR="006E18EC" w:rsidRPr="00C277C6">
        <w:rPr>
          <w:rStyle w:val="normaltextrun"/>
          <w:rFonts w:ascii="Arial" w:hAnsi="Arial" w:cs="Arial"/>
          <w:sz w:val="22"/>
          <w:szCs w:val="22"/>
          <w:lang w:val="es-ES"/>
        </w:rPr>
        <w:t>l artículo 2.6.4.3 del Decreto</w:t>
      </w:r>
      <w:r w:rsidRPr="00C277C6">
        <w:rPr>
          <w:rStyle w:val="normaltextrun"/>
          <w:rFonts w:ascii="Arial" w:hAnsi="Arial" w:cs="Arial"/>
          <w:sz w:val="22"/>
          <w:szCs w:val="22"/>
          <w:lang w:val="es-ES"/>
        </w:rPr>
        <w:t xml:space="preserve"> 1068 de 2015</w:t>
      </w:r>
      <w:r w:rsidR="006E18EC" w:rsidRPr="00C277C6">
        <w:rPr>
          <w:rStyle w:val="normaltextrun"/>
          <w:rFonts w:ascii="Arial" w:hAnsi="Arial" w:cs="Arial"/>
          <w:sz w:val="22"/>
          <w:szCs w:val="22"/>
          <w:lang w:val="es-ES"/>
        </w:rPr>
        <w:t xml:space="preserve"> definió el calendario de presentación de los informes del Formulario Único Territorial – FUT relacionados con l</w:t>
      </w:r>
      <w:r w:rsidR="006E18EC" w:rsidRPr="00DF1173">
        <w:rPr>
          <w:rStyle w:val="normaltextrun"/>
          <w:rFonts w:ascii="Arial" w:hAnsi="Arial" w:cs="Arial"/>
          <w:sz w:val="22"/>
          <w:szCs w:val="22"/>
          <w:lang w:val="es-ES"/>
        </w:rPr>
        <w:t>a</w:t>
      </w:r>
      <w:r w:rsidR="00DF1173">
        <w:rPr>
          <w:rStyle w:val="normaltextrun"/>
          <w:rFonts w:ascii="Arial" w:hAnsi="Arial" w:cs="Arial"/>
          <w:sz w:val="22"/>
          <w:szCs w:val="22"/>
          <w:lang w:val="es-ES"/>
        </w:rPr>
        <w:t>:</w:t>
      </w:r>
    </w:p>
    <w:p w14:paraId="04041F28" w14:textId="77777777" w:rsidR="00DF1173" w:rsidRDefault="00DF1173">
      <w:pPr>
        <w:pStyle w:val="paragraph"/>
        <w:spacing w:before="0" w:beforeAutospacing="0" w:after="0" w:afterAutospacing="0"/>
        <w:contextualSpacing/>
        <w:jc w:val="both"/>
        <w:textAlignment w:val="baseline"/>
        <w:rPr>
          <w:rStyle w:val="normaltextrun"/>
          <w:rFonts w:ascii="Arial" w:hAnsi="Arial" w:cs="Arial"/>
          <w:sz w:val="22"/>
          <w:szCs w:val="22"/>
          <w:lang w:val="es-ES"/>
        </w:rPr>
      </w:pPr>
    </w:p>
    <w:p w14:paraId="2D2BF0D0" w14:textId="77777777" w:rsidR="006E18EC" w:rsidRPr="00FB27C3" w:rsidRDefault="006E18EC">
      <w:pPr>
        <w:pStyle w:val="paragraph"/>
        <w:spacing w:before="0" w:beforeAutospacing="0" w:after="0" w:afterAutospacing="0"/>
        <w:ind w:left="1416"/>
        <w:contextualSpacing/>
        <w:jc w:val="both"/>
        <w:textAlignment w:val="baseline"/>
        <w:rPr>
          <w:rFonts w:ascii="Arial" w:hAnsi="Arial" w:cs="Arial"/>
          <w:sz w:val="18"/>
          <w:szCs w:val="18"/>
        </w:rPr>
      </w:pPr>
      <w:r w:rsidRPr="00FB27C3">
        <w:rPr>
          <w:rStyle w:val="normaltextrun"/>
          <w:rFonts w:ascii="Arial" w:hAnsi="Arial" w:cs="Arial"/>
          <w:sz w:val="18"/>
          <w:szCs w:val="18"/>
          <w:lang w:val="es-ES"/>
        </w:rPr>
        <w:t>“</w:t>
      </w:r>
      <w:r w:rsidRPr="00FB27C3">
        <w:rPr>
          <w:rStyle w:val="normaltextrun"/>
          <w:rFonts w:ascii="Arial" w:hAnsi="Arial" w:cs="Arial"/>
          <w:i/>
          <w:iCs/>
          <w:sz w:val="18"/>
          <w:szCs w:val="18"/>
          <w:lang w:val="es-ES"/>
        </w:rPr>
        <w:t>información consolidada con corte trimestral de acuerdo con las siguientes fechas:</w:t>
      </w:r>
    </w:p>
    <w:p w14:paraId="09C226A5" w14:textId="77777777" w:rsidR="006E18EC" w:rsidRPr="00FB27C3" w:rsidRDefault="006E18EC">
      <w:pPr>
        <w:pStyle w:val="paragraph"/>
        <w:spacing w:before="0" w:beforeAutospacing="0" w:after="0" w:afterAutospacing="0"/>
        <w:ind w:left="1416"/>
        <w:contextualSpacing/>
        <w:jc w:val="both"/>
        <w:textAlignment w:val="baseline"/>
        <w:rPr>
          <w:rFonts w:ascii="Arial" w:hAnsi="Arial" w:cs="Arial"/>
          <w:sz w:val="18"/>
          <w:szCs w:val="18"/>
        </w:rPr>
      </w:pPr>
    </w:p>
    <w:p w14:paraId="78513B90" w14:textId="77777777" w:rsidR="006E18EC" w:rsidRPr="00FB27C3" w:rsidRDefault="006E18EC">
      <w:pPr>
        <w:pStyle w:val="paragraph"/>
        <w:spacing w:before="0" w:beforeAutospacing="0" w:after="0" w:afterAutospacing="0"/>
        <w:ind w:left="1416"/>
        <w:contextualSpacing/>
        <w:jc w:val="both"/>
        <w:textAlignment w:val="baseline"/>
        <w:rPr>
          <w:rFonts w:ascii="Arial" w:hAnsi="Arial" w:cs="Arial"/>
          <w:sz w:val="18"/>
          <w:szCs w:val="18"/>
        </w:rPr>
      </w:pPr>
      <w:r w:rsidRPr="00FB27C3">
        <w:rPr>
          <w:rStyle w:val="normaltextrun"/>
          <w:rFonts w:ascii="Arial" w:hAnsi="Arial" w:cs="Arial"/>
          <w:i/>
          <w:iCs/>
          <w:sz w:val="18"/>
          <w:szCs w:val="18"/>
          <w:lang w:val="es-ES"/>
        </w:rPr>
        <w:t>Fecha de corte:                   Fecha límite de presentación</w:t>
      </w:r>
    </w:p>
    <w:p w14:paraId="5F670948" w14:textId="77777777" w:rsidR="006E18EC" w:rsidRPr="00FB27C3" w:rsidRDefault="006E18EC">
      <w:pPr>
        <w:pStyle w:val="paragraph"/>
        <w:spacing w:before="0" w:beforeAutospacing="0" w:after="0" w:afterAutospacing="0"/>
        <w:ind w:left="1416"/>
        <w:contextualSpacing/>
        <w:jc w:val="both"/>
        <w:textAlignment w:val="baseline"/>
        <w:rPr>
          <w:rFonts w:ascii="Arial" w:hAnsi="Arial" w:cs="Arial"/>
          <w:sz w:val="18"/>
          <w:szCs w:val="18"/>
        </w:rPr>
      </w:pPr>
      <w:r w:rsidRPr="00FB27C3">
        <w:rPr>
          <w:rStyle w:val="normaltextrun"/>
          <w:rFonts w:ascii="Arial" w:hAnsi="Arial" w:cs="Arial"/>
          <w:i/>
          <w:iCs/>
          <w:sz w:val="18"/>
          <w:szCs w:val="18"/>
          <w:lang w:val="es-ES"/>
        </w:rPr>
        <w:t>31 de marzo                         30 de abril</w:t>
      </w:r>
    </w:p>
    <w:p w14:paraId="0EDC06AC" w14:textId="77777777" w:rsidR="006E18EC" w:rsidRPr="00FB27C3" w:rsidRDefault="006E18EC">
      <w:pPr>
        <w:pStyle w:val="paragraph"/>
        <w:spacing w:before="0" w:beforeAutospacing="0" w:after="0" w:afterAutospacing="0"/>
        <w:ind w:left="1416"/>
        <w:contextualSpacing/>
        <w:jc w:val="both"/>
        <w:textAlignment w:val="baseline"/>
        <w:rPr>
          <w:rFonts w:ascii="Arial" w:hAnsi="Arial" w:cs="Arial"/>
          <w:sz w:val="18"/>
          <w:szCs w:val="18"/>
        </w:rPr>
      </w:pPr>
      <w:r w:rsidRPr="00FB27C3">
        <w:rPr>
          <w:rStyle w:val="normaltextrun"/>
          <w:rFonts w:ascii="Arial" w:hAnsi="Arial" w:cs="Arial"/>
          <w:i/>
          <w:iCs/>
          <w:sz w:val="18"/>
          <w:szCs w:val="18"/>
          <w:lang w:val="es-ES"/>
        </w:rPr>
        <w:t>30 de junio                           31 de julio</w:t>
      </w:r>
    </w:p>
    <w:p w14:paraId="29F89D19" w14:textId="77777777" w:rsidR="006E18EC" w:rsidRPr="00FB27C3" w:rsidRDefault="006E18EC">
      <w:pPr>
        <w:pStyle w:val="paragraph"/>
        <w:spacing w:before="0" w:beforeAutospacing="0" w:after="0" w:afterAutospacing="0"/>
        <w:ind w:left="1416"/>
        <w:contextualSpacing/>
        <w:jc w:val="both"/>
        <w:textAlignment w:val="baseline"/>
        <w:rPr>
          <w:rFonts w:ascii="Arial" w:hAnsi="Arial" w:cs="Arial"/>
          <w:sz w:val="18"/>
          <w:szCs w:val="18"/>
        </w:rPr>
      </w:pPr>
      <w:r w:rsidRPr="00FB27C3">
        <w:rPr>
          <w:rStyle w:val="normaltextrun"/>
          <w:rFonts w:ascii="Arial" w:hAnsi="Arial" w:cs="Arial"/>
          <w:i/>
          <w:iCs/>
          <w:sz w:val="18"/>
          <w:szCs w:val="18"/>
          <w:lang w:val="es-ES"/>
        </w:rPr>
        <w:t>30 de septiembre                31 de octubre</w:t>
      </w:r>
    </w:p>
    <w:p w14:paraId="41AF8CCB" w14:textId="77777777" w:rsidR="006E18EC" w:rsidRPr="00FB27C3" w:rsidRDefault="006E18EC">
      <w:pPr>
        <w:pStyle w:val="paragraph"/>
        <w:tabs>
          <w:tab w:val="left" w:pos="6212"/>
        </w:tabs>
        <w:spacing w:before="0" w:beforeAutospacing="0" w:after="0" w:afterAutospacing="0"/>
        <w:ind w:left="1416"/>
        <w:contextualSpacing/>
        <w:jc w:val="both"/>
        <w:textAlignment w:val="baseline"/>
        <w:rPr>
          <w:rStyle w:val="normaltextrun"/>
          <w:rFonts w:ascii="Arial" w:hAnsi="Arial" w:cs="Arial"/>
          <w:sz w:val="18"/>
          <w:szCs w:val="18"/>
          <w:lang w:val="es-ES"/>
        </w:rPr>
      </w:pPr>
      <w:r w:rsidRPr="00FB27C3">
        <w:rPr>
          <w:rStyle w:val="normaltextrun"/>
          <w:rFonts w:ascii="Arial" w:hAnsi="Arial" w:cs="Arial"/>
          <w:i/>
          <w:iCs/>
          <w:sz w:val="18"/>
          <w:szCs w:val="18"/>
          <w:lang w:val="es-ES"/>
        </w:rPr>
        <w:t>31 de diciembre                  15 de febrero del año siguiente</w:t>
      </w:r>
      <w:r w:rsidRPr="00FB27C3">
        <w:rPr>
          <w:rStyle w:val="normaltextrun"/>
          <w:rFonts w:ascii="Arial" w:hAnsi="Arial" w:cs="Arial"/>
          <w:sz w:val="18"/>
          <w:szCs w:val="18"/>
          <w:lang w:val="es-ES"/>
        </w:rPr>
        <w:t>”.</w:t>
      </w:r>
      <w:r w:rsidR="00401B73" w:rsidRPr="00FB27C3">
        <w:rPr>
          <w:rStyle w:val="normaltextrun"/>
          <w:rFonts w:ascii="Arial" w:hAnsi="Arial" w:cs="Arial"/>
          <w:sz w:val="18"/>
          <w:szCs w:val="18"/>
          <w:lang w:val="es-ES"/>
        </w:rPr>
        <w:tab/>
      </w:r>
    </w:p>
    <w:p w14:paraId="06B910E1" w14:textId="77777777" w:rsidR="00401B73" w:rsidRPr="00C277C6" w:rsidRDefault="00401B73">
      <w:pPr>
        <w:pStyle w:val="paragraph"/>
        <w:tabs>
          <w:tab w:val="left" w:pos="6212"/>
        </w:tabs>
        <w:spacing w:before="0" w:beforeAutospacing="0" w:after="0" w:afterAutospacing="0"/>
        <w:contextualSpacing/>
        <w:jc w:val="both"/>
        <w:textAlignment w:val="baseline"/>
        <w:rPr>
          <w:rStyle w:val="normaltextrun"/>
          <w:rFonts w:ascii="Arial" w:hAnsi="Arial" w:cs="Arial"/>
          <w:sz w:val="22"/>
          <w:szCs w:val="22"/>
          <w:lang w:val="es-ES"/>
        </w:rPr>
      </w:pPr>
    </w:p>
    <w:p w14:paraId="04C94602" w14:textId="77777777" w:rsidR="00401B73" w:rsidRDefault="00401B73">
      <w:pPr>
        <w:spacing w:after="0" w:line="240" w:lineRule="auto"/>
        <w:contextualSpacing/>
        <w:jc w:val="both"/>
        <w:textAlignment w:val="baseline"/>
        <w:rPr>
          <w:rFonts w:eastAsia="Times New Roman" w:cs="Arial"/>
          <w:lang w:val="es-ES" w:eastAsia="es-CO"/>
        </w:rPr>
      </w:pPr>
      <w:r w:rsidRPr="00C277C6">
        <w:rPr>
          <w:rFonts w:eastAsia="Times New Roman" w:cs="Arial"/>
          <w:lang w:val="es-ES" w:eastAsia="es-CO"/>
        </w:rPr>
        <w:t>De acuerdo con lo anterior, el Ministerio de Hacienda y Crédito Público evaluó el reporte</w:t>
      </w:r>
      <w:r w:rsidRPr="000D5DCA">
        <w:rPr>
          <w:rFonts w:eastAsia="Times New Roman" w:cs="Arial"/>
          <w:lang w:val="es-ES" w:eastAsia="es-CO"/>
        </w:rPr>
        <w:t xml:space="preserve"> de información realizado por el </w:t>
      </w:r>
      <w:r w:rsidR="00DF1173">
        <w:rPr>
          <w:rFonts w:eastAsia="Times New Roman" w:cs="Arial"/>
          <w:lang w:val="es-ES" w:eastAsia="es-CO"/>
        </w:rPr>
        <w:t>M</w:t>
      </w:r>
      <w:r w:rsidRPr="000D5DCA">
        <w:rPr>
          <w:rFonts w:eastAsia="Times New Roman" w:cs="Arial"/>
          <w:lang w:val="es-ES" w:eastAsia="es-CO"/>
        </w:rPr>
        <w:t xml:space="preserve">unicipio </w:t>
      </w:r>
      <w:r w:rsidR="00267908">
        <w:rPr>
          <w:rFonts w:eastAsia="Times New Roman" w:cs="Arial"/>
          <w:lang w:val="es-ES" w:eastAsia="es-CO"/>
        </w:rPr>
        <w:t xml:space="preserve">de </w:t>
      </w:r>
      <w:r>
        <w:rPr>
          <w:rFonts w:eastAsia="Times New Roman" w:cs="Arial"/>
          <w:lang w:val="es-ES" w:eastAsia="es-CO"/>
        </w:rPr>
        <w:t xml:space="preserve">Puerto Leguízamo - Putumayo </w:t>
      </w:r>
      <w:r w:rsidRPr="000D5DCA">
        <w:rPr>
          <w:rFonts w:eastAsia="Times New Roman" w:cs="Arial"/>
          <w:lang w:val="es-ES" w:eastAsia="es-CO"/>
        </w:rPr>
        <w:t>respecto a la Participación de Propósito General</w:t>
      </w:r>
      <w:r w:rsidR="00267908">
        <w:rPr>
          <w:rFonts w:eastAsia="Times New Roman" w:cs="Arial"/>
          <w:lang w:val="es-ES" w:eastAsia="es-CO"/>
        </w:rPr>
        <w:t>,</w:t>
      </w:r>
      <w:r w:rsidRPr="000D5DCA">
        <w:rPr>
          <w:rFonts w:eastAsia="Times New Roman" w:cs="Arial"/>
          <w:lang w:val="es-ES" w:eastAsia="es-CO"/>
        </w:rPr>
        <w:t xml:space="preserve"> en las Categorías FUT Ingresos, Gastos de Inversión, Gastos de Funcionamiento</w:t>
      </w:r>
      <w:r>
        <w:rPr>
          <w:rFonts w:eastAsia="Times New Roman" w:cs="Arial"/>
          <w:lang w:val="es-ES" w:eastAsia="es-CO"/>
        </w:rPr>
        <w:t xml:space="preserve"> y </w:t>
      </w:r>
      <w:r w:rsidRPr="000D5DCA">
        <w:rPr>
          <w:rFonts w:eastAsia="Times New Roman" w:cs="Arial"/>
          <w:lang w:val="es-ES" w:eastAsia="es-CO"/>
        </w:rPr>
        <w:t>Cierre Fiscal,</w:t>
      </w:r>
      <w:r>
        <w:rPr>
          <w:rFonts w:eastAsia="Times New Roman" w:cs="Arial"/>
          <w:lang w:val="es-ES" w:eastAsia="es-CO"/>
        </w:rPr>
        <w:t xml:space="preserve"> </w:t>
      </w:r>
      <w:r w:rsidRPr="000D5DCA">
        <w:rPr>
          <w:rFonts w:eastAsia="Times New Roman" w:cs="Arial"/>
          <w:lang w:val="es-ES" w:eastAsia="es-CO"/>
        </w:rPr>
        <w:t>para las vigencias 2018, 2019</w:t>
      </w:r>
      <w:r w:rsidR="00DF1173">
        <w:rPr>
          <w:rFonts w:eastAsia="Times New Roman" w:cs="Arial"/>
          <w:lang w:val="es-ES" w:eastAsia="es-CO"/>
        </w:rPr>
        <w:t xml:space="preserve"> </w:t>
      </w:r>
      <w:r w:rsidRPr="000D5DCA">
        <w:rPr>
          <w:rFonts w:eastAsia="Times New Roman" w:cs="Arial"/>
          <w:lang w:val="es-ES" w:eastAsia="es-CO"/>
        </w:rPr>
        <w:t>y 2020 y como resultado se evidenciaron las siguientes situaciones:</w:t>
      </w:r>
    </w:p>
    <w:p w14:paraId="388F6C08" w14:textId="77777777" w:rsidR="008E51C1" w:rsidRDefault="008E51C1">
      <w:pPr>
        <w:spacing w:after="0" w:line="240" w:lineRule="auto"/>
        <w:contextualSpacing/>
        <w:jc w:val="both"/>
        <w:textAlignment w:val="baseline"/>
        <w:rPr>
          <w:rFonts w:eastAsia="Times New Roman" w:cs="Arial"/>
          <w:lang w:val="es-ES" w:eastAsia="es-CO"/>
        </w:rPr>
      </w:pPr>
    </w:p>
    <w:p w14:paraId="7130364F" w14:textId="77777777" w:rsidR="008E51C1" w:rsidRDefault="008E51C1">
      <w:pPr>
        <w:spacing w:after="0" w:line="240" w:lineRule="auto"/>
        <w:contextualSpacing/>
        <w:jc w:val="both"/>
        <w:textAlignment w:val="baseline"/>
        <w:rPr>
          <w:rFonts w:eastAsia="Times New Roman" w:cs="Arial"/>
          <w:b/>
          <w:bCs/>
          <w:lang w:val="es-ES" w:eastAsia="es-CO"/>
        </w:rPr>
      </w:pPr>
      <w:r>
        <w:rPr>
          <w:rFonts w:eastAsia="Times New Roman" w:cs="Arial"/>
          <w:b/>
          <w:bCs/>
          <w:lang w:val="es-ES" w:eastAsia="es-CO"/>
        </w:rPr>
        <w:t>Vigencia 2018:</w:t>
      </w:r>
    </w:p>
    <w:p w14:paraId="61A078DF" w14:textId="77777777" w:rsidR="008E51C1" w:rsidRDefault="008E51C1">
      <w:pPr>
        <w:spacing w:after="0" w:line="240" w:lineRule="auto"/>
        <w:contextualSpacing/>
        <w:jc w:val="both"/>
        <w:textAlignment w:val="baseline"/>
        <w:rPr>
          <w:rFonts w:eastAsia="Times New Roman" w:cs="Arial"/>
          <w:lang w:val="es-ES" w:eastAsia="es-CO"/>
        </w:rPr>
      </w:pPr>
    </w:p>
    <w:p w14:paraId="6449ECBC" w14:textId="77777777" w:rsidR="00E130FF" w:rsidRDefault="00E130FF">
      <w:pPr>
        <w:spacing w:after="0" w:line="240" w:lineRule="auto"/>
        <w:contextualSpacing/>
        <w:jc w:val="both"/>
        <w:textAlignment w:val="baseline"/>
        <w:rPr>
          <w:rFonts w:eastAsia="Times New Roman" w:cs="Arial"/>
          <w:lang w:val="es-ES" w:eastAsia="es-CO"/>
        </w:rPr>
      </w:pPr>
      <w:r>
        <w:rPr>
          <w:rFonts w:eastAsia="Times New Roman" w:cs="Arial"/>
          <w:lang w:val="es-ES" w:eastAsia="es-CO"/>
        </w:rPr>
        <w:t xml:space="preserve">Relación de </w:t>
      </w:r>
      <w:r w:rsidR="00C277C6">
        <w:rPr>
          <w:rFonts w:eastAsia="Times New Roman" w:cs="Arial"/>
          <w:lang w:val="es-ES" w:eastAsia="es-CO"/>
        </w:rPr>
        <w:t>C</w:t>
      </w:r>
      <w:r>
        <w:rPr>
          <w:rFonts w:eastAsia="Times New Roman" w:cs="Arial"/>
          <w:lang w:val="es-ES" w:eastAsia="es-CO"/>
        </w:rPr>
        <w:t>ategorías sin reporte (Omisos):</w:t>
      </w:r>
    </w:p>
    <w:p w14:paraId="030BCD74" w14:textId="77777777" w:rsidR="008A17CC" w:rsidRDefault="008A17CC">
      <w:pPr>
        <w:pStyle w:val="Prrafodelista"/>
        <w:numPr>
          <w:ilvl w:val="0"/>
          <w:numId w:val="21"/>
        </w:numPr>
        <w:spacing w:after="0" w:line="240" w:lineRule="auto"/>
        <w:jc w:val="both"/>
        <w:textAlignment w:val="baseline"/>
        <w:rPr>
          <w:rFonts w:eastAsia="Times New Roman" w:cs="Arial"/>
          <w:lang w:val="es-ES" w:eastAsia="es-CO"/>
        </w:rPr>
      </w:pPr>
      <w:r>
        <w:rPr>
          <w:rFonts w:eastAsia="Times New Roman" w:cs="Arial"/>
          <w:lang w:val="es-ES" w:eastAsia="es-CO"/>
        </w:rPr>
        <w:lastRenderedPageBreak/>
        <w:t xml:space="preserve">FUT Ingresos: periodos </w:t>
      </w:r>
      <w:r w:rsidR="00C277C6">
        <w:rPr>
          <w:rFonts w:eastAsia="Times New Roman" w:cs="Arial"/>
          <w:lang w:val="es-ES" w:eastAsia="es-CO"/>
        </w:rPr>
        <w:t xml:space="preserve">enero </w:t>
      </w:r>
      <w:r>
        <w:rPr>
          <w:rFonts w:eastAsia="Times New Roman" w:cs="Arial"/>
          <w:lang w:val="es-ES" w:eastAsia="es-CO"/>
        </w:rPr>
        <w:t xml:space="preserve">– </w:t>
      </w:r>
      <w:r w:rsidR="00C277C6">
        <w:rPr>
          <w:rFonts w:eastAsia="Times New Roman" w:cs="Arial"/>
          <w:lang w:val="es-ES" w:eastAsia="es-CO"/>
        </w:rPr>
        <w:t xml:space="preserve">marzo </w:t>
      </w:r>
      <w:r>
        <w:rPr>
          <w:rFonts w:eastAsia="Times New Roman" w:cs="Arial"/>
          <w:lang w:val="es-ES" w:eastAsia="es-CO"/>
        </w:rPr>
        <w:t xml:space="preserve">y </w:t>
      </w:r>
      <w:r w:rsidR="00C277C6">
        <w:rPr>
          <w:rFonts w:eastAsia="Times New Roman" w:cs="Arial"/>
          <w:lang w:val="es-ES" w:eastAsia="es-CO"/>
        </w:rPr>
        <w:t xml:space="preserve">abril </w:t>
      </w:r>
      <w:r>
        <w:rPr>
          <w:rFonts w:eastAsia="Times New Roman" w:cs="Arial"/>
          <w:lang w:val="es-ES" w:eastAsia="es-CO"/>
        </w:rPr>
        <w:t xml:space="preserve">– </w:t>
      </w:r>
      <w:r w:rsidR="00C277C6">
        <w:rPr>
          <w:rFonts w:eastAsia="Times New Roman" w:cs="Arial"/>
          <w:lang w:val="es-ES" w:eastAsia="es-CO"/>
        </w:rPr>
        <w:t>junio.</w:t>
      </w:r>
    </w:p>
    <w:p w14:paraId="76D596DB" w14:textId="77777777" w:rsidR="00E130FF" w:rsidRDefault="009A7206">
      <w:pPr>
        <w:pStyle w:val="Prrafodelista"/>
        <w:numPr>
          <w:ilvl w:val="0"/>
          <w:numId w:val="21"/>
        </w:numPr>
        <w:spacing w:after="0" w:line="240" w:lineRule="auto"/>
        <w:jc w:val="both"/>
        <w:textAlignment w:val="baseline"/>
        <w:rPr>
          <w:rFonts w:eastAsia="Times New Roman" w:cs="Arial"/>
          <w:lang w:val="es-ES" w:eastAsia="es-CO"/>
        </w:rPr>
      </w:pPr>
      <w:r>
        <w:rPr>
          <w:rFonts w:eastAsia="Times New Roman" w:cs="Arial"/>
          <w:lang w:val="es-ES" w:eastAsia="es-CO"/>
        </w:rPr>
        <w:t>F</w:t>
      </w:r>
      <w:r w:rsidR="00092D43">
        <w:rPr>
          <w:rFonts w:eastAsia="Times New Roman" w:cs="Arial"/>
          <w:lang w:val="es-ES" w:eastAsia="es-CO"/>
        </w:rPr>
        <w:t>UT</w:t>
      </w:r>
      <w:r>
        <w:rPr>
          <w:rFonts w:eastAsia="Times New Roman" w:cs="Arial"/>
          <w:lang w:val="es-ES" w:eastAsia="es-CO"/>
        </w:rPr>
        <w:t xml:space="preserve"> Gastos de Funcionamiento: periodos </w:t>
      </w:r>
      <w:r w:rsidR="00C277C6">
        <w:rPr>
          <w:rFonts w:eastAsia="Times New Roman" w:cs="Arial"/>
          <w:lang w:val="es-ES" w:eastAsia="es-CO"/>
        </w:rPr>
        <w:t xml:space="preserve">enero </w:t>
      </w:r>
      <w:r w:rsidR="00092D43">
        <w:rPr>
          <w:rFonts w:eastAsia="Times New Roman" w:cs="Arial"/>
          <w:lang w:val="es-ES" w:eastAsia="es-CO"/>
        </w:rPr>
        <w:t xml:space="preserve">– </w:t>
      </w:r>
      <w:r w:rsidR="00C277C6">
        <w:rPr>
          <w:rFonts w:eastAsia="Times New Roman" w:cs="Arial"/>
          <w:lang w:val="es-ES" w:eastAsia="es-CO"/>
        </w:rPr>
        <w:t xml:space="preserve">marzo </w:t>
      </w:r>
      <w:r w:rsidR="00092D43">
        <w:rPr>
          <w:rFonts w:eastAsia="Times New Roman" w:cs="Arial"/>
          <w:lang w:val="es-ES" w:eastAsia="es-CO"/>
        </w:rPr>
        <w:t xml:space="preserve">y </w:t>
      </w:r>
      <w:r w:rsidR="00C277C6">
        <w:rPr>
          <w:rFonts w:eastAsia="Times New Roman" w:cs="Arial"/>
          <w:lang w:val="es-ES" w:eastAsia="es-CO"/>
        </w:rPr>
        <w:t xml:space="preserve">abril </w:t>
      </w:r>
      <w:r w:rsidR="00092D43">
        <w:rPr>
          <w:rFonts w:eastAsia="Times New Roman" w:cs="Arial"/>
          <w:lang w:val="es-ES" w:eastAsia="es-CO"/>
        </w:rPr>
        <w:t xml:space="preserve">– </w:t>
      </w:r>
      <w:r w:rsidR="00C277C6">
        <w:rPr>
          <w:rFonts w:eastAsia="Times New Roman" w:cs="Arial"/>
          <w:lang w:val="es-ES" w:eastAsia="es-CO"/>
        </w:rPr>
        <w:t>junio.</w:t>
      </w:r>
    </w:p>
    <w:p w14:paraId="7B0946D8" w14:textId="77777777" w:rsidR="008A17CC" w:rsidRDefault="00092D43">
      <w:pPr>
        <w:pStyle w:val="Prrafodelista"/>
        <w:numPr>
          <w:ilvl w:val="0"/>
          <w:numId w:val="21"/>
        </w:numPr>
        <w:spacing w:after="0" w:line="240" w:lineRule="auto"/>
        <w:jc w:val="both"/>
        <w:textAlignment w:val="baseline"/>
        <w:rPr>
          <w:rFonts w:eastAsia="Times New Roman" w:cs="Arial"/>
          <w:lang w:val="es-ES" w:eastAsia="es-CO"/>
        </w:rPr>
      </w:pPr>
      <w:r>
        <w:rPr>
          <w:rFonts w:eastAsia="Times New Roman" w:cs="Arial"/>
          <w:lang w:val="es-ES" w:eastAsia="es-CO"/>
        </w:rPr>
        <w:t xml:space="preserve">FUT Gastos de Inversión: periodos </w:t>
      </w:r>
      <w:r w:rsidR="00C277C6">
        <w:rPr>
          <w:rFonts w:eastAsia="Times New Roman" w:cs="Arial"/>
          <w:lang w:val="es-ES" w:eastAsia="es-CO"/>
        </w:rPr>
        <w:t xml:space="preserve">enero </w:t>
      </w:r>
      <w:r w:rsidR="008A17CC">
        <w:rPr>
          <w:rFonts w:eastAsia="Times New Roman" w:cs="Arial"/>
          <w:lang w:val="es-ES" w:eastAsia="es-CO"/>
        </w:rPr>
        <w:t xml:space="preserve">– </w:t>
      </w:r>
      <w:r w:rsidR="00C277C6">
        <w:rPr>
          <w:rFonts w:eastAsia="Times New Roman" w:cs="Arial"/>
          <w:lang w:val="es-ES" w:eastAsia="es-CO"/>
        </w:rPr>
        <w:t xml:space="preserve">marzo </w:t>
      </w:r>
      <w:r w:rsidR="008A17CC">
        <w:rPr>
          <w:rFonts w:eastAsia="Times New Roman" w:cs="Arial"/>
          <w:lang w:val="es-ES" w:eastAsia="es-CO"/>
        </w:rPr>
        <w:t xml:space="preserve">y </w:t>
      </w:r>
      <w:r w:rsidR="00C277C6">
        <w:rPr>
          <w:rFonts w:eastAsia="Times New Roman" w:cs="Arial"/>
          <w:lang w:val="es-ES" w:eastAsia="es-CO"/>
        </w:rPr>
        <w:t xml:space="preserve">abril </w:t>
      </w:r>
      <w:r w:rsidR="008A17CC">
        <w:rPr>
          <w:rFonts w:eastAsia="Times New Roman" w:cs="Arial"/>
          <w:lang w:val="es-ES" w:eastAsia="es-CO"/>
        </w:rPr>
        <w:t xml:space="preserve">– </w:t>
      </w:r>
      <w:r w:rsidR="00C277C6">
        <w:rPr>
          <w:rFonts w:eastAsia="Times New Roman" w:cs="Arial"/>
          <w:lang w:val="es-ES" w:eastAsia="es-CO"/>
        </w:rPr>
        <w:t>junio.</w:t>
      </w:r>
    </w:p>
    <w:p w14:paraId="2DEFC3FB" w14:textId="77777777" w:rsidR="00092D43" w:rsidRPr="008A17CC" w:rsidRDefault="00092D43">
      <w:pPr>
        <w:spacing w:after="0" w:line="240" w:lineRule="auto"/>
        <w:contextualSpacing/>
        <w:jc w:val="both"/>
        <w:textAlignment w:val="baseline"/>
        <w:rPr>
          <w:rFonts w:eastAsia="Times New Roman" w:cs="Arial"/>
          <w:lang w:val="es-ES" w:eastAsia="es-CO"/>
        </w:rPr>
      </w:pPr>
    </w:p>
    <w:p w14:paraId="623E433B" w14:textId="77777777" w:rsidR="008E51C1" w:rsidRDefault="008E51C1">
      <w:pPr>
        <w:spacing w:after="0" w:line="240" w:lineRule="auto"/>
        <w:contextualSpacing/>
        <w:jc w:val="both"/>
        <w:textAlignment w:val="baseline"/>
        <w:rPr>
          <w:rFonts w:eastAsia="Times New Roman" w:cs="Arial"/>
          <w:b/>
          <w:bCs/>
          <w:lang w:val="es-ES" w:eastAsia="es-CO"/>
        </w:rPr>
      </w:pPr>
      <w:r>
        <w:rPr>
          <w:rFonts w:eastAsia="Times New Roman" w:cs="Arial"/>
          <w:b/>
          <w:bCs/>
          <w:lang w:val="es-ES" w:eastAsia="es-CO"/>
        </w:rPr>
        <w:t>Vigencia 2020:</w:t>
      </w:r>
    </w:p>
    <w:p w14:paraId="09A6207A" w14:textId="77777777" w:rsidR="002754A9" w:rsidRDefault="002754A9">
      <w:pPr>
        <w:spacing w:after="0" w:line="240" w:lineRule="auto"/>
        <w:contextualSpacing/>
        <w:jc w:val="both"/>
        <w:textAlignment w:val="baseline"/>
        <w:rPr>
          <w:rFonts w:eastAsia="Times New Roman" w:cs="Arial"/>
          <w:b/>
          <w:bCs/>
          <w:lang w:val="es-ES" w:eastAsia="es-CO"/>
        </w:rPr>
      </w:pPr>
    </w:p>
    <w:p w14:paraId="4538AD54" w14:textId="77777777" w:rsidR="002754A9" w:rsidRDefault="002754A9">
      <w:pPr>
        <w:spacing w:after="0" w:line="240" w:lineRule="auto"/>
        <w:contextualSpacing/>
        <w:jc w:val="both"/>
        <w:textAlignment w:val="baseline"/>
        <w:rPr>
          <w:rFonts w:eastAsia="Times New Roman" w:cs="Arial"/>
          <w:lang w:val="es-ES" w:eastAsia="es-CO"/>
        </w:rPr>
      </w:pPr>
      <w:r>
        <w:rPr>
          <w:rFonts w:eastAsia="Times New Roman" w:cs="Arial"/>
          <w:lang w:val="es-ES" w:eastAsia="es-CO"/>
        </w:rPr>
        <w:t xml:space="preserve">Relación de </w:t>
      </w:r>
      <w:r w:rsidR="00C277C6">
        <w:rPr>
          <w:rFonts w:eastAsia="Times New Roman" w:cs="Arial"/>
          <w:lang w:val="es-ES" w:eastAsia="es-CO"/>
        </w:rPr>
        <w:t>C</w:t>
      </w:r>
      <w:r>
        <w:rPr>
          <w:rFonts w:eastAsia="Times New Roman" w:cs="Arial"/>
          <w:lang w:val="es-ES" w:eastAsia="es-CO"/>
        </w:rPr>
        <w:t>ategorías sin reporte (Omisos):</w:t>
      </w:r>
    </w:p>
    <w:p w14:paraId="2A5E5485" w14:textId="77777777" w:rsidR="002754A9" w:rsidRDefault="002754A9">
      <w:pPr>
        <w:pStyle w:val="Prrafodelista"/>
        <w:numPr>
          <w:ilvl w:val="0"/>
          <w:numId w:val="21"/>
        </w:numPr>
        <w:spacing w:after="0" w:line="240" w:lineRule="auto"/>
        <w:jc w:val="both"/>
        <w:textAlignment w:val="baseline"/>
        <w:rPr>
          <w:rFonts w:eastAsia="Times New Roman" w:cs="Arial"/>
          <w:lang w:val="es-ES" w:eastAsia="es-CO"/>
        </w:rPr>
      </w:pPr>
      <w:r>
        <w:rPr>
          <w:rFonts w:eastAsia="Times New Roman" w:cs="Arial"/>
          <w:lang w:val="es-ES" w:eastAsia="es-CO"/>
        </w:rPr>
        <w:t xml:space="preserve">FUT Ingresos: periodo </w:t>
      </w:r>
      <w:r w:rsidR="00C277C6">
        <w:rPr>
          <w:rFonts w:eastAsia="Times New Roman" w:cs="Arial"/>
          <w:lang w:val="es-ES" w:eastAsia="es-CO"/>
        </w:rPr>
        <w:t xml:space="preserve">abril </w:t>
      </w:r>
      <w:r>
        <w:rPr>
          <w:rFonts w:eastAsia="Times New Roman" w:cs="Arial"/>
          <w:lang w:val="es-ES" w:eastAsia="es-CO"/>
        </w:rPr>
        <w:t xml:space="preserve">– </w:t>
      </w:r>
      <w:r w:rsidR="00C277C6">
        <w:rPr>
          <w:rFonts w:eastAsia="Times New Roman" w:cs="Arial"/>
          <w:lang w:val="es-ES" w:eastAsia="es-CO"/>
        </w:rPr>
        <w:t>junio.</w:t>
      </w:r>
    </w:p>
    <w:p w14:paraId="7FDD4675" w14:textId="77777777" w:rsidR="002754A9" w:rsidRDefault="002754A9">
      <w:pPr>
        <w:pStyle w:val="Prrafodelista"/>
        <w:numPr>
          <w:ilvl w:val="0"/>
          <w:numId w:val="21"/>
        </w:numPr>
        <w:spacing w:after="0" w:line="240" w:lineRule="auto"/>
        <w:jc w:val="both"/>
        <w:textAlignment w:val="baseline"/>
        <w:rPr>
          <w:rFonts w:eastAsia="Times New Roman" w:cs="Arial"/>
          <w:lang w:val="es-ES" w:eastAsia="es-CO"/>
        </w:rPr>
      </w:pPr>
      <w:r>
        <w:rPr>
          <w:rFonts w:eastAsia="Times New Roman" w:cs="Arial"/>
          <w:lang w:val="es-ES" w:eastAsia="es-CO"/>
        </w:rPr>
        <w:t xml:space="preserve">FUT Gastos de Funcionamiento: periodo </w:t>
      </w:r>
      <w:r w:rsidR="00C277C6">
        <w:rPr>
          <w:rFonts w:eastAsia="Times New Roman" w:cs="Arial"/>
          <w:lang w:val="es-ES" w:eastAsia="es-CO"/>
        </w:rPr>
        <w:t xml:space="preserve">abril </w:t>
      </w:r>
      <w:r>
        <w:rPr>
          <w:rFonts w:eastAsia="Times New Roman" w:cs="Arial"/>
          <w:lang w:val="es-ES" w:eastAsia="es-CO"/>
        </w:rPr>
        <w:t xml:space="preserve">– </w:t>
      </w:r>
      <w:r w:rsidR="00C277C6">
        <w:rPr>
          <w:rFonts w:eastAsia="Times New Roman" w:cs="Arial"/>
          <w:lang w:val="es-ES" w:eastAsia="es-CO"/>
        </w:rPr>
        <w:t>junio.</w:t>
      </w:r>
    </w:p>
    <w:p w14:paraId="66E4F608" w14:textId="77777777" w:rsidR="002754A9" w:rsidRDefault="002754A9">
      <w:pPr>
        <w:pStyle w:val="Prrafodelista"/>
        <w:numPr>
          <w:ilvl w:val="0"/>
          <w:numId w:val="21"/>
        </w:numPr>
        <w:spacing w:after="0" w:line="240" w:lineRule="auto"/>
        <w:jc w:val="both"/>
        <w:textAlignment w:val="baseline"/>
        <w:rPr>
          <w:rFonts w:eastAsia="Times New Roman" w:cs="Arial"/>
          <w:lang w:val="es-ES" w:eastAsia="es-CO"/>
        </w:rPr>
      </w:pPr>
      <w:r>
        <w:rPr>
          <w:rFonts w:eastAsia="Times New Roman" w:cs="Arial"/>
          <w:lang w:val="es-ES" w:eastAsia="es-CO"/>
        </w:rPr>
        <w:t xml:space="preserve">FUT Gastos de Inversión: periodo </w:t>
      </w:r>
      <w:r w:rsidR="00C277C6">
        <w:rPr>
          <w:rFonts w:eastAsia="Times New Roman" w:cs="Arial"/>
          <w:lang w:val="es-ES" w:eastAsia="es-CO"/>
        </w:rPr>
        <w:t xml:space="preserve">abril </w:t>
      </w:r>
      <w:r>
        <w:rPr>
          <w:rFonts w:eastAsia="Times New Roman" w:cs="Arial"/>
          <w:lang w:val="es-ES" w:eastAsia="es-CO"/>
        </w:rPr>
        <w:t xml:space="preserve">– </w:t>
      </w:r>
      <w:r w:rsidR="00C277C6">
        <w:rPr>
          <w:rFonts w:eastAsia="Times New Roman" w:cs="Arial"/>
          <w:lang w:val="es-ES" w:eastAsia="es-CO"/>
        </w:rPr>
        <w:t>junio.</w:t>
      </w:r>
    </w:p>
    <w:p w14:paraId="78BF70BD" w14:textId="77777777" w:rsidR="00401B73" w:rsidRPr="00FB27C3" w:rsidRDefault="00401B73">
      <w:pPr>
        <w:pStyle w:val="paragraph"/>
        <w:tabs>
          <w:tab w:val="left" w:pos="6212"/>
        </w:tabs>
        <w:spacing w:before="0" w:beforeAutospacing="0" w:after="0" w:afterAutospacing="0"/>
        <w:contextualSpacing/>
        <w:jc w:val="both"/>
        <w:textAlignment w:val="baseline"/>
        <w:rPr>
          <w:rFonts w:ascii="Arial" w:hAnsi="Arial" w:cs="Arial"/>
          <w:sz w:val="22"/>
          <w:szCs w:val="22"/>
          <w:lang w:val="es-ES"/>
        </w:rPr>
      </w:pPr>
    </w:p>
    <w:p w14:paraId="6354E8B6" w14:textId="77777777" w:rsidR="00C277C6" w:rsidRPr="00FB27C3" w:rsidRDefault="00F92A13">
      <w:pPr>
        <w:spacing w:line="240" w:lineRule="auto"/>
        <w:contextualSpacing/>
        <w:jc w:val="both"/>
        <w:rPr>
          <w:rStyle w:val="normaltextrun"/>
          <w:rFonts w:ascii="Times New Roman" w:hAnsi="Times New Roman" w:cs="Arial"/>
          <w:color w:val="000000"/>
          <w:sz w:val="24"/>
          <w:szCs w:val="24"/>
          <w:shd w:val="clear" w:color="auto" w:fill="FFFFFF"/>
          <w:lang w:val="es-ES" w:eastAsia="es-CO"/>
        </w:rPr>
      </w:pPr>
      <w:r w:rsidRPr="000D5DCA">
        <w:rPr>
          <w:rFonts w:eastAsia="Times New Roman" w:cs="Arial"/>
          <w:color w:val="000000"/>
          <w:shd w:val="clear" w:color="auto" w:fill="FFFFFF"/>
          <w:lang w:val="es-ES" w:eastAsia="es-CO"/>
        </w:rPr>
        <w:t xml:space="preserve">En consecuencia, las omisiones presentadas evidencian que los procesos de administración y reporte de información financiera por parte de la </w:t>
      </w:r>
      <w:r w:rsidR="00C277C6">
        <w:rPr>
          <w:rFonts w:eastAsia="Times New Roman" w:cs="Arial"/>
          <w:color w:val="000000"/>
          <w:shd w:val="clear" w:color="auto" w:fill="FFFFFF"/>
          <w:lang w:val="es-ES" w:eastAsia="es-CO"/>
        </w:rPr>
        <w:t>E</w:t>
      </w:r>
      <w:r w:rsidRPr="000D5DCA">
        <w:rPr>
          <w:rFonts w:eastAsia="Times New Roman" w:cs="Arial"/>
          <w:color w:val="000000"/>
          <w:shd w:val="clear" w:color="auto" w:fill="FFFFFF"/>
          <w:lang w:val="es-ES" w:eastAsia="es-CO"/>
        </w:rPr>
        <w:t xml:space="preserve">ntidad </w:t>
      </w:r>
      <w:r w:rsidR="00C277C6">
        <w:rPr>
          <w:rFonts w:eastAsia="Times New Roman" w:cs="Arial"/>
          <w:color w:val="000000"/>
          <w:shd w:val="clear" w:color="auto" w:fill="FFFFFF"/>
          <w:lang w:val="es-ES" w:eastAsia="es-CO"/>
        </w:rPr>
        <w:t>T</w:t>
      </w:r>
      <w:r w:rsidRPr="000D5DCA">
        <w:rPr>
          <w:rFonts w:eastAsia="Times New Roman" w:cs="Arial"/>
          <w:color w:val="000000"/>
          <w:shd w:val="clear" w:color="auto" w:fill="FFFFFF"/>
          <w:lang w:val="es-ES" w:eastAsia="es-CO"/>
        </w:rPr>
        <w:t xml:space="preserve">erritorial incumplen los requerimientos de la ley en términos de oportunidad, teniendo en cuenta que el cargue de la información en el FUT no se realizó de acuerdo con lo establecido </w:t>
      </w:r>
      <w:r w:rsidRPr="00C277C6">
        <w:rPr>
          <w:rFonts w:eastAsia="Times New Roman" w:cs="Arial"/>
          <w:color w:val="000000"/>
          <w:shd w:val="clear" w:color="auto" w:fill="FFFFFF"/>
          <w:lang w:val="es-ES" w:eastAsia="es-CO"/>
        </w:rPr>
        <w:t xml:space="preserve">en </w:t>
      </w:r>
      <w:r w:rsidR="00B6652A" w:rsidRPr="00C277C6">
        <w:rPr>
          <w:rFonts w:eastAsia="Times New Roman" w:cs="Arial"/>
          <w:color w:val="000000"/>
          <w:shd w:val="clear" w:color="auto" w:fill="FFFFFF"/>
          <w:lang w:val="es-ES" w:eastAsia="es-CO"/>
        </w:rPr>
        <w:t>el</w:t>
      </w:r>
      <w:r w:rsidRPr="00C277C6">
        <w:rPr>
          <w:rFonts w:eastAsia="Times New Roman" w:cs="Arial"/>
          <w:color w:val="000000"/>
          <w:shd w:val="clear" w:color="auto" w:fill="FFFFFF"/>
          <w:lang w:val="es-ES" w:eastAsia="es-CO"/>
        </w:rPr>
        <w:t xml:space="preserve"> artículo 2.6.4.3 del Decreto 1068 de 2015. </w:t>
      </w:r>
    </w:p>
    <w:p w14:paraId="4B70773E" w14:textId="77777777" w:rsidR="00C277C6" w:rsidRPr="00FB27C3" w:rsidRDefault="00C277C6">
      <w:pPr>
        <w:spacing w:line="240" w:lineRule="auto"/>
        <w:contextualSpacing/>
        <w:jc w:val="both"/>
        <w:rPr>
          <w:rStyle w:val="normaltextrun"/>
          <w:rFonts w:cs="Arial"/>
          <w:color w:val="000000"/>
          <w:shd w:val="clear" w:color="auto" w:fill="FFFFFF"/>
          <w:lang w:val="es-ES"/>
        </w:rPr>
      </w:pPr>
    </w:p>
    <w:p w14:paraId="349B594B" w14:textId="77777777" w:rsidR="00361742" w:rsidRDefault="00361742">
      <w:pPr>
        <w:spacing w:line="240" w:lineRule="auto"/>
        <w:contextualSpacing/>
        <w:jc w:val="both"/>
        <w:rPr>
          <w:rStyle w:val="normaltextrun"/>
          <w:rFonts w:cs="Arial"/>
          <w:color w:val="000000"/>
          <w:shd w:val="clear" w:color="auto" w:fill="FFFFFF"/>
          <w:lang w:val="es-ES"/>
        </w:rPr>
      </w:pPr>
      <w:r w:rsidRPr="00DF2058">
        <w:rPr>
          <w:rStyle w:val="normaltextrun"/>
          <w:rFonts w:cs="Arial"/>
          <w:b/>
          <w:bCs/>
          <w:color w:val="000000"/>
          <w:shd w:val="clear" w:color="auto" w:fill="FFFFFF"/>
          <w:lang w:val="es-ES"/>
        </w:rPr>
        <w:t>Evidencias</w:t>
      </w:r>
      <w:r w:rsidRPr="00DF2058">
        <w:rPr>
          <w:rStyle w:val="normaltextrun"/>
          <w:rFonts w:cs="Arial"/>
          <w:color w:val="000000"/>
          <w:shd w:val="clear" w:color="auto" w:fill="FFFFFF"/>
          <w:lang w:val="es-ES"/>
        </w:rPr>
        <w:t xml:space="preserve">: los documentos </w:t>
      </w:r>
      <w:r w:rsidR="00B6652A">
        <w:rPr>
          <w:rStyle w:val="normaltextrun"/>
          <w:rFonts w:cs="Arial"/>
          <w:color w:val="000000"/>
          <w:shd w:val="clear" w:color="auto" w:fill="FFFFFF"/>
          <w:lang w:val="es-ES"/>
        </w:rPr>
        <w:t xml:space="preserve">probatorios </w:t>
      </w:r>
      <w:r w:rsidRPr="00DF2058">
        <w:rPr>
          <w:rStyle w:val="normaltextrun"/>
          <w:rFonts w:cs="Arial"/>
          <w:color w:val="000000"/>
          <w:shd w:val="clear" w:color="auto" w:fill="FFFFFF"/>
          <w:lang w:val="es-ES"/>
        </w:rPr>
        <w:t xml:space="preserve">obran en el expediente digital en el Sistema Electrónico Documental SIED del Ministerio de Hacienda y Crédito Público No. 17/2021/D028-PREDI </w:t>
      </w:r>
      <w:r w:rsidR="00B6652A">
        <w:rPr>
          <w:rStyle w:val="normaltextrun"/>
          <w:rFonts w:cs="Arial"/>
          <w:color w:val="000000"/>
          <w:shd w:val="clear" w:color="auto" w:fill="FFFFFF"/>
          <w:lang w:val="es-ES"/>
        </w:rPr>
        <w:t>así</w:t>
      </w:r>
      <w:r w:rsidRPr="00DF2058">
        <w:rPr>
          <w:rStyle w:val="normaltextrun"/>
          <w:rFonts w:cs="Arial"/>
          <w:color w:val="000000"/>
          <w:shd w:val="clear" w:color="auto" w:fill="FFFFFF"/>
          <w:lang w:val="es-ES"/>
        </w:rPr>
        <w:t>:</w:t>
      </w:r>
    </w:p>
    <w:p w14:paraId="46BD6EEF" w14:textId="77777777" w:rsidR="00361742" w:rsidRDefault="00361742">
      <w:pPr>
        <w:spacing w:line="240" w:lineRule="auto"/>
        <w:contextualSpacing/>
        <w:jc w:val="both"/>
        <w:rPr>
          <w:lang w:val="es-ES"/>
        </w:rPr>
      </w:pPr>
    </w:p>
    <w:p w14:paraId="6C5594BF" w14:textId="77777777" w:rsidR="00321FB5" w:rsidRDefault="007C3CA0">
      <w:pPr>
        <w:pStyle w:val="Prrafodelista"/>
        <w:numPr>
          <w:ilvl w:val="0"/>
          <w:numId w:val="26"/>
        </w:numPr>
        <w:spacing w:line="240" w:lineRule="auto"/>
        <w:jc w:val="both"/>
        <w:rPr>
          <w:lang w:val="es-ES"/>
        </w:rPr>
      </w:pPr>
      <w:r w:rsidRPr="00DF2058">
        <w:rPr>
          <w:sz w:val="20"/>
          <w:szCs w:val="20"/>
          <w:lang w:val="es-ES"/>
        </w:rPr>
        <w:t xml:space="preserve">Certificado FUT 2018. </w:t>
      </w:r>
      <w:r w:rsidRPr="004246DB">
        <w:rPr>
          <w:rStyle w:val="normaltextrun"/>
          <w:rFonts w:eastAsiaTheme="majorEastAsia" w:cs="Arial"/>
          <w:sz w:val="20"/>
          <w:szCs w:val="20"/>
        </w:rPr>
        <w:t>Participación de Propósito General. Municipio de Puerto Leguízamo - Putumayo. Serie “</w:t>
      </w:r>
      <w:r w:rsidRPr="004246DB">
        <w:rPr>
          <w:rStyle w:val="normaltextrun"/>
          <w:rFonts w:eastAsiaTheme="majorEastAsia" w:cs="Arial"/>
          <w:i/>
          <w:iCs/>
          <w:sz w:val="20"/>
          <w:szCs w:val="20"/>
        </w:rPr>
        <w:t>Historial de Seguimiento y Control a los Recursos del Sistema General de Participaciones – Diagnóstico</w:t>
      </w:r>
      <w:r w:rsidRPr="004246DB">
        <w:rPr>
          <w:rStyle w:val="normaltextrun"/>
          <w:rFonts w:eastAsiaTheme="majorEastAsia" w:cs="Arial"/>
          <w:sz w:val="20"/>
          <w:szCs w:val="20"/>
        </w:rPr>
        <w:t>”. Expediente digital No. 17/2021/D028-PREDI.</w:t>
      </w:r>
      <w:r>
        <w:rPr>
          <w:rStyle w:val="normaltextrun"/>
          <w:rFonts w:eastAsiaTheme="majorEastAsia" w:cs="Arial"/>
          <w:sz w:val="20"/>
          <w:szCs w:val="20"/>
        </w:rPr>
        <w:t xml:space="preserve"> </w:t>
      </w:r>
      <w:hyperlink r:id="rId43" w:history="1">
        <w:r w:rsidRPr="00002BCD">
          <w:rPr>
            <w:rStyle w:val="Hipervnculo"/>
            <w:rFonts w:eastAsiaTheme="majorEastAsia" w:cs="Arial"/>
            <w:sz w:val="20"/>
            <w:szCs w:val="20"/>
          </w:rPr>
          <w:t>https://bit.ly/2XIbPTl</w:t>
        </w:r>
      </w:hyperlink>
      <w:r>
        <w:rPr>
          <w:rStyle w:val="normaltextrun"/>
          <w:rFonts w:eastAsiaTheme="majorEastAsia" w:cs="Arial"/>
          <w:sz w:val="20"/>
          <w:szCs w:val="20"/>
        </w:rPr>
        <w:t xml:space="preserve"> </w:t>
      </w:r>
    </w:p>
    <w:p w14:paraId="2A385FFE" w14:textId="77777777" w:rsidR="007C3CA0" w:rsidRPr="00DF2058" w:rsidRDefault="007C3CA0">
      <w:pPr>
        <w:pStyle w:val="Prrafodelista"/>
        <w:numPr>
          <w:ilvl w:val="0"/>
          <w:numId w:val="26"/>
        </w:numPr>
        <w:spacing w:line="240" w:lineRule="auto"/>
        <w:jc w:val="both"/>
        <w:rPr>
          <w:sz w:val="20"/>
          <w:szCs w:val="20"/>
          <w:lang w:val="es-ES"/>
        </w:rPr>
      </w:pPr>
      <w:r w:rsidRPr="00DF2058">
        <w:rPr>
          <w:sz w:val="20"/>
          <w:szCs w:val="20"/>
          <w:lang w:val="es-ES"/>
        </w:rPr>
        <w:t>Certificado FUT 2020.</w:t>
      </w:r>
      <w:r>
        <w:rPr>
          <w:sz w:val="20"/>
          <w:szCs w:val="20"/>
          <w:lang w:val="es-ES"/>
        </w:rPr>
        <w:t xml:space="preserve"> </w:t>
      </w:r>
      <w:r w:rsidRPr="004246DB">
        <w:rPr>
          <w:rStyle w:val="normaltextrun"/>
          <w:rFonts w:eastAsiaTheme="majorEastAsia" w:cs="Arial"/>
          <w:sz w:val="20"/>
          <w:szCs w:val="20"/>
        </w:rPr>
        <w:t>Participación de Propósito General. Municipio de Puerto Leguízamo - Putumayo. Serie “</w:t>
      </w:r>
      <w:r w:rsidRPr="004246DB">
        <w:rPr>
          <w:rStyle w:val="normaltextrun"/>
          <w:rFonts w:eastAsiaTheme="majorEastAsia" w:cs="Arial"/>
          <w:i/>
          <w:iCs/>
          <w:sz w:val="20"/>
          <w:szCs w:val="20"/>
        </w:rPr>
        <w:t>Historial de Seguimiento y Control a los Recursos del Sistema General de Participaciones – Diagnóstico</w:t>
      </w:r>
      <w:r w:rsidRPr="004246DB">
        <w:rPr>
          <w:rStyle w:val="normaltextrun"/>
          <w:rFonts w:eastAsiaTheme="majorEastAsia" w:cs="Arial"/>
          <w:sz w:val="20"/>
          <w:szCs w:val="20"/>
        </w:rPr>
        <w:t>”. Expediente digital No. 17/2021/D028-PREDI.</w:t>
      </w:r>
      <w:r>
        <w:rPr>
          <w:rStyle w:val="normaltextrun"/>
          <w:rFonts w:eastAsiaTheme="majorEastAsia" w:cs="Arial"/>
          <w:sz w:val="20"/>
          <w:szCs w:val="20"/>
        </w:rPr>
        <w:t xml:space="preserve"> </w:t>
      </w:r>
      <w:hyperlink r:id="rId44" w:history="1">
        <w:r w:rsidRPr="00002BCD">
          <w:rPr>
            <w:rStyle w:val="Hipervnculo"/>
            <w:rFonts w:eastAsiaTheme="majorEastAsia" w:cs="Arial"/>
            <w:sz w:val="20"/>
            <w:szCs w:val="20"/>
          </w:rPr>
          <w:t>https://bit.ly/3BciuDa</w:t>
        </w:r>
      </w:hyperlink>
      <w:r>
        <w:rPr>
          <w:rStyle w:val="normaltextrun"/>
          <w:rFonts w:eastAsiaTheme="majorEastAsia" w:cs="Arial"/>
          <w:sz w:val="20"/>
          <w:szCs w:val="20"/>
        </w:rPr>
        <w:t xml:space="preserve"> </w:t>
      </w:r>
    </w:p>
    <w:p w14:paraId="4FC76FCF" w14:textId="77777777" w:rsidR="00B6652A" w:rsidRDefault="00B6652A">
      <w:pPr>
        <w:tabs>
          <w:tab w:val="left" w:pos="2268"/>
        </w:tabs>
        <w:spacing w:line="240" w:lineRule="auto"/>
        <w:ind w:left="2268" w:hanging="2268"/>
        <w:contextualSpacing/>
        <w:jc w:val="both"/>
        <w:rPr>
          <w:rFonts w:cs="Arial"/>
          <w:b/>
        </w:rPr>
      </w:pPr>
    </w:p>
    <w:p w14:paraId="31193E8D" w14:textId="77777777" w:rsidR="008A1E0C" w:rsidRDefault="007E0088">
      <w:pPr>
        <w:tabs>
          <w:tab w:val="left" w:pos="2268"/>
        </w:tabs>
        <w:spacing w:line="240" w:lineRule="auto"/>
        <w:ind w:left="2268" w:hanging="2268"/>
        <w:contextualSpacing/>
        <w:jc w:val="both"/>
        <w:rPr>
          <w:rFonts w:cs="Arial"/>
          <w:b/>
        </w:rPr>
      </w:pPr>
      <w:r>
        <w:rPr>
          <w:rFonts w:cs="Arial"/>
          <w:b/>
        </w:rPr>
        <w:t xml:space="preserve">Evento de Riesgo </w:t>
      </w:r>
      <w:r w:rsidR="008A1E0C">
        <w:rPr>
          <w:rFonts w:cs="Arial"/>
          <w:b/>
        </w:rPr>
        <w:t>9.4 “</w:t>
      </w:r>
      <w:r w:rsidR="008A1E0C" w:rsidRPr="000E7802">
        <w:rPr>
          <w:rFonts w:cs="Arial"/>
          <w:b/>
          <w:i/>
          <w:iCs/>
        </w:rPr>
        <w:t>Cambio en la destinación de los recursos</w:t>
      </w:r>
      <w:r w:rsidR="008A1E0C" w:rsidRPr="00F4383B">
        <w:rPr>
          <w:rFonts w:cs="Arial"/>
          <w:b/>
        </w:rPr>
        <w:t>”.</w:t>
      </w:r>
    </w:p>
    <w:p w14:paraId="308185B5" w14:textId="77777777" w:rsidR="00A75731" w:rsidRDefault="00A75731">
      <w:pPr>
        <w:pStyle w:val="Prrafodelista"/>
        <w:numPr>
          <w:ilvl w:val="0"/>
          <w:numId w:val="22"/>
        </w:numPr>
        <w:spacing w:line="240" w:lineRule="auto"/>
        <w:jc w:val="both"/>
        <w:rPr>
          <w:rFonts w:eastAsiaTheme="minorEastAsia"/>
          <w:b/>
          <w:bCs/>
          <w:lang w:val="es"/>
        </w:rPr>
      </w:pPr>
      <w:r w:rsidRPr="6D53D0E7">
        <w:rPr>
          <w:rFonts w:eastAsia="Arial" w:cs="Arial"/>
          <w:b/>
          <w:bCs/>
          <w:lang w:val="es"/>
        </w:rPr>
        <w:t>Utilización de recursos de la Participación de Propósito General - objeto contractual y disponibilidad de recursos no acorde con las destinaciones definidas por normatividad (financiación de actividades no permitidas en la ley).</w:t>
      </w:r>
    </w:p>
    <w:p w14:paraId="73F34C77" w14:textId="77777777" w:rsidR="00A75731" w:rsidRDefault="00A75731">
      <w:pPr>
        <w:spacing w:line="240" w:lineRule="auto"/>
        <w:contextualSpacing/>
        <w:jc w:val="both"/>
        <w:rPr>
          <w:rFonts w:eastAsia="Arial" w:cs="Arial"/>
          <w:color w:val="000000" w:themeColor="text1"/>
          <w:lang w:val="es"/>
        </w:rPr>
      </w:pPr>
    </w:p>
    <w:p w14:paraId="57C957A8" w14:textId="77777777" w:rsidR="00360BC0" w:rsidRDefault="00A75731">
      <w:pPr>
        <w:spacing w:line="240" w:lineRule="auto"/>
        <w:contextualSpacing/>
        <w:jc w:val="both"/>
        <w:rPr>
          <w:rFonts w:eastAsia="Arial" w:cs="Arial"/>
          <w:color w:val="000000" w:themeColor="text1"/>
          <w:lang w:val="es"/>
        </w:rPr>
      </w:pPr>
      <w:r w:rsidRPr="6D53D0E7">
        <w:rPr>
          <w:rFonts w:eastAsia="Arial" w:cs="Arial"/>
          <w:color w:val="000000" w:themeColor="text1"/>
          <w:lang w:val="es"/>
        </w:rPr>
        <w:t>De acuerdo con el artículo 78 de la Ley 715 de 2001, en donde se establece el destino de los recursos para la Participación de Propósito General, se indica que</w:t>
      </w:r>
      <w:r w:rsidR="00360BC0">
        <w:rPr>
          <w:rFonts w:eastAsia="Arial" w:cs="Arial"/>
          <w:color w:val="000000" w:themeColor="text1"/>
          <w:lang w:val="es"/>
        </w:rPr>
        <w:t>:</w:t>
      </w:r>
    </w:p>
    <w:p w14:paraId="6234AD8F" w14:textId="77777777" w:rsidR="00360BC0" w:rsidRDefault="00360BC0">
      <w:pPr>
        <w:spacing w:line="240" w:lineRule="auto"/>
        <w:contextualSpacing/>
        <w:jc w:val="both"/>
        <w:rPr>
          <w:rFonts w:eastAsia="Arial" w:cs="Arial"/>
          <w:color w:val="000000" w:themeColor="text1"/>
          <w:lang w:val="es"/>
        </w:rPr>
      </w:pPr>
    </w:p>
    <w:p w14:paraId="19F32583" w14:textId="77777777" w:rsidR="00A75731" w:rsidRPr="00FB27C3" w:rsidRDefault="00A75731" w:rsidP="001729F6">
      <w:pPr>
        <w:spacing w:line="240" w:lineRule="auto"/>
        <w:ind w:left="708"/>
        <w:contextualSpacing/>
        <w:jc w:val="both"/>
        <w:rPr>
          <w:rFonts w:eastAsia="Arial" w:cs="Arial"/>
          <w:color w:val="000000" w:themeColor="text1"/>
          <w:sz w:val="18"/>
          <w:szCs w:val="18"/>
          <w:lang w:val="es"/>
        </w:rPr>
      </w:pPr>
      <w:r w:rsidRPr="00FB27C3">
        <w:rPr>
          <w:rFonts w:eastAsia="Arial" w:cs="Arial"/>
          <w:color w:val="000000" w:themeColor="text1"/>
          <w:sz w:val="18"/>
          <w:szCs w:val="18"/>
          <w:lang w:val="es"/>
        </w:rPr>
        <w:t>“</w:t>
      </w:r>
      <w:r w:rsidRPr="00FB27C3">
        <w:rPr>
          <w:rFonts w:eastAsia="Arial" w:cs="Arial"/>
          <w:i/>
          <w:iCs/>
          <w:sz w:val="18"/>
          <w:szCs w:val="18"/>
          <w:lang w:val="es"/>
        </w:rPr>
        <w:t>Los Municipios clasificados en las categorías 4, 5 y 6 podrán destinar libremente, para inversión u otros gastos inherentes al funcionamiento de la administración municipal, hasta un cuarenta y dos por ciento (42 %) de los recursos que perciban por la participación de propósito general</w:t>
      </w:r>
      <w:r w:rsidRPr="00FB27C3">
        <w:rPr>
          <w:rFonts w:eastAsia="Arial" w:cs="Arial"/>
          <w:color w:val="000000" w:themeColor="text1"/>
          <w:sz w:val="18"/>
          <w:szCs w:val="18"/>
          <w:lang w:val="es"/>
        </w:rPr>
        <w:t>”.</w:t>
      </w:r>
    </w:p>
    <w:p w14:paraId="1FF2CEE9" w14:textId="77777777" w:rsidR="00A75731" w:rsidRDefault="00A75731">
      <w:pPr>
        <w:spacing w:line="240" w:lineRule="auto"/>
        <w:contextualSpacing/>
        <w:jc w:val="both"/>
      </w:pPr>
    </w:p>
    <w:p w14:paraId="40F87C96" w14:textId="77777777" w:rsidR="00A75731" w:rsidRDefault="00A75731">
      <w:pPr>
        <w:spacing w:line="240" w:lineRule="auto"/>
        <w:contextualSpacing/>
        <w:jc w:val="both"/>
        <w:rPr>
          <w:rFonts w:eastAsia="Arial" w:cs="Arial"/>
          <w:color w:val="000000" w:themeColor="text1"/>
          <w:lang w:val="es"/>
        </w:rPr>
      </w:pPr>
      <w:r w:rsidRPr="6D53D0E7">
        <w:rPr>
          <w:rFonts w:eastAsia="Arial" w:cs="Arial"/>
          <w:lang w:val="es"/>
        </w:rPr>
        <w:t xml:space="preserve">Por lo anterior, los </w:t>
      </w:r>
      <w:r w:rsidRPr="6D53D0E7">
        <w:rPr>
          <w:rFonts w:eastAsia="Arial" w:cs="Arial"/>
          <w:color w:val="000000" w:themeColor="text1"/>
          <w:lang w:val="es"/>
        </w:rPr>
        <w:t>gastos de funcionamiento son “</w:t>
      </w:r>
      <w:r w:rsidRPr="6D53D0E7">
        <w:rPr>
          <w:rFonts w:eastAsia="Arial" w:cs="Arial"/>
          <w:i/>
          <w:iCs/>
          <w:color w:val="000000" w:themeColor="text1"/>
          <w:lang w:val="es"/>
        </w:rPr>
        <w:t>aquellos que tienen por objeto atender las necesidades del Estado para cumplir con las funciones asignadas en la Constitución Política y en la ley”</w:t>
      </w:r>
      <w:r>
        <w:rPr>
          <w:rStyle w:val="Refdenotaalpie"/>
          <w:rFonts w:eastAsia="Arial" w:cs="Arial"/>
          <w:i/>
          <w:iCs/>
          <w:color w:val="000000" w:themeColor="text1"/>
          <w:lang w:val="es"/>
        </w:rPr>
        <w:footnoteReference w:id="13"/>
      </w:r>
      <w:r w:rsidRPr="6D53D0E7">
        <w:rPr>
          <w:rFonts w:eastAsia="Arial" w:cs="Arial"/>
          <w:color w:val="000000" w:themeColor="text1"/>
          <w:lang w:val="es"/>
        </w:rPr>
        <w:t xml:space="preserve">. Es importante destacar que los gastos de funcionamiento tienen una clasificación entre los cuales se encuentran los gastos de personal directos o </w:t>
      </w:r>
      <w:r w:rsidRPr="6D53D0E7">
        <w:rPr>
          <w:rFonts w:eastAsia="Arial" w:cs="Arial"/>
          <w:color w:val="000000" w:themeColor="text1"/>
          <w:lang w:val="es"/>
        </w:rPr>
        <w:lastRenderedPageBreak/>
        <w:t>indirectos y los gastos generales. Al final, esos bienes y servicios son necesarios para que las entidades territoriales cumplan con las funciones asignadas por la Constitución Política y la ley.</w:t>
      </w:r>
    </w:p>
    <w:p w14:paraId="17D06C53" w14:textId="77777777" w:rsidR="00A75731" w:rsidRDefault="00A75731">
      <w:pPr>
        <w:spacing w:line="240" w:lineRule="auto"/>
        <w:contextualSpacing/>
        <w:jc w:val="both"/>
      </w:pPr>
    </w:p>
    <w:p w14:paraId="31D859DC" w14:textId="77777777" w:rsidR="00A75731" w:rsidRDefault="00A75731">
      <w:pPr>
        <w:spacing w:line="240" w:lineRule="auto"/>
        <w:contextualSpacing/>
        <w:jc w:val="both"/>
        <w:rPr>
          <w:rFonts w:eastAsia="Arial" w:cs="Arial"/>
          <w:color w:val="000000" w:themeColor="text1"/>
          <w:lang w:val="es"/>
        </w:rPr>
      </w:pPr>
      <w:r w:rsidRPr="6D53D0E7">
        <w:rPr>
          <w:rFonts w:eastAsia="Arial" w:cs="Arial"/>
          <w:color w:val="000000" w:themeColor="text1"/>
          <w:lang w:val="es"/>
        </w:rPr>
        <w:t>En esta línea, los gastos de funcionamiento según el artículo 3° de la Ley 617 de 2000 deben financiarse con ingresos corrientes de libre destinación y se excluye de forma expresa la financiación de estos gastos con transferencias de destinación específica.</w:t>
      </w:r>
    </w:p>
    <w:p w14:paraId="53FC1F1E" w14:textId="77777777" w:rsidR="00A75731" w:rsidRDefault="00A75731">
      <w:pPr>
        <w:spacing w:line="240" w:lineRule="auto"/>
        <w:contextualSpacing/>
        <w:jc w:val="both"/>
      </w:pPr>
    </w:p>
    <w:p w14:paraId="0A42A5B5" w14:textId="77777777" w:rsidR="00A75731" w:rsidRDefault="00A75731">
      <w:pPr>
        <w:spacing w:line="240" w:lineRule="auto"/>
        <w:contextualSpacing/>
        <w:jc w:val="both"/>
        <w:rPr>
          <w:rFonts w:eastAsia="Arial" w:cs="Arial"/>
          <w:color w:val="000000" w:themeColor="text1"/>
          <w:lang w:val="es"/>
        </w:rPr>
      </w:pPr>
      <w:r w:rsidRPr="6D53D0E7">
        <w:rPr>
          <w:rFonts w:eastAsia="Arial" w:cs="Arial"/>
          <w:color w:val="000000" w:themeColor="text1"/>
          <w:lang w:val="es"/>
        </w:rPr>
        <w:t>Es importante señalar, que algunas de las destinaciones del Propósito General tienen una destinación específica (Libre Inversión, Cultura y Deporte). Por ejemplo, para Libre Inversión deben ser destinados al cumplimiento de las competencias de los municipios en otros sectores. Las competencias de los municipios están dadas por el artículo 76 de la Ley 715 de 2001 y tienen por objetivo promover o financiar entre otros</w:t>
      </w:r>
      <w:r w:rsidR="00B6652A">
        <w:rPr>
          <w:rFonts w:eastAsia="Arial" w:cs="Arial"/>
          <w:color w:val="000000" w:themeColor="text1"/>
          <w:lang w:val="es"/>
        </w:rPr>
        <w:t>,</w:t>
      </w:r>
      <w:r w:rsidRPr="6D53D0E7">
        <w:rPr>
          <w:rFonts w:eastAsia="Arial" w:cs="Arial"/>
          <w:color w:val="000000" w:themeColor="text1"/>
          <w:lang w:val="es"/>
        </w:rPr>
        <w:t xml:space="preserve"> los proyectos de interés municipal.</w:t>
      </w:r>
    </w:p>
    <w:p w14:paraId="39DBC222" w14:textId="77777777" w:rsidR="00A75731" w:rsidRDefault="00A75731">
      <w:pPr>
        <w:spacing w:line="240" w:lineRule="auto"/>
        <w:contextualSpacing/>
        <w:jc w:val="both"/>
        <w:rPr>
          <w:rFonts w:eastAsia="Arial" w:cs="Arial"/>
          <w:color w:val="000000" w:themeColor="text1"/>
          <w:lang w:val="es"/>
        </w:rPr>
      </w:pPr>
    </w:p>
    <w:p w14:paraId="3EB360BA" w14:textId="77777777" w:rsidR="00A75731" w:rsidRDefault="00A75731">
      <w:pPr>
        <w:spacing w:line="240" w:lineRule="auto"/>
        <w:contextualSpacing/>
        <w:jc w:val="both"/>
      </w:pPr>
      <w:r>
        <w:t xml:space="preserve">Referente a </w:t>
      </w:r>
      <w:r w:rsidR="00360BC0">
        <w:t xml:space="preserve">esta </w:t>
      </w:r>
      <w:r>
        <w:t>temática, el D</w:t>
      </w:r>
      <w:r w:rsidR="00360BC0">
        <w:t xml:space="preserve">epartamento </w:t>
      </w:r>
      <w:r>
        <w:t>N</w:t>
      </w:r>
      <w:r w:rsidR="00360BC0">
        <w:t xml:space="preserve">acional de </w:t>
      </w:r>
      <w:r>
        <w:t>P</w:t>
      </w:r>
      <w:r w:rsidR="00360BC0">
        <w:t>laneación</w:t>
      </w:r>
      <w:r>
        <w:t xml:space="preserve"> </w:t>
      </w:r>
      <w:r w:rsidR="00360BC0">
        <w:t xml:space="preserve">– DNP </w:t>
      </w:r>
      <w:r>
        <w:t>ha sido enfático en los objetos de gasto financiables en el Sector Fortalecimiento Institucional</w:t>
      </w:r>
      <w:r w:rsidR="00B6652A">
        <w:t>,</w:t>
      </w:r>
      <w:r>
        <w:t xml:space="preserve"> destacando que cuando la ejecución de recursos de Forzosa Inversión – Otros Sectores que se realice en el marco de un programa o proyecto que pretenda mejorar la gestión y adecuar la estructura administrativa municipal para el cumplimiento adecuado de las competencias asignadas por la ley</w:t>
      </w:r>
      <w:r w:rsidR="00B6652A">
        <w:t>,</w:t>
      </w:r>
      <w:r>
        <w:t xml:space="preserve"> “</w:t>
      </w:r>
      <w:r>
        <w:rPr>
          <w:i/>
          <w:iCs/>
        </w:rPr>
        <w:t>no es posible financiar asesorías con el propósito de atender el cumplimiento de labores recurrentes de la administración, como por ejemplo asesoría jurídica, contable, u otras de similar naturaleza</w:t>
      </w:r>
      <w:r>
        <w:t>”</w:t>
      </w:r>
      <w:r w:rsidR="00C04EDC">
        <w:rPr>
          <w:rStyle w:val="Refdenotaalpie"/>
        </w:rPr>
        <w:footnoteReference w:id="14"/>
      </w:r>
      <w:r w:rsidR="00B6652A">
        <w:t>.</w:t>
      </w:r>
    </w:p>
    <w:p w14:paraId="02929943" w14:textId="77777777" w:rsidR="007419D5" w:rsidRPr="00FB27C3" w:rsidRDefault="007419D5">
      <w:pPr>
        <w:spacing w:line="240" w:lineRule="auto"/>
        <w:contextualSpacing/>
        <w:jc w:val="both"/>
      </w:pPr>
    </w:p>
    <w:p w14:paraId="4D0E6313" w14:textId="77777777" w:rsidR="00965FB3" w:rsidRDefault="00571E80">
      <w:pPr>
        <w:spacing w:after="0" w:line="240" w:lineRule="auto"/>
        <w:contextualSpacing/>
        <w:jc w:val="both"/>
      </w:pPr>
      <w:r>
        <w:t>Esta Dirección</w:t>
      </w:r>
      <w:r w:rsidR="00965FB3">
        <w:t xml:space="preserve"> identificó que el </w:t>
      </w:r>
      <w:r w:rsidR="009628F1">
        <w:t>M</w:t>
      </w:r>
      <w:r w:rsidR="00965FB3">
        <w:t xml:space="preserve">unicipio de Puerto Leguízamo financia con recursos de Libre Inversión contratos dirigidos a realizar actividades que enmarca en el </w:t>
      </w:r>
      <w:r w:rsidR="009628F1">
        <w:t>S</w:t>
      </w:r>
      <w:r w:rsidR="00965FB3">
        <w:t xml:space="preserve">ector de </w:t>
      </w:r>
      <w:r w:rsidR="00EE17D8">
        <w:t>F</w:t>
      </w:r>
      <w:r w:rsidR="00965FB3">
        <w:t xml:space="preserve">ortalecimiento </w:t>
      </w:r>
      <w:r w:rsidR="00EE17D8">
        <w:t>I</w:t>
      </w:r>
      <w:r w:rsidR="00965FB3">
        <w:t xml:space="preserve">nstitucional, pero que se trata de contratos donde se contrata el personal que desarrolla funciones propias de la actividades continuas y permanentes de la </w:t>
      </w:r>
      <w:r w:rsidR="009628F1">
        <w:t>A</w:t>
      </w:r>
      <w:r w:rsidR="00965FB3">
        <w:t xml:space="preserve">dministración </w:t>
      </w:r>
      <w:r w:rsidR="009628F1">
        <w:t>T</w:t>
      </w:r>
      <w:r w:rsidR="00965FB3">
        <w:t>erritorial. Es decir, se financian gastos de funcionamiento inmersos en proyectos de inversión cuya naturaleza no cumple con las características de este tipo de destinaciones. Se seleccionó una muestra de contratos de este tipo por cada vigencia, los cuales se relacionan a continuación:</w:t>
      </w:r>
    </w:p>
    <w:p w14:paraId="3BFBB189" w14:textId="77777777" w:rsidR="00965FB3" w:rsidRDefault="00965FB3">
      <w:pPr>
        <w:spacing w:after="0" w:line="240" w:lineRule="auto"/>
        <w:contextualSpacing/>
        <w:jc w:val="both"/>
      </w:pPr>
    </w:p>
    <w:p w14:paraId="41D6B940" w14:textId="77777777" w:rsidR="00965FB3" w:rsidRPr="005370C5" w:rsidRDefault="00965FB3">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Pr>
          <w:rFonts w:eastAsia="Arial" w:cs="Arial"/>
          <w:b/>
          <w:bCs/>
          <w:sz w:val="20"/>
          <w:szCs w:val="20"/>
        </w:rPr>
        <w:t>2</w:t>
      </w:r>
    </w:p>
    <w:p w14:paraId="658D95FA" w14:textId="77777777" w:rsidR="00965FB3" w:rsidRDefault="00965FB3">
      <w:pPr>
        <w:spacing w:after="0" w:line="240" w:lineRule="auto"/>
        <w:contextualSpacing/>
        <w:jc w:val="center"/>
        <w:rPr>
          <w:rFonts w:eastAsia="Arial" w:cs="Arial"/>
          <w:sz w:val="20"/>
          <w:szCs w:val="20"/>
        </w:rPr>
      </w:pPr>
      <w:r>
        <w:rPr>
          <w:rFonts w:eastAsia="Arial" w:cs="Arial"/>
          <w:sz w:val="20"/>
          <w:szCs w:val="20"/>
        </w:rPr>
        <w:t>Contratos de funcionamiento con recursos de Libre Inversión</w:t>
      </w:r>
    </w:p>
    <w:p w14:paraId="03BF8DD6" w14:textId="77777777" w:rsidR="00965FB3" w:rsidRPr="00C16E4B" w:rsidRDefault="00965FB3">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9932" w:type="dxa"/>
        <w:jc w:val="center"/>
        <w:tblCellMar>
          <w:left w:w="70" w:type="dxa"/>
          <w:right w:w="70" w:type="dxa"/>
        </w:tblCellMar>
        <w:tblLook w:val="04A0" w:firstRow="1" w:lastRow="0" w:firstColumn="1" w:lastColumn="0" w:noHBand="0" w:noVBand="1"/>
      </w:tblPr>
      <w:tblGrid>
        <w:gridCol w:w="1325"/>
        <w:gridCol w:w="3592"/>
        <w:gridCol w:w="4771"/>
        <w:gridCol w:w="244"/>
      </w:tblGrid>
      <w:tr w:rsidR="00965FB3" w:rsidRPr="007B1B1C" w14:paraId="2F911675" w14:textId="77777777" w:rsidTr="004663BF">
        <w:trPr>
          <w:gridAfter w:val="1"/>
          <w:trHeight w:val="231"/>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66B10170"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Vigencia 2018</w:t>
            </w:r>
          </w:p>
        </w:tc>
      </w:tr>
      <w:tr w:rsidR="00965FB3" w:rsidRPr="007B1B1C" w14:paraId="15288BB3" w14:textId="77777777" w:rsidTr="004663BF">
        <w:trPr>
          <w:gridAfter w:val="1"/>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6C174824"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54376B69" w14:textId="77777777" w:rsidR="00965FB3" w:rsidRPr="00FB27C3" w:rsidRDefault="00965FB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CPS-089-2018</w:t>
            </w:r>
          </w:p>
        </w:tc>
        <w:tc>
          <w:tcPr>
            <w:tcW w:w="4771" w:type="dxa"/>
            <w:tcBorders>
              <w:top w:val="nil"/>
              <w:left w:val="nil"/>
              <w:bottom w:val="single" w:sz="4" w:space="0" w:color="auto"/>
              <w:right w:val="single" w:sz="4" w:space="0" w:color="auto"/>
            </w:tcBorders>
            <w:shd w:val="clear" w:color="000000" w:fill="666699"/>
            <w:vAlign w:val="center"/>
            <w:hideMark/>
          </w:tcPr>
          <w:p w14:paraId="6D208F5B"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965FB3" w:rsidRPr="007B1B1C" w14:paraId="720DD4D2" w14:textId="77777777" w:rsidTr="004663BF">
        <w:trPr>
          <w:gridAfter w:val="1"/>
          <w:trHeight w:val="433"/>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4F840C65"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17DC6BA4"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Contratar los servicios de apoyo al seguimiento a la política fiscal y la cobranza del Municipio de Leguízamo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7E1A2A19"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Mantener actualizado el sistema de información e inventario de los procesos de cobro persuasivo y coactivo</w:t>
            </w:r>
            <w:r w:rsidR="009628F1">
              <w:rPr>
                <w:rFonts w:eastAsia="Times New Roman" w:cs="Arial"/>
                <w:color w:val="000000"/>
                <w:sz w:val="18"/>
                <w:szCs w:val="18"/>
                <w:lang w:val="es-CO" w:eastAsia="es-CO"/>
              </w:rPr>
              <w:t>.</w:t>
            </w:r>
          </w:p>
          <w:p w14:paraId="4CCDF1C6"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Proferir pliegos de cargos, emplazamientos, requerimientos ordinarios y especiales y demás actos de trámite en los procesos de determinación de tributos, rentas y derechos del </w:t>
            </w:r>
            <w:r w:rsidR="009628F1">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r w:rsidR="009628F1">
              <w:rPr>
                <w:rFonts w:eastAsia="Times New Roman" w:cs="Arial"/>
                <w:color w:val="000000"/>
                <w:sz w:val="18"/>
                <w:szCs w:val="18"/>
                <w:lang w:val="es-CO" w:eastAsia="es-CO"/>
              </w:rPr>
              <w:t>.</w:t>
            </w:r>
          </w:p>
          <w:p w14:paraId="13C119F7" w14:textId="77777777" w:rsidR="00965FB3" w:rsidRPr="00FB27C3"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Preparar las acciones de cobro persuasivo a todos los contribuyentes que estén en morosidad con el objetivo de evitar la prescripción</w:t>
            </w:r>
            <w:r w:rsidR="009628F1">
              <w:rPr>
                <w:rFonts w:eastAsia="Times New Roman" w:cs="Arial"/>
                <w:color w:val="000000"/>
                <w:sz w:val="18"/>
                <w:szCs w:val="18"/>
                <w:lang w:val="es-CO" w:eastAsia="es-CO"/>
              </w:rPr>
              <w:t>.</w:t>
            </w:r>
          </w:p>
        </w:tc>
      </w:tr>
      <w:tr w:rsidR="00965FB3" w:rsidRPr="007B1B1C" w14:paraId="605B5804" w14:textId="77777777" w:rsidTr="004663BF">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17AA700E"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009994FE"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1EF587D4"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4C68824B"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r>
      <w:tr w:rsidR="00965FB3" w:rsidRPr="007B1B1C" w14:paraId="7A08EF88"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2B4C6EAA"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2E3E481A" w14:textId="77777777" w:rsidR="00965FB3" w:rsidRPr="00FB27C3" w:rsidRDefault="009628F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Leidys Barrios Saldarriaga</w:t>
            </w:r>
          </w:p>
        </w:tc>
        <w:tc>
          <w:tcPr>
            <w:tcW w:w="4771" w:type="dxa"/>
            <w:vMerge/>
            <w:tcBorders>
              <w:top w:val="nil"/>
              <w:left w:val="single" w:sz="4" w:space="0" w:color="auto"/>
              <w:bottom w:val="single" w:sz="4" w:space="0" w:color="000000"/>
              <w:right w:val="single" w:sz="4" w:space="0" w:color="auto"/>
            </w:tcBorders>
            <w:vAlign w:val="center"/>
            <w:hideMark/>
          </w:tcPr>
          <w:p w14:paraId="2660C6D8"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69B90530"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4A8B81E5"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43DA203A"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22133999"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$6.000.000</w:t>
            </w:r>
          </w:p>
        </w:tc>
        <w:tc>
          <w:tcPr>
            <w:tcW w:w="4771" w:type="dxa"/>
            <w:vMerge/>
            <w:tcBorders>
              <w:top w:val="nil"/>
              <w:left w:val="single" w:sz="4" w:space="0" w:color="auto"/>
              <w:bottom w:val="single" w:sz="4" w:space="0" w:color="000000"/>
              <w:right w:val="single" w:sz="4" w:space="0" w:color="auto"/>
            </w:tcBorders>
            <w:vAlign w:val="center"/>
            <w:hideMark/>
          </w:tcPr>
          <w:p w14:paraId="569564F8"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3C4F5563"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516E4955"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6502FA3E"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3E470460"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meses</w:t>
            </w:r>
          </w:p>
        </w:tc>
        <w:tc>
          <w:tcPr>
            <w:tcW w:w="4771" w:type="dxa"/>
            <w:vMerge/>
            <w:tcBorders>
              <w:top w:val="nil"/>
              <w:left w:val="single" w:sz="4" w:space="0" w:color="auto"/>
              <w:bottom w:val="single" w:sz="4" w:space="0" w:color="000000"/>
              <w:right w:val="single" w:sz="4" w:space="0" w:color="auto"/>
            </w:tcBorders>
            <w:vAlign w:val="center"/>
            <w:hideMark/>
          </w:tcPr>
          <w:p w14:paraId="457FA746"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4D40FE72"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2DBB092F"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F002DA1"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14E3349C" w14:textId="77777777" w:rsidR="00965FB3" w:rsidRPr="00FB27C3" w:rsidRDefault="00965FB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CPS-080-2018</w:t>
            </w:r>
          </w:p>
        </w:tc>
        <w:tc>
          <w:tcPr>
            <w:tcW w:w="4771" w:type="dxa"/>
            <w:tcBorders>
              <w:top w:val="nil"/>
              <w:left w:val="nil"/>
              <w:bottom w:val="single" w:sz="4" w:space="0" w:color="auto"/>
              <w:right w:val="single" w:sz="4" w:space="0" w:color="auto"/>
            </w:tcBorders>
            <w:shd w:val="clear" w:color="000000" w:fill="666699"/>
            <w:vAlign w:val="center"/>
            <w:hideMark/>
          </w:tcPr>
          <w:p w14:paraId="6B660435"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43BC66A8"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454D2C10" w14:textId="77777777" w:rsidTr="004663BF">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7B5C14DB"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990C06"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Contratar los servicios profesionales de un contador público - Municipio de Leguízamo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086EFC67"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Rendir informes a los siguientes entes de control, que correspondan a la información financiera y contable, si </w:t>
            </w:r>
            <w:r w:rsidRPr="00FB27C3">
              <w:rPr>
                <w:rFonts w:eastAsia="Times New Roman" w:cs="Arial"/>
                <w:color w:val="000000"/>
                <w:sz w:val="18"/>
                <w:szCs w:val="18"/>
                <w:lang w:val="es-CO" w:eastAsia="es-CO"/>
              </w:rPr>
              <w:lastRenderedPageBreak/>
              <w:t>corresponde a las siguientes entidades: Contaduría General de la Nación (Informe denominado CHIP) (Informe denominado CGN y CGR) y DIAN (Información denominada información exógena)</w:t>
            </w:r>
            <w:r w:rsidR="009628F1">
              <w:rPr>
                <w:rFonts w:eastAsia="Times New Roman" w:cs="Arial"/>
                <w:color w:val="000000"/>
                <w:sz w:val="18"/>
                <w:szCs w:val="18"/>
                <w:lang w:val="es-CO" w:eastAsia="es-CO"/>
              </w:rPr>
              <w:t>.</w:t>
            </w:r>
          </w:p>
          <w:p w14:paraId="24D5B411"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Revisar la ejecución de ingresos y gastos de manera periódica para establecer y resolver posibles diferencias con la contabilidad</w:t>
            </w:r>
            <w:r w:rsidR="009628F1">
              <w:rPr>
                <w:rFonts w:eastAsia="Times New Roman" w:cs="Arial"/>
                <w:color w:val="000000"/>
                <w:sz w:val="18"/>
                <w:szCs w:val="18"/>
                <w:lang w:val="es-CO" w:eastAsia="es-CO"/>
              </w:rPr>
              <w:t>.</w:t>
            </w:r>
          </w:p>
          <w:p w14:paraId="3569AFF1" w14:textId="77777777" w:rsidR="00965FB3" w:rsidRPr="00FB27C3"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Realizar archivo de los soportes contables y demás documentos cumpliendo con las normas del Archivo General</w:t>
            </w:r>
            <w:r w:rsidR="009628F1">
              <w:rPr>
                <w:rFonts w:eastAsia="Times New Roman" w:cs="Arial"/>
                <w:color w:val="000000"/>
                <w:sz w:val="18"/>
                <w:szCs w:val="18"/>
                <w:lang w:val="es-CO" w:eastAsia="es-CO"/>
              </w:rPr>
              <w:t>.</w:t>
            </w:r>
          </w:p>
        </w:tc>
        <w:tc>
          <w:tcPr>
            <w:tcW w:w="0" w:type="auto"/>
            <w:vAlign w:val="center"/>
            <w:hideMark/>
          </w:tcPr>
          <w:p w14:paraId="328F7A22"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7DABAA3B" w14:textId="77777777" w:rsidTr="004663BF">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3CA0471E"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6BD5138D"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685BF744"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2B29CD09"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r>
      <w:tr w:rsidR="00965FB3" w:rsidRPr="007B1B1C" w14:paraId="5006A278"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3DAEA314"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lastRenderedPageBreak/>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6FB303AA" w14:textId="77777777" w:rsidR="00965FB3" w:rsidRPr="00FB27C3" w:rsidRDefault="009628F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Sandra Milena Contreras Peñalosa</w:t>
            </w:r>
          </w:p>
        </w:tc>
        <w:tc>
          <w:tcPr>
            <w:tcW w:w="4771" w:type="dxa"/>
            <w:vMerge/>
            <w:tcBorders>
              <w:top w:val="nil"/>
              <w:left w:val="single" w:sz="4" w:space="0" w:color="auto"/>
              <w:bottom w:val="single" w:sz="4" w:space="0" w:color="000000"/>
              <w:right w:val="single" w:sz="4" w:space="0" w:color="auto"/>
            </w:tcBorders>
            <w:vAlign w:val="center"/>
            <w:hideMark/>
          </w:tcPr>
          <w:p w14:paraId="41A082F3"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45CC7739"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5564AAF7"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2993AA7D"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21004F89"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$13.750.000</w:t>
            </w:r>
          </w:p>
        </w:tc>
        <w:tc>
          <w:tcPr>
            <w:tcW w:w="4771" w:type="dxa"/>
            <w:vMerge/>
            <w:tcBorders>
              <w:top w:val="nil"/>
              <w:left w:val="single" w:sz="4" w:space="0" w:color="auto"/>
              <w:bottom w:val="single" w:sz="4" w:space="0" w:color="000000"/>
              <w:right w:val="single" w:sz="4" w:space="0" w:color="auto"/>
            </w:tcBorders>
            <w:vAlign w:val="center"/>
            <w:hideMark/>
          </w:tcPr>
          <w:p w14:paraId="23F7F13F"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79EEB362"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476005DE"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1FFA305"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171DAFC4"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meses</w:t>
            </w:r>
          </w:p>
        </w:tc>
        <w:tc>
          <w:tcPr>
            <w:tcW w:w="4771" w:type="dxa"/>
            <w:vMerge/>
            <w:tcBorders>
              <w:top w:val="nil"/>
              <w:left w:val="single" w:sz="4" w:space="0" w:color="auto"/>
              <w:bottom w:val="single" w:sz="4" w:space="0" w:color="000000"/>
              <w:right w:val="single" w:sz="4" w:space="0" w:color="auto"/>
            </w:tcBorders>
            <w:vAlign w:val="center"/>
            <w:hideMark/>
          </w:tcPr>
          <w:p w14:paraId="68ECA77A"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59E1D2C7"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3AF86C93"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49CDECDD"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7C04C49B" w14:textId="77777777" w:rsidR="00965FB3" w:rsidRPr="00FB27C3" w:rsidRDefault="00965FB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PS-MC-025-2018</w:t>
            </w:r>
          </w:p>
        </w:tc>
        <w:tc>
          <w:tcPr>
            <w:tcW w:w="4771" w:type="dxa"/>
            <w:tcBorders>
              <w:top w:val="nil"/>
              <w:left w:val="nil"/>
              <w:bottom w:val="single" w:sz="4" w:space="0" w:color="auto"/>
              <w:right w:val="single" w:sz="4" w:space="0" w:color="auto"/>
            </w:tcBorders>
            <w:shd w:val="clear" w:color="000000" w:fill="666699"/>
            <w:vAlign w:val="center"/>
            <w:hideMark/>
          </w:tcPr>
          <w:p w14:paraId="5DF764D8"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76E49A17"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5EDBA56B" w14:textId="77777777" w:rsidTr="004663BF">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676A25EE"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6E3E1631"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profesionales para el desarrollo de procesos y procedimientos financieros y contables para la </w:t>
            </w:r>
            <w:r w:rsidR="009628F1">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dministración </w:t>
            </w:r>
            <w:r w:rsidR="009628F1">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 de Leguízamo Putumayo Amazonía</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5EE643DE"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Desarrollar los servicios en forma eficiente, oportuna y a cabalidad para el logro de los</w:t>
            </w:r>
            <w:r w:rsidR="009628F1">
              <w:rPr>
                <w:rFonts w:eastAsia="Times New Roman" w:cs="Arial"/>
                <w:color w:val="000000"/>
                <w:sz w:val="18"/>
                <w:szCs w:val="18"/>
                <w:lang w:val="es-CO" w:eastAsia="es-CO"/>
              </w:rPr>
              <w:t xml:space="preserve"> </w:t>
            </w:r>
            <w:r w:rsidRPr="00FB27C3">
              <w:rPr>
                <w:rFonts w:eastAsia="Times New Roman" w:cs="Arial"/>
                <w:color w:val="000000"/>
                <w:sz w:val="18"/>
                <w:szCs w:val="18"/>
                <w:lang w:val="es-CO" w:eastAsia="es-CO"/>
              </w:rPr>
              <w:t>objetivos propuestos por el supervisor del contrato que se suscriba, además de atender</w:t>
            </w:r>
            <w:r w:rsidR="009628F1">
              <w:rPr>
                <w:rFonts w:eastAsia="Times New Roman" w:cs="Arial"/>
                <w:color w:val="000000"/>
                <w:sz w:val="18"/>
                <w:szCs w:val="18"/>
                <w:lang w:val="es-CO" w:eastAsia="es-CO"/>
              </w:rPr>
              <w:t xml:space="preserve"> </w:t>
            </w:r>
            <w:r w:rsidRPr="00FB27C3">
              <w:rPr>
                <w:rFonts w:eastAsia="Times New Roman" w:cs="Arial"/>
                <w:color w:val="000000"/>
                <w:sz w:val="18"/>
                <w:szCs w:val="18"/>
                <w:lang w:val="es-CO" w:eastAsia="es-CO"/>
              </w:rPr>
              <w:t>de forma directa y personal los asuntos contratados</w:t>
            </w:r>
            <w:r w:rsidR="009628F1">
              <w:rPr>
                <w:rFonts w:eastAsia="Times New Roman" w:cs="Arial"/>
                <w:color w:val="000000"/>
                <w:sz w:val="18"/>
                <w:szCs w:val="18"/>
                <w:lang w:val="es-CO" w:eastAsia="es-CO"/>
              </w:rPr>
              <w:t>.</w:t>
            </w:r>
          </w:p>
          <w:p w14:paraId="42C69568"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2.Analizar la situación financiera y contable del </w:t>
            </w:r>
            <w:r w:rsidR="009628F1">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p>
          <w:p w14:paraId="575E96FD" w14:textId="77777777" w:rsidR="00965FB3" w:rsidRPr="00FB27C3" w:rsidRDefault="009628F1">
            <w:pPr>
              <w:spacing w:after="0" w:line="240" w:lineRule="auto"/>
              <w:contextualSpacing/>
              <w:rPr>
                <w:rFonts w:eastAsia="Times New Roman" w:cs="Arial"/>
                <w:color w:val="000000"/>
                <w:sz w:val="18"/>
                <w:szCs w:val="18"/>
                <w:lang w:val="es-CO" w:eastAsia="es-CO"/>
              </w:rPr>
            </w:pPr>
            <w:r>
              <w:rPr>
                <w:rFonts w:eastAsia="Times New Roman" w:cs="Arial"/>
                <w:color w:val="000000"/>
                <w:sz w:val="18"/>
                <w:szCs w:val="18"/>
                <w:lang w:val="es-CO" w:eastAsia="es-CO"/>
              </w:rPr>
              <w:t>3</w:t>
            </w:r>
            <w:r w:rsidR="00965FB3" w:rsidRPr="00FB27C3">
              <w:rPr>
                <w:rFonts w:eastAsia="Times New Roman" w:cs="Arial"/>
                <w:color w:val="000000"/>
                <w:sz w:val="18"/>
                <w:szCs w:val="18"/>
                <w:lang w:val="es-CO" w:eastAsia="es-CO"/>
              </w:rPr>
              <w:t>. Diseñar los procedimientos y procesos para la implementación de las NIIF.</w:t>
            </w:r>
          </w:p>
        </w:tc>
        <w:tc>
          <w:tcPr>
            <w:tcW w:w="0" w:type="auto"/>
            <w:vAlign w:val="center"/>
            <w:hideMark/>
          </w:tcPr>
          <w:p w14:paraId="62D34A70"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660A65C8" w14:textId="77777777" w:rsidTr="004663BF">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2B65E7F1"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7F7FDBDE"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6722D340"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3E0F24FA"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r>
      <w:tr w:rsidR="00965FB3" w:rsidRPr="007B1B1C" w14:paraId="08C60CEF"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37EF9721"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7D858EEC" w14:textId="77777777" w:rsidR="00965FB3" w:rsidRPr="00FB27C3" w:rsidRDefault="009628F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Ángela Sarmiento Torres</w:t>
            </w:r>
          </w:p>
        </w:tc>
        <w:tc>
          <w:tcPr>
            <w:tcW w:w="4771" w:type="dxa"/>
            <w:vMerge/>
            <w:tcBorders>
              <w:top w:val="nil"/>
              <w:left w:val="single" w:sz="4" w:space="0" w:color="auto"/>
              <w:bottom w:val="single" w:sz="4" w:space="0" w:color="000000"/>
              <w:right w:val="single" w:sz="4" w:space="0" w:color="auto"/>
            </w:tcBorders>
            <w:vAlign w:val="center"/>
            <w:hideMark/>
          </w:tcPr>
          <w:p w14:paraId="07C8EDF2"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425D1A48"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6EE1F666"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30EAD8F5"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3C920852"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$21.800.000</w:t>
            </w:r>
          </w:p>
        </w:tc>
        <w:tc>
          <w:tcPr>
            <w:tcW w:w="4771" w:type="dxa"/>
            <w:vMerge/>
            <w:tcBorders>
              <w:top w:val="nil"/>
              <w:left w:val="single" w:sz="4" w:space="0" w:color="auto"/>
              <w:bottom w:val="single" w:sz="4" w:space="0" w:color="000000"/>
              <w:right w:val="single" w:sz="4" w:space="0" w:color="auto"/>
            </w:tcBorders>
            <w:vAlign w:val="center"/>
            <w:hideMark/>
          </w:tcPr>
          <w:p w14:paraId="4955F90C"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0240113D"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33FD3407"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6DB68B75"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0F1107B6"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 meses</w:t>
            </w:r>
          </w:p>
        </w:tc>
        <w:tc>
          <w:tcPr>
            <w:tcW w:w="4771" w:type="dxa"/>
            <w:vMerge/>
            <w:tcBorders>
              <w:top w:val="nil"/>
              <w:left w:val="single" w:sz="4" w:space="0" w:color="auto"/>
              <w:bottom w:val="single" w:sz="4" w:space="0" w:color="000000"/>
              <w:right w:val="single" w:sz="4" w:space="0" w:color="auto"/>
            </w:tcBorders>
            <w:vAlign w:val="center"/>
            <w:hideMark/>
          </w:tcPr>
          <w:p w14:paraId="1B617C81"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05F21ADD"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002F1BD5" w14:textId="77777777" w:rsidTr="004663BF">
        <w:trPr>
          <w:trHeight w:val="231"/>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13C1BCAC"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Vigencia 2019</w:t>
            </w:r>
          </w:p>
        </w:tc>
        <w:tc>
          <w:tcPr>
            <w:tcW w:w="0" w:type="auto"/>
            <w:vAlign w:val="center"/>
            <w:hideMark/>
          </w:tcPr>
          <w:p w14:paraId="0A6FDAF2"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35E4D386"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2A4B6A69"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2A3E022F" w14:textId="77777777" w:rsidR="00965FB3" w:rsidRPr="00FB27C3" w:rsidRDefault="00965FB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CPS-059-2019</w:t>
            </w:r>
          </w:p>
        </w:tc>
        <w:tc>
          <w:tcPr>
            <w:tcW w:w="4771" w:type="dxa"/>
            <w:tcBorders>
              <w:top w:val="nil"/>
              <w:left w:val="nil"/>
              <w:bottom w:val="single" w:sz="4" w:space="0" w:color="auto"/>
              <w:right w:val="single" w:sz="4" w:space="0" w:color="auto"/>
            </w:tcBorders>
            <w:shd w:val="clear" w:color="000000" w:fill="666699"/>
            <w:vAlign w:val="center"/>
            <w:hideMark/>
          </w:tcPr>
          <w:p w14:paraId="27E6843E"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516BF6B8"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50549590" w14:textId="77777777" w:rsidTr="004663BF">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26939DFD"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0820B261"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para las actividades de apoyo a la supervisión técnica, administrativa y financiera del </w:t>
            </w:r>
            <w:r w:rsidR="009628F1">
              <w:rPr>
                <w:rFonts w:eastAsia="Times New Roman" w:cs="Arial"/>
                <w:color w:val="000000"/>
                <w:sz w:val="18"/>
                <w:szCs w:val="18"/>
                <w:lang w:val="es-CO" w:eastAsia="es-CO"/>
              </w:rPr>
              <w:t>R</w:t>
            </w:r>
            <w:r w:rsidRPr="00FB27C3">
              <w:rPr>
                <w:rFonts w:eastAsia="Times New Roman" w:cs="Arial"/>
                <w:color w:val="000000"/>
                <w:sz w:val="18"/>
                <w:szCs w:val="18"/>
                <w:lang w:val="es-CO" w:eastAsia="es-CO"/>
              </w:rPr>
              <w:t xml:space="preserve">égimen </w:t>
            </w:r>
            <w:r w:rsidR="009628F1">
              <w:rPr>
                <w:rFonts w:eastAsia="Times New Roman" w:cs="Arial"/>
                <w:color w:val="000000"/>
                <w:sz w:val="18"/>
                <w:szCs w:val="18"/>
                <w:lang w:val="es-CO" w:eastAsia="es-CO"/>
              </w:rPr>
              <w:t>S</w:t>
            </w:r>
            <w:r w:rsidRPr="00FB27C3">
              <w:rPr>
                <w:rFonts w:eastAsia="Times New Roman" w:cs="Arial"/>
                <w:color w:val="000000"/>
                <w:sz w:val="18"/>
                <w:szCs w:val="18"/>
                <w:lang w:val="es-CO" w:eastAsia="es-CO"/>
              </w:rPr>
              <w:t xml:space="preserve">ubsidiado 2019 en el </w:t>
            </w:r>
            <w:r w:rsidR="009628F1">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de Leguízamo, </w:t>
            </w:r>
            <w:r w:rsidR="009628F1">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6967E0F1"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Fortalecimiento de la gestión administrativa y financiera de salud en el </w:t>
            </w:r>
            <w:r w:rsidR="009628F1">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r w:rsidR="009628F1">
              <w:rPr>
                <w:rFonts w:eastAsia="Times New Roman" w:cs="Arial"/>
                <w:color w:val="000000"/>
                <w:sz w:val="18"/>
                <w:szCs w:val="18"/>
                <w:lang w:val="es-CO" w:eastAsia="es-CO"/>
              </w:rPr>
              <w:t>.</w:t>
            </w:r>
          </w:p>
          <w:p w14:paraId="512D761C" w14:textId="77777777" w:rsidR="00965FB3" w:rsidRPr="00FB27C3"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Implementación del control y vigilancia de las IPS y EPS sobre sistemas de garantía de calidad, prestación de servicio y sostenibilidad financiera</w:t>
            </w:r>
            <w:r w:rsidR="009628F1">
              <w:rPr>
                <w:rFonts w:eastAsia="Times New Roman" w:cs="Arial"/>
                <w:color w:val="000000"/>
                <w:sz w:val="18"/>
                <w:szCs w:val="18"/>
                <w:lang w:val="es-CO" w:eastAsia="es-CO"/>
              </w:rPr>
              <w:t>.</w:t>
            </w:r>
          </w:p>
        </w:tc>
        <w:tc>
          <w:tcPr>
            <w:tcW w:w="0" w:type="auto"/>
            <w:vAlign w:val="center"/>
            <w:hideMark/>
          </w:tcPr>
          <w:p w14:paraId="5818F3FA"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6DBB2714" w14:textId="77777777" w:rsidTr="004663BF">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57FA83B0"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409AD0A1"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0E42743A"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26719057"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r>
      <w:tr w:rsidR="00965FB3" w:rsidRPr="007B1B1C" w14:paraId="30517E2F"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3FD7236D"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3B76DB7F" w14:textId="77777777" w:rsidR="00965FB3" w:rsidRPr="00FB27C3" w:rsidRDefault="009628F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Adriana Lucía Medicis</w:t>
            </w:r>
          </w:p>
        </w:tc>
        <w:tc>
          <w:tcPr>
            <w:tcW w:w="4771" w:type="dxa"/>
            <w:vMerge/>
            <w:tcBorders>
              <w:top w:val="nil"/>
              <w:left w:val="single" w:sz="4" w:space="0" w:color="auto"/>
              <w:bottom w:val="single" w:sz="4" w:space="0" w:color="000000"/>
              <w:right w:val="single" w:sz="4" w:space="0" w:color="auto"/>
            </w:tcBorders>
            <w:vAlign w:val="center"/>
            <w:hideMark/>
          </w:tcPr>
          <w:p w14:paraId="59CF7B3D"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07B7C6C7"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6E352DD7"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4162AC43"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0177625B"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$31.500.000</w:t>
            </w:r>
          </w:p>
        </w:tc>
        <w:tc>
          <w:tcPr>
            <w:tcW w:w="4771" w:type="dxa"/>
            <w:vMerge/>
            <w:tcBorders>
              <w:top w:val="nil"/>
              <w:left w:val="single" w:sz="4" w:space="0" w:color="auto"/>
              <w:bottom w:val="single" w:sz="4" w:space="0" w:color="000000"/>
              <w:right w:val="single" w:sz="4" w:space="0" w:color="auto"/>
            </w:tcBorders>
            <w:vAlign w:val="center"/>
            <w:hideMark/>
          </w:tcPr>
          <w:p w14:paraId="5C04F2A2"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44DD05D2"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20336662"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92C882C"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0C70A53A"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9 meses</w:t>
            </w:r>
          </w:p>
        </w:tc>
        <w:tc>
          <w:tcPr>
            <w:tcW w:w="4771" w:type="dxa"/>
            <w:vMerge/>
            <w:tcBorders>
              <w:top w:val="nil"/>
              <w:left w:val="single" w:sz="4" w:space="0" w:color="auto"/>
              <w:bottom w:val="single" w:sz="4" w:space="0" w:color="000000"/>
              <w:right w:val="single" w:sz="4" w:space="0" w:color="auto"/>
            </w:tcBorders>
            <w:vAlign w:val="center"/>
            <w:hideMark/>
          </w:tcPr>
          <w:p w14:paraId="587F601C"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2996FB4C"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716AA40C"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6EEB73EC"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59CB1906" w14:textId="77777777" w:rsidR="00965FB3" w:rsidRPr="00FB27C3" w:rsidRDefault="00965FB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CPS-021-2019</w:t>
            </w:r>
          </w:p>
        </w:tc>
        <w:tc>
          <w:tcPr>
            <w:tcW w:w="4771" w:type="dxa"/>
            <w:tcBorders>
              <w:top w:val="nil"/>
              <w:left w:val="nil"/>
              <w:bottom w:val="single" w:sz="4" w:space="0" w:color="auto"/>
              <w:right w:val="single" w:sz="4" w:space="0" w:color="auto"/>
            </w:tcBorders>
            <w:shd w:val="clear" w:color="000000" w:fill="666699"/>
            <w:vAlign w:val="center"/>
            <w:hideMark/>
          </w:tcPr>
          <w:p w14:paraId="5F8BD16C"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11EDF8B3"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7FD508CB" w14:textId="77777777" w:rsidTr="004663BF">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232442F8"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129D911"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la prestación de servicios de apoyo técnico para el fortalecimiento en el desarrollo de las acciones administrativas de la gestión pública en el </w:t>
            </w:r>
            <w:r w:rsidR="009628F1">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de Leguízamo, </w:t>
            </w:r>
            <w:r w:rsidR="009628F1">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7D794B1F"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Atención al público.</w:t>
            </w:r>
          </w:p>
          <w:p w14:paraId="3143DE52"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Manejo agenda de la secretaria de planeación (fechas reuniones).</w:t>
            </w:r>
          </w:p>
          <w:p w14:paraId="13B4C596"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Realizar la labor de oficina y archivo según los requerimientos de la secretaría de planeación.</w:t>
            </w:r>
          </w:p>
          <w:p w14:paraId="190CBE25" w14:textId="77777777" w:rsidR="00965FB3" w:rsidRPr="00FB27C3"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4. Radicar los oficios de la secretaria de planeación</w:t>
            </w:r>
            <w:r w:rsidR="009628F1">
              <w:rPr>
                <w:rFonts w:eastAsia="Times New Roman" w:cs="Arial"/>
                <w:color w:val="000000"/>
                <w:sz w:val="18"/>
                <w:szCs w:val="18"/>
                <w:lang w:val="es-CO" w:eastAsia="es-CO"/>
              </w:rPr>
              <w:t>.</w:t>
            </w:r>
          </w:p>
        </w:tc>
        <w:tc>
          <w:tcPr>
            <w:tcW w:w="0" w:type="auto"/>
            <w:vAlign w:val="center"/>
            <w:hideMark/>
          </w:tcPr>
          <w:p w14:paraId="18E76331"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548A41CC" w14:textId="77777777" w:rsidTr="004663BF">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2ABF4437"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06A8BE30"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1294E080"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747556A7"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r>
      <w:tr w:rsidR="00965FB3" w:rsidRPr="007B1B1C" w14:paraId="0F647308"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570B1622"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5F5D0D30" w14:textId="77777777" w:rsidR="00965FB3" w:rsidRPr="00FB27C3" w:rsidRDefault="009628F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Yily Estefany Correa Torres</w:t>
            </w:r>
          </w:p>
        </w:tc>
        <w:tc>
          <w:tcPr>
            <w:tcW w:w="4771" w:type="dxa"/>
            <w:vMerge/>
            <w:tcBorders>
              <w:top w:val="nil"/>
              <w:left w:val="single" w:sz="4" w:space="0" w:color="auto"/>
              <w:bottom w:val="single" w:sz="4" w:space="0" w:color="000000"/>
              <w:right w:val="single" w:sz="4" w:space="0" w:color="auto"/>
            </w:tcBorders>
            <w:vAlign w:val="center"/>
            <w:hideMark/>
          </w:tcPr>
          <w:p w14:paraId="0FCFC76D"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31226409"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169F8F01"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B9DB181"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0BAF732A"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$4.800.000</w:t>
            </w:r>
          </w:p>
        </w:tc>
        <w:tc>
          <w:tcPr>
            <w:tcW w:w="4771" w:type="dxa"/>
            <w:vMerge/>
            <w:tcBorders>
              <w:top w:val="nil"/>
              <w:left w:val="single" w:sz="4" w:space="0" w:color="auto"/>
              <w:bottom w:val="single" w:sz="4" w:space="0" w:color="000000"/>
              <w:right w:val="single" w:sz="4" w:space="0" w:color="auto"/>
            </w:tcBorders>
            <w:vAlign w:val="center"/>
            <w:hideMark/>
          </w:tcPr>
          <w:p w14:paraId="64E1C8CE"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44E169AB"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4F6F93F9"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23DD097"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1877DF50"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 meses</w:t>
            </w:r>
          </w:p>
        </w:tc>
        <w:tc>
          <w:tcPr>
            <w:tcW w:w="4771" w:type="dxa"/>
            <w:vMerge/>
            <w:tcBorders>
              <w:top w:val="nil"/>
              <w:left w:val="single" w:sz="4" w:space="0" w:color="auto"/>
              <w:bottom w:val="single" w:sz="4" w:space="0" w:color="000000"/>
              <w:right w:val="single" w:sz="4" w:space="0" w:color="auto"/>
            </w:tcBorders>
            <w:vAlign w:val="center"/>
            <w:hideMark/>
          </w:tcPr>
          <w:p w14:paraId="49BECB38"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3786F4F1"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603860D8"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068C89CF"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588F6F36" w14:textId="77777777" w:rsidR="00965FB3" w:rsidRPr="00FB27C3" w:rsidRDefault="00965FB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CPS-023-2019</w:t>
            </w:r>
          </w:p>
        </w:tc>
        <w:tc>
          <w:tcPr>
            <w:tcW w:w="4771" w:type="dxa"/>
            <w:tcBorders>
              <w:top w:val="nil"/>
              <w:left w:val="nil"/>
              <w:bottom w:val="single" w:sz="4" w:space="0" w:color="auto"/>
              <w:right w:val="single" w:sz="4" w:space="0" w:color="auto"/>
            </w:tcBorders>
            <w:shd w:val="clear" w:color="000000" w:fill="666699"/>
            <w:vAlign w:val="center"/>
            <w:hideMark/>
          </w:tcPr>
          <w:p w14:paraId="11AA607C"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50441DCF"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29B81B2F" w14:textId="77777777" w:rsidTr="004663BF">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6DE825B8"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7DFBE938"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la prestación de servicios profesionales como fortalecimiento a la Secretaría de Planeación en el proceso de titulación y legalización de predios en el </w:t>
            </w:r>
            <w:r w:rsidR="009628F1">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442F0068"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Diseño proyectos arquitectónicos, que la </w:t>
            </w:r>
            <w:r w:rsidR="009628F1">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dministración </w:t>
            </w:r>
            <w:r w:rsidR="009628F1">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unicipal requiera </w:t>
            </w:r>
            <w:r w:rsidR="001A2B5E" w:rsidRPr="00FB27C3">
              <w:rPr>
                <w:rFonts w:eastAsia="Times New Roman" w:cs="Arial"/>
                <w:color w:val="000000"/>
                <w:sz w:val="18"/>
                <w:szCs w:val="18"/>
                <w:lang w:val="es-CO" w:eastAsia="es-CO"/>
              </w:rPr>
              <w:t>de acuerdo con</w:t>
            </w:r>
            <w:r w:rsidRPr="00FB27C3">
              <w:rPr>
                <w:rFonts w:eastAsia="Times New Roman" w:cs="Arial"/>
                <w:color w:val="000000"/>
                <w:sz w:val="18"/>
                <w:szCs w:val="18"/>
                <w:lang w:val="es-CO" w:eastAsia="es-CO"/>
              </w:rPr>
              <w:t xml:space="preserve"> sus necesidades conforme con su capacidad técnica</w:t>
            </w:r>
            <w:r w:rsidR="009628F1">
              <w:rPr>
                <w:rFonts w:eastAsia="Times New Roman" w:cs="Arial"/>
                <w:color w:val="000000"/>
                <w:sz w:val="18"/>
                <w:szCs w:val="18"/>
                <w:lang w:val="es-CO" w:eastAsia="es-CO"/>
              </w:rPr>
              <w:t>.</w:t>
            </w:r>
          </w:p>
          <w:p w14:paraId="5A2F6162" w14:textId="77777777" w:rsidR="009628F1"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Coordinar la preparación y presentación de proyectos de gestión con las diferentes secretarías, según la materia y el objeto del proyecto</w:t>
            </w:r>
            <w:r w:rsidR="009628F1">
              <w:rPr>
                <w:rFonts w:eastAsia="Times New Roman" w:cs="Arial"/>
                <w:color w:val="000000"/>
                <w:sz w:val="18"/>
                <w:szCs w:val="18"/>
                <w:lang w:val="es-CO" w:eastAsia="es-CO"/>
              </w:rPr>
              <w:t>.</w:t>
            </w:r>
          </w:p>
          <w:p w14:paraId="66B7D101" w14:textId="77777777" w:rsidR="00965FB3" w:rsidRPr="00FB27C3"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Apoyar la secretaría técnica del OCAD municipal para realizar todos los procesos para realizar OCAD municipal</w:t>
            </w:r>
            <w:r w:rsidR="000D2916">
              <w:rPr>
                <w:rFonts w:eastAsia="Times New Roman" w:cs="Arial"/>
                <w:color w:val="000000"/>
                <w:sz w:val="18"/>
                <w:szCs w:val="18"/>
                <w:lang w:val="es-CO" w:eastAsia="es-CO"/>
              </w:rPr>
              <w:t>.</w:t>
            </w:r>
          </w:p>
        </w:tc>
        <w:tc>
          <w:tcPr>
            <w:tcW w:w="0" w:type="auto"/>
            <w:vAlign w:val="center"/>
            <w:hideMark/>
          </w:tcPr>
          <w:p w14:paraId="34D9FC7D"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266291D6" w14:textId="77777777" w:rsidTr="004663BF">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16F79066"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326B66FB"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5D5A816D"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74240F0E"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r>
      <w:tr w:rsidR="00965FB3" w:rsidRPr="007B1B1C" w14:paraId="5E1A5BF5"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2E817B10"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385AD0C2" w14:textId="77777777" w:rsidR="00965FB3" w:rsidRPr="00FB27C3" w:rsidRDefault="009628F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Ivinser Rojas Bernicio</w:t>
            </w:r>
          </w:p>
        </w:tc>
        <w:tc>
          <w:tcPr>
            <w:tcW w:w="4771" w:type="dxa"/>
            <w:vMerge/>
            <w:tcBorders>
              <w:top w:val="nil"/>
              <w:left w:val="single" w:sz="4" w:space="0" w:color="auto"/>
              <w:bottom w:val="single" w:sz="4" w:space="0" w:color="000000"/>
              <w:right w:val="single" w:sz="4" w:space="0" w:color="auto"/>
            </w:tcBorders>
            <w:vAlign w:val="center"/>
            <w:hideMark/>
          </w:tcPr>
          <w:p w14:paraId="0F0761F2"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29452E9F"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50DC9A1E"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3446A9CF"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15ED41F1"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$15.000.000</w:t>
            </w:r>
          </w:p>
        </w:tc>
        <w:tc>
          <w:tcPr>
            <w:tcW w:w="4771" w:type="dxa"/>
            <w:vMerge/>
            <w:tcBorders>
              <w:top w:val="nil"/>
              <w:left w:val="single" w:sz="4" w:space="0" w:color="auto"/>
              <w:bottom w:val="single" w:sz="4" w:space="0" w:color="000000"/>
              <w:right w:val="single" w:sz="4" w:space="0" w:color="auto"/>
            </w:tcBorders>
            <w:vAlign w:val="center"/>
            <w:hideMark/>
          </w:tcPr>
          <w:p w14:paraId="4A0788ED"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1E1CC5CA"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1CFBDC60"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3A115288"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4597F8E2"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 meses</w:t>
            </w:r>
          </w:p>
        </w:tc>
        <w:tc>
          <w:tcPr>
            <w:tcW w:w="4771" w:type="dxa"/>
            <w:vMerge/>
            <w:tcBorders>
              <w:top w:val="nil"/>
              <w:left w:val="single" w:sz="4" w:space="0" w:color="auto"/>
              <w:bottom w:val="single" w:sz="4" w:space="0" w:color="000000"/>
              <w:right w:val="single" w:sz="4" w:space="0" w:color="auto"/>
            </w:tcBorders>
            <w:vAlign w:val="center"/>
            <w:hideMark/>
          </w:tcPr>
          <w:p w14:paraId="7233C8E5"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47AEEE61"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1549E1EA" w14:textId="77777777" w:rsidTr="004663BF">
        <w:trPr>
          <w:trHeight w:val="231"/>
          <w:jc w:val="center"/>
        </w:trPr>
        <w:tc>
          <w:tcPr>
            <w:tcW w:w="0" w:type="auto"/>
            <w:gridSpan w:val="3"/>
            <w:tcBorders>
              <w:top w:val="single" w:sz="4" w:space="0" w:color="auto"/>
              <w:left w:val="single" w:sz="4" w:space="0" w:color="auto"/>
              <w:bottom w:val="single" w:sz="4" w:space="0" w:color="auto"/>
              <w:right w:val="single" w:sz="4" w:space="0" w:color="auto"/>
            </w:tcBorders>
            <w:shd w:val="clear" w:color="000000" w:fill="666699"/>
            <w:noWrap/>
            <w:vAlign w:val="center"/>
            <w:hideMark/>
          </w:tcPr>
          <w:p w14:paraId="05422040"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Vigencia 2020</w:t>
            </w:r>
          </w:p>
        </w:tc>
        <w:tc>
          <w:tcPr>
            <w:tcW w:w="0" w:type="auto"/>
            <w:vAlign w:val="center"/>
            <w:hideMark/>
          </w:tcPr>
          <w:p w14:paraId="54DBF4C4"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3B82A91C"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4E6C9843"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371A1C68" w14:textId="77777777" w:rsidR="00965FB3" w:rsidRPr="00FB27C3" w:rsidRDefault="00965FB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CPS-076-2020</w:t>
            </w:r>
          </w:p>
        </w:tc>
        <w:tc>
          <w:tcPr>
            <w:tcW w:w="4771" w:type="dxa"/>
            <w:tcBorders>
              <w:top w:val="nil"/>
              <w:left w:val="nil"/>
              <w:bottom w:val="single" w:sz="4" w:space="0" w:color="auto"/>
              <w:right w:val="single" w:sz="4" w:space="0" w:color="auto"/>
            </w:tcBorders>
            <w:shd w:val="clear" w:color="000000" w:fill="666699"/>
            <w:vAlign w:val="center"/>
            <w:hideMark/>
          </w:tcPr>
          <w:p w14:paraId="7FC081FE"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1747E0AA"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53BA5AEF" w14:textId="77777777" w:rsidTr="004663BF">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1E9E585D"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3BB09C4F"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Prestación de servicios de apoyo tecnológico para la legalización de predios, diseño y elaboración de planos para el fortalecimiento de los procesos de la Secretaría de Planeación del </w:t>
            </w:r>
            <w:r w:rsidR="000D2916">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de Leguízamo, </w:t>
            </w:r>
            <w:r w:rsidR="000D2916">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01696935" w14:textId="77777777" w:rsidR="000D2916"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Implementar la política de gobierno digital en el </w:t>
            </w:r>
            <w:r w:rsidR="000D2916">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Puerto Leguízamo Putumayo</w:t>
            </w:r>
            <w:r w:rsidR="000D2916">
              <w:rPr>
                <w:rFonts w:eastAsia="Times New Roman" w:cs="Arial"/>
                <w:color w:val="000000"/>
                <w:sz w:val="18"/>
                <w:szCs w:val="18"/>
                <w:lang w:val="es-CO" w:eastAsia="es-CO"/>
              </w:rPr>
              <w:t>.</w:t>
            </w:r>
          </w:p>
          <w:p w14:paraId="43F5B5F3" w14:textId="77777777" w:rsidR="000D2916"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Apoyar de manera profesional a todas las dependencias teniendo en cuenta las tecnologías y sistemas de información y comunicaciones a nivel institucional y municipal</w:t>
            </w:r>
            <w:r w:rsidR="000D2916">
              <w:rPr>
                <w:rFonts w:eastAsia="Times New Roman" w:cs="Arial"/>
                <w:color w:val="000000"/>
                <w:sz w:val="18"/>
                <w:szCs w:val="18"/>
                <w:lang w:val="es-CO" w:eastAsia="es-CO"/>
              </w:rPr>
              <w:t>.</w:t>
            </w:r>
          </w:p>
          <w:p w14:paraId="4451FEC0" w14:textId="77777777" w:rsidR="00965FB3" w:rsidRPr="00FB27C3"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Divulgación de información institucional usando medios digitales para la crear valor público a nivel municipal, departamental y nacional</w:t>
            </w:r>
            <w:r w:rsidR="000D2916">
              <w:rPr>
                <w:rFonts w:eastAsia="Times New Roman" w:cs="Arial"/>
                <w:color w:val="000000"/>
                <w:sz w:val="18"/>
                <w:szCs w:val="18"/>
                <w:lang w:val="es-CO" w:eastAsia="es-CO"/>
              </w:rPr>
              <w:t>.</w:t>
            </w:r>
          </w:p>
        </w:tc>
        <w:tc>
          <w:tcPr>
            <w:tcW w:w="0" w:type="auto"/>
            <w:vAlign w:val="center"/>
            <w:hideMark/>
          </w:tcPr>
          <w:p w14:paraId="18A6D808"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44714809" w14:textId="77777777" w:rsidTr="004663BF">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2F3F6D39"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2F4DFADA"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5D9D3A2F"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73CE17BB"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r>
      <w:tr w:rsidR="00965FB3" w:rsidRPr="007B1B1C" w14:paraId="28A108C0"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48E558B6"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218916FC" w14:textId="77777777" w:rsidR="00965FB3" w:rsidRPr="00FB27C3" w:rsidRDefault="009628F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Jorge Luis Herrera Cárdenas</w:t>
            </w:r>
          </w:p>
        </w:tc>
        <w:tc>
          <w:tcPr>
            <w:tcW w:w="4771" w:type="dxa"/>
            <w:vMerge/>
            <w:tcBorders>
              <w:top w:val="nil"/>
              <w:left w:val="single" w:sz="4" w:space="0" w:color="auto"/>
              <w:bottom w:val="single" w:sz="4" w:space="0" w:color="000000"/>
              <w:right w:val="single" w:sz="4" w:space="0" w:color="auto"/>
            </w:tcBorders>
            <w:vAlign w:val="center"/>
            <w:hideMark/>
          </w:tcPr>
          <w:p w14:paraId="2343855C"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705FDCA8"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7A8FB980"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44D980FF"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673688E8"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$14.850.000</w:t>
            </w:r>
          </w:p>
        </w:tc>
        <w:tc>
          <w:tcPr>
            <w:tcW w:w="4771" w:type="dxa"/>
            <w:vMerge/>
            <w:tcBorders>
              <w:top w:val="nil"/>
              <w:left w:val="single" w:sz="4" w:space="0" w:color="auto"/>
              <w:bottom w:val="single" w:sz="4" w:space="0" w:color="000000"/>
              <w:right w:val="single" w:sz="4" w:space="0" w:color="auto"/>
            </w:tcBorders>
            <w:vAlign w:val="center"/>
            <w:hideMark/>
          </w:tcPr>
          <w:p w14:paraId="322F170E"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539447B4"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39E4F1DE"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6CC6007"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198CE88D"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9 meses</w:t>
            </w:r>
          </w:p>
        </w:tc>
        <w:tc>
          <w:tcPr>
            <w:tcW w:w="4771" w:type="dxa"/>
            <w:vMerge/>
            <w:tcBorders>
              <w:top w:val="nil"/>
              <w:left w:val="single" w:sz="4" w:space="0" w:color="auto"/>
              <w:bottom w:val="single" w:sz="4" w:space="0" w:color="000000"/>
              <w:right w:val="single" w:sz="4" w:space="0" w:color="auto"/>
            </w:tcBorders>
            <w:vAlign w:val="center"/>
            <w:hideMark/>
          </w:tcPr>
          <w:p w14:paraId="4DC23460"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2E6027D5"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4D9138CA"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F1FA32C"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lastRenderedPageBreak/>
              <w:t>Contrato</w:t>
            </w:r>
          </w:p>
        </w:tc>
        <w:tc>
          <w:tcPr>
            <w:tcW w:w="3592" w:type="dxa"/>
            <w:tcBorders>
              <w:top w:val="nil"/>
              <w:left w:val="nil"/>
              <w:bottom w:val="single" w:sz="4" w:space="0" w:color="auto"/>
              <w:right w:val="single" w:sz="4" w:space="0" w:color="auto"/>
            </w:tcBorders>
            <w:shd w:val="clear" w:color="000000" w:fill="CCCCFF"/>
            <w:vAlign w:val="center"/>
            <w:hideMark/>
          </w:tcPr>
          <w:p w14:paraId="1BC39A71" w14:textId="77777777" w:rsidR="00965FB3" w:rsidRPr="00FB27C3" w:rsidRDefault="00965FB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CPS-044-2020</w:t>
            </w:r>
          </w:p>
        </w:tc>
        <w:tc>
          <w:tcPr>
            <w:tcW w:w="4771" w:type="dxa"/>
            <w:tcBorders>
              <w:top w:val="nil"/>
              <w:left w:val="nil"/>
              <w:bottom w:val="single" w:sz="4" w:space="0" w:color="auto"/>
              <w:right w:val="single" w:sz="4" w:space="0" w:color="auto"/>
            </w:tcBorders>
            <w:shd w:val="clear" w:color="000000" w:fill="666699"/>
            <w:vAlign w:val="center"/>
            <w:hideMark/>
          </w:tcPr>
          <w:p w14:paraId="3A089128"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75B57688"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5E5CB07F" w14:textId="77777777" w:rsidTr="004663BF">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573C811C"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4732064F"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un profesional para la supervisión técnica, administrativa y financiera del </w:t>
            </w:r>
            <w:r w:rsidR="000D2916">
              <w:rPr>
                <w:rFonts w:eastAsia="Times New Roman" w:cs="Arial"/>
                <w:color w:val="000000"/>
                <w:sz w:val="18"/>
                <w:szCs w:val="18"/>
                <w:lang w:val="es-CO" w:eastAsia="es-CO"/>
              </w:rPr>
              <w:t>R</w:t>
            </w:r>
            <w:r w:rsidRPr="00FB27C3">
              <w:rPr>
                <w:rFonts w:eastAsia="Times New Roman" w:cs="Arial"/>
                <w:color w:val="000000"/>
                <w:sz w:val="18"/>
                <w:szCs w:val="18"/>
                <w:lang w:val="es-CO" w:eastAsia="es-CO"/>
              </w:rPr>
              <w:t xml:space="preserve">égimen </w:t>
            </w:r>
            <w:r w:rsidR="000D2916">
              <w:rPr>
                <w:rFonts w:eastAsia="Times New Roman" w:cs="Arial"/>
                <w:color w:val="000000"/>
                <w:sz w:val="18"/>
                <w:szCs w:val="18"/>
                <w:lang w:val="es-CO" w:eastAsia="es-CO"/>
              </w:rPr>
              <w:t>S</w:t>
            </w:r>
            <w:r w:rsidRPr="00FB27C3">
              <w:rPr>
                <w:rFonts w:eastAsia="Times New Roman" w:cs="Arial"/>
                <w:color w:val="000000"/>
                <w:sz w:val="18"/>
                <w:szCs w:val="18"/>
                <w:lang w:val="es-CO" w:eastAsia="es-CO"/>
              </w:rPr>
              <w:t xml:space="preserve">ubsidiado 2020 en el </w:t>
            </w:r>
            <w:r w:rsidR="000D2916">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Puerto Leguízamo Departamento del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6528D731" w14:textId="77777777" w:rsidR="000D2916"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Apoyar de manera mensual en la elaboración de los actos administrativos para los pagos sin situación de fondos a las EPS y demás actos que sean necesarios para el buen desempeño del </w:t>
            </w:r>
            <w:r w:rsidR="000D2916">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en el área de aseguramiento, de acuerdo con los parámetros del Ministerio de Salud y Protección </w:t>
            </w:r>
            <w:r w:rsidR="000D2916">
              <w:rPr>
                <w:rFonts w:eastAsia="Times New Roman" w:cs="Arial"/>
                <w:color w:val="000000"/>
                <w:sz w:val="18"/>
                <w:szCs w:val="18"/>
                <w:lang w:val="es-CO" w:eastAsia="es-CO"/>
              </w:rPr>
              <w:t>S</w:t>
            </w:r>
            <w:r w:rsidRPr="00FB27C3">
              <w:rPr>
                <w:rFonts w:eastAsia="Times New Roman" w:cs="Arial"/>
                <w:color w:val="000000"/>
                <w:sz w:val="18"/>
                <w:szCs w:val="18"/>
                <w:lang w:val="es-CO" w:eastAsia="es-CO"/>
              </w:rPr>
              <w:t>ocial</w:t>
            </w:r>
            <w:r w:rsidR="000D2916">
              <w:rPr>
                <w:rFonts w:eastAsia="Times New Roman" w:cs="Arial"/>
                <w:color w:val="000000"/>
                <w:sz w:val="18"/>
                <w:szCs w:val="18"/>
                <w:lang w:val="es-CO" w:eastAsia="es-CO"/>
              </w:rPr>
              <w:t>.</w:t>
            </w:r>
          </w:p>
          <w:p w14:paraId="6AD4727A" w14:textId="77777777" w:rsidR="00965FB3" w:rsidRPr="00FB27C3"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Apoyar en la proyección de acto administrativo en los ajustes de los compromisos presupuestales teniendo en cuenta la matriz de financiación emitida por el Ministerio de Salud y Protección </w:t>
            </w:r>
            <w:r w:rsidR="000D2916">
              <w:rPr>
                <w:rFonts w:eastAsia="Times New Roman" w:cs="Arial"/>
                <w:color w:val="000000"/>
                <w:sz w:val="18"/>
                <w:szCs w:val="18"/>
                <w:lang w:val="es-CO" w:eastAsia="es-CO"/>
              </w:rPr>
              <w:t>S</w:t>
            </w:r>
            <w:r w:rsidRPr="00FB27C3">
              <w:rPr>
                <w:rFonts w:eastAsia="Times New Roman" w:cs="Arial"/>
                <w:color w:val="000000"/>
                <w:sz w:val="18"/>
                <w:szCs w:val="18"/>
                <w:lang w:val="es-CO" w:eastAsia="es-CO"/>
              </w:rPr>
              <w:t>ocial</w:t>
            </w:r>
            <w:r w:rsidR="000D2916">
              <w:rPr>
                <w:rFonts w:eastAsia="Times New Roman" w:cs="Arial"/>
                <w:color w:val="000000"/>
                <w:sz w:val="18"/>
                <w:szCs w:val="18"/>
                <w:lang w:val="es-CO" w:eastAsia="es-CO"/>
              </w:rPr>
              <w:t>.</w:t>
            </w:r>
          </w:p>
        </w:tc>
        <w:tc>
          <w:tcPr>
            <w:tcW w:w="0" w:type="auto"/>
            <w:vAlign w:val="center"/>
            <w:hideMark/>
          </w:tcPr>
          <w:p w14:paraId="73389FF0"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17F44B4E" w14:textId="77777777" w:rsidTr="004663BF">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24EBF126"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0A8EFFB2"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2AF40EAE"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6FE3F9D5"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r>
      <w:tr w:rsidR="00965FB3" w:rsidRPr="007B1B1C" w14:paraId="30FB68E3"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1F9AA9B"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3212C9C9" w14:textId="77777777" w:rsidR="00965FB3" w:rsidRPr="00FB27C3" w:rsidRDefault="009628F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Enith Lorena Llerena Rojas</w:t>
            </w:r>
          </w:p>
        </w:tc>
        <w:tc>
          <w:tcPr>
            <w:tcW w:w="4771" w:type="dxa"/>
            <w:vMerge/>
            <w:tcBorders>
              <w:top w:val="nil"/>
              <w:left w:val="single" w:sz="4" w:space="0" w:color="auto"/>
              <w:bottom w:val="single" w:sz="4" w:space="0" w:color="000000"/>
              <w:right w:val="single" w:sz="4" w:space="0" w:color="auto"/>
            </w:tcBorders>
            <w:vAlign w:val="center"/>
            <w:hideMark/>
          </w:tcPr>
          <w:p w14:paraId="15D3F6D1"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7FB07EBF"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308A3D0D"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37F39DEA"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17FDDE7F"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$27.600.000</w:t>
            </w:r>
          </w:p>
        </w:tc>
        <w:tc>
          <w:tcPr>
            <w:tcW w:w="4771" w:type="dxa"/>
            <w:vMerge/>
            <w:tcBorders>
              <w:top w:val="nil"/>
              <w:left w:val="single" w:sz="4" w:space="0" w:color="auto"/>
              <w:bottom w:val="single" w:sz="4" w:space="0" w:color="000000"/>
              <w:right w:val="single" w:sz="4" w:space="0" w:color="auto"/>
            </w:tcBorders>
            <w:vAlign w:val="center"/>
            <w:hideMark/>
          </w:tcPr>
          <w:p w14:paraId="014D625E"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10C3546B"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6919BB9A"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4254F932"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50E8D0B6"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 meses</w:t>
            </w:r>
          </w:p>
        </w:tc>
        <w:tc>
          <w:tcPr>
            <w:tcW w:w="4771" w:type="dxa"/>
            <w:vMerge/>
            <w:tcBorders>
              <w:top w:val="nil"/>
              <w:left w:val="single" w:sz="4" w:space="0" w:color="auto"/>
              <w:bottom w:val="single" w:sz="4" w:space="0" w:color="000000"/>
              <w:right w:val="single" w:sz="4" w:space="0" w:color="auto"/>
            </w:tcBorders>
            <w:vAlign w:val="center"/>
            <w:hideMark/>
          </w:tcPr>
          <w:p w14:paraId="0E9BBAAD"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07552930"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3D43CF82"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B3EE062"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3592" w:type="dxa"/>
            <w:tcBorders>
              <w:top w:val="nil"/>
              <w:left w:val="nil"/>
              <w:bottom w:val="single" w:sz="4" w:space="0" w:color="auto"/>
              <w:right w:val="single" w:sz="4" w:space="0" w:color="auto"/>
            </w:tcBorders>
            <w:shd w:val="clear" w:color="000000" w:fill="CCCCFF"/>
            <w:vAlign w:val="center"/>
            <w:hideMark/>
          </w:tcPr>
          <w:p w14:paraId="5632D67C" w14:textId="77777777" w:rsidR="00965FB3" w:rsidRPr="00FB27C3" w:rsidRDefault="00965FB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CPS-126-2020</w:t>
            </w:r>
          </w:p>
        </w:tc>
        <w:tc>
          <w:tcPr>
            <w:tcW w:w="4771" w:type="dxa"/>
            <w:tcBorders>
              <w:top w:val="nil"/>
              <w:left w:val="nil"/>
              <w:bottom w:val="single" w:sz="4" w:space="0" w:color="auto"/>
              <w:right w:val="single" w:sz="4" w:space="0" w:color="auto"/>
            </w:tcBorders>
            <w:shd w:val="clear" w:color="000000" w:fill="666699"/>
            <w:vAlign w:val="center"/>
            <w:hideMark/>
          </w:tcPr>
          <w:p w14:paraId="775B2670"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0" w:type="auto"/>
            <w:vAlign w:val="center"/>
            <w:hideMark/>
          </w:tcPr>
          <w:p w14:paraId="7EDE9D41"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37CAC586" w14:textId="77777777" w:rsidTr="004663BF">
        <w:trPr>
          <w:trHeight w:val="231"/>
          <w:jc w:val="center"/>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14:paraId="6D7C82AB"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92" w:type="dxa"/>
            <w:vMerge w:val="restart"/>
            <w:tcBorders>
              <w:top w:val="nil"/>
              <w:left w:val="single" w:sz="4" w:space="0" w:color="auto"/>
              <w:bottom w:val="single" w:sz="4" w:space="0" w:color="000000"/>
              <w:right w:val="single" w:sz="4" w:space="0" w:color="auto"/>
            </w:tcBorders>
            <w:shd w:val="clear" w:color="auto" w:fill="auto"/>
            <w:vAlign w:val="center"/>
            <w:hideMark/>
          </w:tcPr>
          <w:p w14:paraId="5CADCF28"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Contrato de prestación de servicios profesionales como coordinador de los programas sociales para el desarrollo de una política social en el </w:t>
            </w:r>
            <w:r w:rsidR="000D2916">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 - Putumayo.</w:t>
            </w:r>
          </w:p>
        </w:tc>
        <w:tc>
          <w:tcPr>
            <w:tcW w:w="4771" w:type="dxa"/>
            <w:vMerge w:val="restart"/>
            <w:tcBorders>
              <w:top w:val="nil"/>
              <w:left w:val="single" w:sz="4" w:space="0" w:color="auto"/>
              <w:bottom w:val="single" w:sz="4" w:space="0" w:color="000000"/>
              <w:right w:val="single" w:sz="4" w:space="0" w:color="auto"/>
            </w:tcBorders>
            <w:shd w:val="clear" w:color="auto" w:fill="auto"/>
            <w:vAlign w:val="center"/>
            <w:hideMark/>
          </w:tcPr>
          <w:p w14:paraId="12F1273F" w14:textId="77777777" w:rsidR="000D2916"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Realizar el apoyo profesional</w:t>
            </w:r>
            <w:r w:rsidR="000D2916">
              <w:rPr>
                <w:rFonts w:eastAsia="Times New Roman" w:cs="Arial"/>
                <w:color w:val="000000"/>
                <w:sz w:val="18"/>
                <w:szCs w:val="18"/>
                <w:lang w:val="es-CO" w:eastAsia="es-CO"/>
              </w:rPr>
              <w:t xml:space="preserve"> </w:t>
            </w:r>
            <w:r w:rsidRPr="00FB27C3">
              <w:rPr>
                <w:rFonts w:eastAsia="Times New Roman" w:cs="Arial"/>
                <w:color w:val="000000"/>
                <w:sz w:val="18"/>
                <w:szCs w:val="18"/>
                <w:lang w:val="es-CO" w:eastAsia="es-CO"/>
              </w:rPr>
              <w:t xml:space="preserve">en las diferentes actividades con carácter social y comunitario que se definan para el bienestar de diferentes sectores sociales del </w:t>
            </w:r>
            <w:r w:rsidR="000D2916">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p>
          <w:p w14:paraId="487B5D13" w14:textId="77777777" w:rsidR="000D2916"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Apoyar a la gestión y desarrollo de los programas de infancia, adolescencia, mujer equidad de</w:t>
            </w:r>
            <w:r w:rsidR="000D2916">
              <w:rPr>
                <w:rFonts w:eastAsia="Times New Roman" w:cs="Arial"/>
                <w:color w:val="000000"/>
                <w:sz w:val="18"/>
                <w:szCs w:val="18"/>
                <w:lang w:val="es-CO" w:eastAsia="es-CO"/>
              </w:rPr>
              <w:t xml:space="preserve"> </w:t>
            </w:r>
            <w:r w:rsidRPr="00FB27C3">
              <w:rPr>
                <w:rFonts w:eastAsia="Times New Roman" w:cs="Arial"/>
                <w:color w:val="000000"/>
                <w:sz w:val="18"/>
                <w:szCs w:val="18"/>
                <w:lang w:val="es-CO" w:eastAsia="es-CO"/>
              </w:rPr>
              <w:t>género, discapacidad.</w:t>
            </w:r>
          </w:p>
          <w:p w14:paraId="3FAE7CCA" w14:textId="77777777" w:rsidR="00965FB3" w:rsidRPr="00FB27C3" w:rsidRDefault="00965FB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Coordinar y hacer seguimiento a los consejos municipales de política social.</w:t>
            </w:r>
          </w:p>
        </w:tc>
        <w:tc>
          <w:tcPr>
            <w:tcW w:w="0" w:type="auto"/>
            <w:vAlign w:val="center"/>
            <w:hideMark/>
          </w:tcPr>
          <w:p w14:paraId="23F637E3"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4191D4CE" w14:textId="77777777" w:rsidTr="004663BF">
        <w:trPr>
          <w:trHeight w:val="231"/>
          <w:jc w:val="center"/>
        </w:trPr>
        <w:tc>
          <w:tcPr>
            <w:tcW w:w="0" w:type="auto"/>
            <w:vMerge/>
            <w:tcBorders>
              <w:top w:val="nil"/>
              <w:left w:val="single" w:sz="4" w:space="0" w:color="auto"/>
              <w:bottom w:val="single" w:sz="4" w:space="0" w:color="auto"/>
              <w:right w:val="single" w:sz="4" w:space="0" w:color="auto"/>
            </w:tcBorders>
            <w:vAlign w:val="center"/>
            <w:hideMark/>
          </w:tcPr>
          <w:p w14:paraId="79087926" w14:textId="77777777" w:rsidR="00965FB3" w:rsidRPr="00FB27C3" w:rsidRDefault="00965FB3">
            <w:pPr>
              <w:spacing w:after="0" w:line="240" w:lineRule="auto"/>
              <w:contextualSpacing/>
              <w:jc w:val="center"/>
              <w:rPr>
                <w:rFonts w:eastAsia="Times New Roman" w:cs="Arial"/>
                <w:b/>
                <w:bCs/>
                <w:color w:val="FFFFFF"/>
                <w:sz w:val="18"/>
                <w:szCs w:val="18"/>
                <w:lang w:val="es-CO" w:eastAsia="es-CO"/>
              </w:rPr>
            </w:pPr>
          </w:p>
        </w:tc>
        <w:tc>
          <w:tcPr>
            <w:tcW w:w="3592" w:type="dxa"/>
            <w:vMerge/>
            <w:tcBorders>
              <w:top w:val="nil"/>
              <w:left w:val="single" w:sz="4" w:space="0" w:color="auto"/>
              <w:bottom w:val="single" w:sz="4" w:space="0" w:color="000000"/>
              <w:right w:val="single" w:sz="4" w:space="0" w:color="auto"/>
            </w:tcBorders>
            <w:vAlign w:val="center"/>
            <w:hideMark/>
          </w:tcPr>
          <w:p w14:paraId="551C8DFB"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4771" w:type="dxa"/>
            <w:vMerge/>
            <w:tcBorders>
              <w:top w:val="nil"/>
              <w:left w:val="single" w:sz="4" w:space="0" w:color="auto"/>
              <w:bottom w:val="single" w:sz="4" w:space="0" w:color="000000"/>
              <w:right w:val="single" w:sz="4" w:space="0" w:color="auto"/>
            </w:tcBorders>
            <w:vAlign w:val="center"/>
            <w:hideMark/>
          </w:tcPr>
          <w:p w14:paraId="437FB4AB"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tcBorders>
              <w:top w:val="nil"/>
              <w:left w:val="nil"/>
              <w:bottom w:val="nil"/>
              <w:right w:val="nil"/>
            </w:tcBorders>
            <w:shd w:val="clear" w:color="auto" w:fill="auto"/>
            <w:noWrap/>
            <w:vAlign w:val="center"/>
            <w:hideMark/>
          </w:tcPr>
          <w:p w14:paraId="1542DFD6"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r>
      <w:tr w:rsidR="00965FB3" w:rsidRPr="007B1B1C" w14:paraId="71875921"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129DC84B"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92" w:type="dxa"/>
            <w:tcBorders>
              <w:top w:val="nil"/>
              <w:left w:val="nil"/>
              <w:bottom w:val="single" w:sz="4" w:space="0" w:color="auto"/>
              <w:right w:val="single" w:sz="4" w:space="0" w:color="auto"/>
            </w:tcBorders>
            <w:shd w:val="clear" w:color="auto" w:fill="auto"/>
            <w:noWrap/>
            <w:vAlign w:val="center"/>
            <w:hideMark/>
          </w:tcPr>
          <w:p w14:paraId="4A199679" w14:textId="77777777" w:rsidR="00965FB3" w:rsidRPr="00FB27C3" w:rsidRDefault="009628F1">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Yina Viviana Jaramillo Lozada</w:t>
            </w:r>
          </w:p>
        </w:tc>
        <w:tc>
          <w:tcPr>
            <w:tcW w:w="4771" w:type="dxa"/>
            <w:vMerge/>
            <w:tcBorders>
              <w:top w:val="nil"/>
              <w:left w:val="single" w:sz="4" w:space="0" w:color="auto"/>
              <w:bottom w:val="single" w:sz="4" w:space="0" w:color="000000"/>
              <w:right w:val="single" w:sz="4" w:space="0" w:color="auto"/>
            </w:tcBorders>
            <w:vAlign w:val="center"/>
            <w:hideMark/>
          </w:tcPr>
          <w:p w14:paraId="52AE86C2"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0C74A269"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3700B4EE"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70732FA9"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92" w:type="dxa"/>
            <w:tcBorders>
              <w:top w:val="nil"/>
              <w:left w:val="nil"/>
              <w:bottom w:val="single" w:sz="4" w:space="0" w:color="auto"/>
              <w:right w:val="single" w:sz="4" w:space="0" w:color="auto"/>
            </w:tcBorders>
            <w:shd w:val="clear" w:color="auto" w:fill="auto"/>
            <w:noWrap/>
            <w:vAlign w:val="center"/>
            <w:hideMark/>
          </w:tcPr>
          <w:p w14:paraId="0DF85D29"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$12.500.000</w:t>
            </w:r>
          </w:p>
        </w:tc>
        <w:tc>
          <w:tcPr>
            <w:tcW w:w="4771" w:type="dxa"/>
            <w:vMerge/>
            <w:tcBorders>
              <w:top w:val="nil"/>
              <w:left w:val="single" w:sz="4" w:space="0" w:color="auto"/>
              <w:bottom w:val="single" w:sz="4" w:space="0" w:color="000000"/>
              <w:right w:val="single" w:sz="4" w:space="0" w:color="auto"/>
            </w:tcBorders>
            <w:vAlign w:val="center"/>
            <w:hideMark/>
          </w:tcPr>
          <w:p w14:paraId="0C1A9DA1"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741DD1A6"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r w:rsidR="00965FB3" w:rsidRPr="007B1B1C" w14:paraId="53FCCC69" w14:textId="77777777" w:rsidTr="004663BF">
        <w:trPr>
          <w:trHeight w:val="231"/>
          <w:jc w:val="center"/>
        </w:trPr>
        <w:tc>
          <w:tcPr>
            <w:tcW w:w="0" w:type="auto"/>
            <w:tcBorders>
              <w:top w:val="nil"/>
              <w:left w:val="single" w:sz="4" w:space="0" w:color="auto"/>
              <w:bottom w:val="single" w:sz="4" w:space="0" w:color="auto"/>
              <w:right w:val="single" w:sz="4" w:space="0" w:color="auto"/>
            </w:tcBorders>
            <w:shd w:val="clear" w:color="000000" w:fill="666699"/>
            <w:vAlign w:val="center"/>
            <w:hideMark/>
          </w:tcPr>
          <w:p w14:paraId="3129F065" w14:textId="77777777" w:rsidR="00965FB3" w:rsidRPr="00FB27C3" w:rsidRDefault="00965FB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92" w:type="dxa"/>
            <w:tcBorders>
              <w:top w:val="nil"/>
              <w:left w:val="nil"/>
              <w:bottom w:val="single" w:sz="4" w:space="0" w:color="auto"/>
              <w:right w:val="single" w:sz="4" w:space="0" w:color="auto"/>
            </w:tcBorders>
            <w:shd w:val="clear" w:color="auto" w:fill="auto"/>
            <w:noWrap/>
            <w:vAlign w:val="center"/>
            <w:hideMark/>
          </w:tcPr>
          <w:p w14:paraId="30F815AE"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meses</w:t>
            </w:r>
          </w:p>
        </w:tc>
        <w:tc>
          <w:tcPr>
            <w:tcW w:w="4771" w:type="dxa"/>
            <w:vMerge/>
            <w:tcBorders>
              <w:top w:val="nil"/>
              <w:left w:val="single" w:sz="4" w:space="0" w:color="auto"/>
              <w:bottom w:val="single" w:sz="4" w:space="0" w:color="000000"/>
              <w:right w:val="single" w:sz="4" w:space="0" w:color="auto"/>
            </w:tcBorders>
            <w:vAlign w:val="center"/>
            <w:hideMark/>
          </w:tcPr>
          <w:p w14:paraId="38647686" w14:textId="77777777" w:rsidR="00965FB3" w:rsidRPr="00FB27C3" w:rsidRDefault="00965FB3">
            <w:pPr>
              <w:spacing w:after="0" w:line="240" w:lineRule="auto"/>
              <w:contextualSpacing/>
              <w:jc w:val="center"/>
              <w:rPr>
                <w:rFonts w:eastAsia="Times New Roman" w:cs="Arial"/>
                <w:color w:val="000000"/>
                <w:sz w:val="18"/>
                <w:szCs w:val="18"/>
                <w:lang w:val="es-CO" w:eastAsia="es-CO"/>
              </w:rPr>
            </w:pPr>
          </w:p>
        </w:tc>
        <w:tc>
          <w:tcPr>
            <w:tcW w:w="0" w:type="auto"/>
            <w:vAlign w:val="center"/>
            <w:hideMark/>
          </w:tcPr>
          <w:p w14:paraId="0123C302" w14:textId="77777777" w:rsidR="00965FB3" w:rsidRPr="00FB27C3" w:rsidRDefault="00965FB3">
            <w:pPr>
              <w:spacing w:after="0" w:line="240" w:lineRule="auto"/>
              <w:contextualSpacing/>
              <w:jc w:val="center"/>
              <w:rPr>
                <w:rFonts w:ascii="Times New Roman" w:eastAsia="Times New Roman" w:hAnsi="Times New Roman" w:cs="Times New Roman"/>
                <w:sz w:val="18"/>
                <w:szCs w:val="18"/>
                <w:lang w:val="es-CO" w:eastAsia="es-CO"/>
              </w:rPr>
            </w:pPr>
          </w:p>
        </w:tc>
      </w:tr>
    </w:tbl>
    <w:p w14:paraId="243ACA30" w14:textId="77777777" w:rsidR="00965FB3" w:rsidRPr="00FB27C3" w:rsidRDefault="00965FB3" w:rsidP="00286F4A">
      <w:pPr>
        <w:spacing w:line="240" w:lineRule="auto"/>
        <w:contextualSpacing/>
        <w:jc w:val="center"/>
        <w:rPr>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7E6B63E8" w14:textId="77777777" w:rsidR="00965FB3" w:rsidRDefault="00965FB3">
      <w:pPr>
        <w:spacing w:line="240" w:lineRule="auto"/>
        <w:contextualSpacing/>
        <w:jc w:val="both"/>
        <w:rPr>
          <w:rFonts w:eastAsia="Arial" w:cs="Arial"/>
        </w:rPr>
      </w:pPr>
    </w:p>
    <w:p w14:paraId="78E4BEA1" w14:textId="77777777" w:rsidR="00965FB3" w:rsidRDefault="00965FB3">
      <w:pPr>
        <w:spacing w:line="240" w:lineRule="auto"/>
        <w:contextualSpacing/>
        <w:jc w:val="both"/>
        <w:rPr>
          <w:rFonts w:eastAsia="Arial" w:cs="Arial"/>
        </w:rPr>
      </w:pPr>
      <w:r>
        <w:rPr>
          <w:rFonts w:eastAsia="Arial" w:cs="Arial"/>
        </w:rPr>
        <w:t>Los contratos</w:t>
      </w:r>
      <w:r w:rsidRPr="6D53D0E7">
        <w:rPr>
          <w:rFonts w:eastAsia="Arial" w:cs="Arial"/>
        </w:rPr>
        <w:t xml:space="preserve"> anteriormente mencionados se encuentran financiados con recursos de Libre Inversión</w:t>
      </w:r>
      <w:r>
        <w:rPr>
          <w:rFonts w:eastAsia="Arial" w:cs="Arial"/>
        </w:rPr>
        <w:t xml:space="preserve"> de acuerdo con los </w:t>
      </w:r>
      <w:r w:rsidR="000D2916">
        <w:rPr>
          <w:rFonts w:eastAsia="Arial" w:cs="Arial"/>
        </w:rPr>
        <w:t>r</w:t>
      </w:r>
      <w:r>
        <w:rPr>
          <w:rFonts w:eastAsia="Arial" w:cs="Arial"/>
        </w:rPr>
        <w:t xml:space="preserve">egistros </w:t>
      </w:r>
      <w:r w:rsidR="000D2916">
        <w:rPr>
          <w:rFonts w:eastAsia="Arial" w:cs="Arial"/>
        </w:rPr>
        <w:t>p</w:t>
      </w:r>
      <w:r>
        <w:rPr>
          <w:rFonts w:eastAsia="Arial" w:cs="Arial"/>
        </w:rPr>
        <w:t xml:space="preserve">resupuestales y los códigos de la </w:t>
      </w:r>
      <w:r w:rsidR="000D2916">
        <w:rPr>
          <w:rFonts w:eastAsia="Arial" w:cs="Arial"/>
        </w:rPr>
        <w:t>e</w:t>
      </w:r>
      <w:r>
        <w:rPr>
          <w:rFonts w:eastAsia="Arial" w:cs="Arial"/>
        </w:rPr>
        <w:t xml:space="preserve">jecución </w:t>
      </w:r>
      <w:r w:rsidR="000D2916">
        <w:rPr>
          <w:rFonts w:eastAsia="Arial" w:cs="Arial"/>
        </w:rPr>
        <w:t>p</w:t>
      </w:r>
      <w:r>
        <w:rPr>
          <w:rFonts w:eastAsia="Arial" w:cs="Arial"/>
        </w:rPr>
        <w:t>resupuestal bajo l</w:t>
      </w:r>
      <w:r w:rsidR="009D6AE4">
        <w:rPr>
          <w:rFonts w:eastAsia="Arial" w:cs="Arial"/>
        </w:rPr>
        <w:t>os</w:t>
      </w:r>
      <w:r>
        <w:rPr>
          <w:rFonts w:eastAsia="Arial" w:cs="Arial"/>
        </w:rPr>
        <w:t xml:space="preserve"> que se amparan. C</w:t>
      </w:r>
      <w:r w:rsidRPr="6D53D0E7">
        <w:rPr>
          <w:rFonts w:eastAsia="Arial" w:cs="Arial"/>
        </w:rPr>
        <w:t xml:space="preserve">omo </w:t>
      </w:r>
      <w:r>
        <w:rPr>
          <w:rFonts w:eastAsia="Arial" w:cs="Arial"/>
        </w:rPr>
        <w:t xml:space="preserve">se </w:t>
      </w:r>
      <w:r w:rsidRPr="6D53D0E7">
        <w:rPr>
          <w:rFonts w:eastAsia="Arial" w:cs="Arial"/>
        </w:rPr>
        <w:t xml:space="preserve">muestra </w:t>
      </w:r>
      <w:r>
        <w:rPr>
          <w:rFonts w:eastAsia="Arial" w:cs="Arial"/>
        </w:rPr>
        <w:t xml:space="preserve">en </w:t>
      </w:r>
      <w:r w:rsidRPr="6D53D0E7">
        <w:rPr>
          <w:rFonts w:eastAsia="Arial" w:cs="Arial"/>
        </w:rPr>
        <w:t>el cuadro anterior, las actividades contempladas en estos contrato</w:t>
      </w:r>
      <w:r>
        <w:rPr>
          <w:rFonts w:eastAsia="Arial" w:cs="Arial"/>
        </w:rPr>
        <w:t>s son de tipo administrativo</w:t>
      </w:r>
      <w:r w:rsidRPr="6D53D0E7">
        <w:rPr>
          <w:rFonts w:eastAsia="Arial" w:cs="Arial"/>
        </w:rPr>
        <w:t xml:space="preserve"> y soportan el funcionamiento del </w:t>
      </w:r>
      <w:r w:rsidR="000D2916">
        <w:rPr>
          <w:rFonts w:eastAsia="Arial" w:cs="Arial"/>
        </w:rPr>
        <w:t>M</w:t>
      </w:r>
      <w:r w:rsidRPr="6D53D0E7">
        <w:rPr>
          <w:rFonts w:eastAsia="Arial" w:cs="Arial"/>
        </w:rPr>
        <w:t>unicipio</w:t>
      </w:r>
      <w:r>
        <w:rPr>
          <w:rFonts w:eastAsia="Arial" w:cs="Arial"/>
        </w:rPr>
        <w:t xml:space="preserve">. </w:t>
      </w:r>
      <w:r w:rsidRPr="6D53D0E7">
        <w:rPr>
          <w:rFonts w:eastAsia="Arial" w:cs="Arial"/>
        </w:rPr>
        <w:t xml:space="preserve">En ese orden de ideas, </w:t>
      </w:r>
      <w:r w:rsidR="000D2916">
        <w:rPr>
          <w:rFonts w:eastAsia="Arial" w:cs="Arial"/>
        </w:rPr>
        <w:t>la Entidad Territorial</w:t>
      </w:r>
      <w:r>
        <w:rPr>
          <w:rFonts w:eastAsia="Arial" w:cs="Arial"/>
        </w:rPr>
        <w:t xml:space="preserve"> </w:t>
      </w:r>
      <w:r w:rsidRPr="6D53D0E7">
        <w:rPr>
          <w:rFonts w:eastAsia="Arial" w:cs="Arial"/>
        </w:rPr>
        <w:t>está destinando recursos de Libre Inversión en gastos de funcionamiento</w:t>
      </w:r>
      <w:r>
        <w:rPr>
          <w:rFonts w:eastAsia="Arial" w:cs="Arial"/>
        </w:rPr>
        <w:t>, lo cual</w:t>
      </w:r>
      <w:r w:rsidRPr="6D53D0E7">
        <w:rPr>
          <w:rFonts w:eastAsia="Arial" w:cs="Arial"/>
        </w:rPr>
        <w:t xml:space="preserve"> va en contravía del marco legal </w:t>
      </w:r>
      <w:r>
        <w:rPr>
          <w:rFonts w:eastAsia="Arial" w:cs="Arial"/>
        </w:rPr>
        <w:t xml:space="preserve">relacionado con la inversión en el </w:t>
      </w:r>
      <w:r w:rsidR="000D2916">
        <w:rPr>
          <w:rFonts w:eastAsia="Arial" w:cs="Arial"/>
        </w:rPr>
        <w:t>S</w:t>
      </w:r>
      <w:r>
        <w:rPr>
          <w:rFonts w:eastAsia="Arial" w:cs="Arial"/>
        </w:rPr>
        <w:t>ector de Fortalecimiento Institucional</w:t>
      </w:r>
      <w:r w:rsidRPr="6D53D0E7">
        <w:rPr>
          <w:rFonts w:eastAsia="Arial" w:cs="Arial"/>
        </w:rPr>
        <w:t>.</w:t>
      </w:r>
    </w:p>
    <w:p w14:paraId="7A72105C" w14:textId="77777777" w:rsidR="00965FB3" w:rsidRDefault="00965FB3">
      <w:pPr>
        <w:spacing w:line="240" w:lineRule="auto"/>
        <w:contextualSpacing/>
        <w:jc w:val="both"/>
        <w:rPr>
          <w:rFonts w:eastAsia="Arial" w:cs="Arial"/>
        </w:rPr>
      </w:pPr>
    </w:p>
    <w:p w14:paraId="04EA8C97" w14:textId="77777777" w:rsidR="00965FB3" w:rsidRDefault="009D6AE4">
      <w:pPr>
        <w:spacing w:line="240" w:lineRule="auto"/>
        <w:contextualSpacing/>
        <w:jc w:val="both"/>
        <w:rPr>
          <w:rFonts w:eastAsia="Arial" w:cs="Arial"/>
        </w:rPr>
      </w:pPr>
      <w:r>
        <w:rPr>
          <w:rFonts w:eastAsia="Arial" w:cs="Arial"/>
        </w:rPr>
        <w:t>L</w:t>
      </w:r>
      <w:r w:rsidR="00965FB3">
        <w:rPr>
          <w:rFonts w:eastAsia="Arial" w:cs="Arial"/>
        </w:rPr>
        <w:t>os contratos relacionados en el cuadro</w:t>
      </w:r>
      <w:r w:rsidR="000D2916">
        <w:rPr>
          <w:rFonts w:eastAsia="Arial" w:cs="Arial"/>
        </w:rPr>
        <w:t xml:space="preserve"> anterior</w:t>
      </w:r>
      <w:r w:rsidR="00965FB3">
        <w:rPr>
          <w:rFonts w:eastAsia="Arial" w:cs="Arial"/>
        </w:rPr>
        <w:t xml:space="preserve"> se encuentran enmarcados en proyectos de inversión estructurados y viabilizados a través del Banco de Programas y Proyectos de Inversión Municipal</w:t>
      </w:r>
      <w:r w:rsidR="000D2916">
        <w:rPr>
          <w:rFonts w:eastAsia="Arial" w:cs="Arial"/>
        </w:rPr>
        <w:t xml:space="preserve"> - BPIM</w:t>
      </w:r>
      <w:r w:rsidR="00965FB3">
        <w:rPr>
          <w:rFonts w:eastAsia="Arial" w:cs="Arial"/>
        </w:rPr>
        <w:t xml:space="preserve">, asociados al </w:t>
      </w:r>
      <w:r w:rsidR="000D2916">
        <w:rPr>
          <w:rFonts w:eastAsia="Arial" w:cs="Arial"/>
        </w:rPr>
        <w:t>S</w:t>
      </w:r>
      <w:r w:rsidR="00965FB3">
        <w:rPr>
          <w:rFonts w:eastAsia="Arial" w:cs="Arial"/>
        </w:rPr>
        <w:t xml:space="preserve">ector de Fortalecimiento Institucional y bajo el rubro presupuestal de </w:t>
      </w:r>
      <w:r w:rsidR="00965FB3" w:rsidRPr="00295D53">
        <w:rPr>
          <w:rFonts w:eastAsia="Arial" w:cs="Arial"/>
          <w:i/>
          <w:iCs/>
        </w:rPr>
        <w:t>“Procesos Integrales de evaluación institucional y reorganización administrativa”</w:t>
      </w:r>
      <w:r w:rsidR="00965FB3">
        <w:rPr>
          <w:rFonts w:eastAsia="Arial" w:cs="Arial"/>
          <w:i/>
          <w:iCs/>
        </w:rPr>
        <w:t xml:space="preserve">. </w:t>
      </w:r>
      <w:r w:rsidR="00965FB3">
        <w:rPr>
          <w:rFonts w:eastAsia="Arial" w:cs="Arial"/>
        </w:rPr>
        <w:t>Sin embargo, al analizar el contenido del proyecto que soporta a dichos contratos y particularmente las actividades que desempeña el personal contratado</w:t>
      </w:r>
      <w:r>
        <w:rPr>
          <w:rFonts w:eastAsia="Arial" w:cs="Arial"/>
        </w:rPr>
        <w:t>,</w:t>
      </w:r>
      <w:r w:rsidR="00965FB3">
        <w:rPr>
          <w:rFonts w:eastAsia="Arial" w:cs="Arial"/>
        </w:rPr>
        <w:t xml:space="preserve"> se puede evidenciar que no se trata de</w:t>
      </w:r>
      <w:r>
        <w:rPr>
          <w:rFonts w:eastAsia="Arial" w:cs="Arial"/>
        </w:rPr>
        <w:t xml:space="preserve"> gastos considerables como</w:t>
      </w:r>
      <w:r w:rsidR="00965FB3">
        <w:rPr>
          <w:rFonts w:eastAsia="Arial" w:cs="Arial"/>
        </w:rPr>
        <w:t xml:space="preserve"> inversión, sino de actividades que debe adelantar la </w:t>
      </w:r>
      <w:r w:rsidR="000D2916">
        <w:rPr>
          <w:rFonts w:eastAsia="Arial" w:cs="Arial"/>
        </w:rPr>
        <w:t>A</w:t>
      </w:r>
      <w:r w:rsidR="00965FB3">
        <w:rPr>
          <w:rFonts w:eastAsia="Arial" w:cs="Arial"/>
        </w:rPr>
        <w:t xml:space="preserve">dministración </w:t>
      </w:r>
      <w:r w:rsidR="000D2916">
        <w:rPr>
          <w:rFonts w:eastAsia="Arial" w:cs="Arial"/>
        </w:rPr>
        <w:t>T</w:t>
      </w:r>
      <w:r w:rsidR="00965FB3">
        <w:rPr>
          <w:rFonts w:eastAsia="Arial" w:cs="Arial"/>
        </w:rPr>
        <w:t>erritorial como parte de sus funciones continuas, las cuales no materializan un cambio de una situación identificada como problemática o una necesidad de la población</w:t>
      </w:r>
      <w:r w:rsidR="00965FB3">
        <w:rPr>
          <w:rStyle w:val="Refdenotaalpie"/>
          <w:rFonts w:eastAsia="Arial" w:cs="Arial"/>
        </w:rPr>
        <w:footnoteReference w:id="15"/>
      </w:r>
      <w:r w:rsidR="00965FB3">
        <w:rPr>
          <w:rFonts w:eastAsia="Arial" w:cs="Arial"/>
        </w:rPr>
        <w:t xml:space="preserve">, sino que </w:t>
      </w:r>
      <w:r>
        <w:rPr>
          <w:rFonts w:eastAsia="Arial" w:cs="Arial"/>
        </w:rPr>
        <w:t>pretenden</w:t>
      </w:r>
      <w:r w:rsidR="00965FB3">
        <w:rPr>
          <w:rFonts w:eastAsia="Arial" w:cs="Arial"/>
        </w:rPr>
        <w:t xml:space="preserve"> suplir un vacío </w:t>
      </w:r>
      <w:r>
        <w:rPr>
          <w:rFonts w:eastAsia="Arial" w:cs="Arial"/>
        </w:rPr>
        <w:t xml:space="preserve">en la estructura administrativa </w:t>
      </w:r>
      <w:r w:rsidR="00965FB3">
        <w:rPr>
          <w:rFonts w:eastAsia="Arial" w:cs="Arial"/>
        </w:rPr>
        <w:t>para desempeñar dichas actividades.</w:t>
      </w:r>
    </w:p>
    <w:p w14:paraId="35203760" w14:textId="77777777" w:rsidR="00965FB3" w:rsidRPr="00C264A0" w:rsidRDefault="00965FB3">
      <w:pPr>
        <w:spacing w:line="240" w:lineRule="auto"/>
        <w:contextualSpacing/>
        <w:jc w:val="both"/>
        <w:rPr>
          <w:rFonts w:eastAsia="Arial" w:cs="Arial"/>
        </w:rPr>
      </w:pPr>
    </w:p>
    <w:p w14:paraId="2FF93265" w14:textId="77777777" w:rsidR="00965FB3" w:rsidRDefault="00965FB3">
      <w:pPr>
        <w:spacing w:line="240" w:lineRule="auto"/>
        <w:contextualSpacing/>
        <w:jc w:val="both"/>
        <w:rPr>
          <w:rFonts w:eastAsia="Arial" w:cs="Arial"/>
        </w:rPr>
      </w:pPr>
      <w:r>
        <w:rPr>
          <w:rFonts w:eastAsia="Arial" w:cs="Arial"/>
        </w:rPr>
        <w:t xml:space="preserve">Para el caso particular del </w:t>
      </w:r>
      <w:r w:rsidR="000D2916">
        <w:rPr>
          <w:rFonts w:eastAsia="Arial" w:cs="Arial"/>
        </w:rPr>
        <w:t>C</w:t>
      </w:r>
      <w:r>
        <w:rPr>
          <w:rFonts w:eastAsia="Arial" w:cs="Arial"/>
        </w:rPr>
        <w:t>ontrato CPS-08</w:t>
      </w:r>
      <w:r w:rsidR="009D6AE4">
        <w:rPr>
          <w:rFonts w:eastAsia="Arial" w:cs="Arial"/>
        </w:rPr>
        <w:t>9</w:t>
      </w:r>
      <w:r>
        <w:rPr>
          <w:rFonts w:eastAsia="Arial" w:cs="Arial"/>
        </w:rPr>
        <w:t>-2018</w:t>
      </w:r>
      <w:r w:rsidR="009D6AE4">
        <w:rPr>
          <w:rFonts w:eastAsia="Arial" w:cs="Arial"/>
        </w:rPr>
        <w:t>,</w:t>
      </w:r>
      <w:r>
        <w:rPr>
          <w:rFonts w:eastAsia="Arial" w:cs="Arial"/>
        </w:rPr>
        <w:t xml:space="preserve"> cuyo objeto es </w:t>
      </w:r>
      <w:r w:rsidRPr="00004B0B">
        <w:rPr>
          <w:rFonts w:eastAsia="Arial" w:cs="Arial"/>
          <w:i/>
          <w:iCs/>
        </w:rPr>
        <w:t>“Contratar los servicios de apoyo al seguimiento a la política fiscal y la cobranza del Municipio de Leguízamo”</w:t>
      </w:r>
      <w:r w:rsidR="009D6AE4">
        <w:rPr>
          <w:rFonts w:eastAsia="Arial" w:cs="Arial"/>
          <w:i/>
          <w:iCs/>
        </w:rPr>
        <w:t>,</w:t>
      </w:r>
      <w:r w:rsidRPr="00004B0B">
        <w:rPr>
          <w:rFonts w:eastAsia="Arial" w:cs="Arial"/>
          <w:i/>
          <w:iCs/>
        </w:rPr>
        <w:t xml:space="preserve"> </w:t>
      </w:r>
      <w:r>
        <w:rPr>
          <w:rFonts w:eastAsia="Arial" w:cs="Arial"/>
        </w:rPr>
        <w:t>se evidencia que</w:t>
      </w:r>
      <w:r w:rsidR="000361F5">
        <w:rPr>
          <w:rFonts w:eastAsia="Arial" w:cs="Arial"/>
        </w:rPr>
        <w:t>,</w:t>
      </w:r>
      <w:r>
        <w:rPr>
          <w:rFonts w:eastAsia="Arial" w:cs="Arial"/>
        </w:rPr>
        <w:t xml:space="preserve"> en el expediente remitido, así como en la relación de contratos</w:t>
      </w:r>
      <w:r w:rsidR="009D6AE4">
        <w:rPr>
          <w:rFonts w:eastAsia="Arial" w:cs="Arial"/>
        </w:rPr>
        <w:t>,</w:t>
      </w:r>
      <w:r>
        <w:rPr>
          <w:rFonts w:eastAsia="Arial" w:cs="Arial"/>
        </w:rPr>
        <w:t xml:space="preserve"> no se evidencia ningún proyecto de inversión que lo soporte. Además, en los estudios previos la necesidad para contratar al personal administrativo de cobro coactivo </w:t>
      </w:r>
      <w:r>
        <w:rPr>
          <w:rFonts w:eastAsia="Arial" w:cs="Arial"/>
        </w:rPr>
        <w:lastRenderedPageBreak/>
        <w:t xml:space="preserve">y persuasivo surge de la baja capacidad de generación de recursos propios derivados de los impuestos municipales, pero el contratista no ofrece un servicio relacionado con el fortalecimiento de las capacidades institucionales de recaudo tributario, sino que </w:t>
      </w:r>
      <w:r w:rsidR="009D6AE4">
        <w:rPr>
          <w:rFonts w:eastAsia="Arial" w:cs="Arial"/>
        </w:rPr>
        <w:t xml:space="preserve">se vincula </w:t>
      </w:r>
      <w:r>
        <w:rPr>
          <w:rFonts w:eastAsia="Arial" w:cs="Arial"/>
        </w:rPr>
        <w:t>para desempeñar las funciones propias de cobro por concepto de cartera de los diferentes tributos municipales. Esta actividad es</w:t>
      </w:r>
      <w:r w:rsidR="000361F5">
        <w:rPr>
          <w:rFonts w:eastAsia="Arial" w:cs="Arial"/>
        </w:rPr>
        <w:t>,</w:t>
      </w:r>
      <w:r>
        <w:rPr>
          <w:rFonts w:eastAsia="Arial" w:cs="Arial"/>
        </w:rPr>
        <w:t xml:space="preserve"> por lo tanto</w:t>
      </w:r>
      <w:r w:rsidR="009D6AE4">
        <w:rPr>
          <w:rFonts w:eastAsia="Arial" w:cs="Arial"/>
        </w:rPr>
        <w:t>,</w:t>
      </w:r>
      <w:r>
        <w:rPr>
          <w:rFonts w:eastAsia="Arial" w:cs="Arial"/>
        </w:rPr>
        <w:t xml:space="preserve"> una función permanente del </w:t>
      </w:r>
      <w:r w:rsidR="000D2916">
        <w:rPr>
          <w:rFonts w:eastAsia="Arial" w:cs="Arial"/>
        </w:rPr>
        <w:t>M</w:t>
      </w:r>
      <w:r>
        <w:rPr>
          <w:rFonts w:eastAsia="Arial" w:cs="Arial"/>
        </w:rPr>
        <w:t>unicipio.</w:t>
      </w:r>
    </w:p>
    <w:p w14:paraId="060F2257" w14:textId="77777777" w:rsidR="00965FB3" w:rsidRPr="004F15B0" w:rsidRDefault="00965FB3">
      <w:pPr>
        <w:spacing w:line="240" w:lineRule="auto"/>
        <w:contextualSpacing/>
        <w:jc w:val="both"/>
        <w:rPr>
          <w:rFonts w:eastAsia="Arial" w:cs="Arial"/>
        </w:rPr>
      </w:pPr>
    </w:p>
    <w:p w14:paraId="0DA50853" w14:textId="77777777" w:rsidR="00965FB3" w:rsidRPr="004F15B0" w:rsidRDefault="00965FB3">
      <w:pPr>
        <w:spacing w:line="240" w:lineRule="auto"/>
        <w:contextualSpacing/>
        <w:jc w:val="both"/>
        <w:rPr>
          <w:rFonts w:eastAsia="Arial" w:cs="Arial"/>
        </w:rPr>
      </w:pPr>
      <w:r w:rsidRPr="004F15B0">
        <w:rPr>
          <w:rFonts w:eastAsia="Arial" w:cs="Arial"/>
        </w:rPr>
        <w:t xml:space="preserve">Esta misma situación sucede en el </w:t>
      </w:r>
      <w:r w:rsidR="000D2916">
        <w:rPr>
          <w:rFonts w:eastAsia="Arial" w:cs="Arial"/>
        </w:rPr>
        <w:t>C</w:t>
      </w:r>
      <w:r w:rsidRPr="004F15B0">
        <w:rPr>
          <w:rFonts w:eastAsia="Arial" w:cs="Arial"/>
        </w:rPr>
        <w:t xml:space="preserve">ontrato CPS-080-2018 con objeto </w:t>
      </w:r>
      <w:r w:rsidRPr="004F15B0">
        <w:rPr>
          <w:rFonts w:eastAsia="Arial" w:cs="Arial"/>
          <w:i/>
          <w:iCs/>
        </w:rPr>
        <w:t>“</w:t>
      </w:r>
      <w:r w:rsidRPr="004F15B0">
        <w:rPr>
          <w:rFonts w:eastAsia="Times New Roman" w:cs="Arial"/>
          <w:i/>
          <w:iCs/>
          <w:color w:val="000000"/>
          <w:lang w:val="es-CO" w:eastAsia="es-CO"/>
        </w:rPr>
        <w:t>Contratar los servicios profesionales de un contador público - Municipio de Leguízamo”</w:t>
      </w:r>
      <w:r w:rsidRPr="004F15B0">
        <w:rPr>
          <w:rFonts w:eastAsia="Times New Roman" w:cs="Arial"/>
          <w:color w:val="000000"/>
          <w:lang w:val="es-CO" w:eastAsia="es-CO"/>
        </w:rPr>
        <w:t xml:space="preserve">, el cual no tiene tampoco un proyecto de inversión asociado y cuyas actividades son propias del funcionamiento de la </w:t>
      </w:r>
      <w:r w:rsidR="000D2916">
        <w:rPr>
          <w:rFonts w:eastAsia="Times New Roman" w:cs="Arial"/>
          <w:color w:val="000000"/>
          <w:lang w:val="es-CO" w:eastAsia="es-CO"/>
        </w:rPr>
        <w:t>E</w:t>
      </w:r>
      <w:r w:rsidRPr="004F15B0">
        <w:rPr>
          <w:rFonts w:eastAsia="Times New Roman" w:cs="Arial"/>
          <w:color w:val="000000"/>
          <w:lang w:val="es-CO" w:eastAsia="es-CO"/>
        </w:rPr>
        <w:t>ntidad</w:t>
      </w:r>
      <w:r w:rsidR="0060269D">
        <w:rPr>
          <w:rFonts w:eastAsia="Times New Roman" w:cs="Arial"/>
          <w:color w:val="000000"/>
          <w:lang w:val="es-CO" w:eastAsia="es-CO"/>
        </w:rPr>
        <w:t>. A</w:t>
      </w:r>
      <w:r w:rsidRPr="004F15B0">
        <w:rPr>
          <w:rFonts w:eastAsia="Times New Roman" w:cs="Arial"/>
          <w:color w:val="000000"/>
          <w:lang w:val="es-CO" w:eastAsia="es-CO"/>
        </w:rPr>
        <w:t xml:space="preserve"> pesar de esto</w:t>
      </w:r>
      <w:r w:rsidR="0060269D">
        <w:rPr>
          <w:rFonts w:eastAsia="Times New Roman" w:cs="Arial"/>
          <w:color w:val="000000"/>
          <w:lang w:val="es-CO" w:eastAsia="es-CO"/>
        </w:rPr>
        <w:t>,</w:t>
      </w:r>
      <w:r w:rsidRPr="004F15B0">
        <w:rPr>
          <w:rFonts w:eastAsia="Times New Roman" w:cs="Arial"/>
          <w:color w:val="000000"/>
          <w:lang w:val="es-CO" w:eastAsia="es-CO"/>
        </w:rPr>
        <w:t xml:space="preserve"> el </w:t>
      </w:r>
      <w:r w:rsidR="00EB1D55">
        <w:rPr>
          <w:rFonts w:eastAsia="Times New Roman" w:cs="Arial"/>
          <w:color w:val="000000"/>
          <w:lang w:val="es-CO" w:eastAsia="es-CO"/>
        </w:rPr>
        <w:t>r</w:t>
      </w:r>
      <w:r w:rsidRPr="004F15B0">
        <w:rPr>
          <w:rFonts w:eastAsia="Times New Roman" w:cs="Arial"/>
          <w:color w:val="000000"/>
          <w:lang w:val="es-CO" w:eastAsia="es-CO"/>
        </w:rPr>
        <w:t xml:space="preserve">egistro </w:t>
      </w:r>
      <w:r w:rsidR="00EB1D55">
        <w:rPr>
          <w:rFonts w:eastAsia="Times New Roman" w:cs="Arial"/>
          <w:color w:val="000000"/>
          <w:lang w:val="es-CO" w:eastAsia="es-CO"/>
        </w:rPr>
        <w:t>p</w:t>
      </w:r>
      <w:r w:rsidRPr="004F15B0">
        <w:rPr>
          <w:rFonts w:eastAsia="Times New Roman" w:cs="Arial"/>
          <w:color w:val="000000"/>
          <w:lang w:val="es-CO" w:eastAsia="es-CO"/>
        </w:rPr>
        <w:t xml:space="preserve">resupuestal y el código del rubro presupuestal está asociado al Sector Fortalecimiento Institucional. </w:t>
      </w:r>
      <w:r>
        <w:rPr>
          <w:rFonts w:eastAsia="Times New Roman" w:cs="Arial"/>
          <w:color w:val="000000"/>
          <w:lang w:val="es-CO" w:eastAsia="es-CO"/>
        </w:rPr>
        <w:t xml:space="preserve">Igualmente, el </w:t>
      </w:r>
      <w:r w:rsidR="00EB1D55">
        <w:rPr>
          <w:rFonts w:eastAsia="Times New Roman" w:cs="Arial"/>
          <w:color w:val="000000"/>
          <w:lang w:val="es-CO" w:eastAsia="es-CO"/>
        </w:rPr>
        <w:t>C</w:t>
      </w:r>
      <w:r>
        <w:rPr>
          <w:rFonts w:eastAsia="Times New Roman" w:cs="Arial"/>
          <w:color w:val="000000"/>
          <w:lang w:val="es-CO" w:eastAsia="es-CO"/>
        </w:rPr>
        <w:t xml:space="preserve">ontrato </w:t>
      </w:r>
      <w:r w:rsidRPr="004F15B0">
        <w:rPr>
          <w:rFonts w:eastAsia="Times New Roman" w:cs="Arial"/>
          <w:color w:val="000000"/>
          <w:lang w:val="es-CO" w:eastAsia="es-CO"/>
        </w:rPr>
        <w:t>PS-MC-025-2018</w:t>
      </w:r>
      <w:r>
        <w:rPr>
          <w:rFonts w:eastAsia="Times New Roman" w:cs="Arial"/>
          <w:color w:val="000000"/>
          <w:lang w:val="es-CO" w:eastAsia="es-CO"/>
        </w:rPr>
        <w:t xml:space="preserve"> cuyo objeto es similar al anterior</w:t>
      </w:r>
      <w:r w:rsidR="0060269D">
        <w:rPr>
          <w:rFonts w:eastAsia="Times New Roman" w:cs="Arial"/>
          <w:color w:val="000000"/>
          <w:lang w:val="es-CO" w:eastAsia="es-CO"/>
        </w:rPr>
        <w:t>,</w:t>
      </w:r>
      <w:r>
        <w:rPr>
          <w:rFonts w:eastAsia="Times New Roman" w:cs="Arial"/>
          <w:color w:val="000000"/>
          <w:lang w:val="es-CO" w:eastAsia="es-CO"/>
        </w:rPr>
        <w:t xml:space="preserve"> </w:t>
      </w:r>
      <w:r w:rsidRPr="004F15B0">
        <w:rPr>
          <w:rFonts w:eastAsia="Times New Roman" w:cs="Arial"/>
          <w:i/>
          <w:iCs/>
          <w:color w:val="000000"/>
          <w:lang w:val="es-CO" w:eastAsia="es-CO"/>
        </w:rPr>
        <w:t>“Contratar los servicios profesionales para el desarrollo de procesos y procedimientos financieros y contables para la administración municipal de Leguízamo Putumayo Amazonía”</w:t>
      </w:r>
      <w:r>
        <w:rPr>
          <w:rFonts w:eastAsia="Times New Roman" w:cs="Arial"/>
          <w:i/>
          <w:iCs/>
          <w:color w:val="000000"/>
          <w:lang w:val="es-CO" w:eastAsia="es-CO"/>
        </w:rPr>
        <w:t xml:space="preserve">, </w:t>
      </w:r>
      <w:r>
        <w:rPr>
          <w:rFonts w:eastAsia="Times New Roman" w:cs="Arial"/>
          <w:color w:val="000000"/>
          <w:lang w:val="es-CO" w:eastAsia="es-CO"/>
        </w:rPr>
        <w:t xml:space="preserve">presenta actividades relacionadas con la gestión de información contable de la </w:t>
      </w:r>
      <w:r w:rsidR="00EB1D55">
        <w:rPr>
          <w:rFonts w:eastAsia="Times New Roman" w:cs="Arial"/>
          <w:color w:val="000000"/>
          <w:lang w:val="es-CO" w:eastAsia="es-CO"/>
        </w:rPr>
        <w:t>E</w:t>
      </w:r>
      <w:r>
        <w:rPr>
          <w:rFonts w:eastAsia="Times New Roman" w:cs="Arial"/>
          <w:color w:val="000000"/>
          <w:lang w:val="es-CO" w:eastAsia="es-CO"/>
        </w:rPr>
        <w:t xml:space="preserve">ntidad </w:t>
      </w:r>
      <w:r w:rsidR="00EB1D55">
        <w:rPr>
          <w:rFonts w:eastAsia="Times New Roman" w:cs="Arial"/>
          <w:color w:val="000000"/>
          <w:lang w:val="es-CO" w:eastAsia="es-CO"/>
        </w:rPr>
        <w:t>T</w:t>
      </w:r>
      <w:r>
        <w:rPr>
          <w:rFonts w:eastAsia="Times New Roman" w:cs="Arial"/>
          <w:color w:val="000000"/>
          <w:lang w:val="es-CO" w:eastAsia="es-CO"/>
        </w:rPr>
        <w:t xml:space="preserve">erritorial, la cual no corresponde con un proceso de fortalecimiento de la capacidad de su administración, sino a suplir unas funciones que no se pueden atender con el personal disponible. </w:t>
      </w:r>
      <w:r w:rsidRPr="004F15B0">
        <w:rPr>
          <w:rFonts w:eastAsia="Times New Roman" w:cs="Arial"/>
          <w:color w:val="000000"/>
          <w:lang w:val="es-CO" w:eastAsia="es-CO"/>
        </w:rPr>
        <w:t xml:space="preserve">Esto evidencia una malinterpretación de la normatividad relacionada con la inversión en el </w:t>
      </w:r>
      <w:r w:rsidR="00EB1D55">
        <w:rPr>
          <w:rFonts w:eastAsia="Times New Roman" w:cs="Arial"/>
          <w:color w:val="000000"/>
          <w:lang w:val="es-CO" w:eastAsia="es-CO"/>
        </w:rPr>
        <w:t>S</w:t>
      </w:r>
      <w:r w:rsidRPr="004F15B0">
        <w:rPr>
          <w:rFonts w:eastAsia="Times New Roman" w:cs="Arial"/>
          <w:color w:val="000000"/>
          <w:lang w:val="es-CO" w:eastAsia="es-CO"/>
        </w:rPr>
        <w:t>ector de Fortalecimiento Institucional.</w:t>
      </w:r>
    </w:p>
    <w:p w14:paraId="0F3D0BC8" w14:textId="77777777" w:rsidR="00965FB3" w:rsidRDefault="00965FB3">
      <w:pPr>
        <w:spacing w:line="240" w:lineRule="auto"/>
        <w:contextualSpacing/>
        <w:jc w:val="both"/>
      </w:pPr>
    </w:p>
    <w:p w14:paraId="33F9B0E7" w14:textId="77777777" w:rsidR="00965FB3" w:rsidRDefault="00965FB3">
      <w:pPr>
        <w:spacing w:line="240" w:lineRule="auto"/>
        <w:contextualSpacing/>
        <w:jc w:val="both"/>
      </w:pPr>
      <w:r>
        <w:t xml:space="preserve">En cuanto a los </w:t>
      </w:r>
      <w:r w:rsidR="00EB1D55">
        <w:t>C</w:t>
      </w:r>
      <w:r>
        <w:t xml:space="preserve">ontratos </w:t>
      </w:r>
      <w:r w:rsidRPr="00FE462C">
        <w:t>CPS-059-2019</w:t>
      </w:r>
      <w:r>
        <w:t xml:space="preserve"> y </w:t>
      </w:r>
      <w:r w:rsidRPr="00FE462C">
        <w:t>CPS-044-2020</w:t>
      </w:r>
      <w:r>
        <w:t xml:space="preserve">, los cuales se relacionan con actividades de supervisión y seguimiento al desempeño del </w:t>
      </w:r>
      <w:r w:rsidR="00EB1D55">
        <w:t>R</w:t>
      </w:r>
      <w:r>
        <w:t xml:space="preserve">égimen </w:t>
      </w:r>
      <w:r w:rsidR="00EB1D55">
        <w:t>S</w:t>
      </w:r>
      <w:r>
        <w:t xml:space="preserve">ubsidiado de </w:t>
      </w:r>
      <w:r w:rsidR="00EB1D55">
        <w:t>S</w:t>
      </w:r>
      <w:r>
        <w:t>alud, entre las cuales se encuentran</w:t>
      </w:r>
      <w:r w:rsidR="00EB1D55">
        <w:t>;</w:t>
      </w:r>
      <w:r>
        <w:t xml:space="preserve"> por ejemplo, ejercer el control y vigilancia a las EPS e IPS que prestan los </w:t>
      </w:r>
      <w:r w:rsidR="00EB1D55">
        <w:t>S</w:t>
      </w:r>
      <w:r>
        <w:t xml:space="preserve">ervicios de </w:t>
      </w:r>
      <w:r w:rsidR="00EB1D55">
        <w:t>S</w:t>
      </w:r>
      <w:r>
        <w:t xml:space="preserve">alud en el </w:t>
      </w:r>
      <w:r w:rsidR="00EB1D55">
        <w:t>M</w:t>
      </w:r>
      <w:r>
        <w:t xml:space="preserve">unicipio, así como apoyar las labores administrativas relacionadas con el seguimiento financiero a la ejecución de la política de salud en la </w:t>
      </w:r>
      <w:r w:rsidR="00EB1D55">
        <w:t>E</w:t>
      </w:r>
      <w:r>
        <w:t xml:space="preserve">ntidad </w:t>
      </w:r>
      <w:r w:rsidR="00EB1D55">
        <w:t>T</w:t>
      </w:r>
      <w:r>
        <w:t>erritorial,</w:t>
      </w:r>
      <w:r w:rsidRPr="00EF584C">
        <w:t xml:space="preserve"> a pesar de que cuenta con un proyecto de inversión</w:t>
      </w:r>
      <w:r w:rsidR="0060269D">
        <w:t>,</w:t>
      </w:r>
      <w:r w:rsidRPr="00EF584C">
        <w:t xml:space="preserve"> este se relaciona con la contratación de una persona que preste servicios permanentes y apoye las funciones de la Secretaría de </w:t>
      </w:r>
      <w:r w:rsidR="0060269D">
        <w:t>S</w:t>
      </w:r>
      <w:r w:rsidRPr="00EF584C">
        <w:t>alud atendiendo a sus usuarios, por lo tanto</w:t>
      </w:r>
      <w:r w:rsidR="007E2990">
        <w:t>,</w:t>
      </w:r>
      <w:r w:rsidRPr="00EF584C">
        <w:t xml:space="preserve"> no puede entenderse como </w:t>
      </w:r>
      <w:r w:rsidR="0060269D">
        <w:t xml:space="preserve">un gasto de </w:t>
      </w:r>
      <w:r w:rsidR="00EB1D55">
        <w:t>i</w:t>
      </w:r>
      <w:r w:rsidRPr="00EF584C">
        <w:t>nversión.</w:t>
      </w:r>
      <w:r w:rsidR="0060269D">
        <w:t xml:space="preserve"> </w:t>
      </w:r>
      <w:r>
        <w:t xml:space="preserve">Por lo tanto, no se encuentran acciones encaminadas a mejorar las condiciones de salud de la población o la capacidad de gestión institucional </w:t>
      </w:r>
      <w:r w:rsidR="0060269D">
        <w:t>den la</w:t>
      </w:r>
      <w:r>
        <w:t xml:space="preserve"> prestación del </w:t>
      </w:r>
      <w:r w:rsidR="00EB1D55">
        <w:t>S</w:t>
      </w:r>
      <w:r>
        <w:t>ervicio, sino a garantizar la operatividad del sistema</w:t>
      </w:r>
      <w:r w:rsidR="0060269D">
        <w:t>, lo</w:t>
      </w:r>
      <w:r>
        <w:t xml:space="preserve"> que no </w:t>
      </w:r>
      <w:r w:rsidR="0060269D">
        <w:t>puede considerarse</w:t>
      </w:r>
      <w:r>
        <w:t xml:space="preserve"> inversión en el </w:t>
      </w:r>
      <w:r w:rsidR="00EB1D55">
        <w:t>S</w:t>
      </w:r>
      <w:r>
        <w:t xml:space="preserve">ector </w:t>
      </w:r>
      <w:r w:rsidR="00EB1D55">
        <w:t>S</w:t>
      </w:r>
      <w:r>
        <w:t xml:space="preserve">alud, para lo cual el </w:t>
      </w:r>
      <w:r w:rsidR="00EB1D55">
        <w:t>M</w:t>
      </w:r>
      <w:r>
        <w:t>unicipio debería financiar las actividades con cargo a sus Ingresos Corrientes de Libre Destinación.</w:t>
      </w:r>
    </w:p>
    <w:p w14:paraId="0D045F12" w14:textId="77777777" w:rsidR="00965FB3" w:rsidRDefault="00965FB3">
      <w:pPr>
        <w:spacing w:line="240" w:lineRule="auto"/>
        <w:contextualSpacing/>
        <w:jc w:val="both"/>
      </w:pPr>
    </w:p>
    <w:p w14:paraId="7BBFDE26" w14:textId="77777777" w:rsidR="00965FB3" w:rsidRPr="00561214" w:rsidRDefault="00965FB3">
      <w:pPr>
        <w:spacing w:line="240" w:lineRule="auto"/>
        <w:contextualSpacing/>
        <w:jc w:val="both"/>
      </w:pPr>
      <w:r>
        <w:t xml:space="preserve">Por su parte, el </w:t>
      </w:r>
      <w:r w:rsidR="00EB1D55">
        <w:t>C</w:t>
      </w:r>
      <w:r>
        <w:t xml:space="preserve">ontrato </w:t>
      </w:r>
      <w:r w:rsidRPr="00FD0E4A">
        <w:t>CPS-021-2019</w:t>
      </w:r>
      <w:r>
        <w:t xml:space="preserve"> con objeto </w:t>
      </w:r>
      <w:r w:rsidRPr="00561214">
        <w:rPr>
          <w:i/>
          <w:iCs/>
        </w:rPr>
        <w:t>“Contratar la prestación de servicios de apoyo técnico para el fortalecimiento en el desarrollo de las acciones administrativas de la gestión pública en el municipio de Leguízamo, departamento del Putumayo”</w:t>
      </w:r>
      <w:r>
        <w:rPr>
          <w:i/>
          <w:iCs/>
        </w:rPr>
        <w:t xml:space="preserve"> </w:t>
      </w:r>
      <w:r>
        <w:t xml:space="preserve">evidencia actividades que son de apoyo a la gestión de la Secretaría de Planeación del </w:t>
      </w:r>
      <w:r w:rsidR="00EB1D55">
        <w:t>M</w:t>
      </w:r>
      <w:r>
        <w:t>unicipio</w:t>
      </w:r>
      <w:r w:rsidR="00C4161B">
        <w:t>.</w:t>
      </w:r>
    </w:p>
    <w:p w14:paraId="0ABA42E1" w14:textId="77777777" w:rsidR="00965FB3" w:rsidRDefault="00965FB3">
      <w:pPr>
        <w:spacing w:line="240" w:lineRule="auto"/>
        <w:contextualSpacing/>
        <w:jc w:val="both"/>
      </w:pPr>
    </w:p>
    <w:p w14:paraId="26A47AF2" w14:textId="77777777" w:rsidR="00965FB3" w:rsidRDefault="00965FB3">
      <w:pPr>
        <w:spacing w:line="240" w:lineRule="auto"/>
        <w:contextualSpacing/>
        <w:jc w:val="both"/>
      </w:pPr>
      <w:r>
        <w:t xml:space="preserve">De igual manera, en los </w:t>
      </w:r>
      <w:r w:rsidR="00EB1D55">
        <w:t>C</w:t>
      </w:r>
      <w:r>
        <w:t xml:space="preserve">ontratos CPS-023-2019 y CPS-076-2020, cuyos objetos son </w:t>
      </w:r>
      <w:r w:rsidRPr="00CD7530">
        <w:rPr>
          <w:i/>
          <w:iCs/>
        </w:rPr>
        <w:t>“Contratar la prestación de servicios profesionales como fortalecimiento a la Secretaría de Planeación en el proceso de titulación y legalización de predios en el municipio de Leguízamo”</w:t>
      </w:r>
      <w:r>
        <w:t xml:space="preserve"> y “</w:t>
      </w:r>
      <w:r w:rsidRPr="00CD7530">
        <w:rPr>
          <w:i/>
          <w:iCs/>
        </w:rPr>
        <w:t xml:space="preserve">Prestación de servicios de apoyo tecnológico para la legalización de predios, diseño y elaboración de planos para el fortalecimiento de los procesos de la Secretaría de Planeación del municipio de Leguízamo, departamento del Putumayo” </w:t>
      </w:r>
      <w:r>
        <w:t xml:space="preserve">respectivamente, se evidencia que a pesar de que se formula un proyecto de inversión que soporta la contratación, la naturaleza del objetivo general es la contratación de personal que desarrolle las actividades en las cuales el </w:t>
      </w:r>
      <w:r w:rsidR="00EB1D55">
        <w:t>M</w:t>
      </w:r>
      <w:r>
        <w:t xml:space="preserve">unicipio presenta deficiencias </w:t>
      </w:r>
      <w:r>
        <w:lastRenderedPageBreak/>
        <w:t>o necesidades, particularmente la planificación y estructuración de proyectos de infraestructura, procesos de titulación de predios y la digitalización de la administración para garantizar la publicidad y transparencia de la gestión municipal.</w:t>
      </w:r>
    </w:p>
    <w:p w14:paraId="0F0D5B27" w14:textId="77777777" w:rsidR="00571E80" w:rsidRDefault="00571E80">
      <w:pPr>
        <w:spacing w:line="240" w:lineRule="auto"/>
        <w:contextualSpacing/>
        <w:jc w:val="both"/>
      </w:pPr>
    </w:p>
    <w:p w14:paraId="0E6E945A" w14:textId="77777777" w:rsidR="00571E80" w:rsidRDefault="00571E80">
      <w:pPr>
        <w:spacing w:line="240" w:lineRule="auto"/>
        <w:contextualSpacing/>
        <w:jc w:val="both"/>
      </w:pPr>
      <w:r>
        <w:t xml:space="preserve">A esto se suma la poca relación entre el objeto contractual y las actividades que se evidencian en los informes de ejecución, las cuales, en el caso del </w:t>
      </w:r>
      <w:r w:rsidR="00EB1D55">
        <w:t>C</w:t>
      </w:r>
      <w:r>
        <w:t xml:space="preserve">ontrato CPS-023 de </w:t>
      </w:r>
      <w:r w:rsidRPr="0098790A">
        <w:t>2019</w:t>
      </w:r>
      <w:r w:rsidR="00C57343">
        <w:t>,</w:t>
      </w:r>
      <w:r w:rsidRPr="0098790A">
        <w:t xml:space="preserve"> se relacionan </w:t>
      </w:r>
      <w:r w:rsidR="00C57343">
        <w:t>con tareas</w:t>
      </w:r>
      <w:r w:rsidR="00C57343" w:rsidRPr="0098790A">
        <w:t xml:space="preserve"> </w:t>
      </w:r>
      <w:r w:rsidRPr="0098790A">
        <w:t xml:space="preserve">como entregar licencias de construcción, realizar planos de obras de infraestructura del </w:t>
      </w:r>
      <w:r w:rsidR="00EB1D55">
        <w:t>M</w:t>
      </w:r>
      <w:r w:rsidRPr="0098790A">
        <w:t xml:space="preserve">unicipio, </w:t>
      </w:r>
      <w:r>
        <w:t xml:space="preserve">prestar </w:t>
      </w:r>
      <w:r w:rsidRPr="0098790A">
        <w:t>asesoría a la comunidad</w:t>
      </w:r>
      <w:r>
        <w:t xml:space="preserve"> en</w:t>
      </w:r>
      <w:r w:rsidRPr="0098790A">
        <w:t xml:space="preserve"> el uso del suelo</w:t>
      </w:r>
      <w:r>
        <w:t>, entre otras</w:t>
      </w:r>
      <w:r w:rsidRPr="0098790A">
        <w:t>.</w:t>
      </w:r>
    </w:p>
    <w:p w14:paraId="433E087A" w14:textId="77777777" w:rsidR="00571E80" w:rsidRDefault="00571E80">
      <w:pPr>
        <w:spacing w:line="240" w:lineRule="auto"/>
        <w:contextualSpacing/>
        <w:jc w:val="both"/>
      </w:pPr>
    </w:p>
    <w:p w14:paraId="3DD80A9C" w14:textId="77777777" w:rsidR="00571E80" w:rsidRDefault="00571E80">
      <w:pPr>
        <w:spacing w:line="240" w:lineRule="auto"/>
        <w:contextualSpacing/>
        <w:jc w:val="both"/>
      </w:pPr>
      <w:r>
        <w:t xml:space="preserve">Por otro lado, en el caso del </w:t>
      </w:r>
      <w:r w:rsidR="00EB1D55">
        <w:t>C</w:t>
      </w:r>
      <w:r>
        <w:t xml:space="preserve">ontrato No. CPS-126-2020 con objeto </w:t>
      </w:r>
      <w:r w:rsidRPr="00FE33DD">
        <w:rPr>
          <w:i/>
          <w:iCs/>
        </w:rPr>
        <w:t>“Contrato de prestación de servicios profesionales como coordinador de los programas sociales para el desarrollo de una política social en el municipio de Leguízamo – Putumayo”</w:t>
      </w:r>
      <w:r w:rsidR="00C57343">
        <w:rPr>
          <w:i/>
          <w:iCs/>
        </w:rPr>
        <w:t>,</w:t>
      </w:r>
      <w:r>
        <w:rPr>
          <w:i/>
          <w:iCs/>
        </w:rPr>
        <w:t xml:space="preserve"> </w:t>
      </w:r>
      <w:r>
        <w:t xml:space="preserve">se presenta la misma confusión de actividades de inversión con funciones de coordinación e implementación de los programas y proyectos de inversión. Esta situación se ve reflejada en que las actividades del </w:t>
      </w:r>
      <w:r w:rsidR="00EB1D55">
        <w:t>C</w:t>
      </w:r>
      <w:r>
        <w:t>ontrato no se traducen directamente en la implementación de los programas sociales</w:t>
      </w:r>
      <w:r w:rsidR="00C57343">
        <w:t>,</w:t>
      </w:r>
      <w:r>
        <w:t xml:space="preserve"> sino en el apoyo y coordinación para llevar a cabo dichos proyectos.</w:t>
      </w:r>
    </w:p>
    <w:p w14:paraId="241BD7CB" w14:textId="77777777" w:rsidR="00571E80" w:rsidRDefault="00571E80">
      <w:pPr>
        <w:spacing w:line="240" w:lineRule="auto"/>
        <w:contextualSpacing/>
        <w:jc w:val="both"/>
      </w:pPr>
    </w:p>
    <w:p w14:paraId="5B324768" w14:textId="77777777" w:rsidR="00C57343" w:rsidRDefault="00571E80">
      <w:pPr>
        <w:spacing w:line="240" w:lineRule="auto"/>
        <w:contextualSpacing/>
        <w:jc w:val="both"/>
      </w:pPr>
      <w:r>
        <w:t xml:space="preserve">A pesar de que se cuenta con un proyecto que soporta el </w:t>
      </w:r>
      <w:r w:rsidR="00EB1D55">
        <w:t>C</w:t>
      </w:r>
      <w:r>
        <w:t xml:space="preserve">ontrato, el cual está asociado al </w:t>
      </w:r>
      <w:r w:rsidR="009934A3">
        <w:t>S</w:t>
      </w:r>
      <w:r>
        <w:t>ector de Atención a Grupos Vulnerables, cabe resaltar que la normatividad es restrictiva frente a la financiación de actividades administrativas con cargo a los recursos de Libre Inversión, ya que lo acota únicamente a la posibilidad de contratar personal para programas que busquen la superación de la pobreza extrema</w:t>
      </w:r>
      <w:r w:rsidR="00C57343">
        <w:t>,</w:t>
      </w:r>
      <w:r>
        <w:t xml:space="preserve"> como por ejemplo</w:t>
      </w:r>
      <w:r w:rsidR="00C57343">
        <w:t>, el programa</w:t>
      </w:r>
      <w:r>
        <w:t xml:space="preserve"> “</w:t>
      </w:r>
      <w:r w:rsidRPr="00FB27C3">
        <w:rPr>
          <w:i/>
          <w:iCs/>
        </w:rPr>
        <w:t>Más Familias en acción</w:t>
      </w:r>
      <w:r>
        <w:t>”</w:t>
      </w:r>
      <w:r w:rsidR="00C57343">
        <w:t>, como lo establece el parágrafo 2° del artículo 78 de la ley 715 de 2001:</w:t>
      </w:r>
    </w:p>
    <w:p w14:paraId="32EA579E" w14:textId="77777777" w:rsidR="00C57343" w:rsidRDefault="00C57343">
      <w:pPr>
        <w:spacing w:line="240" w:lineRule="auto"/>
        <w:contextualSpacing/>
        <w:jc w:val="both"/>
      </w:pPr>
    </w:p>
    <w:p w14:paraId="63302562" w14:textId="77777777" w:rsidR="00C57343" w:rsidRPr="00FB27C3" w:rsidRDefault="00C57343">
      <w:pPr>
        <w:spacing w:line="240" w:lineRule="auto"/>
        <w:ind w:left="709"/>
        <w:contextualSpacing/>
        <w:jc w:val="both"/>
        <w:rPr>
          <w:i/>
          <w:iCs/>
          <w:sz w:val="18"/>
          <w:szCs w:val="18"/>
        </w:rPr>
      </w:pPr>
      <w:r w:rsidRPr="00FB27C3">
        <w:rPr>
          <w:i/>
          <w:iCs/>
          <w:sz w:val="18"/>
          <w:szCs w:val="18"/>
        </w:rPr>
        <w:t>“Con cargo a los recursos de libre inversión de la participación de propósito general y en desarrollo de la competencia de atención a grupos vulnerables de que trata el numeral 11 del artículo 76 de la Ley 715 de 2001, los distritos y municipios podrán cofinanciar los gastos que se requieran para realizar el acompañamiento directo a las familias en el marco de los programas diseñados por el Gobierno Nacional para la superación de la pobreza extrema.”</w:t>
      </w:r>
    </w:p>
    <w:p w14:paraId="49170A66" w14:textId="77777777" w:rsidR="009D3AF7" w:rsidRDefault="009D3AF7">
      <w:pPr>
        <w:spacing w:line="240" w:lineRule="auto"/>
        <w:contextualSpacing/>
        <w:jc w:val="both"/>
        <w:rPr>
          <w:i/>
          <w:iCs/>
        </w:rPr>
      </w:pPr>
    </w:p>
    <w:p w14:paraId="13F6D72E" w14:textId="77777777" w:rsidR="009D3AF7" w:rsidRDefault="009D3AF7">
      <w:pPr>
        <w:spacing w:line="240" w:lineRule="auto"/>
        <w:contextualSpacing/>
        <w:jc w:val="both"/>
      </w:pPr>
      <w:r>
        <w:t xml:space="preserve">Por último, se puede evidenciar cómo el </w:t>
      </w:r>
      <w:r w:rsidR="009934A3">
        <w:t>M</w:t>
      </w:r>
      <w:r>
        <w:t xml:space="preserve">unicipio presenta la misma situación -financiar actividades administrativas con cargo a los recursos de Libre Inversión- en este caso asociadas al </w:t>
      </w:r>
      <w:r w:rsidR="009934A3">
        <w:t>S</w:t>
      </w:r>
      <w:r>
        <w:t xml:space="preserve">ector de Atención a Grupos Vulnerables, específicamente a la población indígena de su jurisdicción. En la información contractual remitida por la </w:t>
      </w:r>
      <w:r w:rsidR="009934A3">
        <w:t>E</w:t>
      </w:r>
      <w:r>
        <w:t xml:space="preserve">ntidad </w:t>
      </w:r>
      <w:r w:rsidR="009934A3">
        <w:t>T</w:t>
      </w:r>
      <w:r>
        <w:t xml:space="preserve">erritorial se identificaron </w:t>
      </w:r>
      <w:r w:rsidR="009934A3">
        <w:t>tres (</w:t>
      </w:r>
      <w:r>
        <w:t>3</w:t>
      </w:r>
      <w:r w:rsidR="009934A3">
        <w:t>)</w:t>
      </w:r>
      <w:r>
        <w:t xml:space="preserve"> contratos relacionados con la prestación de servicios de apoyo a la gestión como coordinador(a) para asuntos indígenas. En la vigencia 2018, el </w:t>
      </w:r>
      <w:r w:rsidR="009934A3">
        <w:t>C</w:t>
      </w:r>
      <w:r>
        <w:t xml:space="preserve">ontrato No. CPS-061-2018 fue registrado en la relación contractual con fuente de financiación SGP </w:t>
      </w:r>
      <w:r w:rsidR="009934A3">
        <w:t xml:space="preserve">- </w:t>
      </w:r>
      <w:r>
        <w:t xml:space="preserve">Propósito General para Libre Destinación. No obstante, en los </w:t>
      </w:r>
      <w:r w:rsidR="009934A3">
        <w:t>C</w:t>
      </w:r>
      <w:r>
        <w:t xml:space="preserve">ontratos No. </w:t>
      </w:r>
      <w:r w:rsidRPr="0007232D">
        <w:t>CPS-079-2019</w:t>
      </w:r>
      <w:r>
        <w:t xml:space="preserve"> y </w:t>
      </w:r>
      <w:r w:rsidRPr="0007232D">
        <w:t>CPS-048-2020</w:t>
      </w:r>
      <w:r>
        <w:t xml:space="preserve">, con igual objeto, se pudo confirmar a través de los </w:t>
      </w:r>
      <w:r w:rsidR="009934A3">
        <w:t>r</w:t>
      </w:r>
      <w:r>
        <w:t xml:space="preserve">egistros </w:t>
      </w:r>
      <w:r w:rsidR="009934A3">
        <w:t>p</w:t>
      </w:r>
      <w:r>
        <w:t xml:space="preserve">resupuestales que se financiaron con cargo al componente de SGP </w:t>
      </w:r>
      <w:r w:rsidR="009934A3">
        <w:t xml:space="preserve">- </w:t>
      </w:r>
      <w:r>
        <w:t>Propósito General para Libre Inversión, a pesar de que sus actividades son de carácter administrativo y continuo para el apoyo como coordinadora indígena.</w:t>
      </w:r>
    </w:p>
    <w:p w14:paraId="7FA9B74E" w14:textId="77777777" w:rsidR="009A01AF" w:rsidRDefault="009A01AF">
      <w:r>
        <w:br w:type="page"/>
      </w:r>
    </w:p>
    <w:p w14:paraId="2CEA22FF" w14:textId="77777777" w:rsidR="009D3AF7" w:rsidRPr="005370C5" w:rsidRDefault="009D3AF7">
      <w:pPr>
        <w:spacing w:after="0" w:line="240" w:lineRule="auto"/>
        <w:contextualSpacing/>
        <w:jc w:val="center"/>
        <w:rPr>
          <w:rFonts w:eastAsia="Arial" w:cs="Arial"/>
          <w:b/>
          <w:bCs/>
          <w:sz w:val="20"/>
          <w:szCs w:val="20"/>
        </w:rPr>
      </w:pPr>
      <w:r w:rsidRPr="005370C5">
        <w:rPr>
          <w:rFonts w:eastAsia="Arial" w:cs="Arial"/>
          <w:b/>
          <w:bCs/>
          <w:sz w:val="20"/>
          <w:szCs w:val="20"/>
        </w:rPr>
        <w:lastRenderedPageBreak/>
        <w:t>Cuadro N</w:t>
      </w:r>
      <w:r>
        <w:rPr>
          <w:rFonts w:eastAsia="Arial" w:cs="Arial"/>
          <w:b/>
          <w:bCs/>
          <w:sz w:val="20"/>
          <w:szCs w:val="20"/>
        </w:rPr>
        <w:t>o.</w:t>
      </w:r>
      <w:r w:rsidRPr="005370C5">
        <w:rPr>
          <w:rFonts w:eastAsia="Arial" w:cs="Arial"/>
          <w:b/>
          <w:bCs/>
          <w:sz w:val="20"/>
          <w:szCs w:val="20"/>
        </w:rPr>
        <w:t xml:space="preserve"> </w:t>
      </w:r>
      <w:r>
        <w:rPr>
          <w:rFonts w:eastAsia="Arial" w:cs="Arial"/>
          <w:b/>
          <w:bCs/>
          <w:sz w:val="20"/>
          <w:szCs w:val="20"/>
        </w:rPr>
        <w:t>3</w:t>
      </w:r>
    </w:p>
    <w:p w14:paraId="2D4D6DA0" w14:textId="77777777" w:rsidR="009D3AF7" w:rsidRDefault="009D3AF7">
      <w:pPr>
        <w:spacing w:after="0" w:line="240" w:lineRule="auto"/>
        <w:contextualSpacing/>
        <w:jc w:val="center"/>
        <w:rPr>
          <w:rFonts w:eastAsia="Arial" w:cs="Arial"/>
          <w:sz w:val="20"/>
          <w:szCs w:val="20"/>
        </w:rPr>
      </w:pPr>
      <w:r>
        <w:rPr>
          <w:rFonts w:eastAsia="Arial" w:cs="Arial"/>
          <w:sz w:val="20"/>
          <w:szCs w:val="20"/>
        </w:rPr>
        <w:t>Contratos de funcionamiento con recursos de Libre Inversión – Coordinador Indígena</w:t>
      </w:r>
    </w:p>
    <w:p w14:paraId="0E735690" w14:textId="77777777" w:rsidR="009D3AF7" w:rsidRPr="00C16E4B" w:rsidRDefault="009D3AF7">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5919" w:type="pct"/>
        <w:jc w:val="center"/>
        <w:tblCellMar>
          <w:left w:w="70" w:type="dxa"/>
          <w:right w:w="70" w:type="dxa"/>
        </w:tblCellMar>
        <w:tblLook w:val="04A0" w:firstRow="1" w:lastRow="0" w:firstColumn="1" w:lastColumn="0" w:noHBand="0" w:noVBand="1"/>
      </w:tblPr>
      <w:tblGrid>
        <w:gridCol w:w="1315"/>
        <w:gridCol w:w="3556"/>
        <w:gridCol w:w="4983"/>
        <w:gridCol w:w="201"/>
      </w:tblGrid>
      <w:tr w:rsidR="009D3AF7" w:rsidRPr="007B1B1C" w14:paraId="61F1D9C3" w14:textId="77777777" w:rsidTr="004663BF">
        <w:trPr>
          <w:gridAfter w:val="1"/>
          <w:wAfter w:w="73" w:type="pct"/>
          <w:trHeight w:val="192"/>
          <w:jc w:val="center"/>
        </w:trPr>
        <w:tc>
          <w:tcPr>
            <w:tcW w:w="663"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79CC9811" w14:textId="77777777" w:rsidR="009D3AF7" w:rsidRPr="00FB27C3" w:rsidRDefault="009D3AF7">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1777" w:type="pct"/>
            <w:tcBorders>
              <w:top w:val="single" w:sz="4" w:space="0" w:color="auto"/>
              <w:left w:val="nil"/>
              <w:bottom w:val="single" w:sz="4" w:space="0" w:color="auto"/>
              <w:right w:val="single" w:sz="4" w:space="0" w:color="auto"/>
            </w:tcBorders>
            <w:shd w:val="clear" w:color="000000" w:fill="CCCCFF"/>
            <w:vAlign w:val="center"/>
            <w:hideMark/>
          </w:tcPr>
          <w:p w14:paraId="38F2C880" w14:textId="77777777" w:rsidR="009D3AF7" w:rsidRPr="00FB27C3" w:rsidRDefault="009D3AF7">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CPS-079-2019</w:t>
            </w:r>
          </w:p>
        </w:tc>
        <w:tc>
          <w:tcPr>
            <w:tcW w:w="2487" w:type="pct"/>
            <w:tcBorders>
              <w:top w:val="single" w:sz="4" w:space="0" w:color="auto"/>
              <w:left w:val="nil"/>
              <w:bottom w:val="single" w:sz="4" w:space="0" w:color="auto"/>
              <w:right w:val="single" w:sz="4" w:space="0" w:color="auto"/>
            </w:tcBorders>
            <w:shd w:val="clear" w:color="000000" w:fill="666699"/>
            <w:vAlign w:val="center"/>
            <w:hideMark/>
          </w:tcPr>
          <w:p w14:paraId="5502A7F2" w14:textId="77777777" w:rsidR="009D3AF7" w:rsidRPr="00FB27C3" w:rsidRDefault="009D3AF7">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9D3AF7" w:rsidRPr="007B1B1C" w14:paraId="6B37D627" w14:textId="77777777" w:rsidTr="004663BF">
        <w:trPr>
          <w:gridAfter w:val="1"/>
          <w:wAfter w:w="73" w:type="pct"/>
          <w:trHeight w:val="433"/>
          <w:jc w:val="center"/>
        </w:trPr>
        <w:tc>
          <w:tcPr>
            <w:tcW w:w="663" w:type="pct"/>
            <w:vMerge w:val="restart"/>
            <w:tcBorders>
              <w:top w:val="nil"/>
              <w:left w:val="single" w:sz="4" w:space="0" w:color="auto"/>
              <w:bottom w:val="single" w:sz="4" w:space="0" w:color="auto"/>
              <w:right w:val="single" w:sz="4" w:space="0" w:color="auto"/>
            </w:tcBorders>
            <w:shd w:val="clear" w:color="000000" w:fill="666699"/>
            <w:vAlign w:val="center"/>
            <w:hideMark/>
          </w:tcPr>
          <w:p w14:paraId="163BE86E" w14:textId="77777777" w:rsidR="009D3AF7" w:rsidRPr="00FB27C3" w:rsidRDefault="009D3AF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1777" w:type="pct"/>
            <w:vMerge w:val="restart"/>
            <w:tcBorders>
              <w:top w:val="nil"/>
              <w:left w:val="single" w:sz="4" w:space="0" w:color="auto"/>
              <w:bottom w:val="single" w:sz="4" w:space="0" w:color="auto"/>
              <w:right w:val="single" w:sz="4" w:space="0" w:color="auto"/>
            </w:tcBorders>
            <w:shd w:val="clear" w:color="auto" w:fill="auto"/>
            <w:vAlign w:val="bottom"/>
            <w:hideMark/>
          </w:tcPr>
          <w:p w14:paraId="13508E98" w14:textId="77777777" w:rsidR="009D3AF7" w:rsidRPr="00FB27C3" w:rsidRDefault="009D3AF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de apoyo a la gestión como coordinadora indígena del </w:t>
            </w:r>
            <w:r w:rsidR="009934A3">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2487" w:type="pct"/>
            <w:vMerge w:val="restart"/>
            <w:tcBorders>
              <w:top w:val="nil"/>
              <w:left w:val="single" w:sz="4" w:space="0" w:color="auto"/>
              <w:bottom w:val="single" w:sz="4" w:space="0" w:color="auto"/>
              <w:right w:val="single" w:sz="4" w:space="0" w:color="auto"/>
            </w:tcBorders>
            <w:shd w:val="clear" w:color="auto" w:fill="auto"/>
            <w:vAlign w:val="bottom"/>
            <w:hideMark/>
          </w:tcPr>
          <w:p w14:paraId="147B0D67" w14:textId="77777777" w:rsidR="009934A3" w:rsidRDefault="009D3AF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Apoyar la formulación de proyectos de inversión que hagan parte de los planes de vida o correspondan a los usos y costumbres de los pueblos indígenas</w:t>
            </w:r>
            <w:r w:rsidR="009934A3">
              <w:rPr>
                <w:rFonts w:eastAsia="Times New Roman" w:cs="Arial"/>
                <w:color w:val="000000"/>
                <w:sz w:val="18"/>
                <w:szCs w:val="18"/>
                <w:lang w:val="es-CO" w:eastAsia="es-CO"/>
              </w:rPr>
              <w:t>.</w:t>
            </w:r>
          </w:p>
          <w:p w14:paraId="4FBDD407" w14:textId="77777777" w:rsidR="009934A3" w:rsidRDefault="009D3AF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Proyectar los contratos que celebran las autoridades de los resguardos y el </w:t>
            </w:r>
            <w:r w:rsidR="009934A3">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lcalde </w:t>
            </w:r>
            <w:r w:rsidR="009934A3">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 para la administración de los recursos de la AESGPRI</w:t>
            </w:r>
            <w:r w:rsidR="009934A3">
              <w:rPr>
                <w:rFonts w:eastAsia="Times New Roman" w:cs="Arial"/>
                <w:color w:val="000000"/>
                <w:sz w:val="18"/>
                <w:szCs w:val="18"/>
                <w:lang w:val="es-CO" w:eastAsia="es-CO"/>
              </w:rPr>
              <w:t>.</w:t>
            </w:r>
          </w:p>
          <w:p w14:paraId="407BDF71" w14:textId="77777777" w:rsidR="009D3AF7" w:rsidRPr="00FB27C3" w:rsidRDefault="009D3AF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Proyectar los estudios previos de los contratos a ejecutarse en virtud del contrato de administración que celebran las autoridades de los resguardos con el </w:t>
            </w:r>
            <w:r w:rsidR="009934A3">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lcalde </w:t>
            </w:r>
            <w:r w:rsidR="009934A3">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w:t>
            </w:r>
            <w:r w:rsidR="009934A3">
              <w:rPr>
                <w:rFonts w:eastAsia="Times New Roman" w:cs="Arial"/>
                <w:color w:val="000000"/>
                <w:sz w:val="18"/>
                <w:szCs w:val="18"/>
                <w:lang w:val="es-CO" w:eastAsia="es-CO"/>
              </w:rPr>
              <w:t>.</w:t>
            </w:r>
          </w:p>
        </w:tc>
      </w:tr>
      <w:tr w:rsidR="009D3AF7" w:rsidRPr="007B1B1C" w14:paraId="54BD4578" w14:textId="77777777" w:rsidTr="004663BF">
        <w:trPr>
          <w:trHeight w:val="358"/>
          <w:jc w:val="center"/>
        </w:trPr>
        <w:tc>
          <w:tcPr>
            <w:tcW w:w="663" w:type="pct"/>
            <w:vMerge/>
            <w:tcBorders>
              <w:top w:val="nil"/>
              <w:left w:val="single" w:sz="4" w:space="0" w:color="auto"/>
              <w:bottom w:val="single" w:sz="4" w:space="0" w:color="auto"/>
              <w:right w:val="single" w:sz="4" w:space="0" w:color="auto"/>
            </w:tcBorders>
            <w:vAlign w:val="center"/>
            <w:hideMark/>
          </w:tcPr>
          <w:p w14:paraId="581F89C8" w14:textId="77777777" w:rsidR="009D3AF7" w:rsidRPr="00FB27C3" w:rsidRDefault="009D3AF7">
            <w:pPr>
              <w:spacing w:after="0" w:line="240" w:lineRule="auto"/>
              <w:contextualSpacing/>
              <w:rPr>
                <w:rFonts w:eastAsia="Times New Roman" w:cs="Arial"/>
                <w:b/>
                <w:bCs/>
                <w:color w:val="FFFFFF"/>
                <w:sz w:val="18"/>
                <w:szCs w:val="18"/>
                <w:lang w:val="es-CO" w:eastAsia="es-CO"/>
              </w:rPr>
            </w:pPr>
          </w:p>
        </w:tc>
        <w:tc>
          <w:tcPr>
            <w:tcW w:w="1777" w:type="pct"/>
            <w:vMerge/>
            <w:tcBorders>
              <w:top w:val="nil"/>
              <w:left w:val="single" w:sz="4" w:space="0" w:color="auto"/>
              <w:bottom w:val="single" w:sz="4" w:space="0" w:color="auto"/>
              <w:right w:val="single" w:sz="4" w:space="0" w:color="auto"/>
            </w:tcBorders>
            <w:vAlign w:val="center"/>
            <w:hideMark/>
          </w:tcPr>
          <w:p w14:paraId="4CF5A1FC"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2487" w:type="pct"/>
            <w:vMerge/>
            <w:tcBorders>
              <w:top w:val="nil"/>
              <w:left w:val="single" w:sz="4" w:space="0" w:color="auto"/>
              <w:bottom w:val="single" w:sz="4" w:space="0" w:color="auto"/>
              <w:right w:val="single" w:sz="4" w:space="0" w:color="auto"/>
            </w:tcBorders>
            <w:vAlign w:val="center"/>
            <w:hideMark/>
          </w:tcPr>
          <w:p w14:paraId="065422B5"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73" w:type="pct"/>
            <w:tcBorders>
              <w:top w:val="nil"/>
              <w:left w:val="nil"/>
              <w:bottom w:val="nil"/>
              <w:right w:val="nil"/>
            </w:tcBorders>
            <w:shd w:val="clear" w:color="auto" w:fill="auto"/>
            <w:noWrap/>
            <w:vAlign w:val="bottom"/>
            <w:hideMark/>
          </w:tcPr>
          <w:p w14:paraId="64C42B48" w14:textId="77777777" w:rsidR="009D3AF7" w:rsidRPr="00FB27C3" w:rsidRDefault="009D3AF7">
            <w:pPr>
              <w:spacing w:after="0" w:line="240" w:lineRule="auto"/>
              <w:contextualSpacing/>
              <w:rPr>
                <w:rFonts w:eastAsia="Times New Roman" w:cs="Arial"/>
                <w:color w:val="000000"/>
                <w:sz w:val="18"/>
                <w:szCs w:val="18"/>
                <w:lang w:val="es-CO" w:eastAsia="es-CO"/>
              </w:rPr>
            </w:pPr>
          </w:p>
        </w:tc>
      </w:tr>
      <w:tr w:rsidR="009D3AF7" w:rsidRPr="007B1B1C" w14:paraId="47D3B2EC" w14:textId="77777777" w:rsidTr="004663BF">
        <w:trPr>
          <w:trHeight w:val="503"/>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7C1EDE0A" w14:textId="77777777" w:rsidR="009D3AF7" w:rsidRPr="00FB27C3" w:rsidRDefault="009D3AF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1777" w:type="pct"/>
            <w:tcBorders>
              <w:top w:val="nil"/>
              <w:left w:val="nil"/>
              <w:bottom w:val="single" w:sz="4" w:space="0" w:color="auto"/>
              <w:right w:val="single" w:sz="4" w:space="0" w:color="auto"/>
            </w:tcBorders>
            <w:shd w:val="clear" w:color="auto" w:fill="auto"/>
            <w:noWrap/>
            <w:vAlign w:val="bottom"/>
            <w:hideMark/>
          </w:tcPr>
          <w:p w14:paraId="4739107B" w14:textId="77777777" w:rsidR="009D3AF7" w:rsidRPr="00FB27C3" w:rsidRDefault="009934A3">
            <w:pPr>
              <w:spacing w:after="0" w:line="240" w:lineRule="auto"/>
              <w:contextualSpacing/>
              <w:jc w:val="center"/>
              <w:rPr>
                <w:rFonts w:eastAsia="Times New Roman" w:cs="Arial"/>
                <w:color w:val="000000"/>
                <w:sz w:val="18"/>
                <w:szCs w:val="18"/>
                <w:lang w:val="es-CO" w:eastAsia="es-CO"/>
              </w:rPr>
            </w:pPr>
            <w:r w:rsidRPr="007B1B1C">
              <w:rPr>
                <w:rFonts w:eastAsia="Times New Roman" w:cs="Arial"/>
                <w:color w:val="000000"/>
                <w:sz w:val="18"/>
                <w:szCs w:val="18"/>
                <w:lang w:val="es-CO" w:eastAsia="es-CO"/>
              </w:rPr>
              <w:t>Aydee Magno Alvarado</w:t>
            </w:r>
          </w:p>
        </w:tc>
        <w:tc>
          <w:tcPr>
            <w:tcW w:w="2487" w:type="pct"/>
            <w:vMerge/>
            <w:tcBorders>
              <w:top w:val="nil"/>
              <w:left w:val="single" w:sz="4" w:space="0" w:color="auto"/>
              <w:bottom w:val="single" w:sz="4" w:space="0" w:color="auto"/>
              <w:right w:val="single" w:sz="4" w:space="0" w:color="auto"/>
            </w:tcBorders>
            <w:vAlign w:val="center"/>
            <w:hideMark/>
          </w:tcPr>
          <w:p w14:paraId="733A196B"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73" w:type="pct"/>
            <w:vAlign w:val="center"/>
            <w:hideMark/>
          </w:tcPr>
          <w:p w14:paraId="16EE1CCD" w14:textId="77777777" w:rsidR="009D3AF7" w:rsidRPr="00FB27C3" w:rsidRDefault="009D3AF7">
            <w:pPr>
              <w:spacing w:after="0" w:line="240" w:lineRule="auto"/>
              <w:contextualSpacing/>
              <w:rPr>
                <w:rFonts w:ascii="Times New Roman" w:eastAsia="Times New Roman" w:hAnsi="Times New Roman" w:cs="Times New Roman"/>
                <w:sz w:val="18"/>
                <w:szCs w:val="18"/>
                <w:lang w:val="es-CO" w:eastAsia="es-CO"/>
              </w:rPr>
            </w:pPr>
          </w:p>
        </w:tc>
      </w:tr>
      <w:tr w:rsidR="009D3AF7" w:rsidRPr="007B1B1C" w14:paraId="09CE2B4B" w14:textId="77777777" w:rsidTr="004663BF">
        <w:trPr>
          <w:trHeight w:val="692"/>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1F83E865" w14:textId="77777777" w:rsidR="009D3AF7" w:rsidRPr="00FB27C3" w:rsidRDefault="009D3AF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1777" w:type="pct"/>
            <w:tcBorders>
              <w:top w:val="nil"/>
              <w:left w:val="nil"/>
              <w:bottom w:val="single" w:sz="4" w:space="0" w:color="auto"/>
              <w:right w:val="single" w:sz="4" w:space="0" w:color="auto"/>
            </w:tcBorders>
            <w:shd w:val="clear" w:color="auto" w:fill="auto"/>
            <w:vAlign w:val="center"/>
            <w:hideMark/>
          </w:tcPr>
          <w:p w14:paraId="22772A4F" w14:textId="77777777" w:rsidR="009D3AF7" w:rsidRPr="00FB27C3" w:rsidRDefault="009D3AF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$6.000.000</w:t>
            </w:r>
          </w:p>
        </w:tc>
        <w:tc>
          <w:tcPr>
            <w:tcW w:w="2487" w:type="pct"/>
            <w:vMerge/>
            <w:tcBorders>
              <w:top w:val="nil"/>
              <w:left w:val="single" w:sz="4" w:space="0" w:color="auto"/>
              <w:bottom w:val="single" w:sz="4" w:space="0" w:color="auto"/>
              <w:right w:val="single" w:sz="4" w:space="0" w:color="auto"/>
            </w:tcBorders>
            <w:vAlign w:val="center"/>
            <w:hideMark/>
          </w:tcPr>
          <w:p w14:paraId="509ED457"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73" w:type="pct"/>
            <w:vAlign w:val="center"/>
            <w:hideMark/>
          </w:tcPr>
          <w:p w14:paraId="7844FDEB" w14:textId="77777777" w:rsidR="009D3AF7" w:rsidRPr="00FB27C3" w:rsidRDefault="009D3AF7">
            <w:pPr>
              <w:spacing w:after="0" w:line="240" w:lineRule="auto"/>
              <w:contextualSpacing/>
              <w:rPr>
                <w:rFonts w:ascii="Times New Roman" w:eastAsia="Times New Roman" w:hAnsi="Times New Roman" w:cs="Times New Roman"/>
                <w:sz w:val="18"/>
                <w:szCs w:val="18"/>
                <w:lang w:val="es-CO" w:eastAsia="es-CO"/>
              </w:rPr>
            </w:pPr>
          </w:p>
        </w:tc>
      </w:tr>
      <w:tr w:rsidR="009D3AF7" w:rsidRPr="007B1B1C" w14:paraId="4669FF54" w14:textId="77777777" w:rsidTr="004663BF">
        <w:trPr>
          <w:trHeight w:val="270"/>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455F86BB" w14:textId="77777777" w:rsidR="009D3AF7" w:rsidRPr="00FB27C3" w:rsidRDefault="009D3AF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1777" w:type="pct"/>
            <w:tcBorders>
              <w:top w:val="nil"/>
              <w:left w:val="nil"/>
              <w:bottom w:val="single" w:sz="4" w:space="0" w:color="auto"/>
              <w:right w:val="single" w:sz="4" w:space="0" w:color="auto"/>
            </w:tcBorders>
            <w:shd w:val="clear" w:color="auto" w:fill="auto"/>
            <w:noWrap/>
            <w:vAlign w:val="bottom"/>
            <w:hideMark/>
          </w:tcPr>
          <w:p w14:paraId="7CC08D65" w14:textId="77777777" w:rsidR="009D3AF7" w:rsidRPr="00FB27C3" w:rsidRDefault="009D3AF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5 meses </w:t>
            </w:r>
          </w:p>
        </w:tc>
        <w:tc>
          <w:tcPr>
            <w:tcW w:w="2487" w:type="pct"/>
            <w:vMerge/>
            <w:tcBorders>
              <w:top w:val="nil"/>
              <w:left w:val="single" w:sz="4" w:space="0" w:color="auto"/>
              <w:bottom w:val="single" w:sz="4" w:space="0" w:color="auto"/>
              <w:right w:val="single" w:sz="4" w:space="0" w:color="auto"/>
            </w:tcBorders>
            <w:vAlign w:val="center"/>
            <w:hideMark/>
          </w:tcPr>
          <w:p w14:paraId="01FD5741"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73" w:type="pct"/>
            <w:vAlign w:val="center"/>
            <w:hideMark/>
          </w:tcPr>
          <w:p w14:paraId="6F08F9F4" w14:textId="77777777" w:rsidR="009D3AF7" w:rsidRPr="00FB27C3" w:rsidRDefault="009D3AF7">
            <w:pPr>
              <w:spacing w:after="0" w:line="240" w:lineRule="auto"/>
              <w:contextualSpacing/>
              <w:rPr>
                <w:rFonts w:ascii="Times New Roman" w:eastAsia="Times New Roman" w:hAnsi="Times New Roman" w:cs="Times New Roman"/>
                <w:sz w:val="18"/>
                <w:szCs w:val="18"/>
                <w:lang w:val="es-CO" w:eastAsia="es-CO"/>
              </w:rPr>
            </w:pPr>
          </w:p>
        </w:tc>
      </w:tr>
      <w:tr w:rsidR="009D3AF7" w:rsidRPr="007B1B1C" w14:paraId="75ED4989" w14:textId="77777777" w:rsidTr="004663BF">
        <w:trPr>
          <w:trHeight w:val="192"/>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6B750378" w14:textId="77777777" w:rsidR="009D3AF7" w:rsidRPr="00FB27C3" w:rsidRDefault="009D3AF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1777" w:type="pct"/>
            <w:tcBorders>
              <w:top w:val="nil"/>
              <w:left w:val="nil"/>
              <w:bottom w:val="single" w:sz="4" w:space="0" w:color="auto"/>
              <w:right w:val="single" w:sz="4" w:space="0" w:color="auto"/>
            </w:tcBorders>
            <w:shd w:val="clear" w:color="000000" w:fill="CCCCFF"/>
            <w:vAlign w:val="center"/>
            <w:hideMark/>
          </w:tcPr>
          <w:p w14:paraId="0312F727" w14:textId="77777777" w:rsidR="009D3AF7" w:rsidRPr="00FB27C3" w:rsidRDefault="009D3AF7">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CPS-048-2020</w:t>
            </w:r>
          </w:p>
        </w:tc>
        <w:tc>
          <w:tcPr>
            <w:tcW w:w="2487" w:type="pct"/>
            <w:tcBorders>
              <w:top w:val="nil"/>
              <w:left w:val="nil"/>
              <w:bottom w:val="single" w:sz="4" w:space="0" w:color="auto"/>
              <w:right w:val="single" w:sz="4" w:space="0" w:color="auto"/>
            </w:tcBorders>
            <w:shd w:val="clear" w:color="000000" w:fill="666699"/>
            <w:vAlign w:val="center"/>
            <w:hideMark/>
          </w:tcPr>
          <w:p w14:paraId="09A03DA8" w14:textId="77777777" w:rsidR="009D3AF7" w:rsidRPr="00FB27C3" w:rsidRDefault="009D3AF7">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73" w:type="pct"/>
            <w:vAlign w:val="center"/>
            <w:hideMark/>
          </w:tcPr>
          <w:p w14:paraId="636A0922" w14:textId="77777777" w:rsidR="009D3AF7" w:rsidRPr="00FB27C3" w:rsidRDefault="009D3AF7">
            <w:pPr>
              <w:spacing w:after="0" w:line="240" w:lineRule="auto"/>
              <w:contextualSpacing/>
              <w:rPr>
                <w:rFonts w:ascii="Times New Roman" w:eastAsia="Times New Roman" w:hAnsi="Times New Roman" w:cs="Times New Roman"/>
                <w:sz w:val="18"/>
                <w:szCs w:val="18"/>
                <w:lang w:val="es-CO" w:eastAsia="es-CO"/>
              </w:rPr>
            </w:pPr>
          </w:p>
        </w:tc>
      </w:tr>
      <w:tr w:rsidR="009D3AF7" w:rsidRPr="007B1B1C" w14:paraId="511140B5" w14:textId="77777777" w:rsidTr="004663BF">
        <w:trPr>
          <w:trHeight w:val="192"/>
          <w:jc w:val="center"/>
        </w:trPr>
        <w:tc>
          <w:tcPr>
            <w:tcW w:w="663" w:type="pct"/>
            <w:vMerge w:val="restart"/>
            <w:tcBorders>
              <w:top w:val="nil"/>
              <w:left w:val="single" w:sz="4" w:space="0" w:color="auto"/>
              <w:bottom w:val="single" w:sz="4" w:space="0" w:color="auto"/>
              <w:right w:val="single" w:sz="4" w:space="0" w:color="auto"/>
            </w:tcBorders>
            <w:shd w:val="clear" w:color="000000" w:fill="666699"/>
            <w:vAlign w:val="center"/>
            <w:hideMark/>
          </w:tcPr>
          <w:p w14:paraId="2B2B08C7" w14:textId="77777777" w:rsidR="009D3AF7" w:rsidRPr="00FB27C3" w:rsidRDefault="009D3AF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1777" w:type="pct"/>
            <w:vMerge w:val="restart"/>
            <w:tcBorders>
              <w:top w:val="nil"/>
              <w:left w:val="single" w:sz="4" w:space="0" w:color="auto"/>
              <w:bottom w:val="single" w:sz="4" w:space="0" w:color="auto"/>
              <w:right w:val="single" w:sz="4" w:space="0" w:color="auto"/>
            </w:tcBorders>
            <w:shd w:val="clear" w:color="auto" w:fill="auto"/>
            <w:vAlign w:val="bottom"/>
            <w:hideMark/>
          </w:tcPr>
          <w:p w14:paraId="2CFC8573" w14:textId="77777777" w:rsidR="009D3AF7" w:rsidRPr="00FB27C3" w:rsidRDefault="009D3AF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Contratar los servicios de apoyo a la gestión como coordinador indígena del </w:t>
            </w:r>
            <w:r w:rsidR="009934A3">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2487" w:type="pct"/>
            <w:vMerge w:val="restart"/>
            <w:tcBorders>
              <w:top w:val="nil"/>
              <w:left w:val="single" w:sz="4" w:space="0" w:color="auto"/>
              <w:bottom w:val="single" w:sz="4" w:space="0" w:color="auto"/>
              <w:right w:val="single" w:sz="4" w:space="0" w:color="auto"/>
            </w:tcBorders>
            <w:shd w:val="clear" w:color="auto" w:fill="auto"/>
            <w:vAlign w:val="bottom"/>
            <w:hideMark/>
          </w:tcPr>
          <w:p w14:paraId="6E98475E" w14:textId="77777777" w:rsidR="009934A3" w:rsidRDefault="009D3AF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Apoyar la formulación de proyectos de inversión que hagan parte de los planes de vida o correspondan a los usos y costumbres de los pueblos indígenas</w:t>
            </w:r>
            <w:r w:rsidR="009934A3">
              <w:rPr>
                <w:rFonts w:eastAsia="Times New Roman" w:cs="Arial"/>
                <w:color w:val="000000"/>
                <w:sz w:val="18"/>
                <w:szCs w:val="18"/>
                <w:lang w:val="es-CO" w:eastAsia="es-CO"/>
              </w:rPr>
              <w:t>.</w:t>
            </w:r>
          </w:p>
          <w:p w14:paraId="62F6E2FF" w14:textId="77777777" w:rsidR="009934A3" w:rsidRDefault="009D3AF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Proyectar los contratos que celebran las autoridades de los resguardos y el </w:t>
            </w:r>
            <w:r w:rsidR="009934A3">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lcalde </w:t>
            </w:r>
            <w:r w:rsidR="009934A3">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 para la administración de los recursos de la AESGPRI</w:t>
            </w:r>
            <w:r w:rsidR="009934A3">
              <w:rPr>
                <w:rFonts w:eastAsia="Times New Roman" w:cs="Arial"/>
                <w:color w:val="000000"/>
                <w:sz w:val="18"/>
                <w:szCs w:val="18"/>
                <w:lang w:val="es-CO" w:eastAsia="es-CO"/>
              </w:rPr>
              <w:t>.</w:t>
            </w:r>
          </w:p>
          <w:p w14:paraId="346F4899" w14:textId="77777777" w:rsidR="009D3AF7" w:rsidRPr="00FB27C3" w:rsidRDefault="009D3AF7">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Proyectar los estudios previos de los contratos a ejecutarse en virtud del contrato de administración que celebran las autoridades de los resguardos con el </w:t>
            </w:r>
            <w:r w:rsidR="009934A3">
              <w:rPr>
                <w:rFonts w:eastAsia="Times New Roman" w:cs="Arial"/>
                <w:color w:val="000000"/>
                <w:sz w:val="18"/>
                <w:szCs w:val="18"/>
                <w:lang w:val="es-CO" w:eastAsia="es-CO"/>
              </w:rPr>
              <w:t>A</w:t>
            </w:r>
            <w:r w:rsidRPr="00FB27C3">
              <w:rPr>
                <w:rFonts w:eastAsia="Times New Roman" w:cs="Arial"/>
                <w:color w:val="000000"/>
                <w:sz w:val="18"/>
                <w:szCs w:val="18"/>
                <w:lang w:val="es-CO" w:eastAsia="es-CO"/>
              </w:rPr>
              <w:t xml:space="preserve">lcalde </w:t>
            </w:r>
            <w:r w:rsidR="009934A3">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unicipal</w:t>
            </w:r>
            <w:r w:rsidR="009934A3">
              <w:rPr>
                <w:rFonts w:eastAsia="Times New Roman" w:cs="Arial"/>
                <w:color w:val="000000"/>
                <w:sz w:val="18"/>
                <w:szCs w:val="18"/>
                <w:lang w:val="es-CO" w:eastAsia="es-CO"/>
              </w:rPr>
              <w:t>.</w:t>
            </w:r>
          </w:p>
        </w:tc>
        <w:tc>
          <w:tcPr>
            <w:tcW w:w="73" w:type="pct"/>
            <w:vAlign w:val="center"/>
            <w:hideMark/>
          </w:tcPr>
          <w:p w14:paraId="2C40E801" w14:textId="77777777" w:rsidR="009D3AF7" w:rsidRPr="00FB27C3" w:rsidRDefault="009D3AF7">
            <w:pPr>
              <w:spacing w:after="0" w:line="240" w:lineRule="auto"/>
              <w:contextualSpacing/>
              <w:rPr>
                <w:rFonts w:ascii="Times New Roman" w:eastAsia="Times New Roman" w:hAnsi="Times New Roman" w:cs="Times New Roman"/>
                <w:sz w:val="18"/>
                <w:szCs w:val="18"/>
                <w:lang w:val="es-CO" w:eastAsia="es-CO"/>
              </w:rPr>
            </w:pPr>
          </w:p>
        </w:tc>
      </w:tr>
      <w:tr w:rsidR="009D3AF7" w:rsidRPr="007B1B1C" w14:paraId="1AC7DA81" w14:textId="77777777" w:rsidTr="004663BF">
        <w:trPr>
          <w:trHeight w:val="576"/>
          <w:jc w:val="center"/>
        </w:trPr>
        <w:tc>
          <w:tcPr>
            <w:tcW w:w="663" w:type="pct"/>
            <w:vMerge/>
            <w:tcBorders>
              <w:top w:val="nil"/>
              <w:left w:val="single" w:sz="4" w:space="0" w:color="auto"/>
              <w:bottom w:val="single" w:sz="4" w:space="0" w:color="auto"/>
              <w:right w:val="single" w:sz="4" w:space="0" w:color="auto"/>
            </w:tcBorders>
            <w:vAlign w:val="center"/>
            <w:hideMark/>
          </w:tcPr>
          <w:p w14:paraId="1DEC517F" w14:textId="77777777" w:rsidR="009D3AF7" w:rsidRPr="00FB27C3" w:rsidRDefault="009D3AF7">
            <w:pPr>
              <w:spacing w:after="0" w:line="240" w:lineRule="auto"/>
              <w:contextualSpacing/>
              <w:rPr>
                <w:rFonts w:eastAsia="Times New Roman" w:cs="Arial"/>
                <w:b/>
                <w:bCs/>
                <w:color w:val="FFFFFF"/>
                <w:sz w:val="18"/>
                <w:szCs w:val="18"/>
                <w:lang w:val="es-CO" w:eastAsia="es-CO"/>
              </w:rPr>
            </w:pPr>
          </w:p>
        </w:tc>
        <w:tc>
          <w:tcPr>
            <w:tcW w:w="1777" w:type="pct"/>
            <w:vMerge/>
            <w:tcBorders>
              <w:top w:val="nil"/>
              <w:left w:val="single" w:sz="4" w:space="0" w:color="auto"/>
              <w:bottom w:val="single" w:sz="4" w:space="0" w:color="auto"/>
              <w:right w:val="single" w:sz="4" w:space="0" w:color="auto"/>
            </w:tcBorders>
            <w:vAlign w:val="center"/>
            <w:hideMark/>
          </w:tcPr>
          <w:p w14:paraId="0DFF44A4"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2487" w:type="pct"/>
            <w:vMerge/>
            <w:tcBorders>
              <w:top w:val="nil"/>
              <w:left w:val="single" w:sz="4" w:space="0" w:color="auto"/>
              <w:bottom w:val="single" w:sz="4" w:space="0" w:color="auto"/>
              <w:right w:val="single" w:sz="4" w:space="0" w:color="auto"/>
            </w:tcBorders>
            <w:vAlign w:val="center"/>
            <w:hideMark/>
          </w:tcPr>
          <w:p w14:paraId="14F8F058"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73" w:type="pct"/>
            <w:tcBorders>
              <w:top w:val="nil"/>
              <w:left w:val="nil"/>
              <w:bottom w:val="nil"/>
              <w:right w:val="nil"/>
            </w:tcBorders>
            <w:shd w:val="clear" w:color="auto" w:fill="auto"/>
            <w:noWrap/>
            <w:vAlign w:val="bottom"/>
            <w:hideMark/>
          </w:tcPr>
          <w:p w14:paraId="2D290C41" w14:textId="77777777" w:rsidR="009D3AF7" w:rsidRPr="00FB27C3" w:rsidRDefault="009D3AF7">
            <w:pPr>
              <w:spacing w:after="0" w:line="240" w:lineRule="auto"/>
              <w:contextualSpacing/>
              <w:rPr>
                <w:rFonts w:eastAsia="Times New Roman" w:cs="Arial"/>
                <w:color w:val="000000"/>
                <w:sz w:val="18"/>
                <w:szCs w:val="18"/>
                <w:lang w:val="es-CO" w:eastAsia="es-CO"/>
              </w:rPr>
            </w:pPr>
          </w:p>
        </w:tc>
      </w:tr>
      <w:tr w:rsidR="009D3AF7" w:rsidRPr="007B1B1C" w14:paraId="412287E2" w14:textId="77777777" w:rsidTr="004663BF">
        <w:trPr>
          <w:trHeight w:val="414"/>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001645E2" w14:textId="77777777" w:rsidR="009D3AF7" w:rsidRPr="00FB27C3" w:rsidRDefault="009D3AF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1777" w:type="pct"/>
            <w:tcBorders>
              <w:top w:val="nil"/>
              <w:left w:val="nil"/>
              <w:bottom w:val="single" w:sz="4" w:space="0" w:color="auto"/>
              <w:right w:val="single" w:sz="4" w:space="0" w:color="auto"/>
            </w:tcBorders>
            <w:shd w:val="clear" w:color="auto" w:fill="auto"/>
            <w:noWrap/>
            <w:vAlign w:val="bottom"/>
            <w:hideMark/>
          </w:tcPr>
          <w:p w14:paraId="7183995C" w14:textId="77777777" w:rsidR="009D3AF7" w:rsidRPr="00FB27C3" w:rsidRDefault="009934A3">
            <w:pPr>
              <w:spacing w:after="0" w:line="240" w:lineRule="auto"/>
              <w:contextualSpacing/>
              <w:jc w:val="center"/>
              <w:rPr>
                <w:rFonts w:eastAsia="Times New Roman" w:cs="Arial"/>
                <w:color w:val="000000"/>
                <w:sz w:val="18"/>
                <w:szCs w:val="18"/>
                <w:lang w:val="es-CO" w:eastAsia="es-CO"/>
              </w:rPr>
            </w:pPr>
            <w:r w:rsidRPr="007B1B1C">
              <w:rPr>
                <w:rFonts w:eastAsia="Times New Roman" w:cs="Arial"/>
                <w:color w:val="000000"/>
                <w:sz w:val="18"/>
                <w:szCs w:val="18"/>
                <w:lang w:val="es-CO" w:eastAsia="es-CO"/>
              </w:rPr>
              <w:t>Alexander Henríquez Sanjuan</w:t>
            </w:r>
          </w:p>
        </w:tc>
        <w:tc>
          <w:tcPr>
            <w:tcW w:w="2487" w:type="pct"/>
            <w:vMerge/>
            <w:tcBorders>
              <w:top w:val="nil"/>
              <w:left w:val="single" w:sz="4" w:space="0" w:color="auto"/>
              <w:bottom w:val="single" w:sz="4" w:space="0" w:color="auto"/>
              <w:right w:val="single" w:sz="4" w:space="0" w:color="auto"/>
            </w:tcBorders>
            <w:vAlign w:val="center"/>
            <w:hideMark/>
          </w:tcPr>
          <w:p w14:paraId="609F4958"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73" w:type="pct"/>
            <w:vAlign w:val="center"/>
            <w:hideMark/>
          </w:tcPr>
          <w:p w14:paraId="59CDA43C" w14:textId="77777777" w:rsidR="009D3AF7" w:rsidRPr="00FB27C3" w:rsidRDefault="009D3AF7">
            <w:pPr>
              <w:spacing w:after="0" w:line="240" w:lineRule="auto"/>
              <w:contextualSpacing/>
              <w:rPr>
                <w:rFonts w:ascii="Times New Roman" w:eastAsia="Times New Roman" w:hAnsi="Times New Roman" w:cs="Times New Roman"/>
                <w:sz w:val="18"/>
                <w:szCs w:val="18"/>
                <w:lang w:val="es-CO" w:eastAsia="es-CO"/>
              </w:rPr>
            </w:pPr>
          </w:p>
        </w:tc>
      </w:tr>
      <w:tr w:rsidR="009D3AF7" w:rsidRPr="007B1B1C" w14:paraId="1BA7D6A3" w14:textId="77777777" w:rsidTr="004663BF">
        <w:trPr>
          <w:trHeight w:val="548"/>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64C3CD21" w14:textId="77777777" w:rsidR="009D3AF7" w:rsidRPr="00FB27C3" w:rsidRDefault="009D3AF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1777" w:type="pct"/>
            <w:tcBorders>
              <w:top w:val="nil"/>
              <w:left w:val="nil"/>
              <w:bottom w:val="single" w:sz="4" w:space="0" w:color="auto"/>
              <w:right w:val="single" w:sz="4" w:space="0" w:color="auto"/>
            </w:tcBorders>
            <w:shd w:val="clear" w:color="auto" w:fill="auto"/>
            <w:vAlign w:val="center"/>
            <w:hideMark/>
          </w:tcPr>
          <w:p w14:paraId="46A157A2" w14:textId="77777777" w:rsidR="009D3AF7" w:rsidRPr="00FB27C3" w:rsidRDefault="009D3AF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$14.850.000</w:t>
            </w:r>
          </w:p>
        </w:tc>
        <w:tc>
          <w:tcPr>
            <w:tcW w:w="2487" w:type="pct"/>
            <w:vMerge/>
            <w:tcBorders>
              <w:top w:val="nil"/>
              <w:left w:val="single" w:sz="4" w:space="0" w:color="auto"/>
              <w:bottom w:val="single" w:sz="4" w:space="0" w:color="auto"/>
              <w:right w:val="single" w:sz="4" w:space="0" w:color="auto"/>
            </w:tcBorders>
            <w:vAlign w:val="center"/>
            <w:hideMark/>
          </w:tcPr>
          <w:p w14:paraId="36ABCA3A"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73" w:type="pct"/>
            <w:vAlign w:val="center"/>
            <w:hideMark/>
          </w:tcPr>
          <w:p w14:paraId="7779EDE1" w14:textId="77777777" w:rsidR="009D3AF7" w:rsidRPr="00FB27C3" w:rsidRDefault="009D3AF7">
            <w:pPr>
              <w:spacing w:after="0" w:line="240" w:lineRule="auto"/>
              <w:contextualSpacing/>
              <w:rPr>
                <w:rFonts w:ascii="Times New Roman" w:eastAsia="Times New Roman" w:hAnsi="Times New Roman" w:cs="Times New Roman"/>
                <w:sz w:val="18"/>
                <w:szCs w:val="18"/>
                <w:lang w:val="es-CO" w:eastAsia="es-CO"/>
              </w:rPr>
            </w:pPr>
          </w:p>
        </w:tc>
      </w:tr>
      <w:tr w:rsidR="009D3AF7" w:rsidRPr="007B1B1C" w14:paraId="6EF41460" w14:textId="77777777" w:rsidTr="004663BF">
        <w:trPr>
          <w:trHeight w:val="192"/>
          <w:jc w:val="center"/>
        </w:trPr>
        <w:tc>
          <w:tcPr>
            <w:tcW w:w="663" w:type="pct"/>
            <w:tcBorders>
              <w:top w:val="nil"/>
              <w:left w:val="single" w:sz="4" w:space="0" w:color="auto"/>
              <w:bottom w:val="single" w:sz="4" w:space="0" w:color="auto"/>
              <w:right w:val="single" w:sz="4" w:space="0" w:color="auto"/>
            </w:tcBorders>
            <w:shd w:val="clear" w:color="000000" w:fill="666699"/>
            <w:vAlign w:val="center"/>
            <w:hideMark/>
          </w:tcPr>
          <w:p w14:paraId="10E1F579" w14:textId="77777777" w:rsidR="009D3AF7" w:rsidRPr="00FB27C3" w:rsidRDefault="009D3AF7"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1777" w:type="pct"/>
            <w:tcBorders>
              <w:top w:val="nil"/>
              <w:left w:val="nil"/>
              <w:bottom w:val="single" w:sz="4" w:space="0" w:color="auto"/>
              <w:right w:val="single" w:sz="4" w:space="0" w:color="auto"/>
            </w:tcBorders>
            <w:shd w:val="clear" w:color="auto" w:fill="auto"/>
            <w:noWrap/>
            <w:vAlign w:val="bottom"/>
            <w:hideMark/>
          </w:tcPr>
          <w:p w14:paraId="4792D6A8" w14:textId="77777777" w:rsidR="009D3AF7" w:rsidRPr="00FB27C3" w:rsidRDefault="009D3AF7">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9 meses</w:t>
            </w:r>
          </w:p>
        </w:tc>
        <w:tc>
          <w:tcPr>
            <w:tcW w:w="2487" w:type="pct"/>
            <w:vMerge/>
            <w:tcBorders>
              <w:top w:val="nil"/>
              <w:left w:val="single" w:sz="4" w:space="0" w:color="auto"/>
              <w:bottom w:val="single" w:sz="4" w:space="0" w:color="auto"/>
              <w:right w:val="single" w:sz="4" w:space="0" w:color="auto"/>
            </w:tcBorders>
            <w:vAlign w:val="center"/>
            <w:hideMark/>
          </w:tcPr>
          <w:p w14:paraId="6741D19B" w14:textId="77777777" w:rsidR="009D3AF7" w:rsidRPr="00FB27C3" w:rsidRDefault="009D3AF7">
            <w:pPr>
              <w:spacing w:after="0" w:line="240" w:lineRule="auto"/>
              <w:contextualSpacing/>
              <w:rPr>
                <w:rFonts w:eastAsia="Times New Roman" w:cs="Arial"/>
                <w:color w:val="000000"/>
                <w:sz w:val="18"/>
                <w:szCs w:val="18"/>
                <w:lang w:val="es-CO" w:eastAsia="es-CO"/>
              </w:rPr>
            </w:pPr>
          </w:p>
        </w:tc>
        <w:tc>
          <w:tcPr>
            <w:tcW w:w="73" w:type="pct"/>
            <w:vAlign w:val="center"/>
            <w:hideMark/>
          </w:tcPr>
          <w:p w14:paraId="63131AB2" w14:textId="77777777" w:rsidR="009D3AF7" w:rsidRPr="00FB27C3" w:rsidRDefault="009D3AF7">
            <w:pPr>
              <w:spacing w:after="0" w:line="240" w:lineRule="auto"/>
              <w:contextualSpacing/>
              <w:rPr>
                <w:rFonts w:ascii="Times New Roman" w:eastAsia="Times New Roman" w:hAnsi="Times New Roman" w:cs="Times New Roman"/>
                <w:sz w:val="18"/>
                <w:szCs w:val="18"/>
                <w:lang w:val="es-CO" w:eastAsia="es-CO"/>
              </w:rPr>
            </w:pPr>
          </w:p>
        </w:tc>
      </w:tr>
    </w:tbl>
    <w:p w14:paraId="24BE8E6E" w14:textId="77777777" w:rsidR="009D3AF7" w:rsidRPr="00FB27C3" w:rsidRDefault="009D3AF7" w:rsidP="00286F4A">
      <w:pPr>
        <w:spacing w:line="240" w:lineRule="auto"/>
        <w:contextualSpacing/>
        <w:jc w:val="center"/>
        <w:rPr>
          <w:rFonts w:eastAsia="Arial" w:cs="Arial"/>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3D6AC6A3" w14:textId="77777777" w:rsidR="009D3AF7" w:rsidRPr="00FB27C3" w:rsidRDefault="009D3AF7">
      <w:pPr>
        <w:spacing w:line="240" w:lineRule="auto"/>
        <w:contextualSpacing/>
      </w:pPr>
    </w:p>
    <w:p w14:paraId="4453294A" w14:textId="77777777" w:rsidR="009D3AF7" w:rsidRDefault="009D3AF7">
      <w:pPr>
        <w:spacing w:line="240" w:lineRule="auto"/>
        <w:contextualSpacing/>
        <w:jc w:val="both"/>
      </w:pPr>
      <w:r>
        <w:t xml:space="preserve">Las actividades que se relacionan en los </w:t>
      </w:r>
      <w:r w:rsidR="009934A3">
        <w:t>C</w:t>
      </w:r>
      <w:r>
        <w:t xml:space="preserve">ontratos del cuadro anterior evidencian que </w:t>
      </w:r>
      <w:r w:rsidR="003B28DC">
        <w:t>pretenden</w:t>
      </w:r>
      <w:r>
        <w:t xml:space="preserve"> desarrollar procesos asociados al cumplimiento de requisitos para la ejecución de los recursos de la Asignación Especial del S</w:t>
      </w:r>
      <w:r w:rsidR="009934A3">
        <w:t xml:space="preserve">istema </w:t>
      </w:r>
      <w:r>
        <w:t>G</w:t>
      </w:r>
      <w:r w:rsidR="009934A3">
        <w:t xml:space="preserve">eneral de </w:t>
      </w:r>
      <w:r>
        <w:t>P</w:t>
      </w:r>
      <w:r w:rsidR="009934A3">
        <w:t>articipaciones</w:t>
      </w:r>
      <w:r>
        <w:t xml:space="preserve"> </w:t>
      </w:r>
      <w:r w:rsidR="003B28DC">
        <w:t>p</w:t>
      </w:r>
      <w:r>
        <w:t>ara Resguardos Indígenas – AESGPRI. Estas actividades no pueden entenderse como un proyecto de inversión</w:t>
      </w:r>
      <w:r w:rsidR="003B28DC">
        <w:t>,</w:t>
      </w:r>
      <w:r>
        <w:t xml:space="preserve"> dado que no se relacionan con una intervención enfocada en la transformación de una situación problemática, o una necesidad en la población indígena, sino que son trámites operativos que parten de las competencias asignadas por ley al </w:t>
      </w:r>
      <w:r w:rsidR="009934A3">
        <w:t>M</w:t>
      </w:r>
      <w:r>
        <w:t xml:space="preserve">unicipio frente a la adecuada ejecución de estos recursos. Además, como se mencionó anteriormente, en el </w:t>
      </w:r>
      <w:r w:rsidR="009934A3">
        <w:t>S</w:t>
      </w:r>
      <w:r>
        <w:t xml:space="preserve">ector de Atención a Grupos Vulnerables solamente </w:t>
      </w:r>
      <w:r w:rsidR="003B28DC">
        <w:t xml:space="preserve">se </w:t>
      </w:r>
      <w:r>
        <w:t xml:space="preserve">permite financiar gastos de funcionamiento cuando el personal desarrolle actividades de apoyo para garantizar el funcionamiento de los programas de superación de la pobreza </w:t>
      </w:r>
      <w:r w:rsidR="009934A3">
        <w:t>como “</w:t>
      </w:r>
      <w:r w:rsidRPr="00FB27C3">
        <w:rPr>
          <w:i/>
          <w:iCs/>
        </w:rPr>
        <w:t>Más Familias en Acción</w:t>
      </w:r>
      <w:r w:rsidR="009934A3">
        <w:t>”</w:t>
      </w:r>
      <w:r>
        <w:t>.</w:t>
      </w:r>
    </w:p>
    <w:p w14:paraId="4563E010" w14:textId="77777777" w:rsidR="007E1F3E" w:rsidRDefault="007E1F3E">
      <w:pPr>
        <w:spacing w:line="240" w:lineRule="auto"/>
        <w:contextualSpacing/>
        <w:jc w:val="both"/>
      </w:pPr>
    </w:p>
    <w:p w14:paraId="23979A09" w14:textId="77777777" w:rsidR="007E1F3E" w:rsidRDefault="007E1F3E">
      <w:pPr>
        <w:spacing w:line="240" w:lineRule="auto"/>
        <w:contextualSpacing/>
        <w:jc w:val="both"/>
        <w:rPr>
          <w:rFonts w:eastAsia="Arial" w:cs="Arial"/>
          <w:lang w:val="es"/>
        </w:rPr>
      </w:pPr>
      <w:r>
        <w:rPr>
          <w:rFonts w:eastAsia="Arial" w:cs="Arial"/>
          <w:lang w:val="es"/>
        </w:rPr>
        <w:t>Por otra parte,</w:t>
      </w:r>
      <w:r w:rsidRPr="6D53D0E7">
        <w:rPr>
          <w:rFonts w:eastAsia="Arial" w:cs="Arial"/>
          <w:lang w:val="es"/>
        </w:rPr>
        <w:t xml:space="preserve"> aquellos contratos celebrados con los recursos</w:t>
      </w:r>
      <w:r w:rsidR="00835CF6">
        <w:rPr>
          <w:rFonts w:eastAsia="Arial" w:cs="Arial"/>
          <w:lang w:val="es"/>
        </w:rPr>
        <w:t xml:space="preserve"> de Forzosa </w:t>
      </w:r>
      <w:r w:rsidR="000361F5">
        <w:rPr>
          <w:rFonts w:eastAsia="Arial" w:cs="Arial"/>
          <w:lang w:val="es"/>
        </w:rPr>
        <w:t xml:space="preserve">Inversión </w:t>
      </w:r>
      <w:r w:rsidR="000361F5" w:rsidRPr="6D53D0E7">
        <w:rPr>
          <w:rFonts w:eastAsia="Arial" w:cs="Arial"/>
          <w:lang w:val="es"/>
        </w:rPr>
        <w:t>Cultura</w:t>
      </w:r>
      <w:r w:rsidRPr="6D53D0E7">
        <w:rPr>
          <w:rFonts w:eastAsia="Arial" w:cs="Arial"/>
          <w:lang w:val="es"/>
        </w:rPr>
        <w:t xml:space="preserve"> deben responder a unas competencias que se encuentran dadas por el artículo 76 de la Ley 715 de 2001</w:t>
      </w:r>
      <w:r w:rsidR="00835CF6">
        <w:rPr>
          <w:rFonts w:eastAsia="Arial" w:cs="Arial"/>
          <w:lang w:val="es"/>
        </w:rPr>
        <w:t>, que en</w:t>
      </w:r>
      <w:r w:rsidRPr="6D53D0E7">
        <w:rPr>
          <w:rFonts w:eastAsia="Arial" w:cs="Arial"/>
          <w:lang w:val="es"/>
        </w:rPr>
        <w:t xml:space="preserve"> el numeral 8 define el objetivo de estos recursos:</w:t>
      </w:r>
    </w:p>
    <w:p w14:paraId="09FD050B" w14:textId="77777777" w:rsidR="007E1F3E" w:rsidRDefault="007E1F3E">
      <w:pPr>
        <w:spacing w:line="240" w:lineRule="auto"/>
        <w:contextualSpacing/>
        <w:jc w:val="both"/>
      </w:pPr>
    </w:p>
    <w:p w14:paraId="4AB72C32" w14:textId="77777777" w:rsidR="007E1F3E" w:rsidRDefault="007E1F3E">
      <w:pPr>
        <w:spacing w:line="240" w:lineRule="auto"/>
        <w:ind w:left="709"/>
        <w:contextualSpacing/>
        <w:jc w:val="both"/>
      </w:pPr>
      <w:r w:rsidRPr="6D53D0E7">
        <w:rPr>
          <w:rFonts w:eastAsia="Arial" w:cs="Arial"/>
          <w:sz w:val="18"/>
          <w:szCs w:val="18"/>
          <w:lang w:val="es"/>
        </w:rPr>
        <w:t>“</w:t>
      </w:r>
      <w:r w:rsidRPr="6D53D0E7">
        <w:rPr>
          <w:rFonts w:eastAsia="Arial" w:cs="Arial"/>
          <w:i/>
          <w:iCs/>
          <w:sz w:val="18"/>
          <w:szCs w:val="18"/>
          <w:lang w:val="es"/>
        </w:rPr>
        <w:t>76.8.1. Fomentar el acceso, la innovación, la creación y la producción artística y cultural en el Municipio.</w:t>
      </w:r>
      <w:r w:rsidRPr="6D53D0E7">
        <w:rPr>
          <w:rFonts w:eastAsia="Arial" w:cs="Arial"/>
          <w:sz w:val="18"/>
          <w:szCs w:val="18"/>
          <w:lang w:val="es"/>
        </w:rPr>
        <w:t xml:space="preserve"> </w:t>
      </w:r>
    </w:p>
    <w:p w14:paraId="702752A7" w14:textId="77777777" w:rsidR="007E1F3E" w:rsidRDefault="007E1F3E">
      <w:pPr>
        <w:spacing w:line="240" w:lineRule="auto"/>
        <w:ind w:left="709"/>
        <w:contextualSpacing/>
        <w:jc w:val="both"/>
      </w:pPr>
      <w:r w:rsidRPr="6D53D0E7">
        <w:rPr>
          <w:rFonts w:eastAsia="Arial" w:cs="Arial"/>
          <w:i/>
          <w:iCs/>
          <w:sz w:val="18"/>
          <w:szCs w:val="18"/>
          <w:lang w:val="es"/>
        </w:rPr>
        <w:t>76.8.2. Apoyar y fortalecer los procesos de información, investigación, comunicación y formación y las expresiones multiculturales del Municipio.</w:t>
      </w:r>
      <w:r w:rsidRPr="6D53D0E7">
        <w:rPr>
          <w:rFonts w:eastAsia="Arial" w:cs="Arial"/>
          <w:sz w:val="18"/>
          <w:szCs w:val="18"/>
          <w:lang w:val="es"/>
        </w:rPr>
        <w:t xml:space="preserve"> </w:t>
      </w:r>
    </w:p>
    <w:p w14:paraId="2F9ABE5D" w14:textId="77777777" w:rsidR="007E1F3E" w:rsidRDefault="007E1F3E">
      <w:pPr>
        <w:spacing w:line="240" w:lineRule="auto"/>
        <w:ind w:left="709"/>
        <w:contextualSpacing/>
        <w:jc w:val="both"/>
      </w:pPr>
      <w:r w:rsidRPr="6D53D0E7">
        <w:rPr>
          <w:rFonts w:eastAsia="Arial" w:cs="Arial"/>
          <w:i/>
          <w:iCs/>
          <w:sz w:val="18"/>
          <w:szCs w:val="18"/>
          <w:lang w:val="es"/>
        </w:rPr>
        <w:t>76.8.3. Apoyar la construcción, dotación, sostenimiento y mantenimiento de la infraestructura cultural del Municipio y su apropiación creativa por parte de las comunidades; y proteger el patrimonio cultural en sus distintas expresiones y su adecuada incorporación al crecimiento económico y a los procesos de construcción ciudadana.</w:t>
      </w:r>
      <w:r w:rsidRPr="6D53D0E7">
        <w:rPr>
          <w:rFonts w:eastAsia="Arial" w:cs="Arial"/>
          <w:sz w:val="18"/>
          <w:szCs w:val="18"/>
          <w:lang w:val="es"/>
        </w:rPr>
        <w:t xml:space="preserve"> </w:t>
      </w:r>
    </w:p>
    <w:p w14:paraId="5E85CCA0" w14:textId="77777777" w:rsidR="007E1F3E" w:rsidRDefault="007E1F3E">
      <w:pPr>
        <w:spacing w:line="240" w:lineRule="auto"/>
        <w:ind w:left="709"/>
        <w:contextualSpacing/>
        <w:jc w:val="both"/>
      </w:pPr>
      <w:r w:rsidRPr="6D53D0E7">
        <w:rPr>
          <w:rFonts w:eastAsia="Arial" w:cs="Arial"/>
          <w:i/>
          <w:iCs/>
          <w:sz w:val="18"/>
          <w:szCs w:val="18"/>
          <w:lang w:val="es"/>
        </w:rPr>
        <w:t>76.8.4. Apoyar el desarrollo de las redes de información cultural y bienes, servicios e instituciones culturales (museos, bibliotecas, archivos, bandas, orquestas, etc.), así como otras iniciativas de organización del sector cultural.</w:t>
      </w:r>
      <w:r w:rsidRPr="6D53D0E7">
        <w:rPr>
          <w:rFonts w:eastAsia="Arial" w:cs="Arial"/>
          <w:sz w:val="18"/>
          <w:szCs w:val="18"/>
          <w:lang w:val="es"/>
        </w:rPr>
        <w:t xml:space="preserve"> </w:t>
      </w:r>
    </w:p>
    <w:p w14:paraId="4E0803F8" w14:textId="77777777" w:rsidR="007E1F3E" w:rsidRDefault="007E1F3E">
      <w:pPr>
        <w:spacing w:line="240" w:lineRule="auto"/>
        <w:ind w:left="709"/>
        <w:contextualSpacing/>
        <w:jc w:val="both"/>
      </w:pPr>
      <w:r w:rsidRPr="6D53D0E7">
        <w:rPr>
          <w:rFonts w:eastAsia="Arial" w:cs="Arial"/>
          <w:i/>
          <w:iCs/>
          <w:sz w:val="18"/>
          <w:szCs w:val="18"/>
          <w:lang w:val="es"/>
        </w:rPr>
        <w:t>76.8.5. Formular, orientar y ejecutar los planes, programas, proyectos y eventos municipales teniendo como referencia el Plan Decenal de Cultura</w:t>
      </w:r>
      <w:r w:rsidRPr="6D53D0E7">
        <w:rPr>
          <w:rFonts w:eastAsia="Arial" w:cs="Arial"/>
          <w:sz w:val="18"/>
          <w:szCs w:val="18"/>
          <w:lang w:val="es"/>
        </w:rPr>
        <w:t xml:space="preserve">”. </w:t>
      </w:r>
    </w:p>
    <w:p w14:paraId="248D25E0" w14:textId="77777777" w:rsidR="007E1F3E" w:rsidRDefault="007E1F3E">
      <w:pPr>
        <w:spacing w:line="240" w:lineRule="auto"/>
        <w:contextualSpacing/>
        <w:jc w:val="both"/>
        <w:rPr>
          <w:rFonts w:eastAsia="Arial" w:cs="Arial"/>
          <w:lang w:val="es"/>
        </w:rPr>
      </w:pPr>
    </w:p>
    <w:p w14:paraId="55F2C19D" w14:textId="77777777" w:rsidR="007E1F3E" w:rsidRDefault="007E1F3E">
      <w:pPr>
        <w:spacing w:line="240" w:lineRule="auto"/>
        <w:contextualSpacing/>
        <w:jc w:val="both"/>
        <w:rPr>
          <w:rFonts w:eastAsia="Arial" w:cs="Arial"/>
          <w:lang w:val="es"/>
        </w:rPr>
      </w:pPr>
      <w:r w:rsidRPr="6D53D0E7">
        <w:rPr>
          <w:rFonts w:eastAsia="Arial" w:cs="Arial"/>
          <w:lang w:val="es"/>
        </w:rPr>
        <w:t>En la revisión de la información entregada por el Municipio, se evidenció la financiación de objetos de gasto para Cultura que no cumplen con los lineamientos definidos anteriormente</w:t>
      </w:r>
      <w:r w:rsidR="00835CF6">
        <w:rPr>
          <w:rFonts w:eastAsia="Arial" w:cs="Arial"/>
          <w:lang w:val="es"/>
        </w:rPr>
        <w:t>,</w:t>
      </w:r>
      <w:r w:rsidR="009B6742">
        <w:rPr>
          <w:rFonts w:eastAsia="Arial" w:cs="Arial"/>
          <w:lang w:val="es"/>
        </w:rPr>
        <w:t xml:space="preserve"> ya que </w:t>
      </w:r>
      <w:r w:rsidR="009B6742">
        <w:t xml:space="preserve">el </w:t>
      </w:r>
      <w:r w:rsidR="009934A3">
        <w:t>M</w:t>
      </w:r>
      <w:r w:rsidR="009B6742">
        <w:t>unicipio presenta financiación de gastos de carácter permanente asociados con el funcionamiento de la Biblioteca Municipal a través de la contratación de la Bibliotecaria</w:t>
      </w:r>
      <w:r w:rsidR="00835CF6">
        <w:t>,</w:t>
      </w:r>
      <w:r w:rsidR="009B6742">
        <w:t xml:space="preserve"> con los recursos de SGP </w:t>
      </w:r>
      <w:r w:rsidR="009934A3">
        <w:t xml:space="preserve">- </w:t>
      </w:r>
      <w:r w:rsidR="009B6742">
        <w:t>Cultura</w:t>
      </w:r>
      <w:r w:rsidR="00835CF6">
        <w:t>,</w:t>
      </w:r>
      <w:r>
        <w:rPr>
          <w:rFonts w:eastAsia="Arial" w:cs="Arial"/>
          <w:lang w:val="es"/>
        </w:rPr>
        <w:t xml:space="preserve"> como se muestra a continuación</w:t>
      </w:r>
      <w:r w:rsidRPr="6D53D0E7">
        <w:rPr>
          <w:rFonts w:eastAsia="Arial" w:cs="Arial"/>
          <w:lang w:val="es"/>
        </w:rPr>
        <w:t>:</w:t>
      </w:r>
    </w:p>
    <w:p w14:paraId="5CFA8990" w14:textId="77777777" w:rsidR="009D3AF7" w:rsidRDefault="009D3AF7">
      <w:pPr>
        <w:spacing w:line="240" w:lineRule="auto"/>
        <w:contextualSpacing/>
        <w:jc w:val="both"/>
        <w:rPr>
          <w:rFonts w:eastAsia="Arial" w:cs="Arial"/>
          <w:lang w:val="es"/>
        </w:rPr>
      </w:pPr>
    </w:p>
    <w:p w14:paraId="127C37E0" w14:textId="77777777" w:rsidR="00732973" w:rsidRPr="005370C5" w:rsidRDefault="00732973">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sidR="009D3AF7">
        <w:rPr>
          <w:rFonts w:eastAsia="Arial" w:cs="Arial"/>
          <w:b/>
          <w:bCs/>
          <w:sz w:val="20"/>
          <w:szCs w:val="20"/>
        </w:rPr>
        <w:t>4</w:t>
      </w:r>
    </w:p>
    <w:p w14:paraId="427848B1" w14:textId="77777777" w:rsidR="00732973" w:rsidRDefault="00732973">
      <w:pPr>
        <w:spacing w:after="0" w:line="240" w:lineRule="auto"/>
        <w:contextualSpacing/>
        <w:jc w:val="center"/>
        <w:rPr>
          <w:rFonts w:eastAsia="Arial" w:cs="Arial"/>
          <w:sz w:val="20"/>
          <w:szCs w:val="20"/>
        </w:rPr>
      </w:pPr>
      <w:r>
        <w:rPr>
          <w:rFonts w:eastAsia="Arial" w:cs="Arial"/>
          <w:sz w:val="20"/>
          <w:szCs w:val="20"/>
        </w:rPr>
        <w:t>Contratos de funcionamiento Cultura</w:t>
      </w:r>
    </w:p>
    <w:p w14:paraId="1B89909C" w14:textId="77777777" w:rsidR="00732973" w:rsidRPr="00C16E4B" w:rsidRDefault="00732973">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5543" w:type="pct"/>
        <w:jc w:val="center"/>
        <w:tblCellMar>
          <w:left w:w="70" w:type="dxa"/>
          <w:right w:w="70" w:type="dxa"/>
        </w:tblCellMar>
        <w:tblLook w:val="04A0" w:firstRow="1" w:lastRow="0" w:firstColumn="1" w:lastColumn="0" w:noHBand="0" w:noVBand="1"/>
      </w:tblPr>
      <w:tblGrid>
        <w:gridCol w:w="1198"/>
        <w:gridCol w:w="4092"/>
        <w:gridCol w:w="4126"/>
      </w:tblGrid>
      <w:tr w:rsidR="00732973" w:rsidRPr="007B1B1C" w14:paraId="54E200DC" w14:textId="77777777" w:rsidTr="00FB27C3">
        <w:trPr>
          <w:trHeight w:val="223"/>
          <w:jc w:val="center"/>
        </w:trPr>
        <w:tc>
          <w:tcPr>
            <w:tcW w:w="636"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077D7024" w14:textId="77777777" w:rsidR="00732973" w:rsidRPr="00FB27C3" w:rsidRDefault="0073297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2173" w:type="pct"/>
            <w:tcBorders>
              <w:top w:val="single" w:sz="4" w:space="0" w:color="auto"/>
              <w:left w:val="nil"/>
              <w:bottom w:val="single" w:sz="4" w:space="0" w:color="auto"/>
              <w:right w:val="single" w:sz="4" w:space="0" w:color="auto"/>
            </w:tcBorders>
            <w:shd w:val="clear" w:color="000000" w:fill="CCCCFF"/>
            <w:vAlign w:val="center"/>
            <w:hideMark/>
          </w:tcPr>
          <w:p w14:paraId="7243C2C8" w14:textId="77777777" w:rsidR="00732973" w:rsidRPr="00FB27C3" w:rsidRDefault="0073297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CPS-039-2018</w:t>
            </w:r>
          </w:p>
        </w:tc>
        <w:tc>
          <w:tcPr>
            <w:tcW w:w="2191" w:type="pct"/>
            <w:tcBorders>
              <w:top w:val="single" w:sz="4" w:space="0" w:color="auto"/>
              <w:left w:val="nil"/>
              <w:bottom w:val="single" w:sz="4" w:space="0" w:color="auto"/>
              <w:right w:val="single" w:sz="4" w:space="0" w:color="auto"/>
            </w:tcBorders>
            <w:shd w:val="clear" w:color="000000" w:fill="666699"/>
            <w:vAlign w:val="center"/>
            <w:hideMark/>
          </w:tcPr>
          <w:p w14:paraId="2C946B38" w14:textId="77777777" w:rsidR="00732973" w:rsidRPr="00FB27C3" w:rsidRDefault="0073297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732973" w:rsidRPr="007B1B1C" w14:paraId="677995B2" w14:textId="77777777" w:rsidTr="00FB27C3">
        <w:trPr>
          <w:trHeight w:val="433"/>
          <w:jc w:val="center"/>
        </w:trPr>
        <w:tc>
          <w:tcPr>
            <w:tcW w:w="636" w:type="pct"/>
            <w:vMerge w:val="restart"/>
            <w:tcBorders>
              <w:top w:val="nil"/>
              <w:left w:val="single" w:sz="4" w:space="0" w:color="auto"/>
              <w:bottom w:val="single" w:sz="4" w:space="0" w:color="auto"/>
              <w:right w:val="single" w:sz="4" w:space="0" w:color="auto"/>
            </w:tcBorders>
            <w:shd w:val="clear" w:color="000000" w:fill="666699"/>
            <w:vAlign w:val="center"/>
            <w:hideMark/>
          </w:tcPr>
          <w:p w14:paraId="7D47D6A1" w14:textId="77777777" w:rsidR="00732973" w:rsidRPr="00FB27C3" w:rsidRDefault="0073297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173" w:type="pct"/>
            <w:vMerge w:val="restart"/>
            <w:tcBorders>
              <w:top w:val="nil"/>
              <w:left w:val="single" w:sz="4" w:space="0" w:color="auto"/>
              <w:bottom w:val="single" w:sz="4" w:space="0" w:color="auto"/>
              <w:right w:val="single" w:sz="4" w:space="0" w:color="auto"/>
            </w:tcBorders>
            <w:shd w:val="clear" w:color="auto" w:fill="auto"/>
            <w:vAlign w:val="center"/>
            <w:hideMark/>
          </w:tcPr>
          <w:p w14:paraId="4801CF1B"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Prestación de servicios de apoyo a la gestión como bibliotecaria del </w:t>
            </w:r>
            <w:r w:rsidR="00C00F4A">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2191" w:type="pct"/>
            <w:vMerge w:val="restart"/>
            <w:tcBorders>
              <w:top w:val="nil"/>
              <w:left w:val="single" w:sz="4" w:space="0" w:color="auto"/>
              <w:bottom w:val="single" w:sz="4" w:space="0" w:color="auto"/>
              <w:right w:val="single" w:sz="4" w:space="0" w:color="auto"/>
            </w:tcBorders>
            <w:shd w:val="clear" w:color="auto" w:fill="auto"/>
            <w:vAlign w:val="center"/>
            <w:hideMark/>
          </w:tcPr>
          <w:p w14:paraId="087318F3" w14:textId="77777777" w:rsidR="00C00F4A" w:rsidRDefault="0073297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Velar por la debida prestación de servicios de la Biblioteca a la comunidad, facilitando el acceso a las diferentes consultas</w:t>
            </w:r>
            <w:r w:rsidR="00C00F4A">
              <w:rPr>
                <w:rFonts w:eastAsia="Times New Roman" w:cs="Arial"/>
                <w:color w:val="000000"/>
                <w:sz w:val="18"/>
                <w:szCs w:val="18"/>
                <w:lang w:val="es-CO" w:eastAsia="es-CO"/>
              </w:rPr>
              <w:t>.</w:t>
            </w:r>
          </w:p>
          <w:p w14:paraId="4290E976" w14:textId="77777777" w:rsidR="00C00F4A" w:rsidRDefault="0073297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Mantener en estricto orden y cuidado los libros, los bienes y los equipos pertenecientes a la Biblioteca Pública Municipal</w:t>
            </w:r>
            <w:r w:rsidR="00C00F4A">
              <w:rPr>
                <w:rFonts w:eastAsia="Times New Roman" w:cs="Arial"/>
                <w:color w:val="000000"/>
                <w:sz w:val="18"/>
                <w:szCs w:val="18"/>
                <w:lang w:val="es-CO" w:eastAsia="es-CO"/>
              </w:rPr>
              <w:t>.</w:t>
            </w:r>
          </w:p>
          <w:p w14:paraId="4C591CC6" w14:textId="77777777" w:rsidR="00C00F4A" w:rsidRDefault="0073297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Fomentar la lectura en niños y niñas de las instituciones educativas del </w:t>
            </w:r>
            <w:r w:rsidR="00C00F4A">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r w:rsidR="00C00F4A">
              <w:rPr>
                <w:rFonts w:eastAsia="Times New Roman" w:cs="Arial"/>
                <w:color w:val="000000"/>
                <w:sz w:val="18"/>
                <w:szCs w:val="18"/>
                <w:lang w:val="es-CO" w:eastAsia="es-CO"/>
              </w:rPr>
              <w:t>.</w:t>
            </w:r>
          </w:p>
          <w:p w14:paraId="11B1A7A8" w14:textId="77777777" w:rsidR="00732973" w:rsidRPr="00FB27C3" w:rsidRDefault="0073297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4. Realiza jornadas de lectura con la población adulto mayor, entre otras.</w:t>
            </w:r>
          </w:p>
        </w:tc>
      </w:tr>
      <w:tr w:rsidR="00732973" w:rsidRPr="007B1B1C" w14:paraId="6862EC03" w14:textId="77777777" w:rsidTr="00FB27C3">
        <w:trPr>
          <w:trHeight w:val="433"/>
          <w:jc w:val="center"/>
        </w:trPr>
        <w:tc>
          <w:tcPr>
            <w:tcW w:w="636" w:type="pct"/>
            <w:vMerge/>
            <w:tcBorders>
              <w:top w:val="nil"/>
              <w:left w:val="single" w:sz="4" w:space="0" w:color="auto"/>
              <w:bottom w:val="single" w:sz="4" w:space="0" w:color="auto"/>
              <w:right w:val="single" w:sz="4" w:space="0" w:color="auto"/>
            </w:tcBorders>
            <w:vAlign w:val="center"/>
            <w:hideMark/>
          </w:tcPr>
          <w:p w14:paraId="3E70BA4F" w14:textId="77777777" w:rsidR="00732973" w:rsidRPr="00FB27C3" w:rsidRDefault="00732973">
            <w:pPr>
              <w:spacing w:after="0" w:line="240" w:lineRule="auto"/>
              <w:contextualSpacing/>
              <w:jc w:val="center"/>
              <w:rPr>
                <w:rFonts w:eastAsia="Times New Roman" w:cs="Arial"/>
                <w:b/>
                <w:bCs/>
                <w:color w:val="FFFFFF"/>
                <w:sz w:val="18"/>
                <w:szCs w:val="18"/>
                <w:lang w:val="es-CO" w:eastAsia="es-CO"/>
              </w:rPr>
            </w:pPr>
          </w:p>
        </w:tc>
        <w:tc>
          <w:tcPr>
            <w:tcW w:w="2173" w:type="pct"/>
            <w:vMerge/>
            <w:tcBorders>
              <w:top w:val="nil"/>
              <w:left w:val="single" w:sz="4" w:space="0" w:color="auto"/>
              <w:bottom w:val="single" w:sz="4" w:space="0" w:color="auto"/>
              <w:right w:val="single" w:sz="4" w:space="0" w:color="auto"/>
            </w:tcBorders>
            <w:vAlign w:val="center"/>
            <w:hideMark/>
          </w:tcPr>
          <w:p w14:paraId="05A85114"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c>
          <w:tcPr>
            <w:tcW w:w="2191" w:type="pct"/>
            <w:vMerge/>
            <w:tcBorders>
              <w:top w:val="nil"/>
              <w:left w:val="single" w:sz="4" w:space="0" w:color="auto"/>
              <w:bottom w:val="single" w:sz="4" w:space="0" w:color="auto"/>
              <w:right w:val="single" w:sz="4" w:space="0" w:color="auto"/>
            </w:tcBorders>
            <w:vAlign w:val="center"/>
            <w:hideMark/>
          </w:tcPr>
          <w:p w14:paraId="253B20B8"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r>
      <w:tr w:rsidR="00732973" w:rsidRPr="007B1B1C" w14:paraId="3EBD45B0" w14:textId="77777777" w:rsidTr="00FB27C3">
        <w:trPr>
          <w:trHeight w:val="496"/>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36051FA2" w14:textId="77777777" w:rsidR="00732973" w:rsidRPr="00FB27C3" w:rsidRDefault="0073297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173" w:type="pct"/>
            <w:tcBorders>
              <w:top w:val="nil"/>
              <w:left w:val="nil"/>
              <w:bottom w:val="single" w:sz="4" w:space="0" w:color="auto"/>
              <w:right w:val="single" w:sz="4" w:space="0" w:color="auto"/>
            </w:tcBorders>
            <w:shd w:val="clear" w:color="auto" w:fill="auto"/>
            <w:noWrap/>
            <w:vAlign w:val="center"/>
            <w:hideMark/>
          </w:tcPr>
          <w:p w14:paraId="7D9B5CF2" w14:textId="77777777" w:rsidR="00732973" w:rsidRPr="00FB27C3" w:rsidRDefault="00C00F4A">
            <w:pPr>
              <w:spacing w:after="0" w:line="240" w:lineRule="auto"/>
              <w:contextualSpacing/>
              <w:jc w:val="center"/>
              <w:rPr>
                <w:rFonts w:eastAsia="Times New Roman" w:cs="Arial"/>
                <w:color w:val="000000"/>
                <w:sz w:val="18"/>
                <w:szCs w:val="18"/>
                <w:lang w:val="es-CO" w:eastAsia="es-CO"/>
              </w:rPr>
            </w:pPr>
            <w:r w:rsidRPr="007B1B1C">
              <w:rPr>
                <w:rFonts w:eastAsia="Times New Roman" w:cs="Arial"/>
                <w:color w:val="000000"/>
                <w:sz w:val="18"/>
                <w:szCs w:val="18"/>
                <w:lang w:val="es-CO" w:eastAsia="es-CO"/>
              </w:rPr>
              <w:t>Diana Carolina Sánchez Ordoñez</w:t>
            </w:r>
          </w:p>
        </w:tc>
        <w:tc>
          <w:tcPr>
            <w:tcW w:w="2191" w:type="pct"/>
            <w:vMerge/>
            <w:tcBorders>
              <w:top w:val="nil"/>
              <w:left w:val="single" w:sz="4" w:space="0" w:color="auto"/>
              <w:bottom w:val="single" w:sz="4" w:space="0" w:color="auto"/>
              <w:right w:val="single" w:sz="4" w:space="0" w:color="auto"/>
            </w:tcBorders>
            <w:vAlign w:val="center"/>
            <w:hideMark/>
          </w:tcPr>
          <w:p w14:paraId="4C499A9D"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r>
      <w:tr w:rsidR="00732973" w:rsidRPr="007B1B1C" w14:paraId="42ABE680" w14:textId="77777777" w:rsidTr="00FB27C3">
        <w:trPr>
          <w:trHeight w:val="600"/>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7E2743CE" w14:textId="77777777" w:rsidR="00732973" w:rsidRPr="00FB27C3" w:rsidRDefault="0073297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173" w:type="pct"/>
            <w:tcBorders>
              <w:top w:val="nil"/>
              <w:left w:val="nil"/>
              <w:bottom w:val="single" w:sz="4" w:space="0" w:color="auto"/>
              <w:right w:val="single" w:sz="4" w:space="0" w:color="auto"/>
            </w:tcBorders>
            <w:shd w:val="clear" w:color="auto" w:fill="auto"/>
            <w:vAlign w:val="center"/>
            <w:hideMark/>
          </w:tcPr>
          <w:p w14:paraId="436131FE"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$3.600.000</w:t>
            </w:r>
          </w:p>
        </w:tc>
        <w:tc>
          <w:tcPr>
            <w:tcW w:w="2191" w:type="pct"/>
            <w:vMerge/>
            <w:tcBorders>
              <w:top w:val="nil"/>
              <w:left w:val="single" w:sz="4" w:space="0" w:color="auto"/>
              <w:bottom w:val="single" w:sz="4" w:space="0" w:color="auto"/>
              <w:right w:val="single" w:sz="4" w:space="0" w:color="auto"/>
            </w:tcBorders>
            <w:vAlign w:val="center"/>
            <w:hideMark/>
          </w:tcPr>
          <w:p w14:paraId="02C7B65E"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r>
      <w:tr w:rsidR="00732973" w:rsidRPr="007B1B1C" w14:paraId="57E22638" w14:textId="77777777" w:rsidTr="00FB27C3">
        <w:trPr>
          <w:trHeight w:val="340"/>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57B698BD" w14:textId="77777777" w:rsidR="00732973" w:rsidRPr="00FB27C3" w:rsidRDefault="0073297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173" w:type="pct"/>
            <w:tcBorders>
              <w:top w:val="nil"/>
              <w:left w:val="nil"/>
              <w:bottom w:val="single" w:sz="4" w:space="0" w:color="auto"/>
              <w:right w:val="single" w:sz="4" w:space="0" w:color="auto"/>
            </w:tcBorders>
            <w:shd w:val="clear" w:color="auto" w:fill="auto"/>
            <w:noWrap/>
            <w:vAlign w:val="center"/>
            <w:hideMark/>
          </w:tcPr>
          <w:p w14:paraId="130E6C25"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3 meses</w:t>
            </w:r>
          </w:p>
        </w:tc>
        <w:tc>
          <w:tcPr>
            <w:tcW w:w="2191" w:type="pct"/>
            <w:vMerge/>
            <w:tcBorders>
              <w:top w:val="nil"/>
              <w:left w:val="single" w:sz="4" w:space="0" w:color="auto"/>
              <w:bottom w:val="single" w:sz="4" w:space="0" w:color="auto"/>
              <w:right w:val="single" w:sz="4" w:space="0" w:color="auto"/>
            </w:tcBorders>
            <w:vAlign w:val="center"/>
            <w:hideMark/>
          </w:tcPr>
          <w:p w14:paraId="2B5786FB"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r>
      <w:tr w:rsidR="00732973" w:rsidRPr="007B1B1C" w14:paraId="7AA7687F" w14:textId="77777777" w:rsidTr="00FB27C3">
        <w:trPr>
          <w:trHeight w:val="223"/>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19E126C9" w14:textId="77777777" w:rsidR="00732973" w:rsidRPr="00FB27C3" w:rsidRDefault="0073297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Contrato</w:t>
            </w:r>
          </w:p>
        </w:tc>
        <w:tc>
          <w:tcPr>
            <w:tcW w:w="2173" w:type="pct"/>
            <w:tcBorders>
              <w:top w:val="nil"/>
              <w:left w:val="nil"/>
              <w:bottom w:val="single" w:sz="4" w:space="0" w:color="auto"/>
              <w:right w:val="single" w:sz="4" w:space="0" w:color="auto"/>
            </w:tcBorders>
            <w:shd w:val="clear" w:color="000000" w:fill="CCCCFF"/>
            <w:vAlign w:val="center"/>
            <w:hideMark/>
          </w:tcPr>
          <w:p w14:paraId="6D99AAD5" w14:textId="77777777" w:rsidR="00732973" w:rsidRPr="00FB27C3" w:rsidRDefault="00732973">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CPS-064-2018</w:t>
            </w:r>
          </w:p>
        </w:tc>
        <w:tc>
          <w:tcPr>
            <w:tcW w:w="2191" w:type="pct"/>
            <w:tcBorders>
              <w:top w:val="nil"/>
              <w:left w:val="nil"/>
              <w:bottom w:val="single" w:sz="4" w:space="0" w:color="auto"/>
              <w:right w:val="single" w:sz="4" w:space="0" w:color="auto"/>
            </w:tcBorders>
            <w:shd w:val="clear" w:color="000000" w:fill="666699"/>
            <w:vAlign w:val="center"/>
            <w:hideMark/>
          </w:tcPr>
          <w:p w14:paraId="3B3BA7F6" w14:textId="77777777" w:rsidR="00732973" w:rsidRPr="00FB27C3" w:rsidRDefault="00732973">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732973" w:rsidRPr="007B1B1C" w14:paraId="5DE03246" w14:textId="77777777" w:rsidTr="00FB27C3">
        <w:trPr>
          <w:trHeight w:val="433"/>
          <w:jc w:val="center"/>
        </w:trPr>
        <w:tc>
          <w:tcPr>
            <w:tcW w:w="636" w:type="pct"/>
            <w:vMerge w:val="restart"/>
            <w:tcBorders>
              <w:top w:val="nil"/>
              <w:left w:val="single" w:sz="4" w:space="0" w:color="auto"/>
              <w:bottom w:val="single" w:sz="4" w:space="0" w:color="auto"/>
              <w:right w:val="single" w:sz="4" w:space="0" w:color="auto"/>
            </w:tcBorders>
            <w:shd w:val="clear" w:color="000000" w:fill="666699"/>
            <w:vAlign w:val="center"/>
            <w:hideMark/>
          </w:tcPr>
          <w:p w14:paraId="0360D211" w14:textId="77777777" w:rsidR="00732973" w:rsidRPr="00FB27C3" w:rsidRDefault="0073297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173" w:type="pct"/>
            <w:vMerge w:val="restart"/>
            <w:tcBorders>
              <w:top w:val="nil"/>
              <w:left w:val="single" w:sz="4" w:space="0" w:color="auto"/>
              <w:bottom w:val="single" w:sz="4" w:space="0" w:color="auto"/>
              <w:right w:val="single" w:sz="4" w:space="0" w:color="auto"/>
            </w:tcBorders>
            <w:shd w:val="clear" w:color="auto" w:fill="auto"/>
            <w:vAlign w:val="center"/>
            <w:hideMark/>
          </w:tcPr>
          <w:p w14:paraId="34678874"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Prestación de servicios de apoyo a la gestión para la implementación de estrategias para el fomento de la lectura en la </w:t>
            </w:r>
            <w:r w:rsidR="00C00F4A">
              <w:rPr>
                <w:rFonts w:eastAsia="Times New Roman" w:cs="Arial"/>
                <w:color w:val="000000"/>
                <w:sz w:val="18"/>
                <w:szCs w:val="18"/>
                <w:lang w:val="es-CO" w:eastAsia="es-CO"/>
              </w:rPr>
              <w:t>B</w:t>
            </w:r>
            <w:r w:rsidRPr="00FB27C3">
              <w:rPr>
                <w:rFonts w:eastAsia="Times New Roman" w:cs="Arial"/>
                <w:color w:val="000000"/>
                <w:sz w:val="18"/>
                <w:szCs w:val="18"/>
                <w:lang w:val="es-CO" w:eastAsia="es-CO"/>
              </w:rPr>
              <w:t xml:space="preserve">iblioteca </w:t>
            </w:r>
            <w:r w:rsidR="00C00F4A">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unicipal y biblioteca móvil en el </w:t>
            </w:r>
            <w:r w:rsidR="00C00F4A">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de Leguízamo, </w:t>
            </w:r>
            <w:r w:rsidR="00C00F4A">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 Putumayo, Amazonía</w:t>
            </w:r>
          </w:p>
        </w:tc>
        <w:tc>
          <w:tcPr>
            <w:tcW w:w="2191" w:type="pct"/>
            <w:vMerge w:val="restart"/>
            <w:tcBorders>
              <w:top w:val="nil"/>
              <w:left w:val="single" w:sz="4" w:space="0" w:color="auto"/>
              <w:bottom w:val="single" w:sz="4" w:space="0" w:color="auto"/>
              <w:right w:val="single" w:sz="4" w:space="0" w:color="auto"/>
            </w:tcBorders>
            <w:shd w:val="clear" w:color="auto" w:fill="auto"/>
            <w:vAlign w:val="center"/>
            <w:hideMark/>
          </w:tcPr>
          <w:p w14:paraId="02EA9F6A" w14:textId="77777777" w:rsidR="00C00F4A" w:rsidRDefault="0073297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Velar por la debida prestación de servicios de la Biblioteca a la comunidad, facilitando el acceso a las diferentes consultas</w:t>
            </w:r>
            <w:r w:rsidR="00C00F4A">
              <w:rPr>
                <w:rFonts w:eastAsia="Times New Roman" w:cs="Arial"/>
                <w:color w:val="000000"/>
                <w:sz w:val="18"/>
                <w:szCs w:val="18"/>
                <w:lang w:val="es-CO" w:eastAsia="es-CO"/>
              </w:rPr>
              <w:t>.</w:t>
            </w:r>
          </w:p>
          <w:p w14:paraId="7DF24DBE" w14:textId="77777777" w:rsidR="00C00F4A" w:rsidRDefault="0073297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Mantener en estricto orden y cuidado los libros, los bienes y los equipos pertenecientes a la Biblioteca Pública Municipal</w:t>
            </w:r>
            <w:r w:rsidR="00C00F4A">
              <w:rPr>
                <w:rFonts w:eastAsia="Times New Roman" w:cs="Arial"/>
                <w:color w:val="000000"/>
                <w:sz w:val="18"/>
                <w:szCs w:val="18"/>
                <w:lang w:val="es-CO" w:eastAsia="es-CO"/>
              </w:rPr>
              <w:t>.</w:t>
            </w:r>
          </w:p>
          <w:p w14:paraId="539D609E" w14:textId="77777777" w:rsidR="00C00F4A" w:rsidRDefault="0073297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Fomentar la lectura en niños y niñas de las instituciones educativas del </w:t>
            </w:r>
            <w:r w:rsidR="00C00F4A">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r w:rsidR="00C00F4A">
              <w:rPr>
                <w:rFonts w:eastAsia="Times New Roman" w:cs="Arial"/>
                <w:color w:val="000000"/>
                <w:sz w:val="18"/>
                <w:szCs w:val="18"/>
                <w:lang w:val="es-CO" w:eastAsia="es-CO"/>
              </w:rPr>
              <w:t>.</w:t>
            </w:r>
          </w:p>
          <w:p w14:paraId="57908236" w14:textId="77777777" w:rsidR="00732973" w:rsidRPr="00FB27C3" w:rsidRDefault="00732973">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4. Realiza jornadas de lectura con la población adulto mayor, entre otras.</w:t>
            </w:r>
          </w:p>
        </w:tc>
      </w:tr>
      <w:tr w:rsidR="00732973" w:rsidRPr="007B1B1C" w14:paraId="72206ADE" w14:textId="77777777" w:rsidTr="00FB27C3">
        <w:trPr>
          <w:trHeight w:val="1022"/>
          <w:jc w:val="center"/>
        </w:trPr>
        <w:tc>
          <w:tcPr>
            <w:tcW w:w="636" w:type="pct"/>
            <w:vMerge/>
            <w:tcBorders>
              <w:top w:val="nil"/>
              <w:left w:val="single" w:sz="4" w:space="0" w:color="auto"/>
              <w:bottom w:val="single" w:sz="4" w:space="0" w:color="auto"/>
              <w:right w:val="single" w:sz="4" w:space="0" w:color="auto"/>
            </w:tcBorders>
            <w:vAlign w:val="center"/>
            <w:hideMark/>
          </w:tcPr>
          <w:p w14:paraId="7CF58D67" w14:textId="77777777" w:rsidR="00732973" w:rsidRPr="00FB27C3" w:rsidRDefault="00732973">
            <w:pPr>
              <w:spacing w:after="0" w:line="240" w:lineRule="auto"/>
              <w:contextualSpacing/>
              <w:jc w:val="center"/>
              <w:rPr>
                <w:rFonts w:eastAsia="Times New Roman" w:cs="Arial"/>
                <w:b/>
                <w:bCs/>
                <w:color w:val="FFFFFF"/>
                <w:sz w:val="18"/>
                <w:szCs w:val="18"/>
                <w:lang w:val="es-CO" w:eastAsia="es-CO"/>
              </w:rPr>
            </w:pPr>
          </w:p>
        </w:tc>
        <w:tc>
          <w:tcPr>
            <w:tcW w:w="2173" w:type="pct"/>
            <w:vMerge/>
            <w:tcBorders>
              <w:top w:val="nil"/>
              <w:left w:val="single" w:sz="4" w:space="0" w:color="auto"/>
              <w:bottom w:val="single" w:sz="4" w:space="0" w:color="auto"/>
              <w:right w:val="single" w:sz="4" w:space="0" w:color="auto"/>
            </w:tcBorders>
            <w:vAlign w:val="center"/>
            <w:hideMark/>
          </w:tcPr>
          <w:p w14:paraId="733EB0C9"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c>
          <w:tcPr>
            <w:tcW w:w="2191" w:type="pct"/>
            <w:vMerge/>
            <w:tcBorders>
              <w:top w:val="nil"/>
              <w:left w:val="single" w:sz="4" w:space="0" w:color="auto"/>
              <w:bottom w:val="single" w:sz="4" w:space="0" w:color="auto"/>
              <w:right w:val="single" w:sz="4" w:space="0" w:color="auto"/>
            </w:tcBorders>
            <w:vAlign w:val="center"/>
            <w:hideMark/>
          </w:tcPr>
          <w:p w14:paraId="4710FF56"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r>
      <w:tr w:rsidR="00732973" w:rsidRPr="007B1B1C" w14:paraId="6F912BE8" w14:textId="77777777" w:rsidTr="00FB27C3">
        <w:trPr>
          <w:trHeight w:val="457"/>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60B0C4AD" w14:textId="77777777" w:rsidR="00732973" w:rsidRPr="00FB27C3" w:rsidRDefault="0073297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173" w:type="pct"/>
            <w:tcBorders>
              <w:top w:val="nil"/>
              <w:left w:val="nil"/>
              <w:bottom w:val="single" w:sz="4" w:space="0" w:color="auto"/>
              <w:right w:val="single" w:sz="4" w:space="0" w:color="auto"/>
            </w:tcBorders>
            <w:shd w:val="clear" w:color="auto" w:fill="auto"/>
            <w:noWrap/>
            <w:vAlign w:val="center"/>
            <w:hideMark/>
          </w:tcPr>
          <w:p w14:paraId="78760EC4" w14:textId="77777777" w:rsidR="00732973" w:rsidRPr="00FB27C3" w:rsidRDefault="00C00F4A">
            <w:pPr>
              <w:spacing w:after="0" w:line="240" w:lineRule="auto"/>
              <w:contextualSpacing/>
              <w:jc w:val="center"/>
              <w:rPr>
                <w:rFonts w:eastAsia="Times New Roman" w:cs="Arial"/>
                <w:color w:val="000000"/>
                <w:sz w:val="18"/>
                <w:szCs w:val="18"/>
                <w:lang w:val="es-CO" w:eastAsia="es-CO"/>
              </w:rPr>
            </w:pPr>
            <w:r w:rsidRPr="007B1B1C">
              <w:rPr>
                <w:rFonts w:eastAsia="Times New Roman" w:cs="Arial"/>
                <w:color w:val="000000"/>
                <w:sz w:val="18"/>
                <w:szCs w:val="18"/>
                <w:lang w:val="es-CO" w:eastAsia="es-CO"/>
              </w:rPr>
              <w:t>Tatiana Irasy Cortés Vidal</w:t>
            </w:r>
          </w:p>
        </w:tc>
        <w:tc>
          <w:tcPr>
            <w:tcW w:w="2191" w:type="pct"/>
            <w:vMerge/>
            <w:tcBorders>
              <w:top w:val="nil"/>
              <w:left w:val="single" w:sz="4" w:space="0" w:color="auto"/>
              <w:bottom w:val="single" w:sz="4" w:space="0" w:color="auto"/>
              <w:right w:val="single" w:sz="4" w:space="0" w:color="auto"/>
            </w:tcBorders>
            <w:vAlign w:val="center"/>
            <w:hideMark/>
          </w:tcPr>
          <w:p w14:paraId="642160F3"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r>
      <w:tr w:rsidR="00732973" w:rsidRPr="007B1B1C" w14:paraId="0BFF2F80" w14:textId="77777777" w:rsidTr="00FB27C3">
        <w:trPr>
          <w:trHeight w:val="477"/>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2F4E571F" w14:textId="77777777" w:rsidR="00732973" w:rsidRPr="00FB27C3" w:rsidRDefault="0073297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173" w:type="pct"/>
            <w:tcBorders>
              <w:top w:val="nil"/>
              <w:left w:val="nil"/>
              <w:bottom w:val="single" w:sz="4" w:space="0" w:color="auto"/>
              <w:right w:val="single" w:sz="4" w:space="0" w:color="auto"/>
            </w:tcBorders>
            <w:shd w:val="clear" w:color="auto" w:fill="auto"/>
            <w:vAlign w:val="center"/>
            <w:hideMark/>
          </w:tcPr>
          <w:p w14:paraId="6B711334"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$5.000.000</w:t>
            </w:r>
          </w:p>
        </w:tc>
        <w:tc>
          <w:tcPr>
            <w:tcW w:w="2191" w:type="pct"/>
            <w:vMerge/>
            <w:tcBorders>
              <w:top w:val="nil"/>
              <w:left w:val="single" w:sz="4" w:space="0" w:color="auto"/>
              <w:bottom w:val="single" w:sz="4" w:space="0" w:color="auto"/>
              <w:right w:val="single" w:sz="4" w:space="0" w:color="auto"/>
            </w:tcBorders>
            <w:vAlign w:val="center"/>
            <w:hideMark/>
          </w:tcPr>
          <w:p w14:paraId="6BFAB503"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r>
      <w:tr w:rsidR="00732973" w:rsidRPr="007B1B1C" w14:paraId="2BAEA584" w14:textId="77777777" w:rsidTr="00FB27C3">
        <w:trPr>
          <w:trHeight w:val="223"/>
          <w:jc w:val="center"/>
        </w:trPr>
        <w:tc>
          <w:tcPr>
            <w:tcW w:w="636" w:type="pct"/>
            <w:tcBorders>
              <w:top w:val="nil"/>
              <w:left w:val="single" w:sz="4" w:space="0" w:color="auto"/>
              <w:bottom w:val="single" w:sz="4" w:space="0" w:color="auto"/>
              <w:right w:val="single" w:sz="4" w:space="0" w:color="auto"/>
            </w:tcBorders>
            <w:shd w:val="clear" w:color="000000" w:fill="666699"/>
            <w:vAlign w:val="center"/>
            <w:hideMark/>
          </w:tcPr>
          <w:p w14:paraId="57CDFB45" w14:textId="77777777" w:rsidR="00732973" w:rsidRPr="00FB27C3" w:rsidRDefault="00732973"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173" w:type="pct"/>
            <w:tcBorders>
              <w:top w:val="nil"/>
              <w:left w:val="nil"/>
              <w:bottom w:val="single" w:sz="4" w:space="0" w:color="auto"/>
              <w:right w:val="single" w:sz="4" w:space="0" w:color="auto"/>
            </w:tcBorders>
            <w:shd w:val="clear" w:color="auto" w:fill="auto"/>
            <w:noWrap/>
            <w:vAlign w:val="center"/>
            <w:hideMark/>
          </w:tcPr>
          <w:p w14:paraId="142D61A2"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meses</w:t>
            </w:r>
          </w:p>
        </w:tc>
        <w:tc>
          <w:tcPr>
            <w:tcW w:w="2191" w:type="pct"/>
            <w:vMerge/>
            <w:tcBorders>
              <w:top w:val="nil"/>
              <w:left w:val="single" w:sz="4" w:space="0" w:color="auto"/>
              <w:bottom w:val="single" w:sz="4" w:space="0" w:color="auto"/>
              <w:right w:val="single" w:sz="4" w:space="0" w:color="auto"/>
            </w:tcBorders>
            <w:vAlign w:val="center"/>
            <w:hideMark/>
          </w:tcPr>
          <w:p w14:paraId="2C0735FB" w14:textId="77777777" w:rsidR="00732973" w:rsidRPr="00FB27C3" w:rsidRDefault="00732973">
            <w:pPr>
              <w:spacing w:after="0" w:line="240" w:lineRule="auto"/>
              <w:contextualSpacing/>
              <w:jc w:val="center"/>
              <w:rPr>
                <w:rFonts w:eastAsia="Times New Roman" w:cs="Arial"/>
                <w:color w:val="000000"/>
                <w:sz w:val="18"/>
                <w:szCs w:val="18"/>
                <w:lang w:val="es-CO" w:eastAsia="es-CO"/>
              </w:rPr>
            </w:pPr>
          </w:p>
        </w:tc>
      </w:tr>
    </w:tbl>
    <w:p w14:paraId="66108FCB" w14:textId="77777777" w:rsidR="00732973" w:rsidRPr="00FB27C3" w:rsidRDefault="00732973" w:rsidP="00286F4A">
      <w:pPr>
        <w:spacing w:line="240" w:lineRule="auto"/>
        <w:contextualSpacing/>
        <w:jc w:val="center"/>
        <w:rPr>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24694C98" w14:textId="77777777" w:rsidR="00732973" w:rsidRDefault="00732973">
      <w:pPr>
        <w:spacing w:line="240" w:lineRule="auto"/>
        <w:contextualSpacing/>
        <w:jc w:val="both"/>
        <w:rPr>
          <w:rFonts w:eastAsia="Arial" w:cs="Arial"/>
        </w:rPr>
      </w:pPr>
    </w:p>
    <w:p w14:paraId="76AC21A2" w14:textId="77777777" w:rsidR="00732973" w:rsidRDefault="0085175A">
      <w:pPr>
        <w:spacing w:line="240" w:lineRule="auto"/>
        <w:contextualSpacing/>
        <w:jc w:val="both"/>
        <w:rPr>
          <w:rFonts w:eastAsia="Arial" w:cs="Arial"/>
          <w:lang w:val="es"/>
        </w:rPr>
      </w:pPr>
      <w:r>
        <w:rPr>
          <w:rFonts w:eastAsia="Arial" w:cs="Arial"/>
        </w:rPr>
        <w:t>L</w:t>
      </w:r>
      <w:r w:rsidR="00732973">
        <w:rPr>
          <w:rFonts w:eastAsia="Arial" w:cs="Arial"/>
        </w:rPr>
        <w:t xml:space="preserve">as obligaciones específicas de las contratistas son iguales y materializan la misionalidad de la Biblioteca Municipal. A pesar de que existen algunas actividades relacionadas con el fomento a la lectura, </w:t>
      </w:r>
      <w:r w:rsidR="003B6B3B">
        <w:rPr>
          <w:rFonts w:eastAsia="Arial" w:cs="Arial"/>
        </w:rPr>
        <w:t xml:space="preserve">que pueden considerarse como inversión, las otras actividades se asocian a la gestión permanente de la Biblioteca. </w:t>
      </w:r>
      <w:r w:rsidR="00732973" w:rsidRPr="00AD0EC1">
        <w:rPr>
          <w:rFonts w:eastAsia="Arial" w:cs="Arial"/>
        </w:rPr>
        <w:t xml:space="preserve">Como se evidencia, los </w:t>
      </w:r>
      <w:r w:rsidR="00C00F4A">
        <w:rPr>
          <w:rFonts w:eastAsia="Arial" w:cs="Arial"/>
        </w:rPr>
        <w:t>C</w:t>
      </w:r>
      <w:r w:rsidR="00732973" w:rsidRPr="00AD0EC1">
        <w:rPr>
          <w:rFonts w:eastAsia="Arial" w:cs="Arial"/>
        </w:rPr>
        <w:t xml:space="preserve">ontratos </w:t>
      </w:r>
      <w:r w:rsidR="00732973">
        <w:rPr>
          <w:rFonts w:eastAsia="Arial" w:cs="Arial"/>
        </w:rPr>
        <w:t xml:space="preserve">relacionados en el cuadro anterior </w:t>
      </w:r>
      <w:r w:rsidR="00732973" w:rsidRPr="00AD0EC1">
        <w:rPr>
          <w:rFonts w:eastAsia="Arial" w:cs="Arial"/>
        </w:rPr>
        <w:t xml:space="preserve">financian las actividades de funcionamiento de la Biblioteca del Municipio, </w:t>
      </w:r>
      <w:r w:rsidR="00732973">
        <w:rPr>
          <w:rFonts w:eastAsia="Arial" w:cs="Arial"/>
        </w:rPr>
        <w:t>a pesar de que</w:t>
      </w:r>
      <w:r w:rsidR="00732973" w:rsidRPr="00AD0EC1">
        <w:rPr>
          <w:rFonts w:eastAsia="Arial" w:cs="Arial"/>
        </w:rPr>
        <w:t xml:space="preserve"> los recursos de Propósito General de Cultura deben ir orientados a financiar el gasto social en materia de Cultura bajo el marco legal</w:t>
      </w:r>
      <w:r w:rsidR="00732973">
        <w:rPr>
          <w:rFonts w:eastAsia="Arial" w:cs="Arial"/>
        </w:rPr>
        <w:t>, e</w:t>
      </w:r>
      <w:r w:rsidR="00732973" w:rsidRPr="00AD0EC1">
        <w:rPr>
          <w:rFonts w:eastAsia="Arial" w:cs="Arial"/>
        </w:rPr>
        <w:t>specíficamente,</w:t>
      </w:r>
      <w:r w:rsidR="00732973" w:rsidRPr="00AD0EC1">
        <w:rPr>
          <w:rFonts w:eastAsia="Arial" w:cs="Arial"/>
          <w:lang w:val="es"/>
        </w:rPr>
        <w:t xml:space="preserve"> </w:t>
      </w:r>
      <w:r w:rsidR="00732973">
        <w:rPr>
          <w:rFonts w:eastAsia="Arial" w:cs="Arial"/>
          <w:lang w:val="es"/>
        </w:rPr>
        <w:t>l</w:t>
      </w:r>
      <w:r w:rsidR="00732973" w:rsidRPr="00AD0EC1">
        <w:rPr>
          <w:rFonts w:eastAsia="Arial" w:cs="Arial"/>
          <w:lang w:val="es"/>
        </w:rPr>
        <w:t>as competencias que se encuentran dadas por el artículo 76 de la Ley 715 de 2001.</w:t>
      </w:r>
    </w:p>
    <w:p w14:paraId="44932974" w14:textId="77777777" w:rsidR="009B6742" w:rsidRDefault="009B6742">
      <w:pPr>
        <w:spacing w:line="240" w:lineRule="auto"/>
        <w:contextualSpacing/>
        <w:jc w:val="both"/>
        <w:rPr>
          <w:rFonts w:eastAsia="Arial" w:cs="Arial"/>
          <w:lang w:val="es"/>
        </w:rPr>
      </w:pPr>
    </w:p>
    <w:p w14:paraId="5CAA2CAB" w14:textId="77777777" w:rsidR="00DC50B4" w:rsidRDefault="007710A9">
      <w:pPr>
        <w:spacing w:line="240" w:lineRule="auto"/>
        <w:contextualSpacing/>
        <w:jc w:val="both"/>
      </w:pPr>
      <w:r>
        <w:rPr>
          <w:rFonts w:eastAsia="Arial" w:cs="Arial"/>
          <w:lang w:val="es"/>
        </w:rPr>
        <w:t>Por otro lado</w:t>
      </w:r>
      <w:r w:rsidR="00DC50B4">
        <w:rPr>
          <w:rFonts w:eastAsia="Arial" w:cs="Arial"/>
          <w:lang w:val="es"/>
        </w:rPr>
        <w:t xml:space="preserve">, </w:t>
      </w:r>
      <w:r>
        <w:t>la</w:t>
      </w:r>
      <w:r w:rsidR="00DC50B4">
        <w:t xml:space="preserve"> Guía de Orientaciones para la Programación y Ejecución de los recursos del Sistema General de Participaciones indica que </w:t>
      </w:r>
      <w:r w:rsidR="00DC50B4" w:rsidRPr="003522F9">
        <w:rPr>
          <w:i/>
          <w:iCs/>
        </w:rPr>
        <w:t xml:space="preserve">“se debe precisar que los recursos de la PPG de forzosa inversión no se pueden destinar a financiar gastos de funcionamiento del ente deportivo municipal o de la entidad o unidad administrativa </w:t>
      </w:r>
      <w:r w:rsidR="00DC50B4" w:rsidRPr="003522F9">
        <w:rPr>
          <w:i/>
          <w:iCs/>
        </w:rPr>
        <w:lastRenderedPageBreak/>
        <w:t>municipal que haga sus veces”</w:t>
      </w:r>
      <w:r w:rsidR="00F70FC7">
        <w:rPr>
          <w:rStyle w:val="Refdenotaalpie"/>
          <w:i/>
          <w:iCs/>
        </w:rPr>
        <w:footnoteReference w:id="16"/>
      </w:r>
      <w:r w:rsidR="00DC50B4" w:rsidRPr="003522F9">
        <w:rPr>
          <w:i/>
          <w:iCs/>
        </w:rPr>
        <w:t>.</w:t>
      </w:r>
      <w:r w:rsidR="00DC50B4">
        <w:t xml:space="preserve"> Estos deben dirigirse, entre otros aspectos, </w:t>
      </w:r>
      <w:r>
        <w:t xml:space="preserve">a </w:t>
      </w:r>
      <w:r w:rsidR="00DC50B4">
        <w:t xml:space="preserve">la planeación y el desarrollo de programas y actividades que permitan fomentar la práctica del deporte, la recreación, el aprovechamiento del tiempo libre que se desarrolle a través de proyectos de inversión previamente estructurados y viabilizados en el Banco de Programas y Proyectos de Inversión Municipal. </w:t>
      </w:r>
      <w:r w:rsidR="00B35825">
        <w:t>Esta situación se replica en el caso de los recursos mínimos para Cultura:</w:t>
      </w:r>
    </w:p>
    <w:p w14:paraId="07807AAF" w14:textId="77777777" w:rsidR="00C00F4A" w:rsidRDefault="00C00F4A">
      <w:pPr>
        <w:spacing w:line="240" w:lineRule="auto"/>
        <w:contextualSpacing/>
        <w:jc w:val="both"/>
      </w:pPr>
    </w:p>
    <w:p w14:paraId="66EF47E4" w14:textId="77777777" w:rsidR="00B35825" w:rsidRPr="00FB27C3" w:rsidRDefault="00C00F4A">
      <w:pPr>
        <w:spacing w:line="240" w:lineRule="auto"/>
        <w:ind w:left="709"/>
        <w:contextualSpacing/>
        <w:jc w:val="both"/>
        <w:rPr>
          <w:i/>
          <w:iCs/>
          <w:sz w:val="18"/>
          <w:szCs w:val="18"/>
        </w:rPr>
      </w:pPr>
      <w:r w:rsidRPr="00FB27C3">
        <w:rPr>
          <w:sz w:val="18"/>
          <w:szCs w:val="18"/>
        </w:rPr>
        <w:t>“</w:t>
      </w:r>
      <w:r w:rsidR="00B35825" w:rsidRPr="00FB27C3">
        <w:rPr>
          <w:i/>
          <w:iCs/>
          <w:sz w:val="18"/>
          <w:szCs w:val="18"/>
        </w:rPr>
        <w:t>Se considera relevante precisar que los recursos de la participación de PPG inversión en cultura no se pueden destinar a financiar gastos de funcionamiento de la entidad o de la unidad administrativa municipal que ejecute la política y proyectos culturales del municipio</w:t>
      </w:r>
      <w:r w:rsidRPr="00FB27C3">
        <w:rPr>
          <w:i/>
          <w:iCs/>
          <w:sz w:val="18"/>
          <w:szCs w:val="18"/>
        </w:rPr>
        <w:t>”</w:t>
      </w:r>
      <w:r w:rsidR="00B35825" w:rsidRPr="00FB27C3">
        <w:rPr>
          <w:i/>
          <w:iCs/>
          <w:sz w:val="18"/>
          <w:szCs w:val="18"/>
        </w:rPr>
        <w:t xml:space="preserve">. </w:t>
      </w:r>
      <w:r w:rsidR="00B35825" w:rsidRPr="00FB27C3">
        <w:rPr>
          <w:rStyle w:val="Refdenotaalpie"/>
          <w:i/>
          <w:iCs/>
          <w:sz w:val="18"/>
          <w:szCs w:val="18"/>
        </w:rPr>
        <w:footnoteReference w:id="17"/>
      </w:r>
    </w:p>
    <w:p w14:paraId="04A5D823" w14:textId="77777777" w:rsidR="00C00F4A" w:rsidRDefault="00C00F4A">
      <w:pPr>
        <w:spacing w:line="240" w:lineRule="auto"/>
        <w:contextualSpacing/>
        <w:jc w:val="both"/>
      </w:pPr>
    </w:p>
    <w:p w14:paraId="6961762D" w14:textId="77777777" w:rsidR="00DC50B4" w:rsidRDefault="00DC50B4">
      <w:pPr>
        <w:spacing w:line="240" w:lineRule="auto"/>
        <w:contextualSpacing/>
        <w:jc w:val="both"/>
      </w:pPr>
      <w:r>
        <w:t xml:space="preserve">En el análisis contractual de la información remitida por el </w:t>
      </w:r>
      <w:r w:rsidR="00C00F4A">
        <w:t>M</w:t>
      </w:r>
      <w:r>
        <w:t xml:space="preserve">unicipio se identificaron contratos con cargo a los recursos de SGP Deporte y </w:t>
      </w:r>
      <w:r w:rsidR="00B35825">
        <w:t xml:space="preserve">SGP </w:t>
      </w:r>
      <w:r>
        <w:t>Cultura que son propi</w:t>
      </w:r>
      <w:r w:rsidR="007710A9">
        <w:t>o</w:t>
      </w:r>
      <w:r>
        <w:t xml:space="preserve">s del funcionamiento de la </w:t>
      </w:r>
      <w:r w:rsidR="00C00F4A">
        <w:t>E</w:t>
      </w:r>
      <w:r>
        <w:t>ntidad</w:t>
      </w:r>
      <w:r w:rsidR="007710A9">
        <w:t>,</w:t>
      </w:r>
      <w:r w:rsidR="00B35825">
        <w:t xml:space="preserve"> como se evidencia a continuación:</w:t>
      </w:r>
    </w:p>
    <w:p w14:paraId="5AFF96C7" w14:textId="77777777" w:rsidR="009A01AF" w:rsidRDefault="009A01AF">
      <w:pPr>
        <w:spacing w:line="240" w:lineRule="auto"/>
        <w:contextualSpacing/>
        <w:jc w:val="both"/>
      </w:pPr>
    </w:p>
    <w:p w14:paraId="1A4848DB" w14:textId="77777777" w:rsidR="00B35825" w:rsidRPr="005370C5" w:rsidRDefault="00B35825" w:rsidP="00286F4A">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sidR="009D3AF7">
        <w:rPr>
          <w:rFonts w:eastAsia="Arial" w:cs="Arial"/>
          <w:b/>
          <w:bCs/>
          <w:sz w:val="20"/>
          <w:szCs w:val="20"/>
        </w:rPr>
        <w:t>5</w:t>
      </w:r>
    </w:p>
    <w:p w14:paraId="621FB6FF" w14:textId="77777777" w:rsidR="00B35825" w:rsidRDefault="00B35825">
      <w:pPr>
        <w:spacing w:after="0" w:line="240" w:lineRule="auto"/>
        <w:contextualSpacing/>
        <w:jc w:val="center"/>
        <w:rPr>
          <w:rFonts w:eastAsia="Arial" w:cs="Arial"/>
          <w:sz w:val="20"/>
          <w:szCs w:val="20"/>
        </w:rPr>
      </w:pPr>
      <w:r>
        <w:rPr>
          <w:rFonts w:eastAsia="Arial" w:cs="Arial"/>
          <w:sz w:val="20"/>
          <w:szCs w:val="20"/>
        </w:rPr>
        <w:t>Contratos de funcionamiento en Deporte y Cultura</w:t>
      </w:r>
    </w:p>
    <w:p w14:paraId="75BC52BD" w14:textId="77777777" w:rsidR="00B35825" w:rsidRPr="00C16E4B" w:rsidRDefault="00B35825">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8920" w:type="dxa"/>
        <w:jc w:val="center"/>
        <w:tblCellMar>
          <w:left w:w="70" w:type="dxa"/>
          <w:right w:w="70" w:type="dxa"/>
        </w:tblCellMar>
        <w:tblLook w:val="04A0" w:firstRow="1" w:lastRow="0" w:firstColumn="1" w:lastColumn="0" w:noHBand="0" w:noVBand="1"/>
      </w:tblPr>
      <w:tblGrid>
        <w:gridCol w:w="1341"/>
        <w:gridCol w:w="3522"/>
        <w:gridCol w:w="4057"/>
      </w:tblGrid>
      <w:tr w:rsidR="00B35825" w:rsidRPr="007B1B1C" w14:paraId="568D58AC" w14:textId="77777777" w:rsidTr="001605E3">
        <w:trPr>
          <w:trHeight w:val="269"/>
          <w:jc w:val="center"/>
        </w:trPr>
        <w:tc>
          <w:tcPr>
            <w:tcW w:w="1341"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54BF1166" w14:textId="77777777" w:rsidR="00B35825" w:rsidRPr="00FB27C3" w:rsidRDefault="00B35825">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3522" w:type="dxa"/>
            <w:tcBorders>
              <w:top w:val="single" w:sz="4" w:space="0" w:color="auto"/>
              <w:left w:val="nil"/>
              <w:bottom w:val="single" w:sz="4" w:space="0" w:color="auto"/>
              <w:right w:val="single" w:sz="4" w:space="0" w:color="auto"/>
            </w:tcBorders>
            <w:shd w:val="clear" w:color="000000" w:fill="CCCCFF"/>
            <w:vAlign w:val="center"/>
            <w:hideMark/>
          </w:tcPr>
          <w:p w14:paraId="410B4FE5" w14:textId="77777777" w:rsidR="00B35825" w:rsidRPr="00FB27C3" w:rsidRDefault="00B35825">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CPS-022-2018</w:t>
            </w:r>
          </w:p>
        </w:tc>
        <w:tc>
          <w:tcPr>
            <w:tcW w:w="4057" w:type="dxa"/>
            <w:tcBorders>
              <w:top w:val="single" w:sz="4" w:space="0" w:color="auto"/>
              <w:left w:val="nil"/>
              <w:bottom w:val="single" w:sz="4" w:space="0" w:color="auto"/>
              <w:right w:val="single" w:sz="4" w:space="0" w:color="auto"/>
            </w:tcBorders>
            <w:shd w:val="clear" w:color="000000" w:fill="666699"/>
            <w:vAlign w:val="center"/>
            <w:hideMark/>
          </w:tcPr>
          <w:p w14:paraId="6A04D5DC" w14:textId="77777777" w:rsidR="00B35825" w:rsidRPr="00FB27C3" w:rsidRDefault="00B35825">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B35825" w:rsidRPr="007B1B1C" w14:paraId="53470E86" w14:textId="77777777" w:rsidTr="001605E3">
        <w:trPr>
          <w:trHeight w:val="433"/>
          <w:jc w:val="center"/>
        </w:trPr>
        <w:tc>
          <w:tcPr>
            <w:tcW w:w="1341" w:type="dxa"/>
            <w:vMerge w:val="restart"/>
            <w:tcBorders>
              <w:top w:val="nil"/>
              <w:left w:val="single" w:sz="4" w:space="0" w:color="auto"/>
              <w:bottom w:val="single" w:sz="4" w:space="0" w:color="000000"/>
              <w:right w:val="single" w:sz="4" w:space="0" w:color="auto"/>
            </w:tcBorders>
            <w:shd w:val="clear" w:color="000000" w:fill="666699"/>
            <w:vAlign w:val="center"/>
            <w:hideMark/>
          </w:tcPr>
          <w:p w14:paraId="078FB314" w14:textId="77777777" w:rsidR="00B35825" w:rsidRPr="00FB27C3" w:rsidRDefault="00B35825"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22" w:type="dxa"/>
            <w:vMerge w:val="restart"/>
            <w:tcBorders>
              <w:top w:val="nil"/>
              <w:left w:val="single" w:sz="4" w:space="0" w:color="auto"/>
              <w:bottom w:val="single" w:sz="4" w:space="0" w:color="000000"/>
              <w:right w:val="single" w:sz="4" w:space="0" w:color="auto"/>
            </w:tcBorders>
            <w:shd w:val="clear" w:color="auto" w:fill="auto"/>
            <w:vAlign w:val="center"/>
            <w:hideMark/>
          </w:tcPr>
          <w:p w14:paraId="2ED5ABA8" w14:textId="77777777" w:rsidR="00B35825" w:rsidRPr="00FB27C3" w:rsidRDefault="00B35825">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Prestación de servicios de apoyo a la gestión como coordinador de deportes municipal</w:t>
            </w:r>
          </w:p>
        </w:tc>
        <w:tc>
          <w:tcPr>
            <w:tcW w:w="4057" w:type="dxa"/>
            <w:vMerge w:val="restart"/>
            <w:tcBorders>
              <w:top w:val="nil"/>
              <w:left w:val="single" w:sz="4" w:space="0" w:color="auto"/>
              <w:bottom w:val="single" w:sz="4" w:space="0" w:color="auto"/>
              <w:right w:val="single" w:sz="4" w:space="0" w:color="auto"/>
            </w:tcBorders>
            <w:shd w:val="clear" w:color="auto" w:fill="auto"/>
            <w:vAlign w:val="bottom"/>
            <w:hideMark/>
          </w:tcPr>
          <w:p w14:paraId="56271802" w14:textId="77777777" w:rsidR="00C00F4A"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 Elaborar proyectos deportivos recreativos de infraestructura deportiva y recreación</w:t>
            </w:r>
            <w:r w:rsidR="00C00F4A">
              <w:rPr>
                <w:rFonts w:eastAsia="Times New Roman" w:cs="Arial"/>
                <w:color w:val="000000"/>
                <w:sz w:val="18"/>
                <w:szCs w:val="18"/>
                <w:lang w:val="es-CO" w:eastAsia="es-CO"/>
              </w:rPr>
              <w:t>.</w:t>
            </w:r>
          </w:p>
          <w:p w14:paraId="34D0E59C" w14:textId="77777777" w:rsidR="00C00F4A"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2. Programar actividades que fomenten la buena utilización del tiempo libre</w:t>
            </w:r>
            <w:r w:rsidR="00C00F4A">
              <w:rPr>
                <w:rFonts w:eastAsia="Times New Roman" w:cs="Arial"/>
                <w:color w:val="000000"/>
                <w:sz w:val="18"/>
                <w:szCs w:val="18"/>
                <w:lang w:val="es-CO" w:eastAsia="es-CO"/>
              </w:rPr>
              <w:t>.</w:t>
            </w:r>
          </w:p>
          <w:p w14:paraId="4D056631" w14:textId="77777777" w:rsidR="00C00F4A"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3. Organizar y hacer seguimiento a las escuelas de formación en por lo menos cinco disciplinas del orden nacional</w:t>
            </w:r>
            <w:r w:rsidR="00C00F4A">
              <w:rPr>
                <w:rFonts w:eastAsia="Times New Roman" w:cs="Arial"/>
                <w:color w:val="000000"/>
                <w:sz w:val="18"/>
                <w:szCs w:val="18"/>
                <w:lang w:val="es-CO" w:eastAsia="es-CO"/>
              </w:rPr>
              <w:t>.</w:t>
            </w:r>
          </w:p>
          <w:p w14:paraId="632E3B71" w14:textId="77777777" w:rsidR="00C00F4A"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4. Activar los comités de deporte y actividad física del </w:t>
            </w:r>
            <w:r w:rsidR="00C00F4A">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r w:rsidR="00C00F4A">
              <w:rPr>
                <w:rFonts w:eastAsia="Times New Roman" w:cs="Arial"/>
                <w:color w:val="000000"/>
                <w:sz w:val="18"/>
                <w:szCs w:val="18"/>
                <w:lang w:val="es-CO" w:eastAsia="es-CO"/>
              </w:rPr>
              <w:t>.</w:t>
            </w:r>
          </w:p>
          <w:p w14:paraId="7FAB4F7D" w14:textId="77777777" w:rsidR="00C00F4A"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5. Desarrollar acciones formativas en las disciplinas de voleibol, baloncesto y atletismo en la escuela de formación deportiva</w:t>
            </w:r>
            <w:r w:rsidR="00C00F4A">
              <w:rPr>
                <w:rFonts w:eastAsia="Times New Roman" w:cs="Arial"/>
                <w:color w:val="000000"/>
                <w:sz w:val="18"/>
                <w:szCs w:val="18"/>
                <w:lang w:val="es-CO" w:eastAsia="es-CO"/>
              </w:rPr>
              <w:t>.</w:t>
            </w:r>
          </w:p>
          <w:p w14:paraId="6A156EC3" w14:textId="77777777" w:rsidR="00B35825" w:rsidRPr="00FB27C3"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6. Apoyar a la Secretaría de Educación, Cultura y Deporte </w:t>
            </w:r>
            <w:r w:rsidR="00C00F4A">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unicipal en lo concerniente a las actividades deportivas y recreativas que realice el </w:t>
            </w:r>
            <w:r w:rsidR="00C00F4A">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y la puesta en marcha del PDT </w:t>
            </w:r>
            <w:r w:rsidR="00C00F4A">
              <w:rPr>
                <w:rFonts w:eastAsia="Times New Roman" w:cs="Arial"/>
                <w:color w:val="000000"/>
                <w:sz w:val="18"/>
                <w:szCs w:val="18"/>
                <w:lang w:val="es-CO" w:eastAsia="es-CO"/>
              </w:rPr>
              <w:t>S</w:t>
            </w:r>
            <w:r w:rsidRPr="00FB27C3">
              <w:rPr>
                <w:rFonts w:eastAsia="Times New Roman" w:cs="Arial"/>
                <w:color w:val="000000"/>
                <w:sz w:val="18"/>
                <w:szCs w:val="18"/>
                <w:lang w:val="es-CO" w:eastAsia="es-CO"/>
              </w:rPr>
              <w:t xml:space="preserve">ector </w:t>
            </w:r>
            <w:r w:rsidR="00C00F4A">
              <w:rPr>
                <w:rFonts w:eastAsia="Times New Roman" w:cs="Arial"/>
                <w:color w:val="000000"/>
                <w:sz w:val="18"/>
                <w:szCs w:val="18"/>
                <w:lang w:val="es-CO" w:eastAsia="es-CO"/>
              </w:rPr>
              <w:t>D</w:t>
            </w:r>
            <w:r w:rsidRPr="00FB27C3">
              <w:rPr>
                <w:rFonts w:eastAsia="Times New Roman" w:cs="Arial"/>
                <w:color w:val="000000"/>
                <w:sz w:val="18"/>
                <w:szCs w:val="18"/>
                <w:lang w:val="es-CO" w:eastAsia="es-CO"/>
              </w:rPr>
              <w:t xml:space="preserve">eporte y </w:t>
            </w:r>
            <w:r w:rsidR="00C00F4A">
              <w:rPr>
                <w:rFonts w:eastAsia="Times New Roman" w:cs="Arial"/>
                <w:color w:val="000000"/>
                <w:sz w:val="18"/>
                <w:szCs w:val="18"/>
                <w:lang w:val="es-CO" w:eastAsia="es-CO"/>
              </w:rPr>
              <w:t>R</w:t>
            </w:r>
            <w:r w:rsidRPr="00FB27C3">
              <w:rPr>
                <w:rFonts w:eastAsia="Times New Roman" w:cs="Arial"/>
                <w:color w:val="000000"/>
                <w:sz w:val="18"/>
                <w:szCs w:val="18"/>
                <w:lang w:val="es-CO" w:eastAsia="es-CO"/>
              </w:rPr>
              <w:t>ecreación, entre otras.</w:t>
            </w:r>
          </w:p>
        </w:tc>
      </w:tr>
      <w:tr w:rsidR="00B35825" w:rsidRPr="007B1B1C" w14:paraId="73920588" w14:textId="77777777" w:rsidTr="00FB27C3">
        <w:trPr>
          <w:trHeight w:val="545"/>
          <w:jc w:val="center"/>
        </w:trPr>
        <w:tc>
          <w:tcPr>
            <w:tcW w:w="1341" w:type="dxa"/>
            <w:vMerge/>
            <w:tcBorders>
              <w:top w:val="nil"/>
              <w:left w:val="single" w:sz="4" w:space="0" w:color="auto"/>
              <w:bottom w:val="single" w:sz="4" w:space="0" w:color="000000"/>
              <w:right w:val="single" w:sz="4" w:space="0" w:color="auto"/>
            </w:tcBorders>
            <w:vAlign w:val="center"/>
            <w:hideMark/>
          </w:tcPr>
          <w:p w14:paraId="680502CB" w14:textId="77777777" w:rsidR="00B35825" w:rsidRPr="00FB27C3" w:rsidRDefault="00B35825">
            <w:pPr>
              <w:spacing w:after="0" w:line="240" w:lineRule="auto"/>
              <w:contextualSpacing/>
              <w:rPr>
                <w:rFonts w:eastAsia="Times New Roman" w:cs="Arial"/>
                <w:b/>
                <w:bCs/>
                <w:color w:val="FFFFFF"/>
                <w:sz w:val="18"/>
                <w:szCs w:val="18"/>
                <w:lang w:val="es-CO" w:eastAsia="es-CO"/>
              </w:rPr>
            </w:pPr>
          </w:p>
        </w:tc>
        <w:tc>
          <w:tcPr>
            <w:tcW w:w="3522" w:type="dxa"/>
            <w:vMerge/>
            <w:tcBorders>
              <w:top w:val="nil"/>
              <w:left w:val="single" w:sz="4" w:space="0" w:color="auto"/>
              <w:bottom w:val="single" w:sz="4" w:space="0" w:color="000000"/>
              <w:right w:val="single" w:sz="4" w:space="0" w:color="auto"/>
            </w:tcBorders>
            <w:vAlign w:val="center"/>
            <w:hideMark/>
          </w:tcPr>
          <w:p w14:paraId="234916F7" w14:textId="77777777" w:rsidR="00B35825" w:rsidRPr="00FB27C3" w:rsidRDefault="00B35825">
            <w:pPr>
              <w:spacing w:after="0" w:line="240" w:lineRule="auto"/>
              <w:contextualSpacing/>
              <w:rPr>
                <w:rFonts w:eastAsia="Times New Roman" w:cs="Arial"/>
                <w:color w:val="000000"/>
                <w:sz w:val="18"/>
                <w:szCs w:val="18"/>
                <w:lang w:val="es-CO" w:eastAsia="es-CO"/>
              </w:rPr>
            </w:pPr>
          </w:p>
        </w:tc>
        <w:tc>
          <w:tcPr>
            <w:tcW w:w="4057" w:type="dxa"/>
            <w:vMerge/>
            <w:tcBorders>
              <w:top w:val="nil"/>
              <w:left w:val="single" w:sz="4" w:space="0" w:color="auto"/>
              <w:bottom w:val="single" w:sz="4" w:space="0" w:color="auto"/>
              <w:right w:val="single" w:sz="4" w:space="0" w:color="auto"/>
            </w:tcBorders>
            <w:vAlign w:val="center"/>
            <w:hideMark/>
          </w:tcPr>
          <w:p w14:paraId="4602C6D0" w14:textId="77777777" w:rsidR="00B35825" w:rsidRPr="00FB27C3" w:rsidRDefault="00B35825">
            <w:pPr>
              <w:spacing w:after="0" w:line="240" w:lineRule="auto"/>
              <w:contextualSpacing/>
              <w:rPr>
                <w:rFonts w:eastAsia="Times New Roman" w:cs="Arial"/>
                <w:color w:val="000000"/>
                <w:sz w:val="18"/>
                <w:szCs w:val="18"/>
                <w:lang w:val="es-CO" w:eastAsia="es-CO"/>
              </w:rPr>
            </w:pPr>
          </w:p>
        </w:tc>
      </w:tr>
      <w:tr w:rsidR="00B35825" w:rsidRPr="007B1B1C" w14:paraId="3FD60E16" w14:textId="77777777" w:rsidTr="00FB27C3">
        <w:trPr>
          <w:trHeight w:val="553"/>
          <w:jc w:val="center"/>
        </w:trPr>
        <w:tc>
          <w:tcPr>
            <w:tcW w:w="1341" w:type="dxa"/>
            <w:tcBorders>
              <w:top w:val="nil"/>
              <w:left w:val="single" w:sz="4" w:space="0" w:color="auto"/>
              <w:bottom w:val="single" w:sz="4" w:space="0" w:color="auto"/>
              <w:right w:val="single" w:sz="4" w:space="0" w:color="auto"/>
            </w:tcBorders>
            <w:shd w:val="clear" w:color="000000" w:fill="666699"/>
            <w:vAlign w:val="center"/>
            <w:hideMark/>
          </w:tcPr>
          <w:p w14:paraId="43EB28CB" w14:textId="77777777" w:rsidR="00B35825" w:rsidRPr="00FB27C3" w:rsidRDefault="00B35825"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22" w:type="dxa"/>
            <w:tcBorders>
              <w:top w:val="nil"/>
              <w:left w:val="nil"/>
              <w:bottom w:val="single" w:sz="4" w:space="0" w:color="auto"/>
              <w:right w:val="single" w:sz="4" w:space="0" w:color="auto"/>
            </w:tcBorders>
            <w:shd w:val="clear" w:color="auto" w:fill="auto"/>
            <w:vAlign w:val="center"/>
            <w:hideMark/>
          </w:tcPr>
          <w:p w14:paraId="2F88CD49" w14:textId="77777777" w:rsidR="00B35825" w:rsidRPr="00FB27C3" w:rsidRDefault="00C00F4A">
            <w:pPr>
              <w:spacing w:after="0" w:line="240" w:lineRule="auto"/>
              <w:contextualSpacing/>
              <w:jc w:val="center"/>
              <w:rPr>
                <w:rFonts w:eastAsia="Times New Roman" w:cs="Arial"/>
                <w:color w:val="000000"/>
                <w:sz w:val="18"/>
                <w:szCs w:val="18"/>
                <w:lang w:val="es-CO" w:eastAsia="es-CO"/>
              </w:rPr>
            </w:pPr>
            <w:r w:rsidRPr="007B1B1C">
              <w:rPr>
                <w:rFonts w:eastAsia="Times New Roman" w:cs="Arial"/>
                <w:color w:val="000000"/>
                <w:sz w:val="18"/>
                <w:szCs w:val="18"/>
                <w:lang w:val="es-CO" w:eastAsia="es-CO"/>
              </w:rPr>
              <w:t>Agustín Otaya Charry</w:t>
            </w:r>
          </w:p>
        </w:tc>
        <w:tc>
          <w:tcPr>
            <w:tcW w:w="4057" w:type="dxa"/>
            <w:vMerge/>
            <w:tcBorders>
              <w:top w:val="nil"/>
              <w:left w:val="single" w:sz="4" w:space="0" w:color="auto"/>
              <w:bottom w:val="single" w:sz="4" w:space="0" w:color="auto"/>
              <w:right w:val="single" w:sz="4" w:space="0" w:color="auto"/>
            </w:tcBorders>
            <w:vAlign w:val="center"/>
            <w:hideMark/>
          </w:tcPr>
          <w:p w14:paraId="2E3845AF" w14:textId="77777777" w:rsidR="00B35825" w:rsidRPr="00FB27C3" w:rsidRDefault="00B35825">
            <w:pPr>
              <w:spacing w:after="0" w:line="240" w:lineRule="auto"/>
              <w:contextualSpacing/>
              <w:rPr>
                <w:rFonts w:eastAsia="Times New Roman" w:cs="Arial"/>
                <w:color w:val="000000"/>
                <w:sz w:val="18"/>
                <w:szCs w:val="18"/>
                <w:lang w:val="es-CO" w:eastAsia="es-CO"/>
              </w:rPr>
            </w:pPr>
          </w:p>
        </w:tc>
      </w:tr>
      <w:tr w:rsidR="00B35825" w:rsidRPr="007B1B1C" w14:paraId="61D3FB6D" w14:textId="77777777" w:rsidTr="001605E3">
        <w:trPr>
          <w:trHeight w:val="702"/>
          <w:jc w:val="center"/>
        </w:trPr>
        <w:tc>
          <w:tcPr>
            <w:tcW w:w="1341" w:type="dxa"/>
            <w:tcBorders>
              <w:top w:val="nil"/>
              <w:left w:val="single" w:sz="4" w:space="0" w:color="auto"/>
              <w:bottom w:val="single" w:sz="4" w:space="0" w:color="auto"/>
              <w:right w:val="single" w:sz="4" w:space="0" w:color="auto"/>
            </w:tcBorders>
            <w:shd w:val="clear" w:color="000000" w:fill="666699"/>
            <w:vAlign w:val="center"/>
            <w:hideMark/>
          </w:tcPr>
          <w:p w14:paraId="11E72EB9" w14:textId="77777777" w:rsidR="00B35825" w:rsidRPr="00FB27C3" w:rsidRDefault="00B35825"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22" w:type="dxa"/>
            <w:tcBorders>
              <w:top w:val="nil"/>
              <w:left w:val="nil"/>
              <w:bottom w:val="single" w:sz="4" w:space="0" w:color="auto"/>
              <w:right w:val="single" w:sz="4" w:space="0" w:color="auto"/>
            </w:tcBorders>
            <w:shd w:val="clear" w:color="auto" w:fill="auto"/>
            <w:vAlign w:val="center"/>
            <w:hideMark/>
          </w:tcPr>
          <w:p w14:paraId="6CF822AE" w14:textId="77777777" w:rsidR="00B35825" w:rsidRPr="00FB27C3" w:rsidRDefault="00B35825">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$5.400.000</w:t>
            </w:r>
          </w:p>
        </w:tc>
        <w:tc>
          <w:tcPr>
            <w:tcW w:w="4057" w:type="dxa"/>
            <w:vMerge/>
            <w:tcBorders>
              <w:top w:val="nil"/>
              <w:left w:val="single" w:sz="4" w:space="0" w:color="auto"/>
              <w:bottom w:val="single" w:sz="4" w:space="0" w:color="auto"/>
              <w:right w:val="single" w:sz="4" w:space="0" w:color="auto"/>
            </w:tcBorders>
            <w:vAlign w:val="center"/>
            <w:hideMark/>
          </w:tcPr>
          <w:p w14:paraId="06576540" w14:textId="77777777" w:rsidR="00B35825" w:rsidRPr="00FB27C3" w:rsidRDefault="00B35825">
            <w:pPr>
              <w:spacing w:after="0" w:line="240" w:lineRule="auto"/>
              <w:contextualSpacing/>
              <w:rPr>
                <w:rFonts w:eastAsia="Times New Roman" w:cs="Arial"/>
                <w:color w:val="000000"/>
                <w:sz w:val="18"/>
                <w:szCs w:val="18"/>
                <w:lang w:val="es-CO" w:eastAsia="es-CO"/>
              </w:rPr>
            </w:pPr>
          </w:p>
        </w:tc>
      </w:tr>
      <w:tr w:rsidR="00B35825" w:rsidRPr="007B1B1C" w14:paraId="72694A12" w14:textId="77777777" w:rsidTr="00FB27C3">
        <w:trPr>
          <w:trHeight w:val="1124"/>
          <w:jc w:val="center"/>
        </w:trPr>
        <w:tc>
          <w:tcPr>
            <w:tcW w:w="1341" w:type="dxa"/>
            <w:tcBorders>
              <w:top w:val="nil"/>
              <w:left w:val="single" w:sz="4" w:space="0" w:color="auto"/>
              <w:bottom w:val="single" w:sz="4" w:space="0" w:color="auto"/>
              <w:right w:val="single" w:sz="4" w:space="0" w:color="auto"/>
            </w:tcBorders>
            <w:shd w:val="clear" w:color="000000" w:fill="666699"/>
            <w:vAlign w:val="center"/>
            <w:hideMark/>
          </w:tcPr>
          <w:p w14:paraId="1C6160C3" w14:textId="77777777" w:rsidR="00B35825" w:rsidRPr="00FB27C3" w:rsidRDefault="00B35825"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22" w:type="dxa"/>
            <w:tcBorders>
              <w:top w:val="nil"/>
              <w:left w:val="nil"/>
              <w:bottom w:val="single" w:sz="4" w:space="0" w:color="auto"/>
              <w:right w:val="single" w:sz="4" w:space="0" w:color="auto"/>
            </w:tcBorders>
            <w:shd w:val="clear" w:color="auto" w:fill="auto"/>
            <w:vAlign w:val="center"/>
            <w:hideMark/>
          </w:tcPr>
          <w:p w14:paraId="5EC9DC59" w14:textId="77777777" w:rsidR="00B35825" w:rsidRPr="00FB27C3" w:rsidRDefault="00B35825">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6 meses </w:t>
            </w:r>
          </w:p>
        </w:tc>
        <w:tc>
          <w:tcPr>
            <w:tcW w:w="4057" w:type="dxa"/>
            <w:vMerge/>
            <w:tcBorders>
              <w:top w:val="nil"/>
              <w:left w:val="single" w:sz="4" w:space="0" w:color="auto"/>
              <w:bottom w:val="single" w:sz="4" w:space="0" w:color="auto"/>
              <w:right w:val="single" w:sz="4" w:space="0" w:color="auto"/>
            </w:tcBorders>
            <w:vAlign w:val="center"/>
            <w:hideMark/>
          </w:tcPr>
          <w:p w14:paraId="0117356D" w14:textId="77777777" w:rsidR="00B35825" w:rsidRPr="00FB27C3" w:rsidRDefault="00B35825">
            <w:pPr>
              <w:spacing w:after="0" w:line="240" w:lineRule="auto"/>
              <w:contextualSpacing/>
              <w:rPr>
                <w:rFonts w:eastAsia="Times New Roman" w:cs="Arial"/>
                <w:color w:val="000000"/>
                <w:sz w:val="18"/>
                <w:szCs w:val="18"/>
                <w:lang w:val="es-CO" w:eastAsia="es-CO"/>
              </w:rPr>
            </w:pPr>
          </w:p>
        </w:tc>
      </w:tr>
      <w:tr w:rsidR="00B35825" w:rsidRPr="007B1B1C" w14:paraId="4F53205F" w14:textId="77777777" w:rsidTr="001605E3">
        <w:trPr>
          <w:trHeight w:val="269"/>
          <w:jc w:val="center"/>
        </w:trPr>
        <w:tc>
          <w:tcPr>
            <w:tcW w:w="1341" w:type="dxa"/>
            <w:tcBorders>
              <w:top w:val="nil"/>
              <w:left w:val="single" w:sz="4" w:space="0" w:color="auto"/>
              <w:bottom w:val="single" w:sz="4" w:space="0" w:color="auto"/>
              <w:right w:val="single" w:sz="4" w:space="0" w:color="auto"/>
            </w:tcBorders>
            <w:shd w:val="clear" w:color="000000" w:fill="666699"/>
            <w:vAlign w:val="center"/>
            <w:hideMark/>
          </w:tcPr>
          <w:p w14:paraId="4C4B8C93" w14:textId="77777777" w:rsidR="00B35825" w:rsidRPr="00FB27C3" w:rsidRDefault="00B35825"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3522" w:type="dxa"/>
            <w:tcBorders>
              <w:top w:val="nil"/>
              <w:left w:val="nil"/>
              <w:bottom w:val="single" w:sz="4" w:space="0" w:color="auto"/>
              <w:right w:val="single" w:sz="4" w:space="0" w:color="auto"/>
            </w:tcBorders>
            <w:shd w:val="clear" w:color="000000" w:fill="CCCCFF"/>
            <w:vAlign w:val="center"/>
            <w:hideMark/>
          </w:tcPr>
          <w:p w14:paraId="095CC856" w14:textId="77777777" w:rsidR="00B35825" w:rsidRPr="00FB27C3" w:rsidRDefault="00B35825">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CPS-023-2018</w:t>
            </w:r>
          </w:p>
        </w:tc>
        <w:tc>
          <w:tcPr>
            <w:tcW w:w="4057" w:type="dxa"/>
            <w:tcBorders>
              <w:top w:val="nil"/>
              <w:left w:val="nil"/>
              <w:bottom w:val="single" w:sz="4" w:space="0" w:color="auto"/>
              <w:right w:val="single" w:sz="4" w:space="0" w:color="auto"/>
            </w:tcBorders>
            <w:shd w:val="clear" w:color="000000" w:fill="666699"/>
            <w:vAlign w:val="center"/>
            <w:hideMark/>
          </w:tcPr>
          <w:p w14:paraId="477E320E" w14:textId="77777777" w:rsidR="00B35825" w:rsidRPr="00FB27C3" w:rsidRDefault="00B35825">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B35825" w:rsidRPr="007B1B1C" w14:paraId="5F718198" w14:textId="77777777" w:rsidTr="001605E3">
        <w:trPr>
          <w:trHeight w:val="433"/>
          <w:jc w:val="center"/>
        </w:trPr>
        <w:tc>
          <w:tcPr>
            <w:tcW w:w="1341" w:type="dxa"/>
            <w:vMerge w:val="restart"/>
            <w:tcBorders>
              <w:top w:val="nil"/>
              <w:left w:val="single" w:sz="4" w:space="0" w:color="auto"/>
              <w:bottom w:val="single" w:sz="4" w:space="0" w:color="auto"/>
              <w:right w:val="single" w:sz="4" w:space="0" w:color="auto"/>
            </w:tcBorders>
            <w:shd w:val="clear" w:color="000000" w:fill="666699"/>
            <w:vAlign w:val="center"/>
            <w:hideMark/>
          </w:tcPr>
          <w:p w14:paraId="430DBBD2" w14:textId="77777777" w:rsidR="00B35825" w:rsidRPr="00FB27C3" w:rsidRDefault="00B35825"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3522" w:type="dxa"/>
            <w:vMerge w:val="restart"/>
            <w:tcBorders>
              <w:top w:val="nil"/>
              <w:left w:val="single" w:sz="4" w:space="0" w:color="auto"/>
              <w:bottom w:val="single" w:sz="4" w:space="0" w:color="auto"/>
              <w:right w:val="single" w:sz="4" w:space="0" w:color="auto"/>
            </w:tcBorders>
            <w:shd w:val="clear" w:color="auto" w:fill="auto"/>
            <w:vAlign w:val="bottom"/>
            <w:hideMark/>
          </w:tcPr>
          <w:p w14:paraId="00EB42EE" w14:textId="77777777" w:rsidR="00B35825" w:rsidRPr="00FB27C3" w:rsidRDefault="00B35825">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Fortalecimiento al </w:t>
            </w:r>
            <w:r w:rsidR="00C00F4A">
              <w:rPr>
                <w:rFonts w:eastAsia="Times New Roman" w:cs="Arial"/>
                <w:color w:val="000000"/>
                <w:sz w:val="18"/>
                <w:szCs w:val="18"/>
                <w:lang w:val="es-CO" w:eastAsia="es-CO"/>
              </w:rPr>
              <w:t>S</w:t>
            </w:r>
            <w:r w:rsidRPr="00FB27C3">
              <w:rPr>
                <w:rFonts w:eastAsia="Times New Roman" w:cs="Arial"/>
                <w:color w:val="000000"/>
                <w:sz w:val="18"/>
                <w:szCs w:val="18"/>
                <w:lang w:val="es-CO" w:eastAsia="es-CO"/>
              </w:rPr>
              <w:t xml:space="preserve">ector </w:t>
            </w:r>
            <w:r w:rsidR="00C00F4A">
              <w:rPr>
                <w:rFonts w:eastAsia="Times New Roman" w:cs="Arial"/>
                <w:color w:val="000000"/>
                <w:sz w:val="18"/>
                <w:szCs w:val="18"/>
                <w:lang w:val="es-CO" w:eastAsia="es-CO"/>
              </w:rPr>
              <w:t>C</w:t>
            </w:r>
            <w:r w:rsidRPr="00FB27C3">
              <w:rPr>
                <w:rFonts w:eastAsia="Times New Roman" w:cs="Arial"/>
                <w:color w:val="000000"/>
                <w:sz w:val="18"/>
                <w:szCs w:val="18"/>
                <w:lang w:val="es-CO" w:eastAsia="es-CO"/>
              </w:rPr>
              <w:t xml:space="preserve">ultura mediante la prestación del servicio como coordinador de cultura del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4057" w:type="dxa"/>
            <w:vMerge w:val="restart"/>
            <w:tcBorders>
              <w:top w:val="nil"/>
              <w:left w:val="single" w:sz="4" w:space="0" w:color="auto"/>
              <w:bottom w:val="single" w:sz="4" w:space="0" w:color="auto"/>
              <w:right w:val="single" w:sz="4" w:space="0" w:color="auto"/>
            </w:tcBorders>
            <w:shd w:val="clear" w:color="auto" w:fill="auto"/>
            <w:vAlign w:val="bottom"/>
            <w:hideMark/>
          </w:tcPr>
          <w:p w14:paraId="5C735D8E" w14:textId="77777777" w:rsidR="001D66C2"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Elaborar proyectos culturales y artísticos en 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r w:rsidR="001D66C2">
              <w:rPr>
                <w:rFonts w:eastAsia="Times New Roman" w:cs="Arial"/>
                <w:color w:val="000000"/>
                <w:sz w:val="18"/>
                <w:szCs w:val="18"/>
                <w:lang w:val="es-CO" w:eastAsia="es-CO"/>
              </w:rPr>
              <w:t>.</w:t>
            </w:r>
          </w:p>
          <w:p w14:paraId="50D8FA29" w14:textId="77777777" w:rsidR="001D66C2"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2. Organizar y hacer seguimiento a las escuelas culturales del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r w:rsidR="001D66C2">
              <w:rPr>
                <w:rFonts w:eastAsia="Times New Roman" w:cs="Arial"/>
                <w:color w:val="000000"/>
                <w:sz w:val="18"/>
                <w:szCs w:val="18"/>
                <w:lang w:val="es-CO" w:eastAsia="es-CO"/>
              </w:rPr>
              <w:t>.</w:t>
            </w:r>
          </w:p>
          <w:p w14:paraId="2F01D994" w14:textId="77777777" w:rsidR="001D66C2"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3. Coordinar la promoción y el fomento a la cultura del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r w:rsidR="001D66C2">
              <w:rPr>
                <w:rFonts w:eastAsia="Times New Roman" w:cs="Arial"/>
                <w:color w:val="000000"/>
                <w:sz w:val="18"/>
                <w:szCs w:val="18"/>
                <w:lang w:val="es-CO" w:eastAsia="es-CO"/>
              </w:rPr>
              <w:t>.</w:t>
            </w:r>
          </w:p>
          <w:p w14:paraId="7504BEB5" w14:textId="77777777" w:rsidR="001D66C2"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4. Apoyar el funcionamiento del Consejo de Cultura existente en 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r w:rsidR="001D66C2">
              <w:rPr>
                <w:rFonts w:eastAsia="Times New Roman" w:cs="Arial"/>
                <w:color w:val="000000"/>
                <w:sz w:val="18"/>
                <w:szCs w:val="18"/>
                <w:lang w:val="es-CO" w:eastAsia="es-CO"/>
              </w:rPr>
              <w:t>.</w:t>
            </w:r>
          </w:p>
          <w:p w14:paraId="52150B95" w14:textId="77777777" w:rsidR="001D66C2"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5. Promover las actividades artísticas y culturales en 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w:t>
            </w:r>
            <w:r w:rsidR="001D66C2">
              <w:rPr>
                <w:rFonts w:eastAsia="Times New Roman" w:cs="Arial"/>
                <w:color w:val="000000"/>
                <w:sz w:val="18"/>
                <w:szCs w:val="18"/>
                <w:lang w:val="es-CO" w:eastAsia="es-CO"/>
              </w:rPr>
              <w:t>.</w:t>
            </w:r>
          </w:p>
          <w:p w14:paraId="0C6A2747" w14:textId="77777777" w:rsidR="00B35825" w:rsidRPr="00FB27C3" w:rsidRDefault="00B35825">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6. Apoyo a los procesos artísticos y culturales del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entre otras.</w:t>
            </w:r>
          </w:p>
        </w:tc>
      </w:tr>
      <w:tr w:rsidR="00B35825" w:rsidRPr="007B1B1C" w14:paraId="5EE1D9B5" w14:textId="77777777" w:rsidTr="001605E3">
        <w:trPr>
          <w:trHeight w:val="452"/>
          <w:jc w:val="center"/>
        </w:trPr>
        <w:tc>
          <w:tcPr>
            <w:tcW w:w="1341" w:type="dxa"/>
            <w:vMerge/>
            <w:tcBorders>
              <w:top w:val="nil"/>
              <w:left w:val="single" w:sz="4" w:space="0" w:color="auto"/>
              <w:bottom w:val="single" w:sz="4" w:space="0" w:color="auto"/>
              <w:right w:val="single" w:sz="4" w:space="0" w:color="auto"/>
            </w:tcBorders>
            <w:vAlign w:val="center"/>
            <w:hideMark/>
          </w:tcPr>
          <w:p w14:paraId="208583E8" w14:textId="77777777" w:rsidR="00B35825" w:rsidRPr="00FB27C3" w:rsidRDefault="00B35825">
            <w:pPr>
              <w:spacing w:after="0" w:line="240" w:lineRule="auto"/>
              <w:contextualSpacing/>
              <w:rPr>
                <w:rFonts w:eastAsia="Times New Roman" w:cs="Arial"/>
                <w:b/>
                <w:bCs/>
                <w:color w:val="FFFFFF"/>
                <w:sz w:val="18"/>
                <w:szCs w:val="18"/>
                <w:lang w:val="es-CO" w:eastAsia="es-CO"/>
              </w:rPr>
            </w:pPr>
          </w:p>
        </w:tc>
        <w:tc>
          <w:tcPr>
            <w:tcW w:w="3522" w:type="dxa"/>
            <w:vMerge/>
            <w:tcBorders>
              <w:top w:val="nil"/>
              <w:left w:val="single" w:sz="4" w:space="0" w:color="auto"/>
              <w:bottom w:val="single" w:sz="4" w:space="0" w:color="auto"/>
              <w:right w:val="single" w:sz="4" w:space="0" w:color="auto"/>
            </w:tcBorders>
            <w:vAlign w:val="center"/>
            <w:hideMark/>
          </w:tcPr>
          <w:p w14:paraId="3D220D09" w14:textId="77777777" w:rsidR="00B35825" w:rsidRPr="00FB27C3" w:rsidRDefault="00B35825">
            <w:pPr>
              <w:spacing w:after="0" w:line="240" w:lineRule="auto"/>
              <w:contextualSpacing/>
              <w:rPr>
                <w:rFonts w:eastAsia="Times New Roman" w:cs="Arial"/>
                <w:color w:val="000000"/>
                <w:sz w:val="18"/>
                <w:szCs w:val="18"/>
                <w:lang w:val="es-CO" w:eastAsia="es-CO"/>
              </w:rPr>
            </w:pPr>
          </w:p>
        </w:tc>
        <w:tc>
          <w:tcPr>
            <w:tcW w:w="4057" w:type="dxa"/>
            <w:vMerge/>
            <w:tcBorders>
              <w:top w:val="nil"/>
              <w:left w:val="single" w:sz="4" w:space="0" w:color="auto"/>
              <w:bottom w:val="single" w:sz="4" w:space="0" w:color="auto"/>
              <w:right w:val="single" w:sz="4" w:space="0" w:color="auto"/>
            </w:tcBorders>
            <w:vAlign w:val="center"/>
            <w:hideMark/>
          </w:tcPr>
          <w:p w14:paraId="5E5ADD1F" w14:textId="77777777" w:rsidR="00B35825" w:rsidRPr="00FB27C3" w:rsidRDefault="00B35825">
            <w:pPr>
              <w:spacing w:after="0" w:line="240" w:lineRule="auto"/>
              <w:contextualSpacing/>
              <w:rPr>
                <w:rFonts w:eastAsia="Times New Roman" w:cs="Arial"/>
                <w:color w:val="000000"/>
                <w:sz w:val="18"/>
                <w:szCs w:val="18"/>
                <w:lang w:val="es-CO" w:eastAsia="es-CO"/>
              </w:rPr>
            </w:pPr>
          </w:p>
        </w:tc>
      </w:tr>
      <w:tr w:rsidR="00B35825" w:rsidRPr="007B1B1C" w14:paraId="0410D5A4" w14:textId="77777777" w:rsidTr="00FB27C3">
        <w:trPr>
          <w:trHeight w:val="761"/>
          <w:jc w:val="center"/>
        </w:trPr>
        <w:tc>
          <w:tcPr>
            <w:tcW w:w="1341" w:type="dxa"/>
            <w:tcBorders>
              <w:top w:val="nil"/>
              <w:left w:val="single" w:sz="4" w:space="0" w:color="auto"/>
              <w:bottom w:val="single" w:sz="4" w:space="0" w:color="auto"/>
              <w:right w:val="single" w:sz="4" w:space="0" w:color="auto"/>
            </w:tcBorders>
            <w:shd w:val="clear" w:color="000000" w:fill="666699"/>
            <w:vAlign w:val="center"/>
            <w:hideMark/>
          </w:tcPr>
          <w:p w14:paraId="1969E0BA" w14:textId="77777777" w:rsidR="00B35825" w:rsidRPr="00FB27C3" w:rsidRDefault="00B35825"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3522" w:type="dxa"/>
            <w:tcBorders>
              <w:top w:val="nil"/>
              <w:left w:val="nil"/>
              <w:bottom w:val="single" w:sz="4" w:space="0" w:color="auto"/>
              <w:right w:val="single" w:sz="4" w:space="0" w:color="auto"/>
            </w:tcBorders>
            <w:shd w:val="clear" w:color="auto" w:fill="auto"/>
            <w:noWrap/>
            <w:vAlign w:val="center"/>
            <w:hideMark/>
          </w:tcPr>
          <w:p w14:paraId="0DDF0F99" w14:textId="77777777" w:rsidR="00B35825" w:rsidRPr="00FB27C3" w:rsidRDefault="001D66C2">
            <w:pPr>
              <w:spacing w:after="0" w:line="240" w:lineRule="auto"/>
              <w:contextualSpacing/>
              <w:jc w:val="center"/>
              <w:rPr>
                <w:rFonts w:eastAsia="Times New Roman" w:cs="Arial"/>
                <w:color w:val="000000"/>
                <w:sz w:val="18"/>
                <w:szCs w:val="18"/>
                <w:lang w:val="es-CO" w:eastAsia="es-CO"/>
              </w:rPr>
            </w:pPr>
            <w:r w:rsidRPr="007B1B1C">
              <w:rPr>
                <w:rFonts w:eastAsia="Times New Roman" w:cs="Arial"/>
                <w:color w:val="000000"/>
                <w:sz w:val="18"/>
                <w:szCs w:val="18"/>
                <w:lang w:val="es-CO" w:eastAsia="es-CO"/>
              </w:rPr>
              <w:t>Willinson Moreno Mosquera</w:t>
            </w:r>
          </w:p>
        </w:tc>
        <w:tc>
          <w:tcPr>
            <w:tcW w:w="4057" w:type="dxa"/>
            <w:vMerge/>
            <w:tcBorders>
              <w:top w:val="nil"/>
              <w:left w:val="single" w:sz="4" w:space="0" w:color="auto"/>
              <w:bottom w:val="single" w:sz="4" w:space="0" w:color="auto"/>
              <w:right w:val="single" w:sz="4" w:space="0" w:color="auto"/>
            </w:tcBorders>
            <w:vAlign w:val="center"/>
            <w:hideMark/>
          </w:tcPr>
          <w:p w14:paraId="416613C2" w14:textId="77777777" w:rsidR="00B35825" w:rsidRPr="00FB27C3" w:rsidRDefault="00B35825">
            <w:pPr>
              <w:spacing w:after="0" w:line="240" w:lineRule="auto"/>
              <w:contextualSpacing/>
              <w:rPr>
                <w:rFonts w:eastAsia="Times New Roman" w:cs="Arial"/>
                <w:color w:val="000000"/>
                <w:sz w:val="18"/>
                <w:szCs w:val="18"/>
                <w:lang w:val="es-CO" w:eastAsia="es-CO"/>
              </w:rPr>
            </w:pPr>
          </w:p>
        </w:tc>
      </w:tr>
      <w:tr w:rsidR="00B35825" w:rsidRPr="007B1B1C" w14:paraId="2F307F44" w14:textId="77777777" w:rsidTr="001605E3">
        <w:trPr>
          <w:trHeight w:val="702"/>
          <w:jc w:val="center"/>
        </w:trPr>
        <w:tc>
          <w:tcPr>
            <w:tcW w:w="1341" w:type="dxa"/>
            <w:tcBorders>
              <w:top w:val="nil"/>
              <w:left w:val="single" w:sz="4" w:space="0" w:color="auto"/>
              <w:bottom w:val="single" w:sz="4" w:space="0" w:color="auto"/>
              <w:right w:val="single" w:sz="4" w:space="0" w:color="auto"/>
            </w:tcBorders>
            <w:shd w:val="clear" w:color="000000" w:fill="666699"/>
            <w:vAlign w:val="center"/>
            <w:hideMark/>
          </w:tcPr>
          <w:p w14:paraId="14E0B817" w14:textId="77777777" w:rsidR="00B35825" w:rsidRPr="00FB27C3" w:rsidRDefault="00B35825"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3522" w:type="dxa"/>
            <w:tcBorders>
              <w:top w:val="nil"/>
              <w:left w:val="nil"/>
              <w:bottom w:val="single" w:sz="4" w:space="0" w:color="auto"/>
              <w:right w:val="single" w:sz="4" w:space="0" w:color="auto"/>
            </w:tcBorders>
            <w:shd w:val="clear" w:color="auto" w:fill="auto"/>
            <w:vAlign w:val="center"/>
            <w:hideMark/>
          </w:tcPr>
          <w:p w14:paraId="0C031716" w14:textId="77777777" w:rsidR="00B35825" w:rsidRPr="00FB27C3" w:rsidRDefault="00B35825">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$6.240.000</w:t>
            </w:r>
          </w:p>
        </w:tc>
        <w:tc>
          <w:tcPr>
            <w:tcW w:w="4057" w:type="dxa"/>
            <w:vMerge/>
            <w:tcBorders>
              <w:top w:val="nil"/>
              <w:left w:val="single" w:sz="4" w:space="0" w:color="auto"/>
              <w:bottom w:val="single" w:sz="4" w:space="0" w:color="auto"/>
              <w:right w:val="single" w:sz="4" w:space="0" w:color="auto"/>
            </w:tcBorders>
            <w:vAlign w:val="center"/>
            <w:hideMark/>
          </w:tcPr>
          <w:p w14:paraId="6D995A77" w14:textId="77777777" w:rsidR="00B35825" w:rsidRPr="00FB27C3" w:rsidRDefault="00B35825">
            <w:pPr>
              <w:spacing w:after="0" w:line="240" w:lineRule="auto"/>
              <w:contextualSpacing/>
              <w:rPr>
                <w:rFonts w:eastAsia="Times New Roman" w:cs="Arial"/>
                <w:color w:val="000000"/>
                <w:sz w:val="18"/>
                <w:szCs w:val="18"/>
                <w:lang w:val="es-CO" w:eastAsia="es-CO"/>
              </w:rPr>
            </w:pPr>
          </w:p>
        </w:tc>
      </w:tr>
      <w:tr w:rsidR="00B35825" w:rsidRPr="007B1B1C" w14:paraId="6EF33651" w14:textId="77777777" w:rsidTr="001605E3">
        <w:trPr>
          <w:trHeight w:val="233"/>
          <w:jc w:val="center"/>
        </w:trPr>
        <w:tc>
          <w:tcPr>
            <w:tcW w:w="1341" w:type="dxa"/>
            <w:tcBorders>
              <w:top w:val="nil"/>
              <w:left w:val="single" w:sz="4" w:space="0" w:color="auto"/>
              <w:bottom w:val="single" w:sz="4" w:space="0" w:color="auto"/>
              <w:right w:val="single" w:sz="4" w:space="0" w:color="auto"/>
            </w:tcBorders>
            <w:shd w:val="clear" w:color="000000" w:fill="666699"/>
            <w:vAlign w:val="center"/>
            <w:hideMark/>
          </w:tcPr>
          <w:p w14:paraId="728F2D3D" w14:textId="77777777" w:rsidR="00B35825" w:rsidRPr="00FB27C3" w:rsidRDefault="00B35825"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3522" w:type="dxa"/>
            <w:tcBorders>
              <w:top w:val="nil"/>
              <w:left w:val="nil"/>
              <w:bottom w:val="single" w:sz="4" w:space="0" w:color="auto"/>
              <w:right w:val="single" w:sz="4" w:space="0" w:color="auto"/>
            </w:tcBorders>
            <w:shd w:val="clear" w:color="auto" w:fill="auto"/>
            <w:noWrap/>
            <w:vAlign w:val="bottom"/>
            <w:hideMark/>
          </w:tcPr>
          <w:p w14:paraId="79C77FAF" w14:textId="77777777" w:rsidR="00B35825" w:rsidRPr="00FB27C3" w:rsidRDefault="00B35825">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4 meses</w:t>
            </w:r>
          </w:p>
        </w:tc>
        <w:tc>
          <w:tcPr>
            <w:tcW w:w="4057" w:type="dxa"/>
            <w:vMerge/>
            <w:tcBorders>
              <w:top w:val="nil"/>
              <w:left w:val="single" w:sz="4" w:space="0" w:color="auto"/>
              <w:bottom w:val="single" w:sz="4" w:space="0" w:color="auto"/>
              <w:right w:val="single" w:sz="4" w:space="0" w:color="auto"/>
            </w:tcBorders>
            <w:vAlign w:val="center"/>
            <w:hideMark/>
          </w:tcPr>
          <w:p w14:paraId="757A4698" w14:textId="77777777" w:rsidR="00B35825" w:rsidRPr="00FB27C3" w:rsidRDefault="00B35825">
            <w:pPr>
              <w:spacing w:after="0" w:line="240" w:lineRule="auto"/>
              <w:contextualSpacing/>
              <w:rPr>
                <w:rFonts w:eastAsia="Times New Roman" w:cs="Arial"/>
                <w:color w:val="000000"/>
                <w:sz w:val="18"/>
                <w:szCs w:val="18"/>
                <w:lang w:val="es-CO" w:eastAsia="es-CO"/>
              </w:rPr>
            </w:pPr>
          </w:p>
        </w:tc>
      </w:tr>
    </w:tbl>
    <w:p w14:paraId="0377C06F" w14:textId="77777777" w:rsidR="00B35825" w:rsidRPr="00FB27C3" w:rsidRDefault="00B35825" w:rsidP="00286F4A">
      <w:pPr>
        <w:spacing w:line="240" w:lineRule="auto"/>
        <w:contextualSpacing/>
        <w:jc w:val="center"/>
        <w:rPr>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241E114E" w14:textId="77777777" w:rsidR="00B02863" w:rsidRDefault="00B02863">
      <w:pPr>
        <w:spacing w:line="240" w:lineRule="auto"/>
        <w:contextualSpacing/>
        <w:jc w:val="both"/>
      </w:pPr>
    </w:p>
    <w:p w14:paraId="308AB2E8" w14:textId="77777777" w:rsidR="00EE26DC" w:rsidRDefault="00EE26DC">
      <w:pPr>
        <w:spacing w:line="240" w:lineRule="auto"/>
        <w:contextualSpacing/>
        <w:jc w:val="both"/>
      </w:pPr>
      <w:r>
        <w:lastRenderedPageBreak/>
        <w:t>A partir de la revisión contractual realizada por esta Dirección, se identificó el Contrato CPS-022-2018 cuyo objeto fue la “</w:t>
      </w:r>
      <w:r w:rsidRPr="006C65F3">
        <w:rPr>
          <w:i/>
          <w:iCs/>
        </w:rPr>
        <w:t>Prestación de servicios de apoyo a la gestión como coordinador de deportes municipal</w:t>
      </w:r>
      <w:r>
        <w:t>”, cuyo CDP establece como fuente los recursos de SGP Deporte, se observa que el contratista desarrolla actividades que son de soporte de la misionalidad de la Entidad Territorial y que son continuas, como la elaboración y estructuración de proyectos deportivos, el seguimiento a las escuelas de formación deportiva y demás apoyo que requiera la Secretaría de Educación, Cultura y Deporte del Municipio en la implementación de los planes y programas del Plan de Desarrollo en materia de deporte. A pesar de que se incluyen actividades de formación deportiva, las demás actividades pueden entenderse que son de apoyo a la administración en la estructuración de los proyectos y que son parte del funcionamiento de la Entidad. Por lo tanto, no habría lugar a su financiación con cargo a los recursos del SGP para Deporte y Recreación.</w:t>
      </w:r>
    </w:p>
    <w:p w14:paraId="53FE3264" w14:textId="77777777" w:rsidR="00EE26DC" w:rsidRDefault="00EE26DC">
      <w:pPr>
        <w:spacing w:line="240" w:lineRule="auto"/>
        <w:contextualSpacing/>
        <w:jc w:val="both"/>
      </w:pPr>
    </w:p>
    <w:p w14:paraId="59E00470" w14:textId="77777777" w:rsidR="00286F4A" w:rsidRDefault="00EE26DC" w:rsidP="001729F6">
      <w:pPr>
        <w:spacing w:line="240" w:lineRule="auto"/>
        <w:contextualSpacing/>
        <w:jc w:val="both"/>
        <w:rPr>
          <w:rFonts w:eastAsia="Arial" w:cs="Arial"/>
          <w:color w:val="000000" w:themeColor="text1"/>
          <w:lang w:val="es-CO"/>
        </w:rPr>
      </w:pPr>
      <w:r>
        <w:rPr>
          <w:rFonts w:cs="Arial"/>
        </w:rPr>
        <w:t xml:space="preserve">Es importante señalar que </w:t>
      </w:r>
      <w:r>
        <w:rPr>
          <w:rFonts w:eastAsia="Arial" w:cs="Arial"/>
          <w:lang w:val="es-CO"/>
        </w:rPr>
        <w:t xml:space="preserve">los </w:t>
      </w:r>
      <w:r>
        <w:rPr>
          <w:rFonts w:eastAsia="Arial" w:cs="Arial"/>
          <w:color w:val="000000" w:themeColor="text1"/>
          <w:lang w:val="es-CO"/>
        </w:rPr>
        <w:t>gastos de funcionamiento son “</w:t>
      </w:r>
      <w:r>
        <w:rPr>
          <w:rFonts w:eastAsia="Arial" w:cs="Arial"/>
          <w:i/>
          <w:iCs/>
          <w:color w:val="000000" w:themeColor="text1"/>
          <w:lang w:val="es-CO"/>
        </w:rPr>
        <w:t>aquellos que tienen por objeto atender las necesidades del Estado para cumplir con las funciones asignadas en la Constitución Política y en la ley”</w:t>
      </w:r>
      <w:r>
        <w:rPr>
          <w:rStyle w:val="Refdenotaalpie"/>
          <w:rFonts w:eastAsia="Arial" w:cs="Arial"/>
          <w:i/>
          <w:iCs/>
          <w:color w:val="000000" w:themeColor="text1"/>
          <w:lang w:val="es-CO"/>
        </w:rPr>
        <w:footnoteReference w:id="18"/>
      </w:r>
      <w:r>
        <w:rPr>
          <w:rFonts w:eastAsia="Arial" w:cs="Arial"/>
          <w:color w:val="000000" w:themeColor="text1"/>
          <w:lang w:val="es-CO"/>
        </w:rPr>
        <w:t xml:space="preserve">. Así, estos bienes y servicios son necesarios para que las entidades territoriales cumplan con las funciones asignadas por la Constitución Política y la ley. En este sentido, la formulación de los proyectos, el seguimiento a las escuelas deportivas y el apoyo </w:t>
      </w:r>
      <w:r w:rsidRPr="008D787F">
        <w:rPr>
          <w:rFonts w:eastAsia="Arial" w:cs="Arial"/>
          <w:color w:val="000000" w:themeColor="text1"/>
          <w:lang w:val="es-CO"/>
        </w:rPr>
        <w:t xml:space="preserve">a la Secretaría de Educación, Cultura y Deporte Municipal en lo concerniente a las actividades deportivas y recreativas que realice el Municipio y la puesta en marcha del PDT Sector Deporte y Recreación, </w:t>
      </w:r>
      <w:r>
        <w:rPr>
          <w:rFonts w:eastAsia="Arial" w:cs="Arial"/>
          <w:color w:val="000000" w:themeColor="text1"/>
          <w:lang w:val="es-CO"/>
        </w:rPr>
        <w:t>se relacionan con actividades de funcionamiento.</w:t>
      </w:r>
    </w:p>
    <w:p w14:paraId="02171BED" w14:textId="77777777" w:rsidR="00EE26DC" w:rsidRDefault="00EE26DC" w:rsidP="001729F6">
      <w:pPr>
        <w:spacing w:line="240" w:lineRule="auto"/>
        <w:contextualSpacing/>
        <w:jc w:val="both"/>
        <w:rPr>
          <w:rFonts w:eastAsia="Arial" w:cs="Arial"/>
          <w:color w:val="000000" w:themeColor="text1"/>
          <w:lang w:val="es-CO"/>
        </w:rPr>
      </w:pPr>
    </w:p>
    <w:p w14:paraId="4B970167" w14:textId="77777777" w:rsidR="00EE26DC" w:rsidRDefault="00EE26DC" w:rsidP="001729F6">
      <w:pPr>
        <w:spacing w:line="240" w:lineRule="auto"/>
        <w:contextualSpacing/>
        <w:jc w:val="both"/>
        <w:rPr>
          <w:rFonts w:eastAsia="Arial" w:cs="Arial"/>
          <w:color w:val="000000" w:themeColor="text1"/>
          <w:lang w:val="es-CO"/>
        </w:rPr>
      </w:pPr>
      <w:r w:rsidRPr="00D4341B">
        <w:rPr>
          <w:rFonts w:eastAsia="Arial" w:cs="Arial"/>
          <w:color w:val="000000" w:themeColor="text1"/>
          <w:lang w:val="es-CO"/>
        </w:rPr>
        <w:t xml:space="preserve">Los gastos de funcionamiento tienen otros atributos como la recurrencia, que son operativos, no forman capital y tampoco permiten la instalación o aumento de las capacidades en las entidades. En consecuencia, al revisar los objetos de gasto que </w:t>
      </w:r>
      <w:r>
        <w:rPr>
          <w:rFonts w:eastAsia="Arial" w:cs="Arial"/>
          <w:color w:val="000000" w:themeColor="text1"/>
          <w:lang w:val="es-CO"/>
        </w:rPr>
        <w:t>se describen en las actividades del contrato</w:t>
      </w:r>
      <w:r w:rsidRPr="00D4341B">
        <w:rPr>
          <w:rFonts w:eastAsia="Arial" w:cs="Arial"/>
          <w:color w:val="000000" w:themeColor="text1"/>
          <w:lang w:val="es-CO"/>
        </w:rPr>
        <w:t xml:space="preserve"> </w:t>
      </w:r>
      <w:r>
        <w:rPr>
          <w:rFonts w:eastAsia="Arial" w:cs="Arial"/>
          <w:color w:val="000000" w:themeColor="text1"/>
          <w:lang w:val="es-CO"/>
        </w:rPr>
        <w:t>referenciadas anteriormente,</w:t>
      </w:r>
      <w:r w:rsidRPr="00D4341B">
        <w:rPr>
          <w:rFonts w:eastAsia="Arial" w:cs="Arial"/>
          <w:color w:val="000000" w:themeColor="text1"/>
          <w:lang w:val="es-CO"/>
        </w:rPr>
        <w:t xml:space="preserve"> se evidencia que son gastos que cumplen con dichos atributos</w:t>
      </w:r>
      <w:r w:rsidR="00286F4A">
        <w:rPr>
          <w:rFonts w:eastAsia="Arial" w:cs="Arial"/>
          <w:color w:val="000000" w:themeColor="text1"/>
          <w:lang w:val="es-CO"/>
        </w:rPr>
        <w:t>;</w:t>
      </w:r>
      <w:r w:rsidRPr="00D4341B">
        <w:rPr>
          <w:rFonts w:eastAsia="Arial" w:cs="Arial"/>
          <w:color w:val="000000" w:themeColor="text1"/>
          <w:lang w:val="es-CO"/>
        </w:rPr>
        <w:t xml:space="preserve"> lo que quiere decir</w:t>
      </w:r>
      <w:r w:rsidR="00286F4A">
        <w:rPr>
          <w:rFonts w:eastAsia="Arial" w:cs="Arial"/>
          <w:color w:val="000000" w:themeColor="text1"/>
          <w:lang w:val="es-CO"/>
        </w:rPr>
        <w:t>,</w:t>
      </w:r>
      <w:r w:rsidRPr="00D4341B">
        <w:rPr>
          <w:rFonts w:eastAsia="Arial" w:cs="Arial"/>
          <w:color w:val="000000" w:themeColor="text1"/>
          <w:lang w:val="es-CO"/>
        </w:rPr>
        <w:t xml:space="preserve"> que esos objetos de gasto deben ser clasificados como gastos de funcionamiento en aplicación de lo indicado por el E</w:t>
      </w:r>
      <w:r>
        <w:rPr>
          <w:rFonts w:eastAsia="Arial" w:cs="Arial"/>
          <w:color w:val="000000" w:themeColor="text1"/>
          <w:lang w:val="es-CO"/>
        </w:rPr>
        <w:t xml:space="preserve">statuto </w:t>
      </w:r>
      <w:r w:rsidRPr="00D4341B">
        <w:rPr>
          <w:rFonts w:eastAsia="Arial" w:cs="Arial"/>
          <w:color w:val="000000" w:themeColor="text1"/>
          <w:lang w:val="es-CO"/>
        </w:rPr>
        <w:t>O</w:t>
      </w:r>
      <w:r>
        <w:rPr>
          <w:rFonts w:eastAsia="Arial" w:cs="Arial"/>
          <w:color w:val="000000" w:themeColor="text1"/>
          <w:lang w:val="es-CO"/>
        </w:rPr>
        <w:t xml:space="preserve">rgánico de </w:t>
      </w:r>
      <w:r w:rsidRPr="00D4341B">
        <w:rPr>
          <w:rFonts w:eastAsia="Arial" w:cs="Arial"/>
          <w:color w:val="000000" w:themeColor="text1"/>
          <w:lang w:val="es-CO"/>
        </w:rPr>
        <w:t>P</w:t>
      </w:r>
      <w:r>
        <w:rPr>
          <w:rFonts w:eastAsia="Arial" w:cs="Arial"/>
          <w:color w:val="000000" w:themeColor="text1"/>
          <w:lang w:val="es-CO"/>
        </w:rPr>
        <w:t xml:space="preserve">resupuesto y deben ser financiados con cargo a </w:t>
      </w:r>
      <w:r w:rsidR="00286F4A">
        <w:rPr>
          <w:rFonts w:eastAsia="Arial" w:cs="Arial"/>
          <w:color w:val="000000" w:themeColor="text1"/>
          <w:lang w:val="es-CO"/>
        </w:rPr>
        <w:t>i</w:t>
      </w:r>
      <w:r>
        <w:rPr>
          <w:rFonts w:eastAsia="Arial" w:cs="Arial"/>
          <w:color w:val="000000" w:themeColor="text1"/>
          <w:lang w:val="es-CO"/>
        </w:rPr>
        <w:t xml:space="preserve">ngresos </w:t>
      </w:r>
      <w:r w:rsidR="00286F4A">
        <w:rPr>
          <w:rFonts w:eastAsia="Arial" w:cs="Arial"/>
          <w:color w:val="000000" w:themeColor="text1"/>
          <w:lang w:val="es-CO"/>
        </w:rPr>
        <w:t>c</w:t>
      </w:r>
      <w:r>
        <w:rPr>
          <w:rFonts w:eastAsia="Arial" w:cs="Arial"/>
          <w:color w:val="000000" w:themeColor="text1"/>
          <w:lang w:val="es-CO"/>
        </w:rPr>
        <w:t xml:space="preserve">orrientes de </w:t>
      </w:r>
      <w:r w:rsidR="00286F4A">
        <w:rPr>
          <w:rFonts w:eastAsia="Arial" w:cs="Arial"/>
          <w:color w:val="000000" w:themeColor="text1"/>
          <w:lang w:val="es-CO"/>
        </w:rPr>
        <w:t>l</w:t>
      </w:r>
      <w:r>
        <w:rPr>
          <w:rFonts w:eastAsia="Arial" w:cs="Arial"/>
          <w:color w:val="000000" w:themeColor="text1"/>
          <w:lang w:val="es-CO"/>
        </w:rPr>
        <w:t xml:space="preserve">ibre </w:t>
      </w:r>
      <w:r w:rsidR="00286F4A">
        <w:rPr>
          <w:rFonts w:eastAsia="Arial" w:cs="Arial"/>
          <w:color w:val="000000" w:themeColor="text1"/>
          <w:lang w:val="es-CO"/>
        </w:rPr>
        <w:t>d</w:t>
      </w:r>
      <w:r>
        <w:rPr>
          <w:rFonts w:eastAsia="Arial" w:cs="Arial"/>
          <w:color w:val="000000" w:themeColor="text1"/>
          <w:lang w:val="es-CO"/>
        </w:rPr>
        <w:t>estinación</w:t>
      </w:r>
      <w:r w:rsidRPr="00D4341B">
        <w:rPr>
          <w:rFonts w:eastAsia="Arial" w:cs="Arial"/>
          <w:color w:val="000000" w:themeColor="text1"/>
          <w:lang w:val="es-CO"/>
        </w:rPr>
        <w:t>.</w:t>
      </w:r>
    </w:p>
    <w:p w14:paraId="7B1DAFFF" w14:textId="77777777" w:rsidR="001D66C2" w:rsidRDefault="001D66C2" w:rsidP="00286F4A">
      <w:pPr>
        <w:spacing w:line="240" w:lineRule="auto"/>
        <w:contextualSpacing/>
        <w:jc w:val="both"/>
      </w:pPr>
    </w:p>
    <w:p w14:paraId="3CF5C9D7" w14:textId="77777777" w:rsidR="00EE26DC" w:rsidRDefault="00EE26DC">
      <w:pPr>
        <w:spacing w:line="240" w:lineRule="auto"/>
        <w:contextualSpacing/>
        <w:jc w:val="both"/>
      </w:pPr>
      <w:r>
        <w:t>Al respecto, es importante señalar que el DNP, en su Guía de “</w:t>
      </w:r>
      <w:r w:rsidRPr="00FB27C3">
        <w:rPr>
          <w:i/>
          <w:iCs/>
        </w:rPr>
        <w:t>Orientaciones para la Programación y Ejecución de los recursos del Sistema General de Participaciones</w:t>
      </w:r>
      <w:r>
        <w:rPr>
          <w:i/>
          <w:iCs/>
        </w:rPr>
        <w:t>- (2017)</w:t>
      </w:r>
      <w:r>
        <w:t xml:space="preserve">” indica que </w:t>
      </w:r>
      <w:r w:rsidRPr="003522F9">
        <w:rPr>
          <w:i/>
          <w:iCs/>
        </w:rPr>
        <w:t>“se debe precisar que los recursos de la PPG de forzosa inversión no se pueden destinar a financiar gastos de funcionamiento del ente deportivo municipal o de la entidad o unidad administrativa municipal que haga sus veces”.</w:t>
      </w:r>
      <w:r>
        <w:t xml:space="preserve"> Estos deben dirigirse, entre otros aspectos, para el desarrollo de programas y actividades que permitan fomentar la práctica del deporte, la recreación, el aprovechamiento del tiempo libre que se desarrollen a través de proyectos de inversión previamente estructurados y viabilizados en el banco de programas y proyectos de inversión municipal.</w:t>
      </w:r>
    </w:p>
    <w:p w14:paraId="3C4D0EDA" w14:textId="77777777" w:rsidR="00EE26DC" w:rsidRDefault="00EE26DC">
      <w:pPr>
        <w:spacing w:line="240" w:lineRule="auto"/>
        <w:contextualSpacing/>
        <w:jc w:val="both"/>
      </w:pPr>
    </w:p>
    <w:p w14:paraId="733FA18D" w14:textId="77777777" w:rsidR="00EE26DC" w:rsidRDefault="00EE26DC">
      <w:pPr>
        <w:spacing w:line="240" w:lineRule="auto"/>
        <w:contextualSpacing/>
        <w:jc w:val="both"/>
      </w:pPr>
      <w:r>
        <w:t xml:space="preserve">A pesar de lo anterior, en el caso de este Contrato se estructura un proyecto que es de carácter general, cuyo objetivo es el fortalecimiento del Sector Deporte y Recreación y sus actividades son: contratar personal que coordine las actividades de fomento a la actividad deportiva, contratar al instructor para el desarrollo de la actividad física y al monitor de las actividades físicas y recreativas. Por lo tanto, el personal se contrata para </w:t>
      </w:r>
      <w:r>
        <w:lastRenderedPageBreak/>
        <w:t>que estructure y planee los proyectos de inversión, no se trata de una inversión en sí misma, sino que son aquellas actividades que ejecuta el contratista con posterioridad a su contratación lo que materializa la inversión en el Sector de Deporte y Recreación para los beneficiarios del Municipio. Por esta razón, no puede ser considerado un gasto de inversión.</w:t>
      </w:r>
    </w:p>
    <w:p w14:paraId="6B258EB0" w14:textId="77777777" w:rsidR="00EE26DC" w:rsidRDefault="00EE26DC">
      <w:pPr>
        <w:spacing w:line="240" w:lineRule="auto"/>
        <w:contextualSpacing/>
        <w:jc w:val="both"/>
      </w:pPr>
    </w:p>
    <w:p w14:paraId="1ADFE881" w14:textId="77777777" w:rsidR="00EE26DC" w:rsidRDefault="00EE26DC">
      <w:pPr>
        <w:spacing w:line="240" w:lineRule="auto"/>
        <w:contextualSpacing/>
        <w:jc w:val="both"/>
      </w:pPr>
      <w:r>
        <w:t>Adicionalmente, este Contrato presenta una adición en tiempo (2 meses), valor por $2.700.000. Si bien el documento que suscribe la adición contiene un apartado en donde establece “</w:t>
      </w:r>
      <w:r w:rsidRPr="00635AF4">
        <w:rPr>
          <w:i/>
          <w:iCs/>
        </w:rPr>
        <w:t>2. Que el día 2 de mayo se suscribe la justificación requerida para la ampliación del plazo y valor, en forma técnica y legal, dando lugar a la presente adición</w:t>
      </w:r>
      <w:r>
        <w:t xml:space="preserve">”, esta adición tuvo como justificación los mismos estudios previos del </w:t>
      </w:r>
      <w:r w:rsidR="00286F4A">
        <w:t>C</w:t>
      </w:r>
      <w:r>
        <w:t>ontrato inicial, únicamente ajustando el valor de su Certificado de Disponibilidad Presupuestal al nuevo monto solicitado. Es decir, el Municipio no explica de manera clara por qué es necesaria realizar la ampliación del plazo de ejecución de este Contrato, el cual, tan solo 4 meses atrás había sido suscrito. Esto evidencia una falla de planeación de la contratación ya que en este proceso se debe determinar previamente la necesidad del servicio a contratar y el tiempo requerido para desarrollar las actividades previamente establecidas en el Contrato y en los estudios previos, así como en el proyecto que lo sustenta.</w:t>
      </w:r>
    </w:p>
    <w:p w14:paraId="1AE76C5D" w14:textId="77777777" w:rsidR="00EE26DC" w:rsidRDefault="00EE26DC">
      <w:pPr>
        <w:spacing w:line="240" w:lineRule="auto"/>
        <w:contextualSpacing/>
        <w:jc w:val="both"/>
      </w:pPr>
    </w:p>
    <w:p w14:paraId="3B34FAE9" w14:textId="77777777" w:rsidR="00EE26DC" w:rsidRDefault="00EE26DC">
      <w:pPr>
        <w:spacing w:line="240" w:lineRule="auto"/>
        <w:contextualSpacing/>
        <w:jc w:val="both"/>
      </w:pPr>
      <w:r>
        <w:t xml:space="preserve">A lo anterior se agrega el hecho de que la adición representa </w:t>
      </w:r>
      <w:r w:rsidRPr="008D787F">
        <w:t>un valor mensual de $1.350.000</w:t>
      </w:r>
      <w:r>
        <w:t xml:space="preserve">, es decir, hay una diferencia de $450.000 en el pago mensual a realizar al contratista en contraste con el valor inicial del </w:t>
      </w:r>
      <w:r w:rsidR="00B6513B">
        <w:t>C</w:t>
      </w:r>
      <w:r>
        <w:t>ontrato. A</w:t>
      </w:r>
      <w:r w:rsidRPr="008D787F">
        <w:t>l ser un contrato de prestación de servicios se entendería que el valor de</w:t>
      </w:r>
      <w:r w:rsidR="00B6513B">
        <w:t xml:space="preserve"> este </w:t>
      </w:r>
      <w:r w:rsidRPr="008D787F">
        <w:t xml:space="preserve">está dispuesto para sufragar los gastos que se generen como pago del contratista; en este orden de ideas, es necesario que la justificación del Otrosí suscrito sustente de manera inequívoca la razón del aumento de </w:t>
      </w:r>
      <w:r>
        <w:t>dichos pagos</w:t>
      </w:r>
      <w:r w:rsidRPr="008D787F">
        <w:t>.</w:t>
      </w:r>
    </w:p>
    <w:p w14:paraId="7A8A8F4A" w14:textId="77777777" w:rsidR="00EE26DC" w:rsidRDefault="00EE26DC">
      <w:pPr>
        <w:spacing w:line="240" w:lineRule="auto"/>
        <w:contextualSpacing/>
        <w:jc w:val="both"/>
      </w:pPr>
    </w:p>
    <w:p w14:paraId="30A7F123" w14:textId="77777777" w:rsidR="00EE26DC" w:rsidRDefault="00EE26DC">
      <w:pPr>
        <w:spacing w:line="240" w:lineRule="auto"/>
        <w:contextualSpacing/>
        <w:jc w:val="both"/>
        <w:rPr>
          <w:rFonts w:eastAsia="Arial" w:cs="Arial"/>
          <w:color w:val="000000" w:themeColor="text1"/>
          <w:lang w:val="es-CO"/>
        </w:rPr>
      </w:pPr>
      <w:r>
        <w:t xml:space="preserve">Esta misma situación se presenta en el caso del </w:t>
      </w:r>
      <w:r w:rsidR="00B6513B">
        <w:t>C</w:t>
      </w:r>
      <w:r>
        <w:t xml:space="preserve">oordinador de </w:t>
      </w:r>
      <w:r w:rsidR="00B6513B">
        <w:t>C</w:t>
      </w:r>
      <w:r>
        <w:t>ultura del Municipio, Contrato CPS-023-2018 con objeto “</w:t>
      </w:r>
      <w:r w:rsidRPr="0079286A">
        <w:rPr>
          <w:rFonts w:eastAsia="Times New Roman" w:cs="Arial"/>
          <w:i/>
          <w:iCs/>
          <w:color w:val="000000"/>
          <w:lang w:val="es-CO" w:eastAsia="es-CO"/>
        </w:rPr>
        <w:t>Fortalecimiento al sector cultura mediante la prestación del servicio como coordinador de cultura del municipio de Leguízamo</w:t>
      </w:r>
      <w:r w:rsidRPr="006C65F3">
        <w:rPr>
          <w:rFonts w:eastAsia="Times New Roman" w:cs="Arial"/>
          <w:color w:val="000000"/>
          <w:lang w:val="es-CO" w:eastAsia="es-CO"/>
        </w:rPr>
        <w:t>”</w:t>
      </w:r>
      <w:r>
        <w:t xml:space="preserve"> y financiado con recursos de Propósito General - Cultura, en donde se contrata a la persona encargada de</w:t>
      </w:r>
      <w:r>
        <w:rPr>
          <w:rFonts w:eastAsia="Arial" w:cs="Arial"/>
          <w:color w:val="000000" w:themeColor="text1"/>
          <w:lang w:val="es-CO"/>
        </w:rPr>
        <w:t xml:space="preserve"> la formulación de los proyectos, el seguimiento a las escuelas culturales y demás actividades relacionadas con el </w:t>
      </w:r>
      <w:r w:rsidR="00B6513B">
        <w:rPr>
          <w:rFonts w:eastAsia="Arial" w:cs="Arial"/>
          <w:color w:val="000000" w:themeColor="text1"/>
          <w:lang w:val="es-CO"/>
        </w:rPr>
        <w:t>S</w:t>
      </w:r>
      <w:r>
        <w:rPr>
          <w:rFonts w:eastAsia="Arial" w:cs="Arial"/>
          <w:color w:val="000000" w:themeColor="text1"/>
          <w:lang w:val="es-CO"/>
        </w:rPr>
        <w:t xml:space="preserve">ector de Cultura. Como se mencionó anteriormente, estas actividades </w:t>
      </w:r>
      <w:r w:rsidRPr="00D4341B">
        <w:rPr>
          <w:rFonts w:eastAsia="Arial" w:cs="Arial"/>
          <w:color w:val="000000" w:themeColor="text1"/>
          <w:lang w:val="es-CO"/>
        </w:rPr>
        <w:t>tienen otros atributos como la recurrencia, que son operativos, no forman capital y tampoco permiten la instalación o aumento de las capacidades en las entidades.</w:t>
      </w:r>
      <w:r>
        <w:rPr>
          <w:rFonts w:eastAsia="Arial" w:cs="Arial"/>
          <w:color w:val="000000" w:themeColor="text1"/>
          <w:lang w:val="es-CO"/>
        </w:rPr>
        <w:t xml:space="preserve"> Por esta razón,</w:t>
      </w:r>
      <w:r w:rsidRPr="00D92833">
        <w:t xml:space="preserve"> </w:t>
      </w:r>
      <w:r w:rsidRPr="00D92833">
        <w:rPr>
          <w:rFonts w:eastAsia="Arial" w:cs="Arial"/>
          <w:color w:val="000000" w:themeColor="text1"/>
          <w:lang w:val="es-CO"/>
        </w:rPr>
        <w:t>deben ser clasificados como gastos de funcionamiento en aplicación de lo indicado por el Estatuto Orgánico de Presupuesto, y deben ser financiados con cargo a Ingresos Corrientes de Libre Destinación</w:t>
      </w:r>
      <w:r>
        <w:rPr>
          <w:rFonts w:eastAsia="Arial" w:cs="Arial"/>
          <w:color w:val="000000" w:themeColor="text1"/>
          <w:lang w:val="es-CO"/>
        </w:rPr>
        <w:t>.</w:t>
      </w:r>
    </w:p>
    <w:p w14:paraId="35DA8AE1" w14:textId="77777777" w:rsidR="00EE26DC" w:rsidRDefault="00EE26DC">
      <w:pPr>
        <w:spacing w:line="240" w:lineRule="auto"/>
        <w:contextualSpacing/>
        <w:jc w:val="both"/>
        <w:rPr>
          <w:rFonts w:eastAsia="Arial" w:cs="Arial"/>
          <w:color w:val="000000" w:themeColor="text1"/>
          <w:lang w:val="es-CO"/>
        </w:rPr>
      </w:pPr>
    </w:p>
    <w:p w14:paraId="1C0EB84D" w14:textId="77777777" w:rsidR="00EE26DC" w:rsidRDefault="00EE26DC">
      <w:pPr>
        <w:spacing w:line="240" w:lineRule="auto"/>
        <w:contextualSpacing/>
        <w:jc w:val="both"/>
      </w:pPr>
      <w:r>
        <w:rPr>
          <w:rFonts w:eastAsia="Arial" w:cs="Arial"/>
          <w:color w:val="000000" w:themeColor="text1"/>
          <w:lang w:val="es-CO"/>
        </w:rPr>
        <w:t xml:space="preserve">Lo anterior, debido a que los recursos de Propósito General para </w:t>
      </w:r>
      <w:r w:rsidR="00B6513B">
        <w:rPr>
          <w:rFonts w:eastAsia="Arial" w:cs="Arial"/>
          <w:color w:val="000000" w:themeColor="text1"/>
          <w:lang w:val="es-CO"/>
        </w:rPr>
        <w:t>C</w:t>
      </w:r>
      <w:r>
        <w:rPr>
          <w:rFonts w:eastAsia="Arial" w:cs="Arial"/>
          <w:color w:val="000000" w:themeColor="text1"/>
          <w:lang w:val="es-CO"/>
        </w:rPr>
        <w:t xml:space="preserve">ultura, </w:t>
      </w:r>
      <w:r>
        <w:t>normativamente están dirigidos a financiar, entre otros aspectos, el fomento al acceso, la innovación, la creación y la producción artística y cultural, así como fortalecer procesos de información, investigación, comunicación y formación, y las expresiones multiculturales. Por lo tanto, estos recursos no pueden destinarse a actividades que son de funcionamiento:</w:t>
      </w:r>
    </w:p>
    <w:p w14:paraId="7BC11E49" w14:textId="77777777" w:rsidR="00EE26DC" w:rsidRDefault="00EE26DC">
      <w:pPr>
        <w:spacing w:line="240" w:lineRule="auto"/>
        <w:contextualSpacing/>
        <w:jc w:val="both"/>
      </w:pPr>
    </w:p>
    <w:p w14:paraId="3AB3DF30" w14:textId="77777777" w:rsidR="00EE26DC" w:rsidRPr="00FB27C3" w:rsidRDefault="00EE26DC">
      <w:pPr>
        <w:spacing w:line="240" w:lineRule="auto"/>
        <w:ind w:left="709"/>
        <w:contextualSpacing/>
        <w:jc w:val="both"/>
        <w:rPr>
          <w:i/>
          <w:iCs/>
          <w:sz w:val="18"/>
          <w:szCs w:val="18"/>
        </w:rPr>
      </w:pPr>
      <w:r w:rsidRPr="00FB27C3">
        <w:rPr>
          <w:sz w:val="18"/>
          <w:szCs w:val="18"/>
        </w:rPr>
        <w:t>“</w:t>
      </w:r>
      <w:r w:rsidRPr="00FB27C3">
        <w:rPr>
          <w:i/>
          <w:iCs/>
          <w:sz w:val="18"/>
          <w:szCs w:val="18"/>
        </w:rPr>
        <w:t>Se considera relevante precisar que los recursos de la participación de PPG inversión en cultura no se pueden destinar a financiar gastos de funcionamiento de la entidad o de la unidad administrativa municipal que ejecute la política y proyectos culturales del municipio</w:t>
      </w:r>
      <w:r w:rsidRPr="00FB27C3">
        <w:rPr>
          <w:sz w:val="18"/>
          <w:szCs w:val="18"/>
        </w:rPr>
        <w:t>”</w:t>
      </w:r>
      <w:r w:rsidRPr="00FB27C3">
        <w:rPr>
          <w:i/>
          <w:iCs/>
          <w:sz w:val="18"/>
          <w:szCs w:val="18"/>
        </w:rPr>
        <w:t xml:space="preserve">. </w:t>
      </w:r>
      <w:r w:rsidRPr="00FB27C3">
        <w:rPr>
          <w:rStyle w:val="Refdenotaalpie"/>
          <w:i/>
          <w:iCs/>
          <w:sz w:val="18"/>
          <w:szCs w:val="18"/>
        </w:rPr>
        <w:footnoteReference w:id="19"/>
      </w:r>
    </w:p>
    <w:p w14:paraId="21861A44" w14:textId="77777777" w:rsidR="007E1F3E" w:rsidRDefault="007E1F3E">
      <w:pPr>
        <w:spacing w:line="240" w:lineRule="auto"/>
        <w:contextualSpacing/>
        <w:jc w:val="both"/>
        <w:rPr>
          <w:lang w:val="es"/>
        </w:rPr>
      </w:pPr>
    </w:p>
    <w:p w14:paraId="30AA76C6" w14:textId="77777777" w:rsidR="005B4AA6" w:rsidRDefault="00056071">
      <w:pPr>
        <w:spacing w:line="240" w:lineRule="auto"/>
        <w:contextualSpacing/>
        <w:jc w:val="both"/>
      </w:pPr>
      <w:r>
        <w:t>Por otra parte, e</w:t>
      </w:r>
      <w:r w:rsidR="005B4AA6">
        <w:t xml:space="preserve">l Departamento Nacional de Planeación identificó </w:t>
      </w:r>
      <w:r w:rsidR="00F70FC7">
        <w:t xml:space="preserve">en el </w:t>
      </w:r>
      <w:r w:rsidR="001D66C2">
        <w:t>“</w:t>
      </w:r>
      <w:r w:rsidR="00F70FC7" w:rsidRPr="009962E4">
        <w:rPr>
          <w:i/>
          <w:iCs/>
        </w:rPr>
        <w:t>Informe de monitoreo de campo, Puerto Leguízamo - Putumayo, Vigencias 2018 y 2019 (corte junio)</w:t>
      </w:r>
      <w:r w:rsidR="001D66C2">
        <w:t>”</w:t>
      </w:r>
      <w:r w:rsidR="00F70FC7">
        <w:rPr>
          <w:i/>
          <w:iCs/>
        </w:rPr>
        <w:t xml:space="preserve">, </w:t>
      </w:r>
      <w:r w:rsidR="005B4AA6">
        <w:t xml:space="preserve">que con cargo a los recursos del SGP </w:t>
      </w:r>
      <w:r w:rsidR="001D66C2">
        <w:t xml:space="preserve">- </w:t>
      </w:r>
      <w:r w:rsidR="005B4AA6">
        <w:t xml:space="preserve">PG para Deporte se han financiado de manera recurrente elementos deportivos que no quedan a disposición de la </w:t>
      </w:r>
      <w:r w:rsidR="001D66C2">
        <w:t>A</w:t>
      </w:r>
      <w:r w:rsidR="005B4AA6">
        <w:t xml:space="preserve">dministración </w:t>
      </w:r>
      <w:r w:rsidR="001D66C2">
        <w:t>M</w:t>
      </w:r>
      <w:r w:rsidR="005B4AA6">
        <w:t>unicipal bajo el rubro presupuestal “</w:t>
      </w:r>
      <w:r w:rsidR="005B4AA6" w:rsidRPr="00FB27C3">
        <w:rPr>
          <w:i/>
          <w:iCs/>
        </w:rPr>
        <w:t>dotación de escenarios deportivos e implementos para la práctica del deporte</w:t>
      </w:r>
      <w:r w:rsidR="005B4AA6">
        <w:t>” como se evidencia en el siguiente cuadro:</w:t>
      </w:r>
    </w:p>
    <w:p w14:paraId="169B5C21" w14:textId="77777777" w:rsidR="001D66C2" w:rsidRDefault="001D66C2">
      <w:pPr>
        <w:spacing w:line="240" w:lineRule="auto"/>
        <w:contextualSpacing/>
        <w:jc w:val="both"/>
      </w:pPr>
    </w:p>
    <w:p w14:paraId="612A1B6E" w14:textId="77777777" w:rsidR="005B4AA6" w:rsidRPr="005370C5" w:rsidRDefault="005B4AA6">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Pr>
          <w:rFonts w:eastAsia="Arial" w:cs="Arial"/>
          <w:b/>
          <w:bCs/>
          <w:sz w:val="20"/>
          <w:szCs w:val="20"/>
        </w:rPr>
        <w:t>6</w:t>
      </w:r>
    </w:p>
    <w:p w14:paraId="276B22B4" w14:textId="77777777" w:rsidR="005B4AA6" w:rsidRDefault="005B4AA6">
      <w:pPr>
        <w:spacing w:after="0" w:line="240" w:lineRule="auto"/>
        <w:contextualSpacing/>
        <w:jc w:val="center"/>
        <w:rPr>
          <w:rFonts w:eastAsia="Arial" w:cs="Arial"/>
          <w:sz w:val="20"/>
          <w:szCs w:val="20"/>
        </w:rPr>
      </w:pPr>
      <w:r>
        <w:rPr>
          <w:rFonts w:eastAsia="Arial" w:cs="Arial"/>
          <w:sz w:val="20"/>
          <w:szCs w:val="20"/>
        </w:rPr>
        <w:t>Contratos de suministro de elementos deportivos</w:t>
      </w:r>
    </w:p>
    <w:p w14:paraId="541F21C4" w14:textId="77777777" w:rsidR="005B4AA6" w:rsidRPr="00C16E4B" w:rsidRDefault="005B4AA6">
      <w:pPr>
        <w:spacing w:after="0" w:line="240" w:lineRule="auto"/>
        <w:contextualSpacing/>
        <w:jc w:val="center"/>
        <w:rPr>
          <w:rFonts w:eastAsia="Arial" w:cs="Arial"/>
          <w:sz w:val="20"/>
          <w:szCs w:val="20"/>
        </w:rPr>
      </w:pPr>
      <w:r>
        <w:rPr>
          <w:rFonts w:eastAsia="Arial" w:cs="Arial"/>
          <w:sz w:val="20"/>
          <w:szCs w:val="20"/>
        </w:rPr>
        <w:t xml:space="preserve">Municipio de Puerto Leguízamo – Putumayo </w:t>
      </w:r>
    </w:p>
    <w:tbl>
      <w:tblPr>
        <w:tblW w:w="5012" w:type="pct"/>
        <w:jc w:val="center"/>
        <w:tblCellMar>
          <w:left w:w="70" w:type="dxa"/>
          <w:right w:w="70" w:type="dxa"/>
        </w:tblCellMar>
        <w:tblLook w:val="04A0" w:firstRow="1" w:lastRow="0" w:firstColumn="1" w:lastColumn="0" w:noHBand="0" w:noVBand="1"/>
      </w:tblPr>
      <w:tblGrid>
        <w:gridCol w:w="1369"/>
        <w:gridCol w:w="3519"/>
        <w:gridCol w:w="3425"/>
        <w:gridCol w:w="201"/>
      </w:tblGrid>
      <w:tr w:rsidR="005B4AA6" w:rsidRPr="007B1B1C" w14:paraId="2FBA4169" w14:textId="77777777" w:rsidTr="004663BF">
        <w:trPr>
          <w:gridAfter w:val="1"/>
          <w:wAfter w:w="86" w:type="pct"/>
          <w:trHeight w:val="254"/>
          <w:jc w:val="center"/>
        </w:trPr>
        <w:tc>
          <w:tcPr>
            <w:tcW w:w="815" w:type="pct"/>
            <w:tcBorders>
              <w:top w:val="single" w:sz="4" w:space="0" w:color="auto"/>
              <w:left w:val="single" w:sz="4" w:space="0" w:color="auto"/>
              <w:bottom w:val="single" w:sz="4" w:space="0" w:color="auto"/>
              <w:right w:val="single" w:sz="4" w:space="0" w:color="auto"/>
            </w:tcBorders>
            <w:shd w:val="clear" w:color="000000" w:fill="666699"/>
            <w:vAlign w:val="center"/>
            <w:hideMark/>
          </w:tcPr>
          <w:p w14:paraId="495F35E4" w14:textId="77777777" w:rsidR="005B4AA6" w:rsidRPr="00FB27C3" w:rsidRDefault="005B4AA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077" w:type="pct"/>
            <w:tcBorders>
              <w:top w:val="single" w:sz="4" w:space="0" w:color="auto"/>
              <w:left w:val="nil"/>
              <w:bottom w:val="single" w:sz="4" w:space="0" w:color="auto"/>
              <w:right w:val="single" w:sz="4" w:space="0" w:color="auto"/>
            </w:tcBorders>
            <w:shd w:val="clear" w:color="000000" w:fill="CCCCFF"/>
            <w:vAlign w:val="center"/>
            <w:hideMark/>
          </w:tcPr>
          <w:p w14:paraId="64A355ED" w14:textId="77777777" w:rsidR="005B4AA6" w:rsidRPr="00FB27C3" w:rsidRDefault="005B4AA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PS-MC-001-2018</w:t>
            </w:r>
          </w:p>
        </w:tc>
        <w:tc>
          <w:tcPr>
            <w:tcW w:w="2022" w:type="pct"/>
            <w:tcBorders>
              <w:top w:val="single" w:sz="4" w:space="0" w:color="auto"/>
              <w:left w:val="nil"/>
              <w:bottom w:val="single" w:sz="4" w:space="0" w:color="auto"/>
              <w:right w:val="single" w:sz="4" w:space="0" w:color="auto"/>
            </w:tcBorders>
            <w:shd w:val="clear" w:color="000000" w:fill="666699"/>
            <w:vAlign w:val="center"/>
            <w:hideMark/>
          </w:tcPr>
          <w:p w14:paraId="692446BA" w14:textId="77777777" w:rsidR="005B4AA6" w:rsidRPr="00FB27C3" w:rsidRDefault="005B4AA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r>
      <w:tr w:rsidR="005B4AA6" w:rsidRPr="007B1B1C" w14:paraId="569E3DBF" w14:textId="77777777" w:rsidTr="004663BF">
        <w:trPr>
          <w:gridAfter w:val="1"/>
          <w:wAfter w:w="86" w:type="pct"/>
          <w:trHeight w:val="433"/>
          <w:jc w:val="center"/>
        </w:trPr>
        <w:tc>
          <w:tcPr>
            <w:tcW w:w="815" w:type="pct"/>
            <w:vMerge w:val="restart"/>
            <w:tcBorders>
              <w:top w:val="nil"/>
              <w:left w:val="single" w:sz="4" w:space="0" w:color="auto"/>
              <w:bottom w:val="single" w:sz="4" w:space="0" w:color="auto"/>
              <w:right w:val="single" w:sz="4" w:space="0" w:color="auto"/>
            </w:tcBorders>
            <w:shd w:val="clear" w:color="000000" w:fill="666699"/>
            <w:vAlign w:val="center"/>
            <w:hideMark/>
          </w:tcPr>
          <w:p w14:paraId="176C2BF1"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077" w:type="pct"/>
            <w:vMerge w:val="restart"/>
            <w:tcBorders>
              <w:top w:val="nil"/>
              <w:left w:val="single" w:sz="4" w:space="0" w:color="auto"/>
              <w:bottom w:val="single" w:sz="4" w:space="0" w:color="auto"/>
              <w:right w:val="single" w:sz="4" w:space="0" w:color="auto"/>
            </w:tcBorders>
            <w:shd w:val="clear" w:color="auto" w:fill="auto"/>
            <w:vAlign w:val="bottom"/>
            <w:hideMark/>
          </w:tcPr>
          <w:p w14:paraId="2BDE8B60"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Apoyo logístico en el desarrollo de actividades deportivas, tradicionales recreativas en 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de Puerto Leguízamo </w:t>
            </w:r>
            <w:r w:rsidR="001D66C2">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w:t>
            </w:r>
            <w:r w:rsidR="001D66C2">
              <w:rPr>
                <w:rFonts w:eastAsia="Times New Roman" w:cs="Arial"/>
                <w:color w:val="000000"/>
                <w:sz w:val="18"/>
                <w:szCs w:val="18"/>
                <w:lang w:val="es-CO" w:eastAsia="es-CO"/>
              </w:rPr>
              <w:t>.</w:t>
            </w:r>
          </w:p>
        </w:tc>
        <w:tc>
          <w:tcPr>
            <w:tcW w:w="2022" w:type="pct"/>
            <w:vMerge w:val="restart"/>
            <w:tcBorders>
              <w:top w:val="nil"/>
              <w:left w:val="single" w:sz="4" w:space="0" w:color="auto"/>
              <w:bottom w:val="single" w:sz="4" w:space="0" w:color="auto"/>
              <w:right w:val="single" w:sz="4" w:space="0" w:color="auto"/>
            </w:tcBorders>
            <w:shd w:val="clear" w:color="auto" w:fill="auto"/>
            <w:vAlign w:val="center"/>
            <w:hideMark/>
          </w:tcPr>
          <w:p w14:paraId="1395BF04" w14:textId="77777777" w:rsidR="001D66C2" w:rsidRDefault="005B4AA6">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Entrega de 108 petos, 144 uniformes deportivos, 126 busos deportivos, 30 uniformes de entrenamiento</w:t>
            </w:r>
            <w:r w:rsidR="001D66C2">
              <w:rPr>
                <w:rFonts w:eastAsia="Times New Roman" w:cs="Arial"/>
                <w:color w:val="000000"/>
                <w:sz w:val="18"/>
                <w:szCs w:val="18"/>
                <w:lang w:val="es-CO" w:eastAsia="es-CO"/>
              </w:rPr>
              <w:t xml:space="preserve"> </w:t>
            </w:r>
          </w:p>
          <w:p w14:paraId="72CDA776" w14:textId="77777777" w:rsidR="005B4AA6" w:rsidRPr="00FB27C3" w:rsidRDefault="005B4AA6">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Suministro de cemento para demarcación de cancha deportiva, 6 balones de fútbol, 6 trofeos, elementos de sonido y 30 pacas de agua </w:t>
            </w:r>
          </w:p>
        </w:tc>
      </w:tr>
      <w:tr w:rsidR="005B4AA6" w:rsidRPr="007B1B1C" w14:paraId="41FB7C46" w14:textId="77777777" w:rsidTr="004663BF">
        <w:trPr>
          <w:trHeight w:val="254"/>
          <w:jc w:val="center"/>
        </w:trPr>
        <w:tc>
          <w:tcPr>
            <w:tcW w:w="815" w:type="pct"/>
            <w:vMerge/>
            <w:tcBorders>
              <w:top w:val="nil"/>
              <w:left w:val="single" w:sz="4" w:space="0" w:color="auto"/>
              <w:bottom w:val="single" w:sz="4" w:space="0" w:color="auto"/>
              <w:right w:val="single" w:sz="4" w:space="0" w:color="auto"/>
            </w:tcBorders>
            <w:vAlign w:val="center"/>
            <w:hideMark/>
          </w:tcPr>
          <w:p w14:paraId="0FB3A72D" w14:textId="77777777" w:rsidR="005B4AA6" w:rsidRPr="00FB27C3" w:rsidRDefault="005B4AA6">
            <w:pPr>
              <w:spacing w:after="0" w:line="240" w:lineRule="auto"/>
              <w:contextualSpacing/>
              <w:rPr>
                <w:rFonts w:eastAsia="Times New Roman" w:cs="Arial"/>
                <w:b/>
                <w:bCs/>
                <w:color w:val="FFFFFF"/>
                <w:sz w:val="18"/>
                <w:szCs w:val="18"/>
                <w:lang w:val="es-CO" w:eastAsia="es-CO"/>
              </w:rPr>
            </w:pPr>
          </w:p>
        </w:tc>
        <w:tc>
          <w:tcPr>
            <w:tcW w:w="2077" w:type="pct"/>
            <w:vMerge/>
            <w:tcBorders>
              <w:top w:val="nil"/>
              <w:left w:val="single" w:sz="4" w:space="0" w:color="auto"/>
              <w:bottom w:val="single" w:sz="4" w:space="0" w:color="auto"/>
              <w:right w:val="single" w:sz="4" w:space="0" w:color="auto"/>
            </w:tcBorders>
            <w:vAlign w:val="center"/>
            <w:hideMark/>
          </w:tcPr>
          <w:p w14:paraId="7A211434"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2022" w:type="pct"/>
            <w:vMerge/>
            <w:tcBorders>
              <w:top w:val="nil"/>
              <w:left w:val="single" w:sz="4" w:space="0" w:color="auto"/>
              <w:bottom w:val="single" w:sz="4" w:space="0" w:color="auto"/>
              <w:right w:val="single" w:sz="4" w:space="0" w:color="auto"/>
            </w:tcBorders>
            <w:vAlign w:val="center"/>
            <w:hideMark/>
          </w:tcPr>
          <w:p w14:paraId="62110B32"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tcBorders>
              <w:top w:val="nil"/>
              <w:left w:val="nil"/>
              <w:bottom w:val="nil"/>
              <w:right w:val="nil"/>
            </w:tcBorders>
            <w:shd w:val="clear" w:color="auto" w:fill="auto"/>
            <w:noWrap/>
            <w:vAlign w:val="bottom"/>
            <w:hideMark/>
          </w:tcPr>
          <w:p w14:paraId="42E76431" w14:textId="77777777" w:rsidR="005B4AA6" w:rsidRPr="00FB27C3" w:rsidRDefault="005B4AA6">
            <w:pPr>
              <w:spacing w:after="0" w:line="240" w:lineRule="auto"/>
              <w:contextualSpacing/>
              <w:rPr>
                <w:rFonts w:eastAsia="Times New Roman" w:cs="Arial"/>
                <w:color w:val="000000"/>
                <w:sz w:val="18"/>
                <w:szCs w:val="18"/>
                <w:lang w:val="es-CO" w:eastAsia="es-CO"/>
              </w:rPr>
            </w:pPr>
          </w:p>
        </w:tc>
      </w:tr>
      <w:tr w:rsidR="005B4AA6" w:rsidRPr="007B1B1C" w14:paraId="48E47287"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67DB666A"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077" w:type="pct"/>
            <w:tcBorders>
              <w:top w:val="nil"/>
              <w:left w:val="nil"/>
              <w:bottom w:val="single" w:sz="4" w:space="0" w:color="auto"/>
              <w:right w:val="single" w:sz="4" w:space="0" w:color="auto"/>
            </w:tcBorders>
            <w:shd w:val="clear" w:color="auto" w:fill="auto"/>
            <w:noWrap/>
            <w:vAlign w:val="bottom"/>
            <w:hideMark/>
          </w:tcPr>
          <w:p w14:paraId="66F4DA4E"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FUNDACIÓN AROMA DE MUJER </w:t>
            </w:r>
          </w:p>
        </w:tc>
        <w:tc>
          <w:tcPr>
            <w:tcW w:w="2022" w:type="pct"/>
            <w:vMerge/>
            <w:tcBorders>
              <w:top w:val="nil"/>
              <w:left w:val="single" w:sz="4" w:space="0" w:color="auto"/>
              <w:bottom w:val="single" w:sz="4" w:space="0" w:color="auto"/>
              <w:right w:val="single" w:sz="4" w:space="0" w:color="auto"/>
            </w:tcBorders>
            <w:vAlign w:val="center"/>
            <w:hideMark/>
          </w:tcPr>
          <w:p w14:paraId="5A67CE75"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5B683C76"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0C3BBB3B"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7F0A81F3"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077" w:type="pct"/>
            <w:tcBorders>
              <w:top w:val="nil"/>
              <w:left w:val="nil"/>
              <w:bottom w:val="single" w:sz="4" w:space="0" w:color="auto"/>
              <w:right w:val="single" w:sz="4" w:space="0" w:color="auto"/>
            </w:tcBorders>
            <w:shd w:val="clear" w:color="auto" w:fill="auto"/>
            <w:vAlign w:val="center"/>
            <w:hideMark/>
          </w:tcPr>
          <w:p w14:paraId="51285078"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$21.500.000</w:t>
            </w:r>
          </w:p>
        </w:tc>
        <w:tc>
          <w:tcPr>
            <w:tcW w:w="2022" w:type="pct"/>
            <w:vMerge/>
            <w:tcBorders>
              <w:top w:val="nil"/>
              <w:left w:val="single" w:sz="4" w:space="0" w:color="auto"/>
              <w:bottom w:val="single" w:sz="4" w:space="0" w:color="auto"/>
              <w:right w:val="single" w:sz="4" w:space="0" w:color="auto"/>
            </w:tcBorders>
            <w:vAlign w:val="center"/>
            <w:hideMark/>
          </w:tcPr>
          <w:p w14:paraId="12A3FBEA"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3803FE33"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6A0DE584"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6A8A6B99"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077" w:type="pct"/>
            <w:tcBorders>
              <w:top w:val="nil"/>
              <w:left w:val="nil"/>
              <w:bottom w:val="single" w:sz="4" w:space="0" w:color="auto"/>
              <w:right w:val="single" w:sz="4" w:space="0" w:color="auto"/>
            </w:tcBorders>
            <w:shd w:val="clear" w:color="auto" w:fill="auto"/>
            <w:noWrap/>
            <w:vAlign w:val="bottom"/>
            <w:hideMark/>
          </w:tcPr>
          <w:p w14:paraId="5B4EAA04"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mes </w:t>
            </w:r>
          </w:p>
        </w:tc>
        <w:tc>
          <w:tcPr>
            <w:tcW w:w="2022" w:type="pct"/>
            <w:vMerge/>
            <w:tcBorders>
              <w:top w:val="nil"/>
              <w:left w:val="single" w:sz="4" w:space="0" w:color="auto"/>
              <w:bottom w:val="single" w:sz="4" w:space="0" w:color="auto"/>
              <w:right w:val="single" w:sz="4" w:space="0" w:color="auto"/>
            </w:tcBorders>
            <w:vAlign w:val="center"/>
            <w:hideMark/>
          </w:tcPr>
          <w:p w14:paraId="73DD48B2"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0B3ACE6D"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0049E78D"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322AE274"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077" w:type="pct"/>
            <w:tcBorders>
              <w:top w:val="nil"/>
              <w:left w:val="nil"/>
              <w:bottom w:val="single" w:sz="4" w:space="0" w:color="auto"/>
              <w:right w:val="single" w:sz="4" w:space="0" w:color="auto"/>
            </w:tcBorders>
            <w:shd w:val="clear" w:color="000000" w:fill="CCCCFF"/>
            <w:vAlign w:val="center"/>
            <w:hideMark/>
          </w:tcPr>
          <w:p w14:paraId="323E4C64" w14:textId="77777777" w:rsidR="005B4AA6" w:rsidRPr="00FB27C3" w:rsidRDefault="005B4AA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PS-MC-047-2018</w:t>
            </w:r>
          </w:p>
        </w:tc>
        <w:tc>
          <w:tcPr>
            <w:tcW w:w="2022" w:type="pct"/>
            <w:tcBorders>
              <w:top w:val="nil"/>
              <w:left w:val="nil"/>
              <w:bottom w:val="single" w:sz="4" w:space="0" w:color="auto"/>
              <w:right w:val="single" w:sz="4" w:space="0" w:color="auto"/>
            </w:tcBorders>
            <w:shd w:val="clear" w:color="000000" w:fill="666699"/>
            <w:vAlign w:val="center"/>
            <w:hideMark/>
          </w:tcPr>
          <w:p w14:paraId="1B056069" w14:textId="77777777" w:rsidR="005B4AA6" w:rsidRPr="00FB27C3" w:rsidRDefault="005B4AA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86" w:type="pct"/>
            <w:vAlign w:val="center"/>
            <w:hideMark/>
          </w:tcPr>
          <w:p w14:paraId="38506BF2"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6F6A242A" w14:textId="77777777" w:rsidTr="004663BF">
        <w:trPr>
          <w:trHeight w:val="254"/>
          <w:jc w:val="center"/>
        </w:trPr>
        <w:tc>
          <w:tcPr>
            <w:tcW w:w="815" w:type="pct"/>
            <w:vMerge w:val="restart"/>
            <w:tcBorders>
              <w:top w:val="nil"/>
              <w:left w:val="single" w:sz="4" w:space="0" w:color="auto"/>
              <w:bottom w:val="single" w:sz="4" w:space="0" w:color="auto"/>
              <w:right w:val="single" w:sz="4" w:space="0" w:color="auto"/>
            </w:tcBorders>
            <w:shd w:val="clear" w:color="000000" w:fill="666699"/>
            <w:vAlign w:val="center"/>
            <w:hideMark/>
          </w:tcPr>
          <w:p w14:paraId="2E44CE63"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077" w:type="pct"/>
            <w:vMerge w:val="restart"/>
            <w:tcBorders>
              <w:top w:val="nil"/>
              <w:left w:val="single" w:sz="4" w:space="0" w:color="auto"/>
              <w:bottom w:val="single" w:sz="4" w:space="0" w:color="auto"/>
              <w:right w:val="single" w:sz="4" w:space="0" w:color="auto"/>
            </w:tcBorders>
            <w:shd w:val="clear" w:color="auto" w:fill="auto"/>
            <w:vAlign w:val="bottom"/>
            <w:hideMark/>
          </w:tcPr>
          <w:p w14:paraId="20AE6E5B"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Compraventa de elementos deportivos para el fortalecimiento de las actividades deportivas del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 xml:space="preserve">unicipio de Leguízamo, </w:t>
            </w:r>
            <w:r w:rsidR="001D66C2">
              <w:rPr>
                <w:rFonts w:eastAsia="Times New Roman" w:cs="Arial"/>
                <w:color w:val="000000"/>
                <w:sz w:val="18"/>
                <w:szCs w:val="18"/>
                <w:lang w:val="es-CO" w:eastAsia="es-CO"/>
              </w:rPr>
              <w:t>D</w:t>
            </w:r>
            <w:r w:rsidRPr="00FB27C3">
              <w:rPr>
                <w:rFonts w:eastAsia="Times New Roman" w:cs="Arial"/>
                <w:color w:val="000000"/>
                <w:sz w:val="18"/>
                <w:szCs w:val="18"/>
                <w:lang w:val="es-CO" w:eastAsia="es-CO"/>
              </w:rPr>
              <w:t>epartamento del Putumayo Amazonas</w:t>
            </w:r>
          </w:p>
        </w:tc>
        <w:tc>
          <w:tcPr>
            <w:tcW w:w="2022" w:type="pct"/>
            <w:vMerge w:val="restart"/>
            <w:tcBorders>
              <w:top w:val="nil"/>
              <w:left w:val="single" w:sz="4" w:space="0" w:color="auto"/>
              <w:bottom w:val="single" w:sz="4" w:space="0" w:color="auto"/>
              <w:right w:val="single" w:sz="4" w:space="0" w:color="auto"/>
            </w:tcBorders>
            <w:shd w:val="clear" w:color="auto" w:fill="auto"/>
            <w:vAlign w:val="center"/>
            <w:hideMark/>
          </w:tcPr>
          <w:p w14:paraId="5ECC585F" w14:textId="77777777" w:rsidR="005B4AA6" w:rsidRPr="00FB27C3" w:rsidRDefault="005B4AA6">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Entrega de 180 uniformes deportivos, 18 trofeos, 51 balones de fútbol, 2 pares de redes deportivas, 3 uniformes de entrenamiento y 1 malla de voleibol </w:t>
            </w:r>
          </w:p>
        </w:tc>
        <w:tc>
          <w:tcPr>
            <w:tcW w:w="86" w:type="pct"/>
            <w:vAlign w:val="center"/>
            <w:hideMark/>
          </w:tcPr>
          <w:p w14:paraId="60672102"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3C1BD5A4" w14:textId="77777777" w:rsidTr="004663BF">
        <w:trPr>
          <w:trHeight w:val="254"/>
          <w:jc w:val="center"/>
        </w:trPr>
        <w:tc>
          <w:tcPr>
            <w:tcW w:w="815" w:type="pct"/>
            <w:vMerge/>
            <w:tcBorders>
              <w:top w:val="nil"/>
              <w:left w:val="single" w:sz="4" w:space="0" w:color="auto"/>
              <w:bottom w:val="single" w:sz="4" w:space="0" w:color="auto"/>
              <w:right w:val="single" w:sz="4" w:space="0" w:color="auto"/>
            </w:tcBorders>
            <w:vAlign w:val="center"/>
            <w:hideMark/>
          </w:tcPr>
          <w:p w14:paraId="55FA4250" w14:textId="77777777" w:rsidR="005B4AA6" w:rsidRPr="00FB27C3" w:rsidRDefault="005B4AA6">
            <w:pPr>
              <w:spacing w:after="0" w:line="240" w:lineRule="auto"/>
              <w:contextualSpacing/>
              <w:rPr>
                <w:rFonts w:eastAsia="Times New Roman" w:cs="Arial"/>
                <w:b/>
                <w:bCs/>
                <w:color w:val="FFFFFF"/>
                <w:sz w:val="18"/>
                <w:szCs w:val="18"/>
                <w:lang w:val="es-CO" w:eastAsia="es-CO"/>
              </w:rPr>
            </w:pPr>
          </w:p>
        </w:tc>
        <w:tc>
          <w:tcPr>
            <w:tcW w:w="2077" w:type="pct"/>
            <w:vMerge/>
            <w:tcBorders>
              <w:top w:val="nil"/>
              <w:left w:val="single" w:sz="4" w:space="0" w:color="auto"/>
              <w:bottom w:val="single" w:sz="4" w:space="0" w:color="auto"/>
              <w:right w:val="single" w:sz="4" w:space="0" w:color="auto"/>
            </w:tcBorders>
            <w:vAlign w:val="center"/>
            <w:hideMark/>
          </w:tcPr>
          <w:p w14:paraId="7CCED5FE"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2022" w:type="pct"/>
            <w:vMerge/>
            <w:tcBorders>
              <w:top w:val="nil"/>
              <w:left w:val="single" w:sz="4" w:space="0" w:color="auto"/>
              <w:bottom w:val="single" w:sz="4" w:space="0" w:color="auto"/>
              <w:right w:val="single" w:sz="4" w:space="0" w:color="auto"/>
            </w:tcBorders>
            <w:vAlign w:val="center"/>
            <w:hideMark/>
          </w:tcPr>
          <w:p w14:paraId="25F476CC"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tcBorders>
              <w:top w:val="nil"/>
              <w:left w:val="nil"/>
              <w:bottom w:val="nil"/>
              <w:right w:val="nil"/>
            </w:tcBorders>
            <w:shd w:val="clear" w:color="auto" w:fill="auto"/>
            <w:noWrap/>
            <w:vAlign w:val="bottom"/>
            <w:hideMark/>
          </w:tcPr>
          <w:p w14:paraId="2E7E3DF6" w14:textId="77777777" w:rsidR="005B4AA6" w:rsidRPr="00FB27C3" w:rsidRDefault="005B4AA6">
            <w:pPr>
              <w:spacing w:after="0" w:line="240" w:lineRule="auto"/>
              <w:contextualSpacing/>
              <w:rPr>
                <w:rFonts w:eastAsia="Times New Roman" w:cs="Arial"/>
                <w:color w:val="000000"/>
                <w:sz w:val="18"/>
                <w:szCs w:val="18"/>
                <w:lang w:val="es-CO" w:eastAsia="es-CO"/>
              </w:rPr>
            </w:pPr>
          </w:p>
        </w:tc>
      </w:tr>
      <w:tr w:rsidR="005B4AA6" w:rsidRPr="007B1B1C" w14:paraId="74849843"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12DFD52A"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077" w:type="pct"/>
            <w:tcBorders>
              <w:top w:val="nil"/>
              <w:left w:val="nil"/>
              <w:bottom w:val="single" w:sz="4" w:space="0" w:color="auto"/>
              <w:right w:val="single" w:sz="4" w:space="0" w:color="auto"/>
            </w:tcBorders>
            <w:shd w:val="clear" w:color="auto" w:fill="auto"/>
            <w:noWrap/>
            <w:vAlign w:val="bottom"/>
            <w:hideMark/>
          </w:tcPr>
          <w:p w14:paraId="300164E8" w14:textId="77777777" w:rsidR="005B4AA6" w:rsidRPr="00FB27C3" w:rsidRDefault="001D66C2">
            <w:pPr>
              <w:spacing w:after="0" w:line="240" w:lineRule="auto"/>
              <w:contextualSpacing/>
              <w:jc w:val="center"/>
              <w:rPr>
                <w:rFonts w:eastAsia="Times New Roman" w:cs="Arial"/>
                <w:color w:val="000000"/>
                <w:sz w:val="18"/>
                <w:szCs w:val="18"/>
                <w:lang w:val="es-CO" w:eastAsia="es-CO"/>
              </w:rPr>
            </w:pPr>
            <w:r w:rsidRPr="007B1B1C">
              <w:rPr>
                <w:rFonts w:eastAsia="Times New Roman" w:cs="Arial"/>
                <w:color w:val="000000"/>
                <w:sz w:val="18"/>
                <w:szCs w:val="18"/>
                <w:lang w:val="es-CO" w:eastAsia="es-CO"/>
              </w:rPr>
              <w:t xml:space="preserve">Jaiber Perdomo Salgado </w:t>
            </w:r>
          </w:p>
        </w:tc>
        <w:tc>
          <w:tcPr>
            <w:tcW w:w="2022" w:type="pct"/>
            <w:vMerge/>
            <w:tcBorders>
              <w:top w:val="nil"/>
              <w:left w:val="single" w:sz="4" w:space="0" w:color="auto"/>
              <w:bottom w:val="single" w:sz="4" w:space="0" w:color="auto"/>
              <w:right w:val="single" w:sz="4" w:space="0" w:color="auto"/>
            </w:tcBorders>
            <w:vAlign w:val="center"/>
            <w:hideMark/>
          </w:tcPr>
          <w:p w14:paraId="4088D80C"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5CD50DF0"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651489B5"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1DD227A5"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077" w:type="pct"/>
            <w:tcBorders>
              <w:top w:val="nil"/>
              <w:left w:val="nil"/>
              <w:bottom w:val="single" w:sz="4" w:space="0" w:color="auto"/>
              <w:right w:val="single" w:sz="4" w:space="0" w:color="auto"/>
            </w:tcBorders>
            <w:shd w:val="clear" w:color="auto" w:fill="auto"/>
            <w:vAlign w:val="center"/>
            <w:hideMark/>
          </w:tcPr>
          <w:p w14:paraId="2247AE99"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$14.935.000</w:t>
            </w:r>
          </w:p>
        </w:tc>
        <w:tc>
          <w:tcPr>
            <w:tcW w:w="2022" w:type="pct"/>
            <w:vMerge/>
            <w:tcBorders>
              <w:top w:val="nil"/>
              <w:left w:val="single" w:sz="4" w:space="0" w:color="auto"/>
              <w:bottom w:val="single" w:sz="4" w:space="0" w:color="auto"/>
              <w:right w:val="single" w:sz="4" w:space="0" w:color="auto"/>
            </w:tcBorders>
            <w:vAlign w:val="center"/>
            <w:hideMark/>
          </w:tcPr>
          <w:p w14:paraId="3301EC43"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6BD1A785"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03489BE1"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5FF3D046"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077" w:type="pct"/>
            <w:tcBorders>
              <w:top w:val="nil"/>
              <w:left w:val="nil"/>
              <w:bottom w:val="single" w:sz="4" w:space="0" w:color="auto"/>
              <w:right w:val="single" w:sz="4" w:space="0" w:color="auto"/>
            </w:tcBorders>
            <w:shd w:val="clear" w:color="auto" w:fill="auto"/>
            <w:noWrap/>
            <w:vAlign w:val="bottom"/>
            <w:hideMark/>
          </w:tcPr>
          <w:p w14:paraId="278A005F"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15 días </w:t>
            </w:r>
          </w:p>
        </w:tc>
        <w:tc>
          <w:tcPr>
            <w:tcW w:w="2022" w:type="pct"/>
            <w:vMerge/>
            <w:tcBorders>
              <w:top w:val="nil"/>
              <w:left w:val="single" w:sz="4" w:space="0" w:color="auto"/>
              <w:bottom w:val="single" w:sz="4" w:space="0" w:color="auto"/>
              <w:right w:val="single" w:sz="4" w:space="0" w:color="auto"/>
            </w:tcBorders>
            <w:vAlign w:val="center"/>
            <w:hideMark/>
          </w:tcPr>
          <w:p w14:paraId="743D0869"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6478A46B"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08E62187"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1390B5A5"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077" w:type="pct"/>
            <w:tcBorders>
              <w:top w:val="nil"/>
              <w:left w:val="nil"/>
              <w:bottom w:val="single" w:sz="4" w:space="0" w:color="auto"/>
              <w:right w:val="single" w:sz="4" w:space="0" w:color="auto"/>
            </w:tcBorders>
            <w:shd w:val="clear" w:color="000000" w:fill="CCCCFF"/>
            <w:vAlign w:val="center"/>
            <w:hideMark/>
          </w:tcPr>
          <w:p w14:paraId="3195498B" w14:textId="77777777" w:rsidR="005B4AA6" w:rsidRPr="00FB27C3" w:rsidRDefault="005B4AA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PS-MC-SEM-026-2020</w:t>
            </w:r>
          </w:p>
        </w:tc>
        <w:tc>
          <w:tcPr>
            <w:tcW w:w="2022" w:type="pct"/>
            <w:tcBorders>
              <w:top w:val="nil"/>
              <w:left w:val="nil"/>
              <w:bottom w:val="single" w:sz="4" w:space="0" w:color="auto"/>
              <w:right w:val="single" w:sz="4" w:space="0" w:color="auto"/>
            </w:tcBorders>
            <w:shd w:val="clear" w:color="000000" w:fill="666699"/>
            <w:vAlign w:val="center"/>
            <w:hideMark/>
          </w:tcPr>
          <w:p w14:paraId="473338BB" w14:textId="77777777" w:rsidR="005B4AA6" w:rsidRPr="00FB27C3" w:rsidRDefault="005B4AA6">
            <w:pPr>
              <w:spacing w:after="0" w:line="240" w:lineRule="auto"/>
              <w:contextualSpacing/>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86" w:type="pct"/>
            <w:vAlign w:val="center"/>
            <w:hideMark/>
          </w:tcPr>
          <w:p w14:paraId="1314329B"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79A9F9F6" w14:textId="77777777" w:rsidTr="004663BF">
        <w:trPr>
          <w:trHeight w:val="254"/>
          <w:jc w:val="center"/>
        </w:trPr>
        <w:tc>
          <w:tcPr>
            <w:tcW w:w="815" w:type="pct"/>
            <w:vMerge w:val="restart"/>
            <w:tcBorders>
              <w:top w:val="nil"/>
              <w:left w:val="single" w:sz="4" w:space="0" w:color="auto"/>
              <w:bottom w:val="single" w:sz="4" w:space="0" w:color="auto"/>
              <w:right w:val="single" w:sz="4" w:space="0" w:color="auto"/>
            </w:tcBorders>
            <w:shd w:val="clear" w:color="000000" w:fill="666699"/>
            <w:vAlign w:val="center"/>
            <w:hideMark/>
          </w:tcPr>
          <w:p w14:paraId="7FA0FAE0"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077" w:type="pct"/>
            <w:vMerge w:val="restart"/>
            <w:tcBorders>
              <w:top w:val="nil"/>
              <w:left w:val="single" w:sz="4" w:space="0" w:color="auto"/>
              <w:bottom w:val="single" w:sz="4" w:space="0" w:color="auto"/>
              <w:right w:val="single" w:sz="4" w:space="0" w:color="auto"/>
            </w:tcBorders>
            <w:shd w:val="clear" w:color="auto" w:fill="auto"/>
            <w:vAlign w:val="bottom"/>
            <w:hideMark/>
          </w:tcPr>
          <w:p w14:paraId="5DC5647A"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Dotación de implementos deportivos para la práctica de actividades lúdico-recreativas en el </w:t>
            </w:r>
            <w:r w:rsidR="001D66C2">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r w:rsidR="001D66C2">
              <w:rPr>
                <w:rFonts w:eastAsia="Times New Roman" w:cs="Arial"/>
                <w:color w:val="000000"/>
                <w:sz w:val="18"/>
                <w:szCs w:val="18"/>
                <w:lang w:val="es-CO" w:eastAsia="es-CO"/>
              </w:rPr>
              <w:t>.</w:t>
            </w:r>
          </w:p>
        </w:tc>
        <w:tc>
          <w:tcPr>
            <w:tcW w:w="2022" w:type="pct"/>
            <w:vMerge w:val="restart"/>
            <w:tcBorders>
              <w:top w:val="nil"/>
              <w:left w:val="single" w:sz="4" w:space="0" w:color="auto"/>
              <w:bottom w:val="single" w:sz="4" w:space="0" w:color="auto"/>
              <w:right w:val="single" w:sz="4" w:space="0" w:color="auto"/>
            </w:tcBorders>
            <w:shd w:val="clear" w:color="auto" w:fill="auto"/>
            <w:vAlign w:val="center"/>
            <w:hideMark/>
          </w:tcPr>
          <w:p w14:paraId="78AC74F5" w14:textId="77777777" w:rsidR="005B4AA6" w:rsidRPr="00FB27C3" w:rsidRDefault="005B4AA6">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Entrega de 130 balones, 3 mallas deportivas, 10 pitos, 10 cronómetros, 100 petos, 4 tableros, 6 balones de baloncesto, 48 uniformes deportivos, 20 chaquetas institucionales, entre otros.</w:t>
            </w:r>
          </w:p>
        </w:tc>
        <w:tc>
          <w:tcPr>
            <w:tcW w:w="86" w:type="pct"/>
            <w:vAlign w:val="center"/>
            <w:hideMark/>
          </w:tcPr>
          <w:p w14:paraId="0B0FD6A4"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0476DD4C" w14:textId="77777777" w:rsidTr="004663BF">
        <w:trPr>
          <w:trHeight w:val="254"/>
          <w:jc w:val="center"/>
        </w:trPr>
        <w:tc>
          <w:tcPr>
            <w:tcW w:w="815" w:type="pct"/>
            <w:vMerge/>
            <w:tcBorders>
              <w:top w:val="nil"/>
              <w:left w:val="single" w:sz="4" w:space="0" w:color="auto"/>
              <w:bottom w:val="single" w:sz="4" w:space="0" w:color="auto"/>
              <w:right w:val="single" w:sz="4" w:space="0" w:color="auto"/>
            </w:tcBorders>
            <w:vAlign w:val="center"/>
            <w:hideMark/>
          </w:tcPr>
          <w:p w14:paraId="08E74EE7" w14:textId="77777777" w:rsidR="005B4AA6" w:rsidRPr="00FB27C3" w:rsidRDefault="005B4AA6">
            <w:pPr>
              <w:spacing w:after="0" w:line="240" w:lineRule="auto"/>
              <w:contextualSpacing/>
              <w:rPr>
                <w:rFonts w:eastAsia="Times New Roman" w:cs="Arial"/>
                <w:b/>
                <w:bCs/>
                <w:color w:val="FFFFFF"/>
                <w:sz w:val="18"/>
                <w:szCs w:val="18"/>
                <w:lang w:val="es-CO" w:eastAsia="es-CO"/>
              </w:rPr>
            </w:pPr>
          </w:p>
        </w:tc>
        <w:tc>
          <w:tcPr>
            <w:tcW w:w="2077" w:type="pct"/>
            <w:vMerge/>
            <w:tcBorders>
              <w:top w:val="nil"/>
              <w:left w:val="single" w:sz="4" w:space="0" w:color="auto"/>
              <w:bottom w:val="single" w:sz="4" w:space="0" w:color="auto"/>
              <w:right w:val="single" w:sz="4" w:space="0" w:color="auto"/>
            </w:tcBorders>
            <w:vAlign w:val="center"/>
            <w:hideMark/>
          </w:tcPr>
          <w:p w14:paraId="2CCAA333"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2022" w:type="pct"/>
            <w:vMerge/>
            <w:tcBorders>
              <w:top w:val="nil"/>
              <w:left w:val="single" w:sz="4" w:space="0" w:color="auto"/>
              <w:bottom w:val="single" w:sz="4" w:space="0" w:color="auto"/>
              <w:right w:val="single" w:sz="4" w:space="0" w:color="auto"/>
            </w:tcBorders>
            <w:vAlign w:val="center"/>
            <w:hideMark/>
          </w:tcPr>
          <w:p w14:paraId="74E3A69A"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tcBorders>
              <w:top w:val="nil"/>
              <w:left w:val="nil"/>
              <w:bottom w:val="nil"/>
              <w:right w:val="nil"/>
            </w:tcBorders>
            <w:shd w:val="clear" w:color="auto" w:fill="auto"/>
            <w:noWrap/>
            <w:vAlign w:val="bottom"/>
            <w:hideMark/>
          </w:tcPr>
          <w:p w14:paraId="5C7B624C" w14:textId="77777777" w:rsidR="005B4AA6" w:rsidRPr="00FB27C3" w:rsidRDefault="005B4AA6">
            <w:pPr>
              <w:spacing w:after="0" w:line="240" w:lineRule="auto"/>
              <w:contextualSpacing/>
              <w:rPr>
                <w:rFonts w:eastAsia="Times New Roman" w:cs="Arial"/>
                <w:color w:val="000000"/>
                <w:sz w:val="18"/>
                <w:szCs w:val="18"/>
                <w:lang w:val="es-CO" w:eastAsia="es-CO"/>
              </w:rPr>
            </w:pPr>
          </w:p>
        </w:tc>
      </w:tr>
      <w:tr w:rsidR="005B4AA6" w:rsidRPr="007B1B1C" w14:paraId="77EC412B"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5F145E5C"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077" w:type="pct"/>
            <w:tcBorders>
              <w:top w:val="nil"/>
              <w:left w:val="nil"/>
              <w:bottom w:val="single" w:sz="4" w:space="0" w:color="auto"/>
              <w:right w:val="single" w:sz="4" w:space="0" w:color="auto"/>
            </w:tcBorders>
            <w:shd w:val="clear" w:color="auto" w:fill="auto"/>
            <w:noWrap/>
            <w:vAlign w:val="bottom"/>
            <w:hideMark/>
          </w:tcPr>
          <w:p w14:paraId="2B74E0A4" w14:textId="77777777" w:rsidR="005B4AA6" w:rsidRPr="00FB27C3" w:rsidRDefault="007B1B1C">
            <w:pPr>
              <w:spacing w:after="0" w:line="240" w:lineRule="auto"/>
              <w:contextualSpacing/>
              <w:jc w:val="center"/>
              <w:rPr>
                <w:rFonts w:eastAsia="Times New Roman" w:cs="Arial"/>
                <w:color w:val="000000"/>
                <w:sz w:val="18"/>
                <w:szCs w:val="18"/>
                <w:lang w:val="es-CO" w:eastAsia="es-CO"/>
              </w:rPr>
            </w:pPr>
            <w:r w:rsidRPr="007B1B1C">
              <w:rPr>
                <w:rFonts w:eastAsia="Times New Roman" w:cs="Arial"/>
                <w:color w:val="000000"/>
                <w:sz w:val="18"/>
                <w:szCs w:val="18"/>
                <w:lang w:val="es-CO" w:eastAsia="es-CO"/>
              </w:rPr>
              <w:t xml:space="preserve">Juan Carlos Córdoba </w:t>
            </w:r>
          </w:p>
        </w:tc>
        <w:tc>
          <w:tcPr>
            <w:tcW w:w="2022" w:type="pct"/>
            <w:vMerge/>
            <w:tcBorders>
              <w:top w:val="nil"/>
              <w:left w:val="single" w:sz="4" w:space="0" w:color="auto"/>
              <w:bottom w:val="single" w:sz="4" w:space="0" w:color="auto"/>
              <w:right w:val="single" w:sz="4" w:space="0" w:color="auto"/>
            </w:tcBorders>
            <w:vAlign w:val="center"/>
            <w:hideMark/>
          </w:tcPr>
          <w:p w14:paraId="3DDAB8AA"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0AEB175F"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161D40B0"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3D8D0E86"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077" w:type="pct"/>
            <w:tcBorders>
              <w:top w:val="nil"/>
              <w:left w:val="nil"/>
              <w:bottom w:val="single" w:sz="4" w:space="0" w:color="auto"/>
              <w:right w:val="single" w:sz="4" w:space="0" w:color="auto"/>
            </w:tcBorders>
            <w:shd w:val="clear" w:color="auto" w:fill="auto"/>
            <w:vAlign w:val="center"/>
            <w:hideMark/>
          </w:tcPr>
          <w:p w14:paraId="677306EA"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$22.600.000</w:t>
            </w:r>
          </w:p>
        </w:tc>
        <w:tc>
          <w:tcPr>
            <w:tcW w:w="2022" w:type="pct"/>
            <w:vMerge/>
            <w:tcBorders>
              <w:top w:val="nil"/>
              <w:left w:val="single" w:sz="4" w:space="0" w:color="auto"/>
              <w:bottom w:val="single" w:sz="4" w:space="0" w:color="auto"/>
              <w:right w:val="single" w:sz="4" w:space="0" w:color="auto"/>
            </w:tcBorders>
            <w:vAlign w:val="center"/>
            <w:hideMark/>
          </w:tcPr>
          <w:p w14:paraId="42DD2FDA"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3A8186CD"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1E9A4154"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7B476E16"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077" w:type="pct"/>
            <w:tcBorders>
              <w:top w:val="nil"/>
              <w:left w:val="nil"/>
              <w:bottom w:val="single" w:sz="4" w:space="0" w:color="auto"/>
              <w:right w:val="single" w:sz="4" w:space="0" w:color="auto"/>
            </w:tcBorders>
            <w:shd w:val="clear" w:color="auto" w:fill="auto"/>
            <w:noWrap/>
            <w:vAlign w:val="bottom"/>
            <w:hideMark/>
          </w:tcPr>
          <w:p w14:paraId="7E572D23"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1 mes </w:t>
            </w:r>
          </w:p>
        </w:tc>
        <w:tc>
          <w:tcPr>
            <w:tcW w:w="2022" w:type="pct"/>
            <w:vMerge/>
            <w:tcBorders>
              <w:top w:val="nil"/>
              <w:left w:val="single" w:sz="4" w:space="0" w:color="auto"/>
              <w:bottom w:val="single" w:sz="4" w:space="0" w:color="auto"/>
              <w:right w:val="single" w:sz="4" w:space="0" w:color="auto"/>
            </w:tcBorders>
            <w:vAlign w:val="center"/>
            <w:hideMark/>
          </w:tcPr>
          <w:p w14:paraId="716B8E53"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463FF4AC"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2FC9B597"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1EC8FB00"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 xml:space="preserve">Contrato </w:t>
            </w:r>
          </w:p>
        </w:tc>
        <w:tc>
          <w:tcPr>
            <w:tcW w:w="2077" w:type="pct"/>
            <w:tcBorders>
              <w:top w:val="nil"/>
              <w:left w:val="nil"/>
              <w:bottom w:val="single" w:sz="4" w:space="0" w:color="auto"/>
              <w:right w:val="single" w:sz="4" w:space="0" w:color="auto"/>
            </w:tcBorders>
            <w:shd w:val="clear" w:color="000000" w:fill="CCCCFF"/>
            <w:vAlign w:val="center"/>
            <w:hideMark/>
          </w:tcPr>
          <w:p w14:paraId="1F51ED6B" w14:textId="77777777" w:rsidR="005B4AA6" w:rsidRPr="00FB27C3" w:rsidRDefault="005B4AA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PS-MC-SEM-045-2020</w:t>
            </w:r>
          </w:p>
        </w:tc>
        <w:tc>
          <w:tcPr>
            <w:tcW w:w="2022" w:type="pct"/>
            <w:tcBorders>
              <w:top w:val="nil"/>
              <w:left w:val="nil"/>
              <w:bottom w:val="single" w:sz="4" w:space="0" w:color="auto"/>
              <w:right w:val="single" w:sz="4" w:space="0" w:color="auto"/>
            </w:tcBorders>
            <w:shd w:val="clear" w:color="000000" w:fill="666699"/>
            <w:vAlign w:val="center"/>
            <w:hideMark/>
          </w:tcPr>
          <w:p w14:paraId="250DE11D" w14:textId="77777777" w:rsidR="005B4AA6" w:rsidRPr="00FB27C3" w:rsidRDefault="005B4AA6">
            <w:pPr>
              <w:spacing w:after="0" w:line="240" w:lineRule="auto"/>
              <w:contextualSpacing/>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Actividades</w:t>
            </w:r>
          </w:p>
        </w:tc>
        <w:tc>
          <w:tcPr>
            <w:tcW w:w="86" w:type="pct"/>
            <w:vAlign w:val="center"/>
            <w:hideMark/>
          </w:tcPr>
          <w:p w14:paraId="2081D4B4"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1F0631A3" w14:textId="77777777" w:rsidTr="004663BF">
        <w:trPr>
          <w:trHeight w:val="254"/>
          <w:jc w:val="center"/>
        </w:trPr>
        <w:tc>
          <w:tcPr>
            <w:tcW w:w="815" w:type="pct"/>
            <w:vMerge w:val="restart"/>
            <w:tcBorders>
              <w:top w:val="nil"/>
              <w:left w:val="single" w:sz="4" w:space="0" w:color="auto"/>
              <w:bottom w:val="single" w:sz="4" w:space="0" w:color="auto"/>
              <w:right w:val="single" w:sz="4" w:space="0" w:color="auto"/>
            </w:tcBorders>
            <w:shd w:val="clear" w:color="000000" w:fill="666699"/>
            <w:vAlign w:val="center"/>
            <w:hideMark/>
          </w:tcPr>
          <w:p w14:paraId="68481E2C"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Objeto</w:t>
            </w:r>
          </w:p>
        </w:tc>
        <w:tc>
          <w:tcPr>
            <w:tcW w:w="2077" w:type="pct"/>
            <w:vMerge w:val="restart"/>
            <w:tcBorders>
              <w:top w:val="nil"/>
              <w:left w:val="single" w:sz="4" w:space="0" w:color="auto"/>
              <w:bottom w:val="single" w:sz="4" w:space="0" w:color="auto"/>
              <w:right w:val="single" w:sz="4" w:space="0" w:color="auto"/>
            </w:tcBorders>
            <w:shd w:val="clear" w:color="auto" w:fill="auto"/>
            <w:vAlign w:val="bottom"/>
            <w:hideMark/>
          </w:tcPr>
          <w:p w14:paraId="31BA604B"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 xml:space="preserve">Dotación de implementos deportivos para la práctica de actividades deportivas en las zona rural y centros poblados rurales del </w:t>
            </w:r>
            <w:r w:rsidR="007B1B1C">
              <w:rPr>
                <w:rFonts w:eastAsia="Times New Roman" w:cs="Arial"/>
                <w:color w:val="000000"/>
                <w:sz w:val="18"/>
                <w:szCs w:val="18"/>
                <w:lang w:val="es-CO" w:eastAsia="es-CO"/>
              </w:rPr>
              <w:t>M</w:t>
            </w:r>
            <w:r w:rsidRPr="00FB27C3">
              <w:rPr>
                <w:rFonts w:eastAsia="Times New Roman" w:cs="Arial"/>
                <w:color w:val="000000"/>
                <w:sz w:val="18"/>
                <w:szCs w:val="18"/>
                <w:lang w:val="es-CO" w:eastAsia="es-CO"/>
              </w:rPr>
              <w:t>unicipio de Leguízamo</w:t>
            </w:r>
          </w:p>
        </w:tc>
        <w:tc>
          <w:tcPr>
            <w:tcW w:w="2022" w:type="pct"/>
            <w:vMerge w:val="restart"/>
            <w:tcBorders>
              <w:top w:val="nil"/>
              <w:left w:val="single" w:sz="4" w:space="0" w:color="auto"/>
              <w:bottom w:val="single" w:sz="4" w:space="0" w:color="auto"/>
              <w:right w:val="single" w:sz="4" w:space="0" w:color="auto"/>
            </w:tcBorders>
            <w:shd w:val="clear" w:color="auto" w:fill="auto"/>
            <w:vAlign w:val="center"/>
            <w:hideMark/>
          </w:tcPr>
          <w:p w14:paraId="560CDCB6" w14:textId="77777777" w:rsidR="005B4AA6" w:rsidRPr="00FB27C3" w:rsidRDefault="005B4AA6">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Entrega de 110 balones, 3 juegos de mallas, 16 balones de baloncesto, 15 balones de voleibol, 60 balones oficiales, 100 juegos de uniformes deportivos</w:t>
            </w:r>
            <w:r w:rsidR="008A78FB">
              <w:rPr>
                <w:rFonts w:eastAsia="Times New Roman" w:cs="Arial"/>
                <w:color w:val="000000"/>
                <w:sz w:val="18"/>
                <w:szCs w:val="18"/>
                <w:lang w:val="es-CO" w:eastAsia="es-CO"/>
              </w:rPr>
              <w:t>.</w:t>
            </w:r>
          </w:p>
        </w:tc>
        <w:tc>
          <w:tcPr>
            <w:tcW w:w="86" w:type="pct"/>
            <w:vAlign w:val="center"/>
            <w:hideMark/>
          </w:tcPr>
          <w:p w14:paraId="467C0630"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44B83705" w14:textId="77777777" w:rsidTr="004663BF">
        <w:trPr>
          <w:trHeight w:val="254"/>
          <w:jc w:val="center"/>
        </w:trPr>
        <w:tc>
          <w:tcPr>
            <w:tcW w:w="815" w:type="pct"/>
            <w:vMerge/>
            <w:tcBorders>
              <w:top w:val="nil"/>
              <w:left w:val="single" w:sz="4" w:space="0" w:color="auto"/>
              <w:bottom w:val="single" w:sz="4" w:space="0" w:color="auto"/>
              <w:right w:val="single" w:sz="4" w:space="0" w:color="auto"/>
            </w:tcBorders>
            <w:vAlign w:val="center"/>
            <w:hideMark/>
          </w:tcPr>
          <w:p w14:paraId="4BAAF7A8" w14:textId="77777777" w:rsidR="005B4AA6" w:rsidRPr="00FB27C3" w:rsidRDefault="005B4AA6">
            <w:pPr>
              <w:spacing w:after="0" w:line="240" w:lineRule="auto"/>
              <w:contextualSpacing/>
              <w:rPr>
                <w:rFonts w:eastAsia="Times New Roman" w:cs="Arial"/>
                <w:b/>
                <w:bCs/>
                <w:color w:val="FFFFFF"/>
                <w:sz w:val="18"/>
                <w:szCs w:val="18"/>
                <w:lang w:val="es-CO" w:eastAsia="es-CO"/>
              </w:rPr>
            </w:pPr>
          </w:p>
        </w:tc>
        <w:tc>
          <w:tcPr>
            <w:tcW w:w="2077" w:type="pct"/>
            <w:vMerge/>
            <w:tcBorders>
              <w:top w:val="nil"/>
              <w:left w:val="single" w:sz="4" w:space="0" w:color="auto"/>
              <w:bottom w:val="single" w:sz="4" w:space="0" w:color="auto"/>
              <w:right w:val="single" w:sz="4" w:space="0" w:color="auto"/>
            </w:tcBorders>
            <w:vAlign w:val="center"/>
            <w:hideMark/>
          </w:tcPr>
          <w:p w14:paraId="78EBBFC5"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2022" w:type="pct"/>
            <w:vMerge/>
            <w:tcBorders>
              <w:top w:val="nil"/>
              <w:left w:val="single" w:sz="4" w:space="0" w:color="auto"/>
              <w:bottom w:val="single" w:sz="4" w:space="0" w:color="auto"/>
              <w:right w:val="single" w:sz="4" w:space="0" w:color="auto"/>
            </w:tcBorders>
            <w:vAlign w:val="center"/>
            <w:hideMark/>
          </w:tcPr>
          <w:p w14:paraId="0728DD4F"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tcBorders>
              <w:top w:val="nil"/>
              <w:left w:val="nil"/>
              <w:bottom w:val="nil"/>
              <w:right w:val="nil"/>
            </w:tcBorders>
            <w:shd w:val="clear" w:color="auto" w:fill="auto"/>
            <w:noWrap/>
            <w:vAlign w:val="bottom"/>
            <w:hideMark/>
          </w:tcPr>
          <w:p w14:paraId="45BED32D" w14:textId="77777777" w:rsidR="005B4AA6" w:rsidRPr="00FB27C3" w:rsidRDefault="005B4AA6">
            <w:pPr>
              <w:spacing w:after="0" w:line="240" w:lineRule="auto"/>
              <w:contextualSpacing/>
              <w:rPr>
                <w:rFonts w:eastAsia="Times New Roman" w:cs="Arial"/>
                <w:color w:val="000000"/>
                <w:sz w:val="18"/>
                <w:szCs w:val="18"/>
                <w:lang w:val="es-CO" w:eastAsia="es-CO"/>
              </w:rPr>
            </w:pPr>
          </w:p>
        </w:tc>
      </w:tr>
      <w:tr w:rsidR="005B4AA6" w:rsidRPr="007B1B1C" w14:paraId="196E1783"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6A239434"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Contratista</w:t>
            </w:r>
          </w:p>
        </w:tc>
        <w:tc>
          <w:tcPr>
            <w:tcW w:w="2077" w:type="pct"/>
            <w:tcBorders>
              <w:top w:val="nil"/>
              <w:left w:val="nil"/>
              <w:bottom w:val="single" w:sz="4" w:space="0" w:color="auto"/>
              <w:right w:val="single" w:sz="4" w:space="0" w:color="auto"/>
            </w:tcBorders>
            <w:shd w:val="clear" w:color="auto" w:fill="auto"/>
            <w:noWrap/>
            <w:vAlign w:val="bottom"/>
            <w:hideMark/>
          </w:tcPr>
          <w:p w14:paraId="71F9837A" w14:textId="77777777" w:rsidR="005B4AA6" w:rsidRPr="00FB27C3" w:rsidRDefault="007B1B1C">
            <w:pPr>
              <w:spacing w:after="0" w:line="240" w:lineRule="auto"/>
              <w:contextualSpacing/>
              <w:jc w:val="center"/>
              <w:rPr>
                <w:rFonts w:eastAsia="Times New Roman" w:cs="Arial"/>
                <w:color w:val="000000"/>
                <w:sz w:val="18"/>
                <w:szCs w:val="18"/>
                <w:lang w:val="es-CO" w:eastAsia="es-CO"/>
              </w:rPr>
            </w:pPr>
            <w:r>
              <w:rPr>
                <w:rFonts w:eastAsia="Times New Roman" w:cs="Arial"/>
                <w:color w:val="000000"/>
                <w:sz w:val="18"/>
                <w:szCs w:val="18"/>
                <w:lang w:val="es-CO" w:eastAsia="es-CO"/>
              </w:rPr>
              <w:t>É</w:t>
            </w:r>
            <w:r w:rsidRPr="007B1B1C">
              <w:rPr>
                <w:rFonts w:eastAsia="Times New Roman" w:cs="Arial"/>
                <w:color w:val="000000"/>
                <w:sz w:val="18"/>
                <w:szCs w:val="18"/>
                <w:lang w:val="es-CO" w:eastAsia="es-CO"/>
              </w:rPr>
              <w:t xml:space="preserve">dgar Andrés Bravo </w:t>
            </w:r>
          </w:p>
        </w:tc>
        <w:tc>
          <w:tcPr>
            <w:tcW w:w="2022" w:type="pct"/>
            <w:vMerge/>
            <w:tcBorders>
              <w:top w:val="nil"/>
              <w:left w:val="single" w:sz="4" w:space="0" w:color="auto"/>
              <w:bottom w:val="single" w:sz="4" w:space="0" w:color="auto"/>
              <w:right w:val="single" w:sz="4" w:space="0" w:color="auto"/>
            </w:tcBorders>
            <w:vAlign w:val="center"/>
            <w:hideMark/>
          </w:tcPr>
          <w:p w14:paraId="0C35D171"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07B081BE"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0EE7A003"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2F88CCFD"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Valor</w:t>
            </w:r>
          </w:p>
        </w:tc>
        <w:tc>
          <w:tcPr>
            <w:tcW w:w="2077" w:type="pct"/>
            <w:tcBorders>
              <w:top w:val="nil"/>
              <w:left w:val="nil"/>
              <w:bottom w:val="single" w:sz="4" w:space="0" w:color="auto"/>
              <w:right w:val="single" w:sz="4" w:space="0" w:color="auto"/>
            </w:tcBorders>
            <w:shd w:val="clear" w:color="auto" w:fill="auto"/>
            <w:noWrap/>
            <w:vAlign w:val="bottom"/>
            <w:hideMark/>
          </w:tcPr>
          <w:p w14:paraId="2E2CDBEE"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$24.000.000</w:t>
            </w:r>
          </w:p>
        </w:tc>
        <w:tc>
          <w:tcPr>
            <w:tcW w:w="2022" w:type="pct"/>
            <w:vMerge/>
            <w:tcBorders>
              <w:top w:val="nil"/>
              <w:left w:val="single" w:sz="4" w:space="0" w:color="auto"/>
              <w:bottom w:val="single" w:sz="4" w:space="0" w:color="auto"/>
              <w:right w:val="single" w:sz="4" w:space="0" w:color="auto"/>
            </w:tcBorders>
            <w:vAlign w:val="center"/>
            <w:hideMark/>
          </w:tcPr>
          <w:p w14:paraId="09FE0105"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7079E233"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r w:rsidR="005B4AA6" w:rsidRPr="007B1B1C" w14:paraId="0AEF6BBA" w14:textId="77777777" w:rsidTr="004663BF">
        <w:trPr>
          <w:trHeight w:val="254"/>
          <w:jc w:val="center"/>
        </w:trPr>
        <w:tc>
          <w:tcPr>
            <w:tcW w:w="815" w:type="pct"/>
            <w:tcBorders>
              <w:top w:val="nil"/>
              <w:left w:val="single" w:sz="4" w:space="0" w:color="auto"/>
              <w:bottom w:val="single" w:sz="4" w:space="0" w:color="auto"/>
              <w:right w:val="single" w:sz="4" w:space="0" w:color="auto"/>
            </w:tcBorders>
            <w:shd w:val="clear" w:color="000000" w:fill="666699"/>
            <w:vAlign w:val="center"/>
            <w:hideMark/>
          </w:tcPr>
          <w:p w14:paraId="66F252B4" w14:textId="77777777" w:rsidR="005B4AA6" w:rsidRPr="00FB27C3" w:rsidRDefault="005B4AA6" w:rsidP="00286F4A">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Plazo</w:t>
            </w:r>
          </w:p>
        </w:tc>
        <w:tc>
          <w:tcPr>
            <w:tcW w:w="2077" w:type="pct"/>
            <w:tcBorders>
              <w:top w:val="nil"/>
              <w:left w:val="nil"/>
              <w:bottom w:val="single" w:sz="4" w:space="0" w:color="auto"/>
              <w:right w:val="single" w:sz="4" w:space="0" w:color="auto"/>
            </w:tcBorders>
            <w:shd w:val="clear" w:color="auto" w:fill="auto"/>
            <w:noWrap/>
            <w:vAlign w:val="bottom"/>
            <w:hideMark/>
          </w:tcPr>
          <w:p w14:paraId="795BA565" w14:textId="77777777" w:rsidR="005B4AA6" w:rsidRPr="00FB27C3" w:rsidRDefault="005B4AA6">
            <w:pPr>
              <w:spacing w:after="0" w:line="240" w:lineRule="auto"/>
              <w:contextualSpacing/>
              <w:jc w:val="center"/>
              <w:rPr>
                <w:rFonts w:eastAsia="Times New Roman" w:cs="Arial"/>
                <w:color w:val="000000"/>
                <w:sz w:val="18"/>
                <w:szCs w:val="18"/>
                <w:lang w:val="es-CO" w:eastAsia="es-CO"/>
              </w:rPr>
            </w:pPr>
            <w:r w:rsidRPr="00FB27C3">
              <w:rPr>
                <w:rFonts w:eastAsia="Times New Roman" w:cs="Arial"/>
                <w:color w:val="000000"/>
                <w:sz w:val="18"/>
                <w:szCs w:val="18"/>
                <w:lang w:val="es-CO" w:eastAsia="es-CO"/>
              </w:rPr>
              <w:t>5 días</w:t>
            </w:r>
          </w:p>
        </w:tc>
        <w:tc>
          <w:tcPr>
            <w:tcW w:w="2022" w:type="pct"/>
            <w:vMerge/>
            <w:tcBorders>
              <w:top w:val="nil"/>
              <w:left w:val="single" w:sz="4" w:space="0" w:color="auto"/>
              <w:bottom w:val="single" w:sz="4" w:space="0" w:color="auto"/>
              <w:right w:val="single" w:sz="4" w:space="0" w:color="auto"/>
            </w:tcBorders>
            <w:vAlign w:val="center"/>
            <w:hideMark/>
          </w:tcPr>
          <w:p w14:paraId="4BE50402" w14:textId="77777777" w:rsidR="005B4AA6" w:rsidRPr="00FB27C3" w:rsidRDefault="005B4AA6">
            <w:pPr>
              <w:spacing w:after="0" w:line="240" w:lineRule="auto"/>
              <w:contextualSpacing/>
              <w:rPr>
                <w:rFonts w:eastAsia="Times New Roman" w:cs="Arial"/>
                <w:color w:val="000000"/>
                <w:sz w:val="18"/>
                <w:szCs w:val="18"/>
                <w:lang w:val="es-CO" w:eastAsia="es-CO"/>
              </w:rPr>
            </w:pPr>
          </w:p>
        </w:tc>
        <w:tc>
          <w:tcPr>
            <w:tcW w:w="86" w:type="pct"/>
            <w:vAlign w:val="center"/>
            <w:hideMark/>
          </w:tcPr>
          <w:p w14:paraId="2BD7A55B" w14:textId="77777777" w:rsidR="005B4AA6" w:rsidRPr="00FB27C3" w:rsidRDefault="005B4AA6">
            <w:pPr>
              <w:spacing w:after="0" w:line="240" w:lineRule="auto"/>
              <w:contextualSpacing/>
              <w:rPr>
                <w:rFonts w:ascii="Times New Roman" w:eastAsia="Times New Roman" w:hAnsi="Times New Roman" w:cs="Times New Roman"/>
                <w:sz w:val="18"/>
                <w:szCs w:val="18"/>
                <w:lang w:val="es-CO" w:eastAsia="es-CO"/>
              </w:rPr>
            </w:pPr>
          </w:p>
        </w:tc>
      </w:tr>
    </w:tbl>
    <w:p w14:paraId="1E0485FB" w14:textId="77777777" w:rsidR="005B4AA6" w:rsidRPr="00FB27C3" w:rsidRDefault="005B4AA6" w:rsidP="00286F4A">
      <w:pPr>
        <w:spacing w:line="240" w:lineRule="auto"/>
        <w:contextualSpacing/>
        <w:jc w:val="center"/>
        <w:rPr>
          <w:rFonts w:eastAsia="Arial" w:cs="Arial"/>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2E94A5A2" w14:textId="77777777" w:rsidR="005B4AA6" w:rsidRPr="00FB27C3" w:rsidRDefault="005B4AA6">
      <w:pPr>
        <w:spacing w:line="240" w:lineRule="auto"/>
        <w:contextualSpacing/>
        <w:rPr>
          <w:rFonts w:eastAsia="Arial" w:cs="Arial"/>
        </w:rPr>
      </w:pPr>
    </w:p>
    <w:p w14:paraId="17A2FB37" w14:textId="77777777" w:rsidR="005B4AA6" w:rsidRDefault="005B4AA6">
      <w:pPr>
        <w:spacing w:line="240" w:lineRule="auto"/>
        <w:contextualSpacing/>
        <w:jc w:val="both"/>
      </w:pPr>
      <w:r w:rsidRPr="004F5BAF">
        <w:rPr>
          <w:rFonts w:eastAsia="Arial" w:cs="Arial"/>
        </w:rPr>
        <w:t xml:space="preserve">Como se puede observar en el cuadro anterior, el </w:t>
      </w:r>
      <w:r w:rsidR="007B1B1C">
        <w:rPr>
          <w:rFonts w:eastAsia="Arial" w:cs="Arial"/>
        </w:rPr>
        <w:t>M</w:t>
      </w:r>
      <w:r w:rsidRPr="004F5BAF">
        <w:rPr>
          <w:rFonts w:eastAsia="Arial" w:cs="Arial"/>
        </w:rPr>
        <w:t>unicipio realiza la adquisición de elementos deportivos</w:t>
      </w:r>
      <w:r>
        <w:rPr>
          <w:rFonts w:eastAsia="Arial" w:cs="Arial"/>
        </w:rPr>
        <w:t xml:space="preserve"> con características similares de manera recurrente a través de la modalidad de contratación de Mínima Cuantía. Al respecto, el </w:t>
      </w:r>
      <w:r w:rsidR="007B1B1C">
        <w:rPr>
          <w:rFonts w:eastAsia="Arial" w:cs="Arial"/>
        </w:rPr>
        <w:t>“</w:t>
      </w:r>
      <w:r w:rsidR="0041142E" w:rsidRPr="00BC07AE">
        <w:rPr>
          <w:i/>
          <w:iCs/>
        </w:rPr>
        <w:t xml:space="preserve">Informe de monitoreo de campo, Puerto Leguízamo - Putumayo, Vigencias 2018 y 2019 (corte </w:t>
      </w:r>
      <w:r w:rsidR="00A90B1E" w:rsidRPr="00BC07AE">
        <w:rPr>
          <w:i/>
          <w:iCs/>
        </w:rPr>
        <w:t>junio)</w:t>
      </w:r>
      <w:r w:rsidR="007B1B1C">
        <w:t>”</w:t>
      </w:r>
      <w:r w:rsidR="00A90B1E">
        <w:t xml:space="preserve"> </w:t>
      </w:r>
      <w:r>
        <w:rPr>
          <w:rFonts w:eastAsia="Arial" w:cs="Arial"/>
        </w:rPr>
        <w:t xml:space="preserve">del DNP menciona que </w:t>
      </w:r>
      <w:r>
        <w:t>“</w:t>
      </w:r>
      <w:r w:rsidRPr="009F6808">
        <w:rPr>
          <w:i/>
          <w:iCs/>
        </w:rPr>
        <w:t>Se observa que se entregan bienes similares a los ya entregados en otros contratos en una misma vigencia, por ejemplo, balones y uniformes, se podrían estar invirtiendo recursos en bienes que ya tiene la alcaldía</w:t>
      </w:r>
      <w:r>
        <w:t>”</w:t>
      </w:r>
      <w:r w:rsidR="007B1B1C">
        <w:t>.</w:t>
      </w:r>
      <w:r>
        <w:t xml:space="preserve"> Si bien estos </w:t>
      </w:r>
      <w:r w:rsidR="007B1B1C">
        <w:t>C</w:t>
      </w:r>
      <w:r>
        <w:t xml:space="preserve">ontratos se enmarcan en proyectos de formación y práctica deportiva, los elementos deportivos no pueden ser entregados a la ciudadanía, ya que esto contraviene el artículo 355 de la </w:t>
      </w:r>
      <w:r>
        <w:lastRenderedPageBreak/>
        <w:t>Constitución Política referente a la prohibición de realizar donaciones a terceros con recursos públicos.</w:t>
      </w:r>
    </w:p>
    <w:p w14:paraId="628C2BC5" w14:textId="77777777" w:rsidR="005B4AA6" w:rsidRDefault="005B4AA6">
      <w:pPr>
        <w:spacing w:line="240" w:lineRule="auto"/>
        <w:contextualSpacing/>
        <w:jc w:val="both"/>
      </w:pPr>
    </w:p>
    <w:p w14:paraId="367806A6" w14:textId="77777777" w:rsidR="005B4AA6" w:rsidRDefault="007B1B1C">
      <w:pPr>
        <w:spacing w:line="240" w:lineRule="auto"/>
        <w:contextualSpacing/>
        <w:jc w:val="both"/>
      </w:pPr>
      <w:r>
        <w:t>Aun</w:t>
      </w:r>
      <w:r w:rsidR="0090434B">
        <w:t xml:space="preserve"> teniendo en cuenta que estos</w:t>
      </w:r>
      <w:r w:rsidR="005B4AA6">
        <w:t xml:space="preserve"> bienes pueden ser adquiridos por el </w:t>
      </w:r>
      <w:r>
        <w:t>M</w:t>
      </w:r>
      <w:r w:rsidR="005B4AA6">
        <w:t xml:space="preserve">unicipio para el desarrollo de actividades de fomento y práctica deportiva, deben quedar bajo el cuidado de la </w:t>
      </w:r>
      <w:r>
        <w:t>A</w:t>
      </w:r>
      <w:r w:rsidR="005B4AA6">
        <w:t xml:space="preserve">dministración </w:t>
      </w:r>
      <w:r>
        <w:t>M</w:t>
      </w:r>
      <w:r w:rsidR="005B4AA6">
        <w:t xml:space="preserve">unicipal una vez se utilizan para las actividades o eventos deportivos, </w:t>
      </w:r>
      <w:r w:rsidR="00BD4577">
        <w:t>reduciendo</w:t>
      </w:r>
      <w:r w:rsidR="005B4AA6">
        <w:t xml:space="preserve"> la necesidad constante de adquirir bienes de similares características en cada vigencia. Esto incluye los bienes que se emplean en la práctica del deporte, así como la indumentaria necesaria (uniformes)</w:t>
      </w:r>
      <w:r w:rsidR="0090434B">
        <w:t>,</w:t>
      </w:r>
      <w:r w:rsidR="005B4AA6">
        <w:t xml:space="preserve"> los cuales deben reutilizarse y ponerse a disposición de toda la población beneficiaria de los programas de formación deportiva mientras se agota su vida útil.</w:t>
      </w:r>
    </w:p>
    <w:p w14:paraId="35A3DF3A" w14:textId="77777777" w:rsidR="005B4AA6" w:rsidRDefault="005B4AA6">
      <w:pPr>
        <w:spacing w:line="240" w:lineRule="auto"/>
        <w:contextualSpacing/>
        <w:jc w:val="both"/>
      </w:pPr>
    </w:p>
    <w:p w14:paraId="6AB79480" w14:textId="77777777" w:rsidR="005B4AA6" w:rsidRDefault="005B4AA6">
      <w:pPr>
        <w:spacing w:line="240" w:lineRule="auto"/>
        <w:contextualSpacing/>
        <w:jc w:val="both"/>
      </w:pPr>
      <w:r>
        <w:t xml:space="preserve">Esta situación se relaciona con la entrega que realiza la </w:t>
      </w:r>
      <w:r w:rsidR="007B1B1C">
        <w:t>E</w:t>
      </w:r>
      <w:r>
        <w:t xml:space="preserve">ntidad </w:t>
      </w:r>
      <w:r w:rsidR="007B1B1C">
        <w:t>T</w:t>
      </w:r>
      <w:r>
        <w:t xml:space="preserve">erritorial de los bienes a la ciudadanía que participa de las actividades deportivas. Esto se refuerza porque, por ejemplo, en el expediente del </w:t>
      </w:r>
      <w:r w:rsidR="007B1B1C">
        <w:t>C</w:t>
      </w:r>
      <w:r>
        <w:t xml:space="preserve">ontrato </w:t>
      </w:r>
      <w:r w:rsidRPr="002F3E90">
        <w:t>PS-MC-001-2018</w:t>
      </w:r>
      <w:r>
        <w:t xml:space="preserve"> remitido por la </w:t>
      </w:r>
      <w:r w:rsidR="007B1B1C">
        <w:t>E</w:t>
      </w:r>
      <w:r>
        <w:t>ntidad</w:t>
      </w:r>
      <w:r w:rsidR="00BD4577">
        <w:t>,</w:t>
      </w:r>
      <w:r>
        <w:t xml:space="preserve"> se encontró un certificado de entrada y salida del </w:t>
      </w:r>
      <w:r w:rsidR="007B1B1C">
        <w:t>A</w:t>
      </w:r>
      <w:r>
        <w:t xml:space="preserve">lmacén de la </w:t>
      </w:r>
      <w:r w:rsidR="007B1B1C">
        <w:t>E</w:t>
      </w:r>
      <w:r>
        <w:t xml:space="preserve">ntidad con fecha 20 de enero de 2018, en este mismo documento se referencia el número de ingreso y de egreso de los bienes, en primer lugar, ingresan al </w:t>
      </w:r>
      <w:r w:rsidR="007B1B1C">
        <w:t>A</w:t>
      </w:r>
      <w:r>
        <w:t>lmacén una vez son entregados por el contratista y</w:t>
      </w:r>
      <w:r w:rsidR="005D336C">
        <w:t>,</w:t>
      </w:r>
      <w:r>
        <w:t xml:space="preserve"> en segundo lugar, se entregan a la Secretaría de Educación, Cultura y Deporte. Dicho comprobante también se encuentra para el caso del </w:t>
      </w:r>
      <w:r w:rsidR="007B1B1C">
        <w:t>C</w:t>
      </w:r>
      <w:r>
        <w:t xml:space="preserve">ontrato </w:t>
      </w:r>
      <w:r w:rsidRPr="006D7A57">
        <w:t>PS-MC-SEM-026-2020</w:t>
      </w:r>
      <w:r>
        <w:t xml:space="preserve">, </w:t>
      </w:r>
      <w:r w:rsidR="00BD4577">
        <w:t>en el que se</w:t>
      </w:r>
      <w:r>
        <w:t xml:space="preserve"> presenta un egreso de los implementos con fecha de 24 de noviembre de 2020. Los otros dos contratos referenciados </w:t>
      </w:r>
      <w:r w:rsidR="00BD4577">
        <w:t xml:space="preserve">en el Cuadro No. 6 </w:t>
      </w:r>
      <w:r>
        <w:t xml:space="preserve">no entregaron información </w:t>
      </w:r>
      <w:r w:rsidR="00BD4577">
        <w:t xml:space="preserve">relativa a ingresos y egresos del </w:t>
      </w:r>
      <w:r w:rsidR="007B1B1C">
        <w:t>A</w:t>
      </w:r>
      <w:r w:rsidR="00BD4577">
        <w:t xml:space="preserve">lmacén </w:t>
      </w:r>
      <w:r>
        <w:t>en los expedientes.</w:t>
      </w:r>
    </w:p>
    <w:p w14:paraId="1FC8E9F0" w14:textId="77777777" w:rsidR="00F84BE1" w:rsidRDefault="00F84BE1">
      <w:pPr>
        <w:spacing w:line="240" w:lineRule="auto"/>
        <w:contextualSpacing/>
        <w:jc w:val="both"/>
      </w:pPr>
    </w:p>
    <w:p w14:paraId="79C36431" w14:textId="77777777" w:rsidR="00593C53" w:rsidRDefault="00593C53">
      <w:pPr>
        <w:spacing w:line="240" w:lineRule="auto"/>
        <w:contextualSpacing/>
        <w:jc w:val="both"/>
      </w:pPr>
      <w:r>
        <w:t xml:space="preserve">Posteriormente, los elementos deportivos son entregados por parte de la Secretaría de Educación, Cultura y Deporte a los monitores o a los representantes de las comunidades (presidentes de juntas de acción comunal) como consta en las Actas de Entrega remitidas a esta Dirección. Por ejemplo, en el caso del </w:t>
      </w:r>
      <w:r w:rsidR="00B6513B">
        <w:t>C</w:t>
      </w:r>
      <w:r>
        <w:t xml:space="preserve">ontrato </w:t>
      </w:r>
      <w:r w:rsidR="001A3309" w:rsidRPr="001A3309">
        <w:t>PS-MC-047-2018</w:t>
      </w:r>
      <w:r w:rsidR="00D45CA1">
        <w:t xml:space="preserve"> </w:t>
      </w:r>
      <w:r>
        <w:t>se relacionó un acta firmada con fecha del 24 de noviembre de 2018 en donde se reunieron el Secretario de Educación, Cultura y Deporte con el señor Oliver Macaya Garcés “</w:t>
      </w:r>
      <w:r w:rsidRPr="00AE627B">
        <w:rPr>
          <w:i/>
          <w:iCs/>
        </w:rPr>
        <w:t xml:space="preserve">con el fin de hacer entrega </w:t>
      </w:r>
      <w:r w:rsidRPr="00AE627B">
        <w:rPr>
          <w:b/>
          <w:bCs/>
          <w:i/>
          <w:iCs/>
        </w:rPr>
        <w:t>para su distribución</w:t>
      </w:r>
      <w:r w:rsidRPr="00AE627B">
        <w:rPr>
          <w:i/>
          <w:iCs/>
        </w:rPr>
        <w:t xml:space="preserve"> de dotación de implementos deportivos para la práctica de actividades deportivas en el Municipio de Leguízamo, adquiridos bajo la compra del contrato […]” </w:t>
      </w:r>
      <w:r>
        <w:t xml:space="preserve">(Énfasis fuera del texto). </w:t>
      </w:r>
    </w:p>
    <w:p w14:paraId="57E79AFE" w14:textId="77777777" w:rsidR="00593C53" w:rsidRDefault="00593C53">
      <w:pPr>
        <w:spacing w:line="240" w:lineRule="auto"/>
        <w:contextualSpacing/>
        <w:jc w:val="both"/>
      </w:pPr>
    </w:p>
    <w:p w14:paraId="6B31F164" w14:textId="77777777" w:rsidR="00593C53" w:rsidRDefault="00593C53">
      <w:pPr>
        <w:spacing w:line="240" w:lineRule="auto"/>
        <w:contextualSpacing/>
        <w:jc w:val="both"/>
      </w:pPr>
      <w:r>
        <w:t xml:space="preserve">En el caso del </w:t>
      </w:r>
      <w:r w:rsidR="00B6513B">
        <w:t>C</w:t>
      </w:r>
      <w:r>
        <w:t xml:space="preserve">ontrato </w:t>
      </w:r>
      <w:r w:rsidRPr="007E1074">
        <w:t>PS-MC-SEM-026-2020</w:t>
      </w:r>
      <w:r>
        <w:t xml:space="preserve"> se remitió un archivo con nueve actas firmadas entre marzo y abril de 2021, en las que se relaciona la entrega de elementos deportivos como balones, uniformes y otros elementos deportivos a los presidentes de las juntas de acción comunal de las comunidades, a los presidentes de los equipos de fútbol y a los gobernadores de cabildos indígenas del Municipio. Además, se anexó un acta con fecha del 17 de septiembre de 2021, en donde se indica que el 27 de enero de esa vigencia se hizo entrega de los elementos deportivos adquiridos mediante el </w:t>
      </w:r>
      <w:r w:rsidR="00B6513B">
        <w:t>C</w:t>
      </w:r>
      <w:r>
        <w:t xml:space="preserve">ontrato al señor Rafael Franco Gutiérrez para la práctica de las actividades lúdico-recreativas. Esta misma situación se evidencia en el </w:t>
      </w:r>
      <w:r w:rsidR="00B6513B">
        <w:t>C</w:t>
      </w:r>
      <w:r>
        <w:t xml:space="preserve">ontrato </w:t>
      </w:r>
      <w:r w:rsidRPr="005B3941">
        <w:t>PS-MC-SEM-045-2020</w:t>
      </w:r>
      <w:r>
        <w:t xml:space="preserve">, en donde el acta firmada en la misma fecha (27 de enero de 2021) se enuncia la entrega al señor Rafael Franco Gutiérrez de los elementos deportivos adquiridos mediante el </w:t>
      </w:r>
      <w:r w:rsidR="00B6513B">
        <w:t>C</w:t>
      </w:r>
      <w:r>
        <w:t>ontrato “</w:t>
      </w:r>
      <w:r w:rsidRPr="001729F6">
        <w:rPr>
          <w:i/>
        </w:rPr>
        <w:t>[…] para la zona rural y centros poblados rurales del municipio</w:t>
      </w:r>
      <w:r>
        <w:t>”</w:t>
      </w:r>
      <w:r w:rsidR="00B6513B">
        <w:t>.</w:t>
      </w:r>
    </w:p>
    <w:p w14:paraId="7606717A" w14:textId="77777777" w:rsidR="00593C53" w:rsidRDefault="00593C53">
      <w:pPr>
        <w:spacing w:line="240" w:lineRule="auto"/>
        <w:contextualSpacing/>
        <w:jc w:val="both"/>
      </w:pPr>
    </w:p>
    <w:p w14:paraId="703C41BD" w14:textId="77777777" w:rsidR="00593C53" w:rsidRDefault="00593C53">
      <w:pPr>
        <w:spacing w:line="240" w:lineRule="auto"/>
        <w:contextualSpacing/>
        <w:jc w:val="both"/>
      </w:pPr>
      <w:r>
        <w:t xml:space="preserve">Esta situación evidencia una entrega directa de los implementos deportivos, lo cual representa un riesgo porque va en contra de la normatividad y no se tiene certeza del destino de dichos implementos una vez son entregados a terceros. Es decir, no es posible determinar bajo qué criterios se están entregando dichos elementos. Además, </w:t>
      </w:r>
      <w:r>
        <w:lastRenderedPageBreak/>
        <w:t xml:space="preserve">se cae en una ineficiencia del gasto dado que son elementos que no se reutilizan y que se adquieren cada año independientemente de la vida útil de estos elementos. </w:t>
      </w:r>
    </w:p>
    <w:p w14:paraId="52B2E991" w14:textId="77777777" w:rsidR="00593C53" w:rsidRDefault="00593C53">
      <w:pPr>
        <w:spacing w:line="240" w:lineRule="auto"/>
        <w:contextualSpacing/>
        <w:jc w:val="both"/>
      </w:pPr>
    </w:p>
    <w:p w14:paraId="34B74DE5" w14:textId="77777777" w:rsidR="00F84BE1" w:rsidRDefault="00F84BE1">
      <w:pPr>
        <w:spacing w:line="240" w:lineRule="auto"/>
        <w:contextualSpacing/>
        <w:jc w:val="both"/>
        <w:rPr>
          <w:i/>
          <w:iCs/>
        </w:rPr>
      </w:pPr>
      <w:r>
        <w:t xml:space="preserve">Las situaciones expuestas evidencian que la </w:t>
      </w:r>
      <w:r w:rsidR="007B1B1C">
        <w:t>E</w:t>
      </w:r>
      <w:r>
        <w:t xml:space="preserve">ntidad </w:t>
      </w:r>
      <w:r w:rsidR="007B1B1C">
        <w:t>T</w:t>
      </w:r>
      <w:r>
        <w:t>erritorial en las vigencias 2018, 2019 y 2020 suscribió contratos con cargo a los recursos de la Participación de Propósito General destinación de Libre Inversión, Cultura y Deporte que no atienden a la normativa vigente, al estar</w:t>
      </w:r>
      <w:r w:rsidR="004C30FB">
        <w:t xml:space="preserve"> </w:t>
      </w:r>
      <w:r>
        <w:t xml:space="preserve">orientados al ejercicio de funciones de carácter </w:t>
      </w:r>
      <w:r w:rsidRPr="00F84BE1">
        <w:t>permanente</w:t>
      </w:r>
      <w:r w:rsidRPr="000361F5">
        <w:t xml:space="preserve"> y financiar objetos de gasto no permitidos por la ley</w:t>
      </w:r>
      <w:r>
        <w:rPr>
          <w:i/>
          <w:iCs/>
        </w:rPr>
        <w:t>.</w:t>
      </w:r>
    </w:p>
    <w:p w14:paraId="77342B72" w14:textId="77777777" w:rsidR="00F84BE1" w:rsidRDefault="00F84BE1">
      <w:pPr>
        <w:spacing w:line="240" w:lineRule="auto"/>
        <w:contextualSpacing/>
        <w:jc w:val="both"/>
      </w:pPr>
    </w:p>
    <w:p w14:paraId="2773ABC7" w14:textId="77777777" w:rsidR="005B4AA6" w:rsidRDefault="00B02FA0">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DF2058">
        <w:rPr>
          <w:rStyle w:val="normaltextrun"/>
          <w:rFonts w:ascii="Arial" w:hAnsi="Arial" w:cs="Arial"/>
          <w:b/>
          <w:bCs/>
          <w:color w:val="000000"/>
          <w:sz w:val="22"/>
          <w:szCs w:val="22"/>
          <w:shd w:val="clear" w:color="auto" w:fill="FFFFFF"/>
          <w:lang w:val="es-ES"/>
        </w:rPr>
        <w:t>Evidencias</w:t>
      </w:r>
      <w:r w:rsidRPr="00DF2058">
        <w:rPr>
          <w:rStyle w:val="normaltextrun"/>
          <w:rFonts w:ascii="Arial" w:hAnsi="Arial" w:cs="Arial"/>
          <w:color w:val="000000"/>
          <w:sz w:val="22"/>
          <w:szCs w:val="22"/>
          <w:shd w:val="clear" w:color="auto" w:fill="FFFFFF"/>
          <w:lang w:val="es-ES"/>
        </w:rPr>
        <w:t xml:space="preserve">: los documentos </w:t>
      </w:r>
      <w:r w:rsidR="00F84BE1">
        <w:rPr>
          <w:rStyle w:val="normaltextrun"/>
          <w:rFonts w:ascii="Arial" w:hAnsi="Arial" w:cs="Arial"/>
          <w:color w:val="000000"/>
          <w:sz w:val="22"/>
          <w:szCs w:val="22"/>
          <w:shd w:val="clear" w:color="auto" w:fill="FFFFFF"/>
          <w:lang w:val="es-ES"/>
        </w:rPr>
        <w:t xml:space="preserve">probatorios </w:t>
      </w:r>
      <w:r w:rsidRPr="00DF2058">
        <w:rPr>
          <w:rStyle w:val="normaltextrun"/>
          <w:rFonts w:ascii="Arial" w:hAnsi="Arial" w:cs="Arial"/>
          <w:color w:val="000000"/>
          <w:sz w:val="22"/>
          <w:szCs w:val="22"/>
          <w:shd w:val="clear" w:color="auto" w:fill="FFFFFF"/>
          <w:lang w:val="es-ES"/>
        </w:rPr>
        <w:t>obran en el expediente digital en el Sistema Electrónico Documental SIED del Ministerio de Hacienda y Crédito Público No. 17/2021/D028-PREDI</w:t>
      </w:r>
      <w:r w:rsidR="00F84BE1">
        <w:rPr>
          <w:rStyle w:val="normaltextrun"/>
          <w:rFonts w:ascii="Arial" w:hAnsi="Arial" w:cs="Arial"/>
          <w:color w:val="000000"/>
          <w:sz w:val="22"/>
          <w:szCs w:val="22"/>
          <w:shd w:val="clear" w:color="auto" w:fill="FFFFFF"/>
          <w:lang w:val="es-ES"/>
        </w:rPr>
        <w:t>, así</w:t>
      </w:r>
      <w:r w:rsidRPr="00DF2058">
        <w:rPr>
          <w:rStyle w:val="normaltextrun"/>
          <w:rFonts w:ascii="Arial" w:hAnsi="Arial" w:cs="Arial"/>
          <w:color w:val="000000"/>
          <w:sz w:val="22"/>
          <w:szCs w:val="22"/>
          <w:shd w:val="clear" w:color="auto" w:fill="FFFFFF"/>
          <w:lang w:val="es-ES"/>
        </w:rPr>
        <w:t>:</w:t>
      </w:r>
    </w:p>
    <w:p w14:paraId="1B91B269" w14:textId="77777777" w:rsidR="001F701A" w:rsidRPr="00FB27C3" w:rsidRDefault="001F701A">
      <w:pPr>
        <w:pStyle w:val="paragraph"/>
        <w:spacing w:before="0" w:beforeAutospacing="0" w:after="0" w:afterAutospacing="0"/>
        <w:contextualSpacing/>
        <w:jc w:val="both"/>
        <w:textAlignment w:val="baseline"/>
        <w:rPr>
          <w:rFonts w:ascii="Arial" w:hAnsi="Arial" w:cs="Arial"/>
          <w:sz w:val="22"/>
          <w:szCs w:val="22"/>
          <w:lang w:val="es-ES"/>
        </w:rPr>
      </w:pPr>
    </w:p>
    <w:p w14:paraId="3F7613B4" w14:textId="77777777" w:rsidR="001F701A" w:rsidRPr="0008384A" w:rsidRDefault="001F701A">
      <w:pPr>
        <w:numPr>
          <w:ilvl w:val="0"/>
          <w:numId w:val="29"/>
        </w:numPr>
        <w:spacing w:line="240" w:lineRule="auto"/>
        <w:contextualSpacing/>
        <w:jc w:val="both"/>
        <w:rPr>
          <w:lang w:val="es-ES"/>
        </w:rPr>
      </w:pPr>
      <w:r w:rsidRPr="0008384A">
        <w:rPr>
          <w:sz w:val="20"/>
          <w:szCs w:val="20"/>
          <w:lang w:val="es-ES"/>
        </w:rPr>
        <w:t xml:space="preserve">Relación de Contratos Propósito General.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w:t>
      </w:r>
      <w:r w:rsidRPr="0008384A">
        <w:rPr>
          <w:rFonts w:eastAsiaTheme="majorEastAsia" w:cs="Arial"/>
          <w:sz w:val="20"/>
          <w:szCs w:val="20"/>
        </w:rPr>
        <w:t xml:space="preserve">Radicado No. 1-2021-053320 del 22 de junio de 2021. </w:t>
      </w:r>
      <w:hyperlink r:id="rId45" w:history="1">
        <w:r w:rsidRPr="0008384A">
          <w:rPr>
            <w:rFonts w:eastAsiaTheme="majorEastAsia" w:cs="Arial"/>
            <w:color w:val="0563C1" w:themeColor="hyperlink"/>
            <w:sz w:val="20"/>
            <w:szCs w:val="20"/>
            <w:u w:val="single"/>
          </w:rPr>
          <w:t>https://bit.ly/3bhADoA</w:t>
        </w:r>
      </w:hyperlink>
      <w:r w:rsidRPr="0008384A">
        <w:rPr>
          <w:rFonts w:eastAsiaTheme="majorEastAsia" w:cs="Arial"/>
          <w:sz w:val="20"/>
          <w:szCs w:val="20"/>
        </w:rPr>
        <w:t xml:space="preserve"> </w:t>
      </w:r>
    </w:p>
    <w:p w14:paraId="2FDEA4A7" w14:textId="77777777" w:rsidR="001F701A" w:rsidRPr="0008384A" w:rsidRDefault="001F701A">
      <w:pPr>
        <w:numPr>
          <w:ilvl w:val="0"/>
          <w:numId w:val="29"/>
        </w:numPr>
        <w:spacing w:line="240" w:lineRule="auto"/>
        <w:contextualSpacing/>
        <w:jc w:val="both"/>
        <w:rPr>
          <w:color w:val="000000" w:themeColor="text1"/>
          <w:lang w:val="es-ES"/>
        </w:rPr>
      </w:pPr>
      <w:r w:rsidRPr="0008384A">
        <w:rPr>
          <w:color w:val="000000" w:themeColor="text1"/>
          <w:sz w:val="20"/>
          <w:szCs w:val="20"/>
          <w:lang w:val="es-ES"/>
        </w:rPr>
        <w:t xml:space="preserve">Contrato CPS-089-2018 “Seguimiento a la Política Fiscal y la cobranza". Participación de Propósito General. Municipio de Puerto Leguízamo - Putumayo. Serie </w:t>
      </w:r>
      <w:r w:rsidRPr="0008384A">
        <w:rPr>
          <w:i/>
          <w:iCs/>
          <w:color w:val="000000" w:themeColor="text1"/>
          <w:sz w:val="20"/>
          <w:szCs w:val="20"/>
          <w:lang w:val="es-ES"/>
        </w:rPr>
        <w:t>“Historial de Seguimiento y Control a los Recursos del Sistema General de Participaciones – Diagnóstico”</w:t>
      </w:r>
      <w:r w:rsidRPr="0008384A">
        <w:rPr>
          <w:color w:val="000000" w:themeColor="text1"/>
          <w:sz w:val="20"/>
          <w:szCs w:val="20"/>
          <w:lang w:val="es-ES"/>
        </w:rPr>
        <w:t xml:space="preserve">. Expediente digital No. 17/2021/D028-PREDI. Radicado 1-2021-059415 del 12 de julio de 2021. </w:t>
      </w:r>
      <w:hyperlink r:id="rId46" w:history="1">
        <w:r w:rsidRPr="00374CFB">
          <w:rPr>
            <w:rStyle w:val="Hipervnculo"/>
            <w:sz w:val="20"/>
            <w:szCs w:val="20"/>
            <w:lang w:val="es-ES"/>
          </w:rPr>
          <w:t>https://bit.ly/3wBrAsl</w:t>
        </w:r>
      </w:hyperlink>
      <w:r>
        <w:rPr>
          <w:color w:val="000000" w:themeColor="text1"/>
          <w:sz w:val="20"/>
          <w:szCs w:val="20"/>
          <w:lang w:val="es-ES"/>
        </w:rPr>
        <w:t xml:space="preserve"> </w:t>
      </w:r>
    </w:p>
    <w:p w14:paraId="0B5F605B" w14:textId="77777777" w:rsidR="001F701A" w:rsidRPr="0008384A" w:rsidRDefault="001F701A">
      <w:pPr>
        <w:numPr>
          <w:ilvl w:val="0"/>
          <w:numId w:val="29"/>
        </w:numPr>
        <w:spacing w:line="240" w:lineRule="auto"/>
        <w:contextualSpacing/>
        <w:jc w:val="both"/>
        <w:rPr>
          <w:color w:val="000000" w:themeColor="text1"/>
          <w:sz w:val="20"/>
          <w:szCs w:val="20"/>
          <w:lang w:val="es-ES"/>
        </w:rPr>
      </w:pPr>
      <w:r w:rsidRPr="0008384A">
        <w:rPr>
          <w:color w:val="000000" w:themeColor="text1"/>
          <w:sz w:val="20"/>
          <w:szCs w:val="20"/>
          <w:lang w:val="es-ES"/>
        </w:rPr>
        <w:t xml:space="preserve">RP Contrato CPS-089.2018 “Seguimiento a la Política Fiscal y la cobranza" Participación de Propósito General. Municipio de Puerto Leguízamo - Putumayo. Serie </w:t>
      </w:r>
      <w:r w:rsidRPr="0008384A">
        <w:rPr>
          <w:i/>
          <w:iCs/>
          <w:color w:val="000000" w:themeColor="text1"/>
          <w:sz w:val="20"/>
          <w:szCs w:val="20"/>
          <w:lang w:val="es-ES"/>
        </w:rPr>
        <w:t>“Historial de Seguimiento y Control a los Recursos del Sistema General de Participaciones – Diagnóstico”</w:t>
      </w:r>
      <w:r w:rsidRPr="0008384A">
        <w:rPr>
          <w:color w:val="000000" w:themeColor="text1"/>
          <w:sz w:val="20"/>
          <w:szCs w:val="20"/>
          <w:lang w:val="es-ES"/>
        </w:rPr>
        <w:t xml:space="preserve">. Expediente digital No. 17/2021/D028-PREDI. Radicado 1-2021-059415 del 12 de julio de 2021. </w:t>
      </w:r>
      <w:hyperlink r:id="rId47" w:history="1">
        <w:r w:rsidRPr="00374CFB">
          <w:rPr>
            <w:rStyle w:val="Hipervnculo"/>
            <w:sz w:val="20"/>
            <w:szCs w:val="20"/>
            <w:lang w:val="es-ES"/>
          </w:rPr>
          <w:t>https://bit.ly/3ktVYQC</w:t>
        </w:r>
      </w:hyperlink>
      <w:r>
        <w:rPr>
          <w:color w:val="000000" w:themeColor="text1"/>
          <w:sz w:val="20"/>
          <w:szCs w:val="20"/>
          <w:lang w:val="es-ES"/>
        </w:rPr>
        <w:t xml:space="preserve"> </w:t>
      </w:r>
    </w:p>
    <w:p w14:paraId="650033AF" w14:textId="77777777" w:rsidR="001F701A" w:rsidRPr="00D142B6"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CPS-080-2018 “Contador público”.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48" w:history="1">
        <w:r w:rsidRPr="00374CFB">
          <w:rPr>
            <w:rStyle w:val="Hipervnculo"/>
            <w:sz w:val="20"/>
            <w:szCs w:val="20"/>
            <w:lang w:val="es-ES"/>
          </w:rPr>
          <w:t>https://bit.ly/2YBqtw7</w:t>
        </w:r>
      </w:hyperlink>
      <w:r>
        <w:rPr>
          <w:sz w:val="20"/>
          <w:szCs w:val="20"/>
          <w:lang w:val="es-ES"/>
        </w:rPr>
        <w:t xml:space="preserve"> </w:t>
      </w:r>
    </w:p>
    <w:p w14:paraId="53CBBC5B"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PS-MC-025-2018 “Procedimientos Financieros y Contables”.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49" w:history="1">
        <w:r w:rsidRPr="00374CFB">
          <w:rPr>
            <w:rStyle w:val="Hipervnculo"/>
            <w:sz w:val="20"/>
            <w:szCs w:val="20"/>
            <w:lang w:val="es-ES"/>
          </w:rPr>
          <w:t>https://bit.ly/3qvWama</w:t>
        </w:r>
      </w:hyperlink>
      <w:r>
        <w:rPr>
          <w:sz w:val="20"/>
          <w:szCs w:val="20"/>
          <w:lang w:val="es-ES"/>
        </w:rPr>
        <w:t xml:space="preserve"> </w:t>
      </w:r>
    </w:p>
    <w:p w14:paraId="4A05CB98"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CPS-059-2019 “Supervisión al Régimen Subsidiado”.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50" w:history="1">
        <w:r w:rsidRPr="00374CFB">
          <w:rPr>
            <w:rStyle w:val="Hipervnculo"/>
            <w:sz w:val="20"/>
            <w:szCs w:val="20"/>
            <w:lang w:val="es-ES"/>
          </w:rPr>
          <w:t>https://bit.ly/3C6MoZV</w:t>
        </w:r>
      </w:hyperlink>
      <w:r>
        <w:rPr>
          <w:sz w:val="20"/>
          <w:szCs w:val="20"/>
          <w:lang w:val="es-ES"/>
        </w:rPr>
        <w:t xml:space="preserve"> </w:t>
      </w:r>
    </w:p>
    <w:p w14:paraId="5B606C92"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RP Contrato CPS-059-2019 “Supervisión al Régimen Subsidiado”.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51" w:history="1">
        <w:r w:rsidRPr="00374CFB">
          <w:rPr>
            <w:rStyle w:val="Hipervnculo"/>
            <w:sz w:val="20"/>
            <w:szCs w:val="20"/>
            <w:lang w:val="es-ES"/>
          </w:rPr>
          <w:t>https://bit.ly/31IMcn2</w:t>
        </w:r>
      </w:hyperlink>
      <w:r>
        <w:rPr>
          <w:sz w:val="20"/>
          <w:szCs w:val="20"/>
          <w:lang w:val="es-ES"/>
        </w:rPr>
        <w:t xml:space="preserve"> </w:t>
      </w:r>
    </w:p>
    <w:p w14:paraId="1D31FB87"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CPS-021-2019 “Fortalecimiento acciones administrativas”.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Expediente digital No. 17/2021/D028-PREDI. Radicado 1-2021-059415 del 12 de julio de 2021.</w:t>
      </w:r>
      <w:r w:rsidRPr="00A41EB3">
        <w:t xml:space="preserve"> </w:t>
      </w:r>
      <w:hyperlink r:id="rId52" w:history="1">
        <w:r w:rsidRPr="00374CFB">
          <w:rPr>
            <w:rStyle w:val="Hipervnculo"/>
            <w:sz w:val="20"/>
            <w:szCs w:val="20"/>
            <w:lang w:val="es-ES"/>
          </w:rPr>
          <w:t>https://bit.ly/3qrUSZt</w:t>
        </w:r>
      </w:hyperlink>
      <w:r>
        <w:rPr>
          <w:sz w:val="20"/>
          <w:szCs w:val="20"/>
          <w:lang w:val="es-ES"/>
        </w:rPr>
        <w:t xml:space="preserve"> </w:t>
      </w:r>
    </w:p>
    <w:p w14:paraId="218B1F65"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lastRenderedPageBreak/>
        <w:t xml:space="preserve">Contrato CPS-023-2019 “Fortalecimiento Secretaría de Planeación”.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53" w:history="1">
        <w:r w:rsidRPr="00374CFB">
          <w:rPr>
            <w:rStyle w:val="Hipervnculo"/>
            <w:sz w:val="20"/>
            <w:szCs w:val="20"/>
            <w:lang w:val="es-ES"/>
          </w:rPr>
          <w:t>https://bit.ly/3qv7Y8k</w:t>
        </w:r>
      </w:hyperlink>
      <w:r>
        <w:rPr>
          <w:sz w:val="20"/>
          <w:szCs w:val="20"/>
          <w:lang w:val="es-ES"/>
        </w:rPr>
        <w:t xml:space="preserve"> </w:t>
      </w:r>
    </w:p>
    <w:p w14:paraId="714025C1" w14:textId="77777777" w:rsidR="001F701A" w:rsidRDefault="001F701A">
      <w:pPr>
        <w:numPr>
          <w:ilvl w:val="0"/>
          <w:numId w:val="29"/>
        </w:numPr>
        <w:spacing w:line="240" w:lineRule="auto"/>
        <w:contextualSpacing/>
        <w:jc w:val="both"/>
        <w:rPr>
          <w:sz w:val="20"/>
          <w:szCs w:val="20"/>
          <w:lang w:val="es-ES"/>
        </w:rPr>
      </w:pPr>
      <w:r w:rsidRPr="0008384A">
        <w:rPr>
          <w:sz w:val="20"/>
          <w:szCs w:val="20"/>
          <w:lang w:val="es-ES"/>
        </w:rPr>
        <w:t xml:space="preserve">RP CPS-023-2019 “Fortalecimiento Secretaría de Planeación”.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54" w:history="1">
        <w:r w:rsidRPr="00374CFB">
          <w:rPr>
            <w:rStyle w:val="Hipervnculo"/>
            <w:sz w:val="20"/>
            <w:szCs w:val="20"/>
            <w:lang w:val="es-ES"/>
          </w:rPr>
          <w:t>https://bit.ly/3Da20Np</w:t>
        </w:r>
      </w:hyperlink>
      <w:r>
        <w:rPr>
          <w:sz w:val="20"/>
          <w:szCs w:val="20"/>
          <w:lang w:val="es-ES"/>
        </w:rPr>
        <w:t xml:space="preserve"> </w:t>
      </w:r>
    </w:p>
    <w:p w14:paraId="44F54291" w14:textId="77777777" w:rsidR="001F701A" w:rsidRPr="00B92AB2"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CPS-076-2020 “Apoyo tecnológico legalización de predios”.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55" w:history="1">
        <w:r w:rsidRPr="00374CFB">
          <w:rPr>
            <w:rStyle w:val="Hipervnculo"/>
            <w:sz w:val="20"/>
            <w:szCs w:val="20"/>
            <w:lang w:val="es-ES"/>
          </w:rPr>
          <w:t>https://bit.ly/3qv28ns</w:t>
        </w:r>
      </w:hyperlink>
      <w:r>
        <w:rPr>
          <w:sz w:val="20"/>
          <w:szCs w:val="20"/>
          <w:lang w:val="es-ES"/>
        </w:rPr>
        <w:t xml:space="preserve"> </w:t>
      </w:r>
    </w:p>
    <w:p w14:paraId="10078C6C"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CPS-044-2020 “Supervisión Régimen Subsidiado”.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56" w:history="1">
        <w:r w:rsidRPr="00374CFB">
          <w:rPr>
            <w:rStyle w:val="Hipervnculo"/>
            <w:sz w:val="20"/>
            <w:szCs w:val="20"/>
            <w:lang w:val="es-ES"/>
          </w:rPr>
          <w:t>https://bit.ly/3CaVmFo</w:t>
        </w:r>
      </w:hyperlink>
      <w:r>
        <w:rPr>
          <w:sz w:val="20"/>
          <w:szCs w:val="20"/>
          <w:lang w:val="es-ES"/>
        </w:rPr>
        <w:t xml:space="preserve"> </w:t>
      </w:r>
    </w:p>
    <w:p w14:paraId="0CA2B340" w14:textId="77777777" w:rsidR="001F701A" w:rsidRPr="00E83C4D" w:rsidRDefault="001F701A">
      <w:pPr>
        <w:numPr>
          <w:ilvl w:val="0"/>
          <w:numId w:val="29"/>
        </w:numPr>
        <w:spacing w:line="240" w:lineRule="auto"/>
        <w:contextualSpacing/>
        <w:jc w:val="both"/>
        <w:rPr>
          <w:sz w:val="20"/>
          <w:szCs w:val="20"/>
          <w:lang w:val="es-ES"/>
        </w:rPr>
      </w:pPr>
      <w:r w:rsidRPr="0008384A">
        <w:rPr>
          <w:sz w:val="20"/>
          <w:szCs w:val="20"/>
          <w:lang w:val="es-ES"/>
        </w:rPr>
        <w:t xml:space="preserve">RP CPS-044-2020 “Supervisión Régimen Subsidiado”.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57" w:history="1">
        <w:r w:rsidRPr="00374CFB">
          <w:rPr>
            <w:rStyle w:val="Hipervnculo"/>
            <w:sz w:val="20"/>
            <w:szCs w:val="20"/>
            <w:lang w:val="es-ES"/>
          </w:rPr>
          <w:t>https://bit.ly/3F4o3Ws</w:t>
        </w:r>
      </w:hyperlink>
      <w:r>
        <w:rPr>
          <w:sz w:val="20"/>
          <w:szCs w:val="20"/>
          <w:lang w:val="es-ES"/>
        </w:rPr>
        <w:t xml:space="preserve"> </w:t>
      </w:r>
    </w:p>
    <w:p w14:paraId="58C35193"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CPS-126-2020 “Coordinador programas sociales”.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58" w:history="1">
        <w:r w:rsidRPr="00374CFB">
          <w:rPr>
            <w:rStyle w:val="Hipervnculo"/>
            <w:sz w:val="20"/>
            <w:szCs w:val="20"/>
            <w:lang w:val="es-ES"/>
          </w:rPr>
          <w:t>https://bit.ly/30g24wt</w:t>
        </w:r>
      </w:hyperlink>
      <w:r>
        <w:rPr>
          <w:sz w:val="20"/>
          <w:szCs w:val="20"/>
          <w:lang w:val="es-ES"/>
        </w:rPr>
        <w:t xml:space="preserve"> </w:t>
      </w:r>
    </w:p>
    <w:p w14:paraId="581D5E80"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CPS-079-2019 “Coordinadora indígena”.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Expediente digital No. 17/2021/D028-PREDI. Radicado 1-2021-059415 del 12 de julio de 2021.</w:t>
      </w:r>
      <w:hyperlink r:id="rId59" w:history="1">
        <w:r w:rsidRPr="00374CFB">
          <w:rPr>
            <w:rStyle w:val="Hipervnculo"/>
            <w:sz w:val="20"/>
            <w:szCs w:val="20"/>
            <w:lang w:val="es-ES"/>
          </w:rPr>
          <w:t>https://bit.ly/3D7pliJ</w:t>
        </w:r>
      </w:hyperlink>
      <w:r>
        <w:rPr>
          <w:sz w:val="20"/>
          <w:szCs w:val="20"/>
          <w:lang w:val="es-ES"/>
        </w:rPr>
        <w:t xml:space="preserve"> </w:t>
      </w:r>
    </w:p>
    <w:p w14:paraId="79BF3621"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RP CPS-079-2019 “Coordinadora indígena”.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Expediente digital No. 17/2021/D028-PREDI. Radicado 1-2021-059415 del 12 de julio de 2021.</w:t>
      </w:r>
      <w:hyperlink r:id="rId60" w:history="1">
        <w:r w:rsidRPr="00374CFB">
          <w:rPr>
            <w:rStyle w:val="Hipervnculo"/>
            <w:sz w:val="20"/>
            <w:szCs w:val="20"/>
            <w:lang w:val="es-ES"/>
          </w:rPr>
          <w:t>https://bit.ly/3D7mDd3</w:t>
        </w:r>
      </w:hyperlink>
      <w:r>
        <w:rPr>
          <w:sz w:val="20"/>
          <w:szCs w:val="20"/>
          <w:lang w:val="es-ES"/>
        </w:rPr>
        <w:t xml:space="preserve"> </w:t>
      </w:r>
    </w:p>
    <w:p w14:paraId="378C83D4"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CPS-048-2020 “Coordinador indígena”.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61" w:history="1">
        <w:r w:rsidRPr="00374CFB">
          <w:rPr>
            <w:rStyle w:val="Hipervnculo"/>
            <w:sz w:val="20"/>
            <w:szCs w:val="20"/>
            <w:lang w:val="es-ES"/>
          </w:rPr>
          <w:t>https://bit.ly/3wBjeB5</w:t>
        </w:r>
      </w:hyperlink>
      <w:r>
        <w:rPr>
          <w:sz w:val="20"/>
          <w:szCs w:val="20"/>
          <w:lang w:val="es-ES"/>
        </w:rPr>
        <w:t xml:space="preserve"> </w:t>
      </w:r>
    </w:p>
    <w:p w14:paraId="24AA2EF7"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RP CPS-048-2020 “Coordinador indígena”.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Expediente digital No. 17/2021/D028-PREDI. Radicado 1-2021-059415 del 12 de julio de 2021.</w:t>
      </w:r>
      <w:hyperlink r:id="rId62" w:history="1"/>
      <w:r>
        <w:rPr>
          <w:sz w:val="20"/>
          <w:szCs w:val="20"/>
          <w:lang w:val="es-ES"/>
        </w:rPr>
        <w:t xml:space="preserve"> </w:t>
      </w:r>
      <w:hyperlink r:id="rId63" w:history="1">
        <w:r w:rsidRPr="00374CFB">
          <w:rPr>
            <w:rStyle w:val="Hipervnculo"/>
            <w:sz w:val="20"/>
            <w:szCs w:val="20"/>
            <w:lang w:val="es-ES"/>
          </w:rPr>
          <w:t>https://bit.ly/3n246JH</w:t>
        </w:r>
      </w:hyperlink>
      <w:r>
        <w:rPr>
          <w:sz w:val="20"/>
          <w:szCs w:val="20"/>
          <w:lang w:val="es-ES"/>
        </w:rPr>
        <w:t xml:space="preserve"> </w:t>
      </w:r>
    </w:p>
    <w:p w14:paraId="2FD87021"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w:t>
      </w:r>
      <w:r w:rsidRPr="0008384A">
        <w:rPr>
          <w:rFonts w:eastAsia="Times New Roman" w:cs="Arial"/>
          <w:color w:val="000000"/>
          <w:sz w:val="20"/>
          <w:szCs w:val="20"/>
          <w:lang w:eastAsia="es-CO"/>
        </w:rPr>
        <w:t xml:space="preserve">CPS-039-2018 “Bibliotecaria municipal”. </w:t>
      </w:r>
      <w:r w:rsidRPr="0008384A">
        <w:rPr>
          <w:sz w:val="20"/>
          <w:szCs w:val="20"/>
          <w:lang w:val="es-ES"/>
        </w:rPr>
        <w:t xml:space="preserve">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64" w:history="1">
        <w:r w:rsidRPr="00374CFB">
          <w:rPr>
            <w:rStyle w:val="Hipervnculo"/>
            <w:sz w:val="20"/>
            <w:szCs w:val="20"/>
            <w:lang w:val="es-ES"/>
          </w:rPr>
          <w:t>https://bit.ly/3qujdOf</w:t>
        </w:r>
      </w:hyperlink>
      <w:r>
        <w:rPr>
          <w:sz w:val="20"/>
          <w:szCs w:val="20"/>
          <w:lang w:val="es-ES"/>
        </w:rPr>
        <w:t xml:space="preserve"> </w:t>
      </w:r>
    </w:p>
    <w:p w14:paraId="1D5276E2"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lastRenderedPageBreak/>
        <w:t xml:space="preserve">RP </w:t>
      </w:r>
      <w:r w:rsidRPr="0008384A">
        <w:rPr>
          <w:rFonts w:eastAsia="Times New Roman" w:cs="Arial"/>
          <w:color w:val="000000"/>
          <w:sz w:val="20"/>
          <w:szCs w:val="20"/>
          <w:lang w:eastAsia="es-CO"/>
        </w:rPr>
        <w:t xml:space="preserve">CPS-039-2018 “Bibliotecaria municipal”. </w:t>
      </w:r>
      <w:r w:rsidRPr="0008384A">
        <w:rPr>
          <w:sz w:val="20"/>
          <w:szCs w:val="20"/>
          <w:lang w:val="es-ES"/>
        </w:rPr>
        <w:t xml:space="preserve">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65" w:history="1">
        <w:r w:rsidRPr="00374CFB">
          <w:rPr>
            <w:rStyle w:val="Hipervnculo"/>
            <w:sz w:val="20"/>
            <w:szCs w:val="20"/>
            <w:lang w:val="es-ES"/>
          </w:rPr>
          <w:t>https://bit.ly/3F6BPbg</w:t>
        </w:r>
      </w:hyperlink>
      <w:r>
        <w:rPr>
          <w:sz w:val="20"/>
          <w:szCs w:val="20"/>
          <w:lang w:val="es-ES"/>
        </w:rPr>
        <w:t xml:space="preserve"> </w:t>
      </w:r>
    </w:p>
    <w:p w14:paraId="7FA78E38"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CPS-064-2018 </w:t>
      </w:r>
      <w:r w:rsidRPr="0008384A">
        <w:rPr>
          <w:rFonts w:eastAsia="Times New Roman" w:cs="Arial"/>
          <w:color w:val="000000"/>
          <w:sz w:val="20"/>
          <w:szCs w:val="20"/>
          <w:lang w:eastAsia="es-CO"/>
        </w:rPr>
        <w:t xml:space="preserve">“Bibliotecaria municipal”. </w:t>
      </w:r>
      <w:r w:rsidRPr="0008384A">
        <w:rPr>
          <w:sz w:val="20"/>
          <w:szCs w:val="20"/>
          <w:lang w:val="es-ES"/>
        </w:rPr>
        <w:t xml:space="preserve">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66" w:history="1">
        <w:r w:rsidRPr="00374CFB">
          <w:rPr>
            <w:rStyle w:val="Hipervnculo"/>
            <w:sz w:val="20"/>
            <w:szCs w:val="20"/>
            <w:lang w:val="es-ES"/>
          </w:rPr>
          <w:t>https://bit.ly/3quu0I4</w:t>
        </w:r>
      </w:hyperlink>
      <w:r>
        <w:rPr>
          <w:sz w:val="20"/>
          <w:szCs w:val="20"/>
          <w:lang w:val="es-ES"/>
        </w:rPr>
        <w:t xml:space="preserve"> </w:t>
      </w:r>
    </w:p>
    <w:p w14:paraId="5A07FD8B"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RP CPS-064-2018 </w:t>
      </w:r>
      <w:r w:rsidRPr="0008384A">
        <w:rPr>
          <w:rFonts w:eastAsia="Times New Roman" w:cs="Arial"/>
          <w:color w:val="000000"/>
          <w:sz w:val="20"/>
          <w:szCs w:val="20"/>
          <w:lang w:eastAsia="es-CO"/>
        </w:rPr>
        <w:t xml:space="preserve">“Bibliotecaria municipal”. </w:t>
      </w:r>
      <w:r w:rsidRPr="0008384A">
        <w:rPr>
          <w:sz w:val="20"/>
          <w:szCs w:val="20"/>
          <w:lang w:val="es-ES"/>
        </w:rPr>
        <w:t xml:space="preserve">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67" w:history="1">
        <w:r w:rsidRPr="00374CFB">
          <w:rPr>
            <w:rStyle w:val="Hipervnculo"/>
            <w:sz w:val="20"/>
            <w:szCs w:val="20"/>
            <w:lang w:val="es-ES"/>
          </w:rPr>
          <w:t>https://bit.ly/3oqU2JY</w:t>
        </w:r>
      </w:hyperlink>
      <w:r>
        <w:rPr>
          <w:sz w:val="20"/>
          <w:szCs w:val="20"/>
          <w:lang w:val="es-ES"/>
        </w:rPr>
        <w:t xml:space="preserve"> </w:t>
      </w:r>
    </w:p>
    <w:p w14:paraId="7F96996E"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CPS-022-2018 “Coordinador de deportes”.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68" w:history="1">
        <w:r w:rsidRPr="00374CFB">
          <w:rPr>
            <w:rStyle w:val="Hipervnculo"/>
            <w:sz w:val="20"/>
            <w:szCs w:val="20"/>
            <w:lang w:val="es-ES"/>
          </w:rPr>
          <w:t>https://bit.ly/3onxgT0</w:t>
        </w:r>
      </w:hyperlink>
      <w:r>
        <w:rPr>
          <w:sz w:val="20"/>
          <w:szCs w:val="20"/>
          <w:lang w:val="es-ES"/>
        </w:rPr>
        <w:t xml:space="preserve"> </w:t>
      </w:r>
    </w:p>
    <w:p w14:paraId="4F890C4B"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RP CPS-022-2018 “Coordinador de deportes”.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69" w:history="1">
        <w:r w:rsidRPr="00374CFB">
          <w:rPr>
            <w:rStyle w:val="Hipervnculo"/>
            <w:sz w:val="20"/>
            <w:szCs w:val="20"/>
            <w:lang w:val="es-ES"/>
          </w:rPr>
          <w:t>https://bit.ly/3Hele75</w:t>
        </w:r>
      </w:hyperlink>
      <w:r>
        <w:rPr>
          <w:sz w:val="20"/>
          <w:szCs w:val="20"/>
          <w:lang w:val="es-ES"/>
        </w:rPr>
        <w:t xml:space="preserve"> </w:t>
      </w:r>
      <w:r w:rsidRPr="0008384A">
        <w:rPr>
          <w:sz w:val="20"/>
          <w:szCs w:val="20"/>
          <w:lang w:val="es-ES"/>
        </w:rPr>
        <w:t xml:space="preserve"> </w:t>
      </w:r>
    </w:p>
    <w:p w14:paraId="57A9727C" w14:textId="77777777" w:rsidR="001F701A" w:rsidRPr="006D111B"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CPS-023-2018 “Coordinador de Cultura”.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70" w:history="1">
        <w:r w:rsidRPr="00374CFB">
          <w:rPr>
            <w:rStyle w:val="Hipervnculo"/>
            <w:sz w:val="20"/>
            <w:szCs w:val="20"/>
            <w:lang w:val="es-ES"/>
          </w:rPr>
          <w:t>https://bit.ly/3F4qM2f</w:t>
        </w:r>
      </w:hyperlink>
      <w:r>
        <w:rPr>
          <w:sz w:val="20"/>
          <w:szCs w:val="20"/>
          <w:lang w:val="es-ES"/>
        </w:rPr>
        <w:t xml:space="preserve"> </w:t>
      </w:r>
    </w:p>
    <w:p w14:paraId="1A99E5B4"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RP CPS-023-2018 “Coordinador de cultura”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71" w:history="1">
        <w:r w:rsidRPr="00374CFB">
          <w:rPr>
            <w:rStyle w:val="Hipervnculo"/>
            <w:sz w:val="20"/>
            <w:szCs w:val="20"/>
            <w:lang w:val="es-ES"/>
          </w:rPr>
          <w:t>https://bit.ly/3wE3UDD</w:t>
        </w:r>
      </w:hyperlink>
      <w:r>
        <w:rPr>
          <w:sz w:val="20"/>
          <w:szCs w:val="20"/>
          <w:lang w:val="es-ES"/>
        </w:rPr>
        <w:t xml:space="preserve"> </w:t>
      </w:r>
    </w:p>
    <w:p w14:paraId="1D0DD806"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PS-MC-001-2018 “Apoyo logístico actividades deportivas”.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72" w:history="1">
        <w:r w:rsidRPr="00374CFB">
          <w:rPr>
            <w:rStyle w:val="Hipervnculo"/>
            <w:sz w:val="20"/>
            <w:szCs w:val="20"/>
            <w:lang w:val="es-ES"/>
          </w:rPr>
          <w:t>https://bit.ly/3oe2R9y</w:t>
        </w:r>
      </w:hyperlink>
      <w:r>
        <w:rPr>
          <w:sz w:val="20"/>
          <w:szCs w:val="20"/>
          <w:lang w:val="es-ES"/>
        </w:rPr>
        <w:t xml:space="preserve"> </w:t>
      </w:r>
    </w:p>
    <w:p w14:paraId="37252969"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RP</w:t>
      </w:r>
      <w:r w:rsidRPr="0008384A">
        <w:t xml:space="preserve"> </w:t>
      </w:r>
      <w:r w:rsidRPr="0008384A">
        <w:rPr>
          <w:sz w:val="20"/>
          <w:szCs w:val="20"/>
          <w:lang w:val="es-ES"/>
        </w:rPr>
        <w:t xml:space="preserve">PS-MC-001-2018 “Apoyo logístico actividades deportivas”.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73" w:history="1">
        <w:r w:rsidRPr="00374CFB">
          <w:rPr>
            <w:rStyle w:val="Hipervnculo"/>
            <w:sz w:val="20"/>
            <w:szCs w:val="20"/>
            <w:lang w:val="es-ES"/>
          </w:rPr>
          <w:t>https://bit.ly/3c5cZvH</w:t>
        </w:r>
      </w:hyperlink>
      <w:r>
        <w:rPr>
          <w:sz w:val="20"/>
          <w:szCs w:val="20"/>
          <w:lang w:val="es-ES"/>
        </w:rPr>
        <w:t xml:space="preserve"> </w:t>
      </w:r>
    </w:p>
    <w:p w14:paraId="27B262B5" w14:textId="77777777" w:rsidR="001F701A" w:rsidRPr="0008384A" w:rsidRDefault="001F701A">
      <w:pPr>
        <w:numPr>
          <w:ilvl w:val="0"/>
          <w:numId w:val="29"/>
        </w:numPr>
        <w:spacing w:line="240" w:lineRule="auto"/>
        <w:contextualSpacing/>
        <w:jc w:val="both"/>
        <w:rPr>
          <w:sz w:val="20"/>
          <w:szCs w:val="20"/>
          <w:lang w:val="es-ES"/>
        </w:rPr>
      </w:pPr>
      <w:r w:rsidRPr="0008384A">
        <w:rPr>
          <w:color w:val="000000" w:themeColor="text1"/>
          <w:sz w:val="20"/>
          <w:szCs w:val="20"/>
          <w:lang w:val="es-ES"/>
        </w:rPr>
        <w:t>Contrato PS-MC-047-2018 “Compraventa elementos deportivos</w:t>
      </w:r>
      <w:r w:rsidRPr="0008384A">
        <w:rPr>
          <w:sz w:val="20"/>
          <w:szCs w:val="20"/>
          <w:lang w:val="es-ES"/>
        </w:rPr>
        <w:t xml:space="preserve">”.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74" w:history="1">
        <w:r w:rsidRPr="00374CFB">
          <w:rPr>
            <w:rStyle w:val="Hipervnculo"/>
            <w:sz w:val="20"/>
            <w:szCs w:val="20"/>
            <w:lang w:val="es-ES"/>
          </w:rPr>
          <w:t>https://bit.ly/31MwQOl</w:t>
        </w:r>
      </w:hyperlink>
      <w:r>
        <w:rPr>
          <w:sz w:val="20"/>
          <w:szCs w:val="20"/>
          <w:lang w:val="es-ES"/>
        </w:rPr>
        <w:t xml:space="preserve"> </w:t>
      </w:r>
    </w:p>
    <w:p w14:paraId="01819120"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PS-MC-SEM-026-2020 “Dotación elementos deportivos”.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75" w:history="1">
        <w:r w:rsidRPr="00374CFB">
          <w:rPr>
            <w:rStyle w:val="Hipervnculo"/>
            <w:sz w:val="20"/>
            <w:szCs w:val="20"/>
            <w:lang w:val="es-ES"/>
          </w:rPr>
          <w:t>https://bit.ly/3F5yw3Z</w:t>
        </w:r>
      </w:hyperlink>
      <w:r>
        <w:rPr>
          <w:sz w:val="20"/>
          <w:szCs w:val="20"/>
          <w:lang w:val="es-ES"/>
        </w:rPr>
        <w:t xml:space="preserve"> </w:t>
      </w:r>
    </w:p>
    <w:p w14:paraId="62A92428" w14:textId="77777777" w:rsidR="001F701A" w:rsidRPr="0008384A" w:rsidRDefault="001F701A">
      <w:pPr>
        <w:numPr>
          <w:ilvl w:val="0"/>
          <w:numId w:val="29"/>
        </w:numPr>
        <w:spacing w:line="240" w:lineRule="auto"/>
        <w:contextualSpacing/>
        <w:jc w:val="both"/>
        <w:rPr>
          <w:sz w:val="20"/>
          <w:szCs w:val="20"/>
          <w:lang w:val="es-ES"/>
        </w:rPr>
      </w:pPr>
      <w:r w:rsidRPr="0008384A">
        <w:rPr>
          <w:sz w:val="20"/>
          <w:szCs w:val="20"/>
          <w:lang w:val="es-ES"/>
        </w:rPr>
        <w:lastRenderedPageBreak/>
        <w:t>RP</w:t>
      </w:r>
      <w:r w:rsidRPr="0008384A">
        <w:t xml:space="preserve"> </w:t>
      </w:r>
      <w:r w:rsidRPr="0008384A">
        <w:rPr>
          <w:sz w:val="20"/>
          <w:szCs w:val="20"/>
          <w:lang w:val="es-ES"/>
        </w:rPr>
        <w:t xml:space="preserve">PS-MC-SEM-026-2020 “Dotación elementos deportivos”.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76" w:history="1">
        <w:r w:rsidRPr="00CA71A2">
          <w:rPr>
            <w:rStyle w:val="Hipervnculo"/>
            <w:sz w:val="20"/>
            <w:szCs w:val="20"/>
            <w:lang w:val="es-ES"/>
          </w:rPr>
          <w:t>https://bit.ly/3ksnP3H</w:t>
        </w:r>
      </w:hyperlink>
      <w:r>
        <w:rPr>
          <w:sz w:val="20"/>
          <w:szCs w:val="20"/>
          <w:lang w:val="es-ES"/>
        </w:rPr>
        <w:t xml:space="preserve"> </w:t>
      </w:r>
    </w:p>
    <w:p w14:paraId="0DDD00D5" w14:textId="77777777" w:rsidR="001F701A" w:rsidRDefault="001F701A">
      <w:pPr>
        <w:numPr>
          <w:ilvl w:val="0"/>
          <w:numId w:val="29"/>
        </w:numPr>
        <w:spacing w:line="240" w:lineRule="auto"/>
        <w:contextualSpacing/>
        <w:jc w:val="both"/>
        <w:rPr>
          <w:sz w:val="20"/>
          <w:szCs w:val="20"/>
          <w:lang w:val="es-ES"/>
        </w:rPr>
      </w:pPr>
      <w:r w:rsidRPr="0008384A">
        <w:rPr>
          <w:sz w:val="20"/>
          <w:szCs w:val="20"/>
          <w:lang w:val="es-ES"/>
        </w:rPr>
        <w:t xml:space="preserve">Contrato PS-MC-SEM-045-2020 “Dotación elementos deportivos”.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77" w:history="1">
        <w:r w:rsidRPr="00374CFB">
          <w:rPr>
            <w:rStyle w:val="Hipervnculo"/>
            <w:sz w:val="20"/>
            <w:szCs w:val="20"/>
            <w:lang w:val="es-ES"/>
          </w:rPr>
          <w:t>https://bit.ly/3FnwNaz</w:t>
        </w:r>
      </w:hyperlink>
      <w:r>
        <w:rPr>
          <w:sz w:val="20"/>
          <w:szCs w:val="20"/>
          <w:lang w:val="es-ES"/>
        </w:rPr>
        <w:t xml:space="preserve"> </w:t>
      </w:r>
    </w:p>
    <w:p w14:paraId="72759257" w14:textId="77777777" w:rsidR="001F701A" w:rsidRDefault="001F701A">
      <w:pPr>
        <w:numPr>
          <w:ilvl w:val="0"/>
          <w:numId w:val="29"/>
        </w:numPr>
        <w:spacing w:line="240" w:lineRule="auto"/>
        <w:contextualSpacing/>
        <w:jc w:val="both"/>
        <w:rPr>
          <w:sz w:val="20"/>
          <w:szCs w:val="20"/>
          <w:lang w:val="es-ES"/>
        </w:rPr>
      </w:pPr>
      <w:r w:rsidRPr="0008384A">
        <w:rPr>
          <w:sz w:val="20"/>
          <w:szCs w:val="20"/>
          <w:lang w:val="es-ES"/>
        </w:rPr>
        <w:t>RP</w:t>
      </w:r>
      <w:r w:rsidRPr="0008384A">
        <w:t xml:space="preserve"> </w:t>
      </w:r>
      <w:r w:rsidRPr="0008384A">
        <w:rPr>
          <w:sz w:val="20"/>
          <w:szCs w:val="20"/>
          <w:lang w:val="es-ES"/>
        </w:rPr>
        <w:t xml:space="preserve">PS-MC-SEM-045-2020 “Dotación elementos deportivos”. 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xml:space="preserve">. Expediente digital No. 17/2021/D028-PREDI. Radicado 1-2021-059415 del 12 de julio de 2021. </w:t>
      </w:r>
      <w:hyperlink r:id="rId78" w:history="1">
        <w:r w:rsidRPr="0008384A">
          <w:rPr>
            <w:color w:val="0563C1" w:themeColor="hyperlink"/>
            <w:sz w:val="20"/>
            <w:szCs w:val="20"/>
            <w:u w:val="single"/>
            <w:lang w:val="es-ES"/>
          </w:rPr>
          <w:t>https://bit.ly/3C20SKv</w:t>
        </w:r>
      </w:hyperlink>
      <w:r w:rsidRPr="0008384A">
        <w:rPr>
          <w:sz w:val="20"/>
          <w:szCs w:val="20"/>
          <w:lang w:val="es-ES"/>
        </w:rPr>
        <w:t xml:space="preserve"> </w:t>
      </w:r>
    </w:p>
    <w:p w14:paraId="237BFED4" w14:textId="77777777" w:rsidR="001A3309" w:rsidRDefault="001A3309">
      <w:pPr>
        <w:numPr>
          <w:ilvl w:val="0"/>
          <w:numId w:val="29"/>
        </w:numPr>
        <w:spacing w:line="240" w:lineRule="auto"/>
        <w:contextualSpacing/>
        <w:jc w:val="both"/>
        <w:rPr>
          <w:sz w:val="20"/>
          <w:szCs w:val="20"/>
          <w:lang w:val="es-ES"/>
        </w:rPr>
      </w:pPr>
      <w:r>
        <w:rPr>
          <w:sz w:val="20"/>
          <w:szCs w:val="20"/>
          <w:lang w:val="es-ES"/>
        </w:rPr>
        <w:t xml:space="preserve">Acta de entrega </w:t>
      </w:r>
      <w:r w:rsidR="00D45CA1" w:rsidRPr="00D45CA1">
        <w:rPr>
          <w:sz w:val="20"/>
          <w:szCs w:val="20"/>
          <w:lang w:val="es-ES"/>
        </w:rPr>
        <w:t>PS-MC-047-2018</w:t>
      </w:r>
      <w:r w:rsidR="00D45CA1">
        <w:rPr>
          <w:sz w:val="20"/>
          <w:szCs w:val="20"/>
          <w:lang w:val="es-ES"/>
        </w:rPr>
        <w:t xml:space="preserve">. </w:t>
      </w:r>
      <w:r w:rsidR="00D45CA1" w:rsidRPr="0008384A">
        <w:rPr>
          <w:sz w:val="20"/>
          <w:szCs w:val="20"/>
          <w:lang w:val="es-ES"/>
        </w:rPr>
        <w:t xml:space="preserve">Participación de Propósito General. Municipio de Puerto Leguízamo - Putumayo. Serie </w:t>
      </w:r>
      <w:r w:rsidR="00D45CA1" w:rsidRPr="0008384A">
        <w:rPr>
          <w:i/>
          <w:iCs/>
          <w:sz w:val="20"/>
          <w:szCs w:val="20"/>
          <w:lang w:val="es-ES"/>
        </w:rPr>
        <w:t>“Historial de Seguimiento y Control a los Recursos del Sistema General de Participaciones – Diagnóstico”</w:t>
      </w:r>
      <w:r w:rsidR="00D45CA1" w:rsidRPr="0008384A">
        <w:rPr>
          <w:sz w:val="20"/>
          <w:szCs w:val="20"/>
          <w:lang w:val="es-ES"/>
        </w:rPr>
        <w:t>. Expediente digital No. 17/2021/D028-PREDI.</w:t>
      </w:r>
      <w:r w:rsidR="00D45CA1">
        <w:rPr>
          <w:sz w:val="20"/>
          <w:szCs w:val="20"/>
          <w:lang w:val="es-ES"/>
        </w:rPr>
        <w:t xml:space="preserve"> </w:t>
      </w:r>
      <w:r w:rsidR="009C3822">
        <w:rPr>
          <w:sz w:val="20"/>
          <w:szCs w:val="20"/>
          <w:lang w:val="es-ES"/>
        </w:rPr>
        <w:t>Radicado</w:t>
      </w:r>
      <w:r w:rsidR="009C3822" w:rsidRPr="009C3822">
        <w:t xml:space="preserve"> </w:t>
      </w:r>
      <w:r w:rsidR="009C3822" w:rsidRPr="009C3822">
        <w:rPr>
          <w:sz w:val="20"/>
          <w:szCs w:val="20"/>
          <w:lang w:val="es-ES"/>
        </w:rPr>
        <w:t>1-2022-038415</w:t>
      </w:r>
      <w:r w:rsidR="009C3822">
        <w:rPr>
          <w:sz w:val="20"/>
          <w:szCs w:val="20"/>
          <w:lang w:val="es-ES"/>
        </w:rPr>
        <w:t xml:space="preserve"> del 18 de mayo de 2022.</w:t>
      </w:r>
      <w:r w:rsidR="00D0045C" w:rsidRPr="00D0045C">
        <w:t xml:space="preserve"> </w:t>
      </w:r>
      <w:r w:rsidR="00D0045C" w:rsidRPr="00D0045C">
        <w:rPr>
          <w:sz w:val="20"/>
          <w:szCs w:val="20"/>
          <w:lang w:val="es-ES"/>
        </w:rPr>
        <w:t>https://bit.ly/3MD93Da</w:t>
      </w:r>
    </w:p>
    <w:p w14:paraId="66EBE228" w14:textId="77777777" w:rsidR="00D45CA1" w:rsidRDefault="00D45CA1">
      <w:pPr>
        <w:numPr>
          <w:ilvl w:val="0"/>
          <w:numId w:val="29"/>
        </w:numPr>
        <w:spacing w:line="240" w:lineRule="auto"/>
        <w:contextualSpacing/>
        <w:jc w:val="both"/>
        <w:rPr>
          <w:sz w:val="20"/>
          <w:szCs w:val="20"/>
          <w:lang w:val="es-ES"/>
        </w:rPr>
      </w:pPr>
      <w:r>
        <w:rPr>
          <w:sz w:val="20"/>
          <w:szCs w:val="20"/>
          <w:lang w:val="es-ES"/>
        </w:rPr>
        <w:t xml:space="preserve">Acta de entrega </w:t>
      </w:r>
      <w:r w:rsidRPr="00D45CA1">
        <w:rPr>
          <w:sz w:val="20"/>
          <w:szCs w:val="20"/>
          <w:lang w:val="es-ES"/>
        </w:rPr>
        <w:t>PS-MC-SEM-026-2020</w:t>
      </w:r>
      <w:r>
        <w:rPr>
          <w:sz w:val="20"/>
          <w:szCs w:val="20"/>
          <w:lang w:val="es-ES"/>
        </w:rPr>
        <w:t>.</w:t>
      </w:r>
      <w:r w:rsidRPr="00D45CA1">
        <w:rPr>
          <w:sz w:val="20"/>
          <w:szCs w:val="20"/>
          <w:lang w:val="es-ES"/>
        </w:rPr>
        <w:t xml:space="preserve"> </w:t>
      </w:r>
      <w:r w:rsidRPr="0008384A">
        <w:rPr>
          <w:sz w:val="20"/>
          <w:szCs w:val="20"/>
          <w:lang w:val="es-ES"/>
        </w:rPr>
        <w:t xml:space="preserve">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Expediente digital No. 17/2021/D028-PREDI.</w:t>
      </w:r>
      <w:r w:rsidR="009C3822" w:rsidRPr="009C3822">
        <w:rPr>
          <w:sz w:val="20"/>
          <w:szCs w:val="20"/>
          <w:lang w:val="es-ES"/>
        </w:rPr>
        <w:t xml:space="preserve"> </w:t>
      </w:r>
      <w:r w:rsidR="009C3822">
        <w:rPr>
          <w:sz w:val="20"/>
          <w:szCs w:val="20"/>
          <w:lang w:val="es-ES"/>
        </w:rPr>
        <w:t>Radicado</w:t>
      </w:r>
      <w:r w:rsidR="009C3822" w:rsidRPr="009C3822">
        <w:t xml:space="preserve"> </w:t>
      </w:r>
      <w:r w:rsidR="009C3822" w:rsidRPr="009C3822">
        <w:rPr>
          <w:sz w:val="20"/>
          <w:szCs w:val="20"/>
          <w:lang w:val="es-ES"/>
        </w:rPr>
        <w:t>1-2022-038415</w:t>
      </w:r>
      <w:r w:rsidR="009C3822">
        <w:rPr>
          <w:sz w:val="20"/>
          <w:szCs w:val="20"/>
          <w:lang w:val="es-ES"/>
        </w:rPr>
        <w:t xml:space="preserve"> del 18 de mayo de 2022.</w:t>
      </w:r>
      <w:r w:rsidR="00D0045C" w:rsidRPr="00D0045C">
        <w:t xml:space="preserve"> https://bit.ly/38AqQMH</w:t>
      </w:r>
    </w:p>
    <w:p w14:paraId="024FFBE4" w14:textId="77777777" w:rsidR="00D45CA1" w:rsidRPr="000056C5" w:rsidRDefault="00D45CA1">
      <w:pPr>
        <w:numPr>
          <w:ilvl w:val="0"/>
          <w:numId w:val="29"/>
        </w:numPr>
        <w:spacing w:line="240" w:lineRule="auto"/>
        <w:contextualSpacing/>
        <w:jc w:val="both"/>
        <w:rPr>
          <w:sz w:val="20"/>
          <w:szCs w:val="20"/>
          <w:lang w:val="es-ES"/>
        </w:rPr>
      </w:pPr>
      <w:r>
        <w:rPr>
          <w:sz w:val="20"/>
          <w:szCs w:val="20"/>
          <w:lang w:val="es-ES"/>
        </w:rPr>
        <w:t xml:space="preserve">Acta de entrega </w:t>
      </w:r>
      <w:r w:rsidRPr="00D45CA1">
        <w:rPr>
          <w:sz w:val="20"/>
          <w:szCs w:val="20"/>
          <w:lang w:val="es-ES"/>
        </w:rPr>
        <w:t>PS-MC-SEM-045-2020</w:t>
      </w:r>
      <w:r>
        <w:rPr>
          <w:sz w:val="20"/>
          <w:szCs w:val="20"/>
          <w:lang w:val="es-ES"/>
        </w:rPr>
        <w:t>.</w:t>
      </w:r>
      <w:r w:rsidRPr="00D45CA1">
        <w:rPr>
          <w:sz w:val="20"/>
          <w:szCs w:val="20"/>
          <w:lang w:val="es-ES"/>
        </w:rPr>
        <w:t xml:space="preserve"> </w:t>
      </w:r>
      <w:r w:rsidRPr="0008384A">
        <w:rPr>
          <w:sz w:val="20"/>
          <w:szCs w:val="20"/>
          <w:lang w:val="es-ES"/>
        </w:rPr>
        <w:t xml:space="preserve">Participación de Propósito General. Municipio de Puerto Leguízamo - Putumayo. Serie </w:t>
      </w:r>
      <w:r w:rsidRPr="0008384A">
        <w:rPr>
          <w:i/>
          <w:iCs/>
          <w:sz w:val="20"/>
          <w:szCs w:val="20"/>
          <w:lang w:val="es-ES"/>
        </w:rPr>
        <w:t>“Historial de Seguimiento y Control a los Recursos del Sistema General de Participaciones – Diagnóstico”</w:t>
      </w:r>
      <w:r w:rsidRPr="0008384A">
        <w:rPr>
          <w:sz w:val="20"/>
          <w:szCs w:val="20"/>
          <w:lang w:val="es-ES"/>
        </w:rPr>
        <w:t>. Expediente digital No. 17/2021/D028-PREDI.</w:t>
      </w:r>
      <w:r w:rsidR="009C3822" w:rsidRPr="009C3822">
        <w:rPr>
          <w:sz w:val="20"/>
          <w:szCs w:val="20"/>
          <w:lang w:val="es-ES"/>
        </w:rPr>
        <w:t xml:space="preserve"> </w:t>
      </w:r>
      <w:r w:rsidR="009C3822">
        <w:rPr>
          <w:sz w:val="20"/>
          <w:szCs w:val="20"/>
          <w:lang w:val="es-ES"/>
        </w:rPr>
        <w:t>Radicado</w:t>
      </w:r>
      <w:r w:rsidR="009C3822" w:rsidRPr="009C3822">
        <w:t xml:space="preserve"> </w:t>
      </w:r>
      <w:r w:rsidR="009C3822" w:rsidRPr="009C3822">
        <w:rPr>
          <w:sz w:val="20"/>
          <w:szCs w:val="20"/>
          <w:lang w:val="es-ES"/>
        </w:rPr>
        <w:t>1-2022-038415</w:t>
      </w:r>
      <w:r w:rsidR="009C3822">
        <w:rPr>
          <w:sz w:val="20"/>
          <w:szCs w:val="20"/>
          <w:lang w:val="es-ES"/>
        </w:rPr>
        <w:t xml:space="preserve"> del 18 de mayo de 2022.</w:t>
      </w:r>
      <w:r w:rsidR="00D0045C">
        <w:rPr>
          <w:sz w:val="20"/>
          <w:szCs w:val="20"/>
          <w:lang w:val="es-ES"/>
        </w:rPr>
        <w:t xml:space="preserve"> </w:t>
      </w:r>
      <w:hyperlink r:id="rId79" w:history="1">
        <w:r w:rsidR="00D0045C" w:rsidRPr="00EE1A7E">
          <w:rPr>
            <w:rStyle w:val="Hipervnculo"/>
            <w:sz w:val="20"/>
            <w:szCs w:val="20"/>
            <w:lang w:val="es-ES"/>
          </w:rPr>
          <w:t>https://bit.ly/3z5PjnZ</w:t>
        </w:r>
      </w:hyperlink>
    </w:p>
    <w:p w14:paraId="517F07C2" w14:textId="77777777" w:rsidR="00425D14" w:rsidRDefault="00425D14">
      <w:pPr>
        <w:spacing w:line="240" w:lineRule="auto"/>
        <w:contextualSpacing/>
      </w:pPr>
    </w:p>
    <w:p w14:paraId="11598495" w14:textId="77777777" w:rsidR="000C6BB7" w:rsidRDefault="007E0088">
      <w:pPr>
        <w:spacing w:line="240" w:lineRule="auto"/>
        <w:contextualSpacing/>
        <w:jc w:val="both"/>
        <w:rPr>
          <w:rFonts w:cs="Arial"/>
          <w:b/>
          <w:bCs/>
        </w:rPr>
      </w:pPr>
      <w:r>
        <w:rPr>
          <w:rFonts w:cs="Arial"/>
          <w:b/>
          <w:bCs/>
        </w:rPr>
        <w:t xml:space="preserve">Evento de Riesgo </w:t>
      </w:r>
      <w:r w:rsidR="000C6BB7">
        <w:rPr>
          <w:rFonts w:cs="Arial"/>
          <w:b/>
          <w:bCs/>
        </w:rPr>
        <w:t>9.5. “</w:t>
      </w:r>
      <w:r w:rsidR="000C6BB7" w:rsidRPr="00F4383B">
        <w:rPr>
          <w:rFonts w:cs="Arial"/>
          <w:b/>
          <w:bCs/>
          <w:i/>
          <w:iCs/>
        </w:rPr>
        <w:t>Administración de los recursos en cuentas no autorizadas para su manejo o no registradas ante el Ministerio del sector al que correspondan los recursos</w:t>
      </w:r>
      <w:r w:rsidR="000C6BB7">
        <w:rPr>
          <w:rFonts w:cs="Arial"/>
          <w:b/>
          <w:bCs/>
        </w:rPr>
        <w:t>”.</w:t>
      </w:r>
    </w:p>
    <w:p w14:paraId="32401036" w14:textId="77777777" w:rsidR="00EE774A" w:rsidRDefault="00EE774A">
      <w:pPr>
        <w:spacing w:line="240" w:lineRule="auto"/>
        <w:contextualSpacing/>
        <w:jc w:val="both"/>
        <w:rPr>
          <w:rFonts w:cs="Arial"/>
          <w:b/>
          <w:bCs/>
        </w:rPr>
      </w:pPr>
    </w:p>
    <w:p w14:paraId="5EBAB76A" w14:textId="77777777" w:rsidR="00C05A66" w:rsidRPr="00EB1589" w:rsidRDefault="00EB1589">
      <w:pPr>
        <w:pStyle w:val="Prrafodelista"/>
        <w:numPr>
          <w:ilvl w:val="0"/>
          <w:numId w:val="22"/>
        </w:numPr>
        <w:spacing w:line="240" w:lineRule="auto"/>
        <w:jc w:val="both"/>
        <w:rPr>
          <w:b/>
          <w:bCs/>
        </w:rPr>
      </w:pPr>
      <w:r w:rsidRPr="00EB1589">
        <w:rPr>
          <w:b/>
          <w:bCs/>
        </w:rPr>
        <w:t>No utilización de la Cuenta Maestra Pagadora</w:t>
      </w:r>
      <w:r w:rsidR="00EE774A">
        <w:rPr>
          <w:b/>
          <w:bCs/>
        </w:rPr>
        <w:t>.</w:t>
      </w:r>
    </w:p>
    <w:p w14:paraId="3C1B4882" w14:textId="77777777" w:rsidR="00EE774A" w:rsidRDefault="00EE774A">
      <w:pPr>
        <w:spacing w:after="0" w:line="240" w:lineRule="auto"/>
        <w:contextualSpacing/>
        <w:jc w:val="both"/>
        <w:textAlignment w:val="baseline"/>
        <w:rPr>
          <w:rFonts w:eastAsia="Times New Roman" w:cs="Arial"/>
          <w:lang w:val="es-ES" w:eastAsia="es-CO"/>
        </w:rPr>
      </w:pPr>
    </w:p>
    <w:p w14:paraId="7DB96563" w14:textId="77777777" w:rsidR="00B4752A" w:rsidRDefault="005E7F1D">
      <w:pPr>
        <w:spacing w:line="240" w:lineRule="auto"/>
        <w:contextualSpacing/>
        <w:jc w:val="both"/>
      </w:pPr>
      <w:r>
        <w:rPr>
          <w:rFonts w:eastAsia="Times New Roman" w:cs="Arial"/>
          <w:lang w:val="es-ES" w:eastAsia="es-CO"/>
        </w:rPr>
        <w:t>E</w:t>
      </w:r>
      <w:r w:rsidR="00B4752A">
        <w:rPr>
          <w:rFonts w:eastAsia="Times New Roman" w:cs="Arial"/>
          <w:color w:val="000000"/>
          <w:lang w:val="es-ES" w:eastAsia="es-CO"/>
        </w:rPr>
        <w:t xml:space="preserve">l artículo 140 de la Ley 1753 de 2015, ordenó a las entidades territoriales que la administración de los recursos del Sistema General de Participaciones se efectúe a través de Cuentas Maestras reglamentadas por cada ministerio que realiza el giro de estos recursos. Así las cosas, el Ministerio de Hacienda y Crédito Público, como el encargado de realizar los giros de los recursos de la Participación de Propósito General, las Asignaciones Especiales y la Asignación para la Atención Integral a la Primera Infancia, reglamentó dicho mecanismo mediante la Resolución </w:t>
      </w:r>
      <w:r w:rsidR="00EE774A">
        <w:rPr>
          <w:rFonts w:eastAsia="Times New Roman" w:cs="Arial"/>
          <w:color w:val="000000"/>
          <w:lang w:val="es-ES" w:eastAsia="es-CO"/>
        </w:rPr>
        <w:t xml:space="preserve">No. </w:t>
      </w:r>
      <w:r w:rsidR="00B4752A">
        <w:rPr>
          <w:rFonts w:eastAsia="Times New Roman" w:cs="Arial"/>
          <w:color w:val="000000"/>
          <w:lang w:val="es-ES" w:eastAsia="es-CO"/>
        </w:rPr>
        <w:t>4835 de 2015</w:t>
      </w:r>
      <w:r w:rsidR="000B4A1E">
        <w:rPr>
          <w:rFonts w:eastAsia="Times New Roman" w:cs="Arial"/>
          <w:color w:val="000000"/>
          <w:lang w:val="es-ES" w:eastAsia="es-CO"/>
        </w:rPr>
        <w:t>.</w:t>
      </w:r>
      <w:r w:rsidR="00B4752A">
        <w:t xml:space="preserve">Igualmente, la Resolución </w:t>
      </w:r>
      <w:r w:rsidR="00EE774A">
        <w:t xml:space="preserve">No. </w:t>
      </w:r>
      <w:r w:rsidR="007607F4">
        <w:t>0660 de 2018 estableció el instrumento de Cuenta Maestra Pagadora, como un instrumento para</w:t>
      </w:r>
      <w:r w:rsidR="00542558">
        <w:t xml:space="preserve"> “</w:t>
      </w:r>
      <w:r w:rsidR="00542558" w:rsidRPr="00FB27C3">
        <w:rPr>
          <w:i/>
          <w:iCs/>
        </w:rPr>
        <w:t xml:space="preserve">[…] la realización de operaciones por botón de pago electrónico </w:t>
      </w:r>
      <w:r w:rsidR="00450C03" w:rsidRPr="00FB27C3">
        <w:rPr>
          <w:i/>
          <w:iCs/>
        </w:rPr>
        <w:t>seguro en línea -</w:t>
      </w:r>
      <w:r w:rsidR="00542558" w:rsidRPr="00FB27C3">
        <w:rPr>
          <w:i/>
          <w:iCs/>
        </w:rPr>
        <w:t>PSE</w:t>
      </w:r>
      <w:r w:rsidR="0051613D" w:rsidRPr="00FB27C3">
        <w:rPr>
          <w:i/>
          <w:iCs/>
        </w:rPr>
        <w:t xml:space="preserve"> […]</w:t>
      </w:r>
      <w:r w:rsidR="0051613D">
        <w:t>” con cargo a los recursos del Sistema General de Participacione</w:t>
      </w:r>
      <w:r w:rsidR="0008724B">
        <w:t>s, razón por la cual en su artículo 3° estipuló:</w:t>
      </w:r>
    </w:p>
    <w:p w14:paraId="4C736FB7" w14:textId="77777777" w:rsidR="00EE774A" w:rsidRDefault="00EE774A">
      <w:pPr>
        <w:spacing w:line="240" w:lineRule="auto"/>
        <w:contextualSpacing/>
        <w:jc w:val="both"/>
      </w:pPr>
    </w:p>
    <w:p w14:paraId="039196ED" w14:textId="77777777" w:rsidR="0008724B" w:rsidRPr="00FB27C3" w:rsidRDefault="00EE774A">
      <w:pPr>
        <w:spacing w:line="240" w:lineRule="auto"/>
        <w:ind w:left="709"/>
        <w:contextualSpacing/>
        <w:jc w:val="both"/>
        <w:rPr>
          <w:i/>
          <w:iCs/>
          <w:sz w:val="18"/>
          <w:szCs w:val="18"/>
        </w:rPr>
      </w:pPr>
      <w:r w:rsidRPr="00FB27C3">
        <w:rPr>
          <w:b/>
          <w:bCs/>
          <w:sz w:val="18"/>
          <w:szCs w:val="18"/>
        </w:rPr>
        <w:t>“</w:t>
      </w:r>
      <w:r w:rsidR="00AB4EFB" w:rsidRPr="00FB27C3">
        <w:rPr>
          <w:b/>
          <w:bCs/>
          <w:i/>
          <w:iCs/>
          <w:sz w:val="18"/>
          <w:szCs w:val="18"/>
        </w:rPr>
        <w:t>Artículo 3. Apertura de las Cuentas Maestras Pagadoras</w:t>
      </w:r>
      <w:r w:rsidR="00AB4EFB" w:rsidRPr="00FB27C3">
        <w:rPr>
          <w:i/>
          <w:iCs/>
          <w:sz w:val="18"/>
          <w:szCs w:val="18"/>
        </w:rPr>
        <w:t xml:space="preserve">. Las entidades territoriales, sus entidades descentralizadas, los fondos de servicios educativos, los territorios indígenas certificados, los resguardos indígenas y las asociaciones que estos últimos conformen, según sea </w:t>
      </w:r>
      <w:r w:rsidR="00AB4EFB" w:rsidRPr="00FB27C3">
        <w:rPr>
          <w:i/>
          <w:iCs/>
          <w:sz w:val="18"/>
          <w:szCs w:val="18"/>
        </w:rPr>
        <w:lastRenderedPageBreak/>
        <w:t>el caso, deberán aperturar las Cuentas Maestras Pagadoras en el mismo establecimiento bancario donde se encuentran aperturadas las Cuentas Maestras, así:</w:t>
      </w:r>
    </w:p>
    <w:p w14:paraId="0357B49A" w14:textId="77777777" w:rsidR="00AB4EFB" w:rsidRPr="00FB27C3" w:rsidRDefault="00AB4EFB">
      <w:pPr>
        <w:spacing w:line="240" w:lineRule="auto"/>
        <w:ind w:left="709"/>
        <w:contextualSpacing/>
        <w:jc w:val="both"/>
        <w:rPr>
          <w:i/>
          <w:iCs/>
          <w:sz w:val="18"/>
          <w:szCs w:val="18"/>
        </w:rPr>
      </w:pPr>
      <w:r w:rsidRPr="00FB27C3">
        <w:rPr>
          <w:i/>
          <w:iCs/>
          <w:sz w:val="18"/>
          <w:szCs w:val="18"/>
        </w:rPr>
        <w:t>[…]</w:t>
      </w:r>
    </w:p>
    <w:p w14:paraId="56B83BC1" w14:textId="77777777" w:rsidR="00AB4EFB" w:rsidRPr="00FB27C3" w:rsidRDefault="008D3F03" w:rsidP="001729F6">
      <w:pPr>
        <w:pStyle w:val="Prrafodelista"/>
        <w:numPr>
          <w:ilvl w:val="0"/>
          <w:numId w:val="23"/>
        </w:numPr>
        <w:spacing w:line="240" w:lineRule="auto"/>
        <w:ind w:left="709" w:firstLine="0"/>
        <w:jc w:val="both"/>
        <w:rPr>
          <w:i/>
          <w:iCs/>
          <w:sz w:val="18"/>
          <w:szCs w:val="18"/>
        </w:rPr>
      </w:pPr>
      <w:r w:rsidRPr="00FB27C3">
        <w:rPr>
          <w:i/>
          <w:iCs/>
          <w:sz w:val="18"/>
          <w:szCs w:val="18"/>
        </w:rPr>
        <w:t>Una Cuenta Maestra Pagadora para la Cuenta Maestra donde se administre la Participación del Propósito General</w:t>
      </w:r>
      <w:r w:rsidR="00EE774A" w:rsidRPr="00FB27C3">
        <w:rPr>
          <w:sz w:val="18"/>
          <w:szCs w:val="18"/>
        </w:rPr>
        <w:t>”.</w:t>
      </w:r>
    </w:p>
    <w:p w14:paraId="74D943B6" w14:textId="77777777" w:rsidR="00EE774A" w:rsidRDefault="00EE774A">
      <w:pPr>
        <w:spacing w:line="240" w:lineRule="auto"/>
        <w:contextualSpacing/>
        <w:jc w:val="both"/>
      </w:pPr>
    </w:p>
    <w:p w14:paraId="4E078CD6" w14:textId="77777777" w:rsidR="00A10287" w:rsidRDefault="00A10287">
      <w:pPr>
        <w:spacing w:line="240" w:lineRule="auto"/>
        <w:contextualSpacing/>
        <w:jc w:val="both"/>
      </w:pPr>
      <w:r>
        <w:t xml:space="preserve">El </w:t>
      </w:r>
      <w:r w:rsidR="00EE774A">
        <w:t>M</w:t>
      </w:r>
      <w:r>
        <w:t>unicipio de Puerto Leguízamo – Putumayo no remitió la certificación de la</w:t>
      </w:r>
      <w:r w:rsidRPr="00B936A7">
        <w:t xml:space="preserve"> Cuenta Maestra Pagadora</w:t>
      </w:r>
      <w:r w:rsidR="008E45EB">
        <w:t>;</w:t>
      </w:r>
      <w:r>
        <w:t xml:space="preserve"> </w:t>
      </w:r>
      <w:r w:rsidR="00910929">
        <w:t xml:space="preserve">por lo cual, teniendo en cuenta que la </w:t>
      </w:r>
      <w:r w:rsidR="008E45EB">
        <w:t>E</w:t>
      </w:r>
      <w:r w:rsidR="00910929">
        <w:t xml:space="preserve">ntidad </w:t>
      </w:r>
      <w:r w:rsidR="008E45EB">
        <w:t>T</w:t>
      </w:r>
      <w:r w:rsidR="00910929">
        <w:t xml:space="preserve">erritorial fue sujeta a una </w:t>
      </w:r>
      <w:r w:rsidR="008E45EB">
        <w:t>M</w:t>
      </w:r>
      <w:r w:rsidR="00910929">
        <w:t xml:space="preserve">edida </w:t>
      </w:r>
      <w:r w:rsidR="008E45EB">
        <w:t>C</w:t>
      </w:r>
      <w:r w:rsidR="00910929">
        <w:t xml:space="preserve">orrectiva de </w:t>
      </w:r>
      <w:r w:rsidR="008E45EB">
        <w:t>S</w:t>
      </w:r>
      <w:r w:rsidR="00910929">
        <w:t xml:space="preserve">uspensión de </w:t>
      </w:r>
      <w:r w:rsidR="008E45EB">
        <w:t>G</w:t>
      </w:r>
      <w:r w:rsidR="00910929">
        <w:t xml:space="preserve">iros por el manejo inadecuado de las Cuentas Maestras en 2019, esta Dirección consultó el expediente de dicha </w:t>
      </w:r>
      <w:r w:rsidR="008E45EB">
        <w:t>M</w:t>
      </w:r>
      <w:r w:rsidR="00910929">
        <w:t xml:space="preserve">edida para verificar la información de la Cuenta Maestra Pagadora, la cual era uno de los requisitos para el levantamiento de la </w:t>
      </w:r>
      <w:r w:rsidR="008E45EB">
        <w:t>S</w:t>
      </w:r>
      <w:r w:rsidR="00910929">
        <w:t xml:space="preserve">uspensión de </w:t>
      </w:r>
      <w:r w:rsidR="008E45EB">
        <w:t>G</w:t>
      </w:r>
      <w:r w:rsidR="00910929">
        <w:t xml:space="preserve">iros. Allí se </w:t>
      </w:r>
      <w:r>
        <w:t xml:space="preserve">identificó una certificación del Banco BBVA </w:t>
      </w:r>
      <w:r w:rsidR="007B2F52">
        <w:t xml:space="preserve">de </w:t>
      </w:r>
      <w:r>
        <w:t xml:space="preserve">una cuenta No. </w:t>
      </w:r>
      <w:r w:rsidRPr="004A6FBF">
        <w:t>00130726000200352768</w:t>
      </w:r>
      <w:r>
        <w:t xml:space="preserve"> con fecha del 21 de enero de 2020</w:t>
      </w:r>
      <w:r w:rsidR="006D2A7A">
        <w:t xml:space="preserve">, enviada mediante el radicado No. </w:t>
      </w:r>
      <w:r w:rsidR="006D2A7A" w:rsidRPr="006D2A7A">
        <w:t>1-2020-011168 del 13 de febrero de 2020</w:t>
      </w:r>
      <w:r>
        <w:t xml:space="preserve">. Así mismo, esta Cuenta tiene asociado un convenio con la </w:t>
      </w:r>
      <w:r w:rsidR="008E45EB">
        <w:t>E</w:t>
      </w:r>
      <w:r>
        <w:t xml:space="preserve">ntidad </w:t>
      </w:r>
      <w:r w:rsidR="008E45EB">
        <w:t>B</w:t>
      </w:r>
      <w:r>
        <w:t>ancaria del mismo número, en donde se estipulan, entre otras, las operaciones débito y crédito autorizadas para este producto</w:t>
      </w:r>
      <w:r w:rsidR="0039540A">
        <w:t>,</w:t>
      </w:r>
      <w:r>
        <w:t xml:space="preserve"> en concordancia con el marco legal establecido por la Resolución </w:t>
      </w:r>
      <w:r w:rsidR="008E45EB">
        <w:t xml:space="preserve">No. </w:t>
      </w:r>
      <w:r>
        <w:t xml:space="preserve">0660 de 2018 para este tipo de productos financieros. Sin embargo, en el reporte de Cuentas Maestras consultado por esta Dirección se evidenció que </w:t>
      </w:r>
      <w:r w:rsidRPr="004663B5">
        <w:t xml:space="preserve">el </w:t>
      </w:r>
      <w:r w:rsidR="008E45EB">
        <w:t>M</w:t>
      </w:r>
      <w:r w:rsidRPr="004663B5">
        <w:t xml:space="preserve">unicipio </w:t>
      </w:r>
      <w:r>
        <w:t>reporta abiertas</w:t>
      </w:r>
      <w:r w:rsidRPr="004663B5">
        <w:t xml:space="preserve"> dos (2) Cuentas Maestras Pagadoras para la administración de los recursos de la Participación de Propósito General, siendo estas la cuenta No. 00130726000200352768 reportada por BBVA y la cuenta No. 220691173801 reportada por el Banco Popular</w:t>
      </w:r>
      <w:r>
        <w:t>.</w:t>
      </w:r>
    </w:p>
    <w:p w14:paraId="12B2C0FE" w14:textId="77777777" w:rsidR="008E45EB" w:rsidRDefault="008E45EB">
      <w:pPr>
        <w:spacing w:line="240" w:lineRule="auto"/>
        <w:contextualSpacing/>
        <w:jc w:val="both"/>
      </w:pPr>
    </w:p>
    <w:p w14:paraId="6EA27C2E" w14:textId="77777777" w:rsidR="001B12A4" w:rsidRDefault="00E658BB">
      <w:pPr>
        <w:spacing w:line="240" w:lineRule="auto"/>
        <w:contextualSpacing/>
        <w:jc w:val="both"/>
      </w:pPr>
      <w:r>
        <w:t>Al preguntar por este instrumento</w:t>
      </w:r>
      <w:r w:rsidR="000E6155">
        <w:t>,</w:t>
      </w:r>
      <w:r>
        <w:t xml:space="preserve"> en la Administración Municipal manifestaron que no utilizan la Cuenta Maestra Pagadora y demostraron desconocimiento de este instrumento Por esta razón</w:t>
      </w:r>
      <w:r w:rsidR="001B12A4">
        <w:t xml:space="preserve">, </w:t>
      </w:r>
      <w:r>
        <w:t>la</w:t>
      </w:r>
      <w:r w:rsidR="001B12A4" w:rsidRPr="004663B5">
        <w:t xml:space="preserve"> Cuenta Maestra Pagadora mencionada anteriormente</w:t>
      </w:r>
      <w:r>
        <w:t xml:space="preserve"> no</w:t>
      </w:r>
      <w:r w:rsidR="001B12A4" w:rsidRPr="004663B5">
        <w:t xml:space="preserve"> presenta movimientos.</w:t>
      </w:r>
      <w:r w:rsidR="001B12A4">
        <w:t xml:space="preserve"> Esto llama la atención teniendo en cuenta que </w:t>
      </w:r>
      <w:r w:rsidR="0039540A">
        <w:t xml:space="preserve">la Cuenta Maestra Pagadora </w:t>
      </w:r>
      <w:r w:rsidR="001B12A4">
        <w:t>es el instrumento financiero diseñado para realizar pagos por medio del</w:t>
      </w:r>
      <w:r w:rsidR="008E45EB">
        <w:t xml:space="preserve"> botón de</w:t>
      </w:r>
      <w:r w:rsidR="001B12A4">
        <w:t xml:space="preserve"> </w:t>
      </w:r>
      <w:r w:rsidR="008E45EB" w:rsidRPr="008E45EB">
        <w:t>Pagos Seguros en Línea</w:t>
      </w:r>
      <w:r w:rsidR="008E45EB" w:rsidRPr="008E45EB" w:rsidDel="008E45EB">
        <w:t xml:space="preserve"> </w:t>
      </w:r>
      <w:r w:rsidR="008E45EB">
        <w:t xml:space="preserve">- </w:t>
      </w:r>
      <w:r w:rsidR="001B12A4">
        <w:t>PSE</w:t>
      </w:r>
      <w:r w:rsidR="0039540A">
        <w:t>,</w:t>
      </w:r>
      <w:r w:rsidR="001B12A4">
        <w:t xml:space="preserve"> como </w:t>
      </w:r>
      <w:r w:rsidR="0039540A">
        <w:t xml:space="preserve">los </w:t>
      </w:r>
      <w:r w:rsidR="001B12A4">
        <w:t xml:space="preserve">aportes a la seguridad social y </w:t>
      </w:r>
      <w:r w:rsidR="0039540A">
        <w:t xml:space="preserve">el </w:t>
      </w:r>
      <w:r w:rsidR="001B12A4">
        <w:t>pago de retenciones de impuestos, entre otros.</w:t>
      </w:r>
      <w:r w:rsidR="00F22235">
        <w:t xml:space="preserve"> Adicionalmente, es importante tener en cuenta el hecho de que existen dos </w:t>
      </w:r>
      <w:r w:rsidR="00B6513B">
        <w:t>C</w:t>
      </w:r>
      <w:r w:rsidR="00F22235">
        <w:t xml:space="preserve">uentas </w:t>
      </w:r>
      <w:r w:rsidR="00B6513B">
        <w:t>M</w:t>
      </w:r>
      <w:r w:rsidR="00F22235">
        <w:t xml:space="preserve">aestras </w:t>
      </w:r>
      <w:r w:rsidR="00B6513B">
        <w:t>P</w:t>
      </w:r>
      <w:r w:rsidR="00F22235">
        <w:t xml:space="preserve">agadoras que </w:t>
      </w:r>
      <w:r w:rsidR="001435FA">
        <w:t>registran</w:t>
      </w:r>
      <w:r w:rsidR="00F22235">
        <w:t xml:space="preserve"> como tal</w:t>
      </w:r>
      <w:r w:rsidR="00D56032">
        <w:t xml:space="preserve"> y que pertenecen a dos entidades bancarias distintas</w:t>
      </w:r>
      <w:r w:rsidR="00F22235">
        <w:t xml:space="preserve">, lo cual es una inconsistencia frente al esquema de Cuentas Maestras establecido en el marco normativo que regula estos </w:t>
      </w:r>
      <w:r w:rsidR="001435FA">
        <w:t>instrumentos</w:t>
      </w:r>
      <w:r w:rsidR="00F22235">
        <w:t>.</w:t>
      </w:r>
    </w:p>
    <w:p w14:paraId="6A82DB7B" w14:textId="77777777" w:rsidR="00595A36" w:rsidRPr="00B569FA" w:rsidRDefault="007432D2">
      <w:pPr>
        <w:pStyle w:val="paragraph"/>
        <w:spacing w:before="0" w:beforeAutospacing="0" w:after="0" w:afterAutospacing="0"/>
        <w:contextualSpacing/>
        <w:jc w:val="both"/>
        <w:textAlignment w:val="baseline"/>
        <w:rPr>
          <w:rStyle w:val="normaltextrun"/>
          <w:rFonts w:ascii="Arial" w:eastAsiaTheme="minorHAnsi" w:hAnsi="Arial" w:cs="Arial"/>
          <w:b/>
          <w:bCs/>
          <w:color w:val="000000"/>
          <w:sz w:val="20"/>
          <w:szCs w:val="20"/>
          <w:shd w:val="clear" w:color="auto" w:fill="FFFFFF"/>
          <w:lang w:val="es-ES" w:eastAsia="en-US"/>
        </w:rPr>
      </w:pPr>
      <w:r w:rsidRPr="00B569FA">
        <w:rPr>
          <w:rFonts w:ascii="Arial" w:hAnsi="Arial" w:cs="Arial"/>
          <w:sz w:val="22"/>
          <w:szCs w:val="22"/>
        </w:rPr>
        <w:t xml:space="preserve">La situación anterior incumple lo establecido en la Resolución </w:t>
      </w:r>
      <w:r w:rsidR="003D7A4B" w:rsidRPr="00B569FA">
        <w:rPr>
          <w:rFonts w:ascii="Arial" w:hAnsi="Arial" w:cs="Arial"/>
          <w:sz w:val="22"/>
          <w:szCs w:val="22"/>
        </w:rPr>
        <w:t xml:space="preserve">No. </w:t>
      </w:r>
      <w:r w:rsidRPr="00B569FA">
        <w:rPr>
          <w:rFonts w:ascii="Arial" w:hAnsi="Arial" w:cs="Arial"/>
          <w:sz w:val="22"/>
          <w:szCs w:val="22"/>
        </w:rPr>
        <w:t>0660 de 2018 en su artículo 3° en materia de la existencia y utilización de una única Cuenta Maestra Pagadora como complementaria a la Cuenta Maestra de Propósito General.</w:t>
      </w:r>
    </w:p>
    <w:p w14:paraId="392AF7BE" w14:textId="77777777" w:rsidR="00595A36" w:rsidRDefault="00595A36">
      <w:pPr>
        <w:pStyle w:val="paragraph"/>
        <w:spacing w:before="0" w:beforeAutospacing="0" w:after="0" w:afterAutospacing="0"/>
        <w:contextualSpacing/>
        <w:jc w:val="both"/>
        <w:textAlignment w:val="baseline"/>
        <w:rPr>
          <w:rStyle w:val="normaltextrun"/>
          <w:rFonts w:ascii="Arial" w:eastAsiaTheme="minorHAnsi" w:hAnsi="Arial" w:cs="Arial"/>
          <w:b/>
          <w:bCs/>
          <w:color w:val="000000"/>
          <w:sz w:val="22"/>
          <w:szCs w:val="22"/>
          <w:shd w:val="clear" w:color="auto" w:fill="FFFFFF"/>
          <w:lang w:val="es-ES" w:eastAsia="en-US"/>
        </w:rPr>
      </w:pPr>
    </w:p>
    <w:p w14:paraId="406F09BE" w14:textId="77777777" w:rsidR="004D6DE7" w:rsidRDefault="004D6DE7">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DF2058">
        <w:rPr>
          <w:rStyle w:val="normaltextrun"/>
          <w:rFonts w:ascii="Arial" w:eastAsiaTheme="minorHAnsi" w:hAnsi="Arial" w:cs="Arial"/>
          <w:b/>
          <w:bCs/>
          <w:color w:val="000000"/>
          <w:sz w:val="22"/>
          <w:szCs w:val="22"/>
          <w:shd w:val="clear" w:color="auto" w:fill="FFFFFF"/>
          <w:lang w:val="es-ES" w:eastAsia="en-US"/>
        </w:rPr>
        <w:t>Evidencias</w:t>
      </w:r>
      <w:r w:rsidRPr="00DF2058">
        <w:rPr>
          <w:rStyle w:val="normaltextrun"/>
          <w:rFonts w:ascii="Arial" w:eastAsiaTheme="minorHAnsi" w:hAnsi="Arial" w:cs="Arial"/>
          <w:color w:val="000000"/>
          <w:sz w:val="22"/>
          <w:szCs w:val="22"/>
          <w:shd w:val="clear" w:color="auto" w:fill="FFFFFF"/>
          <w:lang w:val="es-ES" w:eastAsia="en-US"/>
        </w:rPr>
        <w:t xml:space="preserve">: los documentos </w:t>
      </w:r>
      <w:r w:rsidR="0039540A">
        <w:rPr>
          <w:rStyle w:val="normaltextrun"/>
          <w:rFonts w:ascii="Arial" w:eastAsiaTheme="minorHAnsi" w:hAnsi="Arial" w:cs="Arial"/>
          <w:color w:val="000000"/>
          <w:sz w:val="22"/>
          <w:szCs w:val="22"/>
          <w:shd w:val="clear" w:color="auto" w:fill="FFFFFF"/>
          <w:lang w:val="es-ES" w:eastAsia="en-US"/>
        </w:rPr>
        <w:t xml:space="preserve">probatorios </w:t>
      </w:r>
      <w:r w:rsidRPr="00DF2058">
        <w:rPr>
          <w:rStyle w:val="normaltextrun"/>
          <w:rFonts w:ascii="Arial" w:eastAsiaTheme="minorHAnsi" w:hAnsi="Arial" w:cs="Arial"/>
          <w:color w:val="000000"/>
          <w:sz w:val="22"/>
          <w:szCs w:val="22"/>
          <w:shd w:val="clear" w:color="auto" w:fill="FFFFFF"/>
          <w:lang w:val="es-ES" w:eastAsia="en-US"/>
        </w:rPr>
        <w:t>obran en el expediente digital en el Sistema Electrónico Documental SIED del Ministerio de Hacienda y Crédito Público No. 17/2021/D028-PREDI</w:t>
      </w:r>
      <w:r w:rsidR="0039540A">
        <w:rPr>
          <w:rStyle w:val="normaltextrun"/>
          <w:rFonts w:ascii="Arial" w:eastAsiaTheme="minorHAnsi" w:hAnsi="Arial" w:cs="Arial"/>
          <w:color w:val="000000"/>
          <w:sz w:val="22"/>
          <w:szCs w:val="22"/>
          <w:shd w:val="clear" w:color="auto" w:fill="FFFFFF"/>
          <w:lang w:val="es-ES" w:eastAsia="en-US"/>
        </w:rPr>
        <w:t>, así</w:t>
      </w:r>
      <w:r w:rsidRPr="00DF2058">
        <w:rPr>
          <w:rStyle w:val="normaltextrun"/>
          <w:rFonts w:ascii="Arial" w:eastAsiaTheme="minorHAnsi" w:hAnsi="Arial" w:cs="Arial"/>
          <w:color w:val="000000"/>
          <w:sz w:val="22"/>
          <w:szCs w:val="22"/>
          <w:shd w:val="clear" w:color="auto" w:fill="FFFFFF"/>
          <w:lang w:val="es-ES" w:eastAsia="en-US"/>
        </w:rPr>
        <w:t>:</w:t>
      </w:r>
    </w:p>
    <w:p w14:paraId="7ED59011" w14:textId="77777777" w:rsidR="008752CC" w:rsidRDefault="008752CC">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p>
    <w:p w14:paraId="6204D868" w14:textId="77777777" w:rsidR="008752CC" w:rsidRDefault="008752CC">
      <w:pPr>
        <w:pStyle w:val="Prrafodelista"/>
        <w:numPr>
          <w:ilvl w:val="0"/>
          <w:numId w:val="27"/>
        </w:numPr>
        <w:spacing w:line="240" w:lineRule="auto"/>
        <w:jc w:val="both"/>
        <w:rPr>
          <w:sz w:val="20"/>
          <w:szCs w:val="20"/>
          <w:lang w:val="es-ES"/>
        </w:rPr>
      </w:pPr>
      <w:r w:rsidRPr="008752CC">
        <w:rPr>
          <w:sz w:val="20"/>
          <w:szCs w:val="20"/>
          <w:lang w:val="es-ES"/>
        </w:rPr>
        <w:t>CONSOLIDADO_CM_PG_PUERTO_LEGUIZAMO_PUTUMAYO_ABR_2021</w:t>
      </w:r>
      <w:r>
        <w:rPr>
          <w:sz w:val="20"/>
          <w:szCs w:val="20"/>
          <w:lang w:val="es-ES"/>
        </w:rPr>
        <w:t>. P</w:t>
      </w:r>
      <w:r w:rsidRPr="00BC07AE">
        <w:rPr>
          <w:sz w:val="20"/>
          <w:szCs w:val="20"/>
          <w:lang w:val="es-ES"/>
        </w:rPr>
        <w:t>articipación de Propósito General. Municipio de Puerto Leguízamo - Putumayo. Serie “Historial de Seguimiento y Control a los Recursos del Sistema General de Participaciones – Diagnóstico”. Expediente digital No. 17/2021/D028-PREDI.</w:t>
      </w:r>
      <w:r w:rsidRPr="008752CC">
        <w:t xml:space="preserve"> </w:t>
      </w:r>
      <w:hyperlink r:id="rId80" w:history="1">
        <w:r w:rsidRPr="00002BCD">
          <w:rPr>
            <w:rStyle w:val="Hipervnculo"/>
            <w:sz w:val="20"/>
            <w:szCs w:val="20"/>
            <w:lang w:val="es-ES"/>
          </w:rPr>
          <w:t>https://bit.ly/3pCtN5a</w:t>
        </w:r>
      </w:hyperlink>
      <w:r>
        <w:rPr>
          <w:sz w:val="20"/>
          <w:szCs w:val="20"/>
          <w:lang w:val="es-ES"/>
        </w:rPr>
        <w:t xml:space="preserve"> </w:t>
      </w:r>
    </w:p>
    <w:p w14:paraId="6EEEEDE9" w14:textId="77777777" w:rsidR="00C06E5D" w:rsidRDefault="00F15150">
      <w:pPr>
        <w:pStyle w:val="Prrafodelista"/>
        <w:numPr>
          <w:ilvl w:val="0"/>
          <w:numId w:val="27"/>
        </w:numPr>
        <w:spacing w:line="240" w:lineRule="auto"/>
        <w:jc w:val="both"/>
        <w:rPr>
          <w:sz w:val="20"/>
          <w:szCs w:val="20"/>
          <w:lang w:val="es-ES"/>
        </w:rPr>
      </w:pPr>
      <w:r w:rsidRPr="00C06E5D">
        <w:rPr>
          <w:sz w:val="20"/>
          <w:szCs w:val="20"/>
          <w:lang w:val="es-ES"/>
        </w:rPr>
        <w:t xml:space="preserve">Certificación </w:t>
      </w:r>
      <w:r>
        <w:rPr>
          <w:sz w:val="20"/>
          <w:szCs w:val="20"/>
          <w:lang w:val="es-ES"/>
        </w:rPr>
        <w:t>C</w:t>
      </w:r>
      <w:r w:rsidRPr="00C06E5D">
        <w:rPr>
          <w:sz w:val="20"/>
          <w:szCs w:val="20"/>
          <w:lang w:val="es-ES"/>
        </w:rPr>
        <w:t xml:space="preserve">uenta </w:t>
      </w:r>
      <w:r>
        <w:rPr>
          <w:sz w:val="20"/>
          <w:szCs w:val="20"/>
          <w:lang w:val="es-ES"/>
        </w:rPr>
        <w:t>P</w:t>
      </w:r>
      <w:r w:rsidRPr="00C06E5D">
        <w:rPr>
          <w:sz w:val="20"/>
          <w:szCs w:val="20"/>
          <w:lang w:val="es-ES"/>
        </w:rPr>
        <w:t xml:space="preserve">agadora </w:t>
      </w:r>
      <w:r>
        <w:rPr>
          <w:sz w:val="20"/>
          <w:szCs w:val="20"/>
          <w:lang w:val="es-ES"/>
        </w:rPr>
        <w:t>L</w:t>
      </w:r>
      <w:r w:rsidRPr="00C06E5D">
        <w:rPr>
          <w:sz w:val="20"/>
          <w:szCs w:val="20"/>
          <w:lang w:val="es-ES"/>
        </w:rPr>
        <w:t>eguizamo</w:t>
      </w:r>
      <w:r w:rsidR="00C06E5D">
        <w:rPr>
          <w:sz w:val="20"/>
          <w:szCs w:val="20"/>
          <w:lang w:val="es-ES"/>
        </w:rPr>
        <w:t>. P</w:t>
      </w:r>
      <w:r w:rsidR="00C06E5D" w:rsidRPr="00BC07AE">
        <w:rPr>
          <w:sz w:val="20"/>
          <w:szCs w:val="20"/>
          <w:lang w:val="es-ES"/>
        </w:rPr>
        <w:t xml:space="preserve">articipación de Propósito General. Municipio de Puerto Leguízamo - Putumayo. Serie “Historial de Seguimiento y Control a los Recursos del Sistema General de Participaciones – Diagnóstico”. Expediente digital </w:t>
      </w:r>
      <w:r w:rsidR="00C06E5D" w:rsidRPr="00BC07AE">
        <w:rPr>
          <w:sz w:val="20"/>
          <w:szCs w:val="20"/>
          <w:lang w:val="es-ES"/>
        </w:rPr>
        <w:lastRenderedPageBreak/>
        <w:t>No. 17/2021/D028-PREDI.</w:t>
      </w:r>
      <w:r w:rsidR="00C06E5D">
        <w:rPr>
          <w:sz w:val="20"/>
          <w:szCs w:val="20"/>
          <w:lang w:val="es-ES"/>
        </w:rPr>
        <w:t xml:space="preserve"> Radicado </w:t>
      </w:r>
      <w:r w:rsidR="00C06E5D" w:rsidRPr="00C06E5D">
        <w:rPr>
          <w:sz w:val="20"/>
          <w:szCs w:val="20"/>
          <w:lang w:val="es-ES"/>
        </w:rPr>
        <w:t>1-2020-011168</w:t>
      </w:r>
      <w:r w:rsidR="00C06E5D">
        <w:rPr>
          <w:sz w:val="20"/>
          <w:szCs w:val="20"/>
          <w:lang w:val="es-ES"/>
        </w:rPr>
        <w:t xml:space="preserve"> del 13 de febrero de 2020. </w:t>
      </w:r>
      <w:hyperlink r:id="rId81" w:history="1">
        <w:r w:rsidR="000941C3" w:rsidRPr="00EE7AB1">
          <w:rPr>
            <w:rStyle w:val="Hipervnculo"/>
            <w:sz w:val="20"/>
            <w:szCs w:val="20"/>
            <w:lang w:val="es-ES"/>
          </w:rPr>
          <w:t>https://bit.ly/3vJR2eS</w:t>
        </w:r>
      </w:hyperlink>
    </w:p>
    <w:p w14:paraId="5F2A0592" w14:textId="77777777" w:rsidR="00CC3439" w:rsidRDefault="000941C3">
      <w:pPr>
        <w:pStyle w:val="Prrafodelista"/>
        <w:numPr>
          <w:ilvl w:val="0"/>
          <w:numId w:val="27"/>
        </w:numPr>
        <w:spacing w:line="240" w:lineRule="auto"/>
        <w:jc w:val="both"/>
        <w:rPr>
          <w:rStyle w:val="Hipervnculo"/>
          <w:sz w:val="20"/>
          <w:szCs w:val="20"/>
          <w:lang w:val="es-ES"/>
        </w:rPr>
      </w:pPr>
      <w:r w:rsidRPr="00335A3D">
        <w:rPr>
          <w:sz w:val="20"/>
          <w:szCs w:val="20"/>
          <w:lang w:val="es-ES"/>
        </w:rPr>
        <w:t xml:space="preserve">Acta de reconocimiento institucional. Participación de Propósito General. Municipio de Puerto Leguízamo - Putumayo. Serie “Historial de Seguimiento y Control a los Recursos del Sistema General de Participaciones – Diagnóstico”. Expediente digital No. 17/2021/D028-PREDI. </w:t>
      </w:r>
      <w:hyperlink r:id="rId82" w:history="1">
        <w:r w:rsidR="00CC3439" w:rsidRPr="00335A3D">
          <w:rPr>
            <w:rStyle w:val="Hipervnculo"/>
            <w:sz w:val="20"/>
            <w:szCs w:val="20"/>
            <w:lang w:val="es-ES"/>
          </w:rPr>
          <w:t>https://bit.ly/3ncBYDC</w:t>
        </w:r>
      </w:hyperlink>
    </w:p>
    <w:p w14:paraId="6A248AAD" w14:textId="77777777" w:rsidR="00D026A8" w:rsidRPr="00335A3D" w:rsidRDefault="00D026A8">
      <w:pPr>
        <w:pStyle w:val="Prrafodelista"/>
        <w:spacing w:line="240" w:lineRule="auto"/>
        <w:jc w:val="both"/>
        <w:rPr>
          <w:sz w:val="20"/>
          <w:szCs w:val="20"/>
          <w:lang w:val="es-ES"/>
        </w:rPr>
      </w:pPr>
    </w:p>
    <w:p w14:paraId="16E90A7B" w14:textId="77777777" w:rsidR="00F06C70" w:rsidRDefault="00F06C70" w:rsidP="001729F6">
      <w:pPr>
        <w:pStyle w:val="Prrafodelista"/>
        <w:numPr>
          <w:ilvl w:val="0"/>
          <w:numId w:val="22"/>
        </w:numPr>
        <w:spacing w:line="240" w:lineRule="auto"/>
        <w:ind w:left="0" w:firstLine="0"/>
        <w:jc w:val="both"/>
      </w:pPr>
      <w:r>
        <w:rPr>
          <w:b/>
          <w:bCs/>
        </w:rPr>
        <w:t xml:space="preserve">Inexistencia de una Cuenta de Manejo de Garantías </w:t>
      </w:r>
      <w:r w:rsidR="003F5B57">
        <w:rPr>
          <w:b/>
          <w:bCs/>
        </w:rPr>
        <w:t>para cubrir el servicio de la deuda</w:t>
      </w:r>
      <w:r w:rsidR="003D7A4B">
        <w:rPr>
          <w:b/>
          <w:bCs/>
        </w:rPr>
        <w:t>.</w:t>
      </w:r>
    </w:p>
    <w:p w14:paraId="0543DF4A" w14:textId="77777777" w:rsidR="00595A36" w:rsidRDefault="00595A36">
      <w:pPr>
        <w:spacing w:line="240" w:lineRule="auto"/>
        <w:contextualSpacing/>
        <w:jc w:val="both"/>
        <w:rPr>
          <w:color w:val="000000"/>
        </w:rPr>
      </w:pPr>
    </w:p>
    <w:p w14:paraId="17D9BBC1" w14:textId="77777777" w:rsidR="00E32CF1" w:rsidRDefault="0039540A">
      <w:pPr>
        <w:spacing w:line="240" w:lineRule="auto"/>
        <w:contextualSpacing/>
        <w:jc w:val="both"/>
        <w:rPr>
          <w:color w:val="000000"/>
        </w:rPr>
      </w:pPr>
      <w:r>
        <w:rPr>
          <w:color w:val="000000"/>
        </w:rPr>
        <w:t>E</w:t>
      </w:r>
      <w:r w:rsidR="00E32CF1">
        <w:rPr>
          <w:color w:val="000000"/>
        </w:rPr>
        <w:t xml:space="preserve">l artículo 12 de la Resolución </w:t>
      </w:r>
      <w:r w:rsidR="003D7A4B">
        <w:rPr>
          <w:color w:val="000000"/>
        </w:rPr>
        <w:t xml:space="preserve">No. </w:t>
      </w:r>
      <w:r w:rsidR="00E32CF1">
        <w:rPr>
          <w:color w:val="000000"/>
        </w:rPr>
        <w:t>0660 de 2018 estableció la Cuenta de Manejo de Garantías</w:t>
      </w:r>
      <w:r>
        <w:rPr>
          <w:color w:val="000000"/>
        </w:rPr>
        <w:t>,</w:t>
      </w:r>
      <w:r w:rsidR="00DE24F6">
        <w:rPr>
          <w:color w:val="000000"/>
        </w:rPr>
        <w:t xml:space="preserve"> la cual</w:t>
      </w:r>
      <w:r w:rsidR="00E32CF1">
        <w:rPr>
          <w:color w:val="000000"/>
        </w:rPr>
        <w:t xml:space="preserve"> se entiende como:</w:t>
      </w:r>
    </w:p>
    <w:p w14:paraId="1704927D" w14:textId="77777777" w:rsidR="003D7A4B" w:rsidRDefault="003D7A4B">
      <w:pPr>
        <w:spacing w:line="240" w:lineRule="auto"/>
        <w:contextualSpacing/>
        <w:jc w:val="both"/>
        <w:rPr>
          <w:color w:val="000000"/>
        </w:rPr>
      </w:pPr>
    </w:p>
    <w:p w14:paraId="257481CE" w14:textId="77777777" w:rsidR="00E32CF1" w:rsidRPr="00E32CF1" w:rsidRDefault="003D7A4B">
      <w:pPr>
        <w:spacing w:line="240" w:lineRule="auto"/>
        <w:ind w:left="709"/>
        <w:contextualSpacing/>
        <w:jc w:val="both"/>
        <w:rPr>
          <w:i/>
          <w:iCs/>
          <w:color w:val="000000"/>
          <w:sz w:val="20"/>
          <w:szCs w:val="20"/>
        </w:rPr>
      </w:pPr>
      <w:r w:rsidRPr="00FB27C3">
        <w:rPr>
          <w:color w:val="000000"/>
          <w:sz w:val="18"/>
          <w:szCs w:val="18"/>
        </w:rPr>
        <w:t>“</w:t>
      </w:r>
      <w:r w:rsidR="00E32CF1" w:rsidRPr="00FB27C3">
        <w:rPr>
          <w:i/>
          <w:iCs/>
          <w:color w:val="000000"/>
          <w:sz w:val="18"/>
          <w:szCs w:val="18"/>
        </w:rPr>
        <w:t>ARTÍCULO 12. DEFINICIÓN DE LAS CUENTAS DE MANEJO DE GARANTÍAS. Para los efectos de la presente Resolución se entiende por Cuenta de Manejo de Garantías aquella cuenta que se apertura, para honrar el servicio de la deuda, en el establecimiento bancario con el cual se haya suscrito un empréstito y cuya fuente de pago sean los recursos de las participaciones de Agua Potable y Saneamiento Básico y Propósito General del Sistema General de Participaciones</w:t>
      </w:r>
      <w:r w:rsidRPr="00FB27C3">
        <w:rPr>
          <w:color w:val="000000"/>
          <w:sz w:val="18"/>
          <w:szCs w:val="18"/>
        </w:rPr>
        <w:t>”.</w:t>
      </w:r>
    </w:p>
    <w:p w14:paraId="01A47EC0" w14:textId="77777777" w:rsidR="003D7A4B" w:rsidRDefault="003D7A4B">
      <w:pPr>
        <w:spacing w:line="240" w:lineRule="auto"/>
        <w:contextualSpacing/>
        <w:jc w:val="both"/>
        <w:rPr>
          <w:color w:val="000000"/>
        </w:rPr>
      </w:pPr>
    </w:p>
    <w:p w14:paraId="1E9F4718" w14:textId="77777777" w:rsidR="00E32CF1" w:rsidRDefault="00E32CF1">
      <w:pPr>
        <w:spacing w:line="240" w:lineRule="auto"/>
        <w:contextualSpacing/>
        <w:jc w:val="both"/>
        <w:rPr>
          <w:color w:val="000000"/>
        </w:rPr>
      </w:pPr>
      <w:r w:rsidRPr="008129EC">
        <w:rPr>
          <w:color w:val="000000"/>
        </w:rPr>
        <w:t xml:space="preserve">Para lo anterior y como bien lo </w:t>
      </w:r>
      <w:r w:rsidR="00FC6A87">
        <w:rPr>
          <w:color w:val="000000"/>
        </w:rPr>
        <w:t>determina</w:t>
      </w:r>
      <w:r w:rsidR="00FC6A87" w:rsidRPr="008129EC">
        <w:rPr>
          <w:color w:val="000000"/>
        </w:rPr>
        <w:t xml:space="preserve"> </w:t>
      </w:r>
      <w:r w:rsidRPr="008129EC">
        <w:rPr>
          <w:color w:val="000000"/>
        </w:rPr>
        <w:t xml:space="preserve">el artículo 13 de la Resolución </w:t>
      </w:r>
      <w:r w:rsidR="00FC6A87">
        <w:rPr>
          <w:color w:val="000000"/>
        </w:rPr>
        <w:t xml:space="preserve">No. </w:t>
      </w:r>
      <w:r w:rsidRPr="008129EC">
        <w:rPr>
          <w:color w:val="000000"/>
        </w:rPr>
        <w:t>0660 de 2018:</w:t>
      </w:r>
    </w:p>
    <w:p w14:paraId="5F77382A" w14:textId="77777777" w:rsidR="003D7A4B" w:rsidRPr="008129EC" w:rsidRDefault="003D7A4B">
      <w:pPr>
        <w:spacing w:line="240" w:lineRule="auto"/>
        <w:contextualSpacing/>
        <w:jc w:val="both"/>
        <w:rPr>
          <w:color w:val="000000"/>
        </w:rPr>
      </w:pPr>
    </w:p>
    <w:p w14:paraId="7BB27D6E" w14:textId="77777777" w:rsidR="00E32CF1" w:rsidRPr="00FB27C3" w:rsidRDefault="00E32CF1">
      <w:pPr>
        <w:spacing w:line="240" w:lineRule="auto"/>
        <w:ind w:left="709"/>
        <w:contextualSpacing/>
        <w:jc w:val="both"/>
        <w:rPr>
          <w:i/>
          <w:iCs/>
          <w:color w:val="000000"/>
          <w:sz w:val="18"/>
          <w:szCs w:val="18"/>
        </w:rPr>
      </w:pPr>
      <w:r w:rsidRPr="00FB27C3">
        <w:rPr>
          <w:i/>
          <w:iCs/>
          <w:color w:val="000000"/>
          <w:sz w:val="18"/>
          <w:szCs w:val="18"/>
        </w:rPr>
        <w:t xml:space="preserve">“Una vez aperturada la Cuenta de Manejo de Garantías se inscribirá como beneficiaria de la Cuenta Maestra para transferir los recursos necesarios para honrar el servicio de la deuda.” </w:t>
      </w:r>
    </w:p>
    <w:p w14:paraId="0982E923" w14:textId="77777777" w:rsidR="00FC6A87" w:rsidRDefault="00FC6A87">
      <w:pPr>
        <w:spacing w:line="240" w:lineRule="auto"/>
        <w:contextualSpacing/>
        <w:jc w:val="both"/>
        <w:rPr>
          <w:color w:val="000000"/>
        </w:rPr>
      </w:pPr>
    </w:p>
    <w:p w14:paraId="7E36A712" w14:textId="77777777" w:rsidR="003F5B57" w:rsidRDefault="003F5B57">
      <w:pPr>
        <w:spacing w:line="240" w:lineRule="auto"/>
        <w:contextualSpacing/>
        <w:jc w:val="both"/>
        <w:rPr>
          <w:color w:val="000000"/>
        </w:rPr>
      </w:pPr>
      <w:r>
        <w:rPr>
          <w:color w:val="000000"/>
        </w:rPr>
        <w:t xml:space="preserve">Así mismo, en la información discriminada de egresos </w:t>
      </w:r>
      <w:r w:rsidR="005307DC">
        <w:rPr>
          <w:color w:val="000000"/>
        </w:rPr>
        <w:t xml:space="preserve">obtenida del </w:t>
      </w:r>
      <w:r w:rsidR="005307DC" w:rsidRPr="00B936A7">
        <w:t xml:space="preserve">reporte de información sobre Cuentas Maestras que realizan las entidades bancarias en el </w:t>
      </w:r>
      <w:r w:rsidR="00FC6A87">
        <w:t>S</w:t>
      </w:r>
      <w:r w:rsidR="005307DC" w:rsidRPr="00B936A7">
        <w:t xml:space="preserve">istema PISIS </w:t>
      </w:r>
      <w:r>
        <w:rPr>
          <w:color w:val="000000"/>
        </w:rPr>
        <w:t>se evidencian dos (2) traslados a nombre de “</w:t>
      </w:r>
      <w:r>
        <w:rPr>
          <w:i/>
          <w:iCs/>
          <w:color w:val="000000"/>
        </w:rPr>
        <w:t>BANCO_POPULAR</w:t>
      </w:r>
      <w:r>
        <w:rPr>
          <w:color w:val="000000"/>
        </w:rPr>
        <w:t>” por un valor total de $8.290.022</w:t>
      </w:r>
      <w:r w:rsidR="0039540A">
        <w:rPr>
          <w:color w:val="000000"/>
        </w:rPr>
        <w:t>,</w:t>
      </w:r>
      <w:r>
        <w:rPr>
          <w:color w:val="000000"/>
        </w:rPr>
        <w:t xml:space="preserve"> los cuales representan pagos de un crédito con cargo a los recursos del Sistema General de Participaciones con el Banco Popular. </w:t>
      </w:r>
      <w:r w:rsidR="003C2A4D" w:rsidRPr="00B43146">
        <w:rPr>
          <w:rFonts w:cs="Arial"/>
          <w:color w:val="000000"/>
        </w:rPr>
        <w:t xml:space="preserve">Esta situación fue reconocida por la Administración Municipal en el reconocimiento documental virtual, debido a que aseguraron que no tenían conocimiento de la necesidad de esta cuenta de manejo de garantías, por lo cual no la utilizaban. </w:t>
      </w:r>
      <w:r>
        <w:rPr>
          <w:color w:val="000000"/>
        </w:rPr>
        <w:t>C</w:t>
      </w:r>
      <w:r w:rsidRPr="008129EC">
        <w:rPr>
          <w:color w:val="000000"/>
        </w:rPr>
        <w:t>abe recorda</w:t>
      </w:r>
      <w:r>
        <w:rPr>
          <w:color w:val="000000"/>
        </w:rPr>
        <w:t>r</w:t>
      </w:r>
      <w:r w:rsidRPr="008129EC">
        <w:rPr>
          <w:color w:val="000000"/>
        </w:rPr>
        <w:t xml:space="preserve"> que las </w:t>
      </w:r>
      <w:r>
        <w:rPr>
          <w:color w:val="000000"/>
        </w:rPr>
        <w:t>e</w:t>
      </w:r>
      <w:r w:rsidRPr="008129EC">
        <w:rPr>
          <w:color w:val="000000"/>
        </w:rPr>
        <w:t xml:space="preserve">ntidades </w:t>
      </w:r>
      <w:r>
        <w:rPr>
          <w:color w:val="000000"/>
        </w:rPr>
        <w:t>t</w:t>
      </w:r>
      <w:r w:rsidRPr="008129EC">
        <w:rPr>
          <w:color w:val="000000"/>
        </w:rPr>
        <w:t>erritoriales solo pueden realizar este tipo de traslados para honrar el servicio de la deuda con los cuales se haya suscrito un empréstito</w:t>
      </w:r>
      <w:r>
        <w:rPr>
          <w:color w:val="000000"/>
        </w:rPr>
        <w:t>.</w:t>
      </w:r>
    </w:p>
    <w:p w14:paraId="11B4690F" w14:textId="77777777" w:rsidR="00FC6A87" w:rsidRDefault="00FC6A87">
      <w:pPr>
        <w:spacing w:line="240" w:lineRule="auto"/>
        <w:contextualSpacing/>
        <w:jc w:val="both"/>
        <w:rPr>
          <w:color w:val="000000"/>
        </w:rPr>
      </w:pPr>
    </w:p>
    <w:p w14:paraId="512F2051" w14:textId="77777777" w:rsidR="003F5B57" w:rsidRDefault="003F5B57">
      <w:pPr>
        <w:spacing w:after="0" w:line="240" w:lineRule="auto"/>
        <w:contextualSpacing/>
        <w:jc w:val="center"/>
        <w:textAlignment w:val="baseline"/>
        <w:rPr>
          <w:rFonts w:eastAsia="Times New Roman" w:cs="Arial"/>
          <w:b/>
          <w:bCs/>
          <w:sz w:val="20"/>
          <w:szCs w:val="20"/>
          <w:lang w:val="es-CO" w:eastAsia="es-CO"/>
        </w:rPr>
      </w:pPr>
      <w:r w:rsidRPr="00496000">
        <w:rPr>
          <w:rFonts w:eastAsia="Times New Roman" w:cs="Arial"/>
          <w:b/>
          <w:bCs/>
          <w:sz w:val="20"/>
          <w:szCs w:val="20"/>
          <w:lang w:val="es-CO" w:eastAsia="es-CO"/>
        </w:rPr>
        <w:t xml:space="preserve">Cuadro No. </w:t>
      </w:r>
      <w:r>
        <w:rPr>
          <w:rFonts w:eastAsia="Times New Roman" w:cs="Arial"/>
          <w:b/>
          <w:bCs/>
          <w:sz w:val="20"/>
          <w:szCs w:val="20"/>
          <w:lang w:val="es-CO" w:eastAsia="es-CO"/>
        </w:rPr>
        <w:t>7</w:t>
      </w:r>
    </w:p>
    <w:p w14:paraId="17F7A24A" w14:textId="77777777" w:rsidR="00E06266" w:rsidRPr="00F71CC8" w:rsidRDefault="00E06266">
      <w:pPr>
        <w:spacing w:after="0" w:line="240" w:lineRule="auto"/>
        <w:contextualSpacing/>
        <w:jc w:val="center"/>
        <w:rPr>
          <w:rFonts w:cs="Arial"/>
          <w:sz w:val="20"/>
          <w:szCs w:val="24"/>
        </w:rPr>
      </w:pPr>
      <w:r>
        <w:rPr>
          <w:rFonts w:eastAsia="Times New Roman" w:cs="Arial"/>
          <w:sz w:val="20"/>
          <w:szCs w:val="20"/>
          <w:lang w:val="es-CO" w:eastAsia="es-CO"/>
        </w:rPr>
        <w:t>Egresos</w:t>
      </w:r>
      <w:r w:rsidRPr="00496000">
        <w:rPr>
          <w:rFonts w:eastAsia="Times New Roman" w:cs="Arial"/>
          <w:sz w:val="20"/>
          <w:szCs w:val="20"/>
          <w:lang w:val="es-CO" w:eastAsia="es-CO"/>
        </w:rPr>
        <w:t xml:space="preserve"> Cuenta Maestra Propósito General –</w:t>
      </w:r>
      <w:r w:rsidRPr="00336601">
        <w:rPr>
          <w:rFonts w:cs="Arial"/>
          <w:sz w:val="20"/>
          <w:szCs w:val="24"/>
        </w:rPr>
        <w:t xml:space="preserve"> </w:t>
      </w:r>
      <w:r>
        <w:rPr>
          <w:rFonts w:cs="Arial"/>
          <w:sz w:val="20"/>
          <w:szCs w:val="24"/>
        </w:rPr>
        <w:t>enero 2020</w:t>
      </w:r>
      <w:r w:rsidRPr="00F71CC8">
        <w:rPr>
          <w:rFonts w:cs="Arial"/>
          <w:sz w:val="20"/>
          <w:szCs w:val="24"/>
        </w:rPr>
        <w:t xml:space="preserve"> a </w:t>
      </w:r>
      <w:r>
        <w:rPr>
          <w:rFonts w:cs="Arial"/>
          <w:sz w:val="20"/>
          <w:szCs w:val="24"/>
        </w:rPr>
        <w:t>abril</w:t>
      </w:r>
      <w:r w:rsidRPr="00F71CC8">
        <w:rPr>
          <w:rFonts w:cs="Arial"/>
          <w:sz w:val="20"/>
          <w:szCs w:val="24"/>
        </w:rPr>
        <w:t xml:space="preserve"> de 2021</w:t>
      </w:r>
    </w:p>
    <w:p w14:paraId="1219A2B7" w14:textId="77777777" w:rsidR="00E06266" w:rsidRDefault="00E06266">
      <w:pPr>
        <w:spacing w:after="0" w:line="240" w:lineRule="auto"/>
        <w:contextualSpacing/>
        <w:jc w:val="center"/>
        <w:rPr>
          <w:color w:val="000000"/>
        </w:rPr>
      </w:pPr>
      <w:r w:rsidRPr="00F71CC8">
        <w:rPr>
          <w:rFonts w:cs="Arial"/>
          <w:sz w:val="20"/>
          <w:szCs w:val="24"/>
        </w:rPr>
        <w:t xml:space="preserve">Municipio de </w:t>
      </w:r>
      <w:r>
        <w:rPr>
          <w:rFonts w:cs="Arial"/>
          <w:sz w:val="20"/>
          <w:szCs w:val="24"/>
        </w:rPr>
        <w:t xml:space="preserve">Puerto Leguízamo – Putumayo </w:t>
      </w:r>
    </w:p>
    <w:tbl>
      <w:tblPr>
        <w:tblW w:w="5532" w:type="pct"/>
        <w:jc w:val="center"/>
        <w:tblCellMar>
          <w:left w:w="70" w:type="dxa"/>
          <w:right w:w="70" w:type="dxa"/>
        </w:tblCellMar>
        <w:tblLook w:val="04A0" w:firstRow="1" w:lastRow="0" w:firstColumn="1" w:lastColumn="0" w:noHBand="0" w:noVBand="1"/>
      </w:tblPr>
      <w:tblGrid>
        <w:gridCol w:w="2099"/>
        <w:gridCol w:w="1323"/>
        <w:gridCol w:w="1615"/>
        <w:gridCol w:w="1833"/>
        <w:gridCol w:w="1554"/>
        <w:gridCol w:w="974"/>
      </w:tblGrid>
      <w:tr w:rsidR="00E06266" w:rsidRPr="00595A36" w14:paraId="6CE56B83" w14:textId="77777777" w:rsidTr="00974325">
        <w:trPr>
          <w:trHeight w:val="195"/>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666699"/>
            <w:vAlign w:val="center"/>
            <w:hideMark/>
          </w:tcPr>
          <w:p w14:paraId="7C83F1EF" w14:textId="77777777" w:rsidR="00E06266" w:rsidRPr="00FB27C3" w:rsidRDefault="00E06266">
            <w:pPr>
              <w:spacing w:after="0" w:line="240" w:lineRule="auto"/>
              <w:contextualSpacing/>
              <w:jc w:val="center"/>
              <w:rPr>
                <w:rFonts w:eastAsia="Times New Roman" w:cs="Arial"/>
                <w:b/>
                <w:bCs/>
                <w:color w:val="FFFFFF"/>
                <w:sz w:val="18"/>
                <w:szCs w:val="18"/>
                <w:lang w:val="es-CO" w:eastAsia="es-CO"/>
              </w:rPr>
            </w:pPr>
            <w:r w:rsidRPr="00FB27C3">
              <w:rPr>
                <w:rFonts w:eastAsia="Times New Roman" w:cs="Arial"/>
                <w:b/>
                <w:bCs/>
                <w:color w:val="FFFFFF"/>
                <w:sz w:val="18"/>
                <w:szCs w:val="18"/>
                <w:lang w:val="es-CO" w:eastAsia="es-CO"/>
              </w:rPr>
              <w:t>INFORMACIÓN DISCRIMINADA DE EGRESOS</w:t>
            </w:r>
          </w:p>
        </w:tc>
      </w:tr>
      <w:tr w:rsidR="00E06266" w:rsidRPr="00595A36" w14:paraId="23D4EE4D" w14:textId="77777777" w:rsidTr="00974325">
        <w:trPr>
          <w:trHeight w:val="82"/>
          <w:jc w:val="center"/>
        </w:trPr>
        <w:tc>
          <w:tcPr>
            <w:tcW w:w="1117" w:type="pct"/>
            <w:tcBorders>
              <w:top w:val="nil"/>
              <w:left w:val="single" w:sz="4" w:space="0" w:color="auto"/>
              <w:bottom w:val="single" w:sz="4" w:space="0" w:color="auto"/>
              <w:right w:val="single" w:sz="4" w:space="0" w:color="auto"/>
            </w:tcBorders>
            <w:shd w:val="clear" w:color="000000" w:fill="E5E5FF"/>
            <w:vAlign w:val="center"/>
            <w:hideMark/>
          </w:tcPr>
          <w:p w14:paraId="385A6D03" w14:textId="77777777" w:rsidR="00E06266" w:rsidRPr="00FB27C3" w:rsidRDefault="00E06266" w:rsidP="00286F4A">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Nombre o Razón Social</w:t>
            </w:r>
          </w:p>
        </w:tc>
        <w:tc>
          <w:tcPr>
            <w:tcW w:w="704" w:type="pct"/>
            <w:tcBorders>
              <w:top w:val="nil"/>
              <w:left w:val="nil"/>
              <w:bottom w:val="single" w:sz="4" w:space="0" w:color="auto"/>
              <w:right w:val="single" w:sz="4" w:space="0" w:color="auto"/>
            </w:tcBorders>
            <w:shd w:val="clear" w:color="000000" w:fill="E5E5FF"/>
            <w:vAlign w:val="center"/>
            <w:hideMark/>
          </w:tcPr>
          <w:p w14:paraId="0014DFA4" w14:textId="77777777" w:rsidR="00E06266" w:rsidRPr="00FB27C3" w:rsidRDefault="00E0626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NIT</w:t>
            </w:r>
          </w:p>
        </w:tc>
        <w:tc>
          <w:tcPr>
            <w:tcW w:w="859" w:type="pct"/>
            <w:tcBorders>
              <w:top w:val="nil"/>
              <w:left w:val="nil"/>
              <w:bottom w:val="single" w:sz="4" w:space="0" w:color="auto"/>
              <w:right w:val="single" w:sz="4" w:space="0" w:color="auto"/>
            </w:tcBorders>
            <w:shd w:val="clear" w:color="000000" w:fill="E5E5FF"/>
            <w:vAlign w:val="center"/>
            <w:hideMark/>
          </w:tcPr>
          <w:p w14:paraId="3BD437FF" w14:textId="77777777" w:rsidR="00E06266" w:rsidRPr="00FB27C3" w:rsidRDefault="00E0626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No. de Cuenta</w:t>
            </w:r>
          </w:p>
        </w:tc>
        <w:tc>
          <w:tcPr>
            <w:tcW w:w="975" w:type="pct"/>
            <w:tcBorders>
              <w:top w:val="nil"/>
              <w:left w:val="nil"/>
              <w:bottom w:val="single" w:sz="4" w:space="0" w:color="auto"/>
              <w:right w:val="single" w:sz="4" w:space="0" w:color="auto"/>
            </w:tcBorders>
            <w:shd w:val="clear" w:color="000000" w:fill="E5E5FF"/>
            <w:vAlign w:val="center"/>
            <w:hideMark/>
          </w:tcPr>
          <w:p w14:paraId="57750BED" w14:textId="77777777" w:rsidR="00E06266" w:rsidRPr="00FB27C3" w:rsidRDefault="00E0626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Establecimiento Bancario</w:t>
            </w:r>
          </w:p>
        </w:tc>
        <w:tc>
          <w:tcPr>
            <w:tcW w:w="827" w:type="pct"/>
            <w:tcBorders>
              <w:top w:val="nil"/>
              <w:left w:val="nil"/>
              <w:bottom w:val="single" w:sz="4" w:space="0" w:color="auto"/>
              <w:right w:val="single" w:sz="4" w:space="0" w:color="auto"/>
            </w:tcBorders>
            <w:shd w:val="clear" w:color="000000" w:fill="E5E5FF"/>
            <w:vAlign w:val="center"/>
            <w:hideMark/>
          </w:tcPr>
          <w:p w14:paraId="405765DA" w14:textId="77777777" w:rsidR="00E06266" w:rsidRPr="00FB27C3" w:rsidRDefault="00E0626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Valor Abonado</w:t>
            </w:r>
          </w:p>
        </w:tc>
        <w:tc>
          <w:tcPr>
            <w:tcW w:w="518" w:type="pct"/>
            <w:tcBorders>
              <w:top w:val="nil"/>
              <w:left w:val="nil"/>
              <w:bottom w:val="single" w:sz="4" w:space="0" w:color="auto"/>
              <w:right w:val="single" w:sz="4" w:space="0" w:color="auto"/>
            </w:tcBorders>
            <w:shd w:val="clear" w:color="000000" w:fill="E5E5FF"/>
            <w:vAlign w:val="center"/>
            <w:hideMark/>
          </w:tcPr>
          <w:p w14:paraId="73EB4577" w14:textId="77777777" w:rsidR="00E06266" w:rsidRPr="00FB27C3" w:rsidRDefault="00E06266">
            <w:pPr>
              <w:spacing w:after="0" w:line="240" w:lineRule="auto"/>
              <w:contextualSpacing/>
              <w:jc w:val="center"/>
              <w:rPr>
                <w:rFonts w:eastAsia="Times New Roman" w:cs="Arial"/>
                <w:b/>
                <w:bCs/>
                <w:color w:val="000000"/>
                <w:sz w:val="18"/>
                <w:szCs w:val="18"/>
                <w:lang w:val="es-CO" w:eastAsia="es-CO"/>
              </w:rPr>
            </w:pPr>
            <w:r w:rsidRPr="00FB27C3">
              <w:rPr>
                <w:rFonts w:eastAsia="Times New Roman" w:cs="Arial"/>
                <w:b/>
                <w:bCs/>
                <w:color w:val="000000"/>
                <w:sz w:val="18"/>
                <w:szCs w:val="18"/>
                <w:lang w:val="es-CO" w:eastAsia="es-CO"/>
              </w:rPr>
              <w:t>No. de Abonos</w:t>
            </w:r>
          </w:p>
        </w:tc>
      </w:tr>
      <w:tr w:rsidR="00E06266" w:rsidRPr="00595A36" w14:paraId="48BD92A4" w14:textId="77777777" w:rsidTr="00974325">
        <w:trPr>
          <w:trHeight w:val="82"/>
          <w:jc w:val="center"/>
        </w:trPr>
        <w:tc>
          <w:tcPr>
            <w:tcW w:w="11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6D46B" w14:textId="77777777" w:rsidR="00E06266" w:rsidRPr="00FB27C3" w:rsidRDefault="00E06266" w:rsidP="00286F4A">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BANCO_POPULAR</w:t>
            </w:r>
          </w:p>
        </w:tc>
        <w:tc>
          <w:tcPr>
            <w:tcW w:w="704" w:type="pct"/>
            <w:tcBorders>
              <w:top w:val="single" w:sz="4" w:space="0" w:color="auto"/>
              <w:left w:val="nil"/>
              <w:bottom w:val="single" w:sz="4" w:space="0" w:color="auto"/>
              <w:right w:val="single" w:sz="4" w:space="0" w:color="auto"/>
            </w:tcBorders>
            <w:shd w:val="clear" w:color="auto" w:fill="auto"/>
            <w:vAlign w:val="center"/>
            <w:hideMark/>
          </w:tcPr>
          <w:p w14:paraId="78CFDB8B" w14:textId="77777777" w:rsidR="00E06266" w:rsidRPr="00FB27C3" w:rsidRDefault="00E06266">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860007738-9</w:t>
            </w:r>
          </w:p>
        </w:tc>
        <w:tc>
          <w:tcPr>
            <w:tcW w:w="859" w:type="pct"/>
            <w:tcBorders>
              <w:top w:val="single" w:sz="4" w:space="0" w:color="auto"/>
              <w:left w:val="nil"/>
              <w:bottom w:val="single" w:sz="4" w:space="0" w:color="auto"/>
              <w:right w:val="single" w:sz="4" w:space="0" w:color="auto"/>
            </w:tcBorders>
            <w:shd w:val="clear" w:color="auto" w:fill="auto"/>
            <w:vAlign w:val="center"/>
            <w:hideMark/>
          </w:tcPr>
          <w:p w14:paraId="5926590F" w14:textId="77777777" w:rsidR="00E06266" w:rsidRPr="00FB27C3" w:rsidRDefault="00E06266">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120918993015</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2F336E24" w14:textId="77777777" w:rsidR="00E06266" w:rsidRPr="00FB27C3" w:rsidRDefault="00E06266">
            <w:pPr>
              <w:spacing w:after="0" w:line="240" w:lineRule="auto"/>
              <w:contextualSpacing/>
              <w:rPr>
                <w:rFonts w:eastAsia="Times New Roman" w:cs="Arial"/>
                <w:color w:val="000000"/>
                <w:sz w:val="18"/>
                <w:szCs w:val="18"/>
                <w:lang w:val="es-CO" w:eastAsia="es-CO"/>
              </w:rPr>
            </w:pPr>
            <w:r w:rsidRPr="00FB27C3">
              <w:rPr>
                <w:rFonts w:eastAsia="Times New Roman" w:cs="Arial"/>
                <w:color w:val="000000"/>
                <w:sz w:val="18"/>
                <w:szCs w:val="18"/>
                <w:lang w:val="es-CO" w:eastAsia="es-CO"/>
              </w:rPr>
              <w:t>BANCO POPULAR S.A.</w:t>
            </w:r>
          </w:p>
        </w:tc>
        <w:tc>
          <w:tcPr>
            <w:tcW w:w="827" w:type="pct"/>
            <w:tcBorders>
              <w:top w:val="single" w:sz="4" w:space="0" w:color="auto"/>
              <w:left w:val="nil"/>
              <w:bottom w:val="single" w:sz="4" w:space="0" w:color="auto"/>
              <w:right w:val="single" w:sz="4" w:space="0" w:color="auto"/>
            </w:tcBorders>
            <w:shd w:val="clear" w:color="auto" w:fill="auto"/>
            <w:vAlign w:val="center"/>
            <w:hideMark/>
          </w:tcPr>
          <w:p w14:paraId="63151ED0" w14:textId="77777777" w:rsidR="00E06266" w:rsidRPr="00FB27C3" w:rsidRDefault="00E06266">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$8.290.022</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3C4BF332" w14:textId="77777777" w:rsidR="00E06266" w:rsidRPr="00FB27C3" w:rsidRDefault="00E06266">
            <w:pPr>
              <w:spacing w:after="0" w:line="240" w:lineRule="auto"/>
              <w:contextualSpacing/>
              <w:jc w:val="right"/>
              <w:rPr>
                <w:rFonts w:eastAsia="Times New Roman" w:cs="Arial"/>
                <w:color w:val="000000"/>
                <w:sz w:val="18"/>
                <w:szCs w:val="18"/>
                <w:lang w:val="es-CO" w:eastAsia="es-CO"/>
              </w:rPr>
            </w:pPr>
            <w:r w:rsidRPr="00FB27C3">
              <w:rPr>
                <w:rFonts w:eastAsia="Times New Roman" w:cs="Arial"/>
                <w:color w:val="000000"/>
                <w:sz w:val="18"/>
                <w:szCs w:val="18"/>
                <w:lang w:val="es-CO" w:eastAsia="es-CO"/>
              </w:rPr>
              <w:t>2</w:t>
            </w:r>
          </w:p>
        </w:tc>
      </w:tr>
    </w:tbl>
    <w:p w14:paraId="2BAF7060" w14:textId="77777777" w:rsidR="003F5B57" w:rsidRPr="00FB27C3" w:rsidRDefault="003F5B57" w:rsidP="00286F4A">
      <w:pPr>
        <w:spacing w:after="0" w:line="240" w:lineRule="auto"/>
        <w:contextualSpacing/>
        <w:jc w:val="center"/>
        <w:textAlignment w:val="baseline"/>
        <w:rPr>
          <w:rFonts w:eastAsia="Times New Roman" w:cs="Arial"/>
          <w:sz w:val="16"/>
          <w:szCs w:val="16"/>
          <w:lang w:val="es-CO" w:eastAsia="es-CO"/>
        </w:rPr>
      </w:pPr>
      <w:r w:rsidRPr="00FB27C3">
        <w:rPr>
          <w:rFonts w:eastAsia="Times New Roman" w:cs="Arial"/>
          <w:b/>
          <w:bCs/>
          <w:sz w:val="16"/>
          <w:szCs w:val="16"/>
          <w:lang w:val="es-CO" w:eastAsia="es-CO"/>
        </w:rPr>
        <w:t>Fuente:</w:t>
      </w:r>
      <w:r w:rsidRPr="00FB27C3">
        <w:rPr>
          <w:rFonts w:eastAsia="Times New Roman" w:cs="Arial"/>
          <w:sz w:val="16"/>
          <w:szCs w:val="16"/>
          <w:lang w:val="es-CO" w:eastAsia="es-CO"/>
        </w:rPr>
        <w:t xml:space="preserve"> Elaboración DAF con información reportada en el Sistema PISIS.</w:t>
      </w:r>
    </w:p>
    <w:p w14:paraId="0476E1B4" w14:textId="77777777" w:rsidR="00FC6A87" w:rsidRPr="00FB27C3" w:rsidRDefault="00FC6A87">
      <w:pPr>
        <w:spacing w:line="240" w:lineRule="auto"/>
        <w:contextualSpacing/>
        <w:jc w:val="both"/>
        <w:rPr>
          <w:color w:val="000000"/>
          <w:sz w:val="24"/>
          <w:szCs w:val="24"/>
        </w:rPr>
      </w:pPr>
    </w:p>
    <w:p w14:paraId="5FBD6D29" w14:textId="77777777" w:rsidR="00595A36" w:rsidRPr="008622E7" w:rsidRDefault="003F5B57">
      <w:pPr>
        <w:pStyle w:val="paragraph"/>
        <w:spacing w:before="0" w:beforeAutospacing="0" w:after="0" w:afterAutospacing="0"/>
        <w:contextualSpacing/>
        <w:jc w:val="both"/>
        <w:textAlignment w:val="baseline"/>
        <w:rPr>
          <w:rStyle w:val="normaltextrun"/>
          <w:rFonts w:ascii="Arial" w:eastAsiaTheme="minorHAnsi" w:hAnsi="Arial" w:cs="Arial"/>
          <w:b/>
          <w:bCs/>
          <w:color w:val="000000"/>
          <w:sz w:val="20"/>
          <w:szCs w:val="20"/>
          <w:shd w:val="clear" w:color="auto" w:fill="FFFFFF"/>
          <w:lang w:val="es-ES" w:eastAsia="en-US"/>
        </w:rPr>
      </w:pPr>
      <w:r w:rsidRPr="008622E7">
        <w:rPr>
          <w:rFonts w:ascii="Arial" w:hAnsi="Arial" w:cs="Arial"/>
          <w:color w:val="000000"/>
          <w:sz w:val="22"/>
          <w:szCs w:val="22"/>
        </w:rPr>
        <w:t xml:space="preserve">En las operaciones identificadas </w:t>
      </w:r>
      <w:r w:rsidR="00486DCF" w:rsidRPr="008622E7">
        <w:rPr>
          <w:rFonts w:ascii="Arial" w:hAnsi="Arial" w:cs="Arial"/>
          <w:color w:val="000000"/>
          <w:sz w:val="22"/>
          <w:szCs w:val="22"/>
        </w:rPr>
        <w:t xml:space="preserve">en el cuadro anterior </w:t>
      </w:r>
      <w:r w:rsidRPr="008622E7">
        <w:rPr>
          <w:rFonts w:ascii="Arial" w:hAnsi="Arial" w:cs="Arial"/>
          <w:color w:val="000000"/>
          <w:sz w:val="22"/>
          <w:szCs w:val="22"/>
        </w:rPr>
        <w:t xml:space="preserve">se evidencia que el </w:t>
      </w:r>
      <w:r w:rsidR="00FC6A87" w:rsidRPr="008622E7">
        <w:rPr>
          <w:rFonts w:ascii="Arial" w:hAnsi="Arial" w:cs="Arial"/>
          <w:color w:val="000000"/>
          <w:sz w:val="22"/>
          <w:szCs w:val="22"/>
        </w:rPr>
        <w:t>M</w:t>
      </w:r>
      <w:r w:rsidRPr="008622E7">
        <w:rPr>
          <w:rFonts w:ascii="Arial" w:hAnsi="Arial" w:cs="Arial"/>
          <w:color w:val="000000"/>
          <w:sz w:val="22"/>
          <w:szCs w:val="22"/>
        </w:rPr>
        <w:t xml:space="preserve">unicipio está trasladando de manera directa desde la Cuenta Maestra de PG a </w:t>
      </w:r>
      <w:r w:rsidR="00486DCF" w:rsidRPr="008622E7">
        <w:rPr>
          <w:rFonts w:ascii="Arial" w:hAnsi="Arial" w:cs="Arial"/>
          <w:color w:val="000000"/>
          <w:sz w:val="22"/>
          <w:szCs w:val="22"/>
        </w:rPr>
        <w:t>una</w:t>
      </w:r>
      <w:r w:rsidRPr="008622E7">
        <w:rPr>
          <w:rFonts w:ascii="Arial" w:hAnsi="Arial" w:cs="Arial"/>
          <w:color w:val="000000"/>
          <w:sz w:val="22"/>
          <w:szCs w:val="22"/>
        </w:rPr>
        <w:t xml:space="preserve"> cuenta </w:t>
      </w:r>
      <w:r w:rsidR="00486DCF" w:rsidRPr="008622E7">
        <w:rPr>
          <w:rFonts w:ascii="Arial" w:hAnsi="Arial" w:cs="Arial"/>
          <w:color w:val="000000"/>
          <w:sz w:val="22"/>
          <w:szCs w:val="22"/>
        </w:rPr>
        <w:t>del Banco Popular</w:t>
      </w:r>
      <w:r w:rsidRPr="008622E7">
        <w:rPr>
          <w:rFonts w:ascii="Arial" w:hAnsi="Arial" w:cs="Arial"/>
          <w:color w:val="000000"/>
          <w:sz w:val="22"/>
          <w:szCs w:val="22"/>
        </w:rPr>
        <w:t>, lo cual evidencia que no se están realizando estos pagos por medio de la Cuenta de Manejo de Garantías.</w:t>
      </w:r>
      <w:r w:rsidR="00471EF4" w:rsidRPr="008622E7">
        <w:rPr>
          <w:rFonts w:ascii="Arial" w:hAnsi="Arial" w:cs="Arial"/>
          <w:color w:val="000000"/>
          <w:sz w:val="22"/>
          <w:szCs w:val="22"/>
        </w:rPr>
        <w:t xml:space="preserve"> Por esta razón, el </w:t>
      </w:r>
      <w:r w:rsidR="00FC6A87" w:rsidRPr="008622E7">
        <w:rPr>
          <w:rFonts w:ascii="Arial" w:hAnsi="Arial" w:cs="Arial"/>
          <w:color w:val="000000"/>
          <w:sz w:val="22"/>
          <w:szCs w:val="22"/>
        </w:rPr>
        <w:t>M</w:t>
      </w:r>
      <w:r w:rsidR="00471EF4" w:rsidRPr="008622E7">
        <w:rPr>
          <w:rFonts w:ascii="Arial" w:hAnsi="Arial" w:cs="Arial"/>
          <w:color w:val="000000"/>
          <w:sz w:val="22"/>
          <w:szCs w:val="22"/>
        </w:rPr>
        <w:t xml:space="preserve">unicipio incumplió el artículo 12 de la Resolución </w:t>
      </w:r>
      <w:r w:rsidR="00FC6A87" w:rsidRPr="008622E7">
        <w:rPr>
          <w:rFonts w:ascii="Arial" w:hAnsi="Arial" w:cs="Arial"/>
          <w:color w:val="000000"/>
          <w:sz w:val="22"/>
          <w:szCs w:val="22"/>
        </w:rPr>
        <w:t xml:space="preserve">No. </w:t>
      </w:r>
      <w:r w:rsidR="00471EF4" w:rsidRPr="008622E7">
        <w:rPr>
          <w:rFonts w:ascii="Arial" w:hAnsi="Arial" w:cs="Arial"/>
          <w:color w:val="000000"/>
          <w:sz w:val="22"/>
          <w:szCs w:val="22"/>
        </w:rPr>
        <w:t xml:space="preserve">0660 de 2018 al no realizar la apertura y la amortización del </w:t>
      </w:r>
      <w:r w:rsidR="004D6DE7" w:rsidRPr="008622E7">
        <w:rPr>
          <w:rFonts w:ascii="Arial" w:hAnsi="Arial" w:cs="Arial"/>
          <w:color w:val="000000"/>
          <w:sz w:val="22"/>
          <w:szCs w:val="22"/>
        </w:rPr>
        <w:t>empréstito a través de la Cuenta de Manejo de Garantías.</w:t>
      </w:r>
    </w:p>
    <w:p w14:paraId="0111B5A2" w14:textId="77777777" w:rsidR="00595A36" w:rsidRDefault="00595A36">
      <w:pPr>
        <w:pStyle w:val="paragraph"/>
        <w:spacing w:before="0" w:beforeAutospacing="0" w:after="0" w:afterAutospacing="0"/>
        <w:contextualSpacing/>
        <w:jc w:val="both"/>
        <w:textAlignment w:val="baseline"/>
        <w:rPr>
          <w:rStyle w:val="normaltextrun"/>
          <w:rFonts w:ascii="Arial" w:eastAsiaTheme="minorHAnsi" w:hAnsi="Arial" w:cs="Arial"/>
          <w:b/>
          <w:bCs/>
          <w:color w:val="000000"/>
          <w:sz w:val="22"/>
          <w:szCs w:val="22"/>
          <w:shd w:val="clear" w:color="auto" w:fill="FFFFFF"/>
          <w:lang w:val="es-ES" w:eastAsia="en-US"/>
        </w:rPr>
      </w:pPr>
    </w:p>
    <w:p w14:paraId="1F71C55F" w14:textId="77777777" w:rsidR="004D6DE7" w:rsidRDefault="004D6DE7">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r w:rsidRPr="00DF2058">
        <w:rPr>
          <w:rStyle w:val="normaltextrun"/>
          <w:rFonts w:ascii="Arial" w:eastAsiaTheme="minorHAnsi" w:hAnsi="Arial" w:cs="Arial"/>
          <w:b/>
          <w:bCs/>
          <w:color w:val="000000"/>
          <w:sz w:val="22"/>
          <w:szCs w:val="22"/>
          <w:shd w:val="clear" w:color="auto" w:fill="FFFFFF"/>
          <w:lang w:val="es-ES" w:eastAsia="en-US"/>
        </w:rPr>
        <w:lastRenderedPageBreak/>
        <w:t>Evidencias</w:t>
      </w:r>
      <w:r w:rsidRPr="00DF2058">
        <w:rPr>
          <w:rStyle w:val="normaltextrun"/>
          <w:rFonts w:ascii="Arial" w:eastAsiaTheme="minorHAnsi" w:hAnsi="Arial" w:cs="Arial"/>
          <w:color w:val="000000"/>
          <w:sz w:val="22"/>
          <w:szCs w:val="22"/>
          <w:shd w:val="clear" w:color="auto" w:fill="FFFFFF"/>
          <w:lang w:val="es-ES" w:eastAsia="en-US"/>
        </w:rPr>
        <w:t xml:space="preserve">: los documentos </w:t>
      </w:r>
      <w:r w:rsidR="00486DCF">
        <w:rPr>
          <w:rStyle w:val="normaltextrun"/>
          <w:rFonts w:ascii="Arial" w:eastAsiaTheme="minorHAnsi" w:hAnsi="Arial" w:cs="Arial"/>
          <w:color w:val="000000"/>
          <w:sz w:val="22"/>
          <w:szCs w:val="22"/>
          <w:shd w:val="clear" w:color="auto" w:fill="FFFFFF"/>
          <w:lang w:val="es-ES" w:eastAsia="en-US"/>
        </w:rPr>
        <w:t xml:space="preserve">probatorios </w:t>
      </w:r>
      <w:r w:rsidRPr="00DF2058">
        <w:rPr>
          <w:rStyle w:val="normaltextrun"/>
          <w:rFonts w:ascii="Arial" w:eastAsiaTheme="minorHAnsi" w:hAnsi="Arial" w:cs="Arial"/>
          <w:color w:val="000000"/>
          <w:sz w:val="22"/>
          <w:szCs w:val="22"/>
          <w:shd w:val="clear" w:color="auto" w:fill="FFFFFF"/>
          <w:lang w:val="es-ES" w:eastAsia="en-US"/>
        </w:rPr>
        <w:t>obran en el expediente digital en el Sistema Electrónico Documental SIED del Ministerio de Hacienda y Crédito Público No. 17/2021/D028-PREDI</w:t>
      </w:r>
      <w:r w:rsidR="00486DCF">
        <w:rPr>
          <w:rStyle w:val="normaltextrun"/>
          <w:rFonts w:ascii="Arial" w:eastAsiaTheme="minorHAnsi" w:hAnsi="Arial" w:cs="Arial"/>
          <w:color w:val="000000"/>
          <w:sz w:val="22"/>
          <w:szCs w:val="22"/>
          <w:shd w:val="clear" w:color="auto" w:fill="FFFFFF"/>
          <w:lang w:val="es-ES" w:eastAsia="en-US"/>
        </w:rPr>
        <w:t>, así</w:t>
      </w:r>
      <w:r w:rsidRPr="00DF2058">
        <w:rPr>
          <w:rStyle w:val="normaltextrun"/>
          <w:rFonts w:ascii="Arial" w:eastAsiaTheme="minorHAnsi" w:hAnsi="Arial" w:cs="Arial"/>
          <w:color w:val="000000"/>
          <w:sz w:val="22"/>
          <w:szCs w:val="22"/>
          <w:shd w:val="clear" w:color="auto" w:fill="FFFFFF"/>
          <w:lang w:val="es-ES" w:eastAsia="en-US"/>
        </w:rPr>
        <w:t>:</w:t>
      </w:r>
    </w:p>
    <w:p w14:paraId="6AAD85DB" w14:textId="77777777" w:rsidR="008752CC" w:rsidRDefault="008752CC">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p>
    <w:p w14:paraId="1DF51EAE" w14:textId="77777777" w:rsidR="008752CC" w:rsidRDefault="008752CC">
      <w:pPr>
        <w:pStyle w:val="Prrafodelista"/>
        <w:numPr>
          <w:ilvl w:val="0"/>
          <w:numId w:val="27"/>
        </w:numPr>
        <w:spacing w:line="240" w:lineRule="auto"/>
        <w:jc w:val="both"/>
        <w:rPr>
          <w:sz w:val="20"/>
          <w:szCs w:val="20"/>
          <w:lang w:val="es-ES"/>
        </w:rPr>
      </w:pPr>
      <w:r w:rsidRPr="008752CC">
        <w:rPr>
          <w:sz w:val="20"/>
          <w:szCs w:val="20"/>
          <w:lang w:val="es-ES"/>
        </w:rPr>
        <w:t>CONSOLIDADO_CM_PG_PUERTO_LEGUIZAMO_PUTUMAYO_ABR_2021</w:t>
      </w:r>
      <w:r>
        <w:rPr>
          <w:sz w:val="20"/>
          <w:szCs w:val="20"/>
          <w:lang w:val="es-ES"/>
        </w:rPr>
        <w:t>. P</w:t>
      </w:r>
      <w:r w:rsidRPr="00BC07AE">
        <w:rPr>
          <w:sz w:val="20"/>
          <w:szCs w:val="20"/>
          <w:lang w:val="es-ES"/>
        </w:rPr>
        <w:t>articipación de Propósito General. Municipio de Puerto Leguízamo - Putumayo. Serie “Historial de Seguimiento y Control a los Recursos del Sistema General de Participaciones – Diagnóstico”. Expediente digital No. 17/2021/D028-PREDI.</w:t>
      </w:r>
      <w:r w:rsidRPr="008752CC">
        <w:t xml:space="preserve"> </w:t>
      </w:r>
      <w:hyperlink r:id="rId83" w:history="1">
        <w:r w:rsidRPr="00002BCD">
          <w:rPr>
            <w:rStyle w:val="Hipervnculo"/>
            <w:sz w:val="20"/>
            <w:szCs w:val="20"/>
            <w:lang w:val="es-ES"/>
          </w:rPr>
          <w:t>https://bit.ly/3pCtN5a</w:t>
        </w:r>
      </w:hyperlink>
      <w:r>
        <w:rPr>
          <w:sz w:val="20"/>
          <w:szCs w:val="20"/>
          <w:lang w:val="es-ES"/>
        </w:rPr>
        <w:t xml:space="preserve"> </w:t>
      </w:r>
    </w:p>
    <w:p w14:paraId="5FA6BB99" w14:textId="77777777" w:rsidR="00CC3439" w:rsidRDefault="00CC3439">
      <w:pPr>
        <w:pStyle w:val="Prrafodelista"/>
        <w:numPr>
          <w:ilvl w:val="0"/>
          <w:numId w:val="27"/>
        </w:numPr>
        <w:spacing w:line="240" w:lineRule="auto"/>
        <w:jc w:val="both"/>
        <w:rPr>
          <w:sz w:val="20"/>
          <w:szCs w:val="20"/>
          <w:lang w:val="es-ES"/>
        </w:rPr>
      </w:pPr>
      <w:r>
        <w:rPr>
          <w:sz w:val="20"/>
          <w:szCs w:val="20"/>
          <w:lang w:val="es-ES"/>
        </w:rPr>
        <w:t>Acta de reconocimiento institucional. P</w:t>
      </w:r>
      <w:r w:rsidRPr="00BC07AE">
        <w:rPr>
          <w:sz w:val="20"/>
          <w:szCs w:val="20"/>
          <w:lang w:val="es-ES"/>
        </w:rPr>
        <w:t>articipación de Propósito General. Municipio de Puerto Leguízamo - Putumayo. Serie “Historial de Seguimiento y Control a los Recursos del Sistema General de Participaciones – Diagnóstico”. Expediente digital No. 17/2021/D028-PREDI.</w:t>
      </w:r>
      <w:r>
        <w:rPr>
          <w:sz w:val="20"/>
          <w:szCs w:val="20"/>
          <w:lang w:val="es-ES"/>
        </w:rPr>
        <w:t xml:space="preserve"> </w:t>
      </w:r>
      <w:r w:rsidRPr="00CC3439">
        <w:rPr>
          <w:sz w:val="20"/>
          <w:szCs w:val="20"/>
          <w:lang w:val="es-ES"/>
        </w:rPr>
        <w:t>https://bit.ly/3ncBYDC</w:t>
      </w:r>
    </w:p>
    <w:p w14:paraId="1A77B3E0" w14:textId="77777777" w:rsidR="00CC3439" w:rsidRPr="00FB27C3" w:rsidRDefault="00CC3439">
      <w:pPr>
        <w:pStyle w:val="Prrafodelista"/>
        <w:spacing w:line="240" w:lineRule="auto"/>
        <w:jc w:val="both"/>
        <w:rPr>
          <w:lang w:val="es-ES"/>
        </w:rPr>
      </w:pPr>
    </w:p>
    <w:p w14:paraId="7D3C634D" w14:textId="77777777" w:rsidR="009437BB" w:rsidRDefault="009437BB">
      <w:pPr>
        <w:spacing w:line="240" w:lineRule="auto"/>
        <w:contextualSpacing/>
        <w:jc w:val="both"/>
        <w:rPr>
          <w:rFonts w:eastAsia="Arial" w:cs="Arial"/>
          <w:b/>
          <w:bCs/>
          <w:lang w:val="es"/>
        </w:rPr>
      </w:pPr>
      <w:r w:rsidRPr="30FC7D08">
        <w:rPr>
          <w:rFonts w:eastAsia="Arial" w:cs="Arial"/>
          <w:b/>
          <w:bCs/>
          <w:lang w:val="es"/>
        </w:rPr>
        <w:t>Evento de riesgo 9.10</w:t>
      </w:r>
      <w:r>
        <w:rPr>
          <w:rFonts w:eastAsia="Arial" w:cs="Arial"/>
          <w:b/>
          <w:bCs/>
          <w:lang w:val="es"/>
        </w:rPr>
        <w:t xml:space="preserve"> “</w:t>
      </w:r>
      <w:r w:rsidRPr="00C71D40">
        <w:rPr>
          <w:rFonts w:eastAsia="Arial" w:cs="Arial"/>
          <w:b/>
          <w:bCs/>
          <w:i/>
          <w:iCs/>
          <w:lang w:val="es"/>
        </w:rPr>
        <w:t>No publicar los actos administrativos, contratos, convenios e informes, cuando la ley lo exija</w:t>
      </w:r>
      <w:r>
        <w:rPr>
          <w:rFonts w:eastAsia="Arial" w:cs="Arial"/>
          <w:b/>
          <w:bCs/>
          <w:lang w:val="es"/>
        </w:rPr>
        <w:t>”.</w:t>
      </w:r>
    </w:p>
    <w:p w14:paraId="10BA7364" w14:textId="77777777" w:rsidR="009437BB" w:rsidRPr="00022249" w:rsidRDefault="009437BB">
      <w:pPr>
        <w:spacing w:line="240" w:lineRule="auto"/>
        <w:contextualSpacing/>
        <w:jc w:val="both"/>
        <w:rPr>
          <w:rFonts w:eastAsia="Arial" w:cs="Arial"/>
          <w:b/>
          <w:bCs/>
          <w:lang w:val="es"/>
        </w:rPr>
      </w:pPr>
    </w:p>
    <w:p w14:paraId="5BE984E4" w14:textId="77777777" w:rsidR="009437BB" w:rsidRPr="009437BB" w:rsidRDefault="009437BB">
      <w:pPr>
        <w:pStyle w:val="Prrafodelista"/>
        <w:numPr>
          <w:ilvl w:val="0"/>
          <w:numId w:val="22"/>
        </w:numPr>
        <w:spacing w:line="240" w:lineRule="auto"/>
        <w:jc w:val="both"/>
        <w:rPr>
          <w:rFonts w:eastAsia="Arial" w:cs="Arial"/>
          <w:b/>
          <w:bCs/>
        </w:rPr>
      </w:pPr>
      <w:r w:rsidRPr="009437BB">
        <w:rPr>
          <w:rFonts w:eastAsia="Arial" w:cs="Arial"/>
          <w:b/>
          <w:bCs/>
        </w:rPr>
        <w:t>No publicación de los documentos contractuales en el SECOP</w:t>
      </w:r>
      <w:r w:rsidR="007B0EDE">
        <w:rPr>
          <w:rFonts w:eastAsia="Arial" w:cs="Arial"/>
          <w:b/>
          <w:bCs/>
        </w:rPr>
        <w:t>.</w:t>
      </w:r>
    </w:p>
    <w:p w14:paraId="289BF632" w14:textId="77777777" w:rsidR="007B0EDE" w:rsidRDefault="007B0EDE">
      <w:pPr>
        <w:spacing w:line="240" w:lineRule="auto"/>
        <w:contextualSpacing/>
        <w:jc w:val="both"/>
        <w:rPr>
          <w:rFonts w:eastAsia="Arial" w:cs="Arial"/>
        </w:rPr>
      </w:pPr>
    </w:p>
    <w:p w14:paraId="0240AE11" w14:textId="77777777" w:rsidR="007E0088" w:rsidRDefault="005D5908">
      <w:pPr>
        <w:spacing w:line="240" w:lineRule="auto"/>
        <w:contextualSpacing/>
        <w:jc w:val="both"/>
        <w:rPr>
          <w:rFonts w:eastAsia="Arial" w:cs="Arial"/>
        </w:rPr>
      </w:pPr>
      <w:r w:rsidRPr="005D5908">
        <w:rPr>
          <w:rFonts w:eastAsia="Arial" w:cs="Arial"/>
        </w:rPr>
        <w:t>El artículo 2.1.1.2.1.7 del Decreto 1081 de 2015, referente a la publicación de la información contractual, establece que</w:t>
      </w:r>
      <w:r w:rsidR="007E0088">
        <w:rPr>
          <w:rFonts w:eastAsia="Arial" w:cs="Arial"/>
        </w:rPr>
        <w:t>:</w:t>
      </w:r>
    </w:p>
    <w:p w14:paraId="066263BF" w14:textId="77777777" w:rsidR="007E0088" w:rsidRDefault="007E0088">
      <w:pPr>
        <w:spacing w:line="240" w:lineRule="auto"/>
        <w:contextualSpacing/>
        <w:jc w:val="both"/>
        <w:rPr>
          <w:rFonts w:eastAsia="Arial" w:cs="Arial"/>
        </w:rPr>
      </w:pPr>
    </w:p>
    <w:p w14:paraId="07995841" w14:textId="77777777" w:rsidR="005D5908" w:rsidRPr="00FB27C3" w:rsidRDefault="005D5908">
      <w:pPr>
        <w:spacing w:line="240" w:lineRule="auto"/>
        <w:ind w:left="709"/>
        <w:contextualSpacing/>
        <w:jc w:val="both"/>
        <w:rPr>
          <w:rFonts w:eastAsia="Arial" w:cs="Arial"/>
          <w:sz w:val="18"/>
          <w:szCs w:val="18"/>
        </w:rPr>
      </w:pPr>
      <w:r w:rsidRPr="00FB27C3">
        <w:rPr>
          <w:rFonts w:eastAsia="Arial" w:cs="Arial"/>
          <w:sz w:val="18"/>
          <w:szCs w:val="18"/>
        </w:rPr>
        <w:t>“</w:t>
      </w:r>
      <w:r w:rsidRPr="00FB27C3">
        <w:rPr>
          <w:rFonts w:eastAsia="Arial" w:cs="Arial"/>
          <w:i/>
          <w:iCs/>
          <w:sz w:val="18"/>
          <w:szCs w:val="18"/>
        </w:rPr>
        <w:t>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Los sujetos obligados que contratan con cargo a recursos públicos deben publicar la información de su gestión contractual en el plazo previsto en el artículo 19 del Decreto 1510 de 2013, o el que lo modifique, sustituya o adicione [artículo 2.2.1.1.1.7.1 del Decreto 1082 de 2015]. Los sujetos obligados que contratan con recursos públicos y recursos privados deben publicar la información de su gestión contractual con cargo a recursos públicos en el Sistema Electrónico para la Contratación Pública (SECOP</w:t>
      </w:r>
      <w:r w:rsidRPr="00FB27C3">
        <w:rPr>
          <w:rFonts w:eastAsia="Arial" w:cs="Arial"/>
          <w:sz w:val="18"/>
          <w:szCs w:val="18"/>
        </w:rPr>
        <w:t>)”.</w:t>
      </w:r>
    </w:p>
    <w:p w14:paraId="20DB731F" w14:textId="77777777" w:rsidR="007E0088" w:rsidRPr="005D5908" w:rsidRDefault="007E0088">
      <w:pPr>
        <w:spacing w:line="240" w:lineRule="auto"/>
        <w:contextualSpacing/>
        <w:jc w:val="both"/>
        <w:rPr>
          <w:rFonts w:eastAsia="Arial" w:cs="Arial"/>
        </w:rPr>
      </w:pPr>
    </w:p>
    <w:p w14:paraId="1DDC3BB7" w14:textId="77777777" w:rsidR="007E0088" w:rsidRDefault="005D5908">
      <w:pPr>
        <w:spacing w:line="240" w:lineRule="auto"/>
        <w:contextualSpacing/>
        <w:jc w:val="both"/>
        <w:rPr>
          <w:rFonts w:eastAsia="Arial" w:cs="Arial"/>
        </w:rPr>
      </w:pPr>
      <w:r w:rsidRPr="005D5908">
        <w:rPr>
          <w:rFonts w:eastAsia="Arial" w:cs="Arial"/>
        </w:rPr>
        <w:t>De la misma forma, el artículo 2.1.1.2.1.8 del Decreto 1081 de 2015 demanda que</w:t>
      </w:r>
      <w:r w:rsidR="007E0088">
        <w:rPr>
          <w:rFonts w:eastAsia="Arial" w:cs="Arial"/>
        </w:rPr>
        <w:t>:</w:t>
      </w:r>
    </w:p>
    <w:p w14:paraId="24EBAB0E" w14:textId="77777777" w:rsidR="007E0088" w:rsidRDefault="007E0088">
      <w:pPr>
        <w:spacing w:line="240" w:lineRule="auto"/>
        <w:contextualSpacing/>
        <w:jc w:val="both"/>
        <w:rPr>
          <w:rFonts w:eastAsia="Arial" w:cs="Arial"/>
        </w:rPr>
      </w:pPr>
    </w:p>
    <w:p w14:paraId="000E0E2F" w14:textId="77777777" w:rsidR="005D5908" w:rsidRPr="00FB27C3" w:rsidRDefault="005D5908">
      <w:pPr>
        <w:spacing w:line="240" w:lineRule="auto"/>
        <w:ind w:left="709"/>
        <w:contextualSpacing/>
        <w:jc w:val="both"/>
        <w:rPr>
          <w:rFonts w:eastAsia="Arial" w:cs="Arial"/>
          <w:sz w:val="18"/>
          <w:szCs w:val="18"/>
        </w:rPr>
      </w:pPr>
      <w:r w:rsidRPr="00FB27C3">
        <w:rPr>
          <w:rFonts w:eastAsia="Arial" w:cs="Arial"/>
          <w:sz w:val="18"/>
          <w:szCs w:val="18"/>
        </w:rPr>
        <w:t>“</w:t>
      </w:r>
      <w:r w:rsidRPr="00FB27C3">
        <w:rPr>
          <w:rFonts w:eastAsia="Arial" w:cs="Arial"/>
          <w:i/>
          <w:iCs/>
          <w:sz w:val="18"/>
          <w:szCs w:val="18"/>
        </w:rPr>
        <w:t>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contrato</w:t>
      </w:r>
      <w:r w:rsidRPr="00FB27C3">
        <w:rPr>
          <w:rFonts w:eastAsia="Arial" w:cs="Arial"/>
          <w:sz w:val="18"/>
          <w:szCs w:val="18"/>
        </w:rPr>
        <w:t>”.</w:t>
      </w:r>
    </w:p>
    <w:p w14:paraId="3642C93D" w14:textId="77777777" w:rsidR="007E0088" w:rsidRPr="005D5908" w:rsidRDefault="007E0088">
      <w:pPr>
        <w:spacing w:line="240" w:lineRule="auto"/>
        <w:contextualSpacing/>
        <w:jc w:val="both"/>
        <w:rPr>
          <w:rFonts w:eastAsia="Arial" w:cs="Arial"/>
        </w:rPr>
      </w:pPr>
    </w:p>
    <w:p w14:paraId="3B2EEA6D" w14:textId="77777777" w:rsidR="00DA4C6A" w:rsidRDefault="005D5908">
      <w:pPr>
        <w:spacing w:line="240" w:lineRule="auto"/>
        <w:contextualSpacing/>
        <w:jc w:val="both"/>
        <w:rPr>
          <w:rFonts w:eastAsia="Arial" w:cs="Arial"/>
        </w:rPr>
      </w:pPr>
      <w:r w:rsidRPr="005D5908">
        <w:rPr>
          <w:rFonts w:eastAsia="Arial" w:cs="Arial"/>
        </w:rPr>
        <w:t>En relación con la publicación de las actuaciones contractuales en el Sistema Electrónico de Contratación Pública - SECOP, el Decreto 1082 de 2015 establece en el artículo 2.2.1.1.1.7.1. que:</w:t>
      </w:r>
    </w:p>
    <w:p w14:paraId="11E420BB" w14:textId="77777777" w:rsidR="00DA4C6A" w:rsidRDefault="00DA4C6A">
      <w:pPr>
        <w:spacing w:line="240" w:lineRule="auto"/>
        <w:contextualSpacing/>
        <w:jc w:val="both"/>
        <w:rPr>
          <w:rFonts w:eastAsia="Arial" w:cs="Arial"/>
        </w:rPr>
      </w:pPr>
    </w:p>
    <w:p w14:paraId="77C86432" w14:textId="77777777" w:rsidR="005D5908" w:rsidRPr="00FB27C3" w:rsidRDefault="005D5908">
      <w:pPr>
        <w:spacing w:line="240" w:lineRule="auto"/>
        <w:ind w:left="709"/>
        <w:contextualSpacing/>
        <w:jc w:val="both"/>
        <w:rPr>
          <w:rFonts w:eastAsia="Arial" w:cs="Arial"/>
          <w:sz w:val="18"/>
          <w:szCs w:val="18"/>
        </w:rPr>
      </w:pPr>
      <w:r w:rsidRPr="00FB27C3">
        <w:rPr>
          <w:rFonts w:eastAsia="Arial" w:cs="Arial"/>
          <w:i/>
          <w:iCs/>
          <w:sz w:val="18"/>
          <w:szCs w:val="18"/>
        </w:rPr>
        <w:t>“La Entidad Estatal está obligada a publicar en el SECOP los Documentos del Proceso y los actos administrativos del Proceso de Contratación, dentro de los tres (3) días siguientes a su expedición […]</w:t>
      </w:r>
      <w:r w:rsidRPr="00FB27C3">
        <w:rPr>
          <w:rFonts w:eastAsia="Arial" w:cs="Arial"/>
          <w:sz w:val="18"/>
          <w:szCs w:val="18"/>
        </w:rPr>
        <w:t>”.</w:t>
      </w:r>
    </w:p>
    <w:p w14:paraId="5DB8D031" w14:textId="77777777" w:rsidR="00DA4C6A" w:rsidRDefault="00DA4C6A">
      <w:pPr>
        <w:spacing w:line="240" w:lineRule="auto"/>
        <w:contextualSpacing/>
        <w:jc w:val="both"/>
        <w:rPr>
          <w:rFonts w:eastAsia="Arial" w:cs="Arial"/>
        </w:rPr>
      </w:pPr>
    </w:p>
    <w:p w14:paraId="1617D5B9" w14:textId="77777777" w:rsidR="00A84299" w:rsidRDefault="00A84299">
      <w:pPr>
        <w:spacing w:line="240" w:lineRule="auto"/>
        <w:contextualSpacing/>
        <w:jc w:val="both"/>
        <w:rPr>
          <w:rFonts w:eastAsia="Arial" w:cs="Arial"/>
        </w:rPr>
      </w:pPr>
      <w:r w:rsidRPr="1A0F71D1">
        <w:rPr>
          <w:rFonts w:eastAsia="Arial" w:cs="Arial"/>
        </w:rPr>
        <w:t xml:space="preserve">En la revisión y verificación </w:t>
      </w:r>
      <w:r>
        <w:rPr>
          <w:rFonts w:eastAsia="Arial" w:cs="Arial"/>
        </w:rPr>
        <w:t xml:space="preserve">de la actividad contractual del </w:t>
      </w:r>
      <w:r w:rsidR="00DA4C6A">
        <w:rPr>
          <w:rFonts w:eastAsia="Arial" w:cs="Arial"/>
        </w:rPr>
        <w:t>M</w:t>
      </w:r>
      <w:r>
        <w:rPr>
          <w:rFonts w:eastAsia="Arial" w:cs="Arial"/>
        </w:rPr>
        <w:t xml:space="preserve">unicipio </w:t>
      </w:r>
      <w:r w:rsidR="000A05B5">
        <w:rPr>
          <w:rFonts w:eastAsia="Arial" w:cs="Arial"/>
        </w:rPr>
        <w:t xml:space="preserve">de Puerto Leguízamo – Putumayo </w:t>
      </w:r>
      <w:r>
        <w:rPr>
          <w:rFonts w:eastAsia="Arial" w:cs="Arial"/>
        </w:rPr>
        <w:t>en</w:t>
      </w:r>
      <w:r w:rsidRPr="1A0F71D1">
        <w:rPr>
          <w:rFonts w:eastAsia="Arial" w:cs="Arial"/>
        </w:rPr>
        <w:t xml:space="preserve"> el </w:t>
      </w:r>
      <w:r w:rsidR="00DA4C6A">
        <w:rPr>
          <w:rFonts w:eastAsia="Arial" w:cs="Arial"/>
        </w:rPr>
        <w:t>S</w:t>
      </w:r>
      <w:r w:rsidRPr="1A0F71D1">
        <w:rPr>
          <w:rFonts w:eastAsia="Arial" w:cs="Arial"/>
        </w:rPr>
        <w:t>istema SECOP, esta Dirección evidenció la no publicación de documentación asociada a la etapa precontractual y, en mayor medida, en las etapas contractual y poscontra</w:t>
      </w:r>
      <w:r>
        <w:rPr>
          <w:rFonts w:eastAsia="Arial" w:cs="Arial"/>
        </w:rPr>
        <w:t>c</w:t>
      </w:r>
      <w:r w:rsidRPr="1A0F71D1">
        <w:rPr>
          <w:rFonts w:eastAsia="Arial" w:cs="Arial"/>
        </w:rPr>
        <w:t>tual</w:t>
      </w:r>
      <w:r w:rsidR="000A05B5">
        <w:rPr>
          <w:rFonts w:eastAsia="Arial" w:cs="Arial"/>
        </w:rPr>
        <w:t>.</w:t>
      </w:r>
      <w:r w:rsidRPr="1A0F71D1">
        <w:rPr>
          <w:rFonts w:eastAsia="Arial" w:cs="Arial"/>
        </w:rPr>
        <w:t xml:space="preserve"> </w:t>
      </w:r>
      <w:r w:rsidR="000A05B5">
        <w:rPr>
          <w:rFonts w:eastAsia="Arial" w:cs="Arial"/>
        </w:rPr>
        <w:t>E</w:t>
      </w:r>
      <w:r w:rsidRPr="1A0F71D1">
        <w:rPr>
          <w:rFonts w:eastAsia="Arial" w:cs="Arial"/>
        </w:rPr>
        <w:t>ntre</w:t>
      </w:r>
      <w:r w:rsidR="000A05B5">
        <w:rPr>
          <w:rFonts w:eastAsia="Arial" w:cs="Arial"/>
        </w:rPr>
        <w:t xml:space="preserve"> los documentos publicados</w:t>
      </w:r>
      <w:r w:rsidRPr="1A0F71D1">
        <w:rPr>
          <w:rFonts w:eastAsia="Arial" w:cs="Arial"/>
        </w:rPr>
        <w:t xml:space="preserve"> se evidencia la ausencia sistemática</w:t>
      </w:r>
      <w:r w:rsidR="00B6513B">
        <w:rPr>
          <w:rFonts w:eastAsia="Arial" w:cs="Arial"/>
        </w:rPr>
        <w:t xml:space="preserve"> </w:t>
      </w:r>
      <w:r w:rsidR="00C07C89">
        <w:rPr>
          <w:rFonts w:eastAsia="Arial" w:cs="Arial"/>
        </w:rPr>
        <w:t>de</w:t>
      </w:r>
      <w:r w:rsidRPr="1A0F71D1">
        <w:rPr>
          <w:rFonts w:eastAsia="Arial" w:cs="Arial"/>
        </w:rPr>
        <w:t xml:space="preserve"> los informes de supervisión, los informes de </w:t>
      </w:r>
      <w:r>
        <w:rPr>
          <w:rFonts w:eastAsia="Arial" w:cs="Arial"/>
        </w:rPr>
        <w:t>ejecución</w:t>
      </w:r>
      <w:r w:rsidRPr="1A0F71D1">
        <w:rPr>
          <w:rFonts w:eastAsia="Arial" w:cs="Arial"/>
        </w:rPr>
        <w:t xml:space="preserve">, y los </w:t>
      </w:r>
      <w:r>
        <w:rPr>
          <w:rFonts w:eastAsia="Arial" w:cs="Arial"/>
        </w:rPr>
        <w:t>d</w:t>
      </w:r>
      <w:r w:rsidRPr="1A0F71D1">
        <w:rPr>
          <w:rFonts w:eastAsia="Arial" w:cs="Arial"/>
        </w:rPr>
        <w:t>ocumentos presupuestales (</w:t>
      </w:r>
      <w:r>
        <w:rPr>
          <w:rFonts w:eastAsia="Arial" w:cs="Arial"/>
        </w:rPr>
        <w:t>r</w:t>
      </w:r>
      <w:r w:rsidRPr="1A0F71D1">
        <w:rPr>
          <w:rFonts w:eastAsia="Arial" w:cs="Arial"/>
        </w:rPr>
        <w:t xml:space="preserve">esolución de pago, </w:t>
      </w:r>
      <w:r>
        <w:rPr>
          <w:rFonts w:eastAsia="Arial" w:cs="Arial"/>
        </w:rPr>
        <w:t>c</w:t>
      </w:r>
      <w:r w:rsidRPr="1A0F71D1">
        <w:rPr>
          <w:rFonts w:eastAsia="Arial" w:cs="Arial"/>
        </w:rPr>
        <w:t xml:space="preserve">omprobante de </w:t>
      </w:r>
      <w:r>
        <w:rPr>
          <w:rFonts w:eastAsia="Arial" w:cs="Arial"/>
        </w:rPr>
        <w:lastRenderedPageBreak/>
        <w:t>e</w:t>
      </w:r>
      <w:r w:rsidRPr="1A0F71D1">
        <w:rPr>
          <w:rFonts w:eastAsia="Arial" w:cs="Arial"/>
        </w:rPr>
        <w:t xml:space="preserve">gresos, </w:t>
      </w:r>
      <w:r>
        <w:rPr>
          <w:rFonts w:eastAsia="Arial" w:cs="Arial"/>
        </w:rPr>
        <w:t>r</w:t>
      </w:r>
      <w:r w:rsidRPr="1A0F71D1">
        <w:rPr>
          <w:rFonts w:eastAsia="Arial" w:cs="Arial"/>
        </w:rPr>
        <w:t xml:space="preserve">egistros </w:t>
      </w:r>
      <w:r>
        <w:rPr>
          <w:rFonts w:eastAsia="Arial" w:cs="Arial"/>
        </w:rPr>
        <w:t>p</w:t>
      </w:r>
      <w:r w:rsidRPr="1A0F71D1">
        <w:rPr>
          <w:rFonts w:eastAsia="Arial" w:cs="Arial"/>
        </w:rPr>
        <w:t>resupuestales, entre otros)</w:t>
      </w:r>
      <w:r>
        <w:rPr>
          <w:rFonts w:eastAsia="Arial" w:cs="Arial"/>
        </w:rPr>
        <w:t xml:space="preserve">, </w:t>
      </w:r>
      <w:r w:rsidRPr="1A0F71D1">
        <w:rPr>
          <w:rFonts w:eastAsia="Arial" w:cs="Arial"/>
        </w:rPr>
        <w:t>como se relaciona a continuación en el cuadro:</w:t>
      </w:r>
    </w:p>
    <w:p w14:paraId="2B6EDF98" w14:textId="77777777" w:rsidR="00A84299" w:rsidRDefault="00A84299">
      <w:pPr>
        <w:spacing w:line="240" w:lineRule="auto"/>
        <w:contextualSpacing/>
        <w:jc w:val="both"/>
        <w:rPr>
          <w:rFonts w:eastAsia="Arial" w:cs="Arial"/>
        </w:rPr>
      </w:pPr>
    </w:p>
    <w:p w14:paraId="57848556" w14:textId="77777777" w:rsidR="00A84299" w:rsidRPr="005370C5" w:rsidRDefault="00A84299">
      <w:pPr>
        <w:spacing w:after="0" w:line="240" w:lineRule="auto"/>
        <w:contextualSpacing/>
        <w:jc w:val="center"/>
        <w:rPr>
          <w:rFonts w:eastAsia="Arial" w:cs="Arial"/>
          <w:b/>
          <w:bCs/>
          <w:sz w:val="20"/>
          <w:szCs w:val="20"/>
        </w:rPr>
      </w:pPr>
      <w:r w:rsidRPr="005370C5">
        <w:rPr>
          <w:rFonts w:eastAsia="Arial" w:cs="Arial"/>
          <w:b/>
          <w:bCs/>
          <w:sz w:val="20"/>
          <w:szCs w:val="20"/>
        </w:rPr>
        <w:t>Cuadro N</w:t>
      </w:r>
      <w:r>
        <w:rPr>
          <w:rFonts w:eastAsia="Arial" w:cs="Arial"/>
          <w:b/>
          <w:bCs/>
          <w:sz w:val="20"/>
          <w:szCs w:val="20"/>
        </w:rPr>
        <w:t>o.</w:t>
      </w:r>
      <w:r w:rsidRPr="005370C5">
        <w:rPr>
          <w:rFonts w:eastAsia="Arial" w:cs="Arial"/>
          <w:b/>
          <w:bCs/>
          <w:sz w:val="20"/>
          <w:szCs w:val="20"/>
        </w:rPr>
        <w:t xml:space="preserve"> </w:t>
      </w:r>
      <w:r w:rsidR="00D64481">
        <w:rPr>
          <w:rFonts w:eastAsia="Arial" w:cs="Arial"/>
          <w:b/>
          <w:bCs/>
          <w:sz w:val="20"/>
          <w:szCs w:val="20"/>
        </w:rPr>
        <w:t>8</w:t>
      </w:r>
    </w:p>
    <w:p w14:paraId="11FC1A26" w14:textId="77777777" w:rsidR="00A84299" w:rsidRDefault="00A84299">
      <w:pPr>
        <w:spacing w:after="0" w:line="240" w:lineRule="auto"/>
        <w:contextualSpacing/>
        <w:jc w:val="center"/>
        <w:rPr>
          <w:rFonts w:eastAsia="Arial" w:cs="Arial"/>
          <w:sz w:val="20"/>
          <w:szCs w:val="20"/>
        </w:rPr>
      </w:pPr>
      <w:r>
        <w:rPr>
          <w:rFonts w:eastAsia="Arial" w:cs="Arial"/>
          <w:sz w:val="20"/>
          <w:szCs w:val="20"/>
        </w:rPr>
        <w:t>Contratos con documentación pendiente de cargar</w:t>
      </w:r>
    </w:p>
    <w:p w14:paraId="0F83D87C" w14:textId="77777777" w:rsidR="00A84299" w:rsidRDefault="00A84299">
      <w:pPr>
        <w:spacing w:after="0" w:line="240" w:lineRule="auto"/>
        <w:contextualSpacing/>
        <w:jc w:val="center"/>
        <w:rPr>
          <w:rFonts w:eastAsia="Arial" w:cs="Arial"/>
          <w:sz w:val="20"/>
          <w:szCs w:val="20"/>
        </w:rPr>
      </w:pPr>
      <w:r>
        <w:rPr>
          <w:rFonts w:eastAsia="Arial" w:cs="Arial"/>
          <w:sz w:val="20"/>
          <w:szCs w:val="20"/>
        </w:rPr>
        <w:t>Municipio de Puerto Leguízamo – Putumayo</w:t>
      </w:r>
    </w:p>
    <w:tbl>
      <w:tblPr>
        <w:tblW w:w="8819" w:type="dxa"/>
        <w:jc w:val="center"/>
        <w:tblCellMar>
          <w:top w:w="15" w:type="dxa"/>
          <w:left w:w="70" w:type="dxa"/>
          <w:bottom w:w="15" w:type="dxa"/>
          <w:right w:w="70" w:type="dxa"/>
        </w:tblCellMar>
        <w:tblLook w:val="04A0" w:firstRow="1" w:lastRow="0" w:firstColumn="1" w:lastColumn="0" w:noHBand="0" w:noVBand="1"/>
      </w:tblPr>
      <w:tblGrid>
        <w:gridCol w:w="1435"/>
        <w:gridCol w:w="901"/>
        <w:gridCol w:w="1021"/>
        <w:gridCol w:w="1380"/>
        <w:gridCol w:w="871"/>
        <w:gridCol w:w="971"/>
        <w:gridCol w:w="1231"/>
        <w:gridCol w:w="1091"/>
      </w:tblGrid>
      <w:tr w:rsidR="00727F32" w:rsidRPr="00727F32" w14:paraId="290DB341" w14:textId="77777777" w:rsidTr="00727F32">
        <w:trPr>
          <w:trHeight w:val="20"/>
          <w:jc w:val="center"/>
        </w:trPr>
        <w:tc>
          <w:tcPr>
            <w:tcW w:w="1435" w:type="dxa"/>
            <w:tcBorders>
              <w:top w:val="nil"/>
              <w:left w:val="nil"/>
              <w:bottom w:val="nil"/>
              <w:right w:val="nil"/>
            </w:tcBorders>
            <w:noWrap/>
            <w:vAlign w:val="bottom"/>
            <w:hideMark/>
          </w:tcPr>
          <w:p w14:paraId="5014B4C2" w14:textId="77777777" w:rsidR="00727F32" w:rsidRPr="00B43146" w:rsidRDefault="00727F32" w:rsidP="001729F6">
            <w:pPr>
              <w:spacing w:after="0" w:line="240" w:lineRule="auto"/>
              <w:contextualSpacing/>
              <w:rPr>
                <w:rFonts w:ascii="Times New Roman" w:eastAsia="Times New Roman" w:hAnsi="Times New Roman" w:cs="Times New Roman"/>
                <w:sz w:val="18"/>
                <w:szCs w:val="18"/>
                <w:lang w:val="es-CO" w:eastAsia="es-CO"/>
              </w:rPr>
            </w:pPr>
          </w:p>
        </w:tc>
        <w:tc>
          <w:tcPr>
            <w:tcW w:w="0" w:type="auto"/>
            <w:gridSpan w:val="7"/>
            <w:tcBorders>
              <w:top w:val="single" w:sz="4" w:space="0" w:color="auto"/>
              <w:left w:val="single" w:sz="4" w:space="0" w:color="auto"/>
              <w:bottom w:val="single" w:sz="4" w:space="0" w:color="auto"/>
              <w:right w:val="nil"/>
            </w:tcBorders>
            <w:shd w:val="clear" w:color="000000" w:fill="666699"/>
            <w:vAlign w:val="center"/>
            <w:hideMark/>
          </w:tcPr>
          <w:p w14:paraId="45675AA8" w14:textId="77777777" w:rsidR="00727F32" w:rsidRPr="00B43146" w:rsidRDefault="00727F32" w:rsidP="001729F6">
            <w:pPr>
              <w:spacing w:after="0" w:line="240" w:lineRule="auto"/>
              <w:contextualSpacing/>
              <w:jc w:val="center"/>
              <w:rPr>
                <w:rFonts w:eastAsia="Times New Roman" w:cs="Arial"/>
                <w:b/>
                <w:bCs/>
                <w:color w:val="FFFFFF"/>
                <w:sz w:val="18"/>
                <w:szCs w:val="18"/>
                <w:lang w:val="es-CO" w:eastAsia="es-CO"/>
              </w:rPr>
            </w:pPr>
            <w:r w:rsidRPr="00B43146">
              <w:rPr>
                <w:rFonts w:eastAsia="Times New Roman" w:cs="Arial"/>
                <w:b/>
                <w:bCs/>
                <w:color w:val="FFFFFF"/>
                <w:sz w:val="18"/>
                <w:szCs w:val="18"/>
                <w:lang w:val="es-CO" w:eastAsia="es-CO"/>
              </w:rPr>
              <w:t xml:space="preserve">Documentación faltante </w:t>
            </w:r>
          </w:p>
        </w:tc>
      </w:tr>
      <w:tr w:rsidR="00727F32" w:rsidRPr="00B43146" w14:paraId="1E0619E9" w14:textId="77777777" w:rsidTr="00D33087">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666699"/>
            <w:vAlign w:val="center"/>
            <w:hideMark/>
          </w:tcPr>
          <w:p w14:paraId="0DA27E63" w14:textId="77777777" w:rsidR="00727F32" w:rsidRPr="00B43146" w:rsidRDefault="00727F32" w:rsidP="001729F6">
            <w:pPr>
              <w:spacing w:after="0" w:line="240" w:lineRule="auto"/>
              <w:contextualSpacing/>
              <w:jc w:val="center"/>
              <w:rPr>
                <w:rFonts w:eastAsia="Times New Roman" w:cs="Arial"/>
                <w:b/>
                <w:bCs/>
                <w:color w:val="FFFFFF"/>
                <w:sz w:val="18"/>
                <w:szCs w:val="18"/>
                <w:lang w:val="es-CO" w:eastAsia="es-CO"/>
              </w:rPr>
            </w:pPr>
            <w:r w:rsidRPr="00B43146">
              <w:rPr>
                <w:rFonts w:eastAsia="Times New Roman" w:cs="Arial"/>
                <w:b/>
                <w:bCs/>
                <w:color w:val="FFFFFF"/>
                <w:sz w:val="18"/>
                <w:szCs w:val="18"/>
                <w:lang w:val="es-CO" w:eastAsia="es-CO"/>
              </w:rPr>
              <w:t>Número del proceso</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2DD7512A"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Estudios previos</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385190C0"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 xml:space="preserve">Propuesta </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2C2ADD15"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Certificado de Disponibilidad Pres</w:t>
            </w:r>
            <w:r w:rsidR="008A78FB">
              <w:rPr>
                <w:rFonts w:eastAsia="Times New Roman" w:cs="Arial"/>
                <w:b/>
                <w:bCs/>
                <w:color w:val="000000"/>
                <w:sz w:val="18"/>
                <w:szCs w:val="18"/>
                <w:lang w:val="es-CO" w:eastAsia="es-CO"/>
              </w:rPr>
              <w:t>u</w:t>
            </w:r>
            <w:r w:rsidRPr="00B43146">
              <w:rPr>
                <w:rFonts w:eastAsia="Times New Roman" w:cs="Arial"/>
                <w:b/>
                <w:bCs/>
                <w:color w:val="000000"/>
                <w:sz w:val="18"/>
                <w:szCs w:val="18"/>
                <w:lang w:val="es-CO" w:eastAsia="es-CO"/>
              </w:rPr>
              <w:t>puestal</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0370457A"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Órdenes de pago</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0525FA71"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Informes de ejecución</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1D057F78"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Informes de supervisión o interventoría</w:t>
            </w:r>
          </w:p>
        </w:tc>
        <w:tc>
          <w:tcPr>
            <w:tcW w:w="0" w:type="auto"/>
            <w:tcBorders>
              <w:top w:val="single" w:sz="4" w:space="0" w:color="auto"/>
              <w:left w:val="single" w:sz="4" w:space="0" w:color="auto"/>
              <w:bottom w:val="single" w:sz="4" w:space="0" w:color="auto"/>
              <w:right w:val="single" w:sz="4" w:space="0" w:color="auto"/>
            </w:tcBorders>
            <w:shd w:val="clear" w:color="000000" w:fill="CCCCFF"/>
            <w:vAlign w:val="center"/>
            <w:hideMark/>
          </w:tcPr>
          <w:p w14:paraId="76F7DDD5"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Acta de liquidación</w:t>
            </w:r>
          </w:p>
        </w:tc>
      </w:tr>
      <w:tr w:rsidR="00727F32" w:rsidRPr="007E3531" w14:paraId="003208D0" w14:textId="77777777" w:rsidTr="00D33087">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6B1CB7EA"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CPS-022-2018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7C875A8"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0568C5D" w14:textId="77777777" w:rsidR="00727F32" w:rsidRPr="00B43146" w:rsidRDefault="00727F32"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353BFED"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EF6AF8D"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8B9A6DD"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54342D3"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06790FC"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p>
        </w:tc>
      </w:tr>
      <w:tr w:rsidR="00727F32" w:rsidRPr="007E3531" w14:paraId="52B9C8BF" w14:textId="77777777" w:rsidTr="00D33087">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1A88D14E"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CPS-039-2018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DD26A98"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C4FEF1D" w14:textId="77777777" w:rsidR="00727F32" w:rsidRPr="00B43146" w:rsidRDefault="00727F32"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19509C8"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DA4E5F8"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A172A4B"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5BE6452"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41B9F44"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p>
        </w:tc>
      </w:tr>
      <w:tr w:rsidR="00727F32" w:rsidRPr="007E3531" w14:paraId="5E281B1E" w14:textId="77777777" w:rsidTr="00D33087">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3C572772"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PS-MC-001-2018</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6911501"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DFCA57"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2623290"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C3A98AD"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F0000EE"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E30B3BB"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D6BDDC7"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p>
        </w:tc>
      </w:tr>
      <w:tr w:rsidR="00727F32" w:rsidRPr="007E3531" w14:paraId="0A2AF6E9" w14:textId="77777777" w:rsidTr="00D33087">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43A5499B"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CPS-027-2019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70594E1"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C2D3FD9" w14:textId="77777777" w:rsidR="00727F32" w:rsidRPr="00B43146" w:rsidRDefault="00727F32"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EF745F2"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F430DCA"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A74ACB1"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911BF85"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ED1428"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p>
        </w:tc>
      </w:tr>
      <w:tr w:rsidR="00727F32" w:rsidRPr="007E3531" w14:paraId="4FEC43A7" w14:textId="77777777" w:rsidTr="00D33087">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2D4EFAD9"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CPS-021-2019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9FA2522"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C6F5C13"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72C0CC1"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FF24FBB"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DE9B072"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922D477"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83DA4E8"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r>
      <w:tr w:rsidR="00727F32" w:rsidRPr="007E3531" w14:paraId="4CF98719" w14:textId="77777777" w:rsidTr="00D33087">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35EC42AC"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CPS-079-2019</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3C694A1"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440BDA7" w14:textId="77777777" w:rsidR="00727F32" w:rsidRPr="00B43146" w:rsidRDefault="00727F32"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B88F5A"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D6047CF"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AFC16B"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E9BEB07"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E945E7B"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r>
      <w:tr w:rsidR="00727F32" w:rsidRPr="007E3531" w14:paraId="65120E0A" w14:textId="77777777" w:rsidTr="00D33087">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1BC0B203"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CPS-044-2020</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A79CE18"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DE4409E" w14:textId="77777777" w:rsidR="00727F32" w:rsidRPr="00B43146" w:rsidRDefault="00727F32"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88FB554"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C2C3FBE"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89628FA"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3AEC734"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31CDB33"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p>
        </w:tc>
      </w:tr>
      <w:tr w:rsidR="00727F32" w:rsidRPr="007E3531" w14:paraId="76C47CAB" w14:textId="77777777" w:rsidTr="00D33087">
        <w:trPr>
          <w:trHeight w:val="20"/>
          <w:jc w:val="center"/>
        </w:trPr>
        <w:tc>
          <w:tcPr>
            <w:tcW w:w="1435" w:type="dxa"/>
            <w:tcBorders>
              <w:top w:val="single" w:sz="4" w:space="0" w:color="auto"/>
              <w:left w:val="single" w:sz="4" w:space="0" w:color="auto"/>
              <w:bottom w:val="single" w:sz="4" w:space="0" w:color="auto"/>
              <w:right w:val="single" w:sz="4" w:space="0" w:color="auto"/>
            </w:tcBorders>
            <w:shd w:val="clear" w:color="000000" w:fill="CCCCFF"/>
            <w:vAlign w:val="center"/>
            <w:hideMark/>
          </w:tcPr>
          <w:p w14:paraId="00B17FA9"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CPS-048-2020</w:t>
            </w:r>
          </w:p>
        </w:tc>
        <w:tc>
          <w:tcPr>
            <w:tcW w:w="0" w:type="auto"/>
            <w:tcBorders>
              <w:top w:val="single" w:sz="4" w:space="0" w:color="auto"/>
              <w:left w:val="single" w:sz="4" w:space="0" w:color="auto"/>
              <w:bottom w:val="nil"/>
              <w:right w:val="single" w:sz="4" w:space="0" w:color="auto"/>
            </w:tcBorders>
            <w:noWrap/>
            <w:vAlign w:val="bottom"/>
            <w:hideMark/>
          </w:tcPr>
          <w:p w14:paraId="347B2AB2"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auto"/>
              <w:left w:val="single" w:sz="4" w:space="0" w:color="auto"/>
              <w:bottom w:val="nil"/>
              <w:right w:val="single" w:sz="4" w:space="0" w:color="auto"/>
            </w:tcBorders>
            <w:noWrap/>
            <w:vAlign w:val="bottom"/>
            <w:hideMark/>
          </w:tcPr>
          <w:p w14:paraId="7421C042" w14:textId="77777777" w:rsidR="00727F32" w:rsidRPr="00B43146" w:rsidRDefault="00727F32" w:rsidP="001729F6">
            <w:pPr>
              <w:spacing w:after="0" w:line="240" w:lineRule="auto"/>
              <w:contextualSpacing/>
              <w:jc w:val="center"/>
              <w:rPr>
                <w:rFonts w:ascii="Times New Roman" w:eastAsia="Times New Roman" w:hAnsi="Times New Roman" w:cs="Times New Roman"/>
                <w:sz w:val="18"/>
                <w:szCs w:val="18"/>
                <w:lang w:val="es-CO" w:eastAsia="es-CO"/>
              </w:rPr>
            </w:pPr>
          </w:p>
        </w:tc>
        <w:tc>
          <w:tcPr>
            <w:tcW w:w="0" w:type="auto"/>
            <w:tcBorders>
              <w:top w:val="single" w:sz="4" w:space="0" w:color="auto"/>
              <w:left w:val="single" w:sz="4" w:space="0" w:color="auto"/>
              <w:bottom w:val="nil"/>
              <w:right w:val="single" w:sz="4" w:space="0" w:color="auto"/>
            </w:tcBorders>
            <w:noWrap/>
            <w:vAlign w:val="bottom"/>
            <w:hideMark/>
          </w:tcPr>
          <w:p w14:paraId="4DD9A843"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nil"/>
              <w:right w:val="single" w:sz="4" w:space="0" w:color="auto"/>
            </w:tcBorders>
            <w:noWrap/>
            <w:vAlign w:val="bottom"/>
            <w:hideMark/>
          </w:tcPr>
          <w:p w14:paraId="3218F360"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nil"/>
              <w:right w:val="single" w:sz="4" w:space="0" w:color="auto"/>
            </w:tcBorders>
            <w:noWrap/>
            <w:vAlign w:val="bottom"/>
            <w:hideMark/>
          </w:tcPr>
          <w:p w14:paraId="023D65F9"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nil"/>
              <w:right w:val="single" w:sz="4" w:space="0" w:color="auto"/>
            </w:tcBorders>
            <w:noWrap/>
            <w:vAlign w:val="bottom"/>
            <w:hideMark/>
          </w:tcPr>
          <w:p w14:paraId="087DA880"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auto"/>
              <w:left w:val="single" w:sz="4" w:space="0" w:color="auto"/>
              <w:bottom w:val="nil"/>
              <w:right w:val="single" w:sz="4" w:space="0" w:color="auto"/>
            </w:tcBorders>
            <w:noWrap/>
            <w:vAlign w:val="bottom"/>
            <w:hideMark/>
          </w:tcPr>
          <w:p w14:paraId="57B5DBF7"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p>
        </w:tc>
      </w:tr>
      <w:tr w:rsidR="00727F32" w:rsidRPr="007E3531" w14:paraId="6C62DF85" w14:textId="77777777" w:rsidTr="00D33087">
        <w:trPr>
          <w:trHeight w:val="20"/>
          <w:jc w:val="center"/>
        </w:trPr>
        <w:tc>
          <w:tcPr>
            <w:tcW w:w="1435" w:type="dxa"/>
            <w:tcBorders>
              <w:top w:val="single" w:sz="4" w:space="0" w:color="auto"/>
              <w:left w:val="single" w:sz="4" w:space="0" w:color="auto"/>
              <w:bottom w:val="single" w:sz="4" w:space="0" w:color="auto"/>
              <w:right w:val="nil"/>
            </w:tcBorders>
            <w:shd w:val="clear" w:color="000000" w:fill="CCCCFF"/>
            <w:vAlign w:val="center"/>
            <w:hideMark/>
          </w:tcPr>
          <w:p w14:paraId="6AEF96E4"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PS-MC-SEM-026-2020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047CA2E4"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C81B442"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6ED20FE"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62178205"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3AE3DA2D"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235BA73"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23EC044"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r>
      <w:tr w:rsidR="00727F32" w:rsidRPr="007E3531" w14:paraId="5BF44425" w14:textId="77777777" w:rsidTr="00D33087">
        <w:trPr>
          <w:trHeight w:val="20"/>
          <w:jc w:val="center"/>
        </w:trPr>
        <w:tc>
          <w:tcPr>
            <w:tcW w:w="1435" w:type="dxa"/>
            <w:tcBorders>
              <w:top w:val="single" w:sz="4" w:space="0" w:color="auto"/>
              <w:left w:val="single" w:sz="4" w:space="0" w:color="auto"/>
              <w:bottom w:val="single" w:sz="4" w:space="0" w:color="auto"/>
              <w:right w:val="nil"/>
            </w:tcBorders>
            <w:shd w:val="clear" w:color="000000" w:fill="CCCCFF"/>
            <w:vAlign w:val="center"/>
            <w:hideMark/>
          </w:tcPr>
          <w:p w14:paraId="2825E409"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r w:rsidRPr="00B43146">
              <w:rPr>
                <w:rFonts w:eastAsia="Times New Roman" w:cs="Arial"/>
                <w:b/>
                <w:bCs/>
                <w:color w:val="000000"/>
                <w:sz w:val="18"/>
                <w:szCs w:val="18"/>
                <w:lang w:val="es-CO" w:eastAsia="es-CO"/>
              </w:rPr>
              <w:t>PS-MC-SEM-045-2020</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50A9E457" w14:textId="77777777" w:rsidR="00727F32" w:rsidRPr="00B43146" w:rsidRDefault="00727F32" w:rsidP="001729F6">
            <w:pPr>
              <w:spacing w:after="0" w:line="240" w:lineRule="auto"/>
              <w:contextualSpacing/>
              <w:jc w:val="center"/>
              <w:rPr>
                <w:rFonts w:eastAsia="Times New Roman" w:cs="Arial"/>
                <w:b/>
                <w:bCs/>
                <w:color w:val="000000"/>
                <w:sz w:val="18"/>
                <w:szCs w:val="18"/>
                <w:lang w:val="es-CO" w:eastAsia="es-CO"/>
              </w:rPr>
            </w:pP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0A9CADA"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2CD7E098"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0CFE110"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71FA0557"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FABD56A"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c>
          <w:tcPr>
            <w:tcW w:w="0" w:type="auto"/>
            <w:tcBorders>
              <w:top w:val="single" w:sz="4" w:space="0" w:color="000000"/>
              <w:left w:val="single" w:sz="4" w:space="0" w:color="000000"/>
              <w:bottom w:val="single" w:sz="4" w:space="0" w:color="000000"/>
              <w:right w:val="single" w:sz="4" w:space="0" w:color="000000"/>
            </w:tcBorders>
            <w:noWrap/>
            <w:vAlign w:val="bottom"/>
            <w:hideMark/>
          </w:tcPr>
          <w:p w14:paraId="1E271243" w14:textId="77777777" w:rsidR="00727F32" w:rsidRPr="00B43146" w:rsidRDefault="00727F32" w:rsidP="001729F6">
            <w:pPr>
              <w:spacing w:after="0" w:line="240" w:lineRule="auto"/>
              <w:contextualSpacing/>
              <w:jc w:val="center"/>
              <w:rPr>
                <w:rFonts w:eastAsia="Times New Roman" w:cs="Arial"/>
                <w:color w:val="000000"/>
                <w:sz w:val="18"/>
                <w:szCs w:val="18"/>
                <w:lang w:val="es-CO" w:eastAsia="es-CO"/>
              </w:rPr>
            </w:pPr>
            <w:r w:rsidRPr="00B43146">
              <w:rPr>
                <w:rFonts w:eastAsia="Times New Roman" w:cs="Arial"/>
                <w:color w:val="000000"/>
                <w:sz w:val="18"/>
                <w:szCs w:val="18"/>
                <w:lang w:val="es-CO" w:eastAsia="es-CO"/>
              </w:rPr>
              <w:t>X</w:t>
            </w:r>
          </w:p>
        </w:tc>
      </w:tr>
    </w:tbl>
    <w:p w14:paraId="44E714EF" w14:textId="77777777" w:rsidR="00727F32" w:rsidRPr="00C16E4B" w:rsidRDefault="00727F32" w:rsidP="00286F4A">
      <w:pPr>
        <w:spacing w:after="0" w:line="240" w:lineRule="auto"/>
        <w:contextualSpacing/>
        <w:jc w:val="center"/>
        <w:rPr>
          <w:rFonts w:eastAsia="Arial" w:cs="Arial"/>
          <w:sz w:val="20"/>
          <w:szCs w:val="20"/>
        </w:rPr>
      </w:pPr>
    </w:p>
    <w:p w14:paraId="701AF854" w14:textId="77777777" w:rsidR="00A84299" w:rsidRPr="00FB27C3" w:rsidRDefault="00A84299">
      <w:pPr>
        <w:spacing w:line="240" w:lineRule="auto"/>
        <w:contextualSpacing/>
        <w:jc w:val="center"/>
        <w:rPr>
          <w:rFonts w:eastAsia="Arial" w:cs="Arial"/>
          <w:sz w:val="16"/>
          <w:szCs w:val="16"/>
        </w:rPr>
      </w:pPr>
      <w:r w:rsidRPr="00FB27C3">
        <w:rPr>
          <w:rFonts w:eastAsia="Arial" w:cs="Arial"/>
          <w:b/>
          <w:bCs/>
          <w:sz w:val="16"/>
          <w:szCs w:val="16"/>
          <w:lang w:val="es"/>
        </w:rPr>
        <w:t>Fuente:</w:t>
      </w:r>
      <w:r w:rsidRPr="00FB27C3">
        <w:rPr>
          <w:rFonts w:eastAsia="Arial" w:cs="Arial"/>
          <w:sz w:val="16"/>
          <w:szCs w:val="16"/>
          <w:lang w:val="es"/>
        </w:rPr>
        <w:t xml:space="preserve"> Elaboración DAF con base en la información entregada por el Municipio.</w:t>
      </w:r>
      <w:r w:rsidRPr="00FB27C3">
        <w:rPr>
          <w:rFonts w:eastAsia="Arial" w:cs="Arial"/>
          <w:sz w:val="16"/>
          <w:szCs w:val="16"/>
        </w:rPr>
        <w:t xml:space="preserve"> </w:t>
      </w:r>
    </w:p>
    <w:p w14:paraId="55B590BF" w14:textId="77777777" w:rsidR="00A84299" w:rsidRDefault="00A84299">
      <w:pPr>
        <w:spacing w:line="240" w:lineRule="auto"/>
        <w:contextualSpacing/>
        <w:jc w:val="both"/>
        <w:rPr>
          <w:rFonts w:eastAsia="Arial" w:cs="Arial"/>
        </w:rPr>
      </w:pPr>
    </w:p>
    <w:p w14:paraId="317ECE52" w14:textId="77777777" w:rsidR="00DA4C6A" w:rsidRDefault="00A84299">
      <w:pPr>
        <w:spacing w:line="240" w:lineRule="auto"/>
        <w:contextualSpacing/>
        <w:jc w:val="both"/>
        <w:rPr>
          <w:rStyle w:val="normaltextrun"/>
          <w:rFonts w:cs="Arial"/>
          <w:b/>
          <w:bCs/>
          <w:color w:val="000000"/>
          <w:shd w:val="clear" w:color="auto" w:fill="FFFFFF"/>
          <w:lang w:val="es-ES"/>
        </w:rPr>
      </w:pPr>
      <w:r w:rsidRPr="1A0F71D1">
        <w:rPr>
          <w:rFonts w:eastAsia="Arial" w:cs="Arial"/>
        </w:rPr>
        <w:t xml:space="preserve">Con lo anterior, se soporta que </w:t>
      </w:r>
      <w:r w:rsidR="000A05B5">
        <w:rPr>
          <w:rFonts w:eastAsia="Arial" w:cs="Arial"/>
        </w:rPr>
        <w:t xml:space="preserve">el </w:t>
      </w:r>
      <w:r w:rsidR="00DA4C6A">
        <w:rPr>
          <w:rFonts w:eastAsia="Arial" w:cs="Arial"/>
        </w:rPr>
        <w:t>M</w:t>
      </w:r>
      <w:r w:rsidR="000A05B5">
        <w:rPr>
          <w:rFonts w:eastAsia="Arial" w:cs="Arial"/>
        </w:rPr>
        <w:t>unicipio no ha publicado</w:t>
      </w:r>
      <w:r w:rsidR="000A05B5" w:rsidRPr="1A0F71D1">
        <w:rPr>
          <w:rFonts w:eastAsia="Arial" w:cs="Arial"/>
        </w:rPr>
        <w:t xml:space="preserve"> en el SECOP </w:t>
      </w:r>
      <w:r w:rsidRPr="1A0F71D1">
        <w:rPr>
          <w:rFonts w:eastAsia="Arial" w:cs="Arial"/>
        </w:rPr>
        <w:t>la documentación pertinente que permita la trazabilidad de los contratos celebrados en sus diferentes etapas</w:t>
      </w:r>
      <w:r>
        <w:rPr>
          <w:rFonts w:eastAsia="Arial" w:cs="Arial"/>
        </w:rPr>
        <w:t>, lo cual incumple la normativa, específicamente lo</w:t>
      </w:r>
      <w:r>
        <w:t xml:space="preserve"> preceptuado en los artículos 2.2.1.1.1.7.1, 2.2.2.1.8.3 del Decreto 1082 de 2015 en lo relacionado con “</w:t>
      </w:r>
      <w:r>
        <w:rPr>
          <w:i/>
          <w:iCs/>
        </w:rPr>
        <w:t>la publicidad de los procedimientos, documentos y actos asociados a los procesos de contratación”</w:t>
      </w:r>
      <w:r>
        <w:rPr>
          <w:rFonts w:eastAsia="Arial" w:cs="Arial"/>
        </w:rPr>
        <w:t>.</w:t>
      </w:r>
    </w:p>
    <w:p w14:paraId="68BDFEF2" w14:textId="77777777" w:rsidR="00DA4C6A" w:rsidRDefault="00DA4C6A">
      <w:pPr>
        <w:spacing w:line="240" w:lineRule="auto"/>
        <w:contextualSpacing/>
        <w:jc w:val="both"/>
        <w:rPr>
          <w:rStyle w:val="normaltextrun"/>
          <w:rFonts w:cs="Arial"/>
          <w:b/>
          <w:bCs/>
          <w:color w:val="000000"/>
          <w:shd w:val="clear" w:color="auto" w:fill="FFFFFF"/>
          <w:lang w:val="es-ES"/>
        </w:rPr>
      </w:pPr>
    </w:p>
    <w:p w14:paraId="5BEA7DFA" w14:textId="77777777" w:rsidR="0083049F" w:rsidRDefault="0083049F">
      <w:pPr>
        <w:spacing w:line="240" w:lineRule="auto"/>
        <w:contextualSpacing/>
        <w:jc w:val="both"/>
        <w:rPr>
          <w:rStyle w:val="normaltextrun"/>
          <w:rFonts w:cs="Arial"/>
          <w:color w:val="000000"/>
          <w:shd w:val="clear" w:color="auto" w:fill="FFFFFF"/>
          <w:lang w:val="es-ES"/>
        </w:rPr>
      </w:pPr>
      <w:r w:rsidRPr="00DF2058">
        <w:rPr>
          <w:rStyle w:val="normaltextrun"/>
          <w:rFonts w:cs="Arial"/>
          <w:b/>
          <w:bCs/>
          <w:color w:val="000000"/>
          <w:shd w:val="clear" w:color="auto" w:fill="FFFFFF"/>
          <w:lang w:val="es-ES"/>
        </w:rPr>
        <w:t>Evidencias</w:t>
      </w:r>
      <w:r w:rsidRPr="00DF2058">
        <w:rPr>
          <w:rStyle w:val="normaltextrun"/>
          <w:rFonts w:cs="Arial"/>
          <w:color w:val="000000"/>
          <w:shd w:val="clear" w:color="auto" w:fill="FFFFFF"/>
          <w:lang w:val="es-ES"/>
        </w:rPr>
        <w:t xml:space="preserve">: los documentos </w:t>
      </w:r>
      <w:r w:rsidR="000A05B5">
        <w:rPr>
          <w:rStyle w:val="normaltextrun"/>
          <w:rFonts w:cs="Arial"/>
          <w:color w:val="000000"/>
          <w:shd w:val="clear" w:color="auto" w:fill="FFFFFF"/>
          <w:lang w:val="es-ES"/>
        </w:rPr>
        <w:t xml:space="preserve">probatorios </w:t>
      </w:r>
      <w:r w:rsidRPr="00DF2058">
        <w:rPr>
          <w:rStyle w:val="normaltextrun"/>
          <w:rFonts w:cs="Arial"/>
          <w:color w:val="000000"/>
          <w:shd w:val="clear" w:color="auto" w:fill="FFFFFF"/>
          <w:lang w:val="es-ES"/>
        </w:rPr>
        <w:t>obran en el expediente digital en el Sistema Electrónico Documental SIED del Ministerio de Hacienda y Crédito Público No. 17/2021/D028-PREDI</w:t>
      </w:r>
      <w:r w:rsidR="000A05B5">
        <w:rPr>
          <w:rStyle w:val="normaltextrun"/>
          <w:rFonts w:cs="Arial"/>
          <w:color w:val="000000"/>
          <w:shd w:val="clear" w:color="auto" w:fill="FFFFFF"/>
          <w:lang w:val="es-ES"/>
        </w:rPr>
        <w:t>, así</w:t>
      </w:r>
      <w:r w:rsidRPr="00DF2058">
        <w:rPr>
          <w:rStyle w:val="normaltextrun"/>
          <w:rFonts w:cs="Arial"/>
          <w:color w:val="000000"/>
          <w:shd w:val="clear" w:color="auto" w:fill="FFFFFF"/>
          <w:lang w:val="es-ES"/>
        </w:rPr>
        <w:t>:</w:t>
      </w:r>
    </w:p>
    <w:p w14:paraId="4DEFC785" w14:textId="77777777" w:rsidR="003D28AE" w:rsidRDefault="003D28AE">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p>
    <w:p w14:paraId="02C62225" w14:textId="77777777" w:rsidR="003D28AE" w:rsidRPr="00DF2058"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sidRPr="00DF2058">
        <w:rPr>
          <w:rStyle w:val="normaltextrun"/>
          <w:rFonts w:ascii="Arial" w:eastAsiaTheme="minorHAnsi" w:hAnsi="Arial" w:cs="Arial"/>
          <w:color w:val="000000"/>
          <w:sz w:val="20"/>
          <w:szCs w:val="20"/>
          <w:shd w:val="clear" w:color="auto" w:fill="FFFFFF"/>
          <w:lang w:val="es-ES" w:eastAsia="en-US"/>
        </w:rPr>
        <w:t>Pantallazo SECOP Detalle del proceso_ CPS-022-2018.</w:t>
      </w:r>
      <w:r>
        <w:rPr>
          <w:rStyle w:val="normaltextrun"/>
          <w:rFonts w:ascii="Arial" w:eastAsiaTheme="minorHAnsi" w:hAnsi="Arial" w:cs="Arial"/>
          <w:color w:val="000000"/>
          <w:sz w:val="20"/>
          <w:szCs w:val="20"/>
          <w:shd w:val="clear" w:color="auto" w:fill="FFFFFF"/>
          <w:lang w:val="es-ES" w:eastAsia="en-US"/>
        </w:rPr>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Pr>
          <w:rStyle w:val="normaltextrun"/>
          <w:rFonts w:ascii="Arial" w:eastAsiaTheme="minorHAnsi" w:hAnsi="Arial" w:cs="Arial"/>
          <w:color w:val="000000"/>
          <w:sz w:val="20"/>
          <w:szCs w:val="20"/>
          <w:shd w:val="clear" w:color="auto" w:fill="FFFFFF"/>
          <w:lang w:val="es-ES" w:eastAsia="en-US"/>
        </w:rPr>
        <w:t xml:space="preserve"> </w:t>
      </w:r>
      <w:hyperlink r:id="rId84" w:history="1">
        <w:r w:rsidR="000A05B5" w:rsidRPr="005B0FC2">
          <w:rPr>
            <w:rStyle w:val="Hipervnculo"/>
            <w:rFonts w:ascii="Arial" w:eastAsiaTheme="minorHAnsi" w:hAnsi="Arial" w:cs="Arial"/>
            <w:sz w:val="20"/>
            <w:szCs w:val="20"/>
            <w:shd w:val="clear" w:color="auto" w:fill="FFFFFF"/>
            <w:lang w:val="es-ES" w:eastAsia="en-US"/>
          </w:rPr>
          <w:t>https://bit.ly/3vLnEos</w:t>
        </w:r>
      </w:hyperlink>
      <w:r w:rsidR="000A05B5">
        <w:rPr>
          <w:rStyle w:val="normaltextrun"/>
          <w:rFonts w:ascii="Arial" w:eastAsiaTheme="minorHAnsi" w:hAnsi="Arial" w:cs="Arial"/>
          <w:color w:val="000000"/>
          <w:sz w:val="20"/>
          <w:szCs w:val="20"/>
          <w:shd w:val="clear" w:color="auto" w:fill="FFFFFF"/>
          <w:lang w:val="es-ES" w:eastAsia="en-US"/>
        </w:rPr>
        <w:t xml:space="preserve"> </w:t>
      </w:r>
    </w:p>
    <w:p w14:paraId="06189D57" w14:textId="77777777" w:rsidR="00996381"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sidRPr="00DF2058">
        <w:rPr>
          <w:rStyle w:val="normaltextrun"/>
          <w:rFonts w:ascii="Arial" w:eastAsiaTheme="minorHAnsi" w:hAnsi="Arial" w:cs="Arial"/>
          <w:color w:val="000000"/>
          <w:sz w:val="20"/>
          <w:szCs w:val="20"/>
          <w:shd w:val="clear" w:color="auto" w:fill="FFFFFF"/>
          <w:lang w:val="es-ES" w:eastAsia="en-US"/>
        </w:rPr>
        <w:t>Pantallazo SECOP Detalle del proceso_ CPS-039-2018.</w:t>
      </w:r>
      <w:r>
        <w:rPr>
          <w:rStyle w:val="normaltextrun"/>
          <w:rFonts w:ascii="Arial" w:eastAsiaTheme="minorHAnsi" w:hAnsi="Arial" w:cs="Arial"/>
          <w:color w:val="000000"/>
          <w:sz w:val="20"/>
          <w:szCs w:val="20"/>
          <w:shd w:val="clear" w:color="auto" w:fill="FFFFFF"/>
          <w:lang w:val="es-ES" w:eastAsia="en-US"/>
        </w:rPr>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Pr>
          <w:rStyle w:val="normaltextrun"/>
          <w:rFonts w:ascii="Arial" w:eastAsiaTheme="minorHAnsi" w:hAnsi="Arial" w:cs="Arial"/>
          <w:color w:val="000000"/>
          <w:sz w:val="20"/>
          <w:szCs w:val="20"/>
          <w:shd w:val="clear" w:color="auto" w:fill="FFFFFF"/>
          <w:lang w:val="es-ES" w:eastAsia="en-US"/>
        </w:rPr>
        <w:t xml:space="preserve"> </w:t>
      </w:r>
      <w:hyperlink r:id="rId85" w:history="1">
        <w:r w:rsidR="000A05B5" w:rsidRPr="005B0FC2">
          <w:rPr>
            <w:rStyle w:val="Hipervnculo"/>
            <w:rFonts w:ascii="Arial" w:eastAsiaTheme="minorHAnsi" w:hAnsi="Arial" w:cs="Arial"/>
            <w:sz w:val="20"/>
            <w:szCs w:val="20"/>
            <w:shd w:val="clear" w:color="auto" w:fill="FFFFFF"/>
            <w:lang w:val="es-ES" w:eastAsia="en-US"/>
          </w:rPr>
          <w:t>https://bit.ly/3BsfHG9</w:t>
        </w:r>
      </w:hyperlink>
      <w:r w:rsidR="000A05B5">
        <w:rPr>
          <w:rStyle w:val="normaltextrun"/>
          <w:rFonts w:ascii="Arial" w:eastAsiaTheme="minorHAnsi" w:hAnsi="Arial" w:cs="Arial"/>
          <w:color w:val="000000"/>
          <w:sz w:val="20"/>
          <w:szCs w:val="20"/>
          <w:shd w:val="clear" w:color="auto" w:fill="FFFFFF"/>
          <w:lang w:val="es-ES" w:eastAsia="en-US"/>
        </w:rPr>
        <w:t xml:space="preserve"> </w:t>
      </w:r>
    </w:p>
    <w:p w14:paraId="7958D969" w14:textId="77777777" w:rsidR="00996381"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Pr>
          <w:rStyle w:val="normaltextrun"/>
          <w:rFonts w:ascii="Arial" w:eastAsiaTheme="minorHAnsi" w:hAnsi="Arial" w:cs="Arial"/>
          <w:color w:val="000000"/>
          <w:sz w:val="20"/>
          <w:szCs w:val="20"/>
          <w:shd w:val="clear" w:color="auto" w:fill="FFFFFF"/>
          <w:lang w:val="es-ES" w:eastAsia="en-US"/>
        </w:rPr>
        <w:t xml:space="preserve">Pantallazo SECOP </w:t>
      </w:r>
      <w:r w:rsidRPr="00996381">
        <w:rPr>
          <w:rStyle w:val="normaltextrun"/>
          <w:rFonts w:ascii="Arial" w:eastAsiaTheme="minorHAnsi" w:hAnsi="Arial" w:cs="Arial"/>
          <w:color w:val="000000"/>
          <w:sz w:val="20"/>
          <w:szCs w:val="20"/>
          <w:shd w:val="clear" w:color="auto" w:fill="FFFFFF"/>
          <w:lang w:val="es-ES" w:eastAsia="en-US"/>
        </w:rPr>
        <w:t>Detalle del proceso_ PS-MC-001-2018</w:t>
      </w:r>
      <w:r>
        <w:rPr>
          <w:rStyle w:val="normaltextrun"/>
          <w:rFonts w:ascii="Arial" w:eastAsiaTheme="minorHAnsi" w:hAnsi="Arial" w:cs="Arial"/>
          <w:color w:val="000000"/>
          <w:sz w:val="20"/>
          <w:szCs w:val="20"/>
          <w:shd w:val="clear" w:color="auto" w:fill="FFFFFF"/>
          <w:lang w:val="es-ES" w:eastAsia="en-US"/>
        </w:rPr>
        <w:t>.</w:t>
      </w:r>
      <w:r w:rsidRPr="00996381">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sidRPr="006767EB">
        <w:t xml:space="preserve"> </w:t>
      </w:r>
      <w:hyperlink r:id="rId86" w:history="1">
        <w:r w:rsidR="006767EB" w:rsidRPr="00002BCD">
          <w:rPr>
            <w:rStyle w:val="Hipervnculo"/>
            <w:rFonts w:ascii="Arial" w:eastAsiaTheme="minorHAnsi" w:hAnsi="Arial" w:cs="Arial"/>
            <w:sz w:val="20"/>
            <w:szCs w:val="20"/>
            <w:shd w:val="clear" w:color="auto" w:fill="FFFFFF"/>
            <w:lang w:val="es-ES" w:eastAsia="en-US"/>
          </w:rPr>
          <w:t>https://bit.ly/30Tse8I</w:t>
        </w:r>
      </w:hyperlink>
      <w:r w:rsidR="006767EB">
        <w:rPr>
          <w:rStyle w:val="normaltextrun"/>
          <w:rFonts w:ascii="Arial" w:eastAsiaTheme="minorHAnsi" w:hAnsi="Arial" w:cs="Arial"/>
          <w:color w:val="000000"/>
          <w:sz w:val="20"/>
          <w:szCs w:val="20"/>
          <w:shd w:val="clear" w:color="auto" w:fill="FFFFFF"/>
          <w:lang w:val="es-ES" w:eastAsia="en-US"/>
        </w:rPr>
        <w:t xml:space="preserve"> </w:t>
      </w:r>
    </w:p>
    <w:p w14:paraId="60999AED" w14:textId="77777777" w:rsidR="00996381"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Pr>
          <w:rStyle w:val="normaltextrun"/>
          <w:rFonts w:ascii="Arial" w:eastAsiaTheme="minorHAnsi" w:hAnsi="Arial" w:cs="Arial"/>
          <w:color w:val="000000"/>
          <w:sz w:val="20"/>
          <w:szCs w:val="20"/>
          <w:shd w:val="clear" w:color="auto" w:fill="FFFFFF"/>
          <w:lang w:val="es-ES" w:eastAsia="en-US"/>
        </w:rPr>
        <w:t xml:space="preserve">Pantallazo SECOP </w:t>
      </w:r>
      <w:r w:rsidRPr="00996381">
        <w:rPr>
          <w:rStyle w:val="normaltextrun"/>
          <w:rFonts w:ascii="Arial" w:eastAsiaTheme="minorHAnsi" w:hAnsi="Arial" w:cs="Arial"/>
          <w:color w:val="000000"/>
          <w:sz w:val="20"/>
          <w:szCs w:val="20"/>
          <w:shd w:val="clear" w:color="auto" w:fill="FFFFFF"/>
          <w:lang w:val="es-ES" w:eastAsia="en-US"/>
        </w:rPr>
        <w:t>Detalle del proceso_ CPS-027-2019</w:t>
      </w:r>
      <w:r>
        <w:rPr>
          <w:rStyle w:val="normaltextrun"/>
          <w:rFonts w:ascii="Arial" w:eastAsiaTheme="minorHAnsi" w:hAnsi="Arial" w:cs="Arial"/>
          <w:color w:val="000000"/>
          <w:sz w:val="20"/>
          <w:szCs w:val="20"/>
          <w:shd w:val="clear" w:color="auto" w:fill="FFFFFF"/>
          <w:lang w:val="es-ES" w:eastAsia="en-US"/>
        </w:rPr>
        <w:t>.</w:t>
      </w:r>
      <w:r w:rsidRPr="00996381">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Pr>
          <w:rStyle w:val="normaltextrun"/>
          <w:rFonts w:ascii="Arial" w:eastAsiaTheme="minorHAnsi" w:hAnsi="Arial" w:cs="Arial"/>
          <w:color w:val="000000"/>
          <w:sz w:val="20"/>
          <w:szCs w:val="20"/>
          <w:shd w:val="clear" w:color="auto" w:fill="FFFFFF"/>
          <w:lang w:val="es-ES" w:eastAsia="en-US"/>
        </w:rPr>
        <w:t xml:space="preserve"> </w:t>
      </w:r>
      <w:hyperlink r:id="rId87" w:history="1">
        <w:r w:rsidR="000A05B5" w:rsidRPr="005B0FC2">
          <w:rPr>
            <w:rStyle w:val="Hipervnculo"/>
            <w:rFonts w:ascii="Arial" w:eastAsiaTheme="minorHAnsi" w:hAnsi="Arial" w:cs="Arial"/>
            <w:sz w:val="20"/>
            <w:szCs w:val="20"/>
            <w:shd w:val="clear" w:color="auto" w:fill="FFFFFF"/>
            <w:lang w:val="es-ES" w:eastAsia="en-US"/>
          </w:rPr>
          <w:t>https://bit.ly/3nu3Li7</w:t>
        </w:r>
      </w:hyperlink>
      <w:r w:rsidR="000A05B5">
        <w:rPr>
          <w:rStyle w:val="normaltextrun"/>
          <w:rFonts w:ascii="Arial" w:eastAsiaTheme="minorHAnsi" w:hAnsi="Arial" w:cs="Arial"/>
          <w:color w:val="000000"/>
          <w:sz w:val="20"/>
          <w:szCs w:val="20"/>
          <w:shd w:val="clear" w:color="auto" w:fill="FFFFFF"/>
          <w:lang w:val="es-ES" w:eastAsia="en-US"/>
        </w:rPr>
        <w:t xml:space="preserve"> </w:t>
      </w:r>
    </w:p>
    <w:p w14:paraId="7FD96882" w14:textId="77777777" w:rsidR="00996381"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Pr>
          <w:rStyle w:val="normaltextrun"/>
          <w:rFonts w:ascii="Arial" w:eastAsiaTheme="minorHAnsi" w:hAnsi="Arial" w:cs="Arial"/>
          <w:color w:val="000000"/>
          <w:sz w:val="20"/>
          <w:szCs w:val="20"/>
          <w:shd w:val="clear" w:color="auto" w:fill="FFFFFF"/>
          <w:lang w:val="es-ES" w:eastAsia="en-US"/>
        </w:rPr>
        <w:lastRenderedPageBreak/>
        <w:t xml:space="preserve">Pantallazo SECOP </w:t>
      </w:r>
      <w:r w:rsidRPr="00996381">
        <w:rPr>
          <w:rStyle w:val="normaltextrun"/>
          <w:rFonts w:ascii="Arial" w:eastAsiaTheme="minorHAnsi" w:hAnsi="Arial" w:cs="Arial"/>
          <w:color w:val="000000"/>
          <w:sz w:val="20"/>
          <w:szCs w:val="20"/>
          <w:shd w:val="clear" w:color="auto" w:fill="FFFFFF"/>
          <w:lang w:val="es-ES" w:eastAsia="en-US"/>
        </w:rPr>
        <w:t>Detalle del proceso_ CPS-021-2019</w:t>
      </w:r>
      <w:r>
        <w:rPr>
          <w:rStyle w:val="normaltextrun"/>
          <w:rFonts w:ascii="Arial" w:eastAsiaTheme="minorHAnsi" w:hAnsi="Arial" w:cs="Arial"/>
          <w:color w:val="000000"/>
          <w:sz w:val="20"/>
          <w:szCs w:val="20"/>
          <w:shd w:val="clear" w:color="auto" w:fill="FFFFFF"/>
          <w:lang w:val="es-ES" w:eastAsia="en-US"/>
        </w:rPr>
        <w:t>.</w:t>
      </w:r>
      <w:r w:rsidRPr="00996381">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Pr>
          <w:rStyle w:val="normaltextrun"/>
          <w:rFonts w:ascii="Arial" w:eastAsiaTheme="minorHAnsi" w:hAnsi="Arial" w:cs="Arial"/>
          <w:color w:val="000000"/>
          <w:sz w:val="20"/>
          <w:szCs w:val="20"/>
          <w:shd w:val="clear" w:color="auto" w:fill="FFFFFF"/>
          <w:lang w:val="es-ES" w:eastAsia="en-US"/>
        </w:rPr>
        <w:t xml:space="preserve"> </w:t>
      </w:r>
      <w:hyperlink r:id="rId88" w:history="1">
        <w:r w:rsidR="000A05B5" w:rsidRPr="005B0FC2">
          <w:rPr>
            <w:rStyle w:val="Hipervnculo"/>
            <w:rFonts w:ascii="Arial" w:eastAsiaTheme="minorHAnsi" w:hAnsi="Arial" w:cs="Arial"/>
            <w:sz w:val="20"/>
            <w:szCs w:val="20"/>
            <w:shd w:val="clear" w:color="auto" w:fill="FFFFFF"/>
            <w:lang w:val="es-ES" w:eastAsia="en-US"/>
          </w:rPr>
          <w:t>https://bit.ly/2XRhqqI</w:t>
        </w:r>
      </w:hyperlink>
      <w:r w:rsidR="000A05B5">
        <w:rPr>
          <w:rStyle w:val="normaltextrun"/>
          <w:rFonts w:ascii="Arial" w:eastAsiaTheme="minorHAnsi" w:hAnsi="Arial" w:cs="Arial"/>
          <w:color w:val="000000"/>
          <w:sz w:val="20"/>
          <w:szCs w:val="20"/>
          <w:shd w:val="clear" w:color="auto" w:fill="FFFFFF"/>
          <w:lang w:val="es-ES" w:eastAsia="en-US"/>
        </w:rPr>
        <w:t xml:space="preserve"> </w:t>
      </w:r>
    </w:p>
    <w:p w14:paraId="528B5171" w14:textId="77777777" w:rsidR="00996381"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Pr>
          <w:rStyle w:val="normaltextrun"/>
          <w:rFonts w:ascii="Arial" w:eastAsiaTheme="minorHAnsi" w:hAnsi="Arial" w:cs="Arial"/>
          <w:color w:val="000000"/>
          <w:sz w:val="20"/>
          <w:szCs w:val="20"/>
          <w:shd w:val="clear" w:color="auto" w:fill="FFFFFF"/>
          <w:lang w:val="es-ES" w:eastAsia="en-US"/>
        </w:rPr>
        <w:t xml:space="preserve">Pantallazo SECOP </w:t>
      </w:r>
      <w:r w:rsidRPr="00996381">
        <w:rPr>
          <w:rStyle w:val="normaltextrun"/>
          <w:rFonts w:ascii="Arial" w:eastAsiaTheme="minorHAnsi" w:hAnsi="Arial" w:cs="Arial"/>
          <w:color w:val="000000"/>
          <w:sz w:val="20"/>
          <w:szCs w:val="20"/>
          <w:shd w:val="clear" w:color="auto" w:fill="FFFFFF"/>
          <w:lang w:val="es-ES" w:eastAsia="en-US"/>
        </w:rPr>
        <w:t>Detalle del proceso_ CPS-079-2019</w:t>
      </w:r>
      <w:r>
        <w:rPr>
          <w:rStyle w:val="normaltextrun"/>
          <w:rFonts w:ascii="Arial" w:eastAsiaTheme="minorHAnsi" w:hAnsi="Arial" w:cs="Arial"/>
          <w:color w:val="000000"/>
          <w:sz w:val="20"/>
          <w:szCs w:val="20"/>
          <w:shd w:val="clear" w:color="auto" w:fill="FFFFFF"/>
          <w:lang w:val="es-ES" w:eastAsia="en-US"/>
        </w:rPr>
        <w:t>.</w:t>
      </w:r>
      <w:r w:rsidRPr="00996381">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Pr>
          <w:rStyle w:val="normaltextrun"/>
          <w:rFonts w:ascii="Arial" w:eastAsiaTheme="minorHAnsi" w:hAnsi="Arial" w:cs="Arial"/>
          <w:color w:val="000000"/>
          <w:sz w:val="20"/>
          <w:szCs w:val="20"/>
          <w:shd w:val="clear" w:color="auto" w:fill="FFFFFF"/>
          <w:lang w:val="es-ES" w:eastAsia="en-US"/>
        </w:rPr>
        <w:t xml:space="preserve"> </w:t>
      </w:r>
      <w:hyperlink r:id="rId89" w:history="1">
        <w:r w:rsidR="000A05B5" w:rsidRPr="005B0FC2">
          <w:rPr>
            <w:rStyle w:val="Hipervnculo"/>
            <w:rFonts w:ascii="Arial" w:eastAsiaTheme="minorHAnsi" w:hAnsi="Arial" w:cs="Arial"/>
            <w:sz w:val="20"/>
            <w:szCs w:val="20"/>
            <w:shd w:val="clear" w:color="auto" w:fill="FFFFFF"/>
            <w:lang w:val="es-ES" w:eastAsia="en-US"/>
          </w:rPr>
          <w:t>https://bit.ly/3jEfQ2R</w:t>
        </w:r>
      </w:hyperlink>
      <w:r w:rsidR="000A05B5">
        <w:rPr>
          <w:rStyle w:val="normaltextrun"/>
          <w:rFonts w:ascii="Arial" w:eastAsiaTheme="minorHAnsi" w:hAnsi="Arial" w:cs="Arial"/>
          <w:color w:val="000000"/>
          <w:sz w:val="20"/>
          <w:szCs w:val="20"/>
          <w:shd w:val="clear" w:color="auto" w:fill="FFFFFF"/>
          <w:lang w:val="es-ES" w:eastAsia="en-US"/>
        </w:rPr>
        <w:t xml:space="preserve"> </w:t>
      </w:r>
    </w:p>
    <w:p w14:paraId="45C02C99" w14:textId="77777777" w:rsidR="00996381"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Pr>
          <w:rStyle w:val="normaltextrun"/>
          <w:rFonts w:ascii="Arial" w:eastAsiaTheme="minorHAnsi" w:hAnsi="Arial" w:cs="Arial"/>
          <w:color w:val="000000"/>
          <w:sz w:val="20"/>
          <w:szCs w:val="20"/>
          <w:shd w:val="clear" w:color="auto" w:fill="FFFFFF"/>
          <w:lang w:val="es-ES" w:eastAsia="en-US"/>
        </w:rPr>
        <w:t xml:space="preserve">Pantallazo SECOP </w:t>
      </w:r>
      <w:r w:rsidRPr="00996381">
        <w:rPr>
          <w:rStyle w:val="normaltextrun"/>
          <w:rFonts w:ascii="Arial" w:eastAsiaTheme="minorHAnsi" w:hAnsi="Arial" w:cs="Arial"/>
          <w:color w:val="000000"/>
          <w:sz w:val="20"/>
          <w:szCs w:val="20"/>
          <w:shd w:val="clear" w:color="auto" w:fill="FFFFFF"/>
          <w:lang w:val="es-ES" w:eastAsia="en-US"/>
        </w:rPr>
        <w:t>Detalle del proceso_ CPS-044-2020</w:t>
      </w:r>
      <w:r>
        <w:rPr>
          <w:rStyle w:val="normaltextrun"/>
          <w:rFonts w:ascii="Arial" w:eastAsiaTheme="minorHAnsi" w:hAnsi="Arial" w:cs="Arial"/>
          <w:color w:val="000000"/>
          <w:sz w:val="20"/>
          <w:szCs w:val="20"/>
          <w:shd w:val="clear" w:color="auto" w:fill="FFFFFF"/>
          <w:lang w:val="es-ES" w:eastAsia="en-US"/>
        </w:rPr>
        <w:t>.</w:t>
      </w:r>
      <w:r w:rsidRPr="00996381">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sidRPr="006767EB">
        <w:t xml:space="preserve"> </w:t>
      </w:r>
      <w:hyperlink r:id="rId90" w:history="1">
        <w:r w:rsidR="000A05B5" w:rsidRPr="005B0FC2">
          <w:rPr>
            <w:rStyle w:val="Hipervnculo"/>
            <w:rFonts w:ascii="Arial" w:eastAsiaTheme="minorHAnsi" w:hAnsi="Arial" w:cs="Arial"/>
            <w:sz w:val="20"/>
            <w:szCs w:val="20"/>
            <w:shd w:val="clear" w:color="auto" w:fill="FFFFFF"/>
            <w:lang w:val="es-ES" w:eastAsia="en-US"/>
          </w:rPr>
          <w:t>https://bit.ly/2Zndpum</w:t>
        </w:r>
      </w:hyperlink>
      <w:r w:rsidR="000A05B5">
        <w:rPr>
          <w:rStyle w:val="normaltextrun"/>
          <w:rFonts w:ascii="Arial" w:eastAsiaTheme="minorHAnsi" w:hAnsi="Arial" w:cs="Arial"/>
          <w:color w:val="000000"/>
          <w:sz w:val="20"/>
          <w:szCs w:val="20"/>
          <w:shd w:val="clear" w:color="auto" w:fill="FFFFFF"/>
          <w:lang w:val="es-ES" w:eastAsia="en-US"/>
        </w:rPr>
        <w:t xml:space="preserve"> </w:t>
      </w:r>
    </w:p>
    <w:p w14:paraId="787BCD89" w14:textId="77777777" w:rsidR="00996381"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Pr>
          <w:rStyle w:val="normaltextrun"/>
          <w:rFonts w:ascii="Arial" w:eastAsiaTheme="minorHAnsi" w:hAnsi="Arial" w:cs="Arial"/>
          <w:color w:val="000000"/>
          <w:sz w:val="20"/>
          <w:szCs w:val="20"/>
          <w:shd w:val="clear" w:color="auto" w:fill="FFFFFF"/>
          <w:lang w:val="es-ES" w:eastAsia="en-US"/>
        </w:rPr>
        <w:t xml:space="preserve">Pantallazo SECOP </w:t>
      </w:r>
      <w:r w:rsidRPr="00996381">
        <w:rPr>
          <w:rStyle w:val="normaltextrun"/>
          <w:rFonts w:ascii="Arial" w:eastAsiaTheme="minorHAnsi" w:hAnsi="Arial" w:cs="Arial"/>
          <w:color w:val="000000"/>
          <w:sz w:val="20"/>
          <w:szCs w:val="20"/>
          <w:shd w:val="clear" w:color="auto" w:fill="FFFFFF"/>
          <w:lang w:val="es-ES" w:eastAsia="en-US"/>
        </w:rPr>
        <w:t>Detalle del proceso_ CPS-048-2020</w:t>
      </w:r>
      <w:r>
        <w:rPr>
          <w:rStyle w:val="normaltextrun"/>
          <w:rFonts w:ascii="Arial" w:eastAsiaTheme="minorHAnsi" w:hAnsi="Arial" w:cs="Arial"/>
          <w:color w:val="000000"/>
          <w:sz w:val="20"/>
          <w:szCs w:val="20"/>
          <w:shd w:val="clear" w:color="auto" w:fill="FFFFFF"/>
          <w:lang w:val="es-ES" w:eastAsia="en-US"/>
        </w:rPr>
        <w:t>.</w:t>
      </w:r>
      <w:r w:rsidRPr="00996381">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sidRPr="006767EB">
        <w:t xml:space="preserve"> </w:t>
      </w:r>
      <w:hyperlink r:id="rId91" w:history="1">
        <w:r w:rsidR="006767EB" w:rsidRPr="00002BCD">
          <w:rPr>
            <w:rStyle w:val="Hipervnculo"/>
            <w:rFonts w:ascii="Arial" w:eastAsiaTheme="minorHAnsi" w:hAnsi="Arial" w:cs="Arial"/>
            <w:sz w:val="20"/>
            <w:szCs w:val="20"/>
            <w:shd w:val="clear" w:color="auto" w:fill="FFFFFF"/>
            <w:lang w:val="es-ES" w:eastAsia="en-US"/>
          </w:rPr>
          <w:t>https://bit.ly/3jCKmKL</w:t>
        </w:r>
      </w:hyperlink>
      <w:r w:rsidR="006767EB">
        <w:rPr>
          <w:rStyle w:val="normaltextrun"/>
          <w:rFonts w:ascii="Arial" w:eastAsiaTheme="minorHAnsi" w:hAnsi="Arial" w:cs="Arial"/>
          <w:color w:val="000000"/>
          <w:sz w:val="20"/>
          <w:szCs w:val="20"/>
          <w:shd w:val="clear" w:color="auto" w:fill="FFFFFF"/>
          <w:lang w:val="es-ES" w:eastAsia="en-US"/>
        </w:rPr>
        <w:t xml:space="preserve"> </w:t>
      </w:r>
    </w:p>
    <w:p w14:paraId="4088E673" w14:textId="77777777" w:rsidR="00996381"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Pr>
          <w:rStyle w:val="normaltextrun"/>
          <w:rFonts w:ascii="Arial" w:eastAsiaTheme="minorHAnsi" w:hAnsi="Arial" w:cs="Arial"/>
          <w:color w:val="000000"/>
          <w:sz w:val="20"/>
          <w:szCs w:val="20"/>
          <w:shd w:val="clear" w:color="auto" w:fill="FFFFFF"/>
          <w:lang w:val="es-ES" w:eastAsia="en-US"/>
        </w:rPr>
        <w:t xml:space="preserve">Pantallazo SECOP </w:t>
      </w:r>
      <w:r w:rsidRPr="00996381">
        <w:rPr>
          <w:rStyle w:val="normaltextrun"/>
          <w:rFonts w:ascii="Arial" w:eastAsiaTheme="minorHAnsi" w:hAnsi="Arial" w:cs="Arial"/>
          <w:color w:val="000000"/>
          <w:sz w:val="20"/>
          <w:szCs w:val="20"/>
          <w:shd w:val="clear" w:color="auto" w:fill="FFFFFF"/>
          <w:lang w:val="es-ES" w:eastAsia="en-US"/>
        </w:rPr>
        <w:t>Detalle del proceso_ PSMC-SEM-026-2020</w:t>
      </w:r>
      <w:r>
        <w:rPr>
          <w:rStyle w:val="normaltextrun"/>
          <w:rFonts w:ascii="Arial" w:eastAsiaTheme="minorHAnsi" w:hAnsi="Arial" w:cs="Arial"/>
          <w:color w:val="000000"/>
          <w:sz w:val="20"/>
          <w:szCs w:val="20"/>
          <w:shd w:val="clear" w:color="auto" w:fill="FFFFFF"/>
          <w:lang w:val="es-ES" w:eastAsia="en-US"/>
        </w:rPr>
        <w:t>.</w:t>
      </w:r>
      <w:r w:rsidRPr="00996381">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Pr>
          <w:rStyle w:val="normaltextrun"/>
          <w:rFonts w:ascii="Arial" w:eastAsiaTheme="minorHAnsi" w:hAnsi="Arial" w:cs="Arial"/>
          <w:color w:val="000000"/>
          <w:sz w:val="20"/>
          <w:szCs w:val="20"/>
          <w:shd w:val="clear" w:color="auto" w:fill="FFFFFF"/>
          <w:lang w:val="es-ES" w:eastAsia="en-US"/>
        </w:rPr>
        <w:t xml:space="preserve"> </w:t>
      </w:r>
      <w:hyperlink r:id="rId92" w:history="1">
        <w:r w:rsidR="000A05B5" w:rsidRPr="005B0FC2">
          <w:rPr>
            <w:rStyle w:val="Hipervnculo"/>
            <w:rFonts w:ascii="Arial" w:eastAsiaTheme="minorHAnsi" w:hAnsi="Arial" w:cs="Arial"/>
            <w:sz w:val="20"/>
            <w:szCs w:val="20"/>
            <w:shd w:val="clear" w:color="auto" w:fill="FFFFFF"/>
            <w:lang w:val="es-ES" w:eastAsia="en-US"/>
          </w:rPr>
          <w:t>https://bit.ly/3vK30VE</w:t>
        </w:r>
      </w:hyperlink>
      <w:r w:rsidR="000A05B5">
        <w:rPr>
          <w:rStyle w:val="normaltextrun"/>
          <w:rFonts w:ascii="Arial" w:eastAsiaTheme="minorHAnsi" w:hAnsi="Arial" w:cs="Arial"/>
          <w:color w:val="000000"/>
          <w:sz w:val="20"/>
          <w:szCs w:val="20"/>
          <w:shd w:val="clear" w:color="auto" w:fill="FFFFFF"/>
          <w:lang w:val="es-ES" w:eastAsia="en-US"/>
        </w:rPr>
        <w:t xml:space="preserve"> </w:t>
      </w:r>
    </w:p>
    <w:p w14:paraId="5EFD8FFC" w14:textId="77777777" w:rsidR="00996381" w:rsidRPr="00DF2058" w:rsidRDefault="00996381">
      <w:pPr>
        <w:pStyle w:val="paragraph"/>
        <w:numPr>
          <w:ilvl w:val="0"/>
          <w:numId w:val="27"/>
        </w:numPr>
        <w:spacing w:before="0" w:beforeAutospacing="0" w:after="0" w:afterAutospacing="0"/>
        <w:contextualSpacing/>
        <w:jc w:val="both"/>
        <w:textAlignment w:val="baseline"/>
        <w:rPr>
          <w:rStyle w:val="normaltextrun"/>
          <w:rFonts w:ascii="Arial" w:eastAsiaTheme="minorHAnsi" w:hAnsi="Arial" w:cs="Arial"/>
          <w:color w:val="000000"/>
          <w:sz w:val="20"/>
          <w:szCs w:val="20"/>
          <w:shd w:val="clear" w:color="auto" w:fill="FFFFFF"/>
          <w:lang w:val="es-ES" w:eastAsia="en-US"/>
        </w:rPr>
      </w:pPr>
      <w:r>
        <w:rPr>
          <w:rStyle w:val="normaltextrun"/>
          <w:rFonts w:ascii="Arial" w:eastAsiaTheme="minorHAnsi" w:hAnsi="Arial" w:cs="Arial"/>
          <w:color w:val="000000"/>
          <w:sz w:val="20"/>
          <w:szCs w:val="20"/>
          <w:shd w:val="clear" w:color="auto" w:fill="FFFFFF"/>
          <w:lang w:val="es-ES" w:eastAsia="en-US"/>
        </w:rPr>
        <w:t xml:space="preserve">Pantallazo SECOP </w:t>
      </w:r>
      <w:r w:rsidRPr="00996381">
        <w:rPr>
          <w:rStyle w:val="normaltextrun"/>
          <w:rFonts w:ascii="Arial" w:eastAsiaTheme="minorHAnsi" w:hAnsi="Arial" w:cs="Arial"/>
          <w:color w:val="000000"/>
          <w:sz w:val="20"/>
          <w:szCs w:val="20"/>
          <w:shd w:val="clear" w:color="auto" w:fill="FFFFFF"/>
          <w:lang w:val="es-ES" w:eastAsia="en-US"/>
        </w:rPr>
        <w:t>Detalle del proceso_ PSMC-SEM-045-2020</w:t>
      </w:r>
      <w:r>
        <w:rPr>
          <w:rStyle w:val="normaltextrun"/>
          <w:rFonts w:ascii="Arial" w:eastAsiaTheme="minorHAnsi" w:hAnsi="Arial" w:cs="Arial"/>
          <w:color w:val="000000"/>
          <w:sz w:val="20"/>
          <w:szCs w:val="20"/>
          <w:shd w:val="clear" w:color="auto" w:fill="FFFFFF"/>
          <w:lang w:val="es-ES" w:eastAsia="en-US"/>
        </w:rPr>
        <w:t>.</w:t>
      </w:r>
      <w:r w:rsidRPr="00996381">
        <w:t xml:space="preserve"> </w:t>
      </w:r>
      <w:r w:rsidRPr="00996381">
        <w:rPr>
          <w:rStyle w:val="normaltextrun"/>
          <w:rFonts w:ascii="Arial" w:eastAsiaTheme="minorHAnsi" w:hAnsi="Arial" w:cs="Arial"/>
          <w:color w:val="000000"/>
          <w:sz w:val="20"/>
          <w:szCs w:val="20"/>
          <w:shd w:val="clear" w:color="auto" w:fill="FFFFFF"/>
          <w:lang w:val="es-ES" w:eastAsia="en-US"/>
        </w:rPr>
        <w:t>Participación de Propósito General. Municipio de Puerto Leguízamo - Putumayo. Serie “Historial de Seguimiento y Control a los Recursos del Sistema General de Participaciones – Diagnóstico”. Expediente digital No. 17/2021/D028-PREDI.</w:t>
      </w:r>
      <w:r w:rsidR="006767EB" w:rsidRPr="006767EB">
        <w:t xml:space="preserve"> </w:t>
      </w:r>
      <w:hyperlink r:id="rId93" w:history="1">
        <w:r w:rsidR="000A05B5" w:rsidRPr="005B0FC2">
          <w:rPr>
            <w:rStyle w:val="Hipervnculo"/>
            <w:rFonts w:ascii="Arial" w:eastAsiaTheme="minorHAnsi" w:hAnsi="Arial" w:cs="Arial"/>
            <w:sz w:val="20"/>
            <w:szCs w:val="20"/>
            <w:shd w:val="clear" w:color="auto" w:fill="FFFFFF"/>
            <w:lang w:val="es-ES" w:eastAsia="en-US"/>
          </w:rPr>
          <w:t>https://bit.ly/3b8QVQy</w:t>
        </w:r>
      </w:hyperlink>
      <w:r w:rsidR="000A05B5">
        <w:rPr>
          <w:rStyle w:val="normaltextrun"/>
          <w:rFonts w:ascii="Arial" w:eastAsiaTheme="minorHAnsi" w:hAnsi="Arial" w:cs="Arial"/>
          <w:color w:val="000000"/>
          <w:sz w:val="20"/>
          <w:szCs w:val="20"/>
          <w:shd w:val="clear" w:color="auto" w:fill="FFFFFF"/>
          <w:lang w:val="es-ES" w:eastAsia="en-US"/>
        </w:rPr>
        <w:t xml:space="preserve"> </w:t>
      </w:r>
    </w:p>
    <w:p w14:paraId="408997F4" w14:textId="77777777" w:rsidR="00A84299" w:rsidRDefault="00A84299">
      <w:pPr>
        <w:spacing w:line="240" w:lineRule="auto"/>
        <w:contextualSpacing/>
        <w:jc w:val="both"/>
        <w:rPr>
          <w:rFonts w:eastAsia="Arial" w:cs="Arial"/>
          <w:lang w:val="es-ES"/>
        </w:rPr>
      </w:pPr>
    </w:p>
    <w:p w14:paraId="79974A92" w14:textId="77777777" w:rsidR="005C34CF" w:rsidRDefault="00DA4C6A">
      <w:pPr>
        <w:tabs>
          <w:tab w:val="left" w:pos="2268"/>
        </w:tabs>
        <w:spacing w:line="240" w:lineRule="auto"/>
        <w:contextualSpacing/>
        <w:jc w:val="both"/>
        <w:rPr>
          <w:rFonts w:cs="Arial"/>
          <w:b/>
          <w:i/>
          <w:iCs/>
          <w:lang w:val="es-CO"/>
        </w:rPr>
      </w:pPr>
      <w:r>
        <w:rPr>
          <w:rFonts w:cs="Arial"/>
          <w:b/>
          <w:lang w:val="es-CO"/>
        </w:rPr>
        <w:t xml:space="preserve">Evento se Riesgo </w:t>
      </w:r>
      <w:r w:rsidR="005C34CF">
        <w:rPr>
          <w:rFonts w:cs="Arial"/>
          <w:b/>
          <w:lang w:val="es-CO"/>
        </w:rPr>
        <w:t>9.18. “</w:t>
      </w:r>
      <w:r w:rsidR="005C34CF">
        <w:rPr>
          <w:rFonts w:cs="Arial"/>
          <w:b/>
          <w:i/>
          <w:lang w:val="es-CO"/>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005C34CF">
        <w:rPr>
          <w:rFonts w:cs="Arial"/>
          <w:b/>
          <w:i/>
          <w:iCs/>
          <w:lang w:val="es-CO"/>
        </w:rPr>
        <w:t>”.</w:t>
      </w:r>
    </w:p>
    <w:p w14:paraId="3C14C890" w14:textId="77777777" w:rsidR="001758E0" w:rsidRPr="00D026A8" w:rsidRDefault="001758E0">
      <w:pPr>
        <w:tabs>
          <w:tab w:val="left" w:pos="426"/>
          <w:tab w:val="left" w:pos="2268"/>
        </w:tabs>
        <w:spacing w:line="240" w:lineRule="auto"/>
        <w:contextualSpacing/>
        <w:jc w:val="both"/>
        <w:rPr>
          <w:rFonts w:eastAsia="Calibri" w:cs="Arial"/>
          <w:color w:val="000000" w:themeColor="text1"/>
          <w:lang w:val="es-CO"/>
        </w:rPr>
      </w:pPr>
    </w:p>
    <w:p w14:paraId="045F0A2B" w14:textId="77777777" w:rsidR="00365B37" w:rsidRPr="00365B37" w:rsidRDefault="00365B37">
      <w:pPr>
        <w:pStyle w:val="Prrafodelista"/>
        <w:numPr>
          <w:ilvl w:val="0"/>
          <w:numId w:val="22"/>
        </w:numPr>
        <w:tabs>
          <w:tab w:val="left" w:pos="426"/>
          <w:tab w:val="left" w:pos="2268"/>
        </w:tabs>
        <w:spacing w:line="240" w:lineRule="auto"/>
        <w:jc w:val="both"/>
        <w:rPr>
          <w:rFonts w:eastAsia="Calibri" w:cs="Arial"/>
          <w:color w:val="000000" w:themeColor="text1"/>
          <w:lang w:val="es-CO"/>
        </w:rPr>
      </w:pPr>
      <w:r w:rsidRPr="00365B37">
        <w:rPr>
          <w:rFonts w:eastAsia="Calibri" w:cs="Arial"/>
          <w:b/>
          <w:color w:val="000000"/>
          <w:lang w:val="es-CO"/>
        </w:rPr>
        <w:t xml:space="preserve">Deficiencias en </w:t>
      </w:r>
      <w:r w:rsidR="0069237F">
        <w:rPr>
          <w:rFonts w:eastAsia="Calibri" w:cs="Arial"/>
          <w:b/>
          <w:color w:val="000000"/>
          <w:lang w:val="es-CO"/>
        </w:rPr>
        <w:t>el acceso y disponibilidad de información del</w:t>
      </w:r>
      <w:r w:rsidRPr="00365B37">
        <w:rPr>
          <w:rFonts w:eastAsia="Calibri" w:cs="Arial"/>
          <w:b/>
          <w:color w:val="000000"/>
          <w:lang w:val="es-CO"/>
        </w:rPr>
        <w:t xml:space="preserve"> Banco de Programas y Proyectos de Inversión Municipal</w:t>
      </w:r>
      <w:r w:rsidR="0043475B">
        <w:rPr>
          <w:rFonts w:eastAsia="Calibri" w:cs="Arial"/>
          <w:b/>
          <w:color w:val="000000"/>
          <w:lang w:val="es-CO"/>
        </w:rPr>
        <w:t>.</w:t>
      </w:r>
    </w:p>
    <w:p w14:paraId="4D15BC88" w14:textId="77777777" w:rsidR="0043475B" w:rsidRDefault="0043475B">
      <w:pPr>
        <w:tabs>
          <w:tab w:val="left" w:pos="426"/>
          <w:tab w:val="left" w:pos="2268"/>
        </w:tabs>
        <w:spacing w:line="240" w:lineRule="auto"/>
        <w:contextualSpacing/>
        <w:jc w:val="both"/>
        <w:rPr>
          <w:rFonts w:eastAsia="Calibri" w:cs="Arial"/>
          <w:color w:val="000000" w:themeColor="text1"/>
          <w:lang w:val="es-CO"/>
        </w:rPr>
      </w:pPr>
    </w:p>
    <w:p w14:paraId="55EE8DFD" w14:textId="77777777" w:rsidR="0043475B" w:rsidRPr="00656B70" w:rsidRDefault="005824C6">
      <w:pPr>
        <w:tabs>
          <w:tab w:val="left" w:pos="426"/>
          <w:tab w:val="left" w:pos="2268"/>
        </w:tabs>
        <w:spacing w:line="240" w:lineRule="auto"/>
        <w:contextualSpacing/>
        <w:jc w:val="both"/>
        <w:rPr>
          <w:rFonts w:eastAsia="Calibri" w:cs="Arial"/>
          <w:i/>
          <w:iCs/>
          <w:color w:val="000000" w:themeColor="text1"/>
          <w:lang w:val="es-CO"/>
        </w:rPr>
      </w:pPr>
      <w:r w:rsidRPr="00365B37">
        <w:rPr>
          <w:rFonts w:eastAsia="Calibri" w:cs="Arial"/>
          <w:color w:val="000000" w:themeColor="text1"/>
          <w:lang w:val="es-CO"/>
        </w:rPr>
        <w:t>La Ley Orgánica del Plan de Desarrollo -Ley 152 de 1994-, cuyo ámbito de aplicación, según su artículo 2</w:t>
      </w:r>
      <w:r w:rsidR="00F94DB7">
        <w:rPr>
          <w:rFonts w:eastAsia="Calibri" w:cs="Arial"/>
          <w:color w:val="000000" w:themeColor="text1"/>
          <w:lang w:val="es-CO"/>
        </w:rPr>
        <w:t>,</w:t>
      </w:r>
      <w:r w:rsidRPr="00365B37">
        <w:rPr>
          <w:rFonts w:eastAsia="Calibri" w:cs="Arial"/>
          <w:color w:val="000000" w:themeColor="text1"/>
          <w:lang w:val="es-CO"/>
        </w:rPr>
        <w:t xml:space="preserve"> será la </w:t>
      </w:r>
      <w:r w:rsidR="0043475B">
        <w:rPr>
          <w:rFonts w:eastAsia="Calibri" w:cs="Arial"/>
          <w:color w:val="000000" w:themeColor="text1"/>
          <w:lang w:val="es-CO"/>
        </w:rPr>
        <w:t>N</w:t>
      </w:r>
      <w:r w:rsidRPr="00365B37">
        <w:rPr>
          <w:rFonts w:eastAsia="Calibri" w:cs="Arial"/>
          <w:color w:val="000000" w:themeColor="text1"/>
          <w:lang w:val="es-CO"/>
        </w:rPr>
        <w:t>ación, las entidades territoriales y los organismos públicos de todo orden, establece en su artículo 27 que</w:t>
      </w:r>
      <w:r w:rsidR="0043475B">
        <w:rPr>
          <w:rFonts w:eastAsia="Calibri" w:cs="Arial"/>
          <w:color w:val="000000" w:themeColor="text1"/>
          <w:lang w:val="es-CO"/>
        </w:rPr>
        <w:t xml:space="preserve">: </w:t>
      </w:r>
      <w:r w:rsidRPr="00656B70">
        <w:rPr>
          <w:rFonts w:eastAsia="Calibri" w:cs="Arial"/>
          <w:color w:val="000000" w:themeColor="text1"/>
          <w:lang w:val="es-CO"/>
        </w:rPr>
        <w:t>“</w:t>
      </w:r>
      <w:r w:rsidRPr="00656B70">
        <w:rPr>
          <w:rFonts w:eastAsia="Calibri" w:cs="Arial"/>
          <w:i/>
          <w:iCs/>
          <w:color w:val="000000" w:themeColor="text1"/>
          <w:lang w:val="es-CO"/>
        </w:rPr>
        <w:t>el Banco de Programas y Proyectos de Inversión Nacional es un instrumento para la planeación que registra los programas y proyectos viables técnica, ambiental y socioeconómicamente, susceptibles de financiación con recursos del Presupuesto General de la Nación”.</w:t>
      </w:r>
    </w:p>
    <w:p w14:paraId="3BCA01EB" w14:textId="77777777" w:rsidR="0043475B" w:rsidRDefault="0043475B">
      <w:pPr>
        <w:tabs>
          <w:tab w:val="left" w:pos="426"/>
          <w:tab w:val="left" w:pos="2268"/>
        </w:tabs>
        <w:spacing w:line="240" w:lineRule="auto"/>
        <w:contextualSpacing/>
        <w:jc w:val="both"/>
        <w:rPr>
          <w:rFonts w:eastAsia="Calibri" w:cs="Arial"/>
          <w:i/>
          <w:iCs/>
          <w:color w:val="000000" w:themeColor="text1"/>
          <w:lang w:val="es-CO"/>
        </w:rPr>
      </w:pPr>
    </w:p>
    <w:p w14:paraId="4FB87A7F" w14:textId="77777777" w:rsidR="005824C6" w:rsidRDefault="005824C6">
      <w:pPr>
        <w:tabs>
          <w:tab w:val="left" w:pos="426"/>
          <w:tab w:val="left" w:pos="2268"/>
        </w:tabs>
        <w:spacing w:line="240" w:lineRule="auto"/>
        <w:contextualSpacing/>
        <w:jc w:val="both"/>
        <w:rPr>
          <w:rFonts w:eastAsia="Calibri" w:cs="Arial"/>
          <w:color w:val="000000" w:themeColor="text1"/>
          <w:lang w:val="es-CO"/>
        </w:rPr>
      </w:pPr>
      <w:r w:rsidRPr="00365B37">
        <w:rPr>
          <w:rFonts w:eastAsia="Calibri" w:cs="Arial"/>
          <w:color w:val="000000" w:themeColor="text1"/>
          <w:lang w:val="es-CO"/>
        </w:rPr>
        <w:t>En esta línea, los bancos de programas y proyectos constituyen un instrumento fundamental para el desarrollo de las entidades estatales en la medida que permiten orientar la inversión pública hacia la entrega efectiva de bienes y servicios públicos.</w:t>
      </w:r>
    </w:p>
    <w:p w14:paraId="73404A14" w14:textId="77777777" w:rsidR="0043475B" w:rsidRPr="00365B37" w:rsidRDefault="0043475B">
      <w:pPr>
        <w:tabs>
          <w:tab w:val="left" w:pos="426"/>
          <w:tab w:val="left" w:pos="2268"/>
        </w:tabs>
        <w:spacing w:line="240" w:lineRule="auto"/>
        <w:contextualSpacing/>
        <w:jc w:val="both"/>
        <w:rPr>
          <w:rFonts w:eastAsia="Calibri" w:cs="Arial"/>
          <w:color w:val="000000" w:themeColor="text1"/>
          <w:lang w:val="es-CO"/>
        </w:rPr>
      </w:pPr>
    </w:p>
    <w:p w14:paraId="0466C958" w14:textId="77777777" w:rsidR="005824C6" w:rsidRDefault="005824C6">
      <w:pPr>
        <w:tabs>
          <w:tab w:val="left" w:pos="426"/>
          <w:tab w:val="left" w:pos="2268"/>
        </w:tabs>
        <w:spacing w:line="240" w:lineRule="auto"/>
        <w:contextualSpacing/>
        <w:jc w:val="both"/>
        <w:rPr>
          <w:rFonts w:eastAsia="Calibri" w:cs="Arial"/>
          <w:i/>
          <w:color w:val="000000"/>
          <w:lang w:val="es-CO"/>
        </w:rPr>
      </w:pPr>
      <w:r w:rsidRPr="00312F75">
        <w:rPr>
          <w:rFonts w:eastAsia="Calibri" w:cs="Arial"/>
          <w:color w:val="000000"/>
          <w:lang w:val="es-CO"/>
        </w:rPr>
        <w:t>Al respecto, frente a la obligatoriedad de su conformación en las entidades territoriales, el artículo 49, numerales 3 y 4 de la norma citada, establece que: “</w:t>
      </w:r>
      <w:r w:rsidRPr="00312F75">
        <w:rPr>
          <w:rFonts w:eastAsia="Calibri" w:cs="Arial"/>
          <w:i/>
          <w:color w:val="000000"/>
          <w:lang w:val="es-CO"/>
        </w:rPr>
        <w:t>las entidades territoriales, a través de sus organismos de Planeación, organizarán y pondrán en funcionamiento bancos de programas y proyectos y sistemas de información para la planeación […]”.</w:t>
      </w:r>
    </w:p>
    <w:p w14:paraId="7646F3FB" w14:textId="77777777" w:rsidR="002C7BDA" w:rsidRPr="00312F75" w:rsidRDefault="002C7BDA">
      <w:pPr>
        <w:tabs>
          <w:tab w:val="left" w:pos="426"/>
          <w:tab w:val="left" w:pos="2268"/>
        </w:tabs>
        <w:spacing w:line="240" w:lineRule="auto"/>
        <w:contextualSpacing/>
        <w:jc w:val="both"/>
        <w:rPr>
          <w:rFonts w:eastAsia="Calibri" w:cs="Arial"/>
          <w:i/>
          <w:color w:val="000000"/>
          <w:lang w:val="es-CO"/>
        </w:rPr>
      </w:pPr>
    </w:p>
    <w:p w14:paraId="1B0ADB2C" w14:textId="77777777" w:rsidR="005824C6" w:rsidRDefault="005824C6">
      <w:pPr>
        <w:tabs>
          <w:tab w:val="left" w:pos="426"/>
          <w:tab w:val="left" w:pos="2268"/>
        </w:tabs>
        <w:spacing w:line="240" w:lineRule="auto"/>
        <w:contextualSpacing/>
        <w:jc w:val="both"/>
        <w:rPr>
          <w:rFonts w:eastAsia="Calibri" w:cs="Arial"/>
          <w:i/>
          <w:color w:val="000000"/>
          <w:lang w:val="es-CO"/>
        </w:rPr>
      </w:pPr>
      <w:r w:rsidRPr="00312F75">
        <w:rPr>
          <w:rFonts w:eastAsia="Calibri" w:cs="Arial"/>
          <w:color w:val="000000"/>
          <w:lang w:val="es-CO"/>
        </w:rPr>
        <w:lastRenderedPageBreak/>
        <w:t>Ahora bien</w:t>
      </w:r>
      <w:r w:rsidRPr="00312F75">
        <w:rPr>
          <w:rFonts w:eastAsia="Calibri" w:cs="Arial"/>
          <w:i/>
          <w:color w:val="000000"/>
          <w:lang w:val="es-CO"/>
        </w:rPr>
        <w:t>, e</w:t>
      </w:r>
      <w:r w:rsidRPr="00312F75">
        <w:rPr>
          <w:rFonts w:eastAsia="Calibri" w:cs="Arial"/>
          <w:color w:val="000000"/>
          <w:lang w:val="es-CO"/>
        </w:rPr>
        <w:t>n términos de la integración de la planeación y el sistema presupuestal, el artículo 68 del Decreto 111 de 1996 aplicable a las entidades territoriales en virtud de lo dispuesto en los artículos 104 y 109 del Decreto citado y en concordancia con los artículos 28 y 36 de la Ley 152 de 1994, establece la</w:t>
      </w:r>
      <w:r w:rsidRPr="00312F75">
        <w:t xml:space="preserve"> </w:t>
      </w:r>
      <w:r w:rsidRPr="00312F75">
        <w:rPr>
          <w:rFonts w:eastAsia="Calibri" w:cs="Arial"/>
          <w:color w:val="000000"/>
          <w:lang w:val="es-CO"/>
        </w:rPr>
        <w:t xml:space="preserve">obligatoriedad de registrar los programas y proyectos de inversión en el </w:t>
      </w:r>
      <w:r>
        <w:rPr>
          <w:rFonts w:eastAsia="Calibri" w:cs="Arial"/>
          <w:color w:val="000000"/>
          <w:lang w:val="es-CO"/>
        </w:rPr>
        <w:t>b</w:t>
      </w:r>
      <w:r w:rsidRPr="00312F75">
        <w:rPr>
          <w:rFonts w:eastAsia="Calibri" w:cs="Arial"/>
          <w:color w:val="000000"/>
          <w:lang w:val="es-CO"/>
        </w:rPr>
        <w:t xml:space="preserve">anco de </w:t>
      </w:r>
      <w:r>
        <w:rPr>
          <w:rFonts w:eastAsia="Calibri" w:cs="Arial"/>
          <w:color w:val="000000"/>
          <w:lang w:val="es-CO"/>
        </w:rPr>
        <w:t>p</w:t>
      </w:r>
      <w:r w:rsidRPr="00312F75">
        <w:rPr>
          <w:rFonts w:eastAsia="Calibri" w:cs="Arial"/>
          <w:color w:val="000000"/>
          <w:lang w:val="es-CO"/>
        </w:rPr>
        <w:t xml:space="preserve">rogramas y </w:t>
      </w:r>
      <w:r>
        <w:rPr>
          <w:rFonts w:eastAsia="Calibri" w:cs="Arial"/>
          <w:color w:val="000000"/>
          <w:lang w:val="es-CO"/>
        </w:rPr>
        <w:t>p</w:t>
      </w:r>
      <w:r w:rsidRPr="00312F75">
        <w:rPr>
          <w:rFonts w:eastAsia="Calibri" w:cs="Arial"/>
          <w:color w:val="000000"/>
          <w:lang w:val="es-CO"/>
        </w:rPr>
        <w:t xml:space="preserve">royectos para poderlos ejecutar en el marco del presupuesto general, orientación definida en los siguientes términos: </w:t>
      </w:r>
      <w:r w:rsidRPr="00312F75">
        <w:rPr>
          <w:rFonts w:eastAsia="Calibri" w:cs="Arial"/>
          <w:i/>
          <w:color w:val="000000"/>
          <w:lang w:val="es-CO"/>
        </w:rPr>
        <w:t>“No se podrá ejecutar ningún programa o proyecto que haga parte del Presupuesto General de la Nación hasta tanto se encuentren evaluados por el órgano competente y registrados en el Banco Nacional de Programas y Proyectos […]”.</w:t>
      </w:r>
    </w:p>
    <w:p w14:paraId="0A86EB8C" w14:textId="77777777" w:rsidR="005824C6" w:rsidRPr="00312F75" w:rsidRDefault="005824C6">
      <w:pPr>
        <w:tabs>
          <w:tab w:val="left" w:pos="426"/>
          <w:tab w:val="left" w:pos="2268"/>
        </w:tabs>
        <w:spacing w:line="240" w:lineRule="auto"/>
        <w:contextualSpacing/>
        <w:jc w:val="both"/>
        <w:rPr>
          <w:rFonts w:eastAsia="Calibri" w:cs="Arial"/>
          <w:i/>
          <w:color w:val="000000"/>
          <w:lang w:val="es-CO"/>
        </w:rPr>
      </w:pPr>
    </w:p>
    <w:p w14:paraId="7507150D" w14:textId="77777777" w:rsidR="005824C6" w:rsidRDefault="00974325">
      <w:pPr>
        <w:tabs>
          <w:tab w:val="left" w:pos="426"/>
          <w:tab w:val="left" w:pos="2268"/>
        </w:tabs>
        <w:spacing w:line="240" w:lineRule="auto"/>
        <w:contextualSpacing/>
        <w:jc w:val="both"/>
        <w:rPr>
          <w:rFonts w:eastAsia="Calibri" w:cs="Arial"/>
          <w:color w:val="000000"/>
          <w:lang w:val="es-CO"/>
        </w:rPr>
      </w:pPr>
      <w:r>
        <w:rPr>
          <w:rFonts w:eastAsia="Calibri" w:cs="Arial"/>
          <w:color w:val="000000"/>
          <w:lang w:val="es-CO"/>
        </w:rPr>
        <w:t>De igual manera</w:t>
      </w:r>
      <w:r w:rsidR="005824C6" w:rsidRPr="00312F75">
        <w:rPr>
          <w:rFonts w:eastAsia="Calibri" w:cs="Arial"/>
          <w:color w:val="000000"/>
          <w:lang w:val="es-CO"/>
        </w:rPr>
        <w:t xml:space="preserve">, en el documento </w:t>
      </w:r>
      <w:r w:rsidR="005824C6">
        <w:rPr>
          <w:rFonts w:eastAsia="Calibri" w:cs="Arial"/>
          <w:color w:val="000000"/>
          <w:lang w:val="es-CO"/>
        </w:rPr>
        <w:t>“</w:t>
      </w:r>
      <w:r w:rsidR="005824C6" w:rsidRPr="00312F75">
        <w:rPr>
          <w:rFonts w:eastAsia="Calibri" w:cs="Arial"/>
          <w:i/>
          <w:color w:val="000000"/>
          <w:lang w:val="es-CO"/>
        </w:rPr>
        <w:t>Orientaciones para la programación y ejecución de los recursos del Sistema General de Participaciones (SGP</w:t>
      </w:r>
      <w:r w:rsidR="00EB5310">
        <w:rPr>
          <w:rFonts w:eastAsia="Calibri" w:cs="Arial"/>
          <w:i/>
          <w:color w:val="000000"/>
          <w:lang w:val="es-CO"/>
        </w:rPr>
        <w:t xml:space="preserve"> (2017)</w:t>
      </w:r>
      <w:r w:rsidR="005824C6" w:rsidRPr="00312F75">
        <w:rPr>
          <w:rFonts w:eastAsia="Calibri" w:cs="Arial"/>
          <w:i/>
          <w:color w:val="000000"/>
          <w:lang w:val="es-CO"/>
        </w:rPr>
        <w:t>)</w:t>
      </w:r>
      <w:r w:rsidR="005824C6">
        <w:rPr>
          <w:rFonts w:eastAsia="Calibri" w:cs="Arial"/>
          <w:iCs/>
          <w:color w:val="000000"/>
          <w:lang w:val="es-CO"/>
        </w:rPr>
        <w:t>”</w:t>
      </w:r>
      <w:r w:rsidR="005824C6" w:rsidRPr="00312F75">
        <w:rPr>
          <w:rFonts w:eastAsia="Calibri" w:cs="Arial"/>
          <w:i/>
          <w:color w:val="000000"/>
          <w:lang w:val="es-CO"/>
        </w:rPr>
        <w:t>;</w:t>
      </w:r>
      <w:r w:rsidR="005824C6" w:rsidRPr="00312F75">
        <w:rPr>
          <w:rFonts w:eastAsia="Calibri" w:cs="Arial"/>
          <w:color w:val="000000"/>
          <w:lang w:val="es-CO"/>
        </w:rPr>
        <w:t xml:space="preserve"> Capítulo 6 Participación de Propósito General</w:t>
      </w:r>
      <w:r w:rsidR="005824C6" w:rsidRPr="00312F75">
        <w:rPr>
          <w:rStyle w:val="Refdenotaalpie"/>
          <w:rFonts w:eastAsia="Calibri"/>
          <w:color w:val="000000"/>
          <w:lang w:val="es-CO"/>
        </w:rPr>
        <w:footnoteReference w:id="20"/>
      </w:r>
      <w:r w:rsidR="00F94DB7">
        <w:rPr>
          <w:rFonts w:eastAsia="Calibri" w:cs="Arial"/>
          <w:color w:val="000000"/>
          <w:lang w:val="es-CO"/>
        </w:rPr>
        <w:t>,</w:t>
      </w:r>
      <w:r w:rsidR="005824C6" w:rsidRPr="00312F75">
        <w:rPr>
          <w:rFonts w:eastAsia="Calibri" w:cs="Arial"/>
          <w:color w:val="000000"/>
          <w:lang w:val="es-CO"/>
        </w:rPr>
        <w:t xml:space="preserve"> se determina</w:t>
      </w:r>
      <w:r w:rsidR="00F94DB7">
        <w:rPr>
          <w:rFonts w:eastAsia="Calibri" w:cs="Arial"/>
          <w:color w:val="000000"/>
          <w:lang w:val="es-CO"/>
        </w:rPr>
        <w:t xml:space="preserve"> que</w:t>
      </w:r>
      <w:r w:rsidR="005824C6" w:rsidRPr="00312F75">
        <w:rPr>
          <w:rFonts w:eastAsia="Calibri" w:cs="Arial"/>
          <w:color w:val="000000"/>
          <w:lang w:val="es-CO"/>
        </w:rPr>
        <w:t>:</w:t>
      </w:r>
    </w:p>
    <w:p w14:paraId="2BBF8098" w14:textId="77777777" w:rsidR="005824C6" w:rsidRPr="00312F75" w:rsidRDefault="005824C6">
      <w:pPr>
        <w:tabs>
          <w:tab w:val="left" w:pos="426"/>
          <w:tab w:val="left" w:pos="2268"/>
        </w:tabs>
        <w:spacing w:line="240" w:lineRule="auto"/>
        <w:contextualSpacing/>
        <w:jc w:val="both"/>
        <w:rPr>
          <w:rFonts w:eastAsia="Calibri" w:cs="Arial"/>
          <w:color w:val="000000"/>
          <w:lang w:val="es-CO"/>
        </w:rPr>
      </w:pPr>
    </w:p>
    <w:p w14:paraId="6CB51E35" w14:textId="77777777" w:rsidR="005824C6" w:rsidRPr="00607E6A" w:rsidRDefault="005824C6">
      <w:pPr>
        <w:spacing w:line="240" w:lineRule="auto"/>
        <w:ind w:left="709" w:right="50"/>
        <w:contextualSpacing/>
        <w:jc w:val="both"/>
        <w:rPr>
          <w:rFonts w:eastAsia="Calibri" w:cs="Arial"/>
          <w:i/>
          <w:color w:val="000000"/>
          <w:sz w:val="18"/>
          <w:szCs w:val="18"/>
          <w:lang w:val="es-CO"/>
        </w:rPr>
      </w:pPr>
      <w:r>
        <w:rPr>
          <w:rFonts w:eastAsia="Calibri" w:cs="Arial"/>
          <w:iCs/>
          <w:color w:val="000000"/>
          <w:sz w:val="18"/>
          <w:szCs w:val="18"/>
          <w:lang w:val="es-CO"/>
        </w:rPr>
        <w:t>“</w:t>
      </w:r>
      <w:r w:rsidRPr="00607E6A">
        <w:rPr>
          <w:rFonts w:eastAsia="Calibri" w:cs="Arial"/>
          <w:i/>
          <w:color w:val="000000"/>
          <w:sz w:val="18"/>
          <w:szCs w:val="18"/>
          <w:lang w:val="es-CO"/>
        </w:rPr>
        <w:t>Para la programación y ejecución de los recursos de la participación de propósito general de forzosa inversión es necesario tener en cuenta las siguientes consideraciones:</w:t>
      </w:r>
    </w:p>
    <w:p w14:paraId="7B54D308" w14:textId="77777777" w:rsidR="005824C6" w:rsidRPr="00607E6A" w:rsidRDefault="005824C6">
      <w:pPr>
        <w:spacing w:line="240" w:lineRule="auto"/>
        <w:ind w:left="709" w:right="50"/>
        <w:contextualSpacing/>
        <w:jc w:val="both"/>
        <w:rPr>
          <w:rFonts w:eastAsia="Calibri" w:cs="Arial"/>
          <w:i/>
          <w:color w:val="000000"/>
          <w:sz w:val="18"/>
          <w:szCs w:val="18"/>
          <w:lang w:val="es-CO"/>
        </w:rPr>
      </w:pPr>
    </w:p>
    <w:p w14:paraId="0030DCCF" w14:textId="77777777" w:rsidR="005824C6" w:rsidRPr="00607E6A" w:rsidRDefault="005824C6">
      <w:pPr>
        <w:spacing w:line="240" w:lineRule="auto"/>
        <w:ind w:left="709" w:right="50"/>
        <w:contextualSpacing/>
        <w:jc w:val="both"/>
        <w:rPr>
          <w:rFonts w:eastAsia="Calibri" w:cs="Arial"/>
          <w:i/>
          <w:color w:val="000000"/>
          <w:sz w:val="18"/>
          <w:szCs w:val="18"/>
          <w:lang w:val="es-CO"/>
        </w:rPr>
      </w:pPr>
      <w:r w:rsidRPr="00607E6A">
        <w:rPr>
          <w:rFonts w:eastAsia="Calibri" w:cs="Arial"/>
          <w:i/>
          <w:color w:val="000000"/>
          <w:sz w:val="18"/>
          <w:szCs w:val="18"/>
          <w:lang w:val="es-CO"/>
        </w:rPr>
        <w:t>• […]</w:t>
      </w:r>
    </w:p>
    <w:p w14:paraId="6D93B143" w14:textId="77777777" w:rsidR="005824C6" w:rsidRPr="00607E6A" w:rsidRDefault="005824C6">
      <w:pPr>
        <w:spacing w:line="240" w:lineRule="auto"/>
        <w:ind w:left="709" w:right="50"/>
        <w:contextualSpacing/>
        <w:jc w:val="both"/>
        <w:rPr>
          <w:rFonts w:eastAsia="Calibri" w:cs="Arial"/>
          <w:i/>
          <w:color w:val="000000"/>
          <w:sz w:val="18"/>
          <w:szCs w:val="18"/>
          <w:lang w:val="es-CO"/>
        </w:rPr>
      </w:pPr>
    </w:p>
    <w:p w14:paraId="56043CCB" w14:textId="77777777" w:rsidR="005824C6" w:rsidRPr="00607E6A" w:rsidRDefault="005824C6">
      <w:pPr>
        <w:spacing w:line="240" w:lineRule="auto"/>
        <w:ind w:left="709" w:right="50"/>
        <w:contextualSpacing/>
        <w:jc w:val="both"/>
        <w:rPr>
          <w:rFonts w:eastAsia="Calibri" w:cs="Arial"/>
          <w:i/>
          <w:color w:val="000000"/>
          <w:sz w:val="18"/>
          <w:szCs w:val="18"/>
          <w:lang w:val="es-CO"/>
        </w:rPr>
      </w:pPr>
      <w:r w:rsidRPr="00607E6A">
        <w:rPr>
          <w:rFonts w:eastAsia="Calibri" w:cs="Arial"/>
          <w:i/>
          <w:color w:val="000000"/>
          <w:sz w:val="18"/>
          <w:szCs w:val="18"/>
          <w:lang w:val="es-CO"/>
        </w:rPr>
        <w:t xml:space="preserve">• Los recursos deben ejecutarse conforme a programas y proyectos viables. En este sentido se recuerda el objeto y sentido de la planeación, en la medida en que el proyecto se constituye en la unidad básica de dicho proceso, que debe contener objetivos acordes con las políticas generales de desarrollo de la entidad territorial. </w:t>
      </w:r>
    </w:p>
    <w:p w14:paraId="7B9D1DB8" w14:textId="77777777" w:rsidR="005824C6" w:rsidRPr="00607E6A" w:rsidRDefault="005824C6">
      <w:pPr>
        <w:spacing w:line="240" w:lineRule="auto"/>
        <w:ind w:left="709" w:right="50"/>
        <w:contextualSpacing/>
        <w:jc w:val="both"/>
        <w:rPr>
          <w:rFonts w:eastAsia="Calibri" w:cs="Arial"/>
          <w:i/>
          <w:color w:val="000000"/>
          <w:sz w:val="18"/>
          <w:szCs w:val="18"/>
          <w:lang w:val="es-CO"/>
        </w:rPr>
      </w:pPr>
    </w:p>
    <w:p w14:paraId="558A2436" w14:textId="77777777" w:rsidR="005824C6" w:rsidRDefault="005824C6">
      <w:pPr>
        <w:spacing w:line="240" w:lineRule="auto"/>
        <w:ind w:left="709" w:right="50"/>
        <w:contextualSpacing/>
        <w:jc w:val="both"/>
        <w:rPr>
          <w:rFonts w:eastAsia="Calibri" w:cs="Arial"/>
          <w:i/>
          <w:color w:val="000000"/>
          <w:sz w:val="18"/>
          <w:szCs w:val="18"/>
          <w:lang w:val="es-CO"/>
        </w:rPr>
      </w:pPr>
      <w:r w:rsidRPr="00607E6A">
        <w:rPr>
          <w:rFonts w:eastAsia="Calibri" w:cs="Arial"/>
          <w:i/>
          <w:color w:val="000000"/>
          <w:sz w:val="18"/>
          <w:szCs w:val="18"/>
          <w:lang w:val="es-CO"/>
        </w:rPr>
        <w:t xml:space="preserve">• El proyecto debe inscribirse en el Banco de Proyectos de Inversión Municipal, para lo cual deberá cumplir con las condiciones técnicas mínimas, es decir que tenga objetivos, una identificación clara, que desarrolle las actividades para la consecución del objetivo y que determine los recursos humanos, físicos y financieros requeridos para sus logros en determinado plazo, e indicadores que permitan medir el cumplimiento de los objetivos y metas planteadas en el mismo. Igualmente, estos programas y proyectos a financiar deben estar enmarcados en los objetivos y estrategias del plan de desarrollo local </w:t>
      </w:r>
      <w:r w:rsidRPr="00607E6A">
        <w:rPr>
          <w:rFonts w:eastAsia="Calibri" w:cs="Arial"/>
          <w:color w:val="000000"/>
          <w:sz w:val="18"/>
          <w:szCs w:val="18"/>
          <w:lang w:val="es-CO"/>
        </w:rPr>
        <w:t>(Pg. 137</w:t>
      </w:r>
      <w:r w:rsidRPr="00607E6A">
        <w:rPr>
          <w:rFonts w:eastAsia="Calibri" w:cs="Arial"/>
          <w:i/>
          <w:color w:val="000000"/>
          <w:sz w:val="18"/>
          <w:szCs w:val="18"/>
          <w:lang w:val="es-CO"/>
        </w:rPr>
        <w:t xml:space="preserve">). </w:t>
      </w:r>
    </w:p>
    <w:p w14:paraId="2F9C1BF0" w14:textId="77777777" w:rsidR="00974325" w:rsidRDefault="00974325">
      <w:pPr>
        <w:spacing w:line="240" w:lineRule="auto"/>
        <w:ind w:right="50"/>
        <w:contextualSpacing/>
        <w:jc w:val="both"/>
        <w:rPr>
          <w:rFonts w:eastAsia="Calibri" w:cs="Arial"/>
          <w:i/>
          <w:color w:val="000000"/>
          <w:sz w:val="18"/>
          <w:szCs w:val="18"/>
          <w:lang w:val="es-CO"/>
        </w:rPr>
      </w:pPr>
    </w:p>
    <w:p w14:paraId="12E88462" w14:textId="77777777" w:rsidR="008937CA" w:rsidRDefault="00974325">
      <w:pPr>
        <w:spacing w:line="240" w:lineRule="auto"/>
        <w:ind w:right="50"/>
        <w:contextualSpacing/>
        <w:jc w:val="both"/>
        <w:rPr>
          <w:rStyle w:val="normaltextrun"/>
          <w:rFonts w:cs="Arial"/>
          <w:color w:val="000000"/>
          <w:shd w:val="clear" w:color="auto" w:fill="FFFFFF"/>
        </w:rPr>
      </w:pPr>
      <w:r>
        <w:rPr>
          <w:rStyle w:val="normaltextrun"/>
          <w:rFonts w:cs="Arial"/>
          <w:color w:val="000000"/>
          <w:shd w:val="clear" w:color="auto" w:fill="FFFFFF"/>
        </w:rPr>
        <w:t>Por otra parte, la Ley 1474</w:t>
      </w:r>
      <w:r w:rsidR="0043475B">
        <w:rPr>
          <w:rStyle w:val="normaltextrun"/>
          <w:rFonts w:cs="Arial"/>
          <w:color w:val="000000"/>
          <w:shd w:val="clear" w:color="auto" w:fill="FFFFFF"/>
        </w:rPr>
        <w:t xml:space="preserve"> </w:t>
      </w:r>
      <w:r>
        <w:rPr>
          <w:rStyle w:val="normaltextrun"/>
          <w:rFonts w:cs="Arial"/>
          <w:color w:val="000000"/>
          <w:shd w:val="clear" w:color="auto" w:fill="FFFFFF"/>
        </w:rPr>
        <w:t>de 2011, con el fin de fortalecer mecanismos y conseguir la efectividad del control de la gestión pública, establece en su artículo 77</w:t>
      </w:r>
      <w:r w:rsidR="008937CA">
        <w:rPr>
          <w:rStyle w:val="normaltextrun"/>
          <w:rFonts w:cs="Arial"/>
          <w:color w:val="000000"/>
          <w:shd w:val="clear" w:color="auto" w:fill="FFFFFF"/>
        </w:rPr>
        <w:t>:</w:t>
      </w:r>
    </w:p>
    <w:p w14:paraId="7D2B4DEF" w14:textId="77777777" w:rsidR="008937CA" w:rsidRDefault="008937CA">
      <w:pPr>
        <w:spacing w:line="240" w:lineRule="auto"/>
        <w:ind w:right="50"/>
        <w:contextualSpacing/>
        <w:jc w:val="both"/>
        <w:rPr>
          <w:rStyle w:val="normaltextrun"/>
          <w:rFonts w:cs="Arial"/>
          <w:color w:val="000000"/>
          <w:shd w:val="clear" w:color="auto" w:fill="FFFFFF"/>
        </w:rPr>
      </w:pPr>
    </w:p>
    <w:p w14:paraId="0159BBB8" w14:textId="77777777" w:rsidR="00974325" w:rsidRPr="00FB27C3" w:rsidRDefault="008937CA">
      <w:pPr>
        <w:spacing w:line="240" w:lineRule="auto"/>
        <w:ind w:left="709" w:right="50"/>
        <w:contextualSpacing/>
        <w:jc w:val="both"/>
        <w:rPr>
          <w:rStyle w:val="normaltextrun"/>
          <w:rFonts w:cs="Arial"/>
          <w:color w:val="000000"/>
          <w:sz w:val="18"/>
          <w:szCs w:val="18"/>
          <w:shd w:val="clear" w:color="auto" w:fill="FFFFFF"/>
        </w:rPr>
      </w:pPr>
      <w:r w:rsidRPr="00FB27C3">
        <w:rPr>
          <w:rStyle w:val="normaltextrun"/>
          <w:rFonts w:cs="Arial"/>
          <w:color w:val="000000"/>
          <w:sz w:val="18"/>
          <w:szCs w:val="18"/>
          <w:shd w:val="clear" w:color="auto" w:fill="FFFFFF"/>
        </w:rPr>
        <w:t>“</w:t>
      </w:r>
      <w:r w:rsidR="00974325" w:rsidRPr="00FB27C3">
        <w:rPr>
          <w:rStyle w:val="normaltextrun"/>
          <w:rFonts w:cs="Arial"/>
          <w:i/>
          <w:iCs/>
          <w:color w:val="000000"/>
          <w:sz w:val="18"/>
          <w:szCs w:val="18"/>
          <w:shd w:val="clear" w:color="auto" w:fill="FFFFFF"/>
        </w:rPr>
        <w:t>[...]</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como</w:t>
      </w:r>
      <w:r w:rsidR="0043475B">
        <w:rPr>
          <w:rStyle w:val="normaltextrun"/>
          <w:rFonts w:cs="Arial"/>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mecanismo</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de</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mayor</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transparencia</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en</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la</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contratación</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pública,</w:t>
      </w:r>
      <w:r w:rsidR="0043475B">
        <w:rPr>
          <w:rStyle w:val="normaltextrun"/>
          <w:rFonts w:cs="Arial"/>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todas</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las</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entidades</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del</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orden</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nacional,</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departamental,</w:t>
      </w:r>
      <w:r w:rsidR="0043475B">
        <w:rPr>
          <w:rStyle w:val="normaltextrun"/>
          <w:rFonts w:cs="Arial"/>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municipal</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y</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distrital</w:t>
      </w:r>
      <w:r w:rsidR="0043475B">
        <w:rPr>
          <w:rStyle w:val="normaltextrun"/>
          <w:rFonts w:cs="Arial"/>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deberán</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publicar</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en</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sus</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respectivas</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páginas</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web</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cada</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proyecto</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de</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inversión,</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ordenado</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según</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la</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fecha</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de</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inscripción</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en</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el</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Banco</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de</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Programas</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y</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Proyectos</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de</w:t>
      </w:r>
      <w:r w:rsidR="0043475B">
        <w:rPr>
          <w:rStyle w:val="normaltextrun"/>
          <w:rFonts w:cs="Arial"/>
          <w:b/>
          <w:bCs/>
          <w:i/>
          <w:iCs/>
          <w:color w:val="000000"/>
          <w:sz w:val="18"/>
          <w:szCs w:val="18"/>
          <w:shd w:val="clear" w:color="auto" w:fill="FFFFFF"/>
        </w:rPr>
        <w:t xml:space="preserve"> </w:t>
      </w:r>
      <w:r w:rsidR="00974325" w:rsidRPr="00FB27C3">
        <w:rPr>
          <w:rStyle w:val="normaltextrun"/>
          <w:rFonts w:cs="Arial"/>
          <w:b/>
          <w:bCs/>
          <w:i/>
          <w:iCs/>
          <w:color w:val="000000"/>
          <w:sz w:val="18"/>
          <w:szCs w:val="18"/>
          <w:shd w:val="clear" w:color="auto" w:fill="FFFFFF"/>
        </w:rPr>
        <w:t>Inversión</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nacional,</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departamental,</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municipal</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o</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distrital,</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según</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el</w:t>
      </w:r>
      <w:r w:rsidR="0043475B">
        <w:rPr>
          <w:rStyle w:val="normaltextrun"/>
          <w:rFonts w:cs="Arial"/>
          <w:i/>
          <w:iCs/>
          <w:color w:val="000000"/>
          <w:sz w:val="18"/>
          <w:szCs w:val="18"/>
          <w:shd w:val="clear" w:color="auto" w:fill="FFFFFF"/>
        </w:rPr>
        <w:t xml:space="preserve"> </w:t>
      </w:r>
      <w:r w:rsidR="00974325" w:rsidRPr="00FB27C3">
        <w:rPr>
          <w:rStyle w:val="normaltextrun"/>
          <w:rFonts w:cs="Arial"/>
          <w:i/>
          <w:iCs/>
          <w:color w:val="000000"/>
          <w:sz w:val="18"/>
          <w:szCs w:val="18"/>
          <w:shd w:val="clear" w:color="auto" w:fill="FFFFFF"/>
        </w:rPr>
        <w:t>caso</w:t>
      </w:r>
      <w:r w:rsidR="00974325" w:rsidRPr="00FB27C3">
        <w:rPr>
          <w:rStyle w:val="normaltextrun"/>
          <w:rFonts w:cs="Arial"/>
          <w:color w:val="000000"/>
          <w:sz w:val="18"/>
          <w:szCs w:val="18"/>
          <w:shd w:val="clear" w:color="auto" w:fill="FFFFFF"/>
        </w:rPr>
        <w:t>”.</w:t>
      </w:r>
    </w:p>
    <w:p w14:paraId="6A8338EA" w14:textId="77777777" w:rsidR="00974325" w:rsidRDefault="00974325">
      <w:pPr>
        <w:spacing w:line="240" w:lineRule="auto"/>
        <w:ind w:right="50"/>
        <w:contextualSpacing/>
        <w:jc w:val="both"/>
        <w:rPr>
          <w:rStyle w:val="normaltextrun"/>
          <w:rFonts w:cs="Arial"/>
          <w:color w:val="000000"/>
          <w:shd w:val="clear" w:color="auto" w:fill="FFFFFF"/>
        </w:rPr>
      </w:pPr>
    </w:p>
    <w:p w14:paraId="472B5641" w14:textId="77777777" w:rsidR="00974325" w:rsidRPr="0069237F" w:rsidRDefault="0069237F">
      <w:pPr>
        <w:spacing w:line="240" w:lineRule="auto"/>
        <w:ind w:right="50"/>
        <w:contextualSpacing/>
        <w:jc w:val="both"/>
        <w:rPr>
          <w:rStyle w:val="normaltextrun"/>
          <w:shd w:val="clear" w:color="auto" w:fill="FFFFFF"/>
        </w:rPr>
      </w:pPr>
      <w:r>
        <w:rPr>
          <w:rStyle w:val="normaltextrun"/>
          <w:shd w:val="clear" w:color="auto" w:fill="FFFFFF"/>
        </w:rPr>
        <w:t xml:space="preserve">En complemento de lo anterior, </w:t>
      </w:r>
      <w:r w:rsidR="008937CA">
        <w:rPr>
          <w:rStyle w:val="normaltextrun"/>
          <w:shd w:val="clear" w:color="auto" w:fill="FFFFFF"/>
        </w:rPr>
        <w:t xml:space="preserve">en </w:t>
      </w:r>
      <w:r>
        <w:rPr>
          <w:rStyle w:val="normaltextrun"/>
          <w:shd w:val="clear" w:color="auto" w:fill="FFFFFF"/>
        </w:rPr>
        <w:t xml:space="preserve">el documento </w:t>
      </w:r>
      <w:r w:rsidRPr="00D026A8">
        <w:rPr>
          <w:rStyle w:val="normaltextrun"/>
          <w:i/>
          <w:iCs/>
          <w:shd w:val="clear" w:color="auto" w:fill="FFFFFF"/>
        </w:rPr>
        <w:t>“</w:t>
      </w:r>
      <w:r w:rsidR="0067222E" w:rsidRPr="00D026A8">
        <w:rPr>
          <w:rStyle w:val="normaltextrun"/>
          <w:i/>
          <w:iCs/>
          <w:shd w:val="clear" w:color="auto" w:fill="FFFFFF"/>
        </w:rPr>
        <w:t xml:space="preserve">Cartilla Orientadora para la puesta en marcha y gestión de los bancos de proyectos de inversión territoriales </w:t>
      </w:r>
      <w:r w:rsidR="00A47AE7" w:rsidRPr="0067222E">
        <w:rPr>
          <w:rStyle w:val="normaltextrun"/>
          <w:i/>
          <w:iCs/>
          <w:shd w:val="clear" w:color="auto" w:fill="FFFFFF"/>
        </w:rPr>
        <w:t>BPI</w:t>
      </w:r>
      <w:r w:rsidR="0043475B">
        <w:rPr>
          <w:rStyle w:val="normaltextrun"/>
          <w:shd w:val="clear" w:color="auto" w:fill="FFFFFF"/>
        </w:rPr>
        <w:t>”</w:t>
      </w:r>
      <w:r w:rsidR="00D026A8">
        <w:rPr>
          <w:rStyle w:val="normaltextrun"/>
          <w:shd w:val="clear" w:color="auto" w:fill="FFFFFF"/>
        </w:rPr>
        <w:t xml:space="preserve"> </w:t>
      </w:r>
      <w:r w:rsidR="00A47AE7">
        <w:rPr>
          <w:rStyle w:val="normaltextrun"/>
          <w:shd w:val="clear" w:color="auto" w:fill="FFFFFF"/>
        </w:rPr>
        <w:t>del</w:t>
      </w:r>
      <w:r>
        <w:rPr>
          <w:rStyle w:val="normaltextrun"/>
          <w:shd w:val="clear" w:color="auto" w:fill="FFFFFF"/>
        </w:rPr>
        <w:t xml:space="preserve"> Departamento Nacional de Planeación</w:t>
      </w:r>
      <w:r w:rsidR="0067222E">
        <w:rPr>
          <w:rStyle w:val="normaltextrun"/>
          <w:shd w:val="clear" w:color="auto" w:fill="FFFFFF"/>
        </w:rPr>
        <w:t xml:space="preserve"> se</w:t>
      </w:r>
      <w:r>
        <w:rPr>
          <w:rStyle w:val="normaltextrun"/>
          <w:shd w:val="clear" w:color="auto" w:fill="FFFFFF"/>
        </w:rPr>
        <w:t xml:space="preserve"> </w:t>
      </w:r>
      <w:r w:rsidR="0067222E">
        <w:rPr>
          <w:rStyle w:val="normaltextrun"/>
          <w:shd w:val="clear" w:color="auto" w:fill="FFFFFF"/>
        </w:rPr>
        <w:t>resalta</w:t>
      </w:r>
      <w:r>
        <w:rPr>
          <w:rStyle w:val="normaltextrun"/>
          <w:shd w:val="clear" w:color="auto" w:fill="FFFFFF"/>
        </w:rPr>
        <w:t xml:space="preserve"> que el Banco de Programas y Proyectos de Inversión</w:t>
      </w:r>
      <w:r w:rsidR="0043475B">
        <w:rPr>
          <w:rStyle w:val="normaltextrun"/>
          <w:shd w:val="clear" w:color="auto" w:fill="FFFFFF"/>
        </w:rPr>
        <w:t xml:space="preserve"> - BPI</w:t>
      </w:r>
      <w:r>
        <w:rPr>
          <w:rStyle w:val="normaltextrun"/>
          <w:shd w:val="clear" w:color="auto" w:fill="FFFFFF"/>
        </w:rPr>
        <w:t xml:space="preserve"> está compuesto por 4 componentes, a saber: i) </w:t>
      </w:r>
      <w:r w:rsidR="0043475B">
        <w:rPr>
          <w:rStyle w:val="normaltextrun"/>
          <w:shd w:val="clear" w:color="auto" w:fill="FFFFFF"/>
        </w:rPr>
        <w:t xml:space="preserve">legal e institucional, ii) metodológico y conceptual, iii) herramientas </w:t>
      </w:r>
      <w:r>
        <w:rPr>
          <w:rStyle w:val="normaltextrun"/>
          <w:shd w:val="clear" w:color="auto" w:fill="FFFFFF"/>
        </w:rPr>
        <w:t xml:space="preserve">informáticas y iv) </w:t>
      </w:r>
      <w:r w:rsidR="0043475B">
        <w:rPr>
          <w:rStyle w:val="normaltextrun"/>
          <w:shd w:val="clear" w:color="auto" w:fill="FFFFFF"/>
        </w:rPr>
        <w:t>c</w:t>
      </w:r>
      <w:r>
        <w:rPr>
          <w:rStyle w:val="normaltextrun"/>
          <w:shd w:val="clear" w:color="auto" w:fill="FFFFFF"/>
        </w:rPr>
        <w:t xml:space="preserve">apacitación y asistencia técnica. Específicamente, en el componente legal e institucional se establece como función del BPI </w:t>
      </w:r>
      <w:r w:rsidRPr="00D026A8">
        <w:rPr>
          <w:rStyle w:val="normaltextrun"/>
          <w:i/>
          <w:iCs/>
          <w:shd w:val="clear" w:color="auto" w:fill="FFFFFF"/>
        </w:rPr>
        <w:t>“Facilitar la disposición al ciudadano de la información contenida en el BPI a través de medios físicos, remotos o locales, de comunicación</w:t>
      </w:r>
      <w:r>
        <w:rPr>
          <w:rStyle w:val="normaltextrun"/>
          <w:i/>
          <w:iCs/>
          <w:shd w:val="clear" w:color="auto" w:fill="FFFFFF"/>
        </w:rPr>
        <w:t xml:space="preserve"> </w:t>
      </w:r>
      <w:r w:rsidRPr="00D026A8">
        <w:rPr>
          <w:rStyle w:val="normaltextrun"/>
          <w:i/>
          <w:iCs/>
          <w:shd w:val="clear" w:color="auto" w:fill="FFFFFF"/>
        </w:rPr>
        <w:t>electrónica”</w:t>
      </w:r>
      <w:r>
        <w:rPr>
          <w:rStyle w:val="normaltextrun"/>
          <w:i/>
          <w:iCs/>
          <w:shd w:val="clear" w:color="auto" w:fill="FFFFFF"/>
        </w:rPr>
        <w:t xml:space="preserve">. </w:t>
      </w:r>
      <w:r>
        <w:rPr>
          <w:rStyle w:val="normaltextrun"/>
          <w:shd w:val="clear" w:color="auto" w:fill="FFFFFF"/>
        </w:rPr>
        <w:t xml:space="preserve">Dentro de esta función se propende porque la información relacionada con todo el ciclo de inversión pública de un proyecto sea de fácil acceso y </w:t>
      </w:r>
      <w:r w:rsidR="0067222E">
        <w:rPr>
          <w:rStyle w:val="normaltextrun"/>
          <w:shd w:val="clear" w:color="auto" w:fill="FFFFFF"/>
        </w:rPr>
        <w:t xml:space="preserve">consulta por parte del público en general, lo cual es un elemento que brinda </w:t>
      </w:r>
      <w:r w:rsidR="0067222E">
        <w:rPr>
          <w:rStyle w:val="normaltextrun"/>
          <w:shd w:val="clear" w:color="auto" w:fill="FFFFFF"/>
        </w:rPr>
        <w:lastRenderedPageBreak/>
        <w:t>transparencia y facilita la rendición de cuentas y el control social de la ejecución de los recursos públicos.</w:t>
      </w:r>
    </w:p>
    <w:p w14:paraId="6498DA78" w14:textId="77777777" w:rsidR="0069237F" w:rsidRDefault="0069237F">
      <w:pPr>
        <w:spacing w:line="240" w:lineRule="auto"/>
        <w:ind w:right="50"/>
        <w:contextualSpacing/>
        <w:jc w:val="both"/>
        <w:rPr>
          <w:rStyle w:val="normaltextrun"/>
          <w:shd w:val="clear" w:color="auto" w:fill="FFFFFF"/>
        </w:rPr>
      </w:pPr>
    </w:p>
    <w:p w14:paraId="57022C26" w14:textId="77777777" w:rsidR="0069237F" w:rsidRPr="00FB27C3" w:rsidRDefault="0067222E">
      <w:pPr>
        <w:spacing w:line="240" w:lineRule="auto"/>
        <w:ind w:left="709" w:right="50"/>
        <w:contextualSpacing/>
        <w:jc w:val="both"/>
        <w:rPr>
          <w:i/>
          <w:iCs/>
          <w:sz w:val="18"/>
          <w:szCs w:val="18"/>
          <w:shd w:val="clear" w:color="auto" w:fill="FFFFFF"/>
        </w:rPr>
      </w:pPr>
      <w:r w:rsidRPr="00FB27C3">
        <w:rPr>
          <w:i/>
          <w:iCs/>
          <w:sz w:val="18"/>
          <w:szCs w:val="18"/>
          <w:shd w:val="clear" w:color="auto" w:fill="FFFFFF"/>
        </w:rPr>
        <w:t>“</w:t>
      </w:r>
      <w:r w:rsidR="0069237F" w:rsidRPr="00FB27C3">
        <w:rPr>
          <w:i/>
          <w:iCs/>
          <w:sz w:val="18"/>
          <w:szCs w:val="18"/>
          <w:shd w:val="clear" w:color="auto" w:fill="FFFFFF"/>
        </w:rPr>
        <w:t>Las entidades, sus funcionarios y contratistas, deben ser facilitadores del control social a la inversión pública, y disponer para ello de los medios que permitan el acceso a la información a cualquier ciudadano que así lo desee, de manera oportuna y con celeridad. Así mismo, la información que genere la entidad territorial debe entenderse como de carácter público, lo que implica que debe ser clara, suficiente y de fácil consulta.</w:t>
      </w:r>
      <w:r w:rsidRPr="00FB27C3">
        <w:rPr>
          <w:i/>
          <w:iCs/>
          <w:sz w:val="18"/>
          <w:szCs w:val="18"/>
          <w:shd w:val="clear" w:color="auto" w:fill="FFFFFF"/>
        </w:rPr>
        <w:t>”</w:t>
      </w:r>
      <w:r w:rsidRPr="00FB27C3">
        <w:rPr>
          <w:rStyle w:val="Refdenotaalpie"/>
          <w:i/>
          <w:iCs/>
          <w:sz w:val="18"/>
          <w:szCs w:val="18"/>
          <w:shd w:val="clear" w:color="auto" w:fill="FFFFFF"/>
        </w:rPr>
        <w:footnoteReference w:id="21"/>
      </w:r>
    </w:p>
    <w:p w14:paraId="09647FA1" w14:textId="77777777" w:rsidR="0043475B" w:rsidRDefault="0043475B">
      <w:pPr>
        <w:spacing w:line="240" w:lineRule="auto"/>
        <w:contextualSpacing/>
        <w:jc w:val="both"/>
      </w:pPr>
    </w:p>
    <w:p w14:paraId="6F810473" w14:textId="77777777" w:rsidR="00B7102F" w:rsidRDefault="00EC68B6">
      <w:pPr>
        <w:spacing w:line="240" w:lineRule="auto"/>
        <w:contextualSpacing/>
        <w:jc w:val="both"/>
      </w:pPr>
      <w:r>
        <w:t>Así las cosas, e</w:t>
      </w:r>
      <w:r w:rsidR="00B7102F">
        <w:t xml:space="preserve">l </w:t>
      </w:r>
      <w:r>
        <w:t>M</w:t>
      </w:r>
      <w:r w:rsidR="00B7102F">
        <w:t xml:space="preserve">unicipio remitió a esta Dirección una </w:t>
      </w:r>
      <w:r w:rsidR="00B7102F" w:rsidRPr="00EB2D28">
        <w:rPr>
          <w:i/>
          <w:iCs/>
        </w:rPr>
        <w:t>“Relación de proyectos BPIM 2018 – 2020”</w:t>
      </w:r>
      <w:r w:rsidR="00B7102F">
        <w:t xml:space="preserve"> que contiene, entre otros aspectos, el código de registro en el Banco de Programas y Proyectos de Inversión</w:t>
      </w:r>
      <w:r>
        <w:t xml:space="preserve"> Municipal</w:t>
      </w:r>
      <w:r w:rsidR="00B7102F">
        <w:t xml:space="preserve">. Esto confirma la información revisada por el DNP en el </w:t>
      </w:r>
      <w:r>
        <w:t>“</w:t>
      </w:r>
      <w:r w:rsidR="0041142E" w:rsidRPr="00BC07AE">
        <w:rPr>
          <w:i/>
          <w:iCs/>
        </w:rPr>
        <w:t>Informe de monitoreo de campo, Puerto Leguízamo - Putumayo, Vigencias 2018 y 2019 (corte junio</w:t>
      </w:r>
      <w:r w:rsidR="00ED58C7">
        <w:rPr>
          <w:i/>
          <w:iCs/>
        </w:rPr>
        <w:t>)</w:t>
      </w:r>
      <w:r>
        <w:t>”</w:t>
      </w:r>
      <w:r w:rsidR="00B7102F">
        <w:t xml:space="preserve"> en donde </w:t>
      </w:r>
      <w:r>
        <w:t xml:space="preserve">se indica </w:t>
      </w:r>
      <w:r w:rsidR="00B7102F">
        <w:t>que “</w:t>
      </w:r>
      <w:r w:rsidR="00B7102F" w:rsidRPr="001146D9">
        <w:rPr>
          <w:i/>
          <w:iCs/>
        </w:rPr>
        <w:t>En la revisión se evidenció que la entidad cuenta con proyectos formulados. Se observó también que existe un proceso metodológico para su formulación en un formato similar a la Metodología General Ajustada –MGA usada por el DNP</w:t>
      </w:r>
      <w:r w:rsidR="00B7102F">
        <w:t>”. Sin embargo, los proyectos relacionados no cuentan con la fuente de financiación específica, que permita realizar un análisis de los proyectos financiados con SGP Propósito General. Para la vigencia 2018 se relacionaron 40 proyectos, en la vigencia 2019 se relacionaron 335 proyectos y en la vigencia 2020 se remitieron 147 proyectos.</w:t>
      </w:r>
    </w:p>
    <w:p w14:paraId="43949C20" w14:textId="77777777" w:rsidR="00EC68B6" w:rsidRDefault="00EC68B6">
      <w:pPr>
        <w:spacing w:line="240" w:lineRule="auto"/>
        <w:contextualSpacing/>
        <w:jc w:val="both"/>
      </w:pPr>
    </w:p>
    <w:p w14:paraId="37364447" w14:textId="77777777" w:rsidR="001015A1" w:rsidRDefault="00B7102F">
      <w:pPr>
        <w:spacing w:line="240" w:lineRule="auto"/>
        <w:contextualSpacing/>
        <w:jc w:val="both"/>
      </w:pPr>
      <w:r>
        <w:t>Cabe resaltar que las hojas en donde se consigna la información no guardan la misma estructura, esto llama la atención ya que el Banco de Programas y Proyectos de Inversión debe guardar consistencia en la información que registra y en la manera en que l</w:t>
      </w:r>
      <w:r w:rsidR="00F94DB7">
        <w:t>o</w:t>
      </w:r>
      <w:r>
        <w:t xml:space="preserve"> hace, pues es un instrumento que debe estar institucionalizado en la</w:t>
      </w:r>
      <w:r w:rsidR="00EC68B6">
        <w:t>s</w:t>
      </w:r>
      <w:r>
        <w:t xml:space="preserve"> entidad</w:t>
      </w:r>
      <w:r w:rsidR="00EC68B6">
        <w:t>es territoriales</w:t>
      </w:r>
      <w:r>
        <w:t>. Además, en el año 2020 la información se encuentra incompleta</w:t>
      </w:r>
      <w:r w:rsidR="00F94DB7">
        <w:t>,</w:t>
      </w:r>
      <w:r>
        <w:t xml:space="preserve"> debido a que los proyectos que se </w:t>
      </w:r>
      <w:r w:rsidR="000361F5">
        <w:t>relacionan</w:t>
      </w:r>
      <w:r w:rsidR="002D1CB7">
        <w:t xml:space="preserve"> </w:t>
      </w:r>
      <w:r>
        <w:t>no cuentan con información de línea base, la acción del Plan de Desarrollo a la que se relacionan, así como tampoco se especifican las metas, el producto que se entrega, el nivel de avance o estado de los proyectos.</w:t>
      </w:r>
    </w:p>
    <w:p w14:paraId="37E62AAA" w14:textId="77777777" w:rsidR="00EC68B6" w:rsidRDefault="00EC68B6">
      <w:pPr>
        <w:spacing w:line="240" w:lineRule="auto"/>
        <w:contextualSpacing/>
        <w:jc w:val="both"/>
      </w:pPr>
    </w:p>
    <w:p w14:paraId="13FF918E" w14:textId="77777777" w:rsidR="001015A1" w:rsidRDefault="001015A1">
      <w:pPr>
        <w:spacing w:line="240" w:lineRule="auto"/>
        <w:contextualSpacing/>
        <w:jc w:val="both"/>
      </w:pPr>
      <w:r>
        <w:t xml:space="preserve">En general, se evidencia que en las vigencias más recientes la información que se registra es cada vez menos, ya no se registran los números y fechas de radicado de los proyectos ni la </w:t>
      </w:r>
      <w:r w:rsidR="00F94DB7">
        <w:t xml:space="preserve">dependencia </w:t>
      </w:r>
      <w:r>
        <w:t xml:space="preserve">encargada de llevar a cabo su implementación, por lo cual no queda confirmado el registro de todos los proyectos. Lo anterior, a pesar de que en los expedientes contractuales allegados a esta Dirección se evidencian las certificaciones BPIM en donde la Secretaría de </w:t>
      </w:r>
      <w:r w:rsidR="008832C7">
        <w:t>Planeación</w:t>
      </w:r>
      <w:r w:rsidR="00C4070C">
        <w:t xml:space="preserve"> </w:t>
      </w:r>
      <w:r>
        <w:t>certifica la existencia y registro de los proyectos que sustentan los contratos. Sin embargo, para la vigencia 2020 dichos certificados referencian información del Plan de Desarrollo Territorial anterior, el cual todavía estaba en vigencia mientras se aprobaba el nuevo Plan de Desarrollo del gobierno municipal actual</w:t>
      </w:r>
      <w:r w:rsidR="00DB5F2C">
        <w:t xml:space="preserve">, pero no hay evidencias o referencias </w:t>
      </w:r>
      <w:r w:rsidR="00282ADE">
        <w:t>a</w:t>
      </w:r>
      <w:r w:rsidR="00DB5F2C">
        <w:t>l actual Plan de Desarrollo Municipal</w:t>
      </w:r>
      <w:r>
        <w:t>.</w:t>
      </w:r>
    </w:p>
    <w:p w14:paraId="4E7FA73D" w14:textId="77777777" w:rsidR="00EC68B6" w:rsidRDefault="00EC68B6">
      <w:pPr>
        <w:spacing w:line="240" w:lineRule="auto"/>
        <w:contextualSpacing/>
        <w:jc w:val="both"/>
      </w:pPr>
    </w:p>
    <w:p w14:paraId="123FA0E9" w14:textId="77777777" w:rsidR="0057688E" w:rsidRDefault="0057688E">
      <w:pPr>
        <w:spacing w:line="240" w:lineRule="auto"/>
        <w:contextualSpacing/>
        <w:jc w:val="both"/>
      </w:pPr>
      <w:r>
        <w:t xml:space="preserve">Adicionalmente, al consultar la página </w:t>
      </w:r>
      <w:r w:rsidR="00EC68B6" w:rsidRPr="00FB27C3">
        <w:rPr>
          <w:i/>
          <w:iCs/>
        </w:rPr>
        <w:t>W</w:t>
      </w:r>
      <w:r w:rsidRPr="00FB27C3">
        <w:rPr>
          <w:i/>
          <w:iCs/>
        </w:rPr>
        <w:t>eb</w:t>
      </w:r>
      <w:r>
        <w:t xml:space="preserve"> del </w:t>
      </w:r>
      <w:r w:rsidR="00EC68B6">
        <w:t>M</w:t>
      </w:r>
      <w:r>
        <w:t>unicipio para profundizar en la información relacionada con los proyectos de inversión se pudo constatar que no existe ningún tipo de publicación como se evidencia a continuación:</w:t>
      </w:r>
    </w:p>
    <w:p w14:paraId="2E0CC4A4" w14:textId="77777777" w:rsidR="009A01AF" w:rsidRDefault="009A01AF">
      <w:r>
        <w:br w:type="page"/>
      </w:r>
    </w:p>
    <w:p w14:paraId="3AE091AF" w14:textId="77777777" w:rsidR="0057688E" w:rsidRPr="00964236" w:rsidRDefault="0057688E">
      <w:pPr>
        <w:spacing w:after="0" w:line="240" w:lineRule="auto"/>
        <w:contextualSpacing/>
        <w:jc w:val="center"/>
        <w:rPr>
          <w:b/>
          <w:bCs/>
          <w:sz w:val="20"/>
          <w:szCs w:val="20"/>
        </w:rPr>
      </w:pPr>
      <w:r w:rsidRPr="00964236">
        <w:rPr>
          <w:b/>
          <w:bCs/>
          <w:sz w:val="20"/>
          <w:szCs w:val="20"/>
        </w:rPr>
        <w:lastRenderedPageBreak/>
        <w:t xml:space="preserve">Imagen </w:t>
      </w:r>
      <w:r w:rsidR="005348D5">
        <w:rPr>
          <w:b/>
          <w:bCs/>
          <w:sz w:val="20"/>
          <w:szCs w:val="20"/>
        </w:rPr>
        <w:t>1</w:t>
      </w:r>
    </w:p>
    <w:p w14:paraId="5441B2B3" w14:textId="77777777" w:rsidR="0057688E" w:rsidRDefault="0057688E">
      <w:pPr>
        <w:spacing w:after="0" w:line="240" w:lineRule="auto"/>
        <w:contextualSpacing/>
        <w:jc w:val="center"/>
        <w:rPr>
          <w:rStyle w:val="normaltextrun"/>
          <w:rFonts w:cs="Arial"/>
          <w:color w:val="000000"/>
          <w:sz w:val="20"/>
          <w:szCs w:val="20"/>
          <w:bdr w:val="none" w:sz="0" w:space="0" w:color="auto" w:frame="1"/>
        </w:rPr>
      </w:pPr>
      <w:r>
        <w:rPr>
          <w:rStyle w:val="normaltextrun"/>
          <w:rFonts w:cs="Arial"/>
          <w:color w:val="000000"/>
          <w:sz w:val="20"/>
          <w:szCs w:val="20"/>
          <w:bdr w:val="none" w:sz="0" w:space="0" w:color="auto" w:frame="1"/>
        </w:rPr>
        <w:t>Publicación proyectos de inversión</w:t>
      </w:r>
    </w:p>
    <w:p w14:paraId="77716BD8" w14:textId="77777777" w:rsidR="0057688E" w:rsidRDefault="0057688E">
      <w:pPr>
        <w:spacing w:after="0" w:line="240" w:lineRule="auto"/>
        <w:contextualSpacing/>
        <w:jc w:val="center"/>
      </w:pPr>
      <w:r>
        <w:rPr>
          <w:rStyle w:val="normaltextrun"/>
          <w:rFonts w:cs="Arial"/>
          <w:color w:val="000000"/>
          <w:sz w:val="20"/>
          <w:szCs w:val="20"/>
          <w:bdr w:val="none" w:sz="0" w:space="0" w:color="auto" w:frame="1"/>
        </w:rPr>
        <w:t>Municipio de Puerto Leguízamo - Putumayo</w:t>
      </w:r>
      <w:r>
        <w:rPr>
          <w:noProof/>
          <w:lang w:val="es-CO" w:eastAsia="es-CO"/>
        </w:rPr>
        <w:drawing>
          <wp:inline distT="0" distB="0" distL="0" distR="0" wp14:anchorId="6A3CCB2A" wp14:editId="394AF9AD">
            <wp:extent cx="5400040" cy="3037840"/>
            <wp:effectExtent l="0" t="0" r="0" b="0"/>
            <wp:docPr id="12" name="Imagen 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 Correo electrónico&#10;&#10;Descripción generada automáticamente"/>
                    <pic:cNvPicPr/>
                  </pic:nvPicPr>
                  <pic:blipFill>
                    <a:blip r:embed="rId21"/>
                    <a:stretch>
                      <a:fillRect/>
                    </a:stretch>
                  </pic:blipFill>
                  <pic:spPr>
                    <a:xfrm>
                      <a:off x="0" y="0"/>
                      <a:ext cx="5400040" cy="3037840"/>
                    </a:xfrm>
                    <a:prstGeom prst="rect">
                      <a:avLst/>
                    </a:prstGeom>
                  </pic:spPr>
                </pic:pic>
              </a:graphicData>
            </a:graphic>
          </wp:inline>
        </w:drawing>
      </w:r>
    </w:p>
    <w:p w14:paraId="5543301C" w14:textId="77777777" w:rsidR="0057688E" w:rsidRPr="00FB27C3" w:rsidRDefault="0057688E">
      <w:pPr>
        <w:spacing w:line="240" w:lineRule="auto"/>
        <w:contextualSpacing/>
        <w:jc w:val="center"/>
        <w:rPr>
          <w:sz w:val="18"/>
          <w:szCs w:val="18"/>
        </w:rPr>
      </w:pPr>
      <w:r w:rsidRPr="00FB27C3">
        <w:rPr>
          <w:rStyle w:val="normaltextrun"/>
          <w:rFonts w:cs="Arial"/>
          <w:b/>
          <w:bCs/>
          <w:color w:val="000000"/>
          <w:sz w:val="16"/>
          <w:szCs w:val="16"/>
          <w:shd w:val="clear" w:color="auto" w:fill="FFFFFF"/>
        </w:rPr>
        <w:t>Fuente:</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Página</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oficial</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Alcaldía</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de</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Puerto</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Leguízamo</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Putumayo,</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consulta</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noviembre</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de</w:t>
      </w:r>
      <w:r w:rsidR="00EC68B6" w:rsidRPr="00FB27C3">
        <w:rPr>
          <w:rStyle w:val="normaltextrun"/>
          <w:rFonts w:cs="Arial"/>
          <w:color w:val="000000"/>
          <w:sz w:val="16"/>
          <w:szCs w:val="16"/>
          <w:shd w:val="clear" w:color="auto" w:fill="FFFFFF"/>
        </w:rPr>
        <w:t xml:space="preserve"> </w:t>
      </w:r>
      <w:r w:rsidRPr="00FB27C3">
        <w:rPr>
          <w:rStyle w:val="normaltextrun"/>
          <w:rFonts w:cs="Arial"/>
          <w:color w:val="000000"/>
          <w:sz w:val="16"/>
          <w:szCs w:val="16"/>
          <w:shd w:val="clear" w:color="auto" w:fill="FFFFFF"/>
        </w:rPr>
        <w:t>2021.</w:t>
      </w:r>
    </w:p>
    <w:p w14:paraId="0D9978B8" w14:textId="77777777" w:rsidR="00EC68B6" w:rsidRDefault="00EC68B6">
      <w:pPr>
        <w:spacing w:line="240" w:lineRule="auto"/>
        <w:contextualSpacing/>
        <w:jc w:val="both"/>
      </w:pPr>
    </w:p>
    <w:p w14:paraId="53B8D673" w14:textId="77777777" w:rsidR="00EC68B6" w:rsidRDefault="001015A1">
      <w:pPr>
        <w:spacing w:line="240" w:lineRule="auto"/>
        <w:contextualSpacing/>
        <w:jc w:val="both"/>
      </w:pPr>
      <w:r>
        <w:t>Esta Dirección concluye que</w:t>
      </w:r>
      <w:r w:rsidR="00974325">
        <w:t xml:space="preserve"> el </w:t>
      </w:r>
      <w:r w:rsidR="00EC68B6">
        <w:t>M</w:t>
      </w:r>
      <w:r w:rsidR="00974325">
        <w:t xml:space="preserve">unicipio presenta falencias en el componente de acceso </w:t>
      </w:r>
      <w:r w:rsidR="008433DA">
        <w:t xml:space="preserve">y transparencia </w:t>
      </w:r>
      <w:r w:rsidR="00282ADE">
        <w:t>a</w:t>
      </w:r>
      <w:r w:rsidR="00974325">
        <w:t xml:space="preserve"> la información contenida en el Banco de Programas y Proyectos de Inversión Municipal y</w:t>
      </w:r>
      <w:r w:rsidR="008433DA">
        <w:t xml:space="preserve">a que no </w:t>
      </w:r>
      <w:r w:rsidR="008832C7">
        <w:t>está disponible</w:t>
      </w:r>
      <w:r w:rsidR="00974325">
        <w:t xml:space="preserve"> para consulta por parte de la ciudadanía</w:t>
      </w:r>
      <w:r w:rsidR="008433DA">
        <w:t xml:space="preserve"> y </w:t>
      </w:r>
      <w:r w:rsidR="00282ADE">
        <w:t xml:space="preserve">que </w:t>
      </w:r>
      <w:r w:rsidR="008433DA">
        <w:t>la información remitida carece de las características de claridad y completitud</w:t>
      </w:r>
      <w:r w:rsidR="00A47AE7">
        <w:t xml:space="preserve">, lo cual contraviene el artículo 77 de la Ley 1474 de 2011 </w:t>
      </w:r>
      <w:r w:rsidR="008433DA">
        <w:t>en cuando a la publicidad de la totalidad de la información de los proyectos de inversión que se ejecutan en la entidad territorial</w:t>
      </w:r>
      <w:r w:rsidR="00974325">
        <w:t>.</w:t>
      </w:r>
    </w:p>
    <w:p w14:paraId="7507EF0A" w14:textId="77777777" w:rsidR="00903633" w:rsidRPr="00903633" w:rsidRDefault="00903633">
      <w:pPr>
        <w:spacing w:line="240" w:lineRule="auto"/>
        <w:contextualSpacing/>
        <w:jc w:val="both"/>
      </w:pPr>
    </w:p>
    <w:p w14:paraId="4C6A36BD" w14:textId="77777777" w:rsidR="00903633" w:rsidRPr="001729F6" w:rsidRDefault="00903633">
      <w:pPr>
        <w:spacing w:line="240" w:lineRule="auto"/>
        <w:contextualSpacing/>
        <w:jc w:val="both"/>
        <w:rPr>
          <w:rStyle w:val="normaltextrun"/>
          <w:rFonts w:cs="Arial"/>
          <w:bCs/>
          <w:color w:val="000000"/>
          <w:shd w:val="clear" w:color="auto" w:fill="FFFFFF"/>
          <w:lang w:val="es-ES"/>
        </w:rPr>
      </w:pPr>
      <w:r w:rsidRPr="001729F6">
        <w:rPr>
          <w:rStyle w:val="normaltextrun"/>
          <w:rFonts w:cs="Arial"/>
          <w:bCs/>
          <w:color w:val="000000"/>
          <w:shd w:val="clear" w:color="auto" w:fill="FFFFFF"/>
          <w:lang w:val="es-ES"/>
        </w:rPr>
        <w:t>Lo anterior implica un riesgo para la ejecución de los recursos de la Participación de Propósito General del Sistema General de Participaciones por cuanto no es posible verificar que el componente de inversión esté debidamente soportado en proyectos formulados, viabilizados y registrados en el Banco de Programas y Proyectos de Inversión, a través de los mecanismos diseñados para garantizar el principio de transparencia en la gestión pública y acceso a la información por parte de la ciudadanía.</w:t>
      </w:r>
    </w:p>
    <w:p w14:paraId="21C2BDEA" w14:textId="77777777" w:rsidR="00EC68B6" w:rsidRPr="001729F6" w:rsidRDefault="00EC68B6">
      <w:pPr>
        <w:spacing w:line="240" w:lineRule="auto"/>
        <w:contextualSpacing/>
        <w:jc w:val="both"/>
        <w:rPr>
          <w:rStyle w:val="normaltextrun"/>
          <w:rFonts w:cs="Arial"/>
          <w:bCs/>
          <w:color w:val="000000"/>
          <w:shd w:val="clear" w:color="auto" w:fill="FFFFFF"/>
          <w:lang w:val="es-ES"/>
        </w:rPr>
      </w:pPr>
    </w:p>
    <w:p w14:paraId="46FC77E6" w14:textId="77777777" w:rsidR="003861CE" w:rsidRDefault="003861CE">
      <w:pPr>
        <w:spacing w:line="240" w:lineRule="auto"/>
        <w:contextualSpacing/>
        <w:jc w:val="both"/>
        <w:rPr>
          <w:rStyle w:val="normaltextrun"/>
          <w:rFonts w:cs="Arial"/>
          <w:color w:val="000000"/>
          <w:shd w:val="clear" w:color="auto" w:fill="FFFFFF"/>
          <w:lang w:val="es-ES"/>
        </w:rPr>
      </w:pPr>
      <w:r w:rsidRPr="00DF2058">
        <w:rPr>
          <w:rStyle w:val="normaltextrun"/>
          <w:rFonts w:cs="Arial"/>
          <w:b/>
          <w:bCs/>
          <w:color w:val="000000"/>
          <w:shd w:val="clear" w:color="auto" w:fill="FFFFFF"/>
          <w:lang w:val="es-ES"/>
        </w:rPr>
        <w:t>Evidencias</w:t>
      </w:r>
      <w:r w:rsidRPr="00DF2058">
        <w:rPr>
          <w:rStyle w:val="normaltextrun"/>
          <w:rFonts w:cs="Arial"/>
          <w:color w:val="000000"/>
          <w:shd w:val="clear" w:color="auto" w:fill="FFFFFF"/>
          <w:lang w:val="es-ES"/>
        </w:rPr>
        <w:t xml:space="preserve">: los documentos </w:t>
      </w:r>
      <w:r w:rsidR="002D1CB7">
        <w:rPr>
          <w:rStyle w:val="normaltextrun"/>
          <w:rFonts w:cs="Arial"/>
          <w:color w:val="000000"/>
          <w:shd w:val="clear" w:color="auto" w:fill="FFFFFF"/>
          <w:lang w:val="es-ES"/>
        </w:rPr>
        <w:t xml:space="preserve">probatorios </w:t>
      </w:r>
      <w:r w:rsidRPr="00DF2058">
        <w:rPr>
          <w:rStyle w:val="normaltextrun"/>
          <w:rFonts w:cs="Arial"/>
          <w:color w:val="000000"/>
          <w:shd w:val="clear" w:color="auto" w:fill="FFFFFF"/>
          <w:lang w:val="es-ES"/>
        </w:rPr>
        <w:t>obran en el expediente digital en el Sistema Electrónico Documental SIED del Ministerio de Hacienda y Crédito Público No. 17/2021/D028-PREDI</w:t>
      </w:r>
      <w:r w:rsidR="002D1CB7">
        <w:rPr>
          <w:rStyle w:val="normaltextrun"/>
          <w:rFonts w:cs="Arial"/>
          <w:color w:val="000000"/>
          <w:shd w:val="clear" w:color="auto" w:fill="FFFFFF"/>
          <w:lang w:val="es-ES"/>
        </w:rPr>
        <w:t>, así</w:t>
      </w:r>
      <w:r w:rsidRPr="00DF2058">
        <w:rPr>
          <w:rStyle w:val="normaltextrun"/>
          <w:rFonts w:cs="Arial"/>
          <w:color w:val="000000"/>
          <w:shd w:val="clear" w:color="auto" w:fill="FFFFFF"/>
          <w:lang w:val="es-ES"/>
        </w:rPr>
        <w:t>:</w:t>
      </w:r>
    </w:p>
    <w:p w14:paraId="5E908DBE" w14:textId="77777777" w:rsidR="004A5A8F" w:rsidRDefault="004A5A8F">
      <w:pPr>
        <w:pStyle w:val="paragraph"/>
        <w:spacing w:before="0" w:beforeAutospacing="0" w:after="0" w:afterAutospacing="0"/>
        <w:contextualSpacing/>
        <w:jc w:val="both"/>
        <w:textAlignment w:val="baseline"/>
        <w:rPr>
          <w:rStyle w:val="normaltextrun"/>
          <w:rFonts w:ascii="Arial" w:eastAsiaTheme="minorHAnsi" w:hAnsi="Arial" w:cs="Arial"/>
          <w:color w:val="000000"/>
          <w:sz w:val="22"/>
          <w:szCs w:val="22"/>
          <w:shd w:val="clear" w:color="auto" w:fill="FFFFFF"/>
          <w:lang w:val="es-ES" w:eastAsia="en-US"/>
        </w:rPr>
      </w:pPr>
    </w:p>
    <w:p w14:paraId="6A9A8E08" w14:textId="77777777" w:rsidR="009437BB" w:rsidRPr="00DF2058" w:rsidRDefault="004A5A8F">
      <w:pPr>
        <w:pStyle w:val="Prrafodelista"/>
        <w:numPr>
          <w:ilvl w:val="0"/>
          <w:numId w:val="28"/>
        </w:numPr>
        <w:spacing w:line="240" w:lineRule="auto"/>
        <w:jc w:val="both"/>
        <w:rPr>
          <w:sz w:val="20"/>
          <w:szCs w:val="20"/>
        </w:rPr>
      </w:pPr>
      <w:r w:rsidRPr="00DF2058">
        <w:rPr>
          <w:sz w:val="20"/>
          <w:szCs w:val="20"/>
        </w:rPr>
        <w:t xml:space="preserve">Informe de monitoreo de campo, Puerto Leguízamo - Putumayo, Vigencias 2018 y 2019 (corte junio). </w:t>
      </w:r>
      <w:r w:rsidRPr="004A5A8F">
        <w:rPr>
          <w:rStyle w:val="normaltextrun"/>
          <w:rFonts w:cs="Arial"/>
          <w:color w:val="000000"/>
          <w:sz w:val="20"/>
          <w:szCs w:val="20"/>
          <w:shd w:val="clear" w:color="auto" w:fill="FFFFFF"/>
          <w:lang w:val="es-ES"/>
        </w:rPr>
        <w:t>Participación de Propósito General. Municipio de Puerto Leguízamo - Putumayo. Serie “Historial de Seguimiento y</w:t>
      </w:r>
      <w:r w:rsidRPr="00E90ED4">
        <w:rPr>
          <w:rStyle w:val="normaltextrun"/>
          <w:rFonts w:cs="Arial"/>
          <w:color w:val="000000"/>
          <w:sz w:val="20"/>
          <w:szCs w:val="20"/>
          <w:shd w:val="clear" w:color="auto" w:fill="FFFFFF"/>
          <w:lang w:val="es-ES"/>
        </w:rPr>
        <w:t xml:space="preserve"> Control a los Recursos del Sistema General de Participaciones – Diagnóstico”. Expediente digital No. 17/2021/D028-PREDI.</w:t>
      </w:r>
      <w:r w:rsidRPr="001D27C0">
        <w:rPr>
          <w:rStyle w:val="normaltextrun"/>
          <w:rFonts w:cs="Arial"/>
          <w:color w:val="000000"/>
          <w:sz w:val="20"/>
          <w:szCs w:val="20"/>
          <w:shd w:val="clear" w:color="auto" w:fill="FFFFFF"/>
          <w:lang w:val="es-ES"/>
        </w:rPr>
        <w:t xml:space="preserve"> Radicado</w:t>
      </w:r>
      <w:r w:rsidRPr="00CD5A96">
        <w:rPr>
          <w:rStyle w:val="normaltextrun"/>
          <w:rFonts w:cs="Arial"/>
          <w:color w:val="000000"/>
          <w:sz w:val="20"/>
          <w:szCs w:val="20"/>
          <w:shd w:val="clear" w:color="auto" w:fill="FFFFFF"/>
          <w:lang w:val="es-ES"/>
        </w:rPr>
        <w:t xml:space="preserve"> </w:t>
      </w:r>
      <w:r w:rsidRPr="00D64481">
        <w:rPr>
          <w:rStyle w:val="normaltextrun"/>
          <w:rFonts w:cs="Arial"/>
          <w:color w:val="000000"/>
          <w:sz w:val="20"/>
          <w:szCs w:val="20"/>
          <w:shd w:val="clear" w:color="auto" w:fill="FFFFFF"/>
          <w:lang w:val="es-ES"/>
        </w:rPr>
        <w:t>No. 1-2020-076479 del 26 de agosto de 2020.</w:t>
      </w:r>
      <w:r w:rsidRPr="00DF2058">
        <w:rPr>
          <w:sz w:val="20"/>
          <w:szCs w:val="20"/>
        </w:rPr>
        <w:t xml:space="preserve"> </w:t>
      </w:r>
      <w:hyperlink r:id="rId94" w:history="1">
        <w:r w:rsidRPr="00DF2058">
          <w:rPr>
            <w:rStyle w:val="Hipervnculo"/>
            <w:sz w:val="20"/>
            <w:szCs w:val="20"/>
          </w:rPr>
          <w:t>https://bit.ly/3GnOyrr</w:t>
        </w:r>
      </w:hyperlink>
      <w:r w:rsidRPr="00DF2058">
        <w:rPr>
          <w:sz w:val="20"/>
          <w:szCs w:val="20"/>
        </w:rPr>
        <w:t xml:space="preserve"> </w:t>
      </w:r>
    </w:p>
    <w:p w14:paraId="4647CB35" w14:textId="77777777" w:rsidR="004A5A8F" w:rsidRPr="00D026A8" w:rsidRDefault="004A5A8F">
      <w:pPr>
        <w:pStyle w:val="Prrafodelista"/>
        <w:numPr>
          <w:ilvl w:val="0"/>
          <w:numId w:val="28"/>
        </w:numPr>
        <w:spacing w:line="240" w:lineRule="auto"/>
        <w:jc w:val="both"/>
        <w:rPr>
          <w:rStyle w:val="Hipervnculo"/>
          <w:color w:val="auto"/>
          <w:sz w:val="20"/>
          <w:szCs w:val="20"/>
          <w:u w:val="none"/>
        </w:rPr>
      </w:pPr>
      <w:r w:rsidRPr="00DF2058">
        <w:rPr>
          <w:sz w:val="20"/>
          <w:szCs w:val="20"/>
        </w:rPr>
        <w:t xml:space="preserve">Relación de proyectos BPIM 2018 -2020. </w:t>
      </w:r>
      <w:r w:rsidRPr="004A5A8F">
        <w:rPr>
          <w:rStyle w:val="normaltextrun"/>
          <w:rFonts w:cs="Arial"/>
          <w:color w:val="000000"/>
          <w:sz w:val="20"/>
          <w:szCs w:val="20"/>
          <w:shd w:val="clear" w:color="auto" w:fill="FFFFFF"/>
          <w:lang w:val="es-ES"/>
        </w:rPr>
        <w:t>Participación de Propósito General. Municipio de Puerto Leguízamo - Putumayo. Serie “Historial de Seguimiento y</w:t>
      </w:r>
      <w:r w:rsidRPr="00BC07AE">
        <w:rPr>
          <w:rStyle w:val="normaltextrun"/>
          <w:rFonts w:cs="Arial"/>
          <w:color w:val="000000"/>
          <w:sz w:val="20"/>
          <w:szCs w:val="20"/>
          <w:shd w:val="clear" w:color="auto" w:fill="FFFFFF"/>
          <w:lang w:val="es-ES"/>
        </w:rPr>
        <w:t xml:space="preserve"> Control a los Recursos del Sistema General de Participaciones – Diagnóstico”. Expediente digital No. </w:t>
      </w:r>
      <w:r w:rsidRPr="00BC07AE">
        <w:rPr>
          <w:rStyle w:val="normaltextrun"/>
          <w:rFonts w:cs="Arial"/>
          <w:color w:val="000000"/>
          <w:sz w:val="20"/>
          <w:szCs w:val="20"/>
          <w:shd w:val="clear" w:color="auto" w:fill="FFFFFF"/>
          <w:lang w:val="es-ES"/>
        </w:rPr>
        <w:lastRenderedPageBreak/>
        <w:t>17/2021/D028-PREDI. Radicado No.</w:t>
      </w:r>
      <w:r w:rsidRPr="004A5A8F">
        <w:t xml:space="preserve"> </w:t>
      </w:r>
      <w:r w:rsidRPr="004A5A8F">
        <w:rPr>
          <w:rStyle w:val="normaltextrun"/>
          <w:rFonts w:cs="Arial"/>
          <w:color w:val="000000"/>
          <w:sz w:val="20"/>
          <w:szCs w:val="20"/>
          <w:shd w:val="clear" w:color="auto" w:fill="FFFFFF"/>
          <w:lang w:val="es-ES"/>
        </w:rPr>
        <w:t xml:space="preserve">1-2021-053320 del </w:t>
      </w:r>
      <w:r w:rsidR="00E90ED4" w:rsidRPr="00E90ED4">
        <w:rPr>
          <w:rStyle w:val="normaltextrun"/>
          <w:rFonts w:cs="Arial"/>
          <w:color w:val="000000"/>
          <w:sz w:val="20"/>
          <w:szCs w:val="20"/>
          <w:shd w:val="clear" w:color="auto" w:fill="FFFFFF"/>
          <w:lang w:val="es-ES"/>
        </w:rPr>
        <w:t>22 de junio de 2021</w:t>
      </w:r>
      <w:r>
        <w:rPr>
          <w:rStyle w:val="normaltextrun"/>
          <w:rFonts w:cs="Arial"/>
          <w:color w:val="000000"/>
          <w:sz w:val="20"/>
          <w:szCs w:val="20"/>
          <w:shd w:val="clear" w:color="auto" w:fill="FFFFFF"/>
          <w:lang w:val="es-ES"/>
        </w:rPr>
        <w:t>.</w:t>
      </w:r>
      <w:r w:rsidR="00E90ED4">
        <w:rPr>
          <w:rStyle w:val="normaltextrun"/>
          <w:rFonts w:cs="Arial"/>
          <w:color w:val="000000"/>
          <w:sz w:val="20"/>
          <w:szCs w:val="20"/>
          <w:shd w:val="clear" w:color="auto" w:fill="FFFFFF"/>
          <w:lang w:val="es-ES"/>
        </w:rPr>
        <w:t xml:space="preserve"> </w:t>
      </w:r>
      <w:hyperlink r:id="rId95" w:history="1">
        <w:r w:rsidR="00E90ED4" w:rsidRPr="00002BCD">
          <w:rPr>
            <w:rStyle w:val="Hipervnculo"/>
            <w:rFonts w:cs="Arial"/>
            <w:sz w:val="20"/>
            <w:szCs w:val="20"/>
            <w:shd w:val="clear" w:color="auto" w:fill="FFFFFF"/>
            <w:lang w:val="es-ES"/>
          </w:rPr>
          <w:t>https://bit.ly/3ElrTKi</w:t>
        </w:r>
      </w:hyperlink>
    </w:p>
    <w:p w14:paraId="4B4B8539" w14:textId="77777777" w:rsidR="0057688E" w:rsidRPr="00DF2058" w:rsidRDefault="0057688E">
      <w:pPr>
        <w:pStyle w:val="Prrafodelista"/>
        <w:numPr>
          <w:ilvl w:val="0"/>
          <w:numId w:val="28"/>
        </w:numPr>
        <w:spacing w:line="240" w:lineRule="auto"/>
        <w:jc w:val="both"/>
        <w:rPr>
          <w:rStyle w:val="normaltextrun"/>
          <w:sz w:val="20"/>
          <w:szCs w:val="20"/>
        </w:rPr>
      </w:pPr>
      <w:r>
        <w:rPr>
          <w:rStyle w:val="Hipervnculo"/>
          <w:rFonts w:cs="Arial"/>
          <w:sz w:val="20"/>
          <w:szCs w:val="20"/>
          <w:shd w:val="clear" w:color="auto" w:fill="FFFFFF"/>
          <w:lang w:val="es-ES"/>
        </w:rPr>
        <w:t xml:space="preserve">Pantallazo Proyectos de Inversión. </w:t>
      </w:r>
      <w:r w:rsidRPr="004A5A8F">
        <w:rPr>
          <w:rStyle w:val="normaltextrun"/>
          <w:rFonts w:cs="Arial"/>
          <w:color w:val="000000"/>
          <w:sz w:val="20"/>
          <w:szCs w:val="20"/>
          <w:shd w:val="clear" w:color="auto" w:fill="FFFFFF"/>
          <w:lang w:val="es-ES"/>
        </w:rPr>
        <w:t>Participación de Propósito General. Municipio de Puerto Leguízamo - Putumayo. Serie “Historial de Seguimiento y</w:t>
      </w:r>
      <w:r w:rsidRPr="00E90ED4">
        <w:rPr>
          <w:rStyle w:val="normaltextrun"/>
          <w:rFonts w:cs="Arial"/>
          <w:color w:val="000000"/>
          <w:sz w:val="20"/>
          <w:szCs w:val="20"/>
          <w:shd w:val="clear" w:color="auto" w:fill="FFFFFF"/>
          <w:lang w:val="es-ES"/>
        </w:rPr>
        <w:t xml:space="preserve"> Control a los Recursos del Sistema General de Participaciones – Diagnóstico”.</w:t>
      </w:r>
      <w:r w:rsidR="00463FF9">
        <w:rPr>
          <w:rStyle w:val="normaltextrun"/>
          <w:rFonts w:cs="Arial"/>
          <w:color w:val="000000"/>
          <w:sz w:val="20"/>
          <w:szCs w:val="20"/>
          <w:shd w:val="clear" w:color="auto" w:fill="FFFFFF"/>
          <w:lang w:val="es-ES"/>
        </w:rPr>
        <w:t xml:space="preserve"> </w:t>
      </w:r>
      <w:r w:rsidR="00463FF9" w:rsidRPr="00E90ED4">
        <w:rPr>
          <w:rStyle w:val="normaltextrun"/>
          <w:rFonts w:cs="Arial"/>
          <w:color w:val="000000"/>
          <w:sz w:val="20"/>
          <w:szCs w:val="20"/>
          <w:shd w:val="clear" w:color="auto" w:fill="FFFFFF"/>
          <w:lang w:val="es-ES"/>
        </w:rPr>
        <w:t>Expediente digital No. 17/2021/D028-PREDI.</w:t>
      </w:r>
      <w:r w:rsidR="00C401EA" w:rsidRPr="00C401EA">
        <w:t xml:space="preserve"> </w:t>
      </w:r>
      <w:hyperlink r:id="rId96" w:history="1">
        <w:r w:rsidR="00C401EA" w:rsidRPr="0004208A">
          <w:rPr>
            <w:rStyle w:val="Hipervnculo"/>
            <w:rFonts w:cs="Arial"/>
            <w:sz w:val="20"/>
            <w:szCs w:val="20"/>
            <w:shd w:val="clear" w:color="auto" w:fill="FFFFFF"/>
            <w:lang w:val="es-ES"/>
          </w:rPr>
          <w:t>https://bit.ly/3oM3rvE</w:t>
        </w:r>
      </w:hyperlink>
      <w:r w:rsidR="00C401EA">
        <w:rPr>
          <w:rStyle w:val="normaltextrun"/>
          <w:rFonts w:cs="Arial"/>
          <w:color w:val="000000"/>
          <w:sz w:val="20"/>
          <w:szCs w:val="20"/>
          <w:shd w:val="clear" w:color="auto" w:fill="FFFFFF"/>
          <w:lang w:val="es-ES"/>
        </w:rPr>
        <w:t xml:space="preserve"> </w:t>
      </w:r>
    </w:p>
    <w:p w14:paraId="2B42B4CC" w14:textId="77777777" w:rsidR="00E90ED4" w:rsidRPr="00DF2058" w:rsidRDefault="00E90ED4">
      <w:pPr>
        <w:pStyle w:val="Prrafodelista"/>
        <w:spacing w:line="240" w:lineRule="auto"/>
        <w:jc w:val="both"/>
        <w:rPr>
          <w:sz w:val="20"/>
          <w:szCs w:val="20"/>
        </w:rPr>
      </w:pPr>
    </w:p>
    <w:p w14:paraId="391ECED3" w14:textId="77777777" w:rsidR="00B046EF" w:rsidRDefault="00B046EF">
      <w:pPr>
        <w:spacing w:line="240" w:lineRule="auto"/>
        <w:contextualSpacing/>
        <w:rPr>
          <w:rFonts w:cs="Arial"/>
        </w:rPr>
      </w:pPr>
    </w:p>
    <w:p w14:paraId="6DF150E3" w14:textId="77777777" w:rsidR="00EC68B6" w:rsidRDefault="00EC68B6">
      <w:pPr>
        <w:spacing w:line="240" w:lineRule="auto"/>
        <w:contextualSpacing/>
        <w:rPr>
          <w:rFonts w:cs="Arial"/>
        </w:rPr>
      </w:pPr>
    </w:p>
    <w:p w14:paraId="5DB9054E" w14:textId="77777777" w:rsidR="00EC68B6" w:rsidRDefault="00EC68B6">
      <w:pPr>
        <w:spacing w:line="240" w:lineRule="auto"/>
        <w:contextualSpacing/>
        <w:rPr>
          <w:rFonts w:cs="Arial"/>
        </w:rPr>
      </w:pPr>
    </w:p>
    <w:p w14:paraId="1E0D7075" w14:textId="77777777" w:rsidR="00B046EF" w:rsidRPr="009B7DE8" w:rsidRDefault="00B046EF">
      <w:pPr>
        <w:pStyle w:val="paragraph"/>
        <w:spacing w:before="0" w:beforeAutospacing="0" w:after="0" w:afterAutospacing="0"/>
        <w:contextualSpacing/>
        <w:jc w:val="both"/>
        <w:textAlignment w:val="baseline"/>
        <w:rPr>
          <w:rFonts w:ascii="Arial" w:hAnsi="Arial" w:cs="Arial"/>
          <w:sz w:val="18"/>
          <w:szCs w:val="18"/>
        </w:rPr>
      </w:pPr>
      <w:r w:rsidRPr="009B7DE8">
        <w:rPr>
          <w:rStyle w:val="normaltextrun"/>
          <w:rFonts w:ascii="Arial" w:hAnsi="Arial" w:cs="Arial"/>
          <w:b/>
          <w:bCs/>
          <w:sz w:val="18"/>
          <w:szCs w:val="18"/>
          <w:lang w:val="es-ES"/>
        </w:rPr>
        <w:t xml:space="preserve">APROBÓ: </w:t>
      </w:r>
      <w:r w:rsidRPr="009B7DE8">
        <w:rPr>
          <w:rStyle w:val="normaltextrun"/>
          <w:rFonts w:ascii="Arial" w:hAnsi="Arial" w:cs="Arial"/>
          <w:sz w:val="18"/>
          <w:szCs w:val="18"/>
          <w:lang w:val="es-ES"/>
        </w:rPr>
        <w:t>Fernando Olivera</w:t>
      </w:r>
    </w:p>
    <w:p w14:paraId="049FFA4B" w14:textId="77777777" w:rsidR="00B046EF" w:rsidRPr="009B7DE8" w:rsidRDefault="00B046EF">
      <w:pPr>
        <w:pStyle w:val="paragraph"/>
        <w:spacing w:before="0" w:beforeAutospacing="0" w:after="0" w:afterAutospacing="0"/>
        <w:contextualSpacing/>
        <w:jc w:val="both"/>
        <w:textAlignment w:val="baseline"/>
        <w:rPr>
          <w:rFonts w:ascii="Arial" w:hAnsi="Arial" w:cs="Arial"/>
          <w:sz w:val="18"/>
          <w:szCs w:val="18"/>
        </w:rPr>
      </w:pPr>
      <w:r w:rsidRPr="009B7DE8">
        <w:rPr>
          <w:rStyle w:val="normaltextrun"/>
          <w:rFonts w:ascii="Arial" w:hAnsi="Arial" w:cs="Arial"/>
          <w:b/>
          <w:bCs/>
          <w:sz w:val="18"/>
          <w:szCs w:val="18"/>
          <w:lang w:val="es-ES"/>
        </w:rPr>
        <w:t xml:space="preserve">REVISIÓN JURÍDICA: </w:t>
      </w:r>
      <w:r w:rsidR="00BC024E">
        <w:rPr>
          <w:rStyle w:val="normaltextrun"/>
          <w:rFonts w:ascii="Arial" w:hAnsi="Arial" w:cs="Arial"/>
          <w:color w:val="000000"/>
          <w:sz w:val="18"/>
          <w:szCs w:val="18"/>
          <w:lang w:val="es-ES"/>
        </w:rPr>
        <w:t>Equipo</w:t>
      </w:r>
      <w:r w:rsidR="00BC024E">
        <w:rPr>
          <w:rFonts w:ascii="Arial" w:hAnsi="Arial" w:cs="Arial"/>
          <w:b/>
          <w:sz w:val="18"/>
          <w:szCs w:val="18"/>
        </w:rPr>
        <w:t xml:space="preserve"> </w:t>
      </w:r>
      <w:r w:rsidR="00BC024E" w:rsidRPr="00FB27C3">
        <w:rPr>
          <w:rFonts w:ascii="Arial" w:hAnsi="Arial" w:cs="Arial"/>
          <w:bCs/>
          <w:sz w:val="18"/>
          <w:szCs w:val="18"/>
        </w:rPr>
        <w:t>Jurídico.</w:t>
      </w:r>
    </w:p>
    <w:p w14:paraId="0851D528" w14:textId="77777777" w:rsidR="00B046EF" w:rsidRPr="009B7DE8" w:rsidRDefault="00B046EF">
      <w:pPr>
        <w:pStyle w:val="paragraph"/>
        <w:spacing w:before="0" w:beforeAutospacing="0" w:after="0" w:afterAutospacing="0"/>
        <w:contextualSpacing/>
        <w:jc w:val="both"/>
        <w:textAlignment w:val="baseline"/>
        <w:rPr>
          <w:rFonts w:ascii="Arial" w:hAnsi="Arial" w:cs="Arial"/>
          <w:sz w:val="18"/>
          <w:szCs w:val="18"/>
        </w:rPr>
      </w:pPr>
      <w:r w:rsidRPr="009B7DE8">
        <w:rPr>
          <w:rStyle w:val="normaltextrun"/>
          <w:rFonts w:ascii="Arial" w:hAnsi="Arial" w:cs="Arial"/>
          <w:b/>
          <w:bCs/>
          <w:sz w:val="18"/>
          <w:szCs w:val="18"/>
          <w:lang w:val="es-ES"/>
        </w:rPr>
        <w:t>REVISIÓN TÉCNICA</w:t>
      </w:r>
      <w:r w:rsidRPr="009B7DE8">
        <w:rPr>
          <w:rStyle w:val="normaltextrun"/>
          <w:rFonts w:ascii="Arial" w:hAnsi="Arial" w:cs="Arial"/>
          <w:color w:val="000000"/>
          <w:sz w:val="18"/>
          <w:szCs w:val="18"/>
          <w:lang w:val="es-ES"/>
        </w:rPr>
        <w:t>: Carlos Mendoza</w:t>
      </w:r>
    </w:p>
    <w:p w14:paraId="466B2511" w14:textId="77777777" w:rsidR="00B046EF" w:rsidRPr="009B7DE8" w:rsidRDefault="00B046EF">
      <w:pPr>
        <w:spacing w:line="240" w:lineRule="auto"/>
        <w:contextualSpacing/>
        <w:rPr>
          <w:rFonts w:cs="Arial"/>
        </w:rPr>
      </w:pPr>
      <w:r w:rsidRPr="009B7DE8">
        <w:rPr>
          <w:rStyle w:val="normaltextrun"/>
          <w:rFonts w:cs="Arial"/>
          <w:b/>
          <w:bCs/>
          <w:sz w:val="18"/>
          <w:szCs w:val="18"/>
          <w:lang w:val="es-ES"/>
        </w:rPr>
        <w:t>ELABO</w:t>
      </w:r>
      <w:r w:rsidRPr="009B7DE8">
        <w:rPr>
          <w:rFonts w:cs="Arial"/>
          <w:b/>
          <w:sz w:val="18"/>
          <w:szCs w:val="18"/>
        </w:rPr>
        <w:t xml:space="preserve">RÓ: </w:t>
      </w:r>
      <w:r w:rsidRPr="009B7DE8">
        <w:rPr>
          <w:rStyle w:val="normaltextrun"/>
          <w:rFonts w:cs="Arial"/>
          <w:color w:val="000000"/>
          <w:sz w:val="18"/>
          <w:szCs w:val="18"/>
          <w:lang w:val="es-ES"/>
        </w:rPr>
        <w:t>Cristian Bastidas</w:t>
      </w:r>
      <w:r w:rsidR="00F23B70">
        <w:rPr>
          <w:rStyle w:val="normaltextrun"/>
          <w:rFonts w:cs="Arial"/>
          <w:color w:val="000000"/>
          <w:sz w:val="18"/>
          <w:szCs w:val="18"/>
          <w:lang w:val="es-ES"/>
        </w:rPr>
        <w:t>/Wver Hernández</w:t>
      </w:r>
    </w:p>
    <w:p w14:paraId="1779C63C" w14:textId="77777777" w:rsidR="00557376" w:rsidRDefault="00557376">
      <w:pPr>
        <w:spacing w:line="240" w:lineRule="auto"/>
        <w:contextualSpacing/>
      </w:pPr>
      <w:r>
        <w:br w:type="page"/>
      </w:r>
    </w:p>
    <w:p w14:paraId="35B6A318" w14:textId="77777777" w:rsidR="007A1321" w:rsidRDefault="007A1321">
      <w:pPr>
        <w:spacing w:line="240" w:lineRule="auto"/>
        <w:contextualSpacing/>
        <w:jc w:val="both"/>
      </w:pPr>
    </w:p>
    <w:p w14:paraId="3A9BAB82" w14:textId="77777777" w:rsidR="00CF415E" w:rsidRDefault="007A1321">
      <w:pPr>
        <w:spacing w:line="240" w:lineRule="auto"/>
        <w:contextualSpacing/>
        <w:jc w:val="both"/>
        <w:rPr>
          <w:b/>
          <w:bCs/>
        </w:rPr>
      </w:pPr>
      <w:r w:rsidRPr="0041596E">
        <w:rPr>
          <w:b/>
          <w:bCs/>
        </w:rPr>
        <w:t>ANEXO: ANÁLISIS DE REPORTE EN EL FORM</w:t>
      </w:r>
      <w:r>
        <w:rPr>
          <w:b/>
          <w:bCs/>
        </w:rPr>
        <w:t>ULARIO</w:t>
      </w:r>
      <w:r w:rsidRPr="0041596E">
        <w:rPr>
          <w:b/>
          <w:bCs/>
        </w:rPr>
        <w:t xml:space="preserve"> ÚNICO TERRITORIAL DETALLADO</w:t>
      </w:r>
      <w:r>
        <w:rPr>
          <w:b/>
          <w:bCs/>
        </w:rPr>
        <w:t>.</w:t>
      </w:r>
    </w:p>
    <w:p w14:paraId="010F6143" w14:textId="77777777" w:rsidR="00DE2AB6" w:rsidRDefault="00DE2AB6">
      <w:pPr>
        <w:spacing w:line="240" w:lineRule="auto"/>
        <w:contextualSpacing/>
        <w:jc w:val="both"/>
        <w:rPr>
          <w:b/>
          <w:bCs/>
        </w:rPr>
      </w:pPr>
    </w:p>
    <w:p w14:paraId="4613024F" w14:textId="77777777" w:rsidR="00DE2AB6" w:rsidRDefault="00DE2AB6">
      <w:pPr>
        <w:spacing w:line="240" w:lineRule="auto"/>
        <w:contextualSpacing/>
        <w:jc w:val="both"/>
        <w:rPr>
          <w:b/>
          <w:bCs/>
        </w:rPr>
      </w:pPr>
      <w:r>
        <w:rPr>
          <w:b/>
          <w:bCs/>
        </w:rPr>
        <w:t>INGRESOS</w:t>
      </w:r>
      <w:r w:rsidR="00D04E76">
        <w:rPr>
          <w:b/>
          <w:bCs/>
        </w:rPr>
        <w:t>:</w:t>
      </w:r>
    </w:p>
    <w:p w14:paraId="624C68AA" w14:textId="77777777" w:rsidR="005D7743" w:rsidRDefault="005D7743">
      <w:pPr>
        <w:spacing w:line="240" w:lineRule="auto"/>
        <w:contextualSpacing/>
        <w:jc w:val="both"/>
        <w:rPr>
          <w:b/>
          <w:bCs/>
        </w:rPr>
      </w:pPr>
    </w:p>
    <w:p w14:paraId="28583081" w14:textId="77777777" w:rsidR="005D7743" w:rsidRDefault="005D7743">
      <w:pPr>
        <w:spacing w:line="240" w:lineRule="auto"/>
        <w:contextualSpacing/>
        <w:jc w:val="both"/>
        <w:rPr>
          <w:b/>
          <w:bCs/>
        </w:rPr>
      </w:pPr>
      <w:r>
        <w:rPr>
          <w:b/>
          <w:bCs/>
        </w:rPr>
        <w:t>Vigencia 2018</w:t>
      </w:r>
      <w:r w:rsidR="00231BBE">
        <w:rPr>
          <w:b/>
          <w:bCs/>
        </w:rPr>
        <w:t>.</w:t>
      </w:r>
    </w:p>
    <w:p w14:paraId="5A498A2C" w14:textId="77777777" w:rsidR="00231BBE" w:rsidRDefault="00231BBE">
      <w:pPr>
        <w:spacing w:line="240" w:lineRule="auto"/>
        <w:contextualSpacing/>
        <w:jc w:val="both"/>
        <w:rPr>
          <w:b/>
          <w:bCs/>
        </w:rPr>
      </w:pPr>
    </w:p>
    <w:p w14:paraId="5246947F" w14:textId="77777777" w:rsidR="007518C3" w:rsidRPr="00FB27C3" w:rsidRDefault="007518C3">
      <w:pPr>
        <w:spacing w:after="0" w:line="240" w:lineRule="auto"/>
        <w:contextualSpacing/>
        <w:jc w:val="center"/>
        <w:rPr>
          <w:b/>
          <w:bCs/>
          <w:sz w:val="20"/>
          <w:szCs w:val="20"/>
        </w:rPr>
      </w:pPr>
      <w:r w:rsidRPr="00FB27C3">
        <w:rPr>
          <w:b/>
          <w:bCs/>
          <w:sz w:val="20"/>
          <w:szCs w:val="20"/>
        </w:rPr>
        <w:t>Cuadro No. 1</w:t>
      </w:r>
    </w:p>
    <w:p w14:paraId="78BBB628" w14:textId="77777777" w:rsidR="007518C3" w:rsidRPr="00FB27C3" w:rsidRDefault="007518C3">
      <w:pPr>
        <w:spacing w:after="0" w:line="240" w:lineRule="auto"/>
        <w:contextualSpacing/>
        <w:jc w:val="center"/>
        <w:rPr>
          <w:sz w:val="20"/>
          <w:szCs w:val="20"/>
        </w:rPr>
      </w:pPr>
      <w:r w:rsidRPr="00FB27C3">
        <w:rPr>
          <w:sz w:val="20"/>
          <w:szCs w:val="20"/>
        </w:rPr>
        <w:t>Reporte FUT Ingresos 2018</w:t>
      </w:r>
    </w:p>
    <w:p w14:paraId="54481D8F" w14:textId="77777777" w:rsidR="007518C3" w:rsidRDefault="007518C3">
      <w:pPr>
        <w:spacing w:line="240" w:lineRule="auto"/>
        <w:contextualSpacing/>
        <w:jc w:val="center"/>
        <w:rPr>
          <w:sz w:val="20"/>
          <w:szCs w:val="20"/>
        </w:rPr>
      </w:pPr>
      <w:r w:rsidRPr="00FB27C3">
        <w:rPr>
          <w:sz w:val="20"/>
          <w:szCs w:val="20"/>
        </w:rPr>
        <w:t>Municipio de Puerto Leguízamo – Putumayo</w:t>
      </w:r>
    </w:p>
    <w:p w14:paraId="6DA2C8B2" w14:textId="77777777" w:rsidR="00E1480E" w:rsidRPr="00FB27C3" w:rsidRDefault="00E1480E">
      <w:pPr>
        <w:spacing w:line="240" w:lineRule="auto"/>
        <w:contextualSpacing/>
        <w:jc w:val="center"/>
        <w:rPr>
          <w:sz w:val="20"/>
          <w:szCs w:val="20"/>
        </w:rPr>
      </w:pPr>
      <w:r>
        <w:rPr>
          <w:sz w:val="20"/>
          <w:szCs w:val="20"/>
        </w:rPr>
        <w:t>-Cifras en pesos-</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0"/>
        <w:gridCol w:w="1350"/>
        <w:gridCol w:w="1218"/>
        <w:gridCol w:w="1351"/>
        <w:gridCol w:w="1350"/>
        <w:gridCol w:w="1191"/>
        <w:gridCol w:w="1353"/>
      </w:tblGrid>
      <w:tr w:rsidR="007518C3" w:rsidRPr="00A12355" w14:paraId="57CB0963" w14:textId="77777777" w:rsidTr="007518C3">
        <w:trPr>
          <w:trHeight w:val="196"/>
          <w:jc w:val="center"/>
        </w:trPr>
        <w:tc>
          <w:tcPr>
            <w:tcW w:w="1320" w:type="dxa"/>
            <w:shd w:val="clear" w:color="000000" w:fill="E5E5FF"/>
            <w:noWrap/>
            <w:vAlign w:val="bottom"/>
            <w:hideMark/>
          </w:tcPr>
          <w:p w14:paraId="18FA3506" w14:textId="77777777" w:rsidR="00A12355" w:rsidRPr="00A12355" w:rsidRDefault="00A12355">
            <w:pPr>
              <w:spacing w:after="0" w:line="240" w:lineRule="auto"/>
              <w:contextualSpacing/>
              <w:jc w:val="center"/>
              <w:rPr>
                <w:rFonts w:ascii="Calibri" w:eastAsia="Times New Roman" w:hAnsi="Calibri" w:cs="Calibri"/>
                <w:color w:val="000000"/>
                <w:sz w:val="18"/>
                <w:szCs w:val="18"/>
                <w:lang w:val="es-CO" w:eastAsia="es-CO"/>
              </w:rPr>
            </w:pPr>
          </w:p>
        </w:tc>
        <w:tc>
          <w:tcPr>
            <w:tcW w:w="7813" w:type="dxa"/>
            <w:gridSpan w:val="6"/>
            <w:shd w:val="clear" w:color="000000" w:fill="E5E5FF"/>
            <w:noWrap/>
            <w:vAlign w:val="bottom"/>
            <w:hideMark/>
          </w:tcPr>
          <w:p w14:paraId="51D0F16F" w14:textId="77777777" w:rsidR="00A12355" w:rsidRPr="00A12355" w:rsidRDefault="00A12355">
            <w:pPr>
              <w:spacing w:after="0" w:line="240" w:lineRule="auto"/>
              <w:contextualSpacing/>
              <w:jc w:val="center"/>
              <w:rPr>
                <w:rFonts w:ascii="Calibri" w:eastAsia="Times New Roman" w:hAnsi="Calibri" w:cs="Calibri"/>
                <w:color w:val="000000"/>
                <w:sz w:val="18"/>
                <w:szCs w:val="18"/>
                <w:lang w:val="es-CO" w:eastAsia="es-CO"/>
              </w:rPr>
            </w:pPr>
            <w:r w:rsidRPr="00A12355">
              <w:rPr>
                <w:rFonts w:ascii="Calibri" w:eastAsia="Times New Roman" w:hAnsi="Calibri" w:cs="Calibri"/>
                <w:color w:val="000000"/>
                <w:sz w:val="18"/>
                <w:szCs w:val="18"/>
                <w:lang w:val="es-CO" w:eastAsia="es-CO"/>
              </w:rPr>
              <w:t>2018</w:t>
            </w:r>
          </w:p>
        </w:tc>
      </w:tr>
      <w:tr w:rsidR="00AB5242" w:rsidRPr="006C532F" w14:paraId="3BE93618" w14:textId="77777777" w:rsidTr="007518C3">
        <w:trPr>
          <w:trHeight w:val="206"/>
          <w:jc w:val="center"/>
        </w:trPr>
        <w:tc>
          <w:tcPr>
            <w:tcW w:w="1320" w:type="dxa"/>
            <w:vMerge w:val="restart"/>
            <w:shd w:val="clear" w:color="000000" w:fill="666699"/>
            <w:vAlign w:val="center"/>
            <w:hideMark/>
          </w:tcPr>
          <w:p w14:paraId="2334018B" w14:textId="77777777" w:rsidR="00A12355" w:rsidRPr="00A12355" w:rsidRDefault="00A12355" w:rsidP="00286F4A">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Concepto</w:t>
            </w:r>
          </w:p>
        </w:tc>
        <w:tc>
          <w:tcPr>
            <w:tcW w:w="3919" w:type="dxa"/>
            <w:gridSpan w:val="3"/>
            <w:shd w:val="clear" w:color="000000" w:fill="CCCCFF"/>
            <w:vAlign w:val="center"/>
            <w:hideMark/>
          </w:tcPr>
          <w:p w14:paraId="1D2BFE86"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 xml:space="preserve">Presupuesto Definitivo </w:t>
            </w:r>
          </w:p>
        </w:tc>
        <w:tc>
          <w:tcPr>
            <w:tcW w:w="3894" w:type="dxa"/>
            <w:gridSpan w:val="3"/>
            <w:shd w:val="clear" w:color="000000" w:fill="CCCCFF"/>
            <w:vAlign w:val="center"/>
            <w:hideMark/>
          </w:tcPr>
          <w:p w14:paraId="3BD02A08"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 xml:space="preserve">Recaudo </w:t>
            </w:r>
          </w:p>
        </w:tc>
      </w:tr>
      <w:tr w:rsidR="00A12355" w:rsidRPr="006C532F" w14:paraId="2BAC975C" w14:textId="77777777" w:rsidTr="00266EDB">
        <w:trPr>
          <w:trHeight w:val="562"/>
          <w:jc w:val="center"/>
        </w:trPr>
        <w:tc>
          <w:tcPr>
            <w:tcW w:w="1320" w:type="dxa"/>
            <w:vMerge/>
            <w:vAlign w:val="center"/>
            <w:hideMark/>
          </w:tcPr>
          <w:p w14:paraId="7CCD119A" w14:textId="77777777" w:rsidR="00A12355" w:rsidRPr="00A12355" w:rsidRDefault="00A12355">
            <w:pPr>
              <w:spacing w:after="0" w:line="240" w:lineRule="auto"/>
              <w:contextualSpacing/>
              <w:rPr>
                <w:rFonts w:eastAsia="Times New Roman" w:cs="Arial"/>
                <w:b/>
                <w:bCs/>
                <w:color w:val="FFFFFF"/>
                <w:sz w:val="18"/>
                <w:szCs w:val="18"/>
                <w:lang w:val="es-CO" w:eastAsia="es-CO"/>
              </w:rPr>
            </w:pPr>
          </w:p>
        </w:tc>
        <w:tc>
          <w:tcPr>
            <w:tcW w:w="1350" w:type="dxa"/>
            <w:shd w:val="clear" w:color="000000" w:fill="666699"/>
            <w:vAlign w:val="center"/>
            <w:hideMark/>
          </w:tcPr>
          <w:p w14:paraId="62294DCF"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Ejecución presupuestal</w:t>
            </w:r>
          </w:p>
        </w:tc>
        <w:tc>
          <w:tcPr>
            <w:tcW w:w="1218" w:type="dxa"/>
            <w:shd w:val="clear" w:color="000000" w:fill="666699"/>
            <w:vAlign w:val="center"/>
            <w:hideMark/>
          </w:tcPr>
          <w:p w14:paraId="659AEA9E"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Reporte FUT</w:t>
            </w:r>
          </w:p>
        </w:tc>
        <w:tc>
          <w:tcPr>
            <w:tcW w:w="1351" w:type="dxa"/>
            <w:shd w:val="clear" w:color="000000" w:fill="666699"/>
            <w:vAlign w:val="center"/>
            <w:hideMark/>
          </w:tcPr>
          <w:p w14:paraId="0327A93C"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Diferencia</w:t>
            </w:r>
          </w:p>
        </w:tc>
        <w:tc>
          <w:tcPr>
            <w:tcW w:w="1350" w:type="dxa"/>
            <w:shd w:val="clear" w:color="000000" w:fill="666699"/>
            <w:vAlign w:val="center"/>
            <w:hideMark/>
          </w:tcPr>
          <w:p w14:paraId="2394239D"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Ejecución presupuestal</w:t>
            </w:r>
          </w:p>
        </w:tc>
        <w:tc>
          <w:tcPr>
            <w:tcW w:w="1191" w:type="dxa"/>
            <w:shd w:val="clear" w:color="000000" w:fill="666699"/>
            <w:vAlign w:val="center"/>
            <w:hideMark/>
          </w:tcPr>
          <w:p w14:paraId="0526F616"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Reporte FUT</w:t>
            </w:r>
          </w:p>
        </w:tc>
        <w:tc>
          <w:tcPr>
            <w:tcW w:w="1353" w:type="dxa"/>
            <w:shd w:val="clear" w:color="000000" w:fill="666699"/>
            <w:vAlign w:val="center"/>
            <w:hideMark/>
          </w:tcPr>
          <w:p w14:paraId="42BB6F60"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Diferencia</w:t>
            </w:r>
          </w:p>
        </w:tc>
      </w:tr>
      <w:tr w:rsidR="00A12355" w:rsidRPr="006C532F" w14:paraId="7565A185" w14:textId="77777777" w:rsidTr="00266EDB">
        <w:trPr>
          <w:trHeight w:val="189"/>
          <w:jc w:val="center"/>
        </w:trPr>
        <w:tc>
          <w:tcPr>
            <w:tcW w:w="1320" w:type="dxa"/>
            <w:shd w:val="clear" w:color="000000" w:fill="666699"/>
            <w:vAlign w:val="center"/>
            <w:hideMark/>
          </w:tcPr>
          <w:p w14:paraId="173763F7" w14:textId="77777777" w:rsidR="00A12355" w:rsidRPr="00A12355" w:rsidRDefault="00A12355" w:rsidP="00286F4A">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Total</w:t>
            </w:r>
          </w:p>
        </w:tc>
        <w:tc>
          <w:tcPr>
            <w:tcW w:w="1350" w:type="dxa"/>
            <w:shd w:val="clear" w:color="000000" w:fill="666699"/>
            <w:vAlign w:val="center"/>
            <w:hideMark/>
          </w:tcPr>
          <w:p w14:paraId="4302AF68" w14:textId="77777777" w:rsid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2.880.919.704</w:t>
            </w:r>
          </w:p>
          <w:p w14:paraId="590FF6DB" w14:textId="77777777" w:rsidR="00231BBE" w:rsidRPr="00A12355" w:rsidRDefault="00231BBE">
            <w:pPr>
              <w:spacing w:after="0" w:line="240" w:lineRule="auto"/>
              <w:contextualSpacing/>
              <w:jc w:val="center"/>
              <w:rPr>
                <w:rFonts w:eastAsia="Times New Roman" w:cs="Arial"/>
                <w:b/>
                <w:bCs/>
                <w:color w:val="FFFFFF"/>
                <w:sz w:val="18"/>
                <w:szCs w:val="18"/>
                <w:lang w:val="es-CO" w:eastAsia="es-CO"/>
              </w:rPr>
            </w:pPr>
          </w:p>
        </w:tc>
        <w:tc>
          <w:tcPr>
            <w:tcW w:w="1218" w:type="dxa"/>
            <w:shd w:val="clear" w:color="000000" w:fill="666699"/>
            <w:vAlign w:val="center"/>
            <w:hideMark/>
          </w:tcPr>
          <w:p w14:paraId="547E13BD"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758.026.636</w:t>
            </w:r>
          </w:p>
        </w:tc>
        <w:tc>
          <w:tcPr>
            <w:tcW w:w="1351" w:type="dxa"/>
            <w:shd w:val="clear" w:color="000000" w:fill="666699"/>
            <w:vAlign w:val="center"/>
            <w:hideMark/>
          </w:tcPr>
          <w:p w14:paraId="03C80DE2"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2.122.893.068</w:t>
            </w:r>
          </w:p>
        </w:tc>
        <w:tc>
          <w:tcPr>
            <w:tcW w:w="1350" w:type="dxa"/>
            <w:shd w:val="clear" w:color="000000" w:fill="666699"/>
            <w:vAlign w:val="center"/>
            <w:hideMark/>
          </w:tcPr>
          <w:p w14:paraId="2CC950DF"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2.753.934.551</w:t>
            </w:r>
          </w:p>
        </w:tc>
        <w:tc>
          <w:tcPr>
            <w:tcW w:w="1191" w:type="dxa"/>
            <w:shd w:val="clear" w:color="000000" w:fill="666699"/>
            <w:vAlign w:val="center"/>
            <w:hideMark/>
          </w:tcPr>
          <w:p w14:paraId="42305693"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758.026.636</w:t>
            </w:r>
          </w:p>
        </w:tc>
        <w:tc>
          <w:tcPr>
            <w:tcW w:w="1353" w:type="dxa"/>
            <w:shd w:val="clear" w:color="000000" w:fill="666699"/>
            <w:vAlign w:val="center"/>
            <w:hideMark/>
          </w:tcPr>
          <w:p w14:paraId="53761DE4" w14:textId="77777777" w:rsidR="00A12355" w:rsidRPr="00A12355" w:rsidRDefault="00A12355">
            <w:pPr>
              <w:spacing w:after="0" w:line="240" w:lineRule="auto"/>
              <w:contextualSpacing/>
              <w:jc w:val="center"/>
              <w:rPr>
                <w:rFonts w:eastAsia="Times New Roman" w:cs="Arial"/>
                <w:b/>
                <w:bCs/>
                <w:color w:val="FFFFFF"/>
                <w:sz w:val="18"/>
                <w:szCs w:val="18"/>
                <w:lang w:val="es-CO" w:eastAsia="es-CO"/>
              </w:rPr>
            </w:pPr>
            <w:r w:rsidRPr="00A12355">
              <w:rPr>
                <w:rFonts w:eastAsia="Times New Roman" w:cs="Arial"/>
                <w:b/>
                <w:bCs/>
                <w:color w:val="FFFFFF"/>
                <w:sz w:val="18"/>
                <w:szCs w:val="18"/>
                <w:lang w:val="es-CO" w:eastAsia="es-CO"/>
              </w:rPr>
              <w:t>1.995.907.915</w:t>
            </w:r>
          </w:p>
        </w:tc>
      </w:tr>
      <w:tr w:rsidR="00A12355" w:rsidRPr="006C532F" w14:paraId="1B22C5B3" w14:textId="77777777" w:rsidTr="00266EDB">
        <w:trPr>
          <w:trHeight w:val="346"/>
          <w:jc w:val="center"/>
        </w:trPr>
        <w:tc>
          <w:tcPr>
            <w:tcW w:w="1320" w:type="dxa"/>
            <w:shd w:val="clear" w:color="000000" w:fill="CCCCFF"/>
            <w:vAlign w:val="center"/>
            <w:hideMark/>
          </w:tcPr>
          <w:p w14:paraId="56F26885" w14:textId="77777777" w:rsidR="00A12355" w:rsidRPr="00A12355" w:rsidRDefault="00A12355" w:rsidP="00286F4A">
            <w:pPr>
              <w:spacing w:after="0" w:line="240" w:lineRule="auto"/>
              <w:contextualSpacing/>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1. Ingresos Corrientes</w:t>
            </w:r>
          </w:p>
        </w:tc>
        <w:tc>
          <w:tcPr>
            <w:tcW w:w="1350" w:type="dxa"/>
            <w:shd w:val="clear" w:color="000000" w:fill="CCCCFF"/>
            <w:vAlign w:val="center"/>
            <w:hideMark/>
          </w:tcPr>
          <w:p w14:paraId="2CA0A43D"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2.581.239.656</w:t>
            </w:r>
          </w:p>
        </w:tc>
        <w:tc>
          <w:tcPr>
            <w:tcW w:w="1218" w:type="dxa"/>
            <w:shd w:val="clear" w:color="000000" w:fill="CCCCFF"/>
            <w:vAlign w:val="center"/>
            <w:hideMark/>
          </w:tcPr>
          <w:p w14:paraId="29C97D8C"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758.026.636</w:t>
            </w:r>
          </w:p>
        </w:tc>
        <w:tc>
          <w:tcPr>
            <w:tcW w:w="1351" w:type="dxa"/>
            <w:shd w:val="clear" w:color="000000" w:fill="CCCCFF"/>
            <w:vAlign w:val="center"/>
            <w:hideMark/>
          </w:tcPr>
          <w:p w14:paraId="31E21EFB"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1.823.213.020</w:t>
            </w:r>
          </w:p>
        </w:tc>
        <w:tc>
          <w:tcPr>
            <w:tcW w:w="1350" w:type="dxa"/>
            <w:shd w:val="clear" w:color="000000" w:fill="CCCCFF"/>
            <w:vAlign w:val="center"/>
            <w:hideMark/>
          </w:tcPr>
          <w:p w14:paraId="4ACB42B9"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2.454.254.503</w:t>
            </w:r>
          </w:p>
        </w:tc>
        <w:tc>
          <w:tcPr>
            <w:tcW w:w="1191" w:type="dxa"/>
            <w:shd w:val="clear" w:color="000000" w:fill="CCCCFF"/>
            <w:vAlign w:val="center"/>
            <w:hideMark/>
          </w:tcPr>
          <w:p w14:paraId="72CB8E3E"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758.026.636</w:t>
            </w:r>
          </w:p>
        </w:tc>
        <w:tc>
          <w:tcPr>
            <w:tcW w:w="1353" w:type="dxa"/>
            <w:shd w:val="clear" w:color="000000" w:fill="CCCCFF"/>
            <w:vAlign w:val="center"/>
            <w:hideMark/>
          </w:tcPr>
          <w:p w14:paraId="061CD4F7"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1.696.227.867</w:t>
            </w:r>
          </w:p>
        </w:tc>
      </w:tr>
      <w:tr w:rsidR="009A3B28" w:rsidRPr="006C532F" w14:paraId="2011E474" w14:textId="77777777" w:rsidTr="00266EDB">
        <w:trPr>
          <w:trHeight w:val="346"/>
          <w:jc w:val="center"/>
        </w:trPr>
        <w:tc>
          <w:tcPr>
            <w:tcW w:w="1320" w:type="dxa"/>
            <w:shd w:val="clear" w:color="auto" w:fill="auto"/>
            <w:noWrap/>
            <w:vAlign w:val="center"/>
            <w:hideMark/>
          </w:tcPr>
          <w:p w14:paraId="20071FD3" w14:textId="77777777" w:rsidR="00A12355" w:rsidRPr="00A12355" w:rsidRDefault="00A12355" w:rsidP="00286F4A">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1.1. Libre Destinación</w:t>
            </w:r>
          </w:p>
        </w:tc>
        <w:tc>
          <w:tcPr>
            <w:tcW w:w="1350" w:type="dxa"/>
            <w:shd w:val="clear" w:color="auto" w:fill="auto"/>
            <w:noWrap/>
            <w:vAlign w:val="center"/>
            <w:hideMark/>
          </w:tcPr>
          <w:p w14:paraId="4C5C932E"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1.125.531.934</w:t>
            </w:r>
          </w:p>
        </w:tc>
        <w:tc>
          <w:tcPr>
            <w:tcW w:w="1218" w:type="dxa"/>
            <w:shd w:val="clear" w:color="auto" w:fill="auto"/>
            <w:vAlign w:val="center"/>
            <w:hideMark/>
          </w:tcPr>
          <w:p w14:paraId="16872807" w14:textId="77777777" w:rsidR="00A12355" w:rsidRPr="00A12355" w:rsidRDefault="00A12355">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758.026.636</w:t>
            </w:r>
          </w:p>
        </w:tc>
        <w:tc>
          <w:tcPr>
            <w:tcW w:w="1351" w:type="dxa"/>
            <w:shd w:val="clear" w:color="auto" w:fill="auto"/>
            <w:noWrap/>
            <w:vAlign w:val="center"/>
            <w:hideMark/>
          </w:tcPr>
          <w:p w14:paraId="5A173FA0"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367.505.298</w:t>
            </w:r>
          </w:p>
        </w:tc>
        <w:tc>
          <w:tcPr>
            <w:tcW w:w="1350" w:type="dxa"/>
            <w:shd w:val="clear" w:color="auto" w:fill="auto"/>
            <w:noWrap/>
            <w:vAlign w:val="center"/>
            <w:hideMark/>
          </w:tcPr>
          <w:p w14:paraId="48F0C7F9"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1.036.872.693</w:t>
            </w:r>
          </w:p>
        </w:tc>
        <w:tc>
          <w:tcPr>
            <w:tcW w:w="1191" w:type="dxa"/>
            <w:shd w:val="clear" w:color="auto" w:fill="auto"/>
            <w:vAlign w:val="center"/>
            <w:hideMark/>
          </w:tcPr>
          <w:p w14:paraId="5834760B"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758.026.636</w:t>
            </w:r>
          </w:p>
        </w:tc>
        <w:tc>
          <w:tcPr>
            <w:tcW w:w="1353" w:type="dxa"/>
            <w:shd w:val="clear" w:color="auto" w:fill="auto"/>
            <w:noWrap/>
            <w:vAlign w:val="center"/>
            <w:hideMark/>
          </w:tcPr>
          <w:p w14:paraId="6FA174FC"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278.846.057</w:t>
            </w:r>
          </w:p>
        </w:tc>
      </w:tr>
      <w:tr w:rsidR="009A3B28" w:rsidRPr="006C532F" w14:paraId="2850895D" w14:textId="77777777" w:rsidTr="00266EDB">
        <w:trPr>
          <w:trHeight w:val="189"/>
          <w:jc w:val="center"/>
        </w:trPr>
        <w:tc>
          <w:tcPr>
            <w:tcW w:w="1320" w:type="dxa"/>
            <w:shd w:val="clear" w:color="auto" w:fill="auto"/>
            <w:noWrap/>
            <w:vAlign w:val="center"/>
            <w:hideMark/>
          </w:tcPr>
          <w:p w14:paraId="6976082F" w14:textId="77777777" w:rsidR="00A12355" w:rsidRPr="00A12355" w:rsidRDefault="00A12355" w:rsidP="00286F4A">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1.2. Libre Inversión</w:t>
            </w:r>
          </w:p>
        </w:tc>
        <w:tc>
          <w:tcPr>
            <w:tcW w:w="1350" w:type="dxa"/>
            <w:shd w:val="clear" w:color="auto" w:fill="auto"/>
            <w:noWrap/>
            <w:vAlign w:val="center"/>
            <w:hideMark/>
          </w:tcPr>
          <w:p w14:paraId="7024EF4D"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1.344.876.928</w:t>
            </w:r>
          </w:p>
        </w:tc>
        <w:tc>
          <w:tcPr>
            <w:tcW w:w="1218" w:type="dxa"/>
            <w:shd w:val="clear" w:color="auto" w:fill="auto"/>
            <w:vAlign w:val="center"/>
            <w:hideMark/>
          </w:tcPr>
          <w:p w14:paraId="53FD6351" w14:textId="77777777" w:rsidR="00A12355" w:rsidRPr="00A12355" w:rsidRDefault="00A12355">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w:t>
            </w:r>
          </w:p>
        </w:tc>
        <w:tc>
          <w:tcPr>
            <w:tcW w:w="1351" w:type="dxa"/>
            <w:shd w:val="clear" w:color="auto" w:fill="auto"/>
            <w:noWrap/>
            <w:vAlign w:val="center"/>
            <w:hideMark/>
          </w:tcPr>
          <w:p w14:paraId="3AD80E7E"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1.344.876.928</w:t>
            </w:r>
          </w:p>
        </w:tc>
        <w:tc>
          <w:tcPr>
            <w:tcW w:w="1350" w:type="dxa"/>
            <w:shd w:val="clear" w:color="auto" w:fill="auto"/>
            <w:noWrap/>
            <w:vAlign w:val="center"/>
            <w:hideMark/>
          </w:tcPr>
          <w:p w14:paraId="0DB0B91D"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1.314.660.989</w:t>
            </w:r>
          </w:p>
        </w:tc>
        <w:tc>
          <w:tcPr>
            <w:tcW w:w="1191" w:type="dxa"/>
            <w:shd w:val="clear" w:color="auto" w:fill="auto"/>
            <w:noWrap/>
            <w:vAlign w:val="center"/>
            <w:hideMark/>
          </w:tcPr>
          <w:p w14:paraId="4FBA4FFF"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3" w:type="dxa"/>
            <w:shd w:val="clear" w:color="auto" w:fill="auto"/>
            <w:noWrap/>
            <w:vAlign w:val="center"/>
            <w:hideMark/>
          </w:tcPr>
          <w:p w14:paraId="399BC7E6"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1.314.660.989</w:t>
            </w:r>
          </w:p>
        </w:tc>
      </w:tr>
      <w:tr w:rsidR="009A3B28" w:rsidRPr="006C532F" w14:paraId="3DEFA780" w14:textId="77777777" w:rsidTr="00266EDB">
        <w:trPr>
          <w:trHeight w:val="346"/>
          <w:jc w:val="center"/>
        </w:trPr>
        <w:tc>
          <w:tcPr>
            <w:tcW w:w="1320" w:type="dxa"/>
            <w:shd w:val="clear" w:color="auto" w:fill="auto"/>
            <w:noWrap/>
            <w:vAlign w:val="center"/>
            <w:hideMark/>
          </w:tcPr>
          <w:p w14:paraId="34B28137" w14:textId="77777777" w:rsidR="00A12355" w:rsidRPr="00A12355" w:rsidRDefault="00A12355" w:rsidP="00286F4A">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1.3. Deporte y Recreación</w:t>
            </w:r>
          </w:p>
        </w:tc>
        <w:tc>
          <w:tcPr>
            <w:tcW w:w="1350" w:type="dxa"/>
            <w:shd w:val="clear" w:color="auto" w:fill="auto"/>
            <w:noWrap/>
            <w:vAlign w:val="center"/>
            <w:hideMark/>
          </w:tcPr>
          <w:p w14:paraId="3F13D8F2"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63.331.882</w:t>
            </w:r>
          </w:p>
        </w:tc>
        <w:tc>
          <w:tcPr>
            <w:tcW w:w="1218" w:type="dxa"/>
            <w:shd w:val="clear" w:color="auto" w:fill="auto"/>
            <w:noWrap/>
            <w:vAlign w:val="center"/>
            <w:hideMark/>
          </w:tcPr>
          <w:p w14:paraId="77769E11" w14:textId="77777777" w:rsidR="00A12355" w:rsidRPr="00A12355" w:rsidRDefault="00A12355">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w:t>
            </w:r>
          </w:p>
        </w:tc>
        <w:tc>
          <w:tcPr>
            <w:tcW w:w="1351" w:type="dxa"/>
            <w:shd w:val="clear" w:color="auto" w:fill="auto"/>
            <w:noWrap/>
            <w:vAlign w:val="center"/>
            <w:hideMark/>
          </w:tcPr>
          <w:p w14:paraId="1C9AF06F"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63.331.882</w:t>
            </w:r>
          </w:p>
        </w:tc>
        <w:tc>
          <w:tcPr>
            <w:tcW w:w="1350" w:type="dxa"/>
            <w:shd w:val="clear" w:color="auto" w:fill="auto"/>
            <w:noWrap/>
            <w:vAlign w:val="center"/>
            <w:hideMark/>
          </w:tcPr>
          <w:p w14:paraId="7F068858"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58.697.840</w:t>
            </w:r>
          </w:p>
        </w:tc>
        <w:tc>
          <w:tcPr>
            <w:tcW w:w="1191" w:type="dxa"/>
            <w:shd w:val="clear" w:color="auto" w:fill="auto"/>
            <w:noWrap/>
            <w:vAlign w:val="center"/>
            <w:hideMark/>
          </w:tcPr>
          <w:p w14:paraId="38A996C0"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3" w:type="dxa"/>
            <w:shd w:val="clear" w:color="auto" w:fill="auto"/>
            <w:noWrap/>
            <w:vAlign w:val="center"/>
            <w:hideMark/>
          </w:tcPr>
          <w:p w14:paraId="5D09041D"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58.697.840</w:t>
            </w:r>
          </w:p>
        </w:tc>
      </w:tr>
      <w:tr w:rsidR="009A3B28" w:rsidRPr="006C532F" w14:paraId="693B47A8" w14:textId="77777777" w:rsidTr="00266EDB">
        <w:trPr>
          <w:trHeight w:val="346"/>
          <w:jc w:val="center"/>
        </w:trPr>
        <w:tc>
          <w:tcPr>
            <w:tcW w:w="1320" w:type="dxa"/>
            <w:shd w:val="clear" w:color="auto" w:fill="auto"/>
            <w:noWrap/>
            <w:vAlign w:val="center"/>
            <w:hideMark/>
          </w:tcPr>
          <w:p w14:paraId="2DF9A09C" w14:textId="77777777" w:rsidR="00A12355" w:rsidRPr="00A12355" w:rsidRDefault="00A12355" w:rsidP="00286F4A">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1.4. Cultura</w:t>
            </w:r>
          </w:p>
        </w:tc>
        <w:tc>
          <w:tcPr>
            <w:tcW w:w="1350" w:type="dxa"/>
            <w:shd w:val="clear" w:color="auto" w:fill="auto"/>
            <w:noWrap/>
            <w:vAlign w:val="center"/>
            <w:hideMark/>
          </w:tcPr>
          <w:p w14:paraId="5C93429B"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47.498.912</w:t>
            </w:r>
          </w:p>
        </w:tc>
        <w:tc>
          <w:tcPr>
            <w:tcW w:w="1218" w:type="dxa"/>
            <w:shd w:val="clear" w:color="auto" w:fill="auto"/>
            <w:noWrap/>
            <w:vAlign w:val="center"/>
            <w:hideMark/>
          </w:tcPr>
          <w:p w14:paraId="186F2E85" w14:textId="77777777" w:rsidR="00A12355" w:rsidRPr="00A12355" w:rsidRDefault="00A12355">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w:t>
            </w:r>
          </w:p>
        </w:tc>
        <w:tc>
          <w:tcPr>
            <w:tcW w:w="1351" w:type="dxa"/>
            <w:shd w:val="clear" w:color="auto" w:fill="auto"/>
            <w:noWrap/>
            <w:vAlign w:val="center"/>
            <w:hideMark/>
          </w:tcPr>
          <w:p w14:paraId="7C58619B"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47.498.912</w:t>
            </w:r>
          </w:p>
        </w:tc>
        <w:tc>
          <w:tcPr>
            <w:tcW w:w="1350" w:type="dxa"/>
            <w:shd w:val="clear" w:color="auto" w:fill="auto"/>
            <w:noWrap/>
            <w:vAlign w:val="center"/>
            <w:hideMark/>
          </w:tcPr>
          <w:p w14:paraId="65A56779"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44.022.981</w:t>
            </w:r>
          </w:p>
        </w:tc>
        <w:tc>
          <w:tcPr>
            <w:tcW w:w="1191" w:type="dxa"/>
            <w:shd w:val="clear" w:color="auto" w:fill="auto"/>
            <w:noWrap/>
            <w:vAlign w:val="center"/>
            <w:hideMark/>
          </w:tcPr>
          <w:p w14:paraId="157F8A04"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3" w:type="dxa"/>
            <w:shd w:val="clear" w:color="auto" w:fill="auto"/>
            <w:noWrap/>
            <w:vAlign w:val="center"/>
            <w:hideMark/>
          </w:tcPr>
          <w:p w14:paraId="58DE74FF"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44.022.981</w:t>
            </w:r>
          </w:p>
        </w:tc>
      </w:tr>
      <w:tr w:rsidR="00A12355" w:rsidRPr="006C532F" w14:paraId="71DD8164" w14:textId="77777777" w:rsidTr="00266EDB">
        <w:trPr>
          <w:trHeight w:val="189"/>
          <w:jc w:val="center"/>
        </w:trPr>
        <w:tc>
          <w:tcPr>
            <w:tcW w:w="1320" w:type="dxa"/>
            <w:shd w:val="clear" w:color="000000" w:fill="CCCCFF"/>
            <w:vAlign w:val="center"/>
            <w:hideMark/>
          </w:tcPr>
          <w:p w14:paraId="2238DCE3" w14:textId="77777777" w:rsidR="00A12355" w:rsidRPr="00A12355" w:rsidRDefault="00A12355" w:rsidP="00286F4A">
            <w:pPr>
              <w:spacing w:after="0" w:line="240" w:lineRule="auto"/>
              <w:contextualSpacing/>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 Recursos de Capital</w:t>
            </w:r>
          </w:p>
        </w:tc>
        <w:tc>
          <w:tcPr>
            <w:tcW w:w="1350" w:type="dxa"/>
            <w:shd w:val="clear" w:color="000000" w:fill="CCCCFF"/>
            <w:vAlign w:val="center"/>
            <w:hideMark/>
          </w:tcPr>
          <w:p w14:paraId="7A7EB6AB"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299.680.048</w:t>
            </w:r>
          </w:p>
        </w:tc>
        <w:tc>
          <w:tcPr>
            <w:tcW w:w="1218" w:type="dxa"/>
            <w:shd w:val="clear" w:color="000000" w:fill="CCCCFF"/>
            <w:vAlign w:val="center"/>
            <w:hideMark/>
          </w:tcPr>
          <w:p w14:paraId="6A32C5E4"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w:t>
            </w:r>
          </w:p>
        </w:tc>
        <w:tc>
          <w:tcPr>
            <w:tcW w:w="1351" w:type="dxa"/>
            <w:shd w:val="clear" w:color="000000" w:fill="CCCCFF"/>
            <w:vAlign w:val="center"/>
            <w:hideMark/>
          </w:tcPr>
          <w:p w14:paraId="38DE9AC3"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299.680.048</w:t>
            </w:r>
          </w:p>
        </w:tc>
        <w:tc>
          <w:tcPr>
            <w:tcW w:w="1350" w:type="dxa"/>
            <w:shd w:val="clear" w:color="000000" w:fill="CCCCFF"/>
            <w:vAlign w:val="center"/>
            <w:hideMark/>
          </w:tcPr>
          <w:p w14:paraId="4EE40A00"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299.680.048</w:t>
            </w:r>
          </w:p>
        </w:tc>
        <w:tc>
          <w:tcPr>
            <w:tcW w:w="1191" w:type="dxa"/>
            <w:shd w:val="clear" w:color="000000" w:fill="CCCCFF"/>
            <w:vAlign w:val="center"/>
            <w:hideMark/>
          </w:tcPr>
          <w:p w14:paraId="1D606FB4"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w:t>
            </w:r>
          </w:p>
        </w:tc>
        <w:tc>
          <w:tcPr>
            <w:tcW w:w="1353" w:type="dxa"/>
            <w:shd w:val="clear" w:color="000000" w:fill="CCCCFF"/>
            <w:vAlign w:val="center"/>
            <w:hideMark/>
          </w:tcPr>
          <w:p w14:paraId="17AA0DBB"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299.680.048</w:t>
            </w:r>
          </w:p>
        </w:tc>
      </w:tr>
      <w:tr w:rsidR="00A12355" w:rsidRPr="006C532F" w14:paraId="5F165855" w14:textId="77777777" w:rsidTr="00266EDB">
        <w:trPr>
          <w:trHeight w:val="346"/>
          <w:jc w:val="center"/>
        </w:trPr>
        <w:tc>
          <w:tcPr>
            <w:tcW w:w="1320" w:type="dxa"/>
            <w:shd w:val="clear" w:color="000000" w:fill="E5E5FF"/>
            <w:vAlign w:val="center"/>
            <w:hideMark/>
          </w:tcPr>
          <w:p w14:paraId="59B9DDF3" w14:textId="77777777" w:rsidR="00A12355" w:rsidRPr="00A12355" w:rsidRDefault="00A12355" w:rsidP="00286F4A">
            <w:pPr>
              <w:spacing w:after="0" w:line="240" w:lineRule="auto"/>
              <w:contextualSpacing/>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2.1 Superávit fiscal</w:t>
            </w:r>
          </w:p>
        </w:tc>
        <w:tc>
          <w:tcPr>
            <w:tcW w:w="1350" w:type="dxa"/>
            <w:shd w:val="clear" w:color="000000" w:fill="E5E5FF"/>
            <w:vAlign w:val="center"/>
            <w:hideMark/>
          </w:tcPr>
          <w:p w14:paraId="4A84A099"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299.680.048</w:t>
            </w:r>
          </w:p>
        </w:tc>
        <w:tc>
          <w:tcPr>
            <w:tcW w:w="1218" w:type="dxa"/>
            <w:shd w:val="clear" w:color="000000" w:fill="E5E5FF"/>
            <w:vAlign w:val="center"/>
            <w:hideMark/>
          </w:tcPr>
          <w:p w14:paraId="5D11E7F2"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w:t>
            </w:r>
          </w:p>
        </w:tc>
        <w:tc>
          <w:tcPr>
            <w:tcW w:w="1351" w:type="dxa"/>
            <w:shd w:val="clear" w:color="000000" w:fill="E5E5FF"/>
            <w:vAlign w:val="center"/>
            <w:hideMark/>
          </w:tcPr>
          <w:p w14:paraId="12FC0B01"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299.680.048</w:t>
            </w:r>
          </w:p>
        </w:tc>
        <w:tc>
          <w:tcPr>
            <w:tcW w:w="1350" w:type="dxa"/>
            <w:shd w:val="clear" w:color="000000" w:fill="E5E5FF"/>
            <w:vAlign w:val="center"/>
            <w:hideMark/>
          </w:tcPr>
          <w:p w14:paraId="6A3EE1E7"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299.680.048</w:t>
            </w:r>
          </w:p>
        </w:tc>
        <w:tc>
          <w:tcPr>
            <w:tcW w:w="1191" w:type="dxa"/>
            <w:shd w:val="clear" w:color="000000" w:fill="E5E5FF"/>
            <w:vAlign w:val="center"/>
            <w:hideMark/>
          </w:tcPr>
          <w:p w14:paraId="096D5222"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w:t>
            </w:r>
          </w:p>
        </w:tc>
        <w:tc>
          <w:tcPr>
            <w:tcW w:w="1353" w:type="dxa"/>
            <w:shd w:val="clear" w:color="000000" w:fill="E5E5FF"/>
            <w:vAlign w:val="center"/>
            <w:hideMark/>
          </w:tcPr>
          <w:p w14:paraId="41F49574" w14:textId="77777777" w:rsidR="00A12355" w:rsidRPr="00A12355" w:rsidRDefault="00A12355">
            <w:pPr>
              <w:spacing w:after="0" w:line="240" w:lineRule="auto"/>
              <w:contextualSpacing/>
              <w:jc w:val="center"/>
              <w:rPr>
                <w:rFonts w:eastAsia="Times New Roman" w:cs="Arial"/>
                <w:b/>
                <w:bCs/>
                <w:color w:val="000000"/>
                <w:sz w:val="18"/>
                <w:szCs w:val="18"/>
                <w:lang w:val="es-CO" w:eastAsia="es-CO"/>
              </w:rPr>
            </w:pPr>
            <w:r w:rsidRPr="00A12355">
              <w:rPr>
                <w:rFonts w:eastAsia="Times New Roman" w:cs="Arial"/>
                <w:b/>
                <w:bCs/>
                <w:color w:val="000000"/>
                <w:sz w:val="18"/>
                <w:szCs w:val="18"/>
                <w:lang w:val="es-CO" w:eastAsia="es-CO"/>
              </w:rPr>
              <w:t>299.680.048</w:t>
            </w:r>
          </w:p>
        </w:tc>
      </w:tr>
      <w:tr w:rsidR="009A3B28" w:rsidRPr="006C532F" w14:paraId="33B8A1B9" w14:textId="77777777" w:rsidTr="00266EDB">
        <w:trPr>
          <w:trHeight w:val="346"/>
          <w:jc w:val="center"/>
        </w:trPr>
        <w:tc>
          <w:tcPr>
            <w:tcW w:w="1320" w:type="dxa"/>
            <w:shd w:val="clear" w:color="auto" w:fill="auto"/>
            <w:vAlign w:val="center"/>
            <w:hideMark/>
          </w:tcPr>
          <w:p w14:paraId="7747A2DF" w14:textId="77777777" w:rsidR="00A12355" w:rsidRPr="00A12355" w:rsidRDefault="00A12355" w:rsidP="00286F4A">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2.1.1. Libre Destinación</w:t>
            </w:r>
          </w:p>
        </w:tc>
        <w:tc>
          <w:tcPr>
            <w:tcW w:w="1350" w:type="dxa"/>
            <w:shd w:val="clear" w:color="auto" w:fill="auto"/>
            <w:vAlign w:val="center"/>
            <w:hideMark/>
          </w:tcPr>
          <w:p w14:paraId="124037BB"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218" w:type="dxa"/>
            <w:shd w:val="clear" w:color="auto" w:fill="auto"/>
            <w:noWrap/>
            <w:vAlign w:val="center"/>
            <w:hideMark/>
          </w:tcPr>
          <w:p w14:paraId="44A6B802"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1" w:type="dxa"/>
            <w:shd w:val="clear" w:color="auto" w:fill="auto"/>
            <w:vAlign w:val="center"/>
            <w:hideMark/>
          </w:tcPr>
          <w:p w14:paraId="4AEDEB9C"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0" w:type="dxa"/>
            <w:shd w:val="clear" w:color="auto" w:fill="auto"/>
            <w:vAlign w:val="center"/>
            <w:hideMark/>
          </w:tcPr>
          <w:p w14:paraId="24749312"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191" w:type="dxa"/>
            <w:shd w:val="clear" w:color="auto" w:fill="auto"/>
            <w:noWrap/>
            <w:vAlign w:val="center"/>
            <w:hideMark/>
          </w:tcPr>
          <w:p w14:paraId="273AD363"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3" w:type="dxa"/>
            <w:shd w:val="clear" w:color="auto" w:fill="auto"/>
            <w:vAlign w:val="center"/>
            <w:hideMark/>
          </w:tcPr>
          <w:p w14:paraId="16CC3923"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r>
      <w:tr w:rsidR="009A3B28" w:rsidRPr="006C532F" w14:paraId="5EC8BAFF" w14:textId="77777777" w:rsidTr="00266EDB">
        <w:trPr>
          <w:trHeight w:val="189"/>
          <w:jc w:val="center"/>
        </w:trPr>
        <w:tc>
          <w:tcPr>
            <w:tcW w:w="1320" w:type="dxa"/>
            <w:shd w:val="clear" w:color="auto" w:fill="auto"/>
            <w:vAlign w:val="center"/>
            <w:hideMark/>
          </w:tcPr>
          <w:p w14:paraId="4D20FDEA" w14:textId="77777777" w:rsidR="00A12355" w:rsidRPr="00A12355" w:rsidRDefault="00A12355" w:rsidP="00286F4A">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2.1.2. Libre Inversión</w:t>
            </w:r>
          </w:p>
        </w:tc>
        <w:tc>
          <w:tcPr>
            <w:tcW w:w="1350" w:type="dxa"/>
            <w:shd w:val="clear" w:color="auto" w:fill="auto"/>
            <w:vAlign w:val="center"/>
            <w:hideMark/>
          </w:tcPr>
          <w:p w14:paraId="05B9CD55"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252.330.699</w:t>
            </w:r>
          </w:p>
        </w:tc>
        <w:tc>
          <w:tcPr>
            <w:tcW w:w="1218" w:type="dxa"/>
            <w:shd w:val="clear" w:color="auto" w:fill="auto"/>
            <w:noWrap/>
            <w:vAlign w:val="center"/>
            <w:hideMark/>
          </w:tcPr>
          <w:p w14:paraId="4406E8C1"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1" w:type="dxa"/>
            <w:shd w:val="clear" w:color="auto" w:fill="auto"/>
            <w:vAlign w:val="center"/>
            <w:hideMark/>
          </w:tcPr>
          <w:p w14:paraId="581C1AC4"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252.330.699</w:t>
            </w:r>
          </w:p>
        </w:tc>
        <w:tc>
          <w:tcPr>
            <w:tcW w:w="1350" w:type="dxa"/>
            <w:shd w:val="clear" w:color="auto" w:fill="auto"/>
            <w:vAlign w:val="center"/>
            <w:hideMark/>
          </w:tcPr>
          <w:p w14:paraId="493BA533"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252.330.699</w:t>
            </w:r>
          </w:p>
        </w:tc>
        <w:tc>
          <w:tcPr>
            <w:tcW w:w="1191" w:type="dxa"/>
            <w:shd w:val="clear" w:color="auto" w:fill="auto"/>
            <w:vAlign w:val="center"/>
            <w:hideMark/>
          </w:tcPr>
          <w:p w14:paraId="103D60C2"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3" w:type="dxa"/>
            <w:shd w:val="clear" w:color="auto" w:fill="auto"/>
            <w:vAlign w:val="center"/>
            <w:hideMark/>
          </w:tcPr>
          <w:p w14:paraId="1DB5B40B"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252.330.699</w:t>
            </w:r>
          </w:p>
        </w:tc>
      </w:tr>
      <w:tr w:rsidR="009A3B28" w:rsidRPr="006C532F" w14:paraId="562C8DD7" w14:textId="77777777" w:rsidTr="00266EDB">
        <w:trPr>
          <w:trHeight w:val="346"/>
          <w:jc w:val="center"/>
        </w:trPr>
        <w:tc>
          <w:tcPr>
            <w:tcW w:w="1320" w:type="dxa"/>
            <w:shd w:val="clear" w:color="auto" w:fill="auto"/>
            <w:vAlign w:val="center"/>
            <w:hideMark/>
          </w:tcPr>
          <w:p w14:paraId="55BAC0E5" w14:textId="77777777" w:rsidR="00A12355" w:rsidRPr="00A12355" w:rsidRDefault="00A12355" w:rsidP="00286F4A">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2.1.3. Deporte y Recreación</w:t>
            </w:r>
          </w:p>
        </w:tc>
        <w:tc>
          <w:tcPr>
            <w:tcW w:w="1350" w:type="dxa"/>
            <w:shd w:val="clear" w:color="auto" w:fill="auto"/>
            <w:vAlign w:val="center"/>
            <w:hideMark/>
          </w:tcPr>
          <w:p w14:paraId="7886FF7C"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47.349.348</w:t>
            </w:r>
          </w:p>
        </w:tc>
        <w:tc>
          <w:tcPr>
            <w:tcW w:w="1218" w:type="dxa"/>
            <w:shd w:val="clear" w:color="auto" w:fill="auto"/>
            <w:noWrap/>
            <w:vAlign w:val="center"/>
            <w:hideMark/>
          </w:tcPr>
          <w:p w14:paraId="6E042045"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1" w:type="dxa"/>
            <w:shd w:val="clear" w:color="auto" w:fill="auto"/>
            <w:vAlign w:val="center"/>
            <w:hideMark/>
          </w:tcPr>
          <w:p w14:paraId="2F56EA62"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47.349.348</w:t>
            </w:r>
          </w:p>
        </w:tc>
        <w:tc>
          <w:tcPr>
            <w:tcW w:w="1350" w:type="dxa"/>
            <w:shd w:val="clear" w:color="auto" w:fill="auto"/>
            <w:vAlign w:val="center"/>
            <w:hideMark/>
          </w:tcPr>
          <w:p w14:paraId="346A7A0F"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47.349.348</w:t>
            </w:r>
          </w:p>
        </w:tc>
        <w:tc>
          <w:tcPr>
            <w:tcW w:w="1191" w:type="dxa"/>
            <w:shd w:val="clear" w:color="auto" w:fill="auto"/>
            <w:noWrap/>
            <w:vAlign w:val="center"/>
            <w:hideMark/>
          </w:tcPr>
          <w:p w14:paraId="73D95DB9"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3" w:type="dxa"/>
            <w:shd w:val="clear" w:color="auto" w:fill="auto"/>
            <w:vAlign w:val="center"/>
            <w:hideMark/>
          </w:tcPr>
          <w:p w14:paraId="74ED7EF6"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47.349.348</w:t>
            </w:r>
          </w:p>
        </w:tc>
      </w:tr>
      <w:tr w:rsidR="009A3B28" w:rsidRPr="006C532F" w14:paraId="0E57062B" w14:textId="77777777" w:rsidTr="00266EDB">
        <w:trPr>
          <w:trHeight w:val="189"/>
          <w:jc w:val="center"/>
        </w:trPr>
        <w:tc>
          <w:tcPr>
            <w:tcW w:w="1320" w:type="dxa"/>
            <w:shd w:val="clear" w:color="auto" w:fill="auto"/>
            <w:vAlign w:val="center"/>
            <w:hideMark/>
          </w:tcPr>
          <w:p w14:paraId="064A4F4B" w14:textId="77777777" w:rsidR="00A12355" w:rsidRPr="00A12355" w:rsidRDefault="00A12355" w:rsidP="00286F4A">
            <w:pPr>
              <w:spacing w:after="0" w:line="240" w:lineRule="auto"/>
              <w:contextualSpacing/>
              <w:rPr>
                <w:rFonts w:eastAsia="Times New Roman" w:cs="Arial"/>
                <w:sz w:val="18"/>
                <w:szCs w:val="18"/>
                <w:lang w:val="es-CO" w:eastAsia="es-CO"/>
              </w:rPr>
            </w:pPr>
            <w:r w:rsidRPr="00A12355">
              <w:rPr>
                <w:rFonts w:eastAsia="Times New Roman" w:cs="Arial"/>
                <w:sz w:val="18"/>
                <w:szCs w:val="18"/>
                <w:lang w:val="es-CO" w:eastAsia="es-CO"/>
              </w:rPr>
              <w:t>2.1.4. Cultura</w:t>
            </w:r>
          </w:p>
        </w:tc>
        <w:tc>
          <w:tcPr>
            <w:tcW w:w="1350" w:type="dxa"/>
            <w:shd w:val="clear" w:color="auto" w:fill="auto"/>
            <w:vAlign w:val="center"/>
            <w:hideMark/>
          </w:tcPr>
          <w:p w14:paraId="6BD0B015"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218" w:type="dxa"/>
            <w:shd w:val="clear" w:color="auto" w:fill="auto"/>
            <w:noWrap/>
            <w:vAlign w:val="center"/>
            <w:hideMark/>
          </w:tcPr>
          <w:p w14:paraId="40000C8A"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1" w:type="dxa"/>
            <w:shd w:val="clear" w:color="auto" w:fill="auto"/>
            <w:vAlign w:val="center"/>
            <w:hideMark/>
          </w:tcPr>
          <w:p w14:paraId="5CEDEE29"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0" w:type="dxa"/>
            <w:shd w:val="clear" w:color="auto" w:fill="auto"/>
            <w:vAlign w:val="center"/>
            <w:hideMark/>
          </w:tcPr>
          <w:p w14:paraId="2ED6878B"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191" w:type="dxa"/>
            <w:shd w:val="clear" w:color="auto" w:fill="auto"/>
            <w:noWrap/>
            <w:vAlign w:val="center"/>
            <w:hideMark/>
          </w:tcPr>
          <w:p w14:paraId="771AA181"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c>
          <w:tcPr>
            <w:tcW w:w="1353" w:type="dxa"/>
            <w:shd w:val="clear" w:color="auto" w:fill="auto"/>
            <w:vAlign w:val="center"/>
            <w:hideMark/>
          </w:tcPr>
          <w:p w14:paraId="53B2D30A" w14:textId="77777777" w:rsidR="00A12355" w:rsidRPr="00A12355" w:rsidRDefault="00A12355">
            <w:pPr>
              <w:spacing w:after="0" w:line="240" w:lineRule="auto"/>
              <w:contextualSpacing/>
              <w:jc w:val="center"/>
              <w:rPr>
                <w:rFonts w:eastAsia="Times New Roman" w:cs="Arial"/>
                <w:sz w:val="18"/>
                <w:szCs w:val="18"/>
                <w:lang w:val="es-CO" w:eastAsia="es-CO"/>
              </w:rPr>
            </w:pPr>
            <w:r w:rsidRPr="00A12355">
              <w:rPr>
                <w:rFonts w:eastAsia="Times New Roman" w:cs="Arial"/>
                <w:sz w:val="18"/>
                <w:szCs w:val="18"/>
                <w:lang w:val="es-CO" w:eastAsia="es-CO"/>
              </w:rPr>
              <w:t>-</w:t>
            </w:r>
          </w:p>
        </w:tc>
      </w:tr>
    </w:tbl>
    <w:p w14:paraId="3B9469CD" w14:textId="77777777" w:rsidR="00266EDB" w:rsidRPr="00FB27C3" w:rsidRDefault="00266EDB" w:rsidP="00286F4A">
      <w:pPr>
        <w:spacing w:line="240" w:lineRule="auto"/>
        <w:contextualSpacing/>
        <w:jc w:val="center"/>
        <w:rPr>
          <w:sz w:val="16"/>
          <w:szCs w:val="16"/>
        </w:rPr>
      </w:pPr>
      <w:r w:rsidRPr="00FB27C3">
        <w:rPr>
          <w:b/>
          <w:bCs/>
          <w:sz w:val="16"/>
          <w:szCs w:val="16"/>
        </w:rPr>
        <w:t xml:space="preserve">Fuente: </w:t>
      </w:r>
      <w:r w:rsidRPr="00FB27C3">
        <w:rPr>
          <w:sz w:val="16"/>
          <w:szCs w:val="16"/>
        </w:rPr>
        <w:t>Elaboración DAF con base en las ejecuciones presupuestales y el reporte FUT ingresos.</w:t>
      </w:r>
    </w:p>
    <w:p w14:paraId="47ABB091" w14:textId="77777777" w:rsidR="00231BBE" w:rsidRDefault="00231BBE">
      <w:pPr>
        <w:spacing w:line="240" w:lineRule="auto"/>
        <w:contextualSpacing/>
        <w:jc w:val="both"/>
      </w:pPr>
    </w:p>
    <w:p w14:paraId="20A19560" w14:textId="77777777" w:rsidR="00AF1397" w:rsidRDefault="00AF1397">
      <w:pPr>
        <w:spacing w:line="240" w:lineRule="auto"/>
        <w:contextualSpacing/>
        <w:jc w:val="both"/>
      </w:pPr>
      <w:r>
        <w:t xml:space="preserve">En la vigencia 2018 el </w:t>
      </w:r>
      <w:r w:rsidR="00231BBE">
        <w:t>M</w:t>
      </w:r>
      <w:r>
        <w:t xml:space="preserve">unicipio de Puerto Leguízamo – Putumayo presentó </w:t>
      </w:r>
      <w:r w:rsidR="00C100B3">
        <w:t xml:space="preserve">significativas </w:t>
      </w:r>
      <w:r w:rsidR="00AA654D">
        <w:t xml:space="preserve">diferencias entre los saldos de ingresos contenidos en las ejecuciones presupuestales y lo reportado en el Formulario Único Territorial. </w:t>
      </w:r>
      <w:r w:rsidR="001E4741">
        <w:t>Como se puede evidenciar en el cuadro anterior, el total de ingresos corrientes consignados en las ejecuciones fue de $</w:t>
      </w:r>
      <w:r w:rsidR="001E4741" w:rsidRPr="001E4741">
        <w:t xml:space="preserve">2.581.239.656 </w:t>
      </w:r>
      <w:r w:rsidR="00112439">
        <w:t>para el presupuesto definitivo y $</w:t>
      </w:r>
      <w:r w:rsidR="00112439" w:rsidRPr="00112439">
        <w:t xml:space="preserve">2.753.934.551 </w:t>
      </w:r>
      <w:r w:rsidR="00112439">
        <w:t>para el recaudo, mientras que en el FUT se reportaron $</w:t>
      </w:r>
      <w:r w:rsidR="00C848EA" w:rsidRPr="00C848EA">
        <w:t xml:space="preserve">758.026.636 </w:t>
      </w:r>
      <w:r w:rsidR="00C848EA">
        <w:t xml:space="preserve">en ambos rubros. </w:t>
      </w:r>
      <w:r w:rsidR="00BA751B">
        <w:t xml:space="preserve">Al revisar el reporte de la </w:t>
      </w:r>
      <w:r w:rsidR="00231BBE">
        <w:t>C</w:t>
      </w:r>
      <w:r w:rsidR="00BA751B">
        <w:t xml:space="preserve">ategoría de </w:t>
      </w:r>
      <w:r w:rsidR="00231BBE">
        <w:t>I</w:t>
      </w:r>
      <w:r w:rsidR="00BA751B">
        <w:t xml:space="preserve">ngresos para esta vigencia se confirmó que la </w:t>
      </w:r>
      <w:r w:rsidR="00231BBE">
        <w:t>E</w:t>
      </w:r>
      <w:r w:rsidR="00BA751B">
        <w:t xml:space="preserve">ntidad </w:t>
      </w:r>
      <w:r w:rsidR="00231BBE">
        <w:t>T</w:t>
      </w:r>
      <w:r w:rsidR="00BA751B">
        <w:t xml:space="preserve">erritorial reportó únicamente saldos relacionados con SGP Propósito General para Libre Destinación de manera discriminada. En cuanto a los recursos para Libre Inversión, Deporte y Cultura, estos se presentaron de manera agregada </w:t>
      </w:r>
      <w:r w:rsidR="00446C1D">
        <w:t>en una única cuenta</w:t>
      </w:r>
      <w:r w:rsidR="00231BBE">
        <w:t>, la</w:t>
      </w:r>
      <w:r w:rsidR="00446C1D">
        <w:t xml:space="preserve"> </w:t>
      </w:r>
      <w:r w:rsidR="00671D09" w:rsidRPr="00671D09">
        <w:t>TI.A.2.6.2</w:t>
      </w:r>
      <w:r w:rsidR="00671D09">
        <w:t xml:space="preserve"> Transferencias para inversión</w:t>
      </w:r>
      <w:r w:rsidR="00231BBE">
        <w:t xml:space="preserve"> </w:t>
      </w:r>
      <w:r w:rsidR="00671D09">
        <w:t>-</w:t>
      </w:r>
      <w:r w:rsidR="00231BBE">
        <w:t>d</w:t>
      </w:r>
      <w:r w:rsidR="00671D09">
        <w:t xml:space="preserve">el </w:t>
      </w:r>
      <w:r w:rsidR="00231BBE">
        <w:t>n</w:t>
      </w:r>
      <w:r w:rsidR="00671D09">
        <w:t>ivel Nacional-</w:t>
      </w:r>
      <w:r w:rsidR="00231BBE">
        <w:t xml:space="preserve"> </w:t>
      </w:r>
      <w:r w:rsidR="00671D09">
        <w:t>Sistema General de Participaciones. Esto representa un error de reporte debido a que el FUT- Categoría Ingresos presenta la posibilidad de realizar de manera discriminada el reporte para cada una de las destinaciones y componentes del SGP.</w:t>
      </w:r>
    </w:p>
    <w:p w14:paraId="71EC5086" w14:textId="77777777" w:rsidR="00047DFF" w:rsidRDefault="00047DFF">
      <w:pPr>
        <w:spacing w:line="240" w:lineRule="auto"/>
        <w:contextualSpacing/>
        <w:jc w:val="both"/>
      </w:pPr>
    </w:p>
    <w:p w14:paraId="11DA1DEB" w14:textId="77777777" w:rsidR="00047DFF" w:rsidRDefault="00047DFF">
      <w:pPr>
        <w:spacing w:line="240" w:lineRule="auto"/>
        <w:contextualSpacing/>
        <w:jc w:val="both"/>
      </w:pPr>
      <w:r>
        <w:lastRenderedPageBreak/>
        <w:t xml:space="preserve">Adicionalmente, </w:t>
      </w:r>
      <w:r w:rsidR="007467D6">
        <w:t xml:space="preserve">el </w:t>
      </w:r>
      <w:r w:rsidR="00231BBE">
        <w:t>M</w:t>
      </w:r>
      <w:r w:rsidR="007467D6">
        <w:t xml:space="preserve">unicipio no reportó los saldos de recursos de capital </w:t>
      </w:r>
      <w:r w:rsidR="00A67D5C">
        <w:t>ni en el presupuesto ni en el recaudo</w:t>
      </w:r>
      <w:r w:rsidR="003A293B">
        <w:t xml:space="preserve">, a pesar de que en las ejecuciones presupuestales se registraron </w:t>
      </w:r>
      <w:r w:rsidR="00FF45FA">
        <w:t>montos en estos rubros</w:t>
      </w:r>
      <w:r w:rsidR="00A67D5C">
        <w:t xml:space="preserve">. </w:t>
      </w:r>
      <w:r w:rsidR="00A67D5C">
        <w:tab/>
      </w:r>
      <w:r w:rsidR="00487C45">
        <w:t>Además, se confirma la ausencia de reporte de los rendimientos financieros.</w:t>
      </w:r>
    </w:p>
    <w:p w14:paraId="77BA6FF3" w14:textId="77777777" w:rsidR="00C100B3" w:rsidRPr="00AF1397" w:rsidRDefault="00C100B3">
      <w:pPr>
        <w:spacing w:line="240" w:lineRule="auto"/>
        <w:contextualSpacing/>
        <w:jc w:val="both"/>
      </w:pPr>
    </w:p>
    <w:p w14:paraId="4665A43B" w14:textId="77777777" w:rsidR="00886A42" w:rsidRDefault="005D7743">
      <w:pPr>
        <w:spacing w:line="240" w:lineRule="auto"/>
        <w:contextualSpacing/>
        <w:jc w:val="both"/>
        <w:rPr>
          <w:b/>
          <w:bCs/>
        </w:rPr>
      </w:pPr>
      <w:r>
        <w:rPr>
          <w:b/>
          <w:bCs/>
        </w:rPr>
        <w:t>Vigencia 2019</w:t>
      </w:r>
      <w:r w:rsidR="00231BBE">
        <w:rPr>
          <w:b/>
          <w:bCs/>
        </w:rPr>
        <w:t>.</w:t>
      </w:r>
    </w:p>
    <w:p w14:paraId="445A3517" w14:textId="77777777" w:rsidR="00231BBE" w:rsidRDefault="00231BBE">
      <w:pPr>
        <w:spacing w:line="240" w:lineRule="auto"/>
        <w:contextualSpacing/>
        <w:jc w:val="both"/>
        <w:rPr>
          <w:b/>
          <w:bCs/>
        </w:rPr>
      </w:pPr>
    </w:p>
    <w:p w14:paraId="53B37C09" w14:textId="77777777" w:rsidR="005165F6" w:rsidRPr="00FB27C3" w:rsidRDefault="005165F6">
      <w:pPr>
        <w:spacing w:after="0" w:line="240" w:lineRule="auto"/>
        <w:contextualSpacing/>
        <w:jc w:val="center"/>
        <w:rPr>
          <w:b/>
          <w:bCs/>
          <w:sz w:val="20"/>
          <w:szCs w:val="20"/>
        </w:rPr>
      </w:pPr>
      <w:r w:rsidRPr="00FB27C3">
        <w:rPr>
          <w:b/>
          <w:bCs/>
          <w:sz w:val="20"/>
          <w:szCs w:val="20"/>
        </w:rPr>
        <w:t>Cuadro No. 2</w:t>
      </w:r>
    </w:p>
    <w:p w14:paraId="27AA4674" w14:textId="77777777" w:rsidR="005165F6" w:rsidRPr="00FB27C3" w:rsidRDefault="005165F6">
      <w:pPr>
        <w:spacing w:after="0" w:line="240" w:lineRule="auto"/>
        <w:contextualSpacing/>
        <w:jc w:val="center"/>
        <w:rPr>
          <w:sz w:val="20"/>
          <w:szCs w:val="20"/>
        </w:rPr>
      </w:pPr>
      <w:r w:rsidRPr="00FB27C3">
        <w:rPr>
          <w:sz w:val="20"/>
          <w:szCs w:val="20"/>
        </w:rPr>
        <w:t>Reporte FUT Ingresos 2019</w:t>
      </w:r>
    </w:p>
    <w:p w14:paraId="4A5D9A2B" w14:textId="77777777" w:rsidR="009A3B28" w:rsidRDefault="005165F6">
      <w:pPr>
        <w:spacing w:after="0" w:line="240" w:lineRule="auto"/>
        <w:contextualSpacing/>
        <w:jc w:val="center"/>
        <w:rPr>
          <w:sz w:val="20"/>
          <w:szCs w:val="20"/>
        </w:rPr>
      </w:pPr>
      <w:r w:rsidRPr="00FB27C3">
        <w:rPr>
          <w:sz w:val="20"/>
          <w:szCs w:val="20"/>
        </w:rPr>
        <w:t xml:space="preserve">Municipio de Puerto Leguízamo – Putumayo </w:t>
      </w:r>
    </w:p>
    <w:p w14:paraId="03F04F26" w14:textId="77777777" w:rsidR="009249D0" w:rsidRPr="008622E7" w:rsidRDefault="009249D0">
      <w:pPr>
        <w:spacing w:after="0" w:line="240" w:lineRule="auto"/>
        <w:contextualSpacing/>
        <w:jc w:val="center"/>
        <w:rPr>
          <w:rFonts w:eastAsia="Times New Roman" w:cs="Arial"/>
          <w:i/>
          <w:iCs/>
          <w:lang w:val="es-CO" w:eastAsia="es-CO"/>
        </w:rPr>
      </w:pPr>
      <w:r w:rsidRPr="008622E7">
        <w:rPr>
          <w:rFonts w:eastAsia="Times New Roman" w:cs="Arial"/>
          <w:i/>
          <w:iCs/>
          <w:sz w:val="20"/>
          <w:szCs w:val="20"/>
          <w:lang w:val="es-CO" w:eastAsia="es-CO"/>
        </w:rPr>
        <w:t xml:space="preserve">Cifras en pesos </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12"/>
        <w:gridCol w:w="1292"/>
        <w:gridCol w:w="1292"/>
        <w:gridCol w:w="1199"/>
        <w:gridCol w:w="1292"/>
        <w:gridCol w:w="1292"/>
        <w:gridCol w:w="1173"/>
      </w:tblGrid>
      <w:tr w:rsidR="00D345D6" w:rsidRPr="00D345D6" w14:paraId="547E8EC2" w14:textId="77777777" w:rsidTr="00AF10D4">
        <w:trPr>
          <w:trHeight w:val="215"/>
          <w:jc w:val="center"/>
        </w:trPr>
        <w:tc>
          <w:tcPr>
            <w:tcW w:w="1512" w:type="dxa"/>
            <w:shd w:val="clear" w:color="000000" w:fill="E5E5FF"/>
            <w:noWrap/>
            <w:vAlign w:val="bottom"/>
            <w:hideMark/>
          </w:tcPr>
          <w:p w14:paraId="35190B05" w14:textId="77777777" w:rsidR="00D345D6" w:rsidRPr="00D345D6" w:rsidRDefault="00D345D6">
            <w:pPr>
              <w:spacing w:after="0" w:line="240" w:lineRule="auto"/>
              <w:contextualSpacing/>
              <w:rPr>
                <w:rFonts w:ascii="Calibri" w:eastAsia="Times New Roman" w:hAnsi="Calibri" w:cs="Calibri"/>
                <w:color w:val="000000"/>
                <w:sz w:val="18"/>
                <w:szCs w:val="18"/>
                <w:lang w:val="es-CO" w:eastAsia="es-CO"/>
              </w:rPr>
            </w:pPr>
            <w:r w:rsidRPr="00D345D6">
              <w:rPr>
                <w:rFonts w:ascii="Calibri" w:eastAsia="Times New Roman" w:hAnsi="Calibri" w:cs="Calibri"/>
                <w:color w:val="000000"/>
                <w:sz w:val="18"/>
                <w:szCs w:val="18"/>
                <w:lang w:val="es-CO" w:eastAsia="es-CO"/>
              </w:rPr>
              <w:t> </w:t>
            </w:r>
          </w:p>
        </w:tc>
        <w:tc>
          <w:tcPr>
            <w:tcW w:w="7540" w:type="dxa"/>
            <w:gridSpan w:val="6"/>
            <w:shd w:val="clear" w:color="000000" w:fill="E5E5FF"/>
            <w:noWrap/>
            <w:vAlign w:val="bottom"/>
            <w:hideMark/>
          </w:tcPr>
          <w:p w14:paraId="1CC88AB9" w14:textId="77777777" w:rsidR="00D345D6" w:rsidRPr="00D345D6" w:rsidRDefault="00D345D6">
            <w:pPr>
              <w:spacing w:after="0" w:line="240" w:lineRule="auto"/>
              <w:contextualSpacing/>
              <w:jc w:val="center"/>
              <w:rPr>
                <w:rFonts w:ascii="Calibri" w:eastAsia="Times New Roman" w:hAnsi="Calibri" w:cs="Calibri"/>
                <w:color w:val="000000"/>
                <w:sz w:val="18"/>
                <w:szCs w:val="18"/>
                <w:lang w:val="es-CO" w:eastAsia="es-CO"/>
              </w:rPr>
            </w:pPr>
            <w:r w:rsidRPr="00D345D6">
              <w:rPr>
                <w:rFonts w:ascii="Calibri" w:eastAsia="Times New Roman" w:hAnsi="Calibri" w:cs="Calibri"/>
                <w:color w:val="000000"/>
                <w:sz w:val="18"/>
                <w:szCs w:val="18"/>
                <w:lang w:val="es-CO" w:eastAsia="es-CO"/>
              </w:rPr>
              <w:t>2019</w:t>
            </w:r>
          </w:p>
        </w:tc>
      </w:tr>
      <w:tr w:rsidR="00AF10D4" w:rsidRPr="00D345D6" w14:paraId="23100BF1" w14:textId="77777777" w:rsidTr="00AF10D4">
        <w:trPr>
          <w:trHeight w:val="226"/>
          <w:jc w:val="center"/>
        </w:trPr>
        <w:tc>
          <w:tcPr>
            <w:tcW w:w="1512" w:type="dxa"/>
            <w:vMerge w:val="restart"/>
            <w:shd w:val="clear" w:color="000000" w:fill="666699"/>
            <w:vAlign w:val="center"/>
            <w:hideMark/>
          </w:tcPr>
          <w:p w14:paraId="1637811F" w14:textId="77777777" w:rsidR="00D345D6" w:rsidRPr="00D345D6" w:rsidRDefault="00D345D6" w:rsidP="00286F4A">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Concepto</w:t>
            </w:r>
          </w:p>
        </w:tc>
        <w:tc>
          <w:tcPr>
            <w:tcW w:w="3783" w:type="dxa"/>
            <w:gridSpan w:val="3"/>
            <w:shd w:val="clear" w:color="000000" w:fill="CCCCFF"/>
            <w:vAlign w:val="center"/>
            <w:hideMark/>
          </w:tcPr>
          <w:p w14:paraId="6A61312A"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Presupuesto Definitivo</w:t>
            </w:r>
          </w:p>
        </w:tc>
        <w:tc>
          <w:tcPr>
            <w:tcW w:w="3757" w:type="dxa"/>
            <w:gridSpan w:val="3"/>
            <w:shd w:val="clear" w:color="000000" w:fill="CCCCFF"/>
            <w:vAlign w:val="center"/>
            <w:hideMark/>
          </w:tcPr>
          <w:p w14:paraId="2DA80D39"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Recaudo</w:t>
            </w:r>
          </w:p>
        </w:tc>
      </w:tr>
      <w:tr w:rsidR="00D345D6" w:rsidRPr="006C532F" w14:paraId="708086FB" w14:textId="77777777" w:rsidTr="00AF10D4">
        <w:trPr>
          <w:trHeight w:val="613"/>
          <w:jc w:val="center"/>
        </w:trPr>
        <w:tc>
          <w:tcPr>
            <w:tcW w:w="1512" w:type="dxa"/>
            <w:vMerge/>
            <w:vAlign w:val="center"/>
            <w:hideMark/>
          </w:tcPr>
          <w:p w14:paraId="39A6D3EC" w14:textId="77777777" w:rsidR="00D345D6" w:rsidRPr="00D345D6" w:rsidRDefault="00D345D6">
            <w:pPr>
              <w:spacing w:after="0" w:line="240" w:lineRule="auto"/>
              <w:contextualSpacing/>
              <w:rPr>
                <w:rFonts w:eastAsia="Times New Roman" w:cs="Arial"/>
                <w:b/>
                <w:bCs/>
                <w:color w:val="FFFFFF"/>
                <w:sz w:val="18"/>
                <w:szCs w:val="18"/>
                <w:lang w:val="es-CO" w:eastAsia="es-CO"/>
              </w:rPr>
            </w:pPr>
          </w:p>
        </w:tc>
        <w:tc>
          <w:tcPr>
            <w:tcW w:w="1292" w:type="dxa"/>
            <w:shd w:val="clear" w:color="000000" w:fill="666699"/>
            <w:vAlign w:val="center"/>
            <w:hideMark/>
          </w:tcPr>
          <w:p w14:paraId="501CE77D"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Ejecución presupuestal</w:t>
            </w:r>
          </w:p>
        </w:tc>
        <w:tc>
          <w:tcPr>
            <w:tcW w:w="1292" w:type="dxa"/>
            <w:shd w:val="clear" w:color="000000" w:fill="666699"/>
            <w:vAlign w:val="center"/>
            <w:hideMark/>
          </w:tcPr>
          <w:p w14:paraId="7FE98FAE"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Reporte FUT</w:t>
            </w:r>
          </w:p>
        </w:tc>
        <w:tc>
          <w:tcPr>
            <w:tcW w:w="1199" w:type="dxa"/>
            <w:shd w:val="clear" w:color="000000" w:fill="666699"/>
            <w:vAlign w:val="center"/>
            <w:hideMark/>
          </w:tcPr>
          <w:p w14:paraId="3E3A0E48"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Diferencia</w:t>
            </w:r>
          </w:p>
        </w:tc>
        <w:tc>
          <w:tcPr>
            <w:tcW w:w="1292" w:type="dxa"/>
            <w:shd w:val="clear" w:color="000000" w:fill="666699"/>
            <w:vAlign w:val="center"/>
            <w:hideMark/>
          </w:tcPr>
          <w:p w14:paraId="5442B499"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Ejecución presupuestal</w:t>
            </w:r>
          </w:p>
        </w:tc>
        <w:tc>
          <w:tcPr>
            <w:tcW w:w="1292" w:type="dxa"/>
            <w:shd w:val="clear" w:color="000000" w:fill="666699"/>
            <w:vAlign w:val="center"/>
            <w:hideMark/>
          </w:tcPr>
          <w:p w14:paraId="1E17469F"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Reporte FUT</w:t>
            </w:r>
          </w:p>
        </w:tc>
        <w:tc>
          <w:tcPr>
            <w:tcW w:w="1173" w:type="dxa"/>
            <w:shd w:val="clear" w:color="000000" w:fill="666699"/>
            <w:vAlign w:val="center"/>
            <w:hideMark/>
          </w:tcPr>
          <w:p w14:paraId="7DFD10F5"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Diferencia</w:t>
            </w:r>
          </w:p>
        </w:tc>
      </w:tr>
      <w:tr w:rsidR="00D345D6" w:rsidRPr="006C532F" w14:paraId="42D20BD0" w14:textId="77777777" w:rsidTr="00AF10D4">
        <w:trPr>
          <w:trHeight w:val="206"/>
          <w:jc w:val="center"/>
        </w:trPr>
        <w:tc>
          <w:tcPr>
            <w:tcW w:w="1512" w:type="dxa"/>
            <w:shd w:val="clear" w:color="000000" w:fill="666699"/>
            <w:vAlign w:val="center"/>
            <w:hideMark/>
          </w:tcPr>
          <w:p w14:paraId="0DC72E51" w14:textId="77777777" w:rsidR="00D345D6" w:rsidRPr="00D345D6" w:rsidRDefault="00D345D6" w:rsidP="00286F4A">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Total</w:t>
            </w:r>
          </w:p>
        </w:tc>
        <w:tc>
          <w:tcPr>
            <w:tcW w:w="1292" w:type="dxa"/>
            <w:shd w:val="clear" w:color="000000" w:fill="666699"/>
            <w:vAlign w:val="center"/>
            <w:hideMark/>
          </w:tcPr>
          <w:p w14:paraId="2D4898E4"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2.819.576.234</w:t>
            </w:r>
          </w:p>
        </w:tc>
        <w:tc>
          <w:tcPr>
            <w:tcW w:w="1292" w:type="dxa"/>
            <w:shd w:val="clear" w:color="000000" w:fill="666699"/>
            <w:vAlign w:val="center"/>
            <w:hideMark/>
          </w:tcPr>
          <w:p w14:paraId="551E36E6"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2.606.174.077</w:t>
            </w:r>
          </w:p>
        </w:tc>
        <w:tc>
          <w:tcPr>
            <w:tcW w:w="1199" w:type="dxa"/>
            <w:shd w:val="clear" w:color="000000" w:fill="666699"/>
            <w:vAlign w:val="center"/>
            <w:hideMark/>
          </w:tcPr>
          <w:p w14:paraId="032CE7C1"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213.402.157</w:t>
            </w:r>
          </w:p>
        </w:tc>
        <w:tc>
          <w:tcPr>
            <w:tcW w:w="1292" w:type="dxa"/>
            <w:shd w:val="clear" w:color="000000" w:fill="666699"/>
            <w:vAlign w:val="center"/>
            <w:hideMark/>
          </w:tcPr>
          <w:p w14:paraId="6CC3948D"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2.596.624.840</w:t>
            </w:r>
          </w:p>
        </w:tc>
        <w:tc>
          <w:tcPr>
            <w:tcW w:w="1292" w:type="dxa"/>
            <w:shd w:val="clear" w:color="000000" w:fill="666699"/>
            <w:vAlign w:val="center"/>
            <w:hideMark/>
          </w:tcPr>
          <w:p w14:paraId="2626E355"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2.383.222.682</w:t>
            </w:r>
          </w:p>
        </w:tc>
        <w:tc>
          <w:tcPr>
            <w:tcW w:w="1173" w:type="dxa"/>
            <w:shd w:val="clear" w:color="000000" w:fill="666699"/>
            <w:vAlign w:val="center"/>
            <w:hideMark/>
          </w:tcPr>
          <w:p w14:paraId="3CEBF2E5" w14:textId="77777777" w:rsidR="00D345D6" w:rsidRPr="00D345D6" w:rsidRDefault="00D345D6">
            <w:pPr>
              <w:spacing w:after="0" w:line="240" w:lineRule="auto"/>
              <w:contextualSpacing/>
              <w:jc w:val="center"/>
              <w:rPr>
                <w:rFonts w:eastAsia="Times New Roman" w:cs="Arial"/>
                <w:b/>
                <w:bCs/>
                <w:color w:val="FFFFFF"/>
                <w:sz w:val="18"/>
                <w:szCs w:val="18"/>
                <w:lang w:val="es-CO" w:eastAsia="es-CO"/>
              </w:rPr>
            </w:pPr>
            <w:r w:rsidRPr="00D345D6">
              <w:rPr>
                <w:rFonts w:eastAsia="Times New Roman" w:cs="Arial"/>
                <w:b/>
                <w:bCs/>
                <w:color w:val="FFFFFF"/>
                <w:sz w:val="18"/>
                <w:szCs w:val="18"/>
                <w:lang w:val="es-CO" w:eastAsia="es-CO"/>
              </w:rPr>
              <w:t>213.402.158</w:t>
            </w:r>
          </w:p>
        </w:tc>
      </w:tr>
      <w:tr w:rsidR="00D345D6" w:rsidRPr="006C532F" w14:paraId="490E5553" w14:textId="77777777" w:rsidTr="00AF10D4">
        <w:trPr>
          <w:trHeight w:val="379"/>
          <w:jc w:val="center"/>
        </w:trPr>
        <w:tc>
          <w:tcPr>
            <w:tcW w:w="1512" w:type="dxa"/>
            <w:shd w:val="clear" w:color="000000" w:fill="CCCCFF"/>
            <w:vAlign w:val="center"/>
            <w:hideMark/>
          </w:tcPr>
          <w:p w14:paraId="0F1C157D" w14:textId="77777777" w:rsidR="00D345D6" w:rsidRPr="00D345D6" w:rsidRDefault="00D345D6" w:rsidP="00286F4A">
            <w:pPr>
              <w:spacing w:after="0" w:line="240" w:lineRule="auto"/>
              <w:contextualSpacing/>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1. Ingresos Corrientes</w:t>
            </w:r>
          </w:p>
        </w:tc>
        <w:tc>
          <w:tcPr>
            <w:tcW w:w="1292" w:type="dxa"/>
            <w:shd w:val="clear" w:color="000000" w:fill="CCCCFF"/>
            <w:vAlign w:val="center"/>
            <w:hideMark/>
          </w:tcPr>
          <w:p w14:paraId="4371179B"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2.665.867.399</w:t>
            </w:r>
          </w:p>
        </w:tc>
        <w:tc>
          <w:tcPr>
            <w:tcW w:w="1292" w:type="dxa"/>
            <w:shd w:val="clear" w:color="000000" w:fill="CCCCFF"/>
            <w:vAlign w:val="center"/>
            <w:hideMark/>
          </w:tcPr>
          <w:p w14:paraId="64A35BD0"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2.452.465.244</w:t>
            </w:r>
          </w:p>
        </w:tc>
        <w:tc>
          <w:tcPr>
            <w:tcW w:w="1199" w:type="dxa"/>
            <w:shd w:val="clear" w:color="000000" w:fill="CCCCFF"/>
            <w:vAlign w:val="center"/>
            <w:hideMark/>
          </w:tcPr>
          <w:p w14:paraId="6A0637D7"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213.402.155</w:t>
            </w:r>
          </w:p>
        </w:tc>
        <w:tc>
          <w:tcPr>
            <w:tcW w:w="1292" w:type="dxa"/>
            <w:shd w:val="clear" w:color="000000" w:fill="CCCCFF"/>
            <w:vAlign w:val="center"/>
            <w:hideMark/>
          </w:tcPr>
          <w:p w14:paraId="0B9927EC"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2.442.916.006</w:t>
            </w:r>
          </w:p>
        </w:tc>
        <w:tc>
          <w:tcPr>
            <w:tcW w:w="1292" w:type="dxa"/>
            <w:shd w:val="clear" w:color="000000" w:fill="CCCCFF"/>
            <w:vAlign w:val="center"/>
            <w:hideMark/>
          </w:tcPr>
          <w:p w14:paraId="0D9D4308"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2.229.513.849</w:t>
            </w:r>
          </w:p>
        </w:tc>
        <w:tc>
          <w:tcPr>
            <w:tcW w:w="1173" w:type="dxa"/>
            <w:shd w:val="clear" w:color="000000" w:fill="CCCCFF"/>
            <w:vAlign w:val="center"/>
            <w:hideMark/>
          </w:tcPr>
          <w:p w14:paraId="65214985"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213.402.157</w:t>
            </w:r>
          </w:p>
        </w:tc>
      </w:tr>
      <w:tr w:rsidR="00874610" w:rsidRPr="006C532F" w14:paraId="7B9EA248" w14:textId="77777777" w:rsidTr="00AF10D4">
        <w:trPr>
          <w:trHeight w:val="379"/>
          <w:jc w:val="center"/>
        </w:trPr>
        <w:tc>
          <w:tcPr>
            <w:tcW w:w="1512" w:type="dxa"/>
            <w:shd w:val="clear" w:color="auto" w:fill="auto"/>
            <w:noWrap/>
            <w:vAlign w:val="center"/>
            <w:hideMark/>
          </w:tcPr>
          <w:p w14:paraId="45EC1B1B" w14:textId="77777777" w:rsidR="00D345D6" w:rsidRPr="00D345D6" w:rsidRDefault="00D345D6" w:rsidP="00286F4A">
            <w:pPr>
              <w:spacing w:after="0" w:line="240" w:lineRule="auto"/>
              <w:contextualSpacing/>
              <w:rPr>
                <w:rFonts w:eastAsia="Times New Roman" w:cs="Arial"/>
                <w:sz w:val="18"/>
                <w:szCs w:val="18"/>
                <w:lang w:val="es-CO" w:eastAsia="es-CO"/>
              </w:rPr>
            </w:pPr>
            <w:r w:rsidRPr="00D345D6">
              <w:rPr>
                <w:rFonts w:eastAsia="Times New Roman" w:cs="Arial"/>
                <w:sz w:val="18"/>
                <w:szCs w:val="18"/>
                <w:lang w:val="es-CO" w:eastAsia="es-CO"/>
              </w:rPr>
              <w:t>1.1. Libre Destinación</w:t>
            </w:r>
          </w:p>
        </w:tc>
        <w:tc>
          <w:tcPr>
            <w:tcW w:w="1292" w:type="dxa"/>
            <w:shd w:val="clear" w:color="auto" w:fill="auto"/>
            <w:noWrap/>
            <w:vAlign w:val="center"/>
            <w:hideMark/>
          </w:tcPr>
          <w:p w14:paraId="0DD8BF5E"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1.138.572.465</w:t>
            </w:r>
          </w:p>
        </w:tc>
        <w:tc>
          <w:tcPr>
            <w:tcW w:w="1292" w:type="dxa"/>
            <w:shd w:val="clear" w:color="auto" w:fill="auto"/>
            <w:noWrap/>
            <w:vAlign w:val="center"/>
            <w:hideMark/>
          </w:tcPr>
          <w:p w14:paraId="4F32237B"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1.049.913.225</w:t>
            </w:r>
          </w:p>
        </w:tc>
        <w:tc>
          <w:tcPr>
            <w:tcW w:w="1199" w:type="dxa"/>
            <w:shd w:val="clear" w:color="auto" w:fill="auto"/>
            <w:noWrap/>
            <w:vAlign w:val="center"/>
            <w:hideMark/>
          </w:tcPr>
          <w:p w14:paraId="51881793"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88.659.240</w:t>
            </w:r>
          </w:p>
        </w:tc>
        <w:tc>
          <w:tcPr>
            <w:tcW w:w="1292" w:type="dxa"/>
            <w:shd w:val="clear" w:color="auto" w:fill="auto"/>
            <w:noWrap/>
            <w:vAlign w:val="center"/>
            <w:hideMark/>
          </w:tcPr>
          <w:p w14:paraId="6CFD3FD6"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1.043.125.810</w:t>
            </w:r>
          </w:p>
        </w:tc>
        <w:tc>
          <w:tcPr>
            <w:tcW w:w="1292" w:type="dxa"/>
            <w:shd w:val="clear" w:color="auto" w:fill="auto"/>
            <w:vAlign w:val="center"/>
            <w:hideMark/>
          </w:tcPr>
          <w:p w14:paraId="4A86E1FD"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954.466.569</w:t>
            </w:r>
          </w:p>
        </w:tc>
        <w:tc>
          <w:tcPr>
            <w:tcW w:w="1173" w:type="dxa"/>
            <w:shd w:val="clear" w:color="auto" w:fill="auto"/>
            <w:noWrap/>
            <w:vAlign w:val="center"/>
            <w:hideMark/>
          </w:tcPr>
          <w:p w14:paraId="33987A75"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88.659.241</w:t>
            </w:r>
          </w:p>
        </w:tc>
      </w:tr>
      <w:tr w:rsidR="00874610" w:rsidRPr="006C532F" w14:paraId="7B3CDAA4" w14:textId="77777777" w:rsidTr="00AF10D4">
        <w:trPr>
          <w:trHeight w:val="206"/>
          <w:jc w:val="center"/>
        </w:trPr>
        <w:tc>
          <w:tcPr>
            <w:tcW w:w="1512" w:type="dxa"/>
            <w:shd w:val="clear" w:color="auto" w:fill="auto"/>
            <w:noWrap/>
            <w:vAlign w:val="center"/>
            <w:hideMark/>
          </w:tcPr>
          <w:p w14:paraId="0FC4A4D0" w14:textId="77777777" w:rsidR="00D345D6" w:rsidRPr="00D345D6" w:rsidRDefault="00D345D6" w:rsidP="00286F4A">
            <w:pPr>
              <w:spacing w:after="0" w:line="240" w:lineRule="auto"/>
              <w:contextualSpacing/>
              <w:rPr>
                <w:rFonts w:eastAsia="Times New Roman" w:cs="Arial"/>
                <w:sz w:val="18"/>
                <w:szCs w:val="18"/>
                <w:lang w:val="es-CO" w:eastAsia="es-CO"/>
              </w:rPr>
            </w:pPr>
            <w:r w:rsidRPr="00D345D6">
              <w:rPr>
                <w:rFonts w:eastAsia="Times New Roman" w:cs="Arial"/>
                <w:sz w:val="18"/>
                <w:szCs w:val="18"/>
                <w:lang w:val="es-CO" w:eastAsia="es-CO"/>
              </w:rPr>
              <w:t>1.2. Libre Inversión</w:t>
            </w:r>
          </w:p>
        </w:tc>
        <w:tc>
          <w:tcPr>
            <w:tcW w:w="1292" w:type="dxa"/>
            <w:shd w:val="clear" w:color="auto" w:fill="auto"/>
            <w:noWrap/>
            <w:vAlign w:val="center"/>
            <w:hideMark/>
          </w:tcPr>
          <w:p w14:paraId="05F36E66"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1.452.925.954</w:t>
            </w:r>
          </w:p>
        </w:tc>
        <w:tc>
          <w:tcPr>
            <w:tcW w:w="1292" w:type="dxa"/>
            <w:shd w:val="clear" w:color="auto" w:fill="auto"/>
            <w:noWrap/>
            <w:vAlign w:val="center"/>
            <w:hideMark/>
          </w:tcPr>
          <w:p w14:paraId="66DEE052"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1.336.292.609</w:t>
            </w:r>
          </w:p>
        </w:tc>
        <w:tc>
          <w:tcPr>
            <w:tcW w:w="1199" w:type="dxa"/>
            <w:shd w:val="clear" w:color="auto" w:fill="auto"/>
            <w:noWrap/>
            <w:vAlign w:val="center"/>
            <w:hideMark/>
          </w:tcPr>
          <w:p w14:paraId="0F509C82"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116.633.345</w:t>
            </w:r>
          </w:p>
        </w:tc>
        <w:tc>
          <w:tcPr>
            <w:tcW w:w="1292" w:type="dxa"/>
            <w:shd w:val="clear" w:color="auto" w:fill="auto"/>
            <w:noWrap/>
            <w:vAlign w:val="center"/>
            <w:hideMark/>
          </w:tcPr>
          <w:p w14:paraId="2290DE3A"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1.331.444.805</w:t>
            </w:r>
          </w:p>
        </w:tc>
        <w:tc>
          <w:tcPr>
            <w:tcW w:w="1292" w:type="dxa"/>
            <w:shd w:val="clear" w:color="auto" w:fill="auto"/>
            <w:noWrap/>
            <w:vAlign w:val="center"/>
            <w:hideMark/>
          </w:tcPr>
          <w:p w14:paraId="2AAA16FC"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1.214.811.460</w:t>
            </w:r>
          </w:p>
        </w:tc>
        <w:tc>
          <w:tcPr>
            <w:tcW w:w="1173" w:type="dxa"/>
            <w:shd w:val="clear" w:color="auto" w:fill="auto"/>
            <w:noWrap/>
            <w:vAlign w:val="center"/>
            <w:hideMark/>
          </w:tcPr>
          <w:p w14:paraId="5A409910"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116.633.345</w:t>
            </w:r>
          </w:p>
        </w:tc>
      </w:tr>
      <w:tr w:rsidR="00874610" w:rsidRPr="006C532F" w14:paraId="7CF9B995" w14:textId="77777777" w:rsidTr="00AF10D4">
        <w:trPr>
          <w:trHeight w:val="379"/>
          <w:jc w:val="center"/>
        </w:trPr>
        <w:tc>
          <w:tcPr>
            <w:tcW w:w="1512" w:type="dxa"/>
            <w:shd w:val="clear" w:color="auto" w:fill="auto"/>
            <w:noWrap/>
            <w:vAlign w:val="center"/>
            <w:hideMark/>
          </w:tcPr>
          <w:p w14:paraId="689CD1FE" w14:textId="77777777" w:rsidR="00D345D6" w:rsidRPr="00D345D6" w:rsidRDefault="00D345D6" w:rsidP="00286F4A">
            <w:pPr>
              <w:spacing w:after="0" w:line="240" w:lineRule="auto"/>
              <w:contextualSpacing/>
              <w:rPr>
                <w:rFonts w:eastAsia="Times New Roman" w:cs="Arial"/>
                <w:sz w:val="18"/>
                <w:szCs w:val="18"/>
                <w:lang w:val="es-CO" w:eastAsia="es-CO"/>
              </w:rPr>
            </w:pPr>
            <w:r w:rsidRPr="00D345D6">
              <w:rPr>
                <w:rFonts w:eastAsia="Times New Roman" w:cs="Arial"/>
                <w:sz w:val="18"/>
                <w:szCs w:val="18"/>
                <w:lang w:val="es-CO" w:eastAsia="es-CO"/>
              </w:rPr>
              <w:t>1.3. Deporte y Recreación</w:t>
            </w:r>
          </w:p>
        </w:tc>
        <w:tc>
          <w:tcPr>
            <w:tcW w:w="1292" w:type="dxa"/>
            <w:shd w:val="clear" w:color="auto" w:fill="auto"/>
            <w:noWrap/>
            <w:vAlign w:val="center"/>
            <w:hideMark/>
          </w:tcPr>
          <w:p w14:paraId="6330E665"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42.496.560</w:t>
            </w:r>
          </w:p>
        </w:tc>
        <w:tc>
          <w:tcPr>
            <w:tcW w:w="1292" w:type="dxa"/>
            <w:shd w:val="clear" w:color="auto" w:fill="auto"/>
            <w:noWrap/>
            <w:vAlign w:val="center"/>
            <w:hideMark/>
          </w:tcPr>
          <w:p w14:paraId="6603AAD3"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37.862.520</w:t>
            </w:r>
          </w:p>
        </w:tc>
        <w:tc>
          <w:tcPr>
            <w:tcW w:w="1199" w:type="dxa"/>
            <w:shd w:val="clear" w:color="auto" w:fill="auto"/>
            <w:noWrap/>
            <w:vAlign w:val="center"/>
            <w:hideMark/>
          </w:tcPr>
          <w:p w14:paraId="35BD3D57"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4.634.040</w:t>
            </w:r>
          </w:p>
        </w:tc>
        <w:tc>
          <w:tcPr>
            <w:tcW w:w="1292" w:type="dxa"/>
            <w:shd w:val="clear" w:color="auto" w:fill="auto"/>
            <w:noWrap/>
            <w:vAlign w:val="center"/>
            <w:hideMark/>
          </w:tcPr>
          <w:p w14:paraId="37E70088"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39.054.510</w:t>
            </w:r>
          </w:p>
        </w:tc>
        <w:tc>
          <w:tcPr>
            <w:tcW w:w="1292" w:type="dxa"/>
            <w:shd w:val="clear" w:color="auto" w:fill="auto"/>
            <w:noWrap/>
            <w:vAlign w:val="center"/>
            <w:hideMark/>
          </w:tcPr>
          <w:p w14:paraId="340C37A6"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34.420.470</w:t>
            </w:r>
          </w:p>
        </w:tc>
        <w:tc>
          <w:tcPr>
            <w:tcW w:w="1173" w:type="dxa"/>
            <w:shd w:val="clear" w:color="auto" w:fill="auto"/>
            <w:noWrap/>
            <w:vAlign w:val="center"/>
            <w:hideMark/>
          </w:tcPr>
          <w:p w14:paraId="53BFB7C4"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4.634.040</w:t>
            </w:r>
          </w:p>
        </w:tc>
      </w:tr>
      <w:tr w:rsidR="00874610" w:rsidRPr="006C532F" w14:paraId="2EABB462" w14:textId="77777777" w:rsidTr="00AF10D4">
        <w:trPr>
          <w:trHeight w:val="379"/>
          <w:jc w:val="center"/>
        </w:trPr>
        <w:tc>
          <w:tcPr>
            <w:tcW w:w="1512" w:type="dxa"/>
            <w:shd w:val="clear" w:color="auto" w:fill="auto"/>
            <w:noWrap/>
            <w:vAlign w:val="center"/>
            <w:hideMark/>
          </w:tcPr>
          <w:p w14:paraId="1351921A" w14:textId="77777777" w:rsidR="00D345D6" w:rsidRPr="00D345D6" w:rsidRDefault="00D345D6" w:rsidP="00286F4A">
            <w:pPr>
              <w:spacing w:after="0" w:line="240" w:lineRule="auto"/>
              <w:contextualSpacing/>
              <w:rPr>
                <w:rFonts w:eastAsia="Times New Roman" w:cs="Arial"/>
                <w:sz w:val="18"/>
                <w:szCs w:val="18"/>
                <w:lang w:val="es-CO" w:eastAsia="es-CO"/>
              </w:rPr>
            </w:pPr>
            <w:r w:rsidRPr="00D345D6">
              <w:rPr>
                <w:rFonts w:eastAsia="Times New Roman" w:cs="Arial"/>
                <w:sz w:val="18"/>
                <w:szCs w:val="18"/>
                <w:lang w:val="es-CO" w:eastAsia="es-CO"/>
              </w:rPr>
              <w:t>1.4. Cultura</w:t>
            </w:r>
          </w:p>
        </w:tc>
        <w:tc>
          <w:tcPr>
            <w:tcW w:w="1292" w:type="dxa"/>
            <w:shd w:val="clear" w:color="auto" w:fill="auto"/>
            <w:noWrap/>
            <w:vAlign w:val="center"/>
            <w:hideMark/>
          </w:tcPr>
          <w:p w14:paraId="3B5EA46C"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31.872.420</w:t>
            </w:r>
          </w:p>
        </w:tc>
        <w:tc>
          <w:tcPr>
            <w:tcW w:w="1292" w:type="dxa"/>
            <w:shd w:val="clear" w:color="auto" w:fill="auto"/>
            <w:noWrap/>
            <w:vAlign w:val="center"/>
            <w:hideMark/>
          </w:tcPr>
          <w:p w14:paraId="38D686D2"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28.396.890</w:t>
            </w:r>
          </w:p>
        </w:tc>
        <w:tc>
          <w:tcPr>
            <w:tcW w:w="1199" w:type="dxa"/>
            <w:shd w:val="clear" w:color="auto" w:fill="auto"/>
            <w:noWrap/>
            <w:vAlign w:val="center"/>
            <w:hideMark/>
          </w:tcPr>
          <w:p w14:paraId="18FEF9FD"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3.475.530</w:t>
            </w:r>
          </w:p>
        </w:tc>
        <w:tc>
          <w:tcPr>
            <w:tcW w:w="1292" w:type="dxa"/>
            <w:shd w:val="clear" w:color="auto" w:fill="auto"/>
            <w:noWrap/>
            <w:vAlign w:val="center"/>
            <w:hideMark/>
          </w:tcPr>
          <w:p w14:paraId="08C90E45"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29.290.880</w:t>
            </w:r>
          </w:p>
        </w:tc>
        <w:tc>
          <w:tcPr>
            <w:tcW w:w="1292" w:type="dxa"/>
            <w:shd w:val="clear" w:color="auto" w:fill="auto"/>
            <w:noWrap/>
            <w:vAlign w:val="center"/>
            <w:hideMark/>
          </w:tcPr>
          <w:p w14:paraId="243518C0"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25.815.350</w:t>
            </w:r>
          </w:p>
        </w:tc>
        <w:tc>
          <w:tcPr>
            <w:tcW w:w="1173" w:type="dxa"/>
            <w:shd w:val="clear" w:color="auto" w:fill="auto"/>
            <w:noWrap/>
            <w:vAlign w:val="center"/>
            <w:hideMark/>
          </w:tcPr>
          <w:p w14:paraId="2403539F"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3.475.530</w:t>
            </w:r>
          </w:p>
        </w:tc>
      </w:tr>
      <w:tr w:rsidR="00D345D6" w:rsidRPr="006C532F" w14:paraId="66FD6C35" w14:textId="77777777" w:rsidTr="00AF10D4">
        <w:trPr>
          <w:trHeight w:val="206"/>
          <w:jc w:val="center"/>
        </w:trPr>
        <w:tc>
          <w:tcPr>
            <w:tcW w:w="1512" w:type="dxa"/>
            <w:shd w:val="clear" w:color="000000" w:fill="CCCCFF"/>
            <w:vAlign w:val="center"/>
            <w:hideMark/>
          </w:tcPr>
          <w:p w14:paraId="0C33E13B" w14:textId="77777777" w:rsidR="00D345D6" w:rsidRPr="00D345D6" w:rsidRDefault="00D345D6" w:rsidP="00286F4A">
            <w:pPr>
              <w:spacing w:after="0" w:line="240" w:lineRule="auto"/>
              <w:contextualSpacing/>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 Recursos de Capital</w:t>
            </w:r>
          </w:p>
        </w:tc>
        <w:tc>
          <w:tcPr>
            <w:tcW w:w="1292" w:type="dxa"/>
            <w:shd w:val="clear" w:color="000000" w:fill="CCCCFF"/>
            <w:vAlign w:val="center"/>
            <w:hideMark/>
          </w:tcPr>
          <w:p w14:paraId="3D544ECE"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153.708.835</w:t>
            </w:r>
          </w:p>
        </w:tc>
        <w:tc>
          <w:tcPr>
            <w:tcW w:w="1292" w:type="dxa"/>
            <w:shd w:val="clear" w:color="000000" w:fill="CCCCFF"/>
            <w:vAlign w:val="center"/>
            <w:hideMark/>
          </w:tcPr>
          <w:p w14:paraId="665FFB6B"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153.708.833</w:t>
            </w:r>
          </w:p>
        </w:tc>
        <w:tc>
          <w:tcPr>
            <w:tcW w:w="1199" w:type="dxa"/>
            <w:shd w:val="clear" w:color="000000" w:fill="CCCCFF"/>
            <w:vAlign w:val="center"/>
            <w:hideMark/>
          </w:tcPr>
          <w:p w14:paraId="0B3D15C3"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w:t>
            </w:r>
          </w:p>
        </w:tc>
        <w:tc>
          <w:tcPr>
            <w:tcW w:w="1292" w:type="dxa"/>
            <w:shd w:val="clear" w:color="000000" w:fill="CCCCFF"/>
            <w:vAlign w:val="center"/>
            <w:hideMark/>
          </w:tcPr>
          <w:p w14:paraId="41787DCE"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153.708.835</w:t>
            </w:r>
          </w:p>
        </w:tc>
        <w:tc>
          <w:tcPr>
            <w:tcW w:w="1292" w:type="dxa"/>
            <w:shd w:val="clear" w:color="000000" w:fill="CCCCFF"/>
            <w:vAlign w:val="center"/>
            <w:hideMark/>
          </w:tcPr>
          <w:p w14:paraId="467F28DE"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153.708.833</w:t>
            </w:r>
          </w:p>
        </w:tc>
        <w:tc>
          <w:tcPr>
            <w:tcW w:w="1173" w:type="dxa"/>
            <w:shd w:val="clear" w:color="000000" w:fill="CCCCFF"/>
            <w:vAlign w:val="center"/>
            <w:hideMark/>
          </w:tcPr>
          <w:p w14:paraId="174FAF1B"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w:t>
            </w:r>
          </w:p>
        </w:tc>
      </w:tr>
      <w:tr w:rsidR="00D345D6" w:rsidRPr="006C532F" w14:paraId="54050296" w14:textId="77777777" w:rsidTr="00AF10D4">
        <w:trPr>
          <w:trHeight w:val="379"/>
          <w:jc w:val="center"/>
        </w:trPr>
        <w:tc>
          <w:tcPr>
            <w:tcW w:w="1512" w:type="dxa"/>
            <w:shd w:val="clear" w:color="000000" w:fill="E5E5FF"/>
            <w:vAlign w:val="center"/>
            <w:hideMark/>
          </w:tcPr>
          <w:p w14:paraId="232D1F72" w14:textId="77777777" w:rsidR="00D345D6" w:rsidRPr="00D345D6" w:rsidRDefault="00D345D6" w:rsidP="00286F4A">
            <w:pPr>
              <w:spacing w:after="0" w:line="240" w:lineRule="auto"/>
              <w:contextualSpacing/>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2.1 Superávit fiscal</w:t>
            </w:r>
          </w:p>
        </w:tc>
        <w:tc>
          <w:tcPr>
            <w:tcW w:w="1292" w:type="dxa"/>
            <w:shd w:val="clear" w:color="000000" w:fill="E5E5FF"/>
            <w:vAlign w:val="center"/>
            <w:hideMark/>
          </w:tcPr>
          <w:p w14:paraId="151C2B5D"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153.708.835</w:t>
            </w:r>
          </w:p>
        </w:tc>
        <w:tc>
          <w:tcPr>
            <w:tcW w:w="1292" w:type="dxa"/>
            <w:shd w:val="clear" w:color="000000" w:fill="E5E5FF"/>
            <w:vAlign w:val="center"/>
            <w:hideMark/>
          </w:tcPr>
          <w:p w14:paraId="74B8452E"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153.708.833</w:t>
            </w:r>
          </w:p>
        </w:tc>
        <w:tc>
          <w:tcPr>
            <w:tcW w:w="1199" w:type="dxa"/>
            <w:shd w:val="clear" w:color="000000" w:fill="E5E5FF"/>
            <w:vAlign w:val="center"/>
            <w:hideMark/>
          </w:tcPr>
          <w:p w14:paraId="5C42F0F7"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w:t>
            </w:r>
          </w:p>
        </w:tc>
        <w:tc>
          <w:tcPr>
            <w:tcW w:w="1292" w:type="dxa"/>
            <w:shd w:val="clear" w:color="000000" w:fill="E5E5FF"/>
            <w:vAlign w:val="center"/>
            <w:hideMark/>
          </w:tcPr>
          <w:p w14:paraId="0F232C4B"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153.708.835</w:t>
            </w:r>
          </w:p>
        </w:tc>
        <w:tc>
          <w:tcPr>
            <w:tcW w:w="1292" w:type="dxa"/>
            <w:shd w:val="clear" w:color="000000" w:fill="E5E5FF"/>
            <w:vAlign w:val="center"/>
            <w:hideMark/>
          </w:tcPr>
          <w:p w14:paraId="5366F6B0"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153.708.833</w:t>
            </w:r>
          </w:p>
        </w:tc>
        <w:tc>
          <w:tcPr>
            <w:tcW w:w="1173" w:type="dxa"/>
            <w:shd w:val="clear" w:color="000000" w:fill="E5E5FF"/>
            <w:vAlign w:val="center"/>
            <w:hideMark/>
          </w:tcPr>
          <w:p w14:paraId="301295AE" w14:textId="77777777" w:rsidR="00D345D6" w:rsidRPr="00D345D6" w:rsidRDefault="00D345D6">
            <w:pPr>
              <w:spacing w:after="0" w:line="240" w:lineRule="auto"/>
              <w:contextualSpacing/>
              <w:jc w:val="center"/>
              <w:rPr>
                <w:rFonts w:eastAsia="Times New Roman" w:cs="Arial"/>
                <w:b/>
                <w:bCs/>
                <w:color w:val="000000"/>
                <w:sz w:val="18"/>
                <w:szCs w:val="18"/>
                <w:lang w:val="es-CO" w:eastAsia="es-CO"/>
              </w:rPr>
            </w:pPr>
            <w:r w:rsidRPr="00D345D6">
              <w:rPr>
                <w:rFonts w:eastAsia="Times New Roman" w:cs="Arial"/>
                <w:b/>
                <w:bCs/>
                <w:color w:val="000000"/>
                <w:sz w:val="18"/>
                <w:szCs w:val="18"/>
                <w:lang w:val="es-CO" w:eastAsia="es-CO"/>
              </w:rPr>
              <w:t>2</w:t>
            </w:r>
          </w:p>
        </w:tc>
      </w:tr>
      <w:tr w:rsidR="00AB5242" w:rsidRPr="006C532F" w14:paraId="6F133B88" w14:textId="77777777" w:rsidTr="00AF10D4">
        <w:trPr>
          <w:trHeight w:val="379"/>
          <w:jc w:val="center"/>
        </w:trPr>
        <w:tc>
          <w:tcPr>
            <w:tcW w:w="1512" w:type="dxa"/>
            <w:shd w:val="clear" w:color="auto" w:fill="auto"/>
            <w:vAlign w:val="center"/>
            <w:hideMark/>
          </w:tcPr>
          <w:p w14:paraId="5F410E2E" w14:textId="77777777" w:rsidR="00D345D6" w:rsidRPr="00D345D6" w:rsidRDefault="00D345D6" w:rsidP="00286F4A">
            <w:pPr>
              <w:spacing w:after="0" w:line="240" w:lineRule="auto"/>
              <w:contextualSpacing/>
              <w:rPr>
                <w:rFonts w:eastAsia="Times New Roman" w:cs="Arial"/>
                <w:sz w:val="18"/>
                <w:szCs w:val="18"/>
                <w:lang w:val="es-CO" w:eastAsia="es-CO"/>
              </w:rPr>
            </w:pPr>
            <w:r w:rsidRPr="00D345D6">
              <w:rPr>
                <w:rFonts w:eastAsia="Times New Roman" w:cs="Arial"/>
                <w:sz w:val="18"/>
                <w:szCs w:val="18"/>
                <w:lang w:val="es-CO" w:eastAsia="es-CO"/>
              </w:rPr>
              <w:t>2.1.1. Libre Destinación</w:t>
            </w:r>
          </w:p>
        </w:tc>
        <w:tc>
          <w:tcPr>
            <w:tcW w:w="1292" w:type="dxa"/>
            <w:shd w:val="clear" w:color="auto" w:fill="auto"/>
            <w:vAlign w:val="center"/>
            <w:hideMark/>
          </w:tcPr>
          <w:p w14:paraId="5DC9E4CF"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101.878.329</w:t>
            </w:r>
          </w:p>
        </w:tc>
        <w:tc>
          <w:tcPr>
            <w:tcW w:w="1292" w:type="dxa"/>
            <w:shd w:val="clear" w:color="auto" w:fill="auto"/>
            <w:noWrap/>
            <w:vAlign w:val="center"/>
            <w:hideMark/>
          </w:tcPr>
          <w:p w14:paraId="255BBAD5"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101.878.328</w:t>
            </w:r>
          </w:p>
        </w:tc>
        <w:tc>
          <w:tcPr>
            <w:tcW w:w="1199" w:type="dxa"/>
            <w:shd w:val="clear" w:color="auto" w:fill="auto"/>
            <w:vAlign w:val="center"/>
            <w:hideMark/>
          </w:tcPr>
          <w:p w14:paraId="4B1B4ADB"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w:t>
            </w:r>
          </w:p>
        </w:tc>
        <w:tc>
          <w:tcPr>
            <w:tcW w:w="1292" w:type="dxa"/>
            <w:shd w:val="clear" w:color="auto" w:fill="auto"/>
            <w:vAlign w:val="center"/>
            <w:hideMark/>
          </w:tcPr>
          <w:p w14:paraId="7113865A"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101.878.329</w:t>
            </w:r>
          </w:p>
        </w:tc>
        <w:tc>
          <w:tcPr>
            <w:tcW w:w="1292" w:type="dxa"/>
            <w:shd w:val="clear" w:color="auto" w:fill="auto"/>
            <w:noWrap/>
            <w:vAlign w:val="center"/>
            <w:hideMark/>
          </w:tcPr>
          <w:p w14:paraId="15161FE3"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101.878.328</w:t>
            </w:r>
          </w:p>
        </w:tc>
        <w:tc>
          <w:tcPr>
            <w:tcW w:w="1173" w:type="dxa"/>
            <w:shd w:val="clear" w:color="auto" w:fill="auto"/>
            <w:vAlign w:val="center"/>
            <w:hideMark/>
          </w:tcPr>
          <w:p w14:paraId="0CD1FE3E"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1</w:t>
            </w:r>
          </w:p>
        </w:tc>
      </w:tr>
      <w:tr w:rsidR="00AB5242" w:rsidRPr="006C532F" w14:paraId="689BD96C" w14:textId="77777777" w:rsidTr="00AF10D4">
        <w:trPr>
          <w:trHeight w:val="206"/>
          <w:jc w:val="center"/>
        </w:trPr>
        <w:tc>
          <w:tcPr>
            <w:tcW w:w="1512" w:type="dxa"/>
            <w:shd w:val="clear" w:color="auto" w:fill="auto"/>
            <w:vAlign w:val="center"/>
            <w:hideMark/>
          </w:tcPr>
          <w:p w14:paraId="4FDFB449" w14:textId="77777777" w:rsidR="00D345D6" w:rsidRPr="00D345D6" w:rsidRDefault="00D345D6" w:rsidP="00286F4A">
            <w:pPr>
              <w:spacing w:after="0" w:line="240" w:lineRule="auto"/>
              <w:contextualSpacing/>
              <w:rPr>
                <w:rFonts w:eastAsia="Times New Roman" w:cs="Arial"/>
                <w:sz w:val="18"/>
                <w:szCs w:val="18"/>
                <w:lang w:val="es-CO" w:eastAsia="es-CO"/>
              </w:rPr>
            </w:pPr>
            <w:r w:rsidRPr="00D345D6">
              <w:rPr>
                <w:rFonts w:eastAsia="Times New Roman" w:cs="Arial"/>
                <w:sz w:val="18"/>
                <w:szCs w:val="18"/>
                <w:lang w:val="es-CO" w:eastAsia="es-CO"/>
              </w:rPr>
              <w:t>2.1.2. Libre Inversión</w:t>
            </w:r>
          </w:p>
        </w:tc>
        <w:tc>
          <w:tcPr>
            <w:tcW w:w="1292" w:type="dxa"/>
            <w:shd w:val="clear" w:color="auto" w:fill="auto"/>
            <w:vAlign w:val="center"/>
            <w:hideMark/>
          </w:tcPr>
          <w:p w14:paraId="5414334E"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42.206.994</w:t>
            </w:r>
          </w:p>
        </w:tc>
        <w:tc>
          <w:tcPr>
            <w:tcW w:w="1292" w:type="dxa"/>
            <w:shd w:val="clear" w:color="auto" w:fill="auto"/>
            <w:noWrap/>
            <w:vAlign w:val="center"/>
            <w:hideMark/>
          </w:tcPr>
          <w:p w14:paraId="2601088F"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42.206.994</w:t>
            </w:r>
          </w:p>
        </w:tc>
        <w:tc>
          <w:tcPr>
            <w:tcW w:w="1199" w:type="dxa"/>
            <w:shd w:val="clear" w:color="auto" w:fill="auto"/>
            <w:vAlign w:val="center"/>
            <w:hideMark/>
          </w:tcPr>
          <w:p w14:paraId="10B22BE5" w14:textId="77777777" w:rsidR="00D345D6" w:rsidRPr="00D345D6" w:rsidRDefault="00215BD8">
            <w:pPr>
              <w:spacing w:after="0" w:line="240" w:lineRule="auto"/>
              <w:contextualSpacing/>
              <w:jc w:val="center"/>
              <w:rPr>
                <w:rFonts w:eastAsia="Times New Roman" w:cs="Arial"/>
                <w:sz w:val="18"/>
                <w:szCs w:val="18"/>
                <w:lang w:val="es-CO" w:eastAsia="es-CO"/>
              </w:rPr>
            </w:pPr>
            <w:r>
              <w:rPr>
                <w:rFonts w:eastAsia="Times New Roman" w:cs="Arial"/>
                <w:sz w:val="18"/>
                <w:szCs w:val="18"/>
                <w:lang w:val="es-CO" w:eastAsia="es-CO"/>
              </w:rPr>
              <w:t>-</w:t>
            </w:r>
          </w:p>
        </w:tc>
        <w:tc>
          <w:tcPr>
            <w:tcW w:w="1292" w:type="dxa"/>
            <w:shd w:val="clear" w:color="auto" w:fill="auto"/>
            <w:vAlign w:val="center"/>
            <w:hideMark/>
          </w:tcPr>
          <w:p w14:paraId="1E4AB0C8"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42.206.994</w:t>
            </w:r>
          </w:p>
        </w:tc>
        <w:tc>
          <w:tcPr>
            <w:tcW w:w="1292" w:type="dxa"/>
            <w:shd w:val="clear" w:color="auto" w:fill="auto"/>
            <w:noWrap/>
            <w:vAlign w:val="center"/>
            <w:hideMark/>
          </w:tcPr>
          <w:p w14:paraId="326CB229"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42.206.994</w:t>
            </w:r>
          </w:p>
        </w:tc>
        <w:tc>
          <w:tcPr>
            <w:tcW w:w="1173" w:type="dxa"/>
            <w:shd w:val="clear" w:color="auto" w:fill="auto"/>
            <w:vAlign w:val="center"/>
            <w:hideMark/>
          </w:tcPr>
          <w:p w14:paraId="0EFBB001" w14:textId="77777777" w:rsidR="00D345D6" w:rsidRPr="00D345D6" w:rsidRDefault="00215BD8">
            <w:pPr>
              <w:spacing w:after="0" w:line="240" w:lineRule="auto"/>
              <w:contextualSpacing/>
              <w:jc w:val="center"/>
              <w:rPr>
                <w:rFonts w:eastAsia="Times New Roman" w:cs="Arial"/>
                <w:sz w:val="18"/>
                <w:szCs w:val="18"/>
                <w:lang w:val="es-CO" w:eastAsia="es-CO"/>
              </w:rPr>
            </w:pPr>
            <w:r>
              <w:rPr>
                <w:rFonts w:eastAsia="Times New Roman" w:cs="Arial"/>
                <w:sz w:val="18"/>
                <w:szCs w:val="18"/>
                <w:lang w:val="es-CO" w:eastAsia="es-CO"/>
              </w:rPr>
              <w:t>-</w:t>
            </w:r>
          </w:p>
        </w:tc>
      </w:tr>
      <w:tr w:rsidR="00AB5242" w:rsidRPr="006C532F" w14:paraId="2A8BD297" w14:textId="77777777" w:rsidTr="00AF10D4">
        <w:trPr>
          <w:trHeight w:val="379"/>
          <w:jc w:val="center"/>
        </w:trPr>
        <w:tc>
          <w:tcPr>
            <w:tcW w:w="1512" w:type="dxa"/>
            <w:shd w:val="clear" w:color="auto" w:fill="auto"/>
            <w:vAlign w:val="center"/>
            <w:hideMark/>
          </w:tcPr>
          <w:p w14:paraId="3DF0F3E1" w14:textId="77777777" w:rsidR="00D345D6" w:rsidRPr="00D345D6" w:rsidRDefault="00D345D6" w:rsidP="00286F4A">
            <w:pPr>
              <w:spacing w:after="0" w:line="240" w:lineRule="auto"/>
              <w:contextualSpacing/>
              <w:rPr>
                <w:rFonts w:eastAsia="Times New Roman" w:cs="Arial"/>
                <w:sz w:val="18"/>
                <w:szCs w:val="18"/>
                <w:lang w:val="es-CO" w:eastAsia="es-CO"/>
              </w:rPr>
            </w:pPr>
            <w:r w:rsidRPr="00D345D6">
              <w:rPr>
                <w:rFonts w:eastAsia="Times New Roman" w:cs="Arial"/>
                <w:sz w:val="18"/>
                <w:szCs w:val="18"/>
                <w:lang w:val="es-CO" w:eastAsia="es-CO"/>
              </w:rPr>
              <w:t>2.1.3. Deporte y Recreación</w:t>
            </w:r>
          </w:p>
        </w:tc>
        <w:tc>
          <w:tcPr>
            <w:tcW w:w="1292" w:type="dxa"/>
            <w:shd w:val="clear" w:color="auto" w:fill="auto"/>
            <w:vAlign w:val="center"/>
            <w:hideMark/>
          </w:tcPr>
          <w:p w14:paraId="5FC8CAF0"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695.831</w:t>
            </w:r>
          </w:p>
        </w:tc>
        <w:tc>
          <w:tcPr>
            <w:tcW w:w="1292" w:type="dxa"/>
            <w:shd w:val="clear" w:color="auto" w:fill="auto"/>
            <w:noWrap/>
            <w:vAlign w:val="center"/>
            <w:hideMark/>
          </w:tcPr>
          <w:p w14:paraId="351E4EFA"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695.831</w:t>
            </w:r>
          </w:p>
        </w:tc>
        <w:tc>
          <w:tcPr>
            <w:tcW w:w="1199" w:type="dxa"/>
            <w:shd w:val="clear" w:color="auto" w:fill="auto"/>
            <w:vAlign w:val="center"/>
            <w:hideMark/>
          </w:tcPr>
          <w:p w14:paraId="66C894F9" w14:textId="77777777" w:rsidR="00D345D6" w:rsidRPr="00D345D6" w:rsidRDefault="00215BD8">
            <w:pPr>
              <w:spacing w:after="0" w:line="240" w:lineRule="auto"/>
              <w:contextualSpacing/>
              <w:jc w:val="center"/>
              <w:rPr>
                <w:rFonts w:eastAsia="Times New Roman" w:cs="Arial"/>
                <w:sz w:val="18"/>
                <w:szCs w:val="18"/>
                <w:lang w:val="es-CO" w:eastAsia="es-CO"/>
              </w:rPr>
            </w:pPr>
            <w:r>
              <w:rPr>
                <w:rFonts w:eastAsia="Times New Roman" w:cs="Arial"/>
                <w:sz w:val="18"/>
                <w:szCs w:val="18"/>
                <w:lang w:val="es-CO" w:eastAsia="es-CO"/>
              </w:rPr>
              <w:t>-</w:t>
            </w:r>
          </w:p>
        </w:tc>
        <w:tc>
          <w:tcPr>
            <w:tcW w:w="1292" w:type="dxa"/>
            <w:shd w:val="clear" w:color="auto" w:fill="auto"/>
            <w:vAlign w:val="center"/>
            <w:hideMark/>
          </w:tcPr>
          <w:p w14:paraId="38081197"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695.831</w:t>
            </w:r>
          </w:p>
        </w:tc>
        <w:tc>
          <w:tcPr>
            <w:tcW w:w="1292" w:type="dxa"/>
            <w:shd w:val="clear" w:color="auto" w:fill="auto"/>
            <w:noWrap/>
            <w:vAlign w:val="center"/>
            <w:hideMark/>
          </w:tcPr>
          <w:p w14:paraId="28978E5F"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695.831</w:t>
            </w:r>
          </w:p>
        </w:tc>
        <w:tc>
          <w:tcPr>
            <w:tcW w:w="1173" w:type="dxa"/>
            <w:shd w:val="clear" w:color="auto" w:fill="auto"/>
            <w:vAlign w:val="center"/>
            <w:hideMark/>
          </w:tcPr>
          <w:p w14:paraId="593D950C" w14:textId="77777777" w:rsidR="00D345D6" w:rsidRPr="00D345D6" w:rsidRDefault="00215BD8">
            <w:pPr>
              <w:spacing w:after="0" w:line="240" w:lineRule="auto"/>
              <w:contextualSpacing/>
              <w:jc w:val="center"/>
              <w:rPr>
                <w:rFonts w:eastAsia="Times New Roman" w:cs="Arial"/>
                <w:sz w:val="18"/>
                <w:szCs w:val="18"/>
                <w:lang w:val="es-CO" w:eastAsia="es-CO"/>
              </w:rPr>
            </w:pPr>
            <w:r>
              <w:rPr>
                <w:rFonts w:eastAsia="Times New Roman" w:cs="Arial"/>
                <w:sz w:val="18"/>
                <w:szCs w:val="18"/>
                <w:lang w:val="es-CO" w:eastAsia="es-CO"/>
              </w:rPr>
              <w:t>-</w:t>
            </w:r>
          </w:p>
        </w:tc>
      </w:tr>
      <w:tr w:rsidR="00AB5242" w:rsidRPr="006C532F" w14:paraId="04E984C6" w14:textId="77777777" w:rsidTr="00AF10D4">
        <w:trPr>
          <w:trHeight w:val="206"/>
          <w:jc w:val="center"/>
        </w:trPr>
        <w:tc>
          <w:tcPr>
            <w:tcW w:w="1512" w:type="dxa"/>
            <w:shd w:val="clear" w:color="auto" w:fill="auto"/>
            <w:vAlign w:val="center"/>
            <w:hideMark/>
          </w:tcPr>
          <w:p w14:paraId="511AAD8A" w14:textId="77777777" w:rsidR="00D345D6" w:rsidRPr="00D345D6" w:rsidRDefault="00D345D6" w:rsidP="00286F4A">
            <w:pPr>
              <w:spacing w:after="0" w:line="240" w:lineRule="auto"/>
              <w:contextualSpacing/>
              <w:rPr>
                <w:rFonts w:eastAsia="Times New Roman" w:cs="Arial"/>
                <w:sz w:val="18"/>
                <w:szCs w:val="18"/>
                <w:lang w:val="es-CO" w:eastAsia="es-CO"/>
              </w:rPr>
            </w:pPr>
            <w:r w:rsidRPr="00D345D6">
              <w:rPr>
                <w:rFonts w:eastAsia="Times New Roman" w:cs="Arial"/>
                <w:sz w:val="18"/>
                <w:szCs w:val="18"/>
                <w:lang w:val="es-CO" w:eastAsia="es-CO"/>
              </w:rPr>
              <w:t>2.1.4. Cultura</w:t>
            </w:r>
          </w:p>
        </w:tc>
        <w:tc>
          <w:tcPr>
            <w:tcW w:w="1292" w:type="dxa"/>
            <w:shd w:val="clear" w:color="auto" w:fill="auto"/>
            <w:vAlign w:val="center"/>
            <w:hideMark/>
          </w:tcPr>
          <w:p w14:paraId="07807A4D"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8.927.680</w:t>
            </w:r>
          </w:p>
        </w:tc>
        <w:tc>
          <w:tcPr>
            <w:tcW w:w="1292" w:type="dxa"/>
            <w:shd w:val="clear" w:color="auto" w:fill="auto"/>
            <w:noWrap/>
            <w:vAlign w:val="center"/>
            <w:hideMark/>
          </w:tcPr>
          <w:p w14:paraId="66E0966A"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8.927.680</w:t>
            </w:r>
          </w:p>
        </w:tc>
        <w:tc>
          <w:tcPr>
            <w:tcW w:w="1199" w:type="dxa"/>
            <w:shd w:val="clear" w:color="auto" w:fill="auto"/>
            <w:vAlign w:val="center"/>
            <w:hideMark/>
          </w:tcPr>
          <w:p w14:paraId="50F7546C"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w:t>
            </w:r>
          </w:p>
        </w:tc>
        <w:tc>
          <w:tcPr>
            <w:tcW w:w="1292" w:type="dxa"/>
            <w:shd w:val="clear" w:color="auto" w:fill="auto"/>
            <w:vAlign w:val="center"/>
            <w:hideMark/>
          </w:tcPr>
          <w:p w14:paraId="3B6E8D00"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8.927.680</w:t>
            </w:r>
          </w:p>
        </w:tc>
        <w:tc>
          <w:tcPr>
            <w:tcW w:w="1292" w:type="dxa"/>
            <w:shd w:val="clear" w:color="auto" w:fill="auto"/>
            <w:noWrap/>
            <w:vAlign w:val="center"/>
            <w:hideMark/>
          </w:tcPr>
          <w:p w14:paraId="1B2403B5"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8.927.680</w:t>
            </w:r>
          </w:p>
        </w:tc>
        <w:tc>
          <w:tcPr>
            <w:tcW w:w="1173" w:type="dxa"/>
            <w:shd w:val="clear" w:color="auto" w:fill="auto"/>
            <w:vAlign w:val="center"/>
            <w:hideMark/>
          </w:tcPr>
          <w:p w14:paraId="4FAEEDE7" w14:textId="77777777" w:rsidR="00D345D6" w:rsidRPr="00D345D6" w:rsidRDefault="00D345D6">
            <w:pPr>
              <w:spacing w:after="0" w:line="240" w:lineRule="auto"/>
              <w:contextualSpacing/>
              <w:jc w:val="center"/>
              <w:rPr>
                <w:rFonts w:eastAsia="Times New Roman" w:cs="Arial"/>
                <w:sz w:val="18"/>
                <w:szCs w:val="18"/>
                <w:lang w:val="es-CO" w:eastAsia="es-CO"/>
              </w:rPr>
            </w:pPr>
            <w:r w:rsidRPr="00D345D6">
              <w:rPr>
                <w:rFonts w:eastAsia="Times New Roman" w:cs="Arial"/>
                <w:sz w:val="18"/>
                <w:szCs w:val="18"/>
                <w:lang w:val="es-CO" w:eastAsia="es-CO"/>
              </w:rPr>
              <w:t>-</w:t>
            </w:r>
          </w:p>
        </w:tc>
      </w:tr>
    </w:tbl>
    <w:p w14:paraId="0D9748D8" w14:textId="77777777" w:rsidR="00AF10D4" w:rsidRPr="00FB27C3" w:rsidRDefault="00AF10D4" w:rsidP="00286F4A">
      <w:pPr>
        <w:spacing w:line="240" w:lineRule="auto"/>
        <w:contextualSpacing/>
        <w:jc w:val="center"/>
        <w:rPr>
          <w:sz w:val="16"/>
          <w:szCs w:val="16"/>
        </w:rPr>
      </w:pPr>
      <w:r w:rsidRPr="00FB27C3">
        <w:rPr>
          <w:b/>
          <w:bCs/>
          <w:sz w:val="16"/>
          <w:szCs w:val="16"/>
        </w:rPr>
        <w:t xml:space="preserve">Fuente: </w:t>
      </w:r>
      <w:r w:rsidRPr="00FB27C3">
        <w:rPr>
          <w:sz w:val="16"/>
          <w:szCs w:val="16"/>
        </w:rPr>
        <w:t>Elaboración DAF con base en las ejecuciones presupuestales y el reporte FUT ingresos.</w:t>
      </w:r>
    </w:p>
    <w:p w14:paraId="7FD240AF" w14:textId="77777777" w:rsidR="00231BBE" w:rsidRDefault="00231BBE">
      <w:pPr>
        <w:spacing w:line="240" w:lineRule="auto"/>
        <w:contextualSpacing/>
        <w:jc w:val="both"/>
      </w:pPr>
    </w:p>
    <w:p w14:paraId="40087EF2" w14:textId="77777777" w:rsidR="00FF45FA" w:rsidRDefault="000D5011">
      <w:pPr>
        <w:spacing w:line="240" w:lineRule="auto"/>
        <w:contextualSpacing/>
        <w:jc w:val="both"/>
      </w:pPr>
      <w:r>
        <w:t xml:space="preserve">En la vigencia 2019 el </w:t>
      </w:r>
      <w:r w:rsidR="00231BBE">
        <w:t>M</w:t>
      </w:r>
      <w:r>
        <w:t>unicipio reportó de manera desagregada</w:t>
      </w:r>
      <w:r w:rsidR="00B7182A">
        <w:t xml:space="preserve"> l</w:t>
      </w:r>
      <w:r w:rsidR="00487C45">
        <w:t>as cifras de ingresos de SGP Propósito General, tanto en los ingresos corrientes como en los recursos de capital</w:t>
      </w:r>
      <w:r w:rsidR="00835061">
        <w:t xml:space="preserve">, pero siguen sin reportarse los rendimientos financieros. </w:t>
      </w:r>
      <w:r w:rsidR="001A2FA1">
        <w:t xml:space="preserve">Así mismo, se pueden identificar diferencias en el reporte de los ingresos corrientes para </w:t>
      </w:r>
      <w:r w:rsidR="00CE7FA3">
        <w:t>todas las destinaciones del SGP Propósito General</w:t>
      </w:r>
      <w:r w:rsidR="00412DAE">
        <w:t xml:space="preserve">. Específicamente, para el caso de Libre Destinación la diferencia es de </w:t>
      </w:r>
      <w:r w:rsidR="009625DA">
        <w:t>$</w:t>
      </w:r>
      <w:r w:rsidR="009625DA" w:rsidRPr="009625DA">
        <w:t>88.659.240</w:t>
      </w:r>
      <w:r w:rsidR="009625DA">
        <w:t xml:space="preserve"> en el presupuesto definitivo y en el recaudo. En Libre inversión, la diferencia entre la ejecución presupuestal y el reporte es de $</w:t>
      </w:r>
      <w:r w:rsidR="009625DA" w:rsidRPr="009625DA">
        <w:t>116.633.345</w:t>
      </w:r>
      <w:r w:rsidR="009625DA">
        <w:t xml:space="preserve"> </w:t>
      </w:r>
      <w:r w:rsidR="007C2F39">
        <w:t>en el presupuesto y en el recaudo. En Deporte y Recreación la diferencia asciende a $</w:t>
      </w:r>
      <w:r w:rsidR="007C2F39" w:rsidRPr="007C2F39">
        <w:t>4.634.040</w:t>
      </w:r>
      <w:r w:rsidR="009B7DE8">
        <w:t>, y en Cultura $</w:t>
      </w:r>
      <w:r w:rsidR="009B7DE8" w:rsidRPr="009B7DE8">
        <w:t>3.475.530</w:t>
      </w:r>
      <w:r w:rsidR="009B7DE8">
        <w:t xml:space="preserve"> para el presupuesto y el recaudo.</w:t>
      </w:r>
    </w:p>
    <w:p w14:paraId="20FAF00B" w14:textId="77777777" w:rsidR="00231BBE" w:rsidRDefault="00231BBE" w:rsidP="001729F6">
      <w:pPr>
        <w:spacing w:line="240" w:lineRule="auto"/>
        <w:contextualSpacing/>
      </w:pPr>
      <w:r>
        <w:br w:type="page"/>
      </w:r>
    </w:p>
    <w:p w14:paraId="55D79F93" w14:textId="77777777" w:rsidR="009A3B28" w:rsidRDefault="005D7743" w:rsidP="00286F4A">
      <w:pPr>
        <w:spacing w:line="240" w:lineRule="auto"/>
        <w:contextualSpacing/>
        <w:jc w:val="both"/>
        <w:rPr>
          <w:b/>
          <w:bCs/>
        </w:rPr>
      </w:pPr>
      <w:r>
        <w:rPr>
          <w:b/>
          <w:bCs/>
        </w:rPr>
        <w:lastRenderedPageBreak/>
        <w:t>Vigencia 2020</w:t>
      </w:r>
    </w:p>
    <w:p w14:paraId="4C11B27A" w14:textId="77777777" w:rsidR="005D7743" w:rsidRDefault="005D7743">
      <w:pPr>
        <w:spacing w:line="240" w:lineRule="auto"/>
        <w:contextualSpacing/>
        <w:jc w:val="both"/>
        <w:rPr>
          <w:b/>
          <w:bCs/>
        </w:rPr>
      </w:pPr>
    </w:p>
    <w:p w14:paraId="5DF8D79F" w14:textId="77777777" w:rsidR="00F053B0" w:rsidRPr="00FB27C3" w:rsidRDefault="00F053B0">
      <w:pPr>
        <w:spacing w:after="0" w:line="240" w:lineRule="auto"/>
        <w:contextualSpacing/>
        <w:jc w:val="center"/>
        <w:rPr>
          <w:b/>
          <w:bCs/>
          <w:sz w:val="20"/>
          <w:szCs w:val="20"/>
        </w:rPr>
      </w:pPr>
      <w:r w:rsidRPr="00FB27C3">
        <w:rPr>
          <w:b/>
          <w:bCs/>
          <w:sz w:val="20"/>
          <w:szCs w:val="20"/>
        </w:rPr>
        <w:t>Cuadro No. 3</w:t>
      </w:r>
    </w:p>
    <w:p w14:paraId="2E74DEC8" w14:textId="77777777" w:rsidR="00F053B0" w:rsidRPr="00FB27C3" w:rsidRDefault="00F053B0">
      <w:pPr>
        <w:spacing w:after="0" w:line="240" w:lineRule="auto"/>
        <w:contextualSpacing/>
        <w:jc w:val="center"/>
        <w:rPr>
          <w:sz w:val="20"/>
          <w:szCs w:val="20"/>
        </w:rPr>
      </w:pPr>
      <w:r w:rsidRPr="00FB27C3">
        <w:rPr>
          <w:sz w:val="20"/>
          <w:szCs w:val="20"/>
        </w:rPr>
        <w:t>Reporte FUT Ingresos 2020</w:t>
      </w:r>
    </w:p>
    <w:p w14:paraId="54936756" w14:textId="77777777" w:rsidR="00085BDB" w:rsidRDefault="00F053B0">
      <w:pPr>
        <w:spacing w:after="0" w:line="240" w:lineRule="auto"/>
        <w:contextualSpacing/>
        <w:jc w:val="center"/>
        <w:rPr>
          <w:sz w:val="20"/>
          <w:szCs w:val="20"/>
        </w:rPr>
      </w:pPr>
      <w:r w:rsidRPr="00FB27C3">
        <w:rPr>
          <w:sz w:val="20"/>
          <w:szCs w:val="20"/>
        </w:rPr>
        <w:t>Municipio de Puerto Leguízamo – Putumayo</w:t>
      </w:r>
    </w:p>
    <w:p w14:paraId="35F02F6D" w14:textId="77777777" w:rsidR="002570E0" w:rsidRPr="008622E7" w:rsidRDefault="002570E0">
      <w:pPr>
        <w:spacing w:after="0" w:line="240" w:lineRule="auto"/>
        <w:contextualSpacing/>
        <w:jc w:val="center"/>
        <w:rPr>
          <w:rFonts w:eastAsia="Times New Roman" w:cs="Arial"/>
          <w:sz w:val="20"/>
          <w:szCs w:val="20"/>
          <w:lang w:val="es-CO" w:eastAsia="es-CO"/>
        </w:rPr>
      </w:pPr>
      <w:r w:rsidRPr="008622E7">
        <w:rPr>
          <w:rFonts w:eastAsia="Times New Roman" w:cs="Arial"/>
          <w:sz w:val="20"/>
          <w:szCs w:val="20"/>
          <w:lang w:val="es-CO" w:eastAsia="es-CO"/>
        </w:rPr>
        <w:t>-Cifras en pesos-</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292"/>
        <w:gridCol w:w="1292"/>
        <w:gridCol w:w="1250"/>
        <w:gridCol w:w="1292"/>
        <w:gridCol w:w="1292"/>
        <w:gridCol w:w="1211"/>
      </w:tblGrid>
      <w:tr w:rsidR="00085BDB" w:rsidRPr="00085BDB" w14:paraId="4BB41FE2" w14:textId="77777777" w:rsidTr="00AF05FF">
        <w:trPr>
          <w:trHeight w:val="235"/>
          <w:jc w:val="center"/>
        </w:trPr>
        <w:tc>
          <w:tcPr>
            <w:tcW w:w="1527" w:type="dxa"/>
            <w:shd w:val="clear" w:color="000000" w:fill="E5E5FF"/>
            <w:noWrap/>
            <w:vAlign w:val="bottom"/>
            <w:hideMark/>
          </w:tcPr>
          <w:p w14:paraId="5A5832A0" w14:textId="77777777" w:rsidR="00085BDB" w:rsidRPr="00085BDB" w:rsidRDefault="00085BDB">
            <w:pPr>
              <w:spacing w:after="0" w:line="240" w:lineRule="auto"/>
              <w:contextualSpacing/>
              <w:rPr>
                <w:rFonts w:ascii="Calibri" w:eastAsia="Times New Roman" w:hAnsi="Calibri" w:cs="Calibri"/>
                <w:color w:val="000000"/>
                <w:sz w:val="18"/>
                <w:szCs w:val="18"/>
                <w:lang w:val="es-CO" w:eastAsia="es-CO"/>
              </w:rPr>
            </w:pPr>
            <w:r w:rsidRPr="00085BDB">
              <w:rPr>
                <w:rFonts w:ascii="Calibri" w:eastAsia="Times New Roman" w:hAnsi="Calibri" w:cs="Calibri"/>
                <w:color w:val="000000"/>
                <w:sz w:val="18"/>
                <w:szCs w:val="18"/>
                <w:lang w:val="es-CO" w:eastAsia="es-CO"/>
              </w:rPr>
              <w:t> </w:t>
            </w:r>
          </w:p>
        </w:tc>
        <w:tc>
          <w:tcPr>
            <w:tcW w:w="7629" w:type="dxa"/>
            <w:gridSpan w:val="6"/>
            <w:shd w:val="clear" w:color="000000" w:fill="E5E5FF"/>
            <w:noWrap/>
            <w:vAlign w:val="bottom"/>
            <w:hideMark/>
          </w:tcPr>
          <w:p w14:paraId="049B0FA7" w14:textId="77777777" w:rsidR="00085BDB" w:rsidRPr="00085BDB" w:rsidRDefault="00085BDB">
            <w:pPr>
              <w:spacing w:after="0" w:line="240" w:lineRule="auto"/>
              <w:contextualSpacing/>
              <w:jc w:val="center"/>
              <w:rPr>
                <w:rFonts w:ascii="Calibri" w:eastAsia="Times New Roman" w:hAnsi="Calibri" w:cs="Calibri"/>
                <w:color w:val="000000"/>
                <w:sz w:val="18"/>
                <w:szCs w:val="18"/>
                <w:lang w:val="es-CO" w:eastAsia="es-CO"/>
              </w:rPr>
            </w:pPr>
            <w:r w:rsidRPr="00085BDB">
              <w:rPr>
                <w:rFonts w:ascii="Calibri" w:eastAsia="Times New Roman" w:hAnsi="Calibri" w:cs="Calibri"/>
                <w:color w:val="000000"/>
                <w:sz w:val="18"/>
                <w:szCs w:val="18"/>
                <w:lang w:val="es-CO" w:eastAsia="es-CO"/>
              </w:rPr>
              <w:t>2020</w:t>
            </w:r>
          </w:p>
        </w:tc>
      </w:tr>
      <w:tr w:rsidR="00085BDB" w:rsidRPr="00085BDB" w14:paraId="068224AC" w14:textId="77777777" w:rsidTr="00AF05FF">
        <w:trPr>
          <w:trHeight w:val="247"/>
          <w:jc w:val="center"/>
        </w:trPr>
        <w:tc>
          <w:tcPr>
            <w:tcW w:w="1527" w:type="dxa"/>
            <w:vMerge w:val="restart"/>
            <w:shd w:val="clear" w:color="000000" w:fill="666699"/>
            <w:vAlign w:val="center"/>
            <w:hideMark/>
          </w:tcPr>
          <w:p w14:paraId="5837ED01" w14:textId="77777777" w:rsidR="00085BDB" w:rsidRPr="00085BDB" w:rsidRDefault="00085BDB" w:rsidP="00286F4A">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 xml:space="preserve">Concepto </w:t>
            </w:r>
          </w:p>
        </w:tc>
        <w:tc>
          <w:tcPr>
            <w:tcW w:w="3834" w:type="dxa"/>
            <w:gridSpan w:val="3"/>
            <w:shd w:val="clear" w:color="000000" w:fill="CCCCFF"/>
            <w:vAlign w:val="center"/>
            <w:hideMark/>
          </w:tcPr>
          <w:p w14:paraId="748C1946"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 xml:space="preserve">Presupuesto Definitivo </w:t>
            </w:r>
          </w:p>
        </w:tc>
        <w:tc>
          <w:tcPr>
            <w:tcW w:w="3795" w:type="dxa"/>
            <w:gridSpan w:val="3"/>
            <w:shd w:val="clear" w:color="000000" w:fill="CCCCFF"/>
            <w:vAlign w:val="center"/>
            <w:hideMark/>
          </w:tcPr>
          <w:p w14:paraId="3DB2916F"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 xml:space="preserve">Recaudo </w:t>
            </w:r>
          </w:p>
        </w:tc>
      </w:tr>
      <w:tr w:rsidR="00085BDB" w:rsidRPr="006C532F" w14:paraId="65030FBF" w14:textId="77777777" w:rsidTr="00AF05FF">
        <w:trPr>
          <w:trHeight w:val="671"/>
          <w:jc w:val="center"/>
        </w:trPr>
        <w:tc>
          <w:tcPr>
            <w:tcW w:w="1527" w:type="dxa"/>
            <w:vMerge/>
            <w:vAlign w:val="center"/>
            <w:hideMark/>
          </w:tcPr>
          <w:p w14:paraId="49C589B0" w14:textId="77777777" w:rsidR="00085BDB" w:rsidRPr="00085BDB" w:rsidRDefault="00085BDB">
            <w:pPr>
              <w:spacing w:after="0" w:line="240" w:lineRule="auto"/>
              <w:contextualSpacing/>
              <w:rPr>
                <w:rFonts w:eastAsia="Times New Roman" w:cs="Arial"/>
                <w:b/>
                <w:bCs/>
                <w:color w:val="FFFFFF"/>
                <w:sz w:val="18"/>
                <w:szCs w:val="18"/>
                <w:lang w:val="es-CO" w:eastAsia="es-CO"/>
              </w:rPr>
            </w:pPr>
          </w:p>
        </w:tc>
        <w:tc>
          <w:tcPr>
            <w:tcW w:w="1292" w:type="dxa"/>
            <w:shd w:val="clear" w:color="000000" w:fill="666699"/>
            <w:vAlign w:val="center"/>
            <w:hideMark/>
          </w:tcPr>
          <w:p w14:paraId="3A400F69"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Ejecución presupuestal</w:t>
            </w:r>
          </w:p>
        </w:tc>
        <w:tc>
          <w:tcPr>
            <w:tcW w:w="1292" w:type="dxa"/>
            <w:shd w:val="clear" w:color="000000" w:fill="666699"/>
            <w:vAlign w:val="center"/>
            <w:hideMark/>
          </w:tcPr>
          <w:p w14:paraId="469C0D41"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Reporte FUT</w:t>
            </w:r>
          </w:p>
        </w:tc>
        <w:tc>
          <w:tcPr>
            <w:tcW w:w="1250" w:type="dxa"/>
            <w:shd w:val="clear" w:color="000000" w:fill="666699"/>
            <w:vAlign w:val="center"/>
            <w:hideMark/>
          </w:tcPr>
          <w:p w14:paraId="6BB555D8"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Diferencia</w:t>
            </w:r>
          </w:p>
        </w:tc>
        <w:tc>
          <w:tcPr>
            <w:tcW w:w="1292" w:type="dxa"/>
            <w:shd w:val="clear" w:color="000000" w:fill="666699"/>
            <w:vAlign w:val="center"/>
            <w:hideMark/>
          </w:tcPr>
          <w:p w14:paraId="26AB3A81"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Ejecución presupuestal</w:t>
            </w:r>
          </w:p>
        </w:tc>
        <w:tc>
          <w:tcPr>
            <w:tcW w:w="1292" w:type="dxa"/>
            <w:shd w:val="clear" w:color="000000" w:fill="666699"/>
            <w:vAlign w:val="center"/>
            <w:hideMark/>
          </w:tcPr>
          <w:p w14:paraId="11F0243C"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Reporte FUT</w:t>
            </w:r>
          </w:p>
        </w:tc>
        <w:tc>
          <w:tcPr>
            <w:tcW w:w="1211" w:type="dxa"/>
            <w:shd w:val="clear" w:color="000000" w:fill="666699"/>
            <w:vAlign w:val="center"/>
            <w:hideMark/>
          </w:tcPr>
          <w:p w14:paraId="44AABC35"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Diferencia</w:t>
            </w:r>
          </w:p>
        </w:tc>
      </w:tr>
      <w:tr w:rsidR="00085BDB" w:rsidRPr="006C532F" w14:paraId="2C409255" w14:textId="77777777" w:rsidTr="00AF05FF">
        <w:trPr>
          <w:trHeight w:val="226"/>
          <w:jc w:val="center"/>
        </w:trPr>
        <w:tc>
          <w:tcPr>
            <w:tcW w:w="1527" w:type="dxa"/>
            <w:shd w:val="clear" w:color="000000" w:fill="666699"/>
            <w:vAlign w:val="center"/>
            <w:hideMark/>
          </w:tcPr>
          <w:p w14:paraId="41801211" w14:textId="77777777" w:rsidR="00085BDB" w:rsidRPr="00085BDB" w:rsidRDefault="00085BDB" w:rsidP="00286F4A">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 xml:space="preserve">Total </w:t>
            </w:r>
          </w:p>
        </w:tc>
        <w:tc>
          <w:tcPr>
            <w:tcW w:w="1292" w:type="dxa"/>
            <w:shd w:val="clear" w:color="000000" w:fill="666699"/>
            <w:vAlign w:val="center"/>
            <w:hideMark/>
          </w:tcPr>
          <w:p w14:paraId="6941DD6E"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2.746.706.138</w:t>
            </w:r>
          </w:p>
        </w:tc>
        <w:tc>
          <w:tcPr>
            <w:tcW w:w="1292" w:type="dxa"/>
            <w:shd w:val="clear" w:color="000000" w:fill="666699"/>
            <w:vAlign w:val="center"/>
            <w:hideMark/>
          </w:tcPr>
          <w:p w14:paraId="1ED8BB33"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2.548.573.225</w:t>
            </w:r>
          </w:p>
        </w:tc>
        <w:tc>
          <w:tcPr>
            <w:tcW w:w="1250" w:type="dxa"/>
            <w:shd w:val="clear" w:color="000000" w:fill="666699"/>
            <w:vAlign w:val="center"/>
            <w:hideMark/>
          </w:tcPr>
          <w:p w14:paraId="7B925F20"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198.132.913</w:t>
            </w:r>
          </w:p>
        </w:tc>
        <w:tc>
          <w:tcPr>
            <w:tcW w:w="1292" w:type="dxa"/>
            <w:shd w:val="clear" w:color="000000" w:fill="666699"/>
            <w:vAlign w:val="center"/>
            <w:hideMark/>
          </w:tcPr>
          <w:p w14:paraId="39585965"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2.592.212.781</w:t>
            </w:r>
          </w:p>
        </w:tc>
        <w:tc>
          <w:tcPr>
            <w:tcW w:w="1292" w:type="dxa"/>
            <w:shd w:val="clear" w:color="000000" w:fill="666699"/>
            <w:vAlign w:val="center"/>
            <w:hideMark/>
          </w:tcPr>
          <w:p w14:paraId="0D6A3A75"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2.548.573.225</w:t>
            </w:r>
          </w:p>
        </w:tc>
        <w:tc>
          <w:tcPr>
            <w:tcW w:w="1211" w:type="dxa"/>
            <w:shd w:val="clear" w:color="000000" w:fill="666699"/>
            <w:vAlign w:val="center"/>
            <w:hideMark/>
          </w:tcPr>
          <w:p w14:paraId="3F5147E9" w14:textId="77777777" w:rsidR="00085BDB" w:rsidRPr="00085BDB" w:rsidRDefault="00085BDB">
            <w:pPr>
              <w:spacing w:after="0" w:line="240" w:lineRule="auto"/>
              <w:contextualSpacing/>
              <w:jc w:val="center"/>
              <w:rPr>
                <w:rFonts w:eastAsia="Times New Roman" w:cs="Arial"/>
                <w:b/>
                <w:bCs/>
                <w:color w:val="FFFFFF"/>
                <w:sz w:val="18"/>
                <w:szCs w:val="18"/>
                <w:lang w:val="es-CO" w:eastAsia="es-CO"/>
              </w:rPr>
            </w:pPr>
            <w:r w:rsidRPr="00085BDB">
              <w:rPr>
                <w:rFonts w:eastAsia="Times New Roman" w:cs="Arial"/>
                <w:b/>
                <w:bCs/>
                <w:color w:val="FFFFFF"/>
                <w:sz w:val="18"/>
                <w:szCs w:val="18"/>
                <w:lang w:val="es-CO" w:eastAsia="es-CO"/>
              </w:rPr>
              <w:t>43.639.556</w:t>
            </w:r>
          </w:p>
        </w:tc>
      </w:tr>
      <w:tr w:rsidR="00085BDB" w:rsidRPr="006C532F" w14:paraId="3F9E9D99" w14:textId="77777777" w:rsidTr="00AF05FF">
        <w:trPr>
          <w:trHeight w:val="414"/>
          <w:jc w:val="center"/>
        </w:trPr>
        <w:tc>
          <w:tcPr>
            <w:tcW w:w="1527" w:type="dxa"/>
            <w:shd w:val="clear" w:color="000000" w:fill="CCCCFF"/>
            <w:vAlign w:val="center"/>
            <w:hideMark/>
          </w:tcPr>
          <w:p w14:paraId="443A94CE" w14:textId="77777777" w:rsidR="00085BDB" w:rsidRPr="00085BDB" w:rsidRDefault="00085BDB" w:rsidP="00286F4A">
            <w:pPr>
              <w:spacing w:after="0" w:line="240" w:lineRule="auto"/>
              <w:contextualSpacing/>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 xml:space="preserve">1. Ingresos Corrientes </w:t>
            </w:r>
          </w:p>
        </w:tc>
        <w:tc>
          <w:tcPr>
            <w:tcW w:w="1292" w:type="dxa"/>
            <w:shd w:val="clear" w:color="000000" w:fill="CCCCFF"/>
            <w:vAlign w:val="center"/>
            <w:hideMark/>
          </w:tcPr>
          <w:p w14:paraId="166B7915"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2.592.212.781</w:t>
            </w:r>
          </w:p>
        </w:tc>
        <w:tc>
          <w:tcPr>
            <w:tcW w:w="1292" w:type="dxa"/>
            <w:shd w:val="clear" w:color="000000" w:fill="CCCCFF"/>
            <w:vAlign w:val="center"/>
            <w:hideMark/>
          </w:tcPr>
          <w:p w14:paraId="3410D0BA"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2.394.079.870</w:t>
            </w:r>
          </w:p>
        </w:tc>
        <w:tc>
          <w:tcPr>
            <w:tcW w:w="1250" w:type="dxa"/>
            <w:shd w:val="clear" w:color="000000" w:fill="CCCCFF"/>
            <w:vAlign w:val="center"/>
            <w:hideMark/>
          </w:tcPr>
          <w:p w14:paraId="04244EF5"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198.132.911</w:t>
            </w:r>
          </w:p>
        </w:tc>
        <w:tc>
          <w:tcPr>
            <w:tcW w:w="1292" w:type="dxa"/>
            <w:shd w:val="clear" w:color="000000" w:fill="CCCCFF"/>
            <w:vAlign w:val="center"/>
            <w:hideMark/>
          </w:tcPr>
          <w:p w14:paraId="7FF5C93E"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2.592.212.781</w:t>
            </w:r>
          </w:p>
        </w:tc>
        <w:tc>
          <w:tcPr>
            <w:tcW w:w="1292" w:type="dxa"/>
            <w:shd w:val="clear" w:color="000000" w:fill="CCCCFF"/>
            <w:vAlign w:val="center"/>
            <w:hideMark/>
          </w:tcPr>
          <w:p w14:paraId="1336513A"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2.394.079.870</w:t>
            </w:r>
          </w:p>
        </w:tc>
        <w:tc>
          <w:tcPr>
            <w:tcW w:w="1211" w:type="dxa"/>
            <w:shd w:val="clear" w:color="000000" w:fill="CCCCFF"/>
            <w:vAlign w:val="center"/>
            <w:hideMark/>
          </w:tcPr>
          <w:p w14:paraId="25D6E1BC"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198.132.911</w:t>
            </w:r>
          </w:p>
        </w:tc>
      </w:tr>
      <w:tr w:rsidR="00AB5242" w:rsidRPr="006C532F" w14:paraId="52872418" w14:textId="77777777" w:rsidTr="00AF05FF">
        <w:trPr>
          <w:trHeight w:val="414"/>
          <w:jc w:val="center"/>
        </w:trPr>
        <w:tc>
          <w:tcPr>
            <w:tcW w:w="1527" w:type="dxa"/>
            <w:shd w:val="clear" w:color="auto" w:fill="auto"/>
            <w:noWrap/>
            <w:vAlign w:val="center"/>
            <w:hideMark/>
          </w:tcPr>
          <w:p w14:paraId="4310C82E" w14:textId="77777777" w:rsidR="00085BDB" w:rsidRPr="00085BDB" w:rsidRDefault="00085BDB">
            <w:pPr>
              <w:spacing w:after="0" w:line="240" w:lineRule="auto"/>
              <w:contextualSpacing/>
              <w:rPr>
                <w:rFonts w:eastAsia="Times New Roman" w:cs="Arial"/>
                <w:sz w:val="18"/>
                <w:szCs w:val="18"/>
                <w:lang w:val="es-CO" w:eastAsia="es-CO"/>
              </w:rPr>
            </w:pPr>
            <w:r w:rsidRPr="00085BDB">
              <w:rPr>
                <w:rFonts w:eastAsia="Times New Roman" w:cs="Arial"/>
                <w:sz w:val="18"/>
                <w:szCs w:val="18"/>
                <w:lang w:val="es-CO" w:eastAsia="es-CO"/>
              </w:rPr>
              <w:t>1.1. Libre Destinación</w:t>
            </w:r>
            <w:r w:rsidR="008A78FB">
              <w:rPr>
                <w:rFonts w:eastAsia="Times New Roman" w:cs="Arial"/>
                <w:sz w:val="18"/>
                <w:szCs w:val="18"/>
                <w:lang w:val="es-CO" w:eastAsia="es-CO"/>
              </w:rPr>
              <w:t>.</w:t>
            </w:r>
          </w:p>
        </w:tc>
        <w:tc>
          <w:tcPr>
            <w:tcW w:w="1292" w:type="dxa"/>
            <w:shd w:val="clear" w:color="auto" w:fill="auto"/>
            <w:noWrap/>
            <w:vAlign w:val="center"/>
            <w:hideMark/>
          </w:tcPr>
          <w:p w14:paraId="75DC5F21"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1.088.729.369</w:t>
            </w:r>
          </w:p>
        </w:tc>
        <w:tc>
          <w:tcPr>
            <w:tcW w:w="1292" w:type="dxa"/>
            <w:shd w:val="clear" w:color="auto" w:fill="auto"/>
            <w:noWrap/>
            <w:vAlign w:val="center"/>
            <w:hideMark/>
          </w:tcPr>
          <w:p w14:paraId="223A6DB3"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1.005.513.546</w:t>
            </w:r>
          </w:p>
        </w:tc>
        <w:tc>
          <w:tcPr>
            <w:tcW w:w="1250" w:type="dxa"/>
            <w:shd w:val="clear" w:color="auto" w:fill="auto"/>
            <w:noWrap/>
            <w:vAlign w:val="center"/>
            <w:hideMark/>
          </w:tcPr>
          <w:p w14:paraId="368F377B"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83.215.823</w:t>
            </w:r>
          </w:p>
        </w:tc>
        <w:tc>
          <w:tcPr>
            <w:tcW w:w="1292" w:type="dxa"/>
            <w:shd w:val="clear" w:color="auto" w:fill="auto"/>
            <w:noWrap/>
            <w:vAlign w:val="center"/>
            <w:hideMark/>
          </w:tcPr>
          <w:p w14:paraId="2F504027"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1.088.729.369</w:t>
            </w:r>
          </w:p>
        </w:tc>
        <w:tc>
          <w:tcPr>
            <w:tcW w:w="1292" w:type="dxa"/>
            <w:shd w:val="clear" w:color="auto" w:fill="auto"/>
            <w:noWrap/>
            <w:vAlign w:val="center"/>
            <w:hideMark/>
          </w:tcPr>
          <w:p w14:paraId="34B9E32C"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1.005.513.546</w:t>
            </w:r>
          </w:p>
        </w:tc>
        <w:tc>
          <w:tcPr>
            <w:tcW w:w="1211" w:type="dxa"/>
            <w:shd w:val="clear" w:color="auto" w:fill="auto"/>
            <w:noWrap/>
            <w:vAlign w:val="center"/>
            <w:hideMark/>
          </w:tcPr>
          <w:p w14:paraId="5A4CE201"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83.215.823</w:t>
            </w:r>
          </w:p>
        </w:tc>
      </w:tr>
      <w:tr w:rsidR="00AB5242" w:rsidRPr="006C532F" w14:paraId="4B189C71" w14:textId="77777777" w:rsidTr="00AF05FF">
        <w:trPr>
          <w:trHeight w:val="226"/>
          <w:jc w:val="center"/>
        </w:trPr>
        <w:tc>
          <w:tcPr>
            <w:tcW w:w="1527" w:type="dxa"/>
            <w:shd w:val="clear" w:color="auto" w:fill="auto"/>
            <w:noWrap/>
            <w:vAlign w:val="center"/>
            <w:hideMark/>
          </w:tcPr>
          <w:p w14:paraId="25807D7E" w14:textId="77777777" w:rsidR="00085BDB" w:rsidRPr="00085BDB" w:rsidRDefault="00085BDB" w:rsidP="00286F4A">
            <w:pPr>
              <w:spacing w:after="0" w:line="240" w:lineRule="auto"/>
              <w:contextualSpacing/>
              <w:rPr>
                <w:rFonts w:eastAsia="Times New Roman" w:cs="Arial"/>
                <w:sz w:val="18"/>
                <w:szCs w:val="18"/>
                <w:lang w:val="es-CO" w:eastAsia="es-CO"/>
              </w:rPr>
            </w:pPr>
            <w:r w:rsidRPr="00085BDB">
              <w:rPr>
                <w:rFonts w:eastAsia="Times New Roman" w:cs="Arial"/>
                <w:sz w:val="18"/>
                <w:szCs w:val="18"/>
                <w:lang w:val="es-CO" w:eastAsia="es-CO"/>
              </w:rPr>
              <w:t xml:space="preserve">1.2. Libre Inversión </w:t>
            </w:r>
          </w:p>
        </w:tc>
        <w:tc>
          <w:tcPr>
            <w:tcW w:w="1292" w:type="dxa"/>
            <w:shd w:val="clear" w:color="auto" w:fill="auto"/>
            <w:noWrap/>
            <w:vAlign w:val="center"/>
            <w:hideMark/>
          </w:tcPr>
          <w:p w14:paraId="4D5B1D45"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1.303.490.150</w:t>
            </w:r>
          </w:p>
        </w:tc>
        <w:tc>
          <w:tcPr>
            <w:tcW w:w="1292" w:type="dxa"/>
            <w:shd w:val="clear" w:color="auto" w:fill="auto"/>
            <w:noWrap/>
            <w:vAlign w:val="center"/>
            <w:hideMark/>
          </w:tcPr>
          <w:p w14:paraId="3B7EB962"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1.194.167.039</w:t>
            </w:r>
          </w:p>
        </w:tc>
        <w:tc>
          <w:tcPr>
            <w:tcW w:w="1250" w:type="dxa"/>
            <w:shd w:val="clear" w:color="auto" w:fill="auto"/>
            <w:noWrap/>
            <w:vAlign w:val="center"/>
            <w:hideMark/>
          </w:tcPr>
          <w:p w14:paraId="079AABDD"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109.323.111</w:t>
            </w:r>
          </w:p>
        </w:tc>
        <w:tc>
          <w:tcPr>
            <w:tcW w:w="1292" w:type="dxa"/>
            <w:shd w:val="clear" w:color="auto" w:fill="auto"/>
            <w:noWrap/>
            <w:vAlign w:val="center"/>
            <w:hideMark/>
          </w:tcPr>
          <w:p w14:paraId="53BFE6CB"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1.303.490.150</w:t>
            </w:r>
          </w:p>
        </w:tc>
        <w:tc>
          <w:tcPr>
            <w:tcW w:w="1292" w:type="dxa"/>
            <w:shd w:val="clear" w:color="auto" w:fill="auto"/>
            <w:noWrap/>
            <w:vAlign w:val="center"/>
            <w:hideMark/>
          </w:tcPr>
          <w:p w14:paraId="0405EBB7"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1.194.167.039</w:t>
            </w:r>
          </w:p>
        </w:tc>
        <w:tc>
          <w:tcPr>
            <w:tcW w:w="1211" w:type="dxa"/>
            <w:shd w:val="clear" w:color="auto" w:fill="auto"/>
            <w:noWrap/>
            <w:vAlign w:val="center"/>
            <w:hideMark/>
          </w:tcPr>
          <w:p w14:paraId="72308985"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109.323.111</w:t>
            </w:r>
          </w:p>
        </w:tc>
      </w:tr>
      <w:tr w:rsidR="00AB5242" w:rsidRPr="006C532F" w14:paraId="7F941642" w14:textId="77777777" w:rsidTr="00AF05FF">
        <w:trPr>
          <w:trHeight w:val="414"/>
          <w:jc w:val="center"/>
        </w:trPr>
        <w:tc>
          <w:tcPr>
            <w:tcW w:w="1527" w:type="dxa"/>
            <w:shd w:val="clear" w:color="auto" w:fill="auto"/>
            <w:noWrap/>
            <w:vAlign w:val="center"/>
            <w:hideMark/>
          </w:tcPr>
          <w:p w14:paraId="0A366EE6" w14:textId="77777777" w:rsidR="00085BDB" w:rsidRPr="00085BDB" w:rsidRDefault="00085BDB" w:rsidP="00286F4A">
            <w:pPr>
              <w:spacing w:after="0" w:line="240" w:lineRule="auto"/>
              <w:contextualSpacing/>
              <w:rPr>
                <w:rFonts w:eastAsia="Times New Roman" w:cs="Arial"/>
                <w:sz w:val="18"/>
                <w:szCs w:val="18"/>
                <w:lang w:val="es-CO" w:eastAsia="es-CO"/>
              </w:rPr>
            </w:pPr>
            <w:r w:rsidRPr="00085BDB">
              <w:rPr>
                <w:rFonts w:eastAsia="Times New Roman" w:cs="Arial"/>
                <w:sz w:val="18"/>
                <w:szCs w:val="18"/>
                <w:lang w:val="es-CO" w:eastAsia="es-CO"/>
              </w:rPr>
              <w:t xml:space="preserve">1.3. Deporte y Recreación </w:t>
            </w:r>
          </w:p>
        </w:tc>
        <w:tc>
          <w:tcPr>
            <w:tcW w:w="1292" w:type="dxa"/>
            <w:shd w:val="clear" w:color="auto" w:fill="auto"/>
            <w:noWrap/>
            <w:vAlign w:val="center"/>
            <w:hideMark/>
          </w:tcPr>
          <w:p w14:paraId="65492AD8"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114.281.864</w:t>
            </w:r>
          </w:p>
        </w:tc>
        <w:tc>
          <w:tcPr>
            <w:tcW w:w="1292" w:type="dxa"/>
            <w:shd w:val="clear" w:color="auto" w:fill="auto"/>
            <w:noWrap/>
            <w:vAlign w:val="center"/>
            <w:hideMark/>
          </w:tcPr>
          <w:p w14:paraId="42FD90A3"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111.085.306</w:t>
            </w:r>
          </w:p>
        </w:tc>
        <w:tc>
          <w:tcPr>
            <w:tcW w:w="1250" w:type="dxa"/>
            <w:shd w:val="clear" w:color="auto" w:fill="auto"/>
            <w:noWrap/>
            <w:vAlign w:val="center"/>
            <w:hideMark/>
          </w:tcPr>
          <w:p w14:paraId="14A293D6"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3.196.558</w:t>
            </w:r>
          </w:p>
        </w:tc>
        <w:tc>
          <w:tcPr>
            <w:tcW w:w="1292" w:type="dxa"/>
            <w:shd w:val="clear" w:color="auto" w:fill="auto"/>
            <w:noWrap/>
            <w:vAlign w:val="center"/>
            <w:hideMark/>
          </w:tcPr>
          <w:p w14:paraId="3C0E2B52"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114.281.864</w:t>
            </w:r>
          </w:p>
        </w:tc>
        <w:tc>
          <w:tcPr>
            <w:tcW w:w="1292" w:type="dxa"/>
            <w:shd w:val="clear" w:color="auto" w:fill="auto"/>
            <w:noWrap/>
            <w:vAlign w:val="center"/>
            <w:hideMark/>
          </w:tcPr>
          <w:p w14:paraId="06A0B392"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111.085.306</w:t>
            </w:r>
          </w:p>
        </w:tc>
        <w:tc>
          <w:tcPr>
            <w:tcW w:w="1211" w:type="dxa"/>
            <w:shd w:val="clear" w:color="auto" w:fill="auto"/>
            <w:noWrap/>
            <w:vAlign w:val="center"/>
            <w:hideMark/>
          </w:tcPr>
          <w:p w14:paraId="5E15A627"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3.196.558</w:t>
            </w:r>
          </w:p>
        </w:tc>
      </w:tr>
      <w:tr w:rsidR="00AB5242" w:rsidRPr="006C532F" w14:paraId="501412B3" w14:textId="77777777" w:rsidTr="00AF05FF">
        <w:trPr>
          <w:trHeight w:val="414"/>
          <w:jc w:val="center"/>
        </w:trPr>
        <w:tc>
          <w:tcPr>
            <w:tcW w:w="1527" w:type="dxa"/>
            <w:shd w:val="clear" w:color="auto" w:fill="auto"/>
            <w:noWrap/>
            <w:vAlign w:val="center"/>
            <w:hideMark/>
          </w:tcPr>
          <w:p w14:paraId="6F26D7FC" w14:textId="77777777" w:rsidR="00085BDB" w:rsidRPr="00085BDB" w:rsidRDefault="00085BDB" w:rsidP="00286F4A">
            <w:pPr>
              <w:spacing w:after="0" w:line="240" w:lineRule="auto"/>
              <w:contextualSpacing/>
              <w:rPr>
                <w:rFonts w:eastAsia="Times New Roman" w:cs="Arial"/>
                <w:sz w:val="18"/>
                <w:szCs w:val="18"/>
                <w:lang w:val="es-CO" w:eastAsia="es-CO"/>
              </w:rPr>
            </w:pPr>
            <w:r w:rsidRPr="00085BDB">
              <w:rPr>
                <w:rFonts w:eastAsia="Times New Roman" w:cs="Arial"/>
                <w:sz w:val="18"/>
                <w:szCs w:val="18"/>
                <w:lang w:val="es-CO" w:eastAsia="es-CO"/>
              </w:rPr>
              <w:t xml:space="preserve">1.4. Cultura </w:t>
            </w:r>
          </w:p>
        </w:tc>
        <w:tc>
          <w:tcPr>
            <w:tcW w:w="1292" w:type="dxa"/>
            <w:shd w:val="clear" w:color="auto" w:fill="auto"/>
            <w:noWrap/>
            <w:vAlign w:val="center"/>
            <w:hideMark/>
          </w:tcPr>
          <w:p w14:paraId="4038E20C"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85.711.398</w:t>
            </w:r>
          </w:p>
        </w:tc>
        <w:tc>
          <w:tcPr>
            <w:tcW w:w="1292" w:type="dxa"/>
            <w:shd w:val="clear" w:color="auto" w:fill="auto"/>
            <w:noWrap/>
            <w:vAlign w:val="center"/>
            <w:hideMark/>
          </w:tcPr>
          <w:p w14:paraId="6144B7CE"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83.313.979</w:t>
            </w:r>
          </w:p>
        </w:tc>
        <w:tc>
          <w:tcPr>
            <w:tcW w:w="1250" w:type="dxa"/>
            <w:shd w:val="clear" w:color="auto" w:fill="auto"/>
            <w:noWrap/>
            <w:vAlign w:val="center"/>
            <w:hideMark/>
          </w:tcPr>
          <w:p w14:paraId="244C44B0"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2.397.419</w:t>
            </w:r>
          </w:p>
        </w:tc>
        <w:tc>
          <w:tcPr>
            <w:tcW w:w="1292" w:type="dxa"/>
            <w:shd w:val="clear" w:color="auto" w:fill="auto"/>
            <w:noWrap/>
            <w:vAlign w:val="center"/>
            <w:hideMark/>
          </w:tcPr>
          <w:p w14:paraId="1CF3C82A"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85.711.398</w:t>
            </w:r>
          </w:p>
        </w:tc>
        <w:tc>
          <w:tcPr>
            <w:tcW w:w="1292" w:type="dxa"/>
            <w:shd w:val="clear" w:color="auto" w:fill="auto"/>
            <w:noWrap/>
            <w:vAlign w:val="center"/>
            <w:hideMark/>
          </w:tcPr>
          <w:p w14:paraId="4F52BDE3"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83.313.979</w:t>
            </w:r>
          </w:p>
        </w:tc>
        <w:tc>
          <w:tcPr>
            <w:tcW w:w="1211" w:type="dxa"/>
            <w:shd w:val="clear" w:color="auto" w:fill="auto"/>
            <w:noWrap/>
            <w:vAlign w:val="center"/>
            <w:hideMark/>
          </w:tcPr>
          <w:p w14:paraId="344B8402"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2.397.419</w:t>
            </w:r>
          </w:p>
        </w:tc>
      </w:tr>
      <w:tr w:rsidR="00085BDB" w:rsidRPr="006C532F" w14:paraId="185B7829" w14:textId="77777777" w:rsidTr="00AF05FF">
        <w:trPr>
          <w:trHeight w:val="226"/>
          <w:jc w:val="center"/>
        </w:trPr>
        <w:tc>
          <w:tcPr>
            <w:tcW w:w="1527" w:type="dxa"/>
            <w:shd w:val="clear" w:color="000000" w:fill="CCCCFF"/>
            <w:vAlign w:val="center"/>
            <w:hideMark/>
          </w:tcPr>
          <w:p w14:paraId="2D1E2BEE" w14:textId="77777777" w:rsidR="00085BDB" w:rsidRPr="00085BDB" w:rsidRDefault="00085BDB" w:rsidP="00286F4A">
            <w:pPr>
              <w:spacing w:after="0" w:line="240" w:lineRule="auto"/>
              <w:contextualSpacing/>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2. Recursos de Capital</w:t>
            </w:r>
          </w:p>
        </w:tc>
        <w:tc>
          <w:tcPr>
            <w:tcW w:w="1292" w:type="dxa"/>
            <w:shd w:val="clear" w:color="000000" w:fill="CCCCFF"/>
            <w:vAlign w:val="center"/>
            <w:hideMark/>
          </w:tcPr>
          <w:p w14:paraId="79880733"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154.493.357</w:t>
            </w:r>
          </w:p>
        </w:tc>
        <w:tc>
          <w:tcPr>
            <w:tcW w:w="1292" w:type="dxa"/>
            <w:shd w:val="clear" w:color="000000" w:fill="CCCCFF"/>
            <w:vAlign w:val="center"/>
            <w:hideMark/>
          </w:tcPr>
          <w:p w14:paraId="72892324"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154.493.355</w:t>
            </w:r>
          </w:p>
        </w:tc>
        <w:tc>
          <w:tcPr>
            <w:tcW w:w="1250" w:type="dxa"/>
            <w:shd w:val="clear" w:color="000000" w:fill="CCCCFF"/>
            <w:vAlign w:val="center"/>
            <w:hideMark/>
          </w:tcPr>
          <w:p w14:paraId="12160069"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2</w:t>
            </w:r>
          </w:p>
        </w:tc>
        <w:tc>
          <w:tcPr>
            <w:tcW w:w="1292" w:type="dxa"/>
            <w:shd w:val="clear" w:color="000000" w:fill="CCCCFF"/>
            <w:vAlign w:val="center"/>
            <w:hideMark/>
          </w:tcPr>
          <w:p w14:paraId="711A7802"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w:t>
            </w:r>
          </w:p>
        </w:tc>
        <w:tc>
          <w:tcPr>
            <w:tcW w:w="1292" w:type="dxa"/>
            <w:shd w:val="clear" w:color="000000" w:fill="CCCCFF"/>
            <w:vAlign w:val="center"/>
            <w:hideMark/>
          </w:tcPr>
          <w:p w14:paraId="1F7AE9F4"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154.493.355</w:t>
            </w:r>
          </w:p>
        </w:tc>
        <w:tc>
          <w:tcPr>
            <w:tcW w:w="1211" w:type="dxa"/>
            <w:shd w:val="clear" w:color="000000" w:fill="CCCCFF"/>
            <w:vAlign w:val="center"/>
            <w:hideMark/>
          </w:tcPr>
          <w:p w14:paraId="496DE79E"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-154.493.355</w:t>
            </w:r>
          </w:p>
        </w:tc>
      </w:tr>
      <w:tr w:rsidR="00085BDB" w:rsidRPr="006C532F" w14:paraId="69FEA9F7" w14:textId="77777777" w:rsidTr="00AF05FF">
        <w:trPr>
          <w:trHeight w:val="414"/>
          <w:jc w:val="center"/>
        </w:trPr>
        <w:tc>
          <w:tcPr>
            <w:tcW w:w="1527" w:type="dxa"/>
            <w:shd w:val="clear" w:color="000000" w:fill="E5E5FF"/>
            <w:vAlign w:val="center"/>
            <w:hideMark/>
          </w:tcPr>
          <w:p w14:paraId="081D759E" w14:textId="77777777" w:rsidR="00085BDB" w:rsidRPr="00085BDB" w:rsidRDefault="00085BDB" w:rsidP="00286F4A">
            <w:pPr>
              <w:spacing w:after="0" w:line="240" w:lineRule="auto"/>
              <w:contextualSpacing/>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 xml:space="preserve">2.1 Superávit fiscal </w:t>
            </w:r>
          </w:p>
        </w:tc>
        <w:tc>
          <w:tcPr>
            <w:tcW w:w="1292" w:type="dxa"/>
            <w:shd w:val="clear" w:color="000000" w:fill="E5E5FF"/>
            <w:vAlign w:val="center"/>
            <w:hideMark/>
          </w:tcPr>
          <w:p w14:paraId="6D35F521"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154.493.357</w:t>
            </w:r>
          </w:p>
        </w:tc>
        <w:tc>
          <w:tcPr>
            <w:tcW w:w="1292" w:type="dxa"/>
            <w:shd w:val="clear" w:color="000000" w:fill="E5E5FF"/>
            <w:vAlign w:val="center"/>
            <w:hideMark/>
          </w:tcPr>
          <w:p w14:paraId="4A09DECF"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154.493.355</w:t>
            </w:r>
          </w:p>
        </w:tc>
        <w:tc>
          <w:tcPr>
            <w:tcW w:w="1250" w:type="dxa"/>
            <w:shd w:val="clear" w:color="000000" w:fill="E5E5FF"/>
            <w:vAlign w:val="center"/>
            <w:hideMark/>
          </w:tcPr>
          <w:p w14:paraId="77B593B9"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2</w:t>
            </w:r>
          </w:p>
        </w:tc>
        <w:tc>
          <w:tcPr>
            <w:tcW w:w="1292" w:type="dxa"/>
            <w:shd w:val="clear" w:color="000000" w:fill="E5E5FF"/>
            <w:vAlign w:val="center"/>
            <w:hideMark/>
          </w:tcPr>
          <w:p w14:paraId="0BF108F6"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w:t>
            </w:r>
          </w:p>
        </w:tc>
        <w:tc>
          <w:tcPr>
            <w:tcW w:w="1292" w:type="dxa"/>
            <w:shd w:val="clear" w:color="000000" w:fill="E5E5FF"/>
            <w:vAlign w:val="center"/>
            <w:hideMark/>
          </w:tcPr>
          <w:p w14:paraId="38F17672"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154.493.355</w:t>
            </w:r>
          </w:p>
        </w:tc>
        <w:tc>
          <w:tcPr>
            <w:tcW w:w="1211" w:type="dxa"/>
            <w:shd w:val="clear" w:color="000000" w:fill="E5E5FF"/>
            <w:vAlign w:val="center"/>
            <w:hideMark/>
          </w:tcPr>
          <w:p w14:paraId="2259CC48" w14:textId="77777777" w:rsidR="00085BDB" w:rsidRPr="00085BDB" w:rsidRDefault="00085BDB">
            <w:pPr>
              <w:spacing w:after="0" w:line="240" w:lineRule="auto"/>
              <w:contextualSpacing/>
              <w:jc w:val="center"/>
              <w:rPr>
                <w:rFonts w:eastAsia="Times New Roman" w:cs="Arial"/>
                <w:b/>
                <w:bCs/>
                <w:color w:val="000000"/>
                <w:sz w:val="18"/>
                <w:szCs w:val="18"/>
                <w:lang w:val="es-CO" w:eastAsia="es-CO"/>
              </w:rPr>
            </w:pPr>
            <w:r w:rsidRPr="00085BDB">
              <w:rPr>
                <w:rFonts w:eastAsia="Times New Roman" w:cs="Arial"/>
                <w:b/>
                <w:bCs/>
                <w:color w:val="000000"/>
                <w:sz w:val="18"/>
                <w:szCs w:val="18"/>
                <w:lang w:val="es-CO" w:eastAsia="es-CO"/>
              </w:rPr>
              <w:t>-154.493.355</w:t>
            </w:r>
          </w:p>
        </w:tc>
      </w:tr>
      <w:tr w:rsidR="00085BDB" w:rsidRPr="006C532F" w14:paraId="2F37C33C" w14:textId="77777777" w:rsidTr="00AF05FF">
        <w:trPr>
          <w:trHeight w:val="414"/>
          <w:jc w:val="center"/>
        </w:trPr>
        <w:tc>
          <w:tcPr>
            <w:tcW w:w="1527" w:type="dxa"/>
            <w:shd w:val="clear" w:color="auto" w:fill="auto"/>
            <w:vAlign w:val="center"/>
            <w:hideMark/>
          </w:tcPr>
          <w:p w14:paraId="69CB5154" w14:textId="77777777" w:rsidR="00085BDB" w:rsidRPr="00085BDB" w:rsidRDefault="00085BDB">
            <w:pPr>
              <w:spacing w:after="0" w:line="240" w:lineRule="auto"/>
              <w:contextualSpacing/>
              <w:rPr>
                <w:rFonts w:eastAsia="Times New Roman" w:cs="Arial"/>
                <w:sz w:val="18"/>
                <w:szCs w:val="18"/>
                <w:lang w:val="es-CO" w:eastAsia="es-CO"/>
              </w:rPr>
            </w:pPr>
            <w:r w:rsidRPr="00085BDB">
              <w:rPr>
                <w:rFonts w:eastAsia="Times New Roman" w:cs="Arial"/>
                <w:sz w:val="18"/>
                <w:szCs w:val="18"/>
                <w:lang w:val="es-CO" w:eastAsia="es-CO"/>
              </w:rPr>
              <w:t>2.1.1. Libre Destinación</w:t>
            </w:r>
            <w:r w:rsidR="008A78FB">
              <w:rPr>
                <w:rFonts w:eastAsia="Times New Roman" w:cs="Arial"/>
                <w:sz w:val="18"/>
                <w:szCs w:val="18"/>
                <w:lang w:val="es-CO" w:eastAsia="es-CO"/>
              </w:rPr>
              <w:t>.</w:t>
            </w:r>
          </w:p>
        </w:tc>
        <w:tc>
          <w:tcPr>
            <w:tcW w:w="1292" w:type="dxa"/>
            <w:shd w:val="clear" w:color="auto" w:fill="auto"/>
            <w:vAlign w:val="center"/>
            <w:hideMark/>
          </w:tcPr>
          <w:p w14:paraId="37FBF33C"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c>
          <w:tcPr>
            <w:tcW w:w="1292" w:type="dxa"/>
            <w:shd w:val="clear" w:color="auto" w:fill="auto"/>
            <w:vAlign w:val="center"/>
            <w:hideMark/>
          </w:tcPr>
          <w:p w14:paraId="57AF17F7"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c>
          <w:tcPr>
            <w:tcW w:w="1250" w:type="dxa"/>
            <w:shd w:val="clear" w:color="auto" w:fill="auto"/>
            <w:vAlign w:val="center"/>
            <w:hideMark/>
          </w:tcPr>
          <w:p w14:paraId="73375065"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c>
          <w:tcPr>
            <w:tcW w:w="1292" w:type="dxa"/>
            <w:shd w:val="clear" w:color="auto" w:fill="auto"/>
            <w:vAlign w:val="center"/>
            <w:hideMark/>
          </w:tcPr>
          <w:p w14:paraId="2C142196"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c>
          <w:tcPr>
            <w:tcW w:w="1292" w:type="dxa"/>
            <w:shd w:val="clear" w:color="000000" w:fill="FFFFFF"/>
            <w:vAlign w:val="center"/>
            <w:hideMark/>
          </w:tcPr>
          <w:p w14:paraId="1B594ABD"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c>
          <w:tcPr>
            <w:tcW w:w="1211" w:type="dxa"/>
            <w:shd w:val="clear" w:color="auto" w:fill="auto"/>
            <w:vAlign w:val="center"/>
            <w:hideMark/>
          </w:tcPr>
          <w:p w14:paraId="4B9506EE"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r>
      <w:tr w:rsidR="00AB5242" w:rsidRPr="006C532F" w14:paraId="704ABD28" w14:textId="77777777" w:rsidTr="00AF05FF">
        <w:trPr>
          <w:trHeight w:val="226"/>
          <w:jc w:val="center"/>
        </w:trPr>
        <w:tc>
          <w:tcPr>
            <w:tcW w:w="1527" w:type="dxa"/>
            <w:shd w:val="clear" w:color="auto" w:fill="auto"/>
            <w:vAlign w:val="center"/>
            <w:hideMark/>
          </w:tcPr>
          <w:p w14:paraId="0949A86C" w14:textId="77777777" w:rsidR="00085BDB" w:rsidRPr="00085BDB" w:rsidRDefault="00085BDB" w:rsidP="00286F4A">
            <w:pPr>
              <w:spacing w:after="0" w:line="240" w:lineRule="auto"/>
              <w:contextualSpacing/>
              <w:rPr>
                <w:rFonts w:eastAsia="Times New Roman" w:cs="Arial"/>
                <w:sz w:val="18"/>
                <w:szCs w:val="18"/>
                <w:lang w:val="es-CO" w:eastAsia="es-CO"/>
              </w:rPr>
            </w:pPr>
            <w:r w:rsidRPr="00085BDB">
              <w:rPr>
                <w:rFonts w:eastAsia="Times New Roman" w:cs="Arial"/>
                <w:sz w:val="18"/>
                <w:szCs w:val="18"/>
                <w:lang w:val="es-CO" w:eastAsia="es-CO"/>
              </w:rPr>
              <w:t xml:space="preserve">2.1.2. Libre Inversión </w:t>
            </w:r>
          </w:p>
        </w:tc>
        <w:tc>
          <w:tcPr>
            <w:tcW w:w="1292" w:type="dxa"/>
            <w:shd w:val="clear" w:color="auto" w:fill="auto"/>
            <w:vAlign w:val="center"/>
            <w:hideMark/>
          </w:tcPr>
          <w:p w14:paraId="69CEDF9E"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108.465.959</w:t>
            </w:r>
          </w:p>
        </w:tc>
        <w:tc>
          <w:tcPr>
            <w:tcW w:w="1292" w:type="dxa"/>
            <w:shd w:val="clear" w:color="auto" w:fill="auto"/>
            <w:noWrap/>
            <w:vAlign w:val="center"/>
            <w:hideMark/>
          </w:tcPr>
          <w:p w14:paraId="4065ACEE"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108.465.959</w:t>
            </w:r>
          </w:p>
        </w:tc>
        <w:tc>
          <w:tcPr>
            <w:tcW w:w="1250" w:type="dxa"/>
            <w:shd w:val="clear" w:color="auto" w:fill="auto"/>
            <w:vAlign w:val="center"/>
            <w:hideMark/>
          </w:tcPr>
          <w:p w14:paraId="17A7FBF5"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c>
          <w:tcPr>
            <w:tcW w:w="1292" w:type="dxa"/>
            <w:shd w:val="clear" w:color="auto" w:fill="auto"/>
            <w:vAlign w:val="center"/>
            <w:hideMark/>
          </w:tcPr>
          <w:p w14:paraId="2279A326"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c>
          <w:tcPr>
            <w:tcW w:w="1292" w:type="dxa"/>
            <w:shd w:val="clear" w:color="auto" w:fill="auto"/>
            <w:noWrap/>
            <w:vAlign w:val="center"/>
            <w:hideMark/>
          </w:tcPr>
          <w:p w14:paraId="2F74A4AC"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108.465.959</w:t>
            </w:r>
          </w:p>
        </w:tc>
        <w:tc>
          <w:tcPr>
            <w:tcW w:w="1211" w:type="dxa"/>
            <w:shd w:val="clear" w:color="auto" w:fill="auto"/>
            <w:vAlign w:val="center"/>
            <w:hideMark/>
          </w:tcPr>
          <w:p w14:paraId="28DE3958"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-108.465.959</w:t>
            </w:r>
          </w:p>
        </w:tc>
      </w:tr>
      <w:tr w:rsidR="00AB5242" w:rsidRPr="006C532F" w14:paraId="23B359DB" w14:textId="77777777" w:rsidTr="00AF05FF">
        <w:trPr>
          <w:trHeight w:val="414"/>
          <w:jc w:val="center"/>
        </w:trPr>
        <w:tc>
          <w:tcPr>
            <w:tcW w:w="1527" w:type="dxa"/>
            <w:shd w:val="clear" w:color="auto" w:fill="auto"/>
            <w:vAlign w:val="center"/>
            <w:hideMark/>
          </w:tcPr>
          <w:p w14:paraId="7E479FB6" w14:textId="77777777" w:rsidR="00085BDB" w:rsidRPr="00085BDB" w:rsidRDefault="00085BDB" w:rsidP="00286F4A">
            <w:pPr>
              <w:spacing w:after="0" w:line="240" w:lineRule="auto"/>
              <w:contextualSpacing/>
              <w:rPr>
                <w:rFonts w:eastAsia="Times New Roman" w:cs="Arial"/>
                <w:sz w:val="18"/>
                <w:szCs w:val="18"/>
                <w:lang w:val="es-CO" w:eastAsia="es-CO"/>
              </w:rPr>
            </w:pPr>
            <w:r w:rsidRPr="00085BDB">
              <w:rPr>
                <w:rFonts w:eastAsia="Times New Roman" w:cs="Arial"/>
                <w:sz w:val="18"/>
                <w:szCs w:val="18"/>
                <w:lang w:val="es-CO" w:eastAsia="es-CO"/>
              </w:rPr>
              <w:t xml:space="preserve">2.1.3. Deporte y Recreación </w:t>
            </w:r>
          </w:p>
        </w:tc>
        <w:tc>
          <w:tcPr>
            <w:tcW w:w="1292" w:type="dxa"/>
            <w:shd w:val="clear" w:color="auto" w:fill="auto"/>
            <w:vAlign w:val="center"/>
            <w:hideMark/>
          </w:tcPr>
          <w:p w14:paraId="1CC716CF"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24.314.911</w:t>
            </w:r>
          </w:p>
        </w:tc>
        <w:tc>
          <w:tcPr>
            <w:tcW w:w="1292" w:type="dxa"/>
            <w:shd w:val="clear" w:color="auto" w:fill="auto"/>
            <w:noWrap/>
            <w:vAlign w:val="center"/>
            <w:hideMark/>
          </w:tcPr>
          <w:p w14:paraId="1CC2C942"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24.314.910</w:t>
            </w:r>
          </w:p>
        </w:tc>
        <w:tc>
          <w:tcPr>
            <w:tcW w:w="1250" w:type="dxa"/>
            <w:shd w:val="clear" w:color="auto" w:fill="auto"/>
            <w:vAlign w:val="center"/>
            <w:hideMark/>
          </w:tcPr>
          <w:p w14:paraId="77AFBC72"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w:t>
            </w:r>
          </w:p>
        </w:tc>
        <w:tc>
          <w:tcPr>
            <w:tcW w:w="1292" w:type="dxa"/>
            <w:shd w:val="clear" w:color="auto" w:fill="auto"/>
            <w:vAlign w:val="center"/>
            <w:hideMark/>
          </w:tcPr>
          <w:p w14:paraId="2BDD4898"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c>
          <w:tcPr>
            <w:tcW w:w="1292" w:type="dxa"/>
            <w:shd w:val="clear" w:color="auto" w:fill="auto"/>
            <w:noWrap/>
            <w:vAlign w:val="center"/>
            <w:hideMark/>
          </w:tcPr>
          <w:p w14:paraId="6336A757"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24.314.910</w:t>
            </w:r>
          </w:p>
        </w:tc>
        <w:tc>
          <w:tcPr>
            <w:tcW w:w="1211" w:type="dxa"/>
            <w:shd w:val="clear" w:color="auto" w:fill="auto"/>
            <w:vAlign w:val="center"/>
            <w:hideMark/>
          </w:tcPr>
          <w:p w14:paraId="42BE9051"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-24.314.910</w:t>
            </w:r>
          </w:p>
        </w:tc>
      </w:tr>
      <w:tr w:rsidR="00AB5242" w:rsidRPr="006C532F" w14:paraId="1D275E29" w14:textId="77777777" w:rsidTr="00AF05FF">
        <w:trPr>
          <w:trHeight w:val="226"/>
          <w:jc w:val="center"/>
        </w:trPr>
        <w:tc>
          <w:tcPr>
            <w:tcW w:w="1527" w:type="dxa"/>
            <w:shd w:val="clear" w:color="auto" w:fill="auto"/>
            <w:vAlign w:val="center"/>
            <w:hideMark/>
          </w:tcPr>
          <w:p w14:paraId="328AE5A6" w14:textId="77777777" w:rsidR="00085BDB" w:rsidRPr="00085BDB" w:rsidRDefault="00085BDB" w:rsidP="00286F4A">
            <w:pPr>
              <w:spacing w:after="0" w:line="240" w:lineRule="auto"/>
              <w:contextualSpacing/>
              <w:rPr>
                <w:rFonts w:eastAsia="Times New Roman" w:cs="Arial"/>
                <w:sz w:val="18"/>
                <w:szCs w:val="18"/>
                <w:lang w:val="es-CO" w:eastAsia="es-CO"/>
              </w:rPr>
            </w:pPr>
            <w:r w:rsidRPr="00085BDB">
              <w:rPr>
                <w:rFonts w:eastAsia="Times New Roman" w:cs="Arial"/>
                <w:sz w:val="18"/>
                <w:szCs w:val="18"/>
                <w:lang w:val="es-CO" w:eastAsia="es-CO"/>
              </w:rPr>
              <w:t xml:space="preserve">2.1.4. Cultura </w:t>
            </w:r>
          </w:p>
        </w:tc>
        <w:tc>
          <w:tcPr>
            <w:tcW w:w="1292" w:type="dxa"/>
            <w:shd w:val="clear" w:color="auto" w:fill="auto"/>
            <w:vAlign w:val="center"/>
            <w:hideMark/>
          </w:tcPr>
          <w:p w14:paraId="1598E8E6"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21.712.487</w:t>
            </w:r>
          </w:p>
        </w:tc>
        <w:tc>
          <w:tcPr>
            <w:tcW w:w="1292" w:type="dxa"/>
            <w:shd w:val="clear" w:color="auto" w:fill="auto"/>
            <w:noWrap/>
            <w:vAlign w:val="center"/>
            <w:hideMark/>
          </w:tcPr>
          <w:p w14:paraId="262B7FFF"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21.712.486</w:t>
            </w:r>
          </w:p>
        </w:tc>
        <w:tc>
          <w:tcPr>
            <w:tcW w:w="1250" w:type="dxa"/>
            <w:shd w:val="clear" w:color="auto" w:fill="auto"/>
            <w:vAlign w:val="center"/>
            <w:hideMark/>
          </w:tcPr>
          <w:p w14:paraId="6DDA1534"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1</w:t>
            </w:r>
          </w:p>
        </w:tc>
        <w:tc>
          <w:tcPr>
            <w:tcW w:w="1292" w:type="dxa"/>
            <w:shd w:val="clear" w:color="auto" w:fill="auto"/>
            <w:vAlign w:val="center"/>
            <w:hideMark/>
          </w:tcPr>
          <w:p w14:paraId="626C553D"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w:t>
            </w:r>
          </w:p>
        </w:tc>
        <w:tc>
          <w:tcPr>
            <w:tcW w:w="1292" w:type="dxa"/>
            <w:shd w:val="clear" w:color="auto" w:fill="auto"/>
            <w:noWrap/>
            <w:vAlign w:val="center"/>
            <w:hideMark/>
          </w:tcPr>
          <w:p w14:paraId="710EEDFB"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21.712.486</w:t>
            </w:r>
          </w:p>
        </w:tc>
        <w:tc>
          <w:tcPr>
            <w:tcW w:w="1211" w:type="dxa"/>
            <w:shd w:val="clear" w:color="auto" w:fill="auto"/>
            <w:vAlign w:val="center"/>
            <w:hideMark/>
          </w:tcPr>
          <w:p w14:paraId="64CCBACE" w14:textId="77777777" w:rsidR="00085BDB" w:rsidRPr="00085BDB" w:rsidRDefault="00085BDB">
            <w:pPr>
              <w:spacing w:after="0" w:line="240" w:lineRule="auto"/>
              <w:contextualSpacing/>
              <w:jc w:val="center"/>
              <w:rPr>
                <w:rFonts w:eastAsia="Times New Roman" w:cs="Arial"/>
                <w:sz w:val="18"/>
                <w:szCs w:val="18"/>
                <w:lang w:val="es-CO" w:eastAsia="es-CO"/>
              </w:rPr>
            </w:pPr>
            <w:r w:rsidRPr="00085BDB">
              <w:rPr>
                <w:rFonts w:eastAsia="Times New Roman" w:cs="Arial"/>
                <w:sz w:val="18"/>
                <w:szCs w:val="18"/>
                <w:lang w:val="es-CO" w:eastAsia="es-CO"/>
              </w:rPr>
              <w:t>-21.712.486</w:t>
            </w:r>
          </w:p>
        </w:tc>
      </w:tr>
    </w:tbl>
    <w:p w14:paraId="0A53FEE6" w14:textId="77777777" w:rsidR="00085BDB" w:rsidRPr="00FB27C3" w:rsidRDefault="00AF05FF" w:rsidP="00286F4A">
      <w:pPr>
        <w:spacing w:line="240" w:lineRule="auto"/>
        <w:contextualSpacing/>
        <w:jc w:val="both"/>
        <w:rPr>
          <w:sz w:val="16"/>
          <w:szCs w:val="16"/>
        </w:rPr>
      </w:pPr>
      <w:r w:rsidRPr="00FB27C3">
        <w:rPr>
          <w:b/>
          <w:bCs/>
          <w:sz w:val="16"/>
          <w:szCs w:val="16"/>
        </w:rPr>
        <w:t xml:space="preserve">Fuente: </w:t>
      </w:r>
      <w:r w:rsidRPr="00FB27C3">
        <w:rPr>
          <w:sz w:val="16"/>
          <w:szCs w:val="16"/>
        </w:rPr>
        <w:t>Elaboración DAF con base en las ejecuciones presupuestales y el reporte FUT ingresos.</w:t>
      </w:r>
    </w:p>
    <w:p w14:paraId="53667347" w14:textId="77777777" w:rsidR="00AF05FF" w:rsidRDefault="00AF05FF">
      <w:pPr>
        <w:spacing w:line="240" w:lineRule="auto"/>
        <w:contextualSpacing/>
        <w:jc w:val="both"/>
        <w:rPr>
          <w:b/>
          <w:bCs/>
        </w:rPr>
      </w:pPr>
    </w:p>
    <w:p w14:paraId="1C614DB3" w14:textId="77777777" w:rsidR="00832A13" w:rsidRDefault="00832A13">
      <w:pPr>
        <w:spacing w:line="240" w:lineRule="auto"/>
        <w:contextualSpacing/>
        <w:jc w:val="both"/>
      </w:pPr>
      <w:r>
        <w:t xml:space="preserve">Para el caso de 2020 la </w:t>
      </w:r>
      <w:r w:rsidR="001A7CBF">
        <w:t>E</w:t>
      </w:r>
      <w:r>
        <w:t xml:space="preserve">ntidad </w:t>
      </w:r>
      <w:r w:rsidR="001A7CBF">
        <w:t>T</w:t>
      </w:r>
      <w:r>
        <w:t xml:space="preserve">erritorial </w:t>
      </w:r>
      <w:r w:rsidR="00F5460B">
        <w:t xml:space="preserve">presenta inconsistencias en el reporte de información de los ingresos corrientes y en el recaudo de los recursos </w:t>
      </w:r>
      <w:r w:rsidR="00175CF8">
        <w:t xml:space="preserve">de capital, esto último debido a que en la ejecución presupuestal no incluyó los saldos de superávit fiscal de vigencias </w:t>
      </w:r>
      <w:r w:rsidR="00175CF8" w:rsidRPr="00671E68">
        <w:t>anteriores</w:t>
      </w:r>
      <w:r w:rsidR="00671E68" w:rsidRPr="00671E68">
        <w:t xml:space="preserve"> (</w:t>
      </w:r>
      <w:r w:rsidR="00671E68">
        <w:t>$</w:t>
      </w:r>
      <w:r w:rsidR="00671E68" w:rsidRPr="00085BDB">
        <w:rPr>
          <w:rFonts w:eastAsia="Times New Roman" w:cs="Arial"/>
          <w:color w:val="000000"/>
          <w:lang w:val="es-CO" w:eastAsia="es-CO"/>
        </w:rPr>
        <w:t>154.493.355</w:t>
      </w:r>
      <w:r w:rsidR="00671E68" w:rsidRPr="00671E68">
        <w:rPr>
          <w:rFonts w:eastAsia="Times New Roman" w:cs="Arial"/>
          <w:color w:val="000000"/>
          <w:lang w:val="es-CO" w:eastAsia="es-CO"/>
        </w:rPr>
        <w:t>)</w:t>
      </w:r>
      <w:r w:rsidR="00285025" w:rsidRPr="00671E68">
        <w:t>,</w:t>
      </w:r>
      <w:r w:rsidR="00285025">
        <w:t xml:space="preserve"> pero sí lo reportó en el FUT. Particularmente, en el caso de Libre Destinación, las diferencias de reporte en el presupuesto definitivo y en el recaudo son de</w:t>
      </w:r>
      <w:r w:rsidR="00DB6CE8">
        <w:t xml:space="preserve"> $</w:t>
      </w:r>
      <w:r w:rsidR="00DB6CE8" w:rsidRPr="00DB6CE8">
        <w:t>83.215.823</w:t>
      </w:r>
      <w:r w:rsidR="00DB6CE8">
        <w:t>; en Libre Inversión se presenta la mayor diferencia con $</w:t>
      </w:r>
      <w:r w:rsidR="00DB6CE8" w:rsidRPr="00DB6CE8">
        <w:t>109.323.111</w:t>
      </w:r>
      <w:r w:rsidR="00DB6CE8">
        <w:t xml:space="preserve"> </w:t>
      </w:r>
      <w:r w:rsidR="00DC0BEB">
        <w:t xml:space="preserve">menos en el reporte frente a las ejecuciones presupuestales. En el caso de Deporte y Recreación y Cultura, las diferencias ascienden </w:t>
      </w:r>
      <w:r w:rsidR="00F11EC9">
        <w:t>$</w:t>
      </w:r>
      <w:r w:rsidR="00F11EC9" w:rsidRPr="00F11EC9">
        <w:t>3.196.558</w:t>
      </w:r>
      <w:r w:rsidR="00F11EC9">
        <w:t xml:space="preserve"> y $</w:t>
      </w:r>
      <w:r w:rsidR="00F11EC9" w:rsidRPr="00F11EC9">
        <w:t>2.397.419</w:t>
      </w:r>
      <w:r w:rsidR="00544753">
        <w:t xml:space="preserve"> respectivamente. </w:t>
      </w:r>
      <w:r w:rsidR="0091183A">
        <w:t xml:space="preserve">Adicionalmente, para esta vigencia </w:t>
      </w:r>
      <w:r w:rsidR="007D2AE5">
        <w:t xml:space="preserve">tampoco se reportan saldos de rendimientos financieros. </w:t>
      </w:r>
    </w:p>
    <w:p w14:paraId="5BEE9CE0" w14:textId="77777777" w:rsidR="00F11EC9" w:rsidRPr="00832A13" w:rsidRDefault="00F11EC9">
      <w:pPr>
        <w:spacing w:line="240" w:lineRule="auto"/>
        <w:contextualSpacing/>
        <w:jc w:val="both"/>
      </w:pPr>
    </w:p>
    <w:p w14:paraId="6C0516D6" w14:textId="77777777" w:rsidR="00DE2AB6" w:rsidRDefault="00D43396">
      <w:pPr>
        <w:spacing w:line="240" w:lineRule="auto"/>
        <w:contextualSpacing/>
        <w:jc w:val="both"/>
        <w:rPr>
          <w:b/>
          <w:bCs/>
        </w:rPr>
      </w:pPr>
      <w:r>
        <w:rPr>
          <w:b/>
          <w:bCs/>
        </w:rPr>
        <w:t>GASTOS</w:t>
      </w:r>
      <w:r w:rsidR="001A7CBF">
        <w:rPr>
          <w:b/>
          <w:bCs/>
        </w:rPr>
        <w:t>.</w:t>
      </w:r>
    </w:p>
    <w:p w14:paraId="1A4A0B4D" w14:textId="77777777" w:rsidR="00A371F9" w:rsidRPr="005E0F80" w:rsidRDefault="00A371F9">
      <w:pPr>
        <w:spacing w:line="240" w:lineRule="auto"/>
        <w:contextualSpacing/>
        <w:jc w:val="both"/>
      </w:pPr>
    </w:p>
    <w:p w14:paraId="25A050AE" w14:textId="77777777" w:rsidR="00A371F9" w:rsidRPr="005E0F80" w:rsidRDefault="005E0F80">
      <w:pPr>
        <w:spacing w:line="240" w:lineRule="auto"/>
        <w:contextualSpacing/>
        <w:jc w:val="both"/>
      </w:pPr>
      <w:r w:rsidRPr="005E0F80">
        <w:t xml:space="preserve">En el reporte de gastos de funcionamiento e inversión por parte de la </w:t>
      </w:r>
      <w:r w:rsidR="001A7CBF">
        <w:t>E</w:t>
      </w:r>
      <w:r w:rsidRPr="005E0F80">
        <w:t xml:space="preserve">ntidad </w:t>
      </w:r>
      <w:r w:rsidR="001A7CBF">
        <w:t>T</w:t>
      </w:r>
      <w:r w:rsidRPr="005E0F80">
        <w:t>erritorial, se pueden evidenciar varias inconsistencias entre lo que se registró en las ejecuciones presupuestales y los cargues de información en el FUT para las 3 vigencias analizadas en Libre Destinación, Libre Inversión, Deporte y Cultura como se detalla en el cuadro a continuación:</w:t>
      </w:r>
    </w:p>
    <w:p w14:paraId="1243F689" w14:textId="77777777" w:rsidR="001A7CBF" w:rsidRDefault="001A7CBF" w:rsidP="001729F6">
      <w:pPr>
        <w:spacing w:line="240" w:lineRule="auto"/>
        <w:contextualSpacing/>
        <w:rPr>
          <w:b/>
          <w:bCs/>
        </w:rPr>
      </w:pPr>
      <w:r>
        <w:rPr>
          <w:b/>
          <w:bCs/>
        </w:rPr>
        <w:br w:type="page"/>
      </w:r>
    </w:p>
    <w:p w14:paraId="545598A5" w14:textId="77777777" w:rsidR="00C60D9A" w:rsidRPr="00FB27C3" w:rsidRDefault="00C60D9A" w:rsidP="00286F4A">
      <w:pPr>
        <w:spacing w:after="0" w:line="240" w:lineRule="auto"/>
        <w:contextualSpacing/>
        <w:jc w:val="center"/>
        <w:rPr>
          <w:b/>
          <w:bCs/>
          <w:sz w:val="20"/>
          <w:szCs w:val="20"/>
        </w:rPr>
      </w:pPr>
      <w:r w:rsidRPr="00FB27C3">
        <w:rPr>
          <w:b/>
          <w:bCs/>
          <w:sz w:val="20"/>
          <w:szCs w:val="20"/>
        </w:rPr>
        <w:lastRenderedPageBreak/>
        <w:t>Cuadro No. 5</w:t>
      </w:r>
    </w:p>
    <w:p w14:paraId="72CDD897" w14:textId="77777777" w:rsidR="00C60D9A" w:rsidRPr="00FB27C3" w:rsidRDefault="00C60D9A">
      <w:pPr>
        <w:spacing w:after="0" w:line="240" w:lineRule="auto"/>
        <w:contextualSpacing/>
        <w:jc w:val="center"/>
        <w:rPr>
          <w:sz w:val="20"/>
          <w:szCs w:val="20"/>
        </w:rPr>
      </w:pPr>
      <w:r w:rsidRPr="00FB27C3">
        <w:rPr>
          <w:sz w:val="20"/>
          <w:szCs w:val="20"/>
        </w:rPr>
        <w:t xml:space="preserve">Reporte FUT de Gastos </w:t>
      </w:r>
    </w:p>
    <w:p w14:paraId="5DFB1336" w14:textId="77777777" w:rsidR="00C44B45" w:rsidRPr="00FB27C3" w:rsidRDefault="00C60D9A">
      <w:pPr>
        <w:spacing w:after="0" w:line="240" w:lineRule="auto"/>
        <w:contextualSpacing/>
        <w:jc w:val="center"/>
        <w:rPr>
          <w:b/>
          <w:bCs/>
          <w:sz w:val="24"/>
          <w:szCs w:val="24"/>
        </w:rPr>
      </w:pPr>
      <w:r w:rsidRPr="00FB27C3">
        <w:rPr>
          <w:sz w:val="20"/>
          <w:szCs w:val="20"/>
        </w:rPr>
        <w:t xml:space="preserve">Municipio de Puerto Leguízamo – Putumayo </w:t>
      </w:r>
    </w:p>
    <w:tbl>
      <w:tblPr>
        <w:tblW w:w="10918" w:type="dxa"/>
        <w:jc w:val="center"/>
        <w:tblCellMar>
          <w:left w:w="70" w:type="dxa"/>
          <w:right w:w="70" w:type="dxa"/>
        </w:tblCellMar>
        <w:tblLook w:val="04A0" w:firstRow="1" w:lastRow="0" w:firstColumn="1" w:lastColumn="0" w:noHBand="0" w:noVBand="1"/>
      </w:tblPr>
      <w:tblGrid>
        <w:gridCol w:w="912"/>
        <w:gridCol w:w="875"/>
        <w:gridCol w:w="875"/>
        <w:gridCol w:w="875"/>
        <w:gridCol w:w="875"/>
        <w:gridCol w:w="875"/>
        <w:gridCol w:w="875"/>
        <w:gridCol w:w="779"/>
        <w:gridCol w:w="779"/>
        <w:gridCol w:w="779"/>
        <w:gridCol w:w="779"/>
        <w:gridCol w:w="715"/>
        <w:gridCol w:w="779"/>
        <w:gridCol w:w="201"/>
      </w:tblGrid>
      <w:tr w:rsidR="00C44B45" w:rsidRPr="00C44B45" w14:paraId="653AE90C" w14:textId="77777777" w:rsidTr="00BE008F">
        <w:trPr>
          <w:gridAfter w:val="1"/>
          <w:wAfter w:w="146" w:type="dxa"/>
          <w:trHeight w:val="120"/>
          <w:jc w:val="center"/>
        </w:trPr>
        <w:tc>
          <w:tcPr>
            <w:tcW w:w="10772" w:type="dxa"/>
            <w:gridSpan w:val="13"/>
            <w:tcBorders>
              <w:top w:val="single" w:sz="4" w:space="0" w:color="auto"/>
              <w:left w:val="single" w:sz="4" w:space="0" w:color="auto"/>
              <w:bottom w:val="single" w:sz="4" w:space="0" w:color="auto"/>
              <w:right w:val="single" w:sz="4" w:space="0" w:color="000000"/>
            </w:tcBorders>
            <w:shd w:val="clear" w:color="000000" w:fill="666699"/>
            <w:noWrap/>
            <w:vAlign w:val="center"/>
            <w:hideMark/>
          </w:tcPr>
          <w:p w14:paraId="041CF04A"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 xml:space="preserve">Sector Propósito </w:t>
            </w:r>
            <w:r w:rsidR="00C46123" w:rsidRPr="00C44B45">
              <w:rPr>
                <w:rFonts w:ascii="Arial Narrow" w:eastAsia="Times New Roman" w:hAnsi="Arial Narrow" w:cs="Calibri"/>
                <w:b/>
                <w:bCs/>
                <w:color w:val="FFFFFF"/>
                <w:sz w:val="14"/>
                <w:szCs w:val="14"/>
                <w:lang w:val="es-CO" w:eastAsia="es-CO"/>
              </w:rPr>
              <w:t xml:space="preserve">General </w:t>
            </w:r>
            <w:r w:rsidR="00C46123" w:rsidRPr="00C44B45">
              <w:rPr>
                <w:rFonts w:ascii="Arial Narrow" w:eastAsia="Times New Roman" w:hAnsi="Arial Narrow" w:cs="Calibri"/>
                <w:b/>
                <w:bCs/>
                <w:i/>
                <w:iCs/>
                <w:color w:val="FFFFFF"/>
                <w:sz w:val="14"/>
                <w:szCs w:val="14"/>
                <w:lang w:val="es-CO" w:eastAsia="es-CO"/>
              </w:rPr>
              <w:t>(</w:t>
            </w:r>
            <w:r w:rsidRPr="00C44B45">
              <w:rPr>
                <w:rFonts w:ascii="Arial Narrow" w:eastAsia="Times New Roman" w:hAnsi="Arial Narrow" w:cs="Calibri"/>
                <w:b/>
                <w:bCs/>
                <w:i/>
                <w:iCs/>
                <w:color w:val="FFFFFF"/>
                <w:sz w:val="14"/>
                <w:szCs w:val="14"/>
                <w:lang w:val="es-CO" w:eastAsia="es-CO"/>
              </w:rPr>
              <w:t>cifras en pesos)</w:t>
            </w:r>
          </w:p>
        </w:tc>
      </w:tr>
      <w:tr w:rsidR="00C44B45" w:rsidRPr="00C46123" w14:paraId="3A594171" w14:textId="77777777" w:rsidTr="00BE008F">
        <w:trPr>
          <w:gridAfter w:val="1"/>
          <w:wAfter w:w="146" w:type="dxa"/>
          <w:trHeight w:val="433"/>
          <w:jc w:val="center"/>
        </w:trPr>
        <w:tc>
          <w:tcPr>
            <w:tcW w:w="912" w:type="dxa"/>
            <w:vMerge w:val="restart"/>
            <w:tcBorders>
              <w:top w:val="nil"/>
              <w:left w:val="single" w:sz="4" w:space="0" w:color="auto"/>
              <w:bottom w:val="single" w:sz="4" w:space="0" w:color="auto"/>
              <w:right w:val="single" w:sz="4" w:space="0" w:color="auto"/>
            </w:tcBorders>
            <w:shd w:val="clear" w:color="000000" w:fill="666699"/>
            <w:vAlign w:val="center"/>
            <w:hideMark/>
          </w:tcPr>
          <w:p w14:paraId="200B6AF8" w14:textId="77777777" w:rsidR="00C44B45" w:rsidRPr="00C44B45" w:rsidRDefault="00C44B4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Gastos Totales</w:t>
            </w:r>
          </w:p>
        </w:tc>
        <w:tc>
          <w:tcPr>
            <w:tcW w:w="2625"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71137E5D"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1.1. Libre Destinación</w:t>
            </w:r>
          </w:p>
        </w:tc>
        <w:tc>
          <w:tcPr>
            <w:tcW w:w="2625"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13E3A090"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1.2 Libre inversión</w:t>
            </w:r>
          </w:p>
        </w:tc>
        <w:tc>
          <w:tcPr>
            <w:tcW w:w="2337"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1E9361A6"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1.3. Deporte y Recreación</w:t>
            </w:r>
          </w:p>
        </w:tc>
        <w:tc>
          <w:tcPr>
            <w:tcW w:w="2273"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14:paraId="1715CCAA"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1.4. Cultura</w:t>
            </w:r>
          </w:p>
        </w:tc>
      </w:tr>
      <w:tr w:rsidR="00C44B45" w:rsidRPr="00C46123" w14:paraId="6C7E7353" w14:textId="77777777" w:rsidTr="00BE008F">
        <w:trPr>
          <w:trHeight w:val="342"/>
          <w:jc w:val="center"/>
        </w:trPr>
        <w:tc>
          <w:tcPr>
            <w:tcW w:w="912" w:type="dxa"/>
            <w:vMerge/>
            <w:tcBorders>
              <w:top w:val="nil"/>
              <w:left w:val="single" w:sz="4" w:space="0" w:color="auto"/>
              <w:bottom w:val="single" w:sz="4" w:space="0" w:color="auto"/>
              <w:right w:val="single" w:sz="4" w:space="0" w:color="auto"/>
            </w:tcBorders>
            <w:vAlign w:val="center"/>
            <w:hideMark/>
          </w:tcPr>
          <w:p w14:paraId="0D3061EC" w14:textId="77777777" w:rsidR="00C44B45" w:rsidRPr="00C44B45" w:rsidRDefault="00C44B45">
            <w:pPr>
              <w:spacing w:after="0" w:line="240" w:lineRule="auto"/>
              <w:contextualSpacing/>
              <w:rPr>
                <w:rFonts w:ascii="Arial Narrow" w:eastAsia="Times New Roman" w:hAnsi="Arial Narrow" w:cs="Calibri"/>
                <w:b/>
                <w:bCs/>
                <w:color w:val="FFFFFF"/>
                <w:sz w:val="14"/>
                <w:szCs w:val="14"/>
                <w:lang w:val="es-CO" w:eastAsia="es-CO"/>
              </w:rPr>
            </w:pPr>
          </w:p>
        </w:tc>
        <w:tc>
          <w:tcPr>
            <w:tcW w:w="2625" w:type="dxa"/>
            <w:gridSpan w:val="3"/>
            <w:vMerge/>
            <w:tcBorders>
              <w:top w:val="single" w:sz="4" w:space="0" w:color="auto"/>
              <w:left w:val="single" w:sz="4" w:space="0" w:color="auto"/>
              <w:bottom w:val="single" w:sz="4" w:space="0" w:color="auto"/>
              <w:right w:val="single" w:sz="4" w:space="0" w:color="auto"/>
            </w:tcBorders>
            <w:vAlign w:val="center"/>
            <w:hideMark/>
          </w:tcPr>
          <w:p w14:paraId="1429545B" w14:textId="77777777" w:rsidR="00C44B45" w:rsidRPr="00C44B45" w:rsidRDefault="00C44B45">
            <w:pPr>
              <w:spacing w:after="0" w:line="240" w:lineRule="auto"/>
              <w:contextualSpacing/>
              <w:rPr>
                <w:rFonts w:ascii="Arial Narrow" w:eastAsia="Times New Roman" w:hAnsi="Arial Narrow" w:cs="Calibri"/>
                <w:b/>
                <w:bCs/>
                <w:color w:val="FFFFFF"/>
                <w:sz w:val="14"/>
                <w:szCs w:val="14"/>
                <w:lang w:val="es-CO" w:eastAsia="es-CO"/>
              </w:rPr>
            </w:pPr>
          </w:p>
        </w:tc>
        <w:tc>
          <w:tcPr>
            <w:tcW w:w="2625" w:type="dxa"/>
            <w:gridSpan w:val="3"/>
            <w:vMerge/>
            <w:tcBorders>
              <w:top w:val="single" w:sz="4" w:space="0" w:color="auto"/>
              <w:left w:val="single" w:sz="4" w:space="0" w:color="auto"/>
              <w:bottom w:val="single" w:sz="4" w:space="0" w:color="auto"/>
              <w:right w:val="single" w:sz="4" w:space="0" w:color="auto"/>
            </w:tcBorders>
            <w:vAlign w:val="center"/>
            <w:hideMark/>
          </w:tcPr>
          <w:p w14:paraId="1095F4B0" w14:textId="77777777" w:rsidR="00C44B45" w:rsidRPr="00C44B45" w:rsidRDefault="00C44B45">
            <w:pPr>
              <w:spacing w:after="0" w:line="240" w:lineRule="auto"/>
              <w:contextualSpacing/>
              <w:rPr>
                <w:rFonts w:ascii="Arial Narrow" w:eastAsia="Times New Roman" w:hAnsi="Arial Narrow" w:cs="Calibri"/>
                <w:b/>
                <w:bCs/>
                <w:color w:val="FFFFFF"/>
                <w:sz w:val="14"/>
                <w:szCs w:val="14"/>
                <w:lang w:val="es-CO" w:eastAsia="es-CO"/>
              </w:rPr>
            </w:pPr>
          </w:p>
        </w:tc>
        <w:tc>
          <w:tcPr>
            <w:tcW w:w="2337" w:type="dxa"/>
            <w:gridSpan w:val="3"/>
            <w:vMerge/>
            <w:tcBorders>
              <w:top w:val="single" w:sz="4" w:space="0" w:color="auto"/>
              <w:left w:val="single" w:sz="4" w:space="0" w:color="auto"/>
              <w:bottom w:val="single" w:sz="4" w:space="0" w:color="auto"/>
              <w:right w:val="single" w:sz="4" w:space="0" w:color="auto"/>
            </w:tcBorders>
            <w:vAlign w:val="center"/>
            <w:hideMark/>
          </w:tcPr>
          <w:p w14:paraId="63D8BE4E" w14:textId="77777777" w:rsidR="00C44B45" w:rsidRPr="00C44B45" w:rsidRDefault="00C44B45">
            <w:pPr>
              <w:spacing w:after="0" w:line="240" w:lineRule="auto"/>
              <w:contextualSpacing/>
              <w:rPr>
                <w:rFonts w:ascii="Arial Narrow" w:eastAsia="Times New Roman" w:hAnsi="Arial Narrow" w:cs="Calibri"/>
                <w:b/>
                <w:bCs/>
                <w:color w:val="FFFFFF"/>
                <w:sz w:val="14"/>
                <w:szCs w:val="14"/>
                <w:lang w:val="es-CO" w:eastAsia="es-CO"/>
              </w:rPr>
            </w:pPr>
          </w:p>
        </w:tc>
        <w:tc>
          <w:tcPr>
            <w:tcW w:w="2273" w:type="dxa"/>
            <w:gridSpan w:val="3"/>
            <w:vMerge/>
            <w:tcBorders>
              <w:top w:val="single" w:sz="4" w:space="0" w:color="auto"/>
              <w:left w:val="single" w:sz="4" w:space="0" w:color="auto"/>
              <w:bottom w:val="single" w:sz="4" w:space="0" w:color="auto"/>
              <w:right w:val="single" w:sz="4" w:space="0" w:color="auto"/>
            </w:tcBorders>
            <w:vAlign w:val="center"/>
            <w:hideMark/>
          </w:tcPr>
          <w:p w14:paraId="0D09A349" w14:textId="77777777" w:rsidR="00C44B45" w:rsidRPr="00C44B45" w:rsidRDefault="00C44B45">
            <w:pPr>
              <w:spacing w:after="0" w:line="240" w:lineRule="auto"/>
              <w:contextualSpacing/>
              <w:rPr>
                <w:rFonts w:ascii="Arial Narrow" w:eastAsia="Times New Roman" w:hAnsi="Arial Narrow" w:cs="Calibri"/>
                <w:b/>
                <w:bCs/>
                <w:color w:val="FFFFFF"/>
                <w:sz w:val="14"/>
                <w:szCs w:val="14"/>
                <w:lang w:val="es-CO" w:eastAsia="es-CO"/>
              </w:rPr>
            </w:pPr>
          </w:p>
        </w:tc>
        <w:tc>
          <w:tcPr>
            <w:tcW w:w="146" w:type="dxa"/>
            <w:tcBorders>
              <w:top w:val="nil"/>
              <w:left w:val="nil"/>
              <w:bottom w:val="nil"/>
              <w:right w:val="nil"/>
            </w:tcBorders>
            <w:shd w:val="clear" w:color="auto" w:fill="auto"/>
            <w:noWrap/>
            <w:vAlign w:val="bottom"/>
            <w:hideMark/>
          </w:tcPr>
          <w:p w14:paraId="45C9DF0B"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p>
        </w:tc>
      </w:tr>
      <w:tr w:rsidR="00BE008F" w:rsidRPr="00C46123" w14:paraId="2E02866E" w14:textId="77777777" w:rsidTr="00BE008F">
        <w:trPr>
          <w:trHeight w:val="115"/>
          <w:jc w:val="center"/>
        </w:trPr>
        <w:tc>
          <w:tcPr>
            <w:tcW w:w="912" w:type="dxa"/>
            <w:vMerge/>
            <w:tcBorders>
              <w:top w:val="nil"/>
              <w:left w:val="single" w:sz="4" w:space="0" w:color="auto"/>
              <w:bottom w:val="single" w:sz="4" w:space="0" w:color="auto"/>
              <w:right w:val="single" w:sz="4" w:space="0" w:color="auto"/>
            </w:tcBorders>
            <w:vAlign w:val="center"/>
            <w:hideMark/>
          </w:tcPr>
          <w:p w14:paraId="4A1B182F" w14:textId="77777777" w:rsidR="00C44B45" w:rsidRPr="00C44B45" w:rsidRDefault="00C44B45">
            <w:pPr>
              <w:spacing w:after="0" w:line="240" w:lineRule="auto"/>
              <w:contextualSpacing/>
              <w:rPr>
                <w:rFonts w:ascii="Arial Narrow" w:eastAsia="Times New Roman" w:hAnsi="Arial Narrow" w:cs="Calibri"/>
                <w:b/>
                <w:bCs/>
                <w:color w:val="FFFFFF"/>
                <w:sz w:val="14"/>
                <w:szCs w:val="14"/>
                <w:lang w:val="es-CO" w:eastAsia="es-CO"/>
              </w:rPr>
            </w:pPr>
          </w:p>
        </w:tc>
        <w:tc>
          <w:tcPr>
            <w:tcW w:w="875" w:type="dxa"/>
            <w:tcBorders>
              <w:top w:val="nil"/>
              <w:left w:val="nil"/>
              <w:bottom w:val="single" w:sz="4" w:space="0" w:color="auto"/>
              <w:right w:val="single" w:sz="4" w:space="0" w:color="auto"/>
            </w:tcBorders>
            <w:shd w:val="clear" w:color="000000" w:fill="666699"/>
            <w:vAlign w:val="center"/>
            <w:hideMark/>
          </w:tcPr>
          <w:p w14:paraId="0C7BA59C"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2018</w:t>
            </w:r>
          </w:p>
        </w:tc>
        <w:tc>
          <w:tcPr>
            <w:tcW w:w="875" w:type="dxa"/>
            <w:tcBorders>
              <w:top w:val="nil"/>
              <w:left w:val="nil"/>
              <w:bottom w:val="single" w:sz="4" w:space="0" w:color="auto"/>
              <w:right w:val="single" w:sz="4" w:space="0" w:color="auto"/>
            </w:tcBorders>
            <w:shd w:val="clear" w:color="000000" w:fill="666699"/>
            <w:vAlign w:val="center"/>
            <w:hideMark/>
          </w:tcPr>
          <w:p w14:paraId="7E8CFFAD"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2019</w:t>
            </w:r>
          </w:p>
        </w:tc>
        <w:tc>
          <w:tcPr>
            <w:tcW w:w="875" w:type="dxa"/>
            <w:tcBorders>
              <w:top w:val="nil"/>
              <w:left w:val="nil"/>
              <w:bottom w:val="single" w:sz="4" w:space="0" w:color="auto"/>
              <w:right w:val="single" w:sz="4" w:space="0" w:color="auto"/>
            </w:tcBorders>
            <w:shd w:val="clear" w:color="000000" w:fill="666699"/>
            <w:vAlign w:val="center"/>
            <w:hideMark/>
          </w:tcPr>
          <w:p w14:paraId="02397DEC"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2020</w:t>
            </w:r>
          </w:p>
        </w:tc>
        <w:tc>
          <w:tcPr>
            <w:tcW w:w="875" w:type="dxa"/>
            <w:tcBorders>
              <w:top w:val="nil"/>
              <w:left w:val="nil"/>
              <w:bottom w:val="single" w:sz="4" w:space="0" w:color="auto"/>
              <w:right w:val="single" w:sz="4" w:space="0" w:color="auto"/>
            </w:tcBorders>
            <w:shd w:val="clear" w:color="000000" w:fill="666699"/>
            <w:vAlign w:val="center"/>
            <w:hideMark/>
          </w:tcPr>
          <w:p w14:paraId="72A073C3"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2018</w:t>
            </w:r>
          </w:p>
        </w:tc>
        <w:tc>
          <w:tcPr>
            <w:tcW w:w="875" w:type="dxa"/>
            <w:tcBorders>
              <w:top w:val="nil"/>
              <w:left w:val="nil"/>
              <w:bottom w:val="single" w:sz="4" w:space="0" w:color="auto"/>
              <w:right w:val="single" w:sz="4" w:space="0" w:color="auto"/>
            </w:tcBorders>
            <w:shd w:val="clear" w:color="000000" w:fill="666699"/>
            <w:vAlign w:val="center"/>
            <w:hideMark/>
          </w:tcPr>
          <w:p w14:paraId="1086066B"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2019</w:t>
            </w:r>
          </w:p>
        </w:tc>
        <w:tc>
          <w:tcPr>
            <w:tcW w:w="875" w:type="dxa"/>
            <w:tcBorders>
              <w:top w:val="nil"/>
              <w:left w:val="nil"/>
              <w:bottom w:val="single" w:sz="4" w:space="0" w:color="auto"/>
              <w:right w:val="single" w:sz="4" w:space="0" w:color="auto"/>
            </w:tcBorders>
            <w:shd w:val="clear" w:color="000000" w:fill="666699"/>
            <w:vAlign w:val="center"/>
            <w:hideMark/>
          </w:tcPr>
          <w:p w14:paraId="00B0E3C2"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2020</w:t>
            </w:r>
          </w:p>
        </w:tc>
        <w:tc>
          <w:tcPr>
            <w:tcW w:w="779" w:type="dxa"/>
            <w:tcBorders>
              <w:top w:val="nil"/>
              <w:left w:val="nil"/>
              <w:bottom w:val="single" w:sz="4" w:space="0" w:color="auto"/>
              <w:right w:val="single" w:sz="4" w:space="0" w:color="auto"/>
            </w:tcBorders>
            <w:shd w:val="clear" w:color="000000" w:fill="666699"/>
            <w:vAlign w:val="center"/>
            <w:hideMark/>
          </w:tcPr>
          <w:p w14:paraId="1D1E3563"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2018</w:t>
            </w:r>
          </w:p>
        </w:tc>
        <w:tc>
          <w:tcPr>
            <w:tcW w:w="779" w:type="dxa"/>
            <w:tcBorders>
              <w:top w:val="nil"/>
              <w:left w:val="nil"/>
              <w:bottom w:val="single" w:sz="4" w:space="0" w:color="auto"/>
              <w:right w:val="single" w:sz="4" w:space="0" w:color="auto"/>
            </w:tcBorders>
            <w:shd w:val="clear" w:color="000000" w:fill="666699"/>
            <w:vAlign w:val="center"/>
            <w:hideMark/>
          </w:tcPr>
          <w:p w14:paraId="2AF2DB61"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2019</w:t>
            </w:r>
          </w:p>
        </w:tc>
        <w:tc>
          <w:tcPr>
            <w:tcW w:w="779" w:type="dxa"/>
            <w:tcBorders>
              <w:top w:val="nil"/>
              <w:left w:val="nil"/>
              <w:bottom w:val="single" w:sz="4" w:space="0" w:color="auto"/>
              <w:right w:val="single" w:sz="4" w:space="0" w:color="auto"/>
            </w:tcBorders>
            <w:shd w:val="clear" w:color="000000" w:fill="666699"/>
            <w:vAlign w:val="center"/>
            <w:hideMark/>
          </w:tcPr>
          <w:p w14:paraId="41D6D0FF"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2020</w:t>
            </w:r>
          </w:p>
        </w:tc>
        <w:tc>
          <w:tcPr>
            <w:tcW w:w="779" w:type="dxa"/>
            <w:tcBorders>
              <w:top w:val="nil"/>
              <w:left w:val="nil"/>
              <w:bottom w:val="single" w:sz="4" w:space="0" w:color="auto"/>
              <w:right w:val="single" w:sz="4" w:space="0" w:color="auto"/>
            </w:tcBorders>
            <w:shd w:val="clear" w:color="000000" w:fill="666699"/>
            <w:vAlign w:val="center"/>
            <w:hideMark/>
          </w:tcPr>
          <w:p w14:paraId="691CA408"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2018</w:t>
            </w:r>
          </w:p>
        </w:tc>
        <w:tc>
          <w:tcPr>
            <w:tcW w:w="715" w:type="dxa"/>
            <w:tcBorders>
              <w:top w:val="nil"/>
              <w:left w:val="nil"/>
              <w:bottom w:val="single" w:sz="4" w:space="0" w:color="auto"/>
              <w:right w:val="single" w:sz="4" w:space="0" w:color="auto"/>
            </w:tcBorders>
            <w:shd w:val="clear" w:color="000000" w:fill="666699"/>
            <w:vAlign w:val="center"/>
            <w:hideMark/>
          </w:tcPr>
          <w:p w14:paraId="0ACDC3E4"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2019</w:t>
            </w:r>
          </w:p>
        </w:tc>
        <w:tc>
          <w:tcPr>
            <w:tcW w:w="779" w:type="dxa"/>
            <w:tcBorders>
              <w:top w:val="nil"/>
              <w:left w:val="nil"/>
              <w:bottom w:val="single" w:sz="4" w:space="0" w:color="auto"/>
              <w:right w:val="single" w:sz="4" w:space="0" w:color="auto"/>
            </w:tcBorders>
            <w:shd w:val="clear" w:color="000000" w:fill="666699"/>
            <w:vAlign w:val="center"/>
            <w:hideMark/>
          </w:tcPr>
          <w:p w14:paraId="12E0B468"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2020</w:t>
            </w:r>
          </w:p>
        </w:tc>
        <w:tc>
          <w:tcPr>
            <w:tcW w:w="146" w:type="dxa"/>
            <w:vAlign w:val="center"/>
            <w:hideMark/>
          </w:tcPr>
          <w:p w14:paraId="5175C48F"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C44B45" w:rsidRPr="00C46123" w14:paraId="39508AC0" w14:textId="77777777" w:rsidTr="00BE008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31EBF3B1" w14:textId="77777777" w:rsidR="00C44B45" w:rsidRPr="00C44B45" w:rsidRDefault="00C44B4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PPTO Definitivo (Ejecución)</w:t>
            </w:r>
          </w:p>
        </w:tc>
        <w:tc>
          <w:tcPr>
            <w:tcW w:w="875" w:type="dxa"/>
            <w:tcBorders>
              <w:top w:val="nil"/>
              <w:left w:val="nil"/>
              <w:bottom w:val="single" w:sz="4" w:space="0" w:color="auto"/>
              <w:right w:val="single" w:sz="4" w:space="0" w:color="auto"/>
            </w:tcBorders>
            <w:shd w:val="clear" w:color="auto" w:fill="auto"/>
            <w:noWrap/>
            <w:vAlign w:val="center"/>
            <w:hideMark/>
          </w:tcPr>
          <w:p w14:paraId="43F09CF3"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1.126.131.786</w:t>
            </w:r>
          </w:p>
        </w:tc>
        <w:tc>
          <w:tcPr>
            <w:tcW w:w="875" w:type="dxa"/>
            <w:tcBorders>
              <w:top w:val="nil"/>
              <w:left w:val="nil"/>
              <w:bottom w:val="single" w:sz="4" w:space="0" w:color="auto"/>
              <w:right w:val="single" w:sz="4" w:space="0" w:color="auto"/>
            </w:tcBorders>
            <w:shd w:val="clear" w:color="auto" w:fill="auto"/>
            <w:noWrap/>
            <w:vAlign w:val="center"/>
            <w:hideMark/>
          </w:tcPr>
          <w:p w14:paraId="00C1F358"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1.240.450.794</w:t>
            </w:r>
          </w:p>
        </w:tc>
        <w:tc>
          <w:tcPr>
            <w:tcW w:w="875" w:type="dxa"/>
            <w:tcBorders>
              <w:top w:val="nil"/>
              <w:left w:val="nil"/>
              <w:bottom w:val="single" w:sz="4" w:space="0" w:color="auto"/>
              <w:right w:val="single" w:sz="4" w:space="0" w:color="auto"/>
            </w:tcBorders>
            <w:shd w:val="clear" w:color="auto" w:fill="auto"/>
            <w:noWrap/>
            <w:vAlign w:val="center"/>
            <w:hideMark/>
          </w:tcPr>
          <w:p w14:paraId="2BA11B03"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1.088.729.369</w:t>
            </w:r>
          </w:p>
        </w:tc>
        <w:tc>
          <w:tcPr>
            <w:tcW w:w="875" w:type="dxa"/>
            <w:tcBorders>
              <w:top w:val="nil"/>
              <w:left w:val="nil"/>
              <w:bottom w:val="single" w:sz="4" w:space="0" w:color="auto"/>
              <w:right w:val="single" w:sz="4" w:space="0" w:color="auto"/>
            </w:tcBorders>
            <w:shd w:val="clear" w:color="auto" w:fill="auto"/>
            <w:noWrap/>
            <w:vAlign w:val="center"/>
            <w:hideMark/>
          </w:tcPr>
          <w:p w14:paraId="5E9603BA"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1.683.625.033</w:t>
            </w:r>
          </w:p>
        </w:tc>
        <w:tc>
          <w:tcPr>
            <w:tcW w:w="875" w:type="dxa"/>
            <w:tcBorders>
              <w:top w:val="nil"/>
              <w:left w:val="nil"/>
              <w:bottom w:val="single" w:sz="4" w:space="0" w:color="auto"/>
              <w:right w:val="single" w:sz="4" w:space="0" w:color="auto"/>
            </w:tcBorders>
            <w:shd w:val="clear" w:color="auto" w:fill="auto"/>
            <w:noWrap/>
            <w:vAlign w:val="center"/>
            <w:hideMark/>
          </w:tcPr>
          <w:p w14:paraId="3C19E068"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1.495.132.948</w:t>
            </w:r>
          </w:p>
        </w:tc>
        <w:tc>
          <w:tcPr>
            <w:tcW w:w="875" w:type="dxa"/>
            <w:tcBorders>
              <w:top w:val="nil"/>
              <w:left w:val="nil"/>
              <w:bottom w:val="single" w:sz="4" w:space="0" w:color="auto"/>
              <w:right w:val="single" w:sz="4" w:space="0" w:color="auto"/>
            </w:tcBorders>
            <w:shd w:val="clear" w:color="auto" w:fill="auto"/>
            <w:noWrap/>
            <w:vAlign w:val="center"/>
            <w:hideMark/>
          </w:tcPr>
          <w:p w14:paraId="47C2D23E"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1.411.956.108</w:t>
            </w:r>
          </w:p>
        </w:tc>
        <w:tc>
          <w:tcPr>
            <w:tcW w:w="779" w:type="dxa"/>
            <w:tcBorders>
              <w:top w:val="nil"/>
              <w:left w:val="nil"/>
              <w:bottom w:val="single" w:sz="4" w:space="0" w:color="auto"/>
              <w:right w:val="single" w:sz="4" w:space="0" w:color="auto"/>
            </w:tcBorders>
            <w:shd w:val="clear" w:color="auto" w:fill="auto"/>
            <w:noWrap/>
            <w:vAlign w:val="center"/>
            <w:hideMark/>
          </w:tcPr>
          <w:p w14:paraId="180873E9"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110.681.230</w:t>
            </w:r>
          </w:p>
        </w:tc>
        <w:tc>
          <w:tcPr>
            <w:tcW w:w="779" w:type="dxa"/>
            <w:tcBorders>
              <w:top w:val="nil"/>
              <w:left w:val="nil"/>
              <w:bottom w:val="single" w:sz="4" w:space="0" w:color="auto"/>
              <w:right w:val="single" w:sz="4" w:space="0" w:color="auto"/>
            </w:tcBorders>
            <w:shd w:val="clear" w:color="auto" w:fill="auto"/>
            <w:noWrap/>
            <w:vAlign w:val="center"/>
            <w:hideMark/>
          </w:tcPr>
          <w:p w14:paraId="17536DE4"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43.192.391</w:t>
            </w:r>
          </w:p>
        </w:tc>
        <w:tc>
          <w:tcPr>
            <w:tcW w:w="779" w:type="dxa"/>
            <w:tcBorders>
              <w:top w:val="nil"/>
              <w:left w:val="nil"/>
              <w:bottom w:val="single" w:sz="4" w:space="0" w:color="auto"/>
              <w:right w:val="single" w:sz="4" w:space="0" w:color="auto"/>
            </w:tcBorders>
            <w:shd w:val="clear" w:color="auto" w:fill="auto"/>
            <w:noWrap/>
            <w:vAlign w:val="center"/>
            <w:hideMark/>
          </w:tcPr>
          <w:p w14:paraId="76AB78CD"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138.596.775</w:t>
            </w:r>
          </w:p>
        </w:tc>
        <w:tc>
          <w:tcPr>
            <w:tcW w:w="779" w:type="dxa"/>
            <w:tcBorders>
              <w:top w:val="nil"/>
              <w:left w:val="nil"/>
              <w:bottom w:val="single" w:sz="4" w:space="0" w:color="auto"/>
              <w:right w:val="single" w:sz="4" w:space="0" w:color="auto"/>
            </w:tcBorders>
            <w:shd w:val="clear" w:color="auto" w:fill="auto"/>
            <w:noWrap/>
            <w:vAlign w:val="center"/>
            <w:hideMark/>
          </w:tcPr>
          <w:p w14:paraId="2B463A6C"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47.498.912</w:t>
            </w:r>
          </w:p>
        </w:tc>
        <w:tc>
          <w:tcPr>
            <w:tcW w:w="715" w:type="dxa"/>
            <w:tcBorders>
              <w:top w:val="nil"/>
              <w:left w:val="nil"/>
              <w:bottom w:val="single" w:sz="4" w:space="0" w:color="auto"/>
              <w:right w:val="single" w:sz="4" w:space="0" w:color="auto"/>
            </w:tcBorders>
            <w:shd w:val="clear" w:color="auto" w:fill="auto"/>
            <w:noWrap/>
            <w:vAlign w:val="center"/>
            <w:hideMark/>
          </w:tcPr>
          <w:p w14:paraId="403C1514"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40.800.100</w:t>
            </w:r>
          </w:p>
        </w:tc>
        <w:tc>
          <w:tcPr>
            <w:tcW w:w="779" w:type="dxa"/>
            <w:tcBorders>
              <w:top w:val="nil"/>
              <w:left w:val="nil"/>
              <w:bottom w:val="single" w:sz="4" w:space="0" w:color="auto"/>
              <w:right w:val="single" w:sz="4" w:space="0" w:color="auto"/>
            </w:tcBorders>
            <w:shd w:val="clear" w:color="auto" w:fill="auto"/>
            <w:noWrap/>
            <w:vAlign w:val="center"/>
            <w:hideMark/>
          </w:tcPr>
          <w:p w14:paraId="5C0183EB"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107.423.885</w:t>
            </w:r>
          </w:p>
        </w:tc>
        <w:tc>
          <w:tcPr>
            <w:tcW w:w="146" w:type="dxa"/>
            <w:vAlign w:val="center"/>
            <w:hideMark/>
          </w:tcPr>
          <w:p w14:paraId="412EBE8A"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C44B45" w:rsidRPr="00C46123" w14:paraId="5F60BA42" w14:textId="77777777" w:rsidTr="00BE008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61E7C0B0" w14:textId="77777777" w:rsidR="00C44B45" w:rsidRPr="00C44B45" w:rsidRDefault="00C44B4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PPTO Definitivo FUT</w:t>
            </w:r>
          </w:p>
        </w:tc>
        <w:tc>
          <w:tcPr>
            <w:tcW w:w="875" w:type="dxa"/>
            <w:tcBorders>
              <w:top w:val="nil"/>
              <w:left w:val="nil"/>
              <w:bottom w:val="single" w:sz="4" w:space="0" w:color="auto"/>
              <w:right w:val="single" w:sz="4" w:space="0" w:color="auto"/>
            </w:tcBorders>
            <w:shd w:val="clear" w:color="auto" w:fill="auto"/>
            <w:noWrap/>
            <w:vAlign w:val="center"/>
            <w:hideMark/>
          </w:tcPr>
          <w:p w14:paraId="12D81115"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751.342.087</w:t>
            </w:r>
          </w:p>
        </w:tc>
        <w:tc>
          <w:tcPr>
            <w:tcW w:w="875" w:type="dxa"/>
            <w:tcBorders>
              <w:top w:val="nil"/>
              <w:left w:val="nil"/>
              <w:bottom w:val="single" w:sz="4" w:space="0" w:color="auto"/>
              <w:right w:val="single" w:sz="4" w:space="0" w:color="auto"/>
            </w:tcBorders>
            <w:shd w:val="clear" w:color="auto" w:fill="auto"/>
            <w:vAlign w:val="center"/>
            <w:hideMark/>
          </w:tcPr>
          <w:p w14:paraId="061410C0"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2.215.588.673</w:t>
            </w:r>
          </w:p>
        </w:tc>
        <w:tc>
          <w:tcPr>
            <w:tcW w:w="875" w:type="dxa"/>
            <w:tcBorders>
              <w:top w:val="nil"/>
              <w:left w:val="nil"/>
              <w:bottom w:val="single" w:sz="4" w:space="0" w:color="auto"/>
              <w:right w:val="single" w:sz="4" w:space="0" w:color="auto"/>
            </w:tcBorders>
            <w:shd w:val="clear" w:color="auto" w:fill="auto"/>
            <w:noWrap/>
            <w:vAlign w:val="center"/>
            <w:hideMark/>
          </w:tcPr>
          <w:p w14:paraId="4AD3391E"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635.254.815</w:t>
            </w:r>
          </w:p>
        </w:tc>
        <w:tc>
          <w:tcPr>
            <w:tcW w:w="875" w:type="dxa"/>
            <w:tcBorders>
              <w:top w:val="nil"/>
              <w:left w:val="nil"/>
              <w:bottom w:val="single" w:sz="4" w:space="0" w:color="auto"/>
              <w:right w:val="single" w:sz="4" w:space="0" w:color="auto"/>
            </w:tcBorders>
            <w:shd w:val="clear" w:color="auto" w:fill="auto"/>
            <w:noWrap/>
            <w:vAlign w:val="center"/>
            <w:hideMark/>
          </w:tcPr>
          <w:p w14:paraId="2443038D"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2.112.920.684</w:t>
            </w:r>
          </w:p>
        </w:tc>
        <w:tc>
          <w:tcPr>
            <w:tcW w:w="875" w:type="dxa"/>
            <w:tcBorders>
              <w:top w:val="nil"/>
              <w:left w:val="nil"/>
              <w:bottom w:val="single" w:sz="4" w:space="0" w:color="auto"/>
              <w:right w:val="single" w:sz="4" w:space="0" w:color="auto"/>
            </w:tcBorders>
            <w:shd w:val="clear" w:color="auto" w:fill="auto"/>
            <w:noWrap/>
            <w:vAlign w:val="center"/>
            <w:hideMark/>
          </w:tcPr>
          <w:p w14:paraId="39EBEEEC"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454.645.002</w:t>
            </w:r>
          </w:p>
        </w:tc>
        <w:tc>
          <w:tcPr>
            <w:tcW w:w="875" w:type="dxa"/>
            <w:tcBorders>
              <w:top w:val="nil"/>
              <w:left w:val="nil"/>
              <w:bottom w:val="single" w:sz="4" w:space="0" w:color="auto"/>
              <w:right w:val="single" w:sz="4" w:space="0" w:color="auto"/>
            </w:tcBorders>
            <w:shd w:val="clear" w:color="auto" w:fill="auto"/>
            <w:noWrap/>
            <w:vAlign w:val="center"/>
            <w:hideMark/>
          </w:tcPr>
          <w:p w14:paraId="2B399E24"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1.267.356.108</w:t>
            </w:r>
          </w:p>
        </w:tc>
        <w:tc>
          <w:tcPr>
            <w:tcW w:w="779" w:type="dxa"/>
            <w:tcBorders>
              <w:top w:val="nil"/>
              <w:left w:val="nil"/>
              <w:bottom w:val="single" w:sz="4" w:space="0" w:color="auto"/>
              <w:right w:val="single" w:sz="4" w:space="0" w:color="auto"/>
            </w:tcBorders>
            <w:shd w:val="clear" w:color="auto" w:fill="auto"/>
            <w:noWrap/>
            <w:vAlign w:val="center"/>
            <w:hideMark/>
          </w:tcPr>
          <w:p w14:paraId="5C748CB7"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236.307.286</w:t>
            </w:r>
          </w:p>
        </w:tc>
        <w:tc>
          <w:tcPr>
            <w:tcW w:w="779" w:type="dxa"/>
            <w:tcBorders>
              <w:top w:val="nil"/>
              <w:left w:val="nil"/>
              <w:bottom w:val="single" w:sz="4" w:space="0" w:color="auto"/>
              <w:right w:val="single" w:sz="4" w:space="0" w:color="auto"/>
            </w:tcBorders>
            <w:shd w:val="clear" w:color="auto" w:fill="auto"/>
            <w:noWrap/>
            <w:vAlign w:val="center"/>
            <w:hideMark/>
          </w:tcPr>
          <w:p w14:paraId="7E4726D0"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292.073.620</w:t>
            </w:r>
          </w:p>
        </w:tc>
        <w:tc>
          <w:tcPr>
            <w:tcW w:w="779" w:type="dxa"/>
            <w:tcBorders>
              <w:top w:val="nil"/>
              <w:left w:val="nil"/>
              <w:bottom w:val="single" w:sz="4" w:space="0" w:color="auto"/>
              <w:right w:val="single" w:sz="4" w:space="0" w:color="auto"/>
            </w:tcBorders>
            <w:shd w:val="clear" w:color="auto" w:fill="auto"/>
            <w:noWrap/>
            <w:vAlign w:val="center"/>
            <w:hideMark/>
          </w:tcPr>
          <w:p w14:paraId="0AA8EDB4"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171.246.630</w:t>
            </w:r>
          </w:p>
        </w:tc>
        <w:tc>
          <w:tcPr>
            <w:tcW w:w="779" w:type="dxa"/>
            <w:tcBorders>
              <w:top w:val="nil"/>
              <w:left w:val="nil"/>
              <w:bottom w:val="single" w:sz="4" w:space="0" w:color="auto"/>
              <w:right w:val="single" w:sz="4" w:space="0" w:color="auto"/>
            </w:tcBorders>
            <w:shd w:val="clear" w:color="auto" w:fill="auto"/>
            <w:noWrap/>
            <w:vAlign w:val="center"/>
            <w:hideMark/>
          </w:tcPr>
          <w:p w14:paraId="0DB3DADA"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107.389.851</w:t>
            </w:r>
          </w:p>
        </w:tc>
        <w:tc>
          <w:tcPr>
            <w:tcW w:w="715" w:type="dxa"/>
            <w:tcBorders>
              <w:top w:val="nil"/>
              <w:left w:val="nil"/>
              <w:bottom w:val="single" w:sz="4" w:space="0" w:color="auto"/>
              <w:right w:val="single" w:sz="4" w:space="0" w:color="auto"/>
            </w:tcBorders>
            <w:shd w:val="clear" w:color="auto" w:fill="auto"/>
            <w:noWrap/>
            <w:vAlign w:val="center"/>
            <w:hideMark/>
          </w:tcPr>
          <w:p w14:paraId="47DF831C"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28.396.890</w:t>
            </w:r>
          </w:p>
        </w:tc>
        <w:tc>
          <w:tcPr>
            <w:tcW w:w="779" w:type="dxa"/>
            <w:tcBorders>
              <w:top w:val="nil"/>
              <w:left w:val="nil"/>
              <w:bottom w:val="single" w:sz="4" w:space="0" w:color="auto"/>
              <w:right w:val="single" w:sz="4" w:space="0" w:color="auto"/>
            </w:tcBorders>
            <w:shd w:val="clear" w:color="auto" w:fill="auto"/>
            <w:noWrap/>
            <w:vAlign w:val="center"/>
            <w:hideMark/>
          </w:tcPr>
          <w:p w14:paraId="64B59F90"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74.774.030</w:t>
            </w:r>
          </w:p>
        </w:tc>
        <w:tc>
          <w:tcPr>
            <w:tcW w:w="146" w:type="dxa"/>
            <w:vAlign w:val="center"/>
            <w:hideMark/>
          </w:tcPr>
          <w:p w14:paraId="26B741B6"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BE008F" w:rsidRPr="00C46123" w14:paraId="2259E2CC" w14:textId="77777777" w:rsidTr="00BE008F">
        <w:trPr>
          <w:trHeight w:val="115"/>
          <w:jc w:val="center"/>
        </w:trPr>
        <w:tc>
          <w:tcPr>
            <w:tcW w:w="912" w:type="dxa"/>
            <w:tcBorders>
              <w:top w:val="nil"/>
              <w:left w:val="single" w:sz="4" w:space="0" w:color="auto"/>
              <w:bottom w:val="single" w:sz="4" w:space="0" w:color="auto"/>
              <w:right w:val="single" w:sz="4" w:space="0" w:color="auto"/>
            </w:tcBorders>
            <w:shd w:val="clear" w:color="000000" w:fill="5F497A"/>
            <w:vAlign w:val="center"/>
            <w:hideMark/>
          </w:tcPr>
          <w:p w14:paraId="1CD65955" w14:textId="77777777" w:rsidR="00C44B45" w:rsidRPr="00C44B45" w:rsidRDefault="00C44B4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Diferencia</w:t>
            </w:r>
          </w:p>
        </w:tc>
        <w:tc>
          <w:tcPr>
            <w:tcW w:w="875" w:type="dxa"/>
            <w:tcBorders>
              <w:top w:val="nil"/>
              <w:left w:val="nil"/>
              <w:bottom w:val="single" w:sz="4" w:space="0" w:color="auto"/>
              <w:right w:val="single" w:sz="4" w:space="0" w:color="auto"/>
            </w:tcBorders>
            <w:shd w:val="clear" w:color="000000" w:fill="5F497A"/>
            <w:vAlign w:val="center"/>
            <w:hideMark/>
          </w:tcPr>
          <w:p w14:paraId="662DE62C"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374.789.699</w:t>
            </w:r>
          </w:p>
        </w:tc>
        <w:tc>
          <w:tcPr>
            <w:tcW w:w="875" w:type="dxa"/>
            <w:tcBorders>
              <w:top w:val="nil"/>
              <w:left w:val="nil"/>
              <w:bottom w:val="single" w:sz="4" w:space="0" w:color="auto"/>
              <w:right w:val="single" w:sz="4" w:space="0" w:color="auto"/>
            </w:tcBorders>
            <w:shd w:val="clear" w:color="000000" w:fill="5F497A"/>
            <w:vAlign w:val="center"/>
            <w:hideMark/>
          </w:tcPr>
          <w:p w14:paraId="09E40D17"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-975.137.879</w:t>
            </w:r>
          </w:p>
        </w:tc>
        <w:tc>
          <w:tcPr>
            <w:tcW w:w="875" w:type="dxa"/>
            <w:tcBorders>
              <w:top w:val="nil"/>
              <w:left w:val="nil"/>
              <w:bottom w:val="single" w:sz="4" w:space="0" w:color="auto"/>
              <w:right w:val="single" w:sz="4" w:space="0" w:color="auto"/>
            </w:tcBorders>
            <w:shd w:val="clear" w:color="000000" w:fill="5F497A"/>
            <w:vAlign w:val="center"/>
            <w:hideMark/>
          </w:tcPr>
          <w:p w14:paraId="0CD6DC70"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453.474.554</w:t>
            </w:r>
          </w:p>
        </w:tc>
        <w:tc>
          <w:tcPr>
            <w:tcW w:w="875" w:type="dxa"/>
            <w:tcBorders>
              <w:top w:val="nil"/>
              <w:left w:val="nil"/>
              <w:bottom w:val="single" w:sz="4" w:space="0" w:color="auto"/>
              <w:right w:val="single" w:sz="4" w:space="0" w:color="auto"/>
            </w:tcBorders>
            <w:shd w:val="clear" w:color="000000" w:fill="5F497A"/>
            <w:vAlign w:val="center"/>
            <w:hideMark/>
          </w:tcPr>
          <w:p w14:paraId="29D36731"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-429.295.651</w:t>
            </w:r>
          </w:p>
        </w:tc>
        <w:tc>
          <w:tcPr>
            <w:tcW w:w="875" w:type="dxa"/>
            <w:tcBorders>
              <w:top w:val="nil"/>
              <w:left w:val="nil"/>
              <w:bottom w:val="single" w:sz="4" w:space="0" w:color="auto"/>
              <w:right w:val="single" w:sz="4" w:space="0" w:color="auto"/>
            </w:tcBorders>
            <w:shd w:val="clear" w:color="000000" w:fill="5F497A"/>
            <w:vAlign w:val="center"/>
            <w:hideMark/>
          </w:tcPr>
          <w:p w14:paraId="2E2A869D"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1.040.487.946</w:t>
            </w:r>
          </w:p>
        </w:tc>
        <w:tc>
          <w:tcPr>
            <w:tcW w:w="875" w:type="dxa"/>
            <w:tcBorders>
              <w:top w:val="nil"/>
              <w:left w:val="nil"/>
              <w:bottom w:val="single" w:sz="4" w:space="0" w:color="auto"/>
              <w:right w:val="single" w:sz="4" w:space="0" w:color="auto"/>
            </w:tcBorders>
            <w:shd w:val="clear" w:color="000000" w:fill="5F497A"/>
            <w:vAlign w:val="center"/>
            <w:hideMark/>
          </w:tcPr>
          <w:p w14:paraId="307AF746"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144.600.000</w:t>
            </w:r>
          </w:p>
        </w:tc>
        <w:tc>
          <w:tcPr>
            <w:tcW w:w="779" w:type="dxa"/>
            <w:tcBorders>
              <w:top w:val="nil"/>
              <w:left w:val="nil"/>
              <w:bottom w:val="single" w:sz="4" w:space="0" w:color="auto"/>
              <w:right w:val="single" w:sz="4" w:space="0" w:color="auto"/>
            </w:tcBorders>
            <w:shd w:val="clear" w:color="000000" w:fill="5F497A"/>
            <w:vAlign w:val="center"/>
            <w:hideMark/>
          </w:tcPr>
          <w:p w14:paraId="786D01C8"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-125.626.056</w:t>
            </w:r>
          </w:p>
        </w:tc>
        <w:tc>
          <w:tcPr>
            <w:tcW w:w="779" w:type="dxa"/>
            <w:tcBorders>
              <w:top w:val="nil"/>
              <w:left w:val="nil"/>
              <w:bottom w:val="single" w:sz="4" w:space="0" w:color="auto"/>
              <w:right w:val="single" w:sz="4" w:space="0" w:color="auto"/>
            </w:tcBorders>
            <w:shd w:val="clear" w:color="000000" w:fill="5F497A"/>
            <w:vAlign w:val="center"/>
            <w:hideMark/>
          </w:tcPr>
          <w:p w14:paraId="08EA4F32"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-248.881.229</w:t>
            </w:r>
          </w:p>
        </w:tc>
        <w:tc>
          <w:tcPr>
            <w:tcW w:w="779" w:type="dxa"/>
            <w:tcBorders>
              <w:top w:val="nil"/>
              <w:left w:val="nil"/>
              <w:bottom w:val="single" w:sz="4" w:space="0" w:color="auto"/>
              <w:right w:val="single" w:sz="4" w:space="0" w:color="auto"/>
            </w:tcBorders>
            <w:shd w:val="clear" w:color="000000" w:fill="5F497A"/>
            <w:vAlign w:val="center"/>
            <w:hideMark/>
          </w:tcPr>
          <w:p w14:paraId="1FECD641"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-32.649.855</w:t>
            </w:r>
          </w:p>
        </w:tc>
        <w:tc>
          <w:tcPr>
            <w:tcW w:w="779" w:type="dxa"/>
            <w:tcBorders>
              <w:top w:val="nil"/>
              <w:left w:val="nil"/>
              <w:bottom w:val="single" w:sz="4" w:space="0" w:color="auto"/>
              <w:right w:val="single" w:sz="4" w:space="0" w:color="auto"/>
            </w:tcBorders>
            <w:shd w:val="clear" w:color="000000" w:fill="5F497A"/>
            <w:vAlign w:val="center"/>
            <w:hideMark/>
          </w:tcPr>
          <w:p w14:paraId="5BE45214"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-59.890.939</w:t>
            </w:r>
          </w:p>
        </w:tc>
        <w:tc>
          <w:tcPr>
            <w:tcW w:w="715" w:type="dxa"/>
            <w:tcBorders>
              <w:top w:val="nil"/>
              <w:left w:val="nil"/>
              <w:bottom w:val="single" w:sz="4" w:space="0" w:color="auto"/>
              <w:right w:val="single" w:sz="4" w:space="0" w:color="auto"/>
            </w:tcBorders>
            <w:shd w:val="clear" w:color="000000" w:fill="5F497A"/>
            <w:vAlign w:val="center"/>
            <w:hideMark/>
          </w:tcPr>
          <w:p w14:paraId="612DBAA1"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12.403.210</w:t>
            </w:r>
          </w:p>
        </w:tc>
        <w:tc>
          <w:tcPr>
            <w:tcW w:w="779" w:type="dxa"/>
            <w:tcBorders>
              <w:top w:val="nil"/>
              <w:left w:val="nil"/>
              <w:bottom w:val="single" w:sz="4" w:space="0" w:color="auto"/>
              <w:right w:val="single" w:sz="4" w:space="0" w:color="auto"/>
            </w:tcBorders>
            <w:shd w:val="clear" w:color="000000" w:fill="5F497A"/>
            <w:vAlign w:val="center"/>
            <w:hideMark/>
          </w:tcPr>
          <w:p w14:paraId="325DABE0"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32.649.855</w:t>
            </w:r>
          </w:p>
        </w:tc>
        <w:tc>
          <w:tcPr>
            <w:tcW w:w="146" w:type="dxa"/>
            <w:vAlign w:val="center"/>
            <w:hideMark/>
          </w:tcPr>
          <w:p w14:paraId="4E976DBE"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C44B45" w:rsidRPr="00C46123" w14:paraId="73E46CA5" w14:textId="77777777" w:rsidTr="00BE008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6D5E7E9A" w14:textId="77777777" w:rsidR="00C44B45" w:rsidRPr="00C44B45" w:rsidRDefault="00C44B4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Compromisos (Ejecución)</w:t>
            </w:r>
          </w:p>
        </w:tc>
        <w:tc>
          <w:tcPr>
            <w:tcW w:w="875" w:type="dxa"/>
            <w:tcBorders>
              <w:top w:val="nil"/>
              <w:left w:val="nil"/>
              <w:bottom w:val="single" w:sz="4" w:space="0" w:color="auto"/>
              <w:right w:val="single" w:sz="4" w:space="0" w:color="auto"/>
            </w:tcBorders>
            <w:shd w:val="clear" w:color="auto" w:fill="auto"/>
            <w:vAlign w:val="center"/>
            <w:hideMark/>
          </w:tcPr>
          <w:p w14:paraId="5D2BD99F"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1.009.443.024</w:t>
            </w:r>
          </w:p>
        </w:tc>
        <w:tc>
          <w:tcPr>
            <w:tcW w:w="875" w:type="dxa"/>
            <w:tcBorders>
              <w:top w:val="nil"/>
              <w:left w:val="nil"/>
              <w:bottom w:val="single" w:sz="4" w:space="0" w:color="auto"/>
              <w:right w:val="single" w:sz="4" w:space="0" w:color="auto"/>
            </w:tcBorders>
            <w:shd w:val="clear" w:color="auto" w:fill="auto"/>
            <w:noWrap/>
            <w:vAlign w:val="center"/>
            <w:hideMark/>
          </w:tcPr>
          <w:p w14:paraId="76489661"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1.235.554.822</w:t>
            </w:r>
          </w:p>
        </w:tc>
        <w:tc>
          <w:tcPr>
            <w:tcW w:w="875" w:type="dxa"/>
            <w:tcBorders>
              <w:top w:val="nil"/>
              <w:left w:val="nil"/>
              <w:bottom w:val="single" w:sz="4" w:space="0" w:color="auto"/>
              <w:right w:val="single" w:sz="4" w:space="0" w:color="auto"/>
            </w:tcBorders>
            <w:shd w:val="clear" w:color="auto" w:fill="auto"/>
            <w:noWrap/>
            <w:vAlign w:val="center"/>
            <w:hideMark/>
          </w:tcPr>
          <w:p w14:paraId="59BDFD79"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1.082.264.487</w:t>
            </w:r>
          </w:p>
        </w:tc>
        <w:tc>
          <w:tcPr>
            <w:tcW w:w="875" w:type="dxa"/>
            <w:tcBorders>
              <w:top w:val="nil"/>
              <w:left w:val="nil"/>
              <w:bottom w:val="single" w:sz="4" w:space="0" w:color="auto"/>
              <w:right w:val="single" w:sz="4" w:space="0" w:color="auto"/>
            </w:tcBorders>
            <w:shd w:val="clear" w:color="auto" w:fill="auto"/>
            <w:noWrap/>
            <w:vAlign w:val="center"/>
            <w:hideMark/>
          </w:tcPr>
          <w:p w14:paraId="68B1FD12"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1.533.036.905</w:t>
            </w:r>
          </w:p>
        </w:tc>
        <w:tc>
          <w:tcPr>
            <w:tcW w:w="875" w:type="dxa"/>
            <w:tcBorders>
              <w:top w:val="nil"/>
              <w:left w:val="nil"/>
              <w:bottom w:val="single" w:sz="4" w:space="0" w:color="auto"/>
              <w:right w:val="single" w:sz="4" w:space="0" w:color="auto"/>
            </w:tcBorders>
            <w:shd w:val="clear" w:color="auto" w:fill="auto"/>
            <w:noWrap/>
            <w:vAlign w:val="center"/>
            <w:hideMark/>
          </w:tcPr>
          <w:p w14:paraId="0F468DE2"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1.491.664.169</w:t>
            </w:r>
          </w:p>
        </w:tc>
        <w:tc>
          <w:tcPr>
            <w:tcW w:w="875" w:type="dxa"/>
            <w:tcBorders>
              <w:top w:val="nil"/>
              <w:left w:val="nil"/>
              <w:bottom w:val="single" w:sz="4" w:space="0" w:color="auto"/>
              <w:right w:val="single" w:sz="4" w:space="0" w:color="auto"/>
            </w:tcBorders>
            <w:shd w:val="clear" w:color="auto" w:fill="auto"/>
            <w:noWrap/>
            <w:vAlign w:val="center"/>
            <w:hideMark/>
          </w:tcPr>
          <w:p w14:paraId="20BDD19F"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1.393.449.720</w:t>
            </w:r>
          </w:p>
        </w:tc>
        <w:tc>
          <w:tcPr>
            <w:tcW w:w="779" w:type="dxa"/>
            <w:tcBorders>
              <w:top w:val="nil"/>
              <w:left w:val="nil"/>
              <w:bottom w:val="single" w:sz="4" w:space="0" w:color="auto"/>
              <w:right w:val="single" w:sz="4" w:space="0" w:color="auto"/>
            </w:tcBorders>
            <w:shd w:val="clear" w:color="auto" w:fill="auto"/>
            <w:noWrap/>
            <w:vAlign w:val="center"/>
            <w:hideMark/>
          </w:tcPr>
          <w:p w14:paraId="2D1F9548"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105.233.764</w:t>
            </w:r>
          </w:p>
        </w:tc>
        <w:tc>
          <w:tcPr>
            <w:tcW w:w="779" w:type="dxa"/>
            <w:tcBorders>
              <w:top w:val="nil"/>
              <w:left w:val="nil"/>
              <w:bottom w:val="single" w:sz="4" w:space="0" w:color="auto"/>
              <w:right w:val="single" w:sz="4" w:space="0" w:color="auto"/>
            </w:tcBorders>
            <w:shd w:val="clear" w:color="auto" w:fill="auto"/>
            <w:noWrap/>
            <w:vAlign w:val="center"/>
            <w:hideMark/>
          </w:tcPr>
          <w:p w14:paraId="2FAEC0CD"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43.192.391</w:t>
            </w:r>
          </w:p>
        </w:tc>
        <w:tc>
          <w:tcPr>
            <w:tcW w:w="779" w:type="dxa"/>
            <w:tcBorders>
              <w:top w:val="nil"/>
              <w:left w:val="nil"/>
              <w:bottom w:val="single" w:sz="4" w:space="0" w:color="auto"/>
              <w:right w:val="single" w:sz="4" w:space="0" w:color="auto"/>
            </w:tcBorders>
            <w:shd w:val="clear" w:color="auto" w:fill="auto"/>
            <w:noWrap/>
            <w:vAlign w:val="center"/>
            <w:hideMark/>
          </w:tcPr>
          <w:p w14:paraId="5E27438D"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94.642.655</w:t>
            </w:r>
          </w:p>
        </w:tc>
        <w:tc>
          <w:tcPr>
            <w:tcW w:w="779" w:type="dxa"/>
            <w:tcBorders>
              <w:top w:val="nil"/>
              <w:left w:val="nil"/>
              <w:bottom w:val="single" w:sz="4" w:space="0" w:color="auto"/>
              <w:right w:val="single" w:sz="4" w:space="0" w:color="auto"/>
            </w:tcBorders>
            <w:shd w:val="clear" w:color="auto" w:fill="auto"/>
            <w:noWrap/>
            <w:vAlign w:val="center"/>
            <w:hideMark/>
          </w:tcPr>
          <w:p w14:paraId="23575237"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43.213.000</w:t>
            </w:r>
          </w:p>
        </w:tc>
        <w:tc>
          <w:tcPr>
            <w:tcW w:w="715" w:type="dxa"/>
            <w:tcBorders>
              <w:top w:val="nil"/>
              <w:left w:val="nil"/>
              <w:bottom w:val="single" w:sz="4" w:space="0" w:color="auto"/>
              <w:right w:val="single" w:sz="4" w:space="0" w:color="auto"/>
            </w:tcBorders>
            <w:shd w:val="clear" w:color="auto" w:fill="auto"/>
            <w:noWrap/>
            <w:vAlign w:val="center"/>
            <w:hideMark/>
          </w:tcPr>
          <w:p w14:paraId="67F9C139"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32.327.680</w:t>
            </w:r>
          </w:p>
        </w:tc>
        <w:tc>
          <w:tcPr>
            <w:tcW w:w="779" w:type="dxa"/>
            <w:tcBorders>
              <w:top w:val="nil"/>
              <w:left w:val="nil"/>
              <w:bottom w:val="single" w:sz="4" w:space="0" w:color="auto"/>
              <w:right w:val="single" w:sz="4" w:space="0" w:color="auto"/>
            </w:tcBorders>
            <w:shd w:val="clear" w:color="auto" w:fill="auto"/>
            <w:noWrap/>
            <w:vAlign w:val="center"/>
            <w:hideMark/>
          </w:tcPr>
          <w:p w14:paraId="73769F37"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61.658.854</w:t>
            </w:r>
          </w:p>
        </w:tc>
        <w:tc>
          <w:tcPr>
            <w:tcW w:w="146" w:type="dxa"/>
            <w:vAlign w:val="center"/>
            <w:hideMark/>
          </w:tcPr>
          <w:p w14:paraId="28C6F652"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C44B45" w:rsidRPr="00C46123" w14:paraId="60F4CEDC" w14:textId="77777777" w:rsidTr="00BE008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1D28F360" w14:textId="77777777" w:rsidR="00C44B45" w:rsidRPr="00C44B45" w:rsidRDefault="00C44B4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Compromisos FUT</w:t>
            </w:r>
          </w:p>
        </w:tc>
        <w:tc>
          <w:tcPr>
            <w:tcW w:w="875" w:type="dxa"/>
            <w:tcBorders>
              <w:top w:val="nil"/>
              <w:left w:val="nil"/>
              <w:bottom w:val="single" w:sz="4" w:space="0" w:color="auto"/>
              <w:right w:val="single" w:sz="4" w:space="0" w:color="auto"/>
            </w:tcBorders>
            <w:shd w:val="clear" w:color="auto" w:fill="auto"/>
            <w:noWrap/>
            <w:vAlign w:val="center"/>
            <w:hideMark/>
          </w:tcPr>
          <w:p w14:paraId="470D600C"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655.561.334</w:t>
            </w:r>
          </w:p>
        </w:tc>
        <w:tc>
          <w:tcPr>
            <w:tcW w:w="875" w:type="dxa"/>
            <w:tcBorders>
              <w:top w:val="nil"/>
              <w:left w:val="nil"/>
              <w:bottom w:val="single" w:sz="4" w:space="0" w:color="auto"/>
              <w:right w:val="single" w:sz="4" w:space="0" w:color="auto"/>
            </w:tcBorders>
            <w:shd w:val="clear" w:color="auto" w:fill="auto"/>
            <w:noWrap/>
            <w:vAlign w:val="center"/>
            <w:hideMark/>
          </w:tcPr>
          <w:p w14:paraId="672A92B6"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1.975.356.786</w:t>
            </w:r>
          </w:p>
        </w:tc>
        <w:tc>
          <w:tcPr>
            <w:tcW w:w="875" w:type="dxa"/>
            <w:tcBorders>
              <w:top w:val="nil"/>
              <w:left w:val="nil"/>
              <w:bottom w:val="single" w:sz="4" w:space="0" w:color="auto"/>
              <w:right w:val="single" w:sz="4" w:space="0" w:color="auto"/>
            </w:tcBorders>
            <w:shd w:val="clear" w:color="auto" w:fill="auto"/>
            <w:noWrap/>
            <w:vAlign w:val="center"/>
            <w:hideMark/>
          </w:tcPr>
          <w:p w14:paraId="674B2E9A"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604.082.068</w:t>
            </w:r>
          </w:p>
        </w:tc>
        <w:tc>
          <w:tcPr>
            <w:tcW w:w="875" w:type="dxa"/>
            <w:tcBorders>
              <w:top w:val="nil"/>
              <w:left w:val="nil"/>
              <w:bottom w:val="single" w:sz="4" w:space="0" w:color="auto"/>
              <w:right w:val="single" w:sz="4" w:space="0" w:color="auto"/>
            </w:tcBorders>
            <w:shd w:val="clear" w:color="auto" w:fill="auto"/>
            <w:vAlign w:val="center"/>
            <w:hideMark/>
          </w:tcPr>
          <w:p w14:paraId="4A47A5A8"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1.940.518.276</w:t>
            </w:r>
          </w:p>
        </w:tc>
        <w:tc>
          <w:tcPr>
            <w:tcW w:w="875" w:type="dxa"/>
            <w:tcBorders>
              <w:top w:val="nil"/>
              <w:left w:val="nil"/>
              <w:bottom w:val="single" w:sz="4" w:space="0" w:color="auto"/>
              <w:right w:val="single" w:sz="4" w:space="0" w:color="auto"/>
            </w:tcBorders>
            <w:shd w:val="clear" w:color="auto" w:fill="auto"/>
            <w:noWrap/>
            <w:vAlign w:val="center"/>
            <w:hideMark/>
          </w:tcPr>
          <w:p w14:paraId="39AB0475"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453.576.223</w:t>
            </w:r>
          </w:p>
        </w:tc>
        <w:tc>
          <w:tcPr>
            <w:tcW w:w="875" w:type="dxa"/>
            <w:tcBorders>
              <w:top w:val="nil"/>
              <w:left w:val="nil"/>
              <w:bottom w:val="single" w:sz="4" w:space="0" w:color="auto"/>
              <w:right w:val="single" w:sz="4" w:space="0" w:color="auto"/>
            </w:tcBorders>
            <w:shd w:val="clear" w:color="auto" w:fill="auto"/>
            <w:noWrap/>
            <w:vAlign w:val="center"/>
            <w:hideMark/>
          </w:tcPr>
          <w:p w14:paraId="70D6E1F4"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1.115.381.464</w:t>
            </w:r>
          </w:p>
        </w:tc>
        <w:tc>
          <w:tcPr>
            <w:tcW w:w="779" w:type="dxa"/>
            <w:tcBorders>
              <w:top w:val="nil"/>
              <w:left w:val="nil"/>
              <w:bottom w:val="single" w:sz="4" w:space="0" w:color="auto"/>
              <w:right w:val="single" w:sz="4" w:space="0" w:color="auto"/>
            </w:tcBorders>
            <w:shd w:val="clear" w:color="auto" w:fill="auto"/>
            <w:noWrap/>
            <w:vAlign w:val="center"/>
            <w:hideMark/>
          </w:tcPr>
          <w:p w14:paraId="7EA74B97"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208.586.593</w:t>
            </w:r>
          </w:p>
        </w:tc>
        <w:tc>
          <w:tcPr>
            <w:tcW w:w="779" w:type="dxa"/>
            <w:tcBorders>
              <w:top w:val="nil"/>
              <w:left w:val="nil"/>
              <w:bottom w:val="single" w:sz="4" w:space="0" w:color="auto"/>
              <w:right w:val="single" w:sz="4" w:space="0" w:color="auto"/>
            </w:tcBorders>
            <w:shd w:val="clear" w:color="auto" w:fill="auto"/>
            <w:noWrap/>
            <w:vAlign w:val="center"/>
            <w:hideMark/>
          </w:tcPr>
          <w:p w14:paraId="730BED18"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292.073.620</w:t>
            </w:r>
          </w:p>
        </w:tc>
        <w:tc>
          <w:tcPr>
            <w:tcW w:w="779" w:type="dxa"/>
            <w:tcBorders>
              <w:top w:val="nil"/>
              <w:left w:val="nil"/>
              <w:bottom w:val="single" w:sz="4" w:space="0" w:color="auto"/>
              <w:right w:val="single" w:sz="4" w:space="0" w:color="auto"/>
            </w:tcBorders>
            <w:shd w:val="clear" w:color="auto" w:fill="auto"/>
            <w:noWrap/>
            <w:vAlign w:val="center"/>
            <w:hideMark/>
          </w:tcPr>
          <w:p w14:paraId="2B939AB2"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57.392.855</w:t>
            </w:r>
          </w:p>
        </w:tc>
        <w:tc>
          <w:tcPr>
            <w:tcW w:w="779" w:type="dxa"/>
            <w:tcBorders>
              <w:top w:val="nil"/>
              <w:left w:val="nil"/>
              <w:bottom w:val="single" w:sz="4" w:space="0" w:color="auto"/>
              <w:right w:val="single" w:sz="4" w:space="0" w:color="auto"/>
            </w:tcBorders>
            <w:shd w:val="clear" w:color="auto" w:fill="auto"/>
            <w:noWrap/>
            <w:vAlign w:val="center"/>
            <w:hideMark/>
          </w:tcPr>
          <w:p w14:paraId="58A26492"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103.103.000</w:t>
            </w:r>
          </w:p>
        </w:tc>
        <w:tc>
          <w:tcPr>
            <w:tcW w:w="715" w:type="dxa"/>
            <w:tcBorders>
              <w:top w:val="nil"/>
              <w:left w:val="nil"/>
              <w:bottom w:val="single" w:sz="4" w:space="0" w:color="auto"/>
              <w:right w:val="single" w:sz="4" w:space="0" w:color="auto"/>
            </w:tcBorders>
            <w:shd w:val="clear" w:color="auto" w:fill="auto"/>
            <w:noWrap/>
            <w:vAlign w:val="center"/>
            <w:hideMark/>
          </w:tcPr>
          <w:p w14:paraId="68F920EF"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23.400.000</w:t>
            </w:r>
          </w:p>
        </w:tc>
        <w:tc>
          <w:tcPr>
            <w:tcW w:w="779" w:type="dxa"/>
            <w:tcBorders>
              <w:top w:val="nil"/>
              <w:left w:val="nil"/>
              <w:bottom w:val="single" w:sz="4" w:space="0" w:color="auto"/>
              <w:right w:val="single" w:sz="4" w:space="0" w:color="auto"/>
            </w:tcBorders>
            <w:shd w:val="clear" w:color="auto" w:fill="auto"/>
            <w:noWrap/>
            <w:vAlign w:val="center"/>
            <w:hideMark/>
          </w:tcPr>
          <w:p w14:paraId="3871603E"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23.238.579</w:t>
            </w:r>
          </w:p>
        </w:tc>
        <w:tc>
          <w:tcPr>
            <w:tcW w:w="146" w:type="dxa"/>
            <w:vAlign w:val="center"/>
            <w:hideMark/>
          </w:tcPr>
          <w:p w14:paraId="7086082E"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BE008F" w:rsidRPr="00C46123" w14:paraId="41C63DC8" w14:textId="77777777" w:rsidTr="00BE008F">
        <w:trPr>
          <w:trHeight w:val="115"/>
          <w:jc w:val="center"/>
        </w:trPr>
        <w:tc>
          <w:tcPr>
            <w:tcW w:w="912" w:type="dxa"/>
            <w:tcBorders>
              <w:top w:val="nil"/>
              <w:left w:val="single" w:sz="4" w:space="0" w:color="auto"/>
              <w:bottom w:val="single" w:sz="4" w:space="0" w:color="auto"/>
              <w:right w:val="single" w:sz="4" w:space="0" w:color="auto"/>
            </w:tcBorders>
            <w:shd w:val="clear" w:color="000000" w:fill="5F497A"/>
            <w:vAlign w:val="center"/>
            <w:hideMark/>
          </w:tcPr>
          <w:p w14:paraId="2AB0BB65" w14:textId="77777777" w:rsidR="00C44B45" w:rsidRPr="00C44B45" w:rsidRDefault="00C44B4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 xml:space="preserve">Diferencia </w:t>
            </w:r>
          </w:p>
        </w:tc>
        <w:tc>
          <w:tcPr>
            <w:tcW w:w="875" w:type="dxa"/>
            <w:tcBorders>
              <w:top w:val="nil"/>
              <w:left w:val="nil"/>
              <w:bottom w:val="single" w:sz="4" w:space="0" w:color="auto"/>
              <w:right w:val="single" w:sz="4" w:space="0" w:color="auto"/>
            </w:tcBorders>
            <w:shd w:val="clear" w:color="000000" w:fill="5F497A"/>
            <w:vAlign w:val="center"/>
            <w:hideMark/>
          </w:tcPr>
          <w:p w14:paraId="5911D3A1"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353.881.690</w:t>
            </w:r>
          </w:p>
        </w:tc>
        <w:tc>
          <w:tcPr>
            <w:tcW w:w="875" w:type="dxa"/>
            <w:tcBorders>
              <w:top w:val="nil"/>
              <w:left w:val="nil"/>
              <w:bottom w:val="single" w:sz="4" w:space="0" w:color="auto"/>
              <w:right w:val="single" w:sz="4" w:space="0" w:color="auto"/>
            </w:tcBorders>
            <w:shd w:val="clear" w:color="000000" w:fill="5F497A"/>
            <w:vAlign w:val="center"/>
            <w:hideMark/>
          </w:tcPr>
          <w:p w14:paraId="1BF09B56"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-739.801.964</w:t>
            </w:r>
          </w:p>
        </w:tc>
        <w:tc>
          <w:tcPr>
            <w:tcW w:w="875" w:type="dxa"/>
            <w:tcBorders>
              <w:top w:val="nil"/>
              <w:left w:val="nil"/>
              <w:bottom w:val="single" w:sz="4" w:space="0" w:color="auto"/>
              <w:right w:val="single" w:sz="4" w:space="0" w:color="auto"/>
            </w:tcBorders>
            <w:shd w:val="clear" w:color="000000" w:fill="5F497A"/>
            <w:vAlign w:val="center"/>
            <w:hideMark/>
          </w:tcPr>
          <w:p w14:paraId="7883EF88"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478.182.419</w:t>
            </w:r>
          </w:p>
        </w:tc>
        <w:tc>
          <w:tcPr>
            <w:tcW w:w="875" w:type="dxa"/>
            <w:tcBorders>
              <w:top w:val="nil"/>
              <w:left w:val="nil"/>
              <w:bottom w:val="single" w:sz="4" w:space="0" w:color="auto"/>
              <w:right w:val="single" w:sz="4" w:space="0" w:color="auto"/>
            </w:tcBorders>
            <w:shd w:val="clear" w:color="000000" w:fill="5F497A"/>
            <w:vAlign w:val="center"/>
            <w:hideMark/>
          </w:tcPr>
          <w:p w14:paraId="78892492"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-407.481.371</w:t>
            </w:r>
          </w:p>
        </w:tc>
        <w:tc>
          <w:tcPr>
            <w:tcW w:w="875" w:type="dxa"/>
            <w:tcBorders>
              <w:top w:val="nil"/>
              <w:left w:val="nil"/>
              <w:bottom w:val="single" w:sz="4" w:space="0" w:color="auto"/>
              <w:right w:val="single" w:sz="4" w:space="0" w:color="auto"/>
            </w:tcBorders>
            <w:shd w:val="clear" w:color="000000" w:fill="5F497A"/>
            <w:vAlign w:val="center"/>
            <w:hideMark/>
          </w:tcPr>
          <w:p w14:paraId="404CF218"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1.038.087.946</w:t>
            </w:r>
          </w:p>
        </w:tc>
        <w:tc>
          <w:tcPr>
            <w:tcW w:w="875" w:type="dxa"/>
            <w:tcBorders>
              <w:top w:val="nil"/>
              <w:left w:val="nil"/>
              <w:bottom w:val="single" w:sz="4" w:space="0" w:color="auto"/>
              <w:right w:val="single" w:sz="4" w:space="0" w:color="auto"/>
            </w:tcBorders>
            <w:shd w:val="clear" w:color="000000" w:fill="5F497A"/>
            <w:vAlign w:val="center"/>
            <w:hideMark/>
          </w:tcPr>
          <w:p w14:paraId="62F062B3"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278.068.256</w:t>
            </w:r>
          </w:p>
        </w:tc>
        <w:tc>
          <w:tcPr>
            <w:tcW w:w="779" w:type="dxa"/>
            <w:tcBorders>
              <w:top w:val="nil"/>
              <w:left w:val="nil"/>
              <w:bottom w:val="single" w:sz="4" w:space="0" w:color="auto"/>
              <w:right w:val="single" w:sz="4" w:space="0" w:color="auto"/>
            </w:tcBorders>
            <w:shd w:val="clear" w:color="000000" w:fill="5F497A"/>
            <w:vAlign w:val="center"/>
            <w:hideMark/>
          </w:tcPr>
          <w:p w14:paraId="3B076104"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-103.352.829</w:t>
            </w:r>
          </w:p>
        </w:tc>
        <w:tc>
          <w:tcPr>
            <w:tcW w:w="779" w:type="dxa"/>
            <w:tcBorders>
              <w:top w:val="nil"/>
              <w:left w:val="nil"/>
              <w:bottom w:val="single" w:sz="4" w:space="0" w:color="auto"/>
              <w:right w:val="single" w:sz="4" w:space="0" w:color="auto"/>
            </w:tcBorders>
            <w:shd w:val="clear" w:color="000000" w:fill="5F497A"/>
            <w:vAlign w:val="center"/>
            <w:hideMark/>
          </w:tcPr>
          <w:p w14:paraId="2521B730"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-248.881.229</w:t>
            </w:r>
          </w:p>
        </w:tc>
        <w:tc>
          <w:tcPr>
            <w:tcW w:w="779" w:type="dxa"/>
            <w:tcBorders>
              <w:top w:val="nil"/>
              <w:left w:val="nil"/>
              <w:bottom w:val="single" w:sz="4" w:space="0" w:color="auto"/>
              <w:right w:val="single" w:sz="4" w:space="0" w:color="auto"/>
            </w:tcBorders>
            <w:shd w:val="clear" w:color="000000" w:fill="5F497A"/>
            <w:vAlign w:val="center"/>
            <w:hideMark/>
          </w:tcPr>
          <w:p w14:paraId="197D7306"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37.249.800</w:t>
            </w:r>
          </w:p>
        </w:tc>
        <w:tc>
          <w:tcPr>
            <w:tcW w:w="779" w:type="dxa"/>
            <w:tcBorders>
              <w:top w:val="nil"/>
              <w:left w:val="nil"/>
              <w:bottom w:val="single" w:sz="4" w:space="0" w:color="auto"/>
              <w:right w:val="single" w:sz="4" w:space="0" w:color="auto"/>
            </w:tcBorders>
            <w:shd w:val="clear" w:color="000000" w:fill="5F497A"/>
            <w:vAlign w:val="center"/>
            <w:hideMark/>
          </w:tcPr>
          <w:p w14:paraId="7CB264B3"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-59.890.000</w:t>
            </w:r>
          </w:p>
        </w:tc>
        <w:tc>
          <w:tcPr>
            <w:tcW w:w="715" w:type="dxa"/>
            <w:tcBorders>
              <w:top w:val="nil"/>
              <w:left w:val="nil"/>
              <w:bottom w:val="single" w:sz="4" w:space="0" w:color="auto"/>
              <w:right w:val="single" w:sz="4" w:space="0" w:color="auto"/>
            </w:tcBorders>
            <w:shd w:val="clear" w:color="000000" w:fill="5F497A"/>
            <w:vAlign w:val="center"/>
            <w:hideMark/>
          </w:tcPr>
          <w:p w14:paraId="62CE17B8"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8.927.680</w:t>
            </w:r>
          </w:p>
        </w:tc>
        <w:tc>
          <w:tcPr>
            <w:tcW w:w="779" w:type="dxa"/>
            <w:tcBorders>
              <w:top w:val="nil"/>
              <w:left w:val="nil"/>
              <w:bottom w:val="single" w:sz="4" w:space="0" w:color="auto"/>
              <w:right w:val="single" w:sz="4" w:space="0" w:color="auto"/>
            </w:tcBorders>
            <w:shd w:val="clear" w:color="000000" w:fill="5F497A"/>
            <w:vAlign w:val="center"/>
            <w:hideMark/>
          </w:tcPr>
          <w:p w14:paraId="1770CEE1"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38.420.275</w:t>
            </w:r>
          </w:p>
        </w:tc>
        <w:tc>
          <w:tcPr>
            <w:tcW w:w="146" w:type="dxa"/>
            <w:vAlign w:val="center"/>
            <w:hideMark/>
          </w:tcPr>
          <w:p w14:paraId="5DBD49D4"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C44B45" w:rsidRPr="00C46123" w14:paraId="2F03D5D4" w14:textId="77777777" w:rsidTr="00BE008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6D3CED7B" w14:textId="77777777" w:rsidR="00C44B45" w:rsidRPr="00C44B45" w:rsidRDefault="00C44B4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Obligaciones (Ejecución)</w:t>
            </w:r>
          </w:p>
        </w:tc>
        <w:tc>
          <w:tcPr>
            <w:tcW w:w="875" w:type="dxa"/>
            <w:tcBorders>
              <w:top w:val="nil"/>
              <w:left w:val="nil"/>
              <w:bottom w:val="single" w:sz="4" w:space="0" w:color="auto"/>
              <w:right w:val="single" w:sz="4" w:space="0" w:color="auto"/>
            </w:tcBorders>
            <w:shd w:val="clear" w:color="auto" w:fill="auto"/>
            <w:vAlign w:val="center"/>
            <w:hideMark/>
          </w:tcPr>
          <w:p w14:paraId="556F80FE"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1.009.709.324</w:t>
            </w:r>
          </w:p>
        </w:tc>
        <w:tc>
          <w:tcPr>
            <w:tcW w:w="875" w:type="dxa"/>
            <w:tcBorders>
              <w:top w:val="nil"/>
              <w:left w:val="nil"/>
              <w:bottom w:val="single" w:sz="4" w:space="0" w:color="auto"/>
              <w:right w:val="single" w:sz="4" w:space="0" w:color="auto"/>
            </w:tcBorders>
            <w:shd w:val="clear" w:color="auto" w:fill="auto"/>
            <w:noWrap/>
            <w:vAlign w:val="center"/>
            <w:hideMark/>
          </w:tcPr>
          <w:p w14:paraId="31B46D1C"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1.235.554.822</w:t>
            </w:r>
          </w:p>
        </w:tc>
        <w:tc>
          <w:tcPr>
            <w:tcW w:w="875" w:type="dxa"/>
            <w:tcBorders>
              <w:top w:val="nil"/>
              <w:left w:val="nil"/>
              <w:bottom w:val="single" w:sz="4" w:space="0" w:color="auto"/>
              <w:right w:val="single" w:sz="4" w:space="0" w:color="auto"/>
            </w:tcBorders>
            <w:shd w:val="clear" w:color="auto" w:fill="auto"/>
            <w:noWrap/>
            <w:vAlign w:val="center"/>
            <w:hideMark/>
          </w:tcPr>
          <w:p w14:paraId="71CAA708"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1.065.472.753</w:t>
            </w:r>
          </w:p>
        </w:tc>
        <w:tc>
          <w:tcPr>
            <w:tcW w:w="875" w:type="dxa"/>
            <w:tcBorders>
              <w:top w:val="nil"/>
              <w:left w:val="nil"/>
              <w:bottom w:val="single" w:sz="4" w:space="0" w:color="auto"/>
              <w:right w:val="single" w:sz="4" w:space="0" w:color="auto"/>
            </w:tcBorders>
            <w:shd w:val="clear" w:color="auto" w:fill="auto"/>
            <w:noWrap/>
            <w:vAlign w:val="center"/>
            <w:hideMark/>
          </w:tcPr>
          <w:p w14:paraId="0676D246"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1.503.849.567</w:t>
            </w:r>
          </w:p>
        </w:tc>
        <w:tc>
          <w:tcPr>
            <w:tcW w:w="875" w:type="dxa"/>
            <w:tcBorders>
              <w:top w:val="nil"/>
              <w:left w:val="nil"/>
              <w:bottom w:val="single" w:sz="4" w:space="0" w:color="auto"/>
              <w:right w:val="single" w:sz="4" w:space="0" w:color="auto"/>
            </w:tcBorders>
            <w:shd w:val="clear" w:color="auto" w:fill="auto"/>
            <w:noWrap/>
            <w:vAlign w:val="center"/>
            <w:hideMark/>
          </w:tcPr>
          <w:p w14:paraId="176D7E5B"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1.470.164.173</w:t>
            </w:r>
          </w:p>
        </w:tc>
        <w:tc>
          <w:tcPr>
            <w:tcW w:w="875" w:type="dxa"/>
            <w:tcBorders>
              <w:top w:val="nil"/>
              <w:left w:val="nil"/>
              <w:bottom w:val="single" w:sz="4" w:space="0" w:color="auto"/>
              <w:right w:val="single" w:sz="4" w:space="0" w:color="auto"/>
            </w:tcBorders>
            <w:shd w:val="clear" w:color="auto" w:fill="auto"/>
            <w:noWrap/>
            <w:vAlign w:val="center"/>
            <w:hideMark/>
          </w:tcPr>
          <w:p w14:paraId="5E952201"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1.369.239.554</w:t>
            </w:r>
          </w:p>
        </w:tc>
        <w:tc>
          <w:tcPr>
            <w:tcW w:w="779" w:type="dxa"/>
            <w:tcBorders>
              <w:top w:val="nil"/>
              <w:left w:val="nil"/>
              <w:bottom w:val="single" w:sz="4" w:space="0" w:color="auto"/>
              <w:right w:val="single" w:sz="4" w:space="0" w:color="auto"/>
            </w:tcBorders>
            <w:shd w:val="clear" w:color="auto" w:fill="auto"/>
            <w:noWrap/>
            <w:vAlign w:val="center"/>
            <w:hideMark/>
          </w:tcPr>
          <w:p w14:paraId="1A465C01"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105.233.764</w:t>
            </w:r>
          </w:p>
        </w:tc>
        <w:tc>
          <w:tcPr>
            <w:tcW w:w="779" w:type="dxa"/>
            <w:tcBorders>
              <w:top w:val="nil"/>
              <w:left w:val="nil"/>
              <w:bottom w:val="single" w:sz="4" w:space="0" w:color="auto"/>
              <w:right w:val="single" w:sz="4" w:space="0" w:color="auto"/>
            </w:tcBorders>
            <w:shd w:val="clear" w:color="auto" w:fill="auto"/>
            <w:noWrap/>
            <w:vAlign w:val="center"/>
            <w:hideMark/>
          </w:tcPr>
          <w:p w14:paraId="18444B76"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43.192.391</w:t>
            </w:r>
          </w:p>
        </w:tc>
        <w:tc>
          <w:tcPr>
            <w:tcW w:w="779" w:type="dxa"/>
            <w:tcBorders>
              <w:top w:val="nil"/>
              <w:left w:val="nil"/>
              <w:bottom w:val="single" w:sz="4" w:space="0" w:color="auto"/>
              <w:right w:val="single" w:sz="4" w:space="0" w:color="auto"/>
            </w:tcBorders>
            <w:shd w:val="clear" w:color="auto" w:fill="auto"/>
            <w:noWrap/>
            <w:vAlign w:val="center"/>
            <w:hideMark/>
          </w:tcPr>
          <w:p w14:paraId="0F0FB115"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94.589.754</w:t>
            </w:r>
          </w:p>
        </w:tc>
        <w:tc>
          <w:tcPr>
            <w:tcW w:w="779" w:type="dxa"/>
            <w:tcBorders>
              <w:top w:val="nil"/>
              <w:left w:val="nil"/>
              <w:bottom w:val="single" w:sz="4" w:space="0" w:color="auto"/>
              <w:right w:val="single" w:sz="4" w:space="0" w:color="auto"/>
            </w:tcBorders>
            <w:shd w:val="clear" w:color="auto" w:fill="auto"/>
            <w:noWrap/>
            <w:vAlign w:val="center"/>
            <w:hideMark/>
          </w:tcPr>
          <w:p w14:paraId="6809237B"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43.213.000</w:t>
            </w:r>
          </w:p>
        </w:tc>
        <w:tc>
          <w:tcPr>
            <w:tcW w:w="715" w:type="dxa"/>
            <w:tcBorders>
              <w:top w:val="nil"/>
              <w:left w:val="nil"/>
              <w:bottom w:val="single" w:sz="4" w:space="0" w:color="auto"/>
              <w:right w:val="single" w:sz="4" w:space="0" w:color="auto"/>
            </w:tcBorders>
            <w:shd w:val="clear" w:color="auto" w:fill="auto"/>
            <w:noWrap/>
            <w:vAlign w:val="center"/>
            <w:hideMark/>
          </w:tcPr>
          <w:p w14:paraId="41A31002"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32.327.680</w:t>
            </w:r>
          </w:p>
        </w:tc>
        <w:tc>
          <w:tcPr>
            <w:tcW w:w="779" w:type="dxa"/>
            <w:tcBorders>
              <w:top w:val="nil"/>
              <w:left w:val="nil"/>
              <w:bottom w:val="single" w:sz="4" w:space="0" w:color="auto"/>
              <w:right w:val="single" w:sz="4" w:space="0" w:color="auto"/>
            </w:tcBorders>
            <w:shd w:val="clear" w:color="auto" w:fill="auto"/>
            <w:noWrap/>
            <w:vAlign w:val="center"/>
            <w:hideMark/>
          </w:tcPr>
          <w:p w14:paraId="27A9ECE7"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40.761.964</w:t>
            </w:r>
          </w:p>
        </w:tc>
        <w:tc>
          <w:tcPr>
            <w:tcW w:w="146" w:type="dxa"/>
            <w:vAlign w:val="center"/>
            <w:hideMark/>
          </w:tcPr>
          <w:p w14:paraId="3CF21B08"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C44B45" w:rsidRPr="00C46123" w14:paraId="67CD3804" w14:textId="77777777" w:rsidTr="00BE008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412EEA47" w14:textId="77777777" w:rsidR="00C44B45" w:rsidRPr="00C44B45" w:rsidRDefault="00C44B4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Obligaciones FUT</w:t>
            </w:r>
          </w:p>
        </w:tc>
        <w:tc>
          <w:tcPr>
            <w:tcW w:w="875" w:type="dxa"/>
            <w:tcBorders>
              <w:top w:val="nil"/>
              <w:left w:val="nil"/>
              <w:bottom w:val="single" w:sz="4" w:space="0" w:color="auto"/>
              <w:right w:val="single" w:sz="4" w:space="0" w:color="auto"/>
            </w:tcBorders>
            <w:shd w:val="clear" w:color="auto" w:fill="auto"/>
            <w:noWrap/>
            <w:vAlign w:val="center"/>
            <w:hideMark/>
          </w:tcPr>
          <w:p w14:paraId="3FDE6B7A"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653.964.234</w:t>
            </w:r>
          </w:p>
        </w:tc>
        <w:tc>
          <w:tcPr>
            <w:tcW w:w="875" w:type="dxa"/>
            <w:tcBorders>
              <w:top w:val="nil"/>
              <w:left w:val="nil"/>
              <w:bottom w:val="single" w:sz="4" w:space="0" w:color="auto"/>
              <w:right w:val="single" w:sz="4" w:space="0" w:color="auto"/>
            </w:tcBorders>
            <w:shd w:val="clear" w:color="auto" w:fill="auto"/>
            <w:noWrap/>
            <w:vAlign w:val="center"/>
            <w:hideMark/>
          </w:tcPr>
          <w:p w14:paraId="52CDFE50"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1.971.909.086</w:t>
            </w:r>
          </w:p>
        </w:tc>
        <w:tc>
          <w:tcPr>
            <w:tcW w:w="875" w:type="dxa"/>
            <w:tcBorders>
              <w:top w:val="nil"/>
              <w:left w:val="nil"/>
              <w:bottom w:val="single" w:sz="4" w:space="0" w:color="auto"/>
              <w:right w:val="single" w:sz="4" w:space="0" w:color="auto"/>
            </w:tcBorders>
            <w:shd w:val="clear" w:color="auto" w:fill="auto"/>
            <w:noWrap/>
            <w:vAlign w:val="center"/>
            <w:hideMark/>
          </w:tcPr>
          <w:p w14:paraId="43A2187B"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602.759.657</w:t>
            </w:r>
          </w:p>
        </w:tc>
        <w:tc>
          <w:tcPr>
            <w:tcW w:w="875" w:type="dxa"/>
            <w:tcBorders>
              <w:top w:val="nil"/>
              <w:left w:val="nil"/>
              <w:bottom w:val="single" w:sz="4" w:space="0" w:color="auto"/>
              <w:right w:val="single" w:sz="4" w:space="0" w:color="auto"/>
            </w:tcBorders>
            <w:shd w:val="clear" w:color="auto" w:fill="auto"/>
            <w:noWrap/>
            <w:vAlign w:val="center"/>
            <w:hideMark/>
          </w:tcPr>
          <w:p w14:paraId="3C920338"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1.632.286.002</w:t>
            </w:r>
          </w:p>
        </w:tc>
        <w:tc>
          <w:tcPr>
            <w:tcW w:w="875" w:type="dxa"/>
            <w:tcBorders>
              <w:top w:val="nil"/>
              <w:left w:val="nil"/>
              <w:bottom w:val="single" w:sz="4" w:space="0" w:color="auto"/>
              <w:right w:val="single" w:sz="4" w:space="0" w:color="auto"/>
            </w:tcBorders>
            <w:shd w:val="clear" w:color="auto" w:fill="auto"/>
            <w:noWrap/>
            <w:vAlign w:val="center"/>
            <w:hideMark/>
          </w:tcPr>
          <w:p w14:paraId="489261B2"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432.076.227</w:t>
            </w:r>
          </w:p>
        </w:tc>
        <w:tc>
          <w:tcPr>
            <w:tcW w:w="875" w:type="dxa"/>
            <w:tcBorders>
              <w:top w:val="nil"/>
              <w:left w:val="nil"/>
              <w:bottom w:val="single" w:sz="4" w:space="0" w:color="auto"/>
              <w:right w:val="single" w:sz="4" w:space="0" w:color="auto"/>
            </w:tcBorders>
            <w:shd w:val="clear" w:color="auto" w:fill="auto"/>
            <w:noWrap/>
            <w:vAlign w:val="center"/>
            <w:hideMark/>
          </w:tcPr>
          <w:p w14:paraId="32BAC826"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983.254.099</w:t>
            </w:r>
          </w:p>
        </w:tc>
        <w:tc>
          <w:tcPr>
            <w:tcW w:w="779" w:type="dxa"/>
            <w:tcBorders>
              <w:top w:val="nil"/>
              <w:left w:val="nil"/>
              <w:bottom w:val="single" w:sz="4" w:space="0" w:color="auto"/>
              <w:right w:val="single" w:sz="4" w:space="0" w:color="auto"/>
            </w:tcBorders>
            <w:shd w:val="clear" w:color="auto" w:fill="auto"/>
            <w:noWrap/>
            <w:vAlign w:val="center"/>
            <w:hideMark/>
          </w:tcPr>
          <w:p w14:paraId="429D3584"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208.586.593</w:t>
            </w:r>
          </w:p>
        </w:tc>
        <w:tc>
          <w:tcPr>
            <w:tcW w:w="779" w:type="dxa"/>
            <w:tcBorders>
              <w:top w:val="nil"/>
              <w:left w:val="nil"/>
              <w:bottom w:val="single" w:sz="4" w:space="0" w:color="auto"/>
              <w:right w:val="single" w:sz="4" w:space="0" w:color="auto"/>
            </w:tcBorders>
            <w:shd w:val="clear" w:color="auto" w:fill="auto"/>
            <w:noWrap/>
            <w:vAlign w:val="center"/>
            <w:hideMark/>
          </w:tcPr>
          <w:p w14:paraId="241AEF62"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292.073.620</w:t>
            </w:r>
          </w:p>
        </w:tc>
        <w:tc>
          <w:tcPr>
            <w:tcW w:w="779" w:type="dxa"/>
            <w:tcBorders>
              <w:top w:val="nil"/>
              <w:left w:val="nil"/>
              <w:bottom w:val="single" w:sz="4" w:space="0" w:color="auto"/>
              <w:right w:val="single" w:sz="4" w:space="0" w:color="auto"/>
            </w:tcBorders>
            <w:shd w:val="clear" w:color="auto" w:fill="auto"/>
            <w:noWrap/>
            <w:vAlign w:val="center"/>
            <w:hideMark/>
          </w:tcPr>
          <w:p w14:paraId="385E41B1"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43.649.855</w:t>
            </w:r>
          </w:p>
        </w:tc>
        <w:tc>
          <w:tcPr>
            <w:tcW w:w="779" w:type="dxa"/>
            <w:tcBorders>
              <w:top w:val="nil"/>
              <w:left w:val="nil"/>
              <w:bottom w:val="single" w:sz="4" w:space="0" w:color="auto"/>
              <w:right w:val="single" w:sz="4" w:space="0" w:color="auto"/>
            </w:tcBorders>
            <w:shd w:val="clear" w:color="auto" w:fill="auto"/>
            <w:noWrap/>
            <w:vAlign w:val="center"/>
            <w:hideMark/>
          </w:tcPr>
          <w:p w14:paraId="130AFAE5"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103.103.000</w:t>
            </w:r>
          </w:p>
        </w:tc>
        <w:tc>
          <w:tcPr>
            <w:tcW w:w="715" w:type="dxa"/>
            <w:tcBorders>
              <w:top w:val="nil"/>
              <w:left w:val="nil"/>
              <w:bottom w:val="single" w:sz="4" w:space="0" w:color="auto"/>
              <w:right w:val="single" w:sz="4" w:space="0" w:color="auto"/>
            </w:tcBorders>
            <w:shd w:val="clear" w:color="auto" w:fill="auto"/>
            <w:noWrap/>
            <w:vAlign w:val="center"/>
            <w:hideMark/>
          </w:tcPr>
          <w:p w14:paraId="2747E3A2"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23.400.000</w:t>
            </w:r>
          </w:p>
        </w:tc>
        <w:tc>
          <w:tcPr>
            <w:tcW w:w="779" w:type="dxa"/>
            <w:tcBorders>
              <w:top w:val="nil"/>
              <w:left w:val="nil"/>
              <w:bottom w:val="single" w:sz="4" w:space="0" w:color="auto"/>
              <w:right w:val="single" w:sz="4" w:space="0" w:color="auto"/>
            </w:tcBorders>
            <w:shd w:val="clear" w:color="auto" w:fill="auto"/>
            <w:noWrap/>
            <w:vAlign w:val="center"/>
            <w:hideMark/>
          </w:tcPr>
          <w:p w14:paraId="0BF4796C"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23.238.579</w:t>
            </w:r>
          </w:p>
        </w:tc>
        <w:tc>
          <w:tcPr>
            <w:tcW w:w="146" w:type="dxa"/>
            <w:vAlign w:val="center"/>
            <w:hideMark/>
          </w:tcPr>
          <w:p w14:paraId="3CE2E739"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BE008F" w:rsidRPr="00C46123" w14:paraId="6AB140B4" w14:textId="77777777" w:rsidTr="00BE008F">
        <w:trPr>
          <w:trHeight w:val="115"/>
          <w:jc w:val="center"/>
        </w:trPr>
        <w:tc>
          <w:tcPr>
            <w:tcW w:w="912" w:type="dxa"/>
            <w:tcBorders>
              <w:top w:val="nil"/>
              <w:left w:val="single" w:sz="4" w:space="0" w:color="auto"/>
              <w:bottom w:val="single" w:sz="4" w:space="0" w:color="auto"/>
              <w:right w:val="single" w:sz="4" w:space="0" w:color="auto"/>
            </w:tcBorders>
            <w:shd w:val="clear" w:color="000000" w:fill="5F497A"/>
            <w:vAlign w:val="center"/>
            <w:hideMark/>
          </w:tcPr>
          <w:p w14:paraId="46EAE824" w14:textId="77777777" w:rsidR="00C44B45" w:rsidRPr="00C44B45" w:rsidRDefault="00C44B4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Diferencia</w:t>
            </w:r>
          </w:p>
        </w:tc>
        <w:tc>
          <w:tcPr>
            <w:tcW w:w="875" w:type="dxa"/>
            <w:tcBorders>
              <w:top w:val="nil"/>
              <w:left w:val="nil"/>
              <w:bottom w:val="single" w:sz="4" w:space="0" w:color="auto"/>
              <w:right w:val="single" w:sz="4" w:space="0" w:color="auto"/>
            </w:tcBorders>
            <w:shd w:val="clear" w:color="000000" w:fill="5F497A"/>
            <w:vAlign w:val="center"/>
            <w:hideMark/>
          </w:tcPr>
          <w:p w14:paraId="3CD87C21"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355.745.090</w:t>
            </w:r>
          </w:p>
        </w:tc>
        <w:tc>
          <w:tcPr>
            <w:tcW w:w="875" w:type="dxa"/>
            <w:tcBorders>
              <w:top w:val="nil"/>
              <w:left w:val="nil"/>
              <w:bottom w:val="single" w:sz="4" w:space="0" w:color="auto"/>
              <w:right w:val="single" w:sz="4" w:space="0" w:color="auto"/>
            </w:tcBorders>
            <w:shd w:val="clear" w:color="000000" w:fill="5F497A"/>
            <w:vAlign w:val="center"/>
            <w:hideMark/>
          </w:tcPr>
          <w:p w14:paraId="581EC9AA"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-736.354.264</w:t>
            </w:r>
          </w:p>
        </w:tc>
        <w:tc>
          <w:tcPr>
            <w:tcW w:w="875" w:type="dxa"/>
            <w:tcBorders>
              <w:top w:val="nil"/>
              <w:left w:val="nil"/>
              <w:bottom w:val="single" w:sz="4" w:space="0" w:color="auto"/>
              <w:right w:val="single" w:sz="4" w:space="0" w:color="auto"/>
            </w:tcBorders>
            <w:shd w:val="clear" w:color="000000" w:fill="5F497A"/>
            <w:vAlign w:val="center"/>
            <w:hideMark/>
          </w:tcPr>
          <w:p w14:paraId="302B6A22"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462.713.096</w:t>
            </w:r>
          </w:p>
        </w:tc>
        <w:tc>
          <w:tcPr>
            <w:tcW w:w="875" w:type="dxa"/>
            <w:tcBorders>
              <w:top w:val="nil"/>
              <w:left w:val="nil"/>
              <w:bottom w:val="single" w:sz="4" w:space="0" w:color="auto"/>
              <w:right w:val="single" w:sz="4" w:space="0" w:color="auto"/>
            </w:tcBorders>
            <w:shd w:val="clear" w:color="000000" w:fill="5F497A"/>
            <w:vAlign w:val="center"/>
            <w:hideMark/>
          </w:tcPr>
          <w:p w14:paraId="0C9358FF"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-128.436.435</w:t>
            </w:r>
          </w:p>
        </w:tc>
        <w:tc>
          <w:tcPr>
            <w:tcW w:w="875" w:type="dxa"/>
            <w:tcBorders>
              <w:top w:val="nil"/>
              <w:left w:val="nil"/>
              <w:bottom w:val="single" w:sz="4" w:space="0" w:color="auto"/>
              <w:right w:val="single" w:sz="4" w:space="0" w:color="auto"/>
            </w:tcBorders>
            <w:shd w:val="clear" w:color="000000" w:fill="5F497A"/>
            <w:vAlign w:val="center"/>
            <w:hideMark/>
          </w:tcPr>
          <w:p w14:paraId="0BC9DC6C"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1.038.087.946</w:t>
            </w:r>
          </w:p>
        </w:tc>
        <w:tc>
          <w:tcPr>
            <w:tcW w:w="875" w:type="dxa"/>
            <w:tcBorders>
              <w:top w:val="nil"/>
              <w:left w:val="nil"/>
              <w:bottom w:val="single" w:sz="4" w:space="0" w:color="auto"/>
              <w:right w:val="single" w:sz="4" w:space="0" w:color="auto"/>
            </w:tcBorders>
            <w:shd w:val="clear" w:color="000000" w:fill="5F497A"/>
            <w:vAlign w:val="center"/>
            <w:hideMark/>
          </w:tcPr>
          <w:p w14:paraId="5A19CE09"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385.985.455</w:t>
            </w:r>
          </w:p>
        </w:tc>
        <w:tc>
          <w:tcPr>
            <w:tcW w:w="779" w:type="dxa"/>
            <w:tcBorders>
              <w:top w:val="nil"/>
              <w:left w:val="nil"/>
              <w:bottom w:val="single" w:sz="4" w:space="0" w:color="auto"/>
              <w:right w:val="single" w:sz="4" w:space="0" w:color="auto"/>
            </w:tcBorders>
            <w:shd w:val="clear" w:color="000000" w:fill="5F497A"/>
            <w:vAlign w:val="center"/>
            <w:hideMark/>
          </w:tcPr>
          <w:p w14:paraId="2B020EF4"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-103.352.829</w:t>
            </w:r>
          </w:p>
        </w:tc>
        <w:tc>
          <w:tcPr>
            <w:tcW w:w="779" w:type="dxa"/>
            <w:tcBorders>
              <w:top w:val="nil"/>
              <w:left w:val="nil"/>
              <w:bottom w:val="single" w:sz="4" w:space="0" w:color="auto"/>
              <w:right w:val="single" w:sz="4" w:space="0" w:color="auto"/>
            </w:tcBorders>
            <w:shd w:val="clear" w:color="000000" w:fill="5F497A"/>
            <w:vAlign w:val="center"/>
            <w:hideMark/>
          </w:tcPr>
          <w:p w14:paraId="09047EC3"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-248.881.229</w:t>
            </w:r>
          </w:p>
        </w:tc>
        <w:tc>
          <w:tcPr>
            <w:tcW w:w="779" w:type="dxa"/>
            <w:tcBorders>
              <w:top w:val="nil"/>
              <w:left w:val="nil"/>
              <w:bottom w:val="single" w:sz="4" w:space="0" w:color="auto"/>
              <w:right w:val="single" w:sz="4" w:space="0" w:color="auto"/>
            </w:tcBorders>
            <w:shd w:val="clear" w:color="000000" w:fill="5F497A"/>
            <w:vAlign w:val="center"/>
            <w:hideMark/>
          </w:tcPr>
          <w:p w14:paraId="0C7FA355"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50.939.899</w:t>
            </w:r>
          </w:p>
        </w:tc>
        <w:tc>
          <w:tcPr>
            <w:tcW w:w="779" w:type="dxa"/>
            <w:tcBorders>
              <w:top w:val="nil"/>
              <w:left w:val="nil"/>
              <w:bottom w:val="single" w:sz="4" w:space="0" w:color="auto"/>
              <w:right w:val="single" w:sz="4" w:space="0" w:color="auto"/>
            </w:tcBorders>
            <w:shd w:val="clear" w:color="000000" w:fill="5F497A"/>
            <w:vAlign w:val="center"/>
            <w:hideMark/>
          </w:tcPr>
          <w:p w14:paraId="17A9B8F7"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-59.890.000</w:t>
            </w:r>
          </w:p>
        </w:tc>
        <w:tc>
          <w:tcPr>
            <w:tcW w:w="715" w:type="dxa"/>
            <w:tcBorders>
              <w:top w:val="nil"/>
              <w:left w:val="nil"/>
              <w:bottom w:val="single" w:sz="4" w:space="0" w:color="auto"/>
              <w:right w:val="single" w:sz="4" w:space="0" w:color="auto"/>
            </w:tcBorders>
            <w:shd w:val="clear" w:color="000000" w:fill="5F497A"/>
            <w:vAlign w:val="center"/>
            <w:hideMark/>
          </w:tcPr>
          <w:p w14:paraId="6529A156"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8.927.680</w:t>
            </w:r>
          </w:p>
        </w:tc>
        <w:tc>
          <w:tcPr>
            <w:tcW w:w="779" w:type="dxa"/>
            <w:tcBorders>
              <w:top w:val="nil"/>
              <w:left w:val="nil"/>
              <w:bottom w:val="single" w:sz="4" w:space="0" w:color="auto"/>
              <w:right w:val="single" w:sz="4" w:space="0" w:color="auto"/>
            </w:tcBorders>
            <w:shd w:val="clear" w:color="000000" w:fill="5F497A"/>
            <w:vAlign w:val="center"/>
            <w:hideMark/>
          </w:tcPr>
          <w:p w14:paraId="091F56A2"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17.523.385</w:t>
            </w:r>
          </w:p>
        </w:tc>
        <w:tc>
          <w:tcPr>
            <w:tcW w:w="146" w:type="dxa"/>
            <w:vAlign w:val="center"/>
            <w:hideMark/>
          </w:tcPr>
          <w:p w14:paraId="124B3808"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C44B45" w:rsidRPr="00C46123" w14:paraId="70C021BF" w14:textId="77777777" w:rsidTr="00BE008F">
        <w:trPr>
          <w:trHeight w:val="211"/>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2D0C2344" w14:textId="77777777" w:rsidR="00C44B45" w:rsidRPr="00C44B45" w:rsidRDefault="00C44B4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Pagos (Ejecución)</w:t>
            </w:r>
          </w:p>
        </w:tc>
        <w:tc>
          <w:tcPr>
            <w:tcW w:w="875" w:type="dxa"/>
            <w:tcBorders>
              <w:top w:val="nil"/>
              <w:left w:val="nil"/>
              <w:bottom w:val="single" w:sz="4" w:space="0" w:color="auto"/>
              <w:right w:val="single" w:sz="4" w:space="0" w:color="auto"/>
            </w:tcBorders>
            <w:shd w:val="clear" w:color="auto" w:fill="auto"/>
            <w:vAlign w:val="center"/>
            <w:hideMark/>
          </w:tcPr>
          <w:p w14:paraId="45B1B46E"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984.778.320</w:t>
            </w:r>
          </w:p>
        </w:tc>
        <w:tc>
          <w:tcPr>
            <w:tcW w:w="875" w:type="dxa"/>
            <w:tcBorders>
              <w:top w:val="nil"/>
              <w:left w:val="nil"/>
              <w:bottom w:val="single" w:sz="4" w:space="0" w:color="auto"/>
              <w:right w:val="single" w:sz="4" w:space="0" w:color="auto"/>
            </w:tcBorders>
            <w:shd w:val="clear" w:color="auto" w:fill="auto"/>
            <w:noWrap/>
            <w:vAlign w:val="center"/>
            <w:hideMark/>
          </w:tcPr>
          <w:p w14:paraId="4D63B9CD"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1.212.033.516</w:t>
            </w:r>
          </w:p>
        </w:tc>
        <w:tc>
          <w:tcPr>
            <w:tcW w:w="875" w:type="dxa"/>
            <w:tcBorders>
              <w:top w:val="nil"/>
              <w:left w:val="nil"/>
              <w:bottom w:val="single" w:sz="4" w:space="0" w:color="auto"/>
              <w:right w:val="single" w:sz="4" w:space="0" w:color="auto"/>
            </w:tcBorders>
            <w:shd w:val="clear" w:color="auto" w:fill="auto"/>
            <w:noWrap/>
            <w:vAlign w:val="center"/>
            <w:hideMark/>
          </w:tcPr>
          <w:p w14:paraId="05DBBF26"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1.035.417.600</w:t>
            </w:r>
          </w:p>
        </w:tc>
        <w:tc>
          <w:tcPr>
            <w:tcW w:w="875" w:type="dxa"/>
            <w:tcBorders>
              <w:top w:val="nil"/>
              <w:left w:val="nil"/>
              <w:bottom w:val="single" w:sz="4" w:space="0" w:color="auto"/>
              <w:right w:val="single" w:sz="4" w:space="0" w:color="auto"/>
            </w:tcBorders>
            <w:shd w:val="clear" w:color="auto" w:fill="auto"/>
            <w:noWrap/>
            <w:vAlign w:val="center"/>
            <w:hideMark/>
          </w:tcPr>
          <w:p w14:paraId="5A40C7D4"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1.428.200.500</w:t>
            </w:r>
          </w:p>
        </w:tc>
        <w:tc>
          <w:tcPr>
            <w:tcW w:w="875" w:type="dxa"/>
            <w:tcBorders>
              <w:top w:val="nil"/>
              <w:left w:val="nil"/>
              <w:bottom w:val="single" w:sz="4" w:space="0" w:color="auto"/>
              <w:right w:val="single" w:sz="4" w:space="0" w:color="auto"/>
            </w:tcBorders>
            <w:shd w:val="clear" w:color="auto" w:fill="auto"/>
            <w:noWrap/>
            <w:vAlign w:val="center"/>
            <w:hideMark/>
          </w:tcPr>
          <w:p w14:paraId="023F049C"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1.439.639.173</w:t>
            </w:r>
          </w:p>
        </w:tc>
        <w:tc>
          <w:tcPr>
            <w:tcW w:w="875" w:type="dxa"/>
            <w:tcBorders>
              <w:top w:val="nil"/>
              <w:left w:val="nil"/>
              <w:bottom w:val="single" w:sz="4" w:space="0" w:color="auto"/>
              <w:right w:val="single" w:sz="4" w:space="0" w:color="auto"/>
            </w:tcBorders>
            <w:shd w:val="clear" w:color="auto" w:fill="auto"/>
            <w:noWrap/>
            <w:vAlign w:val="center"/>
            <w:hideMark/>
          </w:tcPr>
          <w:p w14:paraId="46A07A10"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1.352.264.554</w:t>
            </w:r>
          </w:p>
        </w:tc>
        <w:tc>
          <w:tcPr>
            <w:tcW w:w="779" w:type="dxa"/>
            <w:tcBorders>
              <w:top w:val="nil"/>
              <w:left w:val="nil"/>
              <w:bottom w:val="single" w:sz="4" w:space="0" w:color="auto"/>
              <w:right w:val="single" w:sz="4" w:space="0" w:color="auto"/>
            </w:tcBorders>
            <w:shd w:val="clear" w:color="auto" w:fill="auto"/>
            <w:noWrap/>
            <w:vAlign w:val="center"/>
            <w:hideMark/>
          </w:tcPr>
          <w:p w14:paraId="157783CC"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105.233.764</w:t>
            </w:r>
          </w:p>
        </w:tc>
        <w:tc>
          <w:tcPr>
            <w:tcW w:w="779" w:type="dxa"/>
            <w:tcBorders>
              <w:top w:val="nil"/>
              <w:left w:val="nil"/>
              <w:bottom w:val="single" w:sz="4" w:space="0" w:color="auto"/>
              <w:right w:val="single" w:sz="4" w:space="0" w:color="auto"/>
            </w:tcBorders>
            <w:shd w:val="clear" w:color="auto" w:fill="auto"/>
            <w:noWrap/>
            <w:vAlign w:val="center"/>
            <w:hideMark/>
          </w:tcPr>
          <w:p w14:paraId="2507D445"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43.192.391</w:t>
            </w:r>
          </w:p>
        </w:tc>
        <w:tc>
          <w:tcPr>
            <w:tcW w:w="779" w:type="dxa"/>
            <w:tcBorders>
              <w:top w:val="nil"/>
              <w:left w:val="nil"/>
              <w:bottom w:val="single" w:sz="4" w:space="0" w:color="auto"/>
              <w:right w:val="single" w:sz="4" w:space="0" w:color="auto"/>
            </w:tcBorders>
            <w:shd w:val="clear" w:color="auto" w:fill="auto"/>
            <w:noWrap/>
            <w:vAlign w:val="center"/>
            <w:hideMark/>
          </w:tcPr>
          <w:p w14:paraId="38672685"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94.589.754</w:t>
            </w:r>
          </w:p>
        </w:tc>
        <w:tc>
          <w:tcPr>
            <w:tcW w:w="779" w:type="dxa"/>
            <w:tcBorders>
              <w:top w:val="nil"/>
              <w:left w:val="nil"/>
              <w:bottom w:val="single" w:sz="4" w:space="0" w:color="auto"/>
              <w:right w:val="single" w:sz="4" w:space="0" w:color="auto"/>
            </w:tcBorders>
            <w:shd w:val="clear" w:color="auto" w:fill="auto"/>
            <w:noWrap/>
            <w:vAlign w:val="center"/>
            <w:hideMark/>
          </w:tcPr>
          <w:p w14:paraId="683D92C8"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43.213.000</w:t>
            </w:r>
          </w:p>
        </w:tc>
        <w:tc>
          <w:tcPr>
            <w:tcW w:w="715" w:type="dxa"/>
            <w:tcBorders>
              <w:top w:val="nil"/>
              <w:left w:val="nil"/>
              <w:bottom w:val="single" w:sz="4" w:space="0" w:color="auto"/>
              <w:right w:val="single" w:sz="4" w:space="0" w:color="auto"/>
            </w:tcBorders>
            <w:shd w:val="clear" w:color="auto" w:fill="auto"/>
            <w:noWrap/>
            <w:vAlign w:val="center"/>
            <w:hideMark/>
          </w:tcPr>
          <w:p w14:paraId="1D34F406"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32.327.680</w:t>
            </w:r>
          </w:p>
        </w:tc>
        <w:tc>
          <w:tcPr>
            <w:tcW w:w="779" w:type="dxa"/>
            <w:tcBorders>
              <w:top w:val="nil"/>
              <w:left w:val="nil"/>
              <w:bottom w:val="single" w:sz="4" w:space="0" w:color="auto"/>
              <w:right w:val="single" w:sz="4" w:space="0" w:color="auto"/>
            </w:tcBorders>
            <w:shd w:val="clear" w:color="auto" w:fill="auto"/>
            <w:noWrap/>
            <w:vAlign w:val="center"/>
            <w:hideMark/>
          </w:tcPr>
          <w:p w14:paraId="13825D34" w14:textId="77777777" w:rsidR="00C44B45" w:rsidRPr="00C44B45" w:rsidRDefault="00C44B45">
            <w:pPr>
              <w:spacing w:after="0" w:line="240" w:lineRule="auto"/>
              <w:contextualSpacing/>
              <w:jc w:val="center"/>
              <w:rPr>
                <w:rFonts w:ascii="Arial Narrow" w:eastAsia="Times New Roman" w:hAnsi="Arial Narrow" w:cs="Calibri"/>
                <w:color w:val="000000"/>
                <w:sz w:val="14"/>
                <w:szCs w:val="14"/>
                <w:lang w:val="es-CO" w:eastAsia="es-CO"/>
              </w:rPr>
            </w:pPr>
            <w:r w:rsidRPr="00C44B45">
              <w:rPr>
                <w:rFonts w:ascii="Arial Narrow" w:eastAsia="Times New Roman" w:hAnsi="Arial Narrow" w:cs="Calibri"/>
                <w:color w:val="000000"/>
                <w:sz w:val="14"/>
                <w:szCs w:val="14"/>
                <w:lang w:val="es-CO" w:eastAsia="es-CO"/>
              </w:rPr>
              <w:t>17.502.000</w:t>
            </w:r>
          </w:p>
        </w:tc>
        <w:tc>
          <w:tcPr>
            <w:tcW w:w="146" w:type="dxa"/>
            <w:vAlign w:val="center"/>
            <w:hideMark/>
          </w:tcPr>
          <w:p w14:paraId="0B3E5143"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C44B45" w:rsidRPr="00C46123" w14:paraId="38830A10" w14:textId="77777777" w:rsidTr="00BE008F">
        <w:trPr>
          <w:trHeight w:val="115"/>
          <w:jc w:val="center"/>
        </w:trPr>
        <w:tc>
          <w:tcPr>
            <w:tcW w:w="912" w:type="dxa"/>
            <w:tcBorders>
              <w:top w:val="nil"/>
              <w:left w:val="single" w:sz="4" w:space="0" w:color="auto"/>
              <w:bottom w:val="single" w:sz="4" w:space="0" w:color="auto"/>
              <w:right w:val="single" w:sz="4" w:space="0" w:color="auto"/>
            </w:tcBorders>
            <w:shd w:val="clear" w:color="000000" w:fill="CCCCFF"/>
            <w:vAlign w:val="center"/>
            <w:hideMark/>
          </w:tcPr>
          <w:p w14:paraId="15DB9540" w14:textId="77777777" w:rsidR="00C44B45" w:rsidRPr="00C44B45" w:rsidRDefault="00C44B45" w:rsidP="00286F4A">
            <w:pPr>
              <w:spacing w:after="0" w:line="240" w:lineRule="auto"/>
              <w:contextualSpacing/>
              <w:rPr>
                <w:rFonts w:ascii="Arial Narrow" w:eastAsia="Times New Roman" w:hAnsi="Arial Narrow" w:cs="Calibri"/>
                <w:b/>
                <w:bCs/>
                <w:color w:val="000000"/>
                <w:sz w:val="14"/>
                <w:szCs w:val="14"/>
                <w:lang w:val="es-CO" w:eastAsia="es-CO"/>
              </w:rPr>
            </w:pPr>
            <w:r w:rsidRPr="00C44B45">
              <w:rPr>
                <w:rFonts w:ascii="Arial Narrow" w:eastAsia="Times New Roman" w:hAnsi="Arial Narrow" w:cs="Calibri"/>
                <w:b/>
                <w:bCs/>
                <w:color w:val="000000"/>
                <w:sz w:val="14"/>
                <w:szCs w:val="14"/>
                <w:lang w:val="es-CO" w:eastAsia="es-CO"/>
              </w:rPr>
              <w:t>Pagos FUT</w:t>
            </w:r>
          </w:p>
        </w:tc>
        <w:tc>
          <w:tcPr>
            <w:tcW w:w="875" w:type="dxa"/>
            <w:tcBorders>
              <w:top w:val="nil"/>
              <w:left w:val="nil"/>
              <w:bottom w:val="single" w:sz="4" w:space="0" w:color="auto"/>
              <w:right w:val="single" w:sz="4" w:space="0" w:color="auto"/>
            </w:tcBorders>
            <w:shd w:val="clear" w:color="auto" w:fill="auto"/>
            <w:noWrap/>
            <w:vAlign w:val="center"/>
            <w:hideMark/>
          </w:tcPr>
          <w:p w14:paraId="23F96B47"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642.427.606</w:t>
            </w:r>
          </w:p>
        </w:tc>
        <w:tc>
          <w:tcPr>
            <w:tcW w:w="875" w:type="dxa"/>
            <w:tcBorders>
              <w:top w:val="nil"/>
              <w:left w:val="nil"/>
              <w:bottom w:val="single" w:sz="4" w:space="0" w:color="auto"/>
              <w:right w:val="single" w:sz="4" w:space="0" w:color="auto"/>
            </w:tcBorders>
            <w:shd w:val="clear" w:color="auto" w:fill="auto"/>
            <w:noWrap/>
            <w:vAlign w:val="center"/>
            <w:hideMark/>
          </w:tcPr>
          <w:p w14:paraId="32955105"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1.920.133.726</w:t>
            </w:r>
          </w:p>
        </w:tc>
        <w:tc>
          <w:tcPr>
            <w:tcW w:w="875" w:type="dxa"/>
            <w:tcBorders>
              <w:top w:val="nil"/>
              <w:left w:val="nil"/>
              <w:bottom w:val="single" w:sz="4" w:space="0" w:color="auto"/>
              <w:right w:val="single" w:sz="4" w:space="0" w:color="auto"/>
            </w:tcBorders>
            <w:shd w:val="clear" w:color="auto" w:fill="auto"/>
            <w:noWrap/>
            <w:vAlign w:val="center"/>
            <w:hideMark/>
          </w:tcPr>
          <w:p w14:paraId="2551F892"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596.748.629</w:t>
            </w:r>
          </w:p>
        </w:tc>
        <w:tc>
          <w:tcPr>
            <w:tcW w:w="875" w:type="dxa"/>
            <w:tcBorders>
              <w:top w:val="nil"/>
              <w:left w:val="nil"/>
              <w:bottom w:val="single" w:sz="4" w:space="0" w:color="auto"/>
              <w:right w:val="single" w:sz="4" w:space="0" w:color="auto"/>
            </w:tcBorders>
            <w:shd w:val="clear" w:color="auto" w:fill="auto"/>
            <w:noWrap/>
            <w:vAlign w:val="center"/>
            <w:hideMark/>
          </w:tcPr>
          <w:p w14:paraId="54B9C504"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1.569.429.197</w:t>
            </w:r>
          </w:p>
        </w:tc>
        <w:tc>
          <w:tcPr>
            <w:tcW w:w="875" w:type="dxa"/>
            <w:tcBorders>
              <w:top w:val="nil"/>
              <w:left w:val="nil"/>
              <w:bottom w:val="single" w:sz="4" w:space="0" w:color="auto"/>
              <w:right w:val="single" w:sz="4" w:space="0" w:color="auto"/>
            </w:tcBorders>
            <w:shd w:val="clear" w:color="auto" w:fill="auto"/>
            <w:noWrap/>
            <w:vAlign w:val="center"/>
            <w:hideMark/>
          </w:tcPr>
          <w:p w14:paraId="75C80B55"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432.076.227</w:t>
            </w:r>
          </w:p>
        </w:tc>
        <w:tc>
          <w:tcPr>
            <w:tcW w:w="875" w:type="dxa"/>
            <w:tcBorders>
              <w:top w:val="nil"/>
              <w:left w:val="nil"/>
              <w:bottom w:val="single" w:sz="4" w:space="0" w:color="auto"/>
              <w:right w:val="single" w:sz="4" w:space="0" w:color="auto"/>
            </w:tcBorders>
            <w:shd w:val="clear" w:color="auto" w:fill="auto"/>
            <w:noWrap/>
            <w:vAlign w:val="center"/>
            <w:hideMark/>
          </w:tcPr>
          <w:p w14:paraId="1667B6C4"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973.254.099</w:t>
            </w:r>
          </w:p>
        </w:tc>
        <w:tc>
          <w:tcPr>
            <w:tcW w:w="779" w:type="dxa"/>
            <w:tcBorders>
              <w:top w:val="nil"/>
              <w:left w:val="nil"/>
              <w:bottom w:val="single" w:sz="4" w:space="0" w:color="auto"/>
              <w:right w:val="single" w:sz="4" w:space="0" w:color="auto"/>
            </w:tcBorders>
            <w:shd w:val="clear" w:color="auto" w:fill="auto"/>
            <w:noWrap/>
            <w:vAlign w:val="center"/>
            <w:hideMark/>
          </w:tcPr>
          <w:p w14:paraId="23DB2C7C"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202.610.593</w:t>
            </w:r>
          </w:p>
        </w:tc>
        <w:tc>
          <w:tcPr>
            <w:tcW w:w="779" w:type="dxa"/>
            <w:tcBorders>
              <w:top w:val="nil"/>
              <w:left w:val="nil"/>
              <w:bottom w:val="single" w:sz="4" w:space="0" w:color="auto"/>
              <w:right w:val="single" w:sz="4" w:space="0" w:color="auto"/>
            </w:tcBorders>
            <w:shd w:val="clear" w:color="auto" w:fill="auto"/>
            <w:noWrap/>
            <w:vAlign w:val="center"/>
            <w:hideMark/>
          </w:tcPr>
          <w:p w14:paraId="2A465C20"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290.718.620</w:t>
            </w:r>
          </w:p>
        </w:tc>
        <w:tc>
          <w:tcPr>
            <w:tcW w:w="779" w:type="dxa"/>
            <w:tcBorders>
              <w:top w:val="nil"/>
              <w:left w:val="nil"/>
              <w:bottom w:val="single" w:sz="4" w:space="0" w:color="auto"/>
              <w:right w:val="single" w:sz="4" w:space="0" w:color="auto"/>
            </w:tcBorders>
            <w:shd w:val="clear" w:color="auto" w:fill="auto"/>
            <w:noWrap/>
            <w:vAlign w:val="center"/>
            <w:hideMark/>
          </w:tcPr>
          <w:p w14:paraId="6849119D"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43.649.855</w:t>
            </w:r>
          </w:p>
        </w:tc>
        <w:tc>
          <w:tcPr>
            <w:tcW w:w="779" w:type="dxa"/>
            <w:tcBorders>
              <w:top w:val="nil"/>
              <w:left w:val="nil"/>
              <w:bottom w:val="single" w:sz="4" w:space="0" w:color="auto"/>
              <w:right w:val="single" w:sz="4" w:space="0" w:color="auto"/>
            </w:tcBorders>
            <w:shd w:val="clear" w:color="auto" w:fill="auto"/>
            <w:noWrap/>
            <w:vAlign w:val="center"/>
            <w:hideMark/>
          </w:tcPr>
          <w:p w14:paraId="563593A5"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69.603.000</w:t>
            </w:r>
          </w:p>
        </w:tc>
        <w:tc>
          <w:tcPr>
            <w:tcW w:w="715" w:type="dxa"/>
            <w:tcBorders>
              <w:top w:val="nil"/>
              <w:left w:val="nil"/>
              <w:bottom w:val="single" w:sz="4" w:space="0" w:color="auto"/>
              <w:right w:val="single" w:sz="4" w:space="0" w:color="auto"/>
            </w:tcBorders>
            <w:shd w:val="clear" w:color="auto" w:fill="auto"/>
            <w:noWrap/>
            <w:vAlign w:val="center"/>
            <w:hideMark/>
          </w:tcPr>
          <w:p w14:paraId="606DF216"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23.400.000</w:t>
            </w:r>
          </w:p>
        </w:tc>
        <w:tc>
          <w:tcPr>
            <w:tcW w:w="779" w:type="dxa"/>
            <w:tcBorders>
              <w:top w:val="nil"/>
              <w:left w:val="nil"/>
              <w:bottom w:val="single" w:sz="4" w:space="0" w:color="auto"/>
              <w:right w:val="single" w:sz="4" w:space="0" w:color="auto"/>
            </w:tcBorders>
            <w:shd w:val="clear" w:color="auto" w:fill="auto"/>
            <w:noWrap/>
            <w:vAlign w:val="center"/>
            <w:hideMark/>
          </w:tcPr>
          <w:p w14:paraId="74ED2B54" w14:textId="77777777" w:rsidR="00C44B45" w:rsidRPr="00C44B45" w:rsidRDefault="00C44B45">
            <w:pPr>
              <w:spacing w:after="0" w:line="240" w:lineRule="auto"/>
              <w:contextualSpacing/>
              <w:jc w:val="center"/>
              <w:rPr>
                <w:rFonts w:ascii="Arial Narrow" w:eastAsia="Times New Roman" w:hAnsi="Arial Narrow" w:cs="Calibri"/>
                <w:sz w:val="14"/>
                <w:szCs w:val="14"/>
                <w:lang w:val="es-CO" w:eastAsia="es-CO"/>
              </w:rPr>
            </w:pPr>
            <w:r w:rsidRPr="00C44B45">
              <w:rPr>
                <w:rFonts w:ascii="Arial Narrow" w:eastAsia="Times New Roman" w:hAnsi="Arial Narrow" w:cs="Calibri"/>
                <w:sz w:val="14"/>
                <w:szCs w:val="14"/>
                <w:lang w:val="es-CO" w:eastAsia="es-CO"/>
              </w:rPr>
              <w:t>23.238.579</w:t>
            </w:r>
          </w:p>
        </w:tc>
        <w:tc>
          <w:tcPr>
            <w:tcW w:w="146" w:type="dxa"/>
            <w:vAlign w:val="center"/>
            <w:hideMark/>
          </w:tcPr>
          <w:p w14:paraId="49A42097"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r w:rsidR="00BE008F" w:rsidRPr="00C46123" w14:paraId="4B036764" w14:textId="77777777" w:rsidTr="00BE008F">
        <w:trPr>
          <w:trHeight w:val="204"/>
          <w:jc w:val="center"/>
        </w:trPr>
        <w:tc>
          <w:tcPr>
            <w:tcW w:w="912" w:type="dxa"/>
            <w:tcBorders>
              <w:top w:val="nil"/>
              <w:left w:val="single" w:sz="4" w:space="0" w:color="auto"/>
              <w:bottom w:val="single" w:sz="4" w:space="0" w:color="auto"/>
              <w:right w:val="single" w:sz="4" w:space="0" w:color="auto"/>
            </w:tcBorders>
            <w:shd w:val="clear" w:color="000000" w:fill="5F497A"/>
            <w:vAlign w:val="center"/>
            <w:hideMark/>
          </w:tcPr>
          <w:p w14:paraId="1625CD0D" w14:textId="77777777" w:rsidR="00C44B45" w:rsidRPr="00C44B45" w:rsidRDefault="00C44B45" w:rsidP="00286F4A">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Diferencia</w:t>
            </w:r>
          </w:p>
        </w:tc>
        <w:tc>
          <w:tcPr>
            <w:tcW w:w="875" w:type="dxa"/>
            <w:tcBorders>
              <w:top w:val="nil"/>
              <w:left w:val="nil"/>
              <w:bottom w:val="single" w:sz="4" w:space="0" w:color="auto"/>
              <w:right w:val="single" w:sz="4" w:space="0" w:color="auto"/>
            </w:tcBorders>
            <w:shd w:val="clear" w:color="000000" w:fill="5F497A"/>
            <w:vAlign w:val="center"/>
            <w:hideMark/>
          </w:tcPr>
          <w:p w14:paraId="433818E8"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342.350.714</w:t>
            </w:r>
          </w:p>
        </w:tc>
        <w:tc>
          <w:tcPr>
            <w:tcW w:w="875" w:type="dxa"/>
            <w:tcBorders>
              <w:top w:val="nil"/>
              <w:left w:val="nil"/>
              <w:bottom w:val="single" w:sz="4" w:space="0" w:color="auto"/>
              <w:right w:val="single" w:sz="4" w:space="0" w:color="auto"/>
            </w:tcBorders>
            <w:shd w:val="clear" w:color="000000" w:fill="5F497A"/>
            <w:vAlign w:val="center"/>
            <w:hideMark/>
          </w:tcPr>
          <w:p w14:paraId="5A204410"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-708.100.210</w:t>
            </w:r>
          </w:p>
        </w:tc>
        <w:tc>
          <w:tcPr>
            <w:tcW w:w="875" w:type="dxa"/>
            <w:tcBorders>
              <w:top w:val="nil"/>
              <w:left w:val="nil"/>
              <w:bottom w:val="single" w:sz="4" w:space="0" w:color="auto"/>
              <w:right w:val="single" w:sz="4" w:space="0" w:color="auto"/>
            </w:tcBorders>
            <w:shd w:val="clear" w:color="000000" w:fill="5F497A"/>
            <w:vAlign w:val="center"/>
            <w:hideMark/>
          </w:tcPr>
          <w:p w14:paraId="22DFF41A"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438.668.971</w:t>
            </w:r>
          </w:p>
        </w:tc>
        <w:tc>
          <w:tcPr>
            <w:tcW w:w="875" w:type="dxa"/>
            <w:tcBorders>
              <w:top w:val="nil"/>
              <w:left w:val="nil"/>
              <w:bottom w:val="single" w:sz="4" w:space="0" w:color="auto"/>
              <w:right w:val="single" w:sz="4" w:space="0" w:color="auto"/>
            </w:tcBorders>
            <w:shd w:val="clear" w:color="000000" w:fill="5F497A"/>
            <w:vAlign w:val="center"/>
            <w:hideMark/>
          </w:tcPr>
          <w:p w14:paraId="04A45E91"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-141.228.697</w:t>
            </w:r>
          </w:p>
        </w:tc>
        <w:tc>
          <w:tcPr>
            <w:tcW w:w="875" w:type="dxa"/>
            <w:tcBorders>
              <w:top w:val="nil"/>
              <w:left w:val="nil"/>
              <w:bottom w:val="single" w:sz="4" w:space="0" w:color="auto"/>
              <w:right w:val="single" w:sz="4" w:space="0" w:color="auto"/>
            </w:tcBorders>
            <w:shd w:val="clear" w:color="000000" w:fill="5F497A"/>
            <w:vAlign w:val="center"/>
            <w:hideMark/>
          </w:tcPr>
          <w:p w14:paraId="30CCA157"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1.007.562.946</w:t>
            </w:r>
          </w:p>
        </w:tc>
        <w:tc>
          <w:tcPr>
            <w:tcW w:w="875" w:type="dxa"/>
            <w:tcBorders>
              <w:top w:val="nil"/>
              <w:left w:val="nil"/>
              <w:bottom w:val="single" w:sz="4" w:space="0" w:color="auto"/>
              <w:right w:val="single" w:sz="4" w:space="0" w:color="auto"/>
            </w:tcBorders>
            <w:shd w:val="clear" w:color="000000" w:fill="5F497A"/>
            <w:vAlign w:val="center"/>
            <w:hideMark/>
          </w:tcPr>
          <w:p w14:paraId="35565714"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379.010.455</w:t>
            </w:r>
          </w:p>
        </w:tc>
        <w:tc>
          <w:tcPr>
            <w:tcW w:w="779" w:type="dxa"/>
            <w:tcBorders>
              <w:top w:val="nil"/>
              <w:left w:val="nil"/>
              <w:bottom w:val="single" w:sz="4" w:space="0" w:color="auto"/>
              <w:right w:val="single" w:sz="4" w:space="0" w:color="auto"/>
            </w:tcBorders>
            <w:shd w:val="clear" w:color="000000" w:fill="5F497A"/>
            <w:vAlign w:val="center"/>
            <w:hideMark/>
          </w:tcPr>
          <w:p w14:paraId="4C577740"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-97.376.829</w:t>
            </w:r>
          </w:p>
        </w:tc>
        <w:tc>
          <w:tcPr>
            <w:tcW w:w="779" w:type="dxa"/>
            <w:tcBorders>
              <w:top w:val="nil"/>
              <w:left w:val="nil"/>
              <w:bottom w:val="single" w:sz="4" w:space="0" w:color="auto"/>
              <w:right w:val="single" w:sz="4" w:space="0" w:color="auto"/>
            </w:tcBorders>
            <w:shd w:val="clear" w:color="000000" w:fill="5F497A"/>
            <w:vAlign w:val="center"/>
            <w:hideMark/>
          </w:tcPr>
          <w:p w14:paraId="5286BC0C"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-247.526.229</w:t>
            </w:r>
          </w:p>
        </w:tc>
        <w:tc>
          <w:tcPr>
            <w:tcW w:w="779" w:type="dxa"/>
            <w:tcBorders>
              <w:top w:val="nil"/>
              <w:left w:val="nil"/>
              <w:bottom w:val="single" w:sz="4" w:space="0" w:color="auto"/>
              <w:right w:val="single" w:sz="4" w:space="0" w:color="auto"/>
            </w:tcBorders>
            <w:shd w:val="clear" w:color="000000" w:fill="5F497A"/>
            <w:vAlign w:val="center"/>
            <w:hideMark/>
          </w:tcPr>
          <w:p w14:paraId="15E9047C"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50.939.899</w:t>
            </w:r>
          </w:p>
        </w:tc>
        <w:tc>
          <w:tcPr>
            <w:tcW w:w="779" w:type="dxa"/>
            <w:tcBorders>
              <w:top w:val="nil"/>
              <w:left w:val="nil"/>
              <w:bottom w:val="single" w:sz="4" w:space="0" w:color="auto"/>
              <w:right w:val="single" w:sz="4" w:space="0" w:color="auto"/>
            </w:tcBorders>
            <w:shd w:val="clear" w:color="000000" w:fill="5F497A"/>
            <w:vAlign w:val="center"/>
            <w:hideMark/>
          </w:tcPr>
          <w:p w14:paraId="275DC0A5"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-26.390.000</w:t>
            </w:r>
          </w:p>
        </w:tc>
        <w:tc>
          <w:tcPr>
            <w:tcW w:w="715" w:type="dxa"/>
            <w:tcBorders>
              <w:top w:val="nil"/>
              <w:left w:val="nil"/>
              <w:bottom w:val="single" w:sz="4" w:space="0" w:color="auto"/>
              <w:right w:val="single" w:sz="4" w:space="0" w:color="auto"/>
            </w:tcBorders>
            <w:shd w:val="clear" w:color="000000" w:fill="5F497A"/>
            <w:vAlign w:val="center"/>
            <w:hideMark/>
          </w:tcPr>
          <w:p w14:paraId="52B44B3D"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8.927.680</w:t>
            </w:r>
          </w:p>
        </w:tc>
        <w:tc>
          <w:tcPr>
            <w:tcW w:w="779" w:type="dxa"/>
            <w:tcBorders>
              <w:top w:val="nil"/>
              <w:left w:val="nil"/>
              <w:bottom w:val="single" w:sz="4" w:space="0" w:color="auto"/>
              <w:right w:val="single" w:sz="4" w:space="0" w:color="auto"/>
            </w:tcBorders>
            <w:shd w:val="clear" w:color="000000" w:fill="5F497A"/>
            <w:vAlign w:val="center"/>
            <w:hideMark/>
          </w:tcPr>
          <w:p w14:paraId="69B74012" w14:textId="77777777" w:rsidR="00C44B45" w:rsidRPr="00C44B45" w:rsidRDefault="00C44B45">
            <w:pPr>
              <w:spacing w:after="0" w:line="240" w:lineRule="auto"/>
              <w:contextualSpacing/>
              <w:jc w:val="center"/>
              <w:rPr>
                <w:rFonts w:ascii="Arial Narrow" w:eastAsia="Times New Roman" w:hAnsi="Arial Narrow" w:cs="Calibri"/>
                <w:b/>
                <w:bCs/>
                <w:color w:val="FFFFFF"/>
                <w:sz w:val="14"/>
                <w:szCs w:val="14"/>
                <w:lang w:val="es-CO" w:eastAsia="es-CO"/>
              </w:rPr>
            </w:pPr>
            <w:r w:rsidRPr="00C44B45">
              <w:rPr>
                <w:rFonts w:ascii="Arial Narrow" w:eastAsia="Times New Roman" w:hAnsi="Arial Narrow" w:cs="Calibri"/>
                <w:b/>
                <w:bCs/>
                <w:color w:val="FFFFFF"/>
                <w:sz w:val="14"/>
                <w:szCs w:val="14"/>
                <w:lang w:val="es-CO" w:eastAsia="es-CO"/>
              </w:rPr>
              <w:t>-5.736.579</w:t>
            </w:r>
          </w:p>
        </w:tc>
        <w:tc>
          <w:tcPr>
            <w:tcW w:w="146" w:type="dxa"/>
            <w:vAlign w:val="center"/>
            <w:hideMark/>
          </w:tcPr>
          <w:p w14:paraId="3621D55F" w14:textId="77777777" w:rsidR="00C44B45" w:rsidRPr="00C44B45" w:rsidRDefault="00C44B45">
            <w:pPr>
              <w:spacing w:after="0" w:line="240" w:lineRule="auto"/>
              <w:contextualSpacing/>
              <w:rPr>
                <w:rFonts w:ascii="Times New Roman" w:eastAsia="Times New Roman" w:hAnsi="Times New Roman" w:cs="Times New Roman"/>
                <w:sz w:val="14"/>
                <w:szCs w:val="14"/>
                <w:lang w:val="es-CO" w:eastAsia="es-CO"/>
              </w:rPr>
            </w:pPr>
          </w:p>
        </w:tc>
      </w:tr>
    </w:tbl>
    <w:p w14:paraId="5CA244EA" w14:textId="77777777" w:rsidR="00BE008F" w:rsidRPr="00FB27C3" w:rsidRDefault="00BE008F" w:rsidP="00286F4A">
      <w:pPr>
        <w:spacing w:line="240" w:lineRule="auto"/>
        <w:contextualSpacing/>
        <w:jc w:val="center"/>
        <w:rPr>
          <w:sz w:val="16"/>
          <w:szCs w:val="16"/>
        </w:rPr>
      </w:pPr>
      <w:r w:rsidRPr="00FB27C3">
        <w:rPr>
          <w:b/>
          <w:bCs/>
          <w:sz w:val="16"/>
          <w:szCs w:val="16"/>
        </w:rPr>
        <w:t xml:space="preserve">Fuente: </w:t>
      </w:r>
      <w:r w:rsidRPr="00FB27C3">
        <w:rPr>
          <w:sz w:val="16"/>
          <w:szCs w:val="16"/>
        </w:rPr>
        <w:t>Elaboración DAF con base en las ejecuciones presupuestales y el reporte FUT Gastos de Funcionamiento y FUT Gastos de Inversión.</w:t>
      </w:r>
    </w:p>
    <w:p w14:paraId="583A99D3" w14:textId="77777777" w:rsidR="007D2AE5" w:rsidRDefault="007D2AE5">
      <w:pPr>
        <w:spacing w:line="240" w:lineRule="auto"/>
        <w:contextualSpacing/>
        <w:jc w:val="both"/>
        <w:rPr>
          <w:b/>
          <w:bCs/>
        </w:rPr>
      </w:pPr>
    </w:p>
    <w:p w14:paraId="5B2C252B" w14:textId="77777777" w:rsidR="00D43396" w:rsidRDefault="00D43396">
      <w:pPr>
        <w:spacing w:line="240" w:lineRule="auto"/>
        <w:contextualSpacing/>
        <w:jc w:val="both"/>
        <w:rPr>
          <w:b/>
          <w:bCs/>
        </w:rPr>
      </w:pPr>
      <w:r>
        <w:rPr>
          <w:b/>
          <w:bCs/>
        </w:rPr>
        <w:t>CIERRE FISCAL</w:t>
      </w:r>
      <w:r w:rsidR="001A7CBF">
        <w:rPr>
          <w:b/>
          <w:bCs/>
        </w:rPr>
        <w:t>.</w:t>
      </w:r>
    </w:p>
    <w:p w14:paraId="479AC394" w14:textId="77777777" w:rsidR="005D7743" w:rsidRDefault="005D7743">
      <w:pPr>
        <w:spacing w:line="240" w:lineRule="auto"/>
        <w:contextualSpacing/>
        <w:jc w:val="both"/>
        <w:rPr>
          <w:b/>
          <w:bCs/>
        </w:rPr>
      </w:pPr>
    </w:p>
    <w:p w14:paraId="174DE042" w14:textId="77777777" w:rsidR="005D7743" w:rsidRDefault="005D7743">
      <w:pPr>
        <w:spacing w:line="240" w:lineRule="auto"/>
        <w:contextualSpacing/>
        <w:jc w:val="both"/>
        <w:rPr>
          <w:b/>
          <w:bCs/>
        </w:rPr>
      </w:pPr>
      <w:r>
        <w:rPr>
          <w:b/>
          <w:bCs/>
        </w:rPr>
        <w:t>Vigencia 2018</w:t>
      </w:r>
      <w:r w:rsidR="001A7CBF">
        <w:rPr>
          <w:b/>
          <w:bCs/>
        </w:rPr>
        <w:t>.</w:t>
      </w:r>
    </w:p>
    <w:p w14:paraId="21A0EF23" w14:textId="77777777" w:rsidR="001A7CBF" w:rsidRDefault="001A7CBF">
      <w:pPr>
        <w:spacing w:line="240" w:lineRule="auto"/>
        <w:contextualSpacing/>
        <w:jc w:val="both"/>
        <w:rPr>
          <w:b/>
          <w:bCs/>
        </w:rPr>
      </w:pPr>
    </w:p>
    <w:p w14:paraId="3602DD2B" w14:textId="77777777" w:rsidR="00B276A6" w:rsidRPr="00FB27C3" w:rsidRDefault="00B276A6">
      <w:pPr>
        <w:spacing w:after="0" w:line="240" w:lineRule="auto"/>
        <w:contextualSpacing/>
        <w:jc w:val="center"/>
        <w:rPr>
          <w:b/>
          <w:bCs/>
          <w:sz w:val="20"/>
          <w:szCs w:val="20"/>
        </w:rPr>
      </w:pPr>
      <w:r w:rsidRPr="00FB27C3">
        <w:rPr>
          <w:b/>
          <w:bCs/>
          <w:sz w:val="20"/>
          <w:szCs w:val="20"/>
        </w:rPr>
        <w:t>Cuadro No. 5</w:t>
      </w:r>
    </w:p>
    <w:p w14:paraId="26EB9117" w14:textId="77777777" w:rsidR="00B276A6" w:rsidRPr="00FB27C3" w:rsidRDefault="00B276A6">
      <w:pPr>
        <w:spacing w:after="0" w:line="240" w:lineRule="auto"/>
        <w:contextualSpacing/>
        <w:jc w:val="center"/>
        <w:rPr>
          <w:sz w:val="20"/>
          <w:szCs w:val="20"/>
        </w:rPr>
      </w:pPr>
      <w:r w:rsidRPr="00FB27C3">
        <w:rPr>
          <w:sz w:val="20"/>
          <w:szCs w:val="20"/>
        </w:rPr>
        <w:t>Cierre Fiscal 2018</w:t>
      </w:r>
    </w:p>
    <w:p w14:paraId="3629EA5C" w14:textId="77777777" w:rsidR="00B276A6" w:rsidRPr="00FB27C3" w:rsidRDefault="00B276A6">
      <w:pPr>
        <w:spacing w:after="0" w:line="240" w:lineRule="auto"/>
        <w:contextualSpacing/>
        <w:jc w:val="center"/>
        <w:rPr>
          <w:sz w:val="20"/>
          <w:szCs w:val="20"/>
        </w:rPr>
      </w:pPr>
      <w:r w:rsidRPr="00FB27C3">
        <w:rPr>
          <w:sz w:val="20"/>
          <w:szCs w:val="20"/>
        </w:rPr>
        <w:t xml:space="preserve">Municipio de </w:t>
      </w:r>
      <w:r w:rsidR="00D174A6" w:rsidRPr="00FB27C3">
        <w:rPr>
          <w:sz w:val="20"/>
          <w:szCs w:val="20"/>
        </w:rPr>
        <w:t xml:space="preserve">Puerto Leguízamo – Putumayo </w:t>
      </w:r>
      <w:r w:rsidRPr="00FB27C3">
        <w:rPr>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5"/>
        <w:gridCol w:w="1723"/>
        <w:gridCol w:w="1760"/>
        <w:gridCol w:w="3156"/>
      </w:tblGrid>
      <w:tr w:rsidR="00B115A0" w:rsidRPr="00B115A0" w14:paraId="759B38C7" w14:textId="77777777" w:rsidTr="00874610">
        <w:trPr>
          <w:trHeight w:val="315"/>
          <w:jc w:val="center"/>
        </w:trPr>
        <w:tc>
          <w:tcPr>
            <w:tcW w:w="5000" w:type="pct"/>
            <w:gridSpan w:val="4"/>
            <w:shd w:val="clear" w:color="000000" w:fill="666699"/>
            <w:vAlign w:val="center"/>
            <w:hideMark/>
          </w:tcPr>
          <w:p w14:paraId="01109E72" w14:textId="77777777" w:rsidR="00B115A0" w:rsidRPr="00B115A0" w:rsidRDefault="00B115A0">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Sector Propósito General Cierre Fiscal 2018 - Saldo en Caja FUT (cifras en pesos)</w:t>
            </w:r>
          </w:p>
        </w:tc>
      </w:tr>
      <w:tr w:rsidR="00215BD8" w:rsidRPr="006C532F" w14:paraId="48108CF5" w14:textId="77777777" w:rsidTr="00B276A6">
        <w:trPr>
          <w:trHeight w:val="540"/>
          <w:jc w:val="center"/>
        </w:trPr>
        <w:tc>
          <w:tcPr>
            <w:tcW w:w="874" w:type="pct"/>
            <w:vMerge w:val="restart"/>
            <w:shd w:val="clear" w:color="000000" w:fill="666699"/>
            <w:vAlign w:val="center"/>
            <w:hideMark/>
          </w:tcPr>
          <w:p w14:paraId="5EDE216E" w14:textId="77777777" w:rsidR="00215BD8" w:rsidRPr="00B115A0" w:rsidRDefault="00215BD8"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Destinaciones</w:t>
            </w:r>
          </w:p>
        </w:tc>
        <w:tc>
          <w:tcPr>
            <w:tcW w:w="1087" w:type="pct"/>
            <w:shd w:val="clear" w:color="000000" w:fill="666699"/>
            <w:vAlign w:val="center"/>
            <w:hideMark/>
          </w:tcPr>
          <w:p w14:paraId="0AB55700" w14:textId="77777777" w:rsidR="00215BD8" w:rsidRPr="00B115A0" w:rsidRDefault="00215BD8">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Saldo en Cajas</w:t>
            </w:r>
          </w:p>
        </w:tc>
        <w:tc>
          <w:tcPr>
            <w:tcW w:w="1109" w:type="pct"/>
            <w:shd w:val="clear" w:color="000000" w:fill="666699"/>
            <w:vAlign w:val="center"/>
            <w:hideMark/>
          </w:tcPr>
          <w:p w14:paraId="69D74CE6" w14:textId="77777777" w:rsidR="00215BD8" w:rsidRPr="00B115A0" w:rsidRDefault="00215BD8">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Ctas x Pagar Vigencia</w:t>
            </w:r>
          </w:p>
        </w:tc>
        <w:tc>
          <w:tcPr>
            <w:tcW w:w="973" w:type="pct"/>
            <w:shd w:val="clear" w:color="000000" w:fill="666699"/>
            <w:vAlign w:val="center"/>
            <w:hideMark/>
          </w:tcPr>
          <w:p w14:paraId="03AE12B6" w14:textId="77777777" w:rsidR="00215BD8" w:rsidRPr="00B115A0" w:rsidRDefault="00215BD8">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Superávit o Déficit</w:t>
            </w:r>
          </w:p>
        </w:tc>
      </w:tr>
      <w:tr w:rsidR="00215BD8" w:rsidRPr="006C532F" w14:paraId="18881408" w14:textId="77777777" w:rsidTr="0059236D">
        <w:trPr>
          <w:trHeight w:val="190"/>
          <w:jc w:val="center"/>
        </w:trPr>
        <w:tc>
          <w:tcPr>
            <w:tcW w:w="874" w:type="pct"/>
            <w:vMerge/>
            <w:vAlign w:val="center"/>
            <w:hideMark/>
          </w:tcPr>
          <w:p w14:paraId="3DFC7FBA" w14:textId="77777777" w:rsidR="00215BD8" w:rsidRPr="00B115A0" w:rsidRDefault="00215BD8">
            <w:pPr>
              <w:spacing w:after="0" w:line="240" w:lineRule="auto"/>
              <w:contextualSpacing/>
              <w:rPr>
                <w:rFonts w:ascii="Arial Narrow" w:eastAsia="Times New Roman" w:hAnsi="Arial Narrow" w:cs="Calibri"/>
                <w:b/>
                <w:bCs/>
                <w:color w:val="FFFFFF"/>
                <w:sz w:val="18"/>
                <w:szCs w:val="18"/>
                <w:lang w:val="es-CO" w:eastAsia="es-CO"/>
              </w:rPr>
            </w:pPr>
          </w:p>
        </w:tc>
        <w:tc>
          <w:tcPr>
            <w:tcW w:w="1087" w:type="pct"/>
            <w:shd w:val="clear" w:color="000000" w:fill="CCCCFF"/>
            <w:vAlign w:val="center"/>
            <w:hideMark/>
          </w:tcPr>
          <w:p w14:paraId="1ABCCB8E" w14:textId="77777777" w:rsidR="00215BD8" w:rsidRPr="00B115A0" w:rsidRDefault="00215BD8">
            <w:pPr>
              <w:spacing w:after="0" w:line="240" w:lineRule="auto"/>
              <w:contextualSpacing/>
              <w:jc w:val="center"/>
              <w:rPr>
                <w:rFonts w:ascii="Arial Narrow" w:eastAsia="Times New Roman" w:hAnsi="Arial Narrow" w:cs="Calibri"/>
                <w:b/>
                <w:bCs/>
                <w:color w:val="000000"/>
                <w:sz w:val="18"/>
                <w:szCs w:val="18"/>
                <w:lang w:val="es-CO" w:eastAsia="es-CO"/>
              </w:rPr>
            </w:pPr>
            <w:r w:rsidRPr="00B115A0">
              <w:rPr>
                <w:rFonts w:ascii="Arial Narrow" w:eastAsia="Times New Roman" w:hAnsi="Arial Narrow" w:cs="Calibri"/>
                <w:b/>
                <w:bCs/>
                <w:color w:val="000000"/>
                <w:sz w:val="18"/>
                <w:szCs w:val="18"/>
                <w:lang w:val="es-CO" w:eastAsia="es-CO"/>
              </w:rPr>
              <w:t>1.707.675.538</w:t>
            </w:r>
          </w:p>
        </w:tc>
        <w:tc>
          <w:tcPr>
            <w:tcW w:w="1109" w:type="pct"/>
            <w:shd w:val="clear" w:color="000000" w:fill="CCCCFF"/>
            <w:vAlign w:val="center"/>
            <w:hideMark/>
          </w:tcPr>
          <w:p w14:paraId="57D9B6EA" w14:textId="77777777" w:rsidR="00215BD8" w:rsidRPr="00B115A0" w:rsidRDefault="00215BD8">
            <w:pPr>
              <w:spacing w:after="0" w:line="240" w:lineRule="auto"/>
              <w:contextualSpacing/>
              <w:jc w:val="center"/>
              <w:rPr>
                <w:rFonts w:ascii="Arial Narrow" w:eastAsia="Times New Roman" w:hAnsi="Arial Narrow" w:cs="Calibri"/>
                <w:b/>
                <w:bCs/>
                <w:color w:val="000000"/>
                <w:sz w:val="18"/>
                <w:szCs w:val="18"/>
                <w:lang w:val="es-CO" w:eastAsia="es-CO"/>
              </w:rPr>
            </w:pPr>
            <w:r w:rsidRPr="00B115A0">
              <w:rPr>
                <w:rFonts w:ascii="Arial Narrow" w:eastAsia="Times New Roman" w:hAnsi="Arial Narrow" w:cs="Calibri"/>
                <w:b/>
                <w:bCs/>
                <w:color w:val="000000"/>
                <w:sz w:val="18"/>
                <w:szCs w:val="18"/>
                <w:lang w:val="es-CO" w:eastAsia="es-CO"/>
              </w:rPr>
              <w:t>124.780.435</w:t>
            </w:r>
          </w:p>
        </w:tc>
        <w:tc>
          <w:tcPr>
            <w:tcW w:w="973" w:type="pct"/>
            <w:shd w:val="clear" w:color="000000" w:fill="CCCCFF"/>
            <w:vAlign w:val="center"/>
            <w:hideMark/>
          </w:tcPr>
          <w:p w14:paraId="564B0EEA" w14:textId="77777777" w:rsidR="00215BD8" w:rsidRPr="00B115A0" w:rsidRDefault="00215BD8">
            <w:pPr>
              <w:spacing w:after="0" w:line="240" w:lineRule="auto"/>
              <w:contextualSpacing/>
              <w:jc w:val="center"/>
              <w:rPr>
                <w:rFonts w:ascii="Arial Narrow" w:eastAsia="Times New Roman" w:hAnsi="Arial Narrow" w:cs="Calibri"/>
                <w:b/>
                <w:bCs/>
                <w:color w:val="000000"/>
                <w:sz w:val="18"/>
                <w:szCs w:val="18"/>
                <w:lang w:val="es-CO" w:eastAsia="es-CO"/>
              </w:rPr>
            </w:pPr>
            <w:r w:rsidRPr="00B115A0">
              <w:rPr>
                <w:rFonts w:ascii="Arial Narrow" w:eastAsia="Times New Roman" w:hAnsi="Arial Narrow" w:cs="Calibri"/>
                <w:b/>
                <w:bCs/>
                <w:color w:val="000000"/>
                <w:sz w:val="18"/>
                <w:szCs w:val="18"/>
                <w:lang w:val="es-CO" w:eastAsia="es-CO"/>
              </w:rPr>
              <w:t>1.537.195.354</w:t>
            </w:r>
          </w:p>
        </w:tc>
      </w:tr>
      <w:tr w:rsidR="00215BD8" w:rsidRPr="00B115A0" w14:paraId="06A501F4" w14:textId="77777777" w:rsidTr="0059236D">
        <w:trPr>
          <w:trHeight w:val="55"/>
          <w:jc w:val="center"/>
        </w:trPr>
        <w:tc>
          <w:tcPr>
            <w:tcW w:w="874" w:type="pct"/>
            <w:shd w:val="clear" w:color="auto" w:fill="auto"/>
            <w:noWrap/>
            <w:vAlign w:val="center"/>
            <w:hideMark/>
          </w:tcPr>
          <w:p w14:paraId="37753566"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1.1. Libre Inversión</w:t>
            </w:r>
          </w:p>
        </w:tc>
        <w:tc>
          <w:tcPr>
            <w:tcW w:w="1087" w:type="pct"/>
            <w:shd w:val="clear" w:color="auto" w:fill="auto"/>
            <w:noWrap/>
            <w:vAlign w:val="center"/>
            <w:hideMark/>
          </w:tcPr>
          <w:p w14:paraId="268E5044"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700.094.175</w:t>
            </w:r>
          </w:p>
        </w:tc>
        <w:tc>
          <w:tcPr>
            <w:tcW w:w="1109" w:type="pct"/>
            <w:shd w:val="clear" w:color="auto" w:fill="auto"/>
            <w:noWrap/>
            <w:vAlign w:val="center"/>
            <w:hideMark/>
          </w:tcPr>
          <w:p w14:paraId="3CA9FBBF"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124.780.435</w:t>
            </w:r>
          </w:p>
        </w:tc>
        <w:tc>
          <w:tcPr>
            <w:tcW w:w="973" w:type="pct"/>
            <w:shd w:val="clear" w:color="auto" w:fill="auto"/>
            <w:noWrap/>
            <w:vAlign w:val="center"/>
            <w:hideMark/>
          </w:tcPr>
          <w:p w14:paraId="602BAD52"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575.313.740</w:t>
            </w:r>
          </w:p>
        </w:tc>
      </w:tr>
      <w:tr w:rsidR="00215BD8" w:rsidRPr="00B115A0" w14:paraId="5BDD18B5" w14:textId="77777777" w:rsidTr="0059236D">
        <w:trPr>
          <w:trHeight w:val="189"/>
          <w:jc w:val="center"/>
        </w:trPr>
        <w:tc>
          <w:tcPr>
            <w:tcW w:w="874" w:type="pct"/>
            <w:shd w:val="clear" w:color="auto" w:fill="auto"/>
            <w:noWrap/>
            <w:vAlign w:val="center"/>
            <w:hideMark/>
          </w:tcPr>
          <w:p w14:paraId="034894FB"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1.2. Deporte y Recreación</w:t>
            </w:r>
          </w:p>
        </w:tc>
        <w:tc>
          <w:tcPr>
            <w:tcW w:w="1087" w:type="pct"/>
            <w:shd w:val="clear" w:color="auto" w:fill="auto"/>
            <w:noWrap/>
            <w:vAlign w:val="center"/>
            <w:hideMark/>
          </w:tcPr>
          <w:p w14:paraId="12882286"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25.961.227</w:t>
            </w:r>
          </w:p>
        </w:tc>
        <w:tc>
          <w:tcPr>
            <w:tcW w:w="1109" w:type="pct"/>
            <w:shd w:val="clear" w:color="auto" w:fill="auto"/>
            <w:noWrap/>
            <w:vAlign w:val="center"/>
            <w:hideMark/>
          </w:tcPr>
          <w:p w14:paraId="0BA13126"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w:t>
            </w:r>
          </w:p>
        </w:tc>
        <w:tc>
          <w:tcPr>
            <w:tcW w:w="973" w:type="pct"/>
            <w:shd w:val="clear" w:color="auto" w:fill="auto"/>
            <w:noWrap/>
            <w:vAlign w:val="center"/>
            <w:hideMark/>
          </w:tcPr>
          <w:p w14:paraId="41E72757"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25.961.227</w:t>
            </w:r>
          </w:p>
        </w:tc>
      </w:tr>
      <w:tr w:rsidR="00215BD8" w:rsidRPr="00B115A0" w14:paraId="41D3DABA" w14:textId="77777777" w:rsidTr="00B276A6">
        <w:trPr>
          <w:trHeight w:val="312"/>
          <w:jc w:val="center"/>
        </w:trPr>
        <w:tc>
          <w:tcPr>
            <w:tcW w:w="874" w:type="pct"/>
            <w:shd w:val="clear" w:color="auto" w:fill="auto"/>
            <w:noWrap/>
            <w:vAlign w:val="center"/>
            <w:hideMark/>
          </w:tcPr>
          <w:p w14:paraId="4C09CB5E"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1.3. Cultura</w:t>
            </w:r>
          </w:p>
        </w:tc>
        <w:tc>
          <w:tcPr>
            <w:tcW w:w="1087" w:type="pct"/>
            <w:shd w:val="clear" w:color="auto" w:fill="auto"/>
            <w:noWrap/>
            <w:vAlign w:val="center"/>
            <w:hideMark/>
          </w:tcPr>
          <w:p w14:paraId="2ECBB967"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44.629.730</w:t>
            </w:r>
          </w:p>
        </w:tc>
        <w:tc>
          <w:tcPr>
            <w:tcW w:w="1109" w:type="pct"/>
            <w:shd w:val="clear" w:color="auto" w:fill="auto"/>
            <w:noWrap/>
            <w:vAlign w:val="center"/>
            <w:hideMark/>
          </w:tcPr>
          <w:p w14:paraId="58947F9B"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w:t>
            </w:r>
          </w:p>
        </w:tc>
        <w:tc>
          <w:tcPr>
            <w:tcW w:w="973" w:type="pct"/>
            <w:shd w:val="clear" w:color="auto" w:fill="auto"/>
            <w:noWrap/>
            <w:vAlign w:val="center"/>
            <w:hideMark/>
          </w:tcPr>
          <w:p w14:paraId="53F03952"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FF0000"/>
                <w:sz w:val="18"/>
                <w:szCs w:val="18"/>
                <w:lang w:val="es-CO" w:eastAsia="es-CO"/>
              </w:rPr>
              <w:t>-1.070.019</w:t>
            </w:r>
          </w:p>
        </w:tc>
      </w:tr>
      <w:tr w:rsidR="00215BD8" w:rsidRPr="00B115A0" w14:paraId="59757953" w14:textId="77777777" w:rsidTr="0059236D">
        <w:trPr>
          <w:trHeight w:val="115"/>
          <w:jc w:val="center"/>
        </w:trPr>
        <w:tc>
          <w:tcPr>
            <w:tcW w:w="874" w:type="pct"/>
            <w:shd w:val="clear" w:color="auto" w:fill="auto"/>
            <w:noWrap/>
            <w:vAlign w:val="center"/>
            <w:hideMark/>
          </w:tcPr>
          <w:p w14:paraId="777AE689"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1.4. Libre Destinación</w:t>
            </w:r>
          </w:p>
        </w:tc>
        <w:tc>
          <w:tcPr>
            <w:tcW w:w="1087" w:type="pct"/>
            <w:shd w:val="clear" w:color="auto" w:fill="auto"/>
            <w:noWrap/>
            <w:vAlign w:val="center"/>
            <w:hideMark/>
          </w:tcPr>
          <w:p w14:paraId="40EB1539"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936.990.406</w:t>
            </w:r>
          </w:p>
        </w:tc>
        <w:tc>
          <w:tcPr>
            <w:tcW w:w="1109" w:type="pct"/>
            <w:shd w:val="clear" w:color="auto" w:fill="auto"/>
            <w:noWrap/>
            <w:vAlign w:val="center"/>
            <w:hideMark/>
          </w:tcPr>
          <w:p w14:paraId="159A0480"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w:t>
            </w:r>
          </w:p>
        </w:tc>
        <w:tc>
          <w:tcPr>
            <w:tcW w:w="973" w:type="pct"/>
            <w:shd w:val="clear" w:color="auto" w:fill="auto"/>
            <w:noWrap/>
            <w:vAlign w:val="center"/>
            <w:hideMark/>
          </w:tcPr>
          <w:p w14:paraId="50AB5F57" w14:textId="77777777" w:rsidR="00215BD8" w:rsidRPr="00B115A0" w:rsidRDefault="00215BD8">
            <w:pPr>
              <w:spacing w:after="0" w:line="240" w:lineRule="auto"/>
              <w:contextualSpacing/>
              <w:jc w:val="center"/>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936.990.406</w:t>
            </w:r>
          </w:p>
        </w:tc>
      </w:tr>
    </w:tbl>
    <w:p w14:paraId="0ABC5480" w14:textId="77777777" w:rsidR="00AC4463" w:rsidRPr="00FB27C3" w:rsidRDefault="00AC4463" w:rsidP="00286F4A">
      <w:pPr>
        <w:spacing w:line="240" w:lineRule="auto"/>
        <w:contextualSpacing/>
        <w:jc w:val="center"/>
        <w:rPr>
          <w:sz w:val="16"/>
          <w:szCs w:val="16"/>
        </w:rPr>
      </w:pPr>
      <w:r w:rsidRPr="00FB27C3">
        <w:rPr>
          <w:b/>
          <w:bCs/>
          <w:sz w:val="16"/>
          <w:szCs w:val="16"/>
        </w:rPr>
        <w:t xml:space="preserve">Fuente: </w:t>
      </w:r>
      <w:r w:rsidRPr="00FB27C3">
        <w:rPr>
          <w:sz w:val="16"/>
          <w:szCs w:val="16"/>
        </w:rPr>
        <w:t>Elaboración DAF con base en las ejecuciones presupuestales y el reporte FUT Cierre Fiscal.</w:t>
      </w:r>
    </w:p>
    <w:p w14:paraId="760262D3" w14:textId="77777777" w:rsidR="00F90354" w:rsidRDefault="00F90354" w:rsidP="001729F6">
      <w:pPr>
        <w:spacing w:line="240" w:lineRule="auto"/>
        <w:contextualSpacing/>
        <w:rPr>
          <w:rFonts w:cs="Arial"/>
        </w:rPr>
      </w:pPr>
      <w:r>
        <w:rPr>
          <w:rFonts w:cs="Arial"/>
        </w:rPr>
        <w:br w:type="page"/>
      </w:r>
    </w:p>
    <w:p w14:paraId="54963EEC" w14:textId="77777777" w:rsidR="005D7743" w:rsidRDefault="005D7743" w:rsidP="00286F4A">
      <w:pPr>
        <w:spacing w:line="240" w:lineRule="auto"/>
        <w:contextualSpacing/>
        <w:rPr>
          <w:rFonts w:cs="Arial"/>
          <w:b/>
          <w:bCs/>
        </w:rPr>
      </w:pPr>
      <w:r w:rsidRPr="005D7743">
        <w:rPr>
          <w:rFonts w:cs="Arial"/>
          <w:b/>
          <w:bCs/>
        </w:rPr>
        <w:lastRenderedPageBreak/>
        <w:t>Vigencia 2019</w:t>
      </w:r>
      <w:r w:rsidR="00F90354">
        <w:rPr>
          <w:rFonts w:cs="Arial"/>
          <w:b/>
          <w:bCs/>
        </w:rPr>
        <w:t>.</w:t>
      </w:r>
    </w:p>
    <w:p w14:paraId="22F8D0C2" w14:textId="77777777" w:rsidR="00F90354" w:rsidRPr="005D7743" w:rsidRDefault="00F90354">
      <w:pPr>
        <w:spacing w:line="240" w:lineRule="auto"/>
        <w:contextualSpacing/>
        <w:rPr>
          <w:rFonts w:cs="Arial"/>
          <w:b/>
          <w:bCs/>
        </w:rPr>
      </w:pPr>
    </w:p>
    <w:p w14:paraId="3E6D60F8" w14:textId="77777777" w:rsidR="00D86FE4" w:rsidRPr="00FB27C3" w:rsidRDefault="00D86FE4">
      <w:pPr>
        <w:spacing w:after="0" w:line="240" w:lineRule="auto"/>
        <w:contextualSpacing/>
        <w:jc w:val="center"/>
        <w:rPr>
          <w:b/>
          <w:bCs/>
          <w:sz w:val="20"/>
          <w:szCs w:val="20"/>
        </w:rPr>
      </w:pPr>
      <w:r w:rsidRPr="00FB27C3">
        <w:rPr>
          <w:b/>
          <w:bCs/>
          <w:sz w:val="20"/>
          <w:szCs w:val="20"/>
        </w:rPr>
        <w:t>Cuadro No. 6</w:t>
      </w:r>
    </w:p>
    <w:p w14:paraId="052DD04E" w14:textId="77777777" w:rsidR="00D86FE4" w:rsidRPr="00FB27C3" w:rsidRDefault="00D86FE4">
      <w:pPr>
        <w:spacing w:after="0" w:line="240" w:lineRule="auto"/>
        <w:contextualSpacing/>
        <w:jc w:val="center"/>
        <w:rPr>
          <w:sz w:val="20"/>
          <w:szCs w:val="20"/>
        </w:rPr>
      </w:pPr>
      <w:r w:rsidRPr="00FB27C3">
        <w:rPr>
          <w:sz w:val="20"/>
          <w:szCs w:val="20"/>
        </w:rPr>
        <w:t>Cierre Fiscal 2019</w:t>
      </w:r>
    </w:p>
    <w:p w14:paraId="499CFB61" w14:textId="77777777" w:rsidR="00D86FE4" w:rsidRPr="00FB27C3" w:rsidRDefault="00D86FE4">
      <w:pPr>
        <w:spacing w:after="0" w:line="240" w:lineRule="auto"/>
        <w:contextualSpacing/>
        <w:jc w:val="center"/>
        <w:rPr>
          <w:sz w:val="20"/>
          <w:szCs w:val="20"/>
        </w:rPr>
      </w:pPr>
      <w:r w:rsidRPr="00FB27C3">
        <w:rPr>
          <w:sz w:val="20"/>
          <w:szCs w:val="20"/>
        </w:rPr>
        <w:t xml:space="preserve">Municipio de </w:t>
      </w:r>
      <w:r w:rsidR="00D174A6" w:rsidRPr="00FB27C3">
        <w:rPr>
          <w:sz w:val="20"/>
          <w:szCs w:val="20"/>
        </w:rPr>
        <w:t>Puerto Leguízamo – Putumayo</w:t>
      </w:r>
    </w:p>
    <w:tbl>
      <w:tblPr>
        <w:tblW w:w="3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5"/>
        <w:gridCol w:w="2315"/>
        <w:gridCol w:w="2071"/>
      </w:tblGrid>
      <w:tr w:rsidR="00B115A0" w:rsidRPr="00B115A0" w14:paraId="7C085224" w14:textId="77777777" w:rsidTr="00215BD8">
        <w:trPr>
          <w:trHeight w:val="300"/>
          <w:jc w:val="center"/>
        </w:trPr>
        <w:tc>
          <w:tcPr>
            <w:tcW w:w="5000" w:type="pct"/>
            <w:gridSpan w:val="3"/>
            <w:shd w:val="clear" w:color="000000" w:fill="666699"/>
            <w:vAlign w:val="center"/>
            <w:hideMark/>
          </w:tcPr>
          <w:p w14:paraId="2664972D" w14:textId="77777777" w:rsidR="00B115A0" w:rsidRPr="00B115A0" w:rsidRDefault="00B115A0">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 xml:space="preserve">Sector Propósito General Cierre Fiscal 2019- Saldo en Caja FUT (cifras en pesos) </w:t>
            </w:r>
          </w:p>
        </w:tc>
      </w:tr>
      <w:tr w:rsidR="00215BD8" w:rsidRPr="006C532F" w14:paraId="4AC6110C" w14:textId="77777777" w:rsidTr="00215BD8">
        <w:trPr>
          <w:trHeight w:val="540"/>
          <w:jc w:val="center"/>
        </w:trPr>
        <w:tc>
          <w:tcPr>
            <w:tcW w:w="1486" w:type="pct"/>
            <w:vMerge w:val="restart"/>
            <w:shd w:val="clear" w:color="000000" w:fill="666699"/>
            <w:vAlign w:val="center"/>
            <w:hideMark/>
          </w:tcPr>
          <w:p w14:paraId="66442324" w14:textId="77777777" w:rsidR="00215BD8" w:rsidRPr="00B115A0" w:rsidRDefault="00215BD8"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Destinaciones</w:t>
            </w:r>
          </w:p>
        </w:tc>
        <w:tc>
          <w:tcPr>
            <w:tcW w:w="1855" w:type="pct"/>
            <w:shd w:val="clear" w:color="000000" w:fill="666699"/>
            <w:vAlign w:val="center"/>
            <w:hideMark/>
          </w:tcPr>
          <w:p w14:paraId="5F0503DA" w14:textId="77777777" w:rsidR="00215BD8" w:rsidRPr="00B115A0" w:rsidRDefault="00215BD8">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Saldo en Cajas</w:t>
            </w:r>
          </w:p>
        </w:tc>
        <w:tc>
          <w:tcPr>
            <w:tcW w:w="1658" w:type="pct"/>
            <w:shd w:val="clear" w:color="000000" w:fill="666699"/>
            <w:vAlign w:val="center"/>
            <w:hideMark/>
          </w:tcPr>
          <w:p w14:paraId="5E71B1FD" w14:textId="77777777" w:rsidR="00215BD8" w:rsidRPr="00B115A0" w:rsidRDefault="00215BD8">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Superávit o Déficit</w:t>
            </w:r>
          </w:p>
        </w:tc>
      </w:tr>
      <w:tr w:rsidR="00215BD8" w:rsidRPr="006C532F" w14:paraId="6F4898EC" w14:textId="77777777" w:rsidTr="00215BD8">
        <w:trPr>
          <w:trHeight w:val="300"/>
          <w:jc w:val="center"/>
        </w:trPr>
        <w:tc>
          <w:tcPr>
            <w:tcW w:w="1486" w:type="pct"/>
            <w:vMerge/>
            <w:vAlign w:val="center"/>
            <w:hideMark/>
          </w:tcPr>
          <w:p w14:paraId="2B88E6E8" w14:textId="77777777" w:rsidR="00215BD8" w:rsidRPr="00B115A0" w:rsidRDefault="00215BD8">
            <w:pPr>
              <w:spacing w:after="0" w:line="240" w:lineRule="auto"/>
              <w:contextualSpacing/>
              <w:rPr>
                <w:rFonts w:ascii="Arial Narrow" w:eastAsia="Times New Roman" w:hAnsi="Arial Narrow" w:cs="Calibri"/>
                <w:b/>
                <w:bCs/>
                <w:color w:val="FFFFFF"/>
                <w:sz w:val="18"/>
                <w:szCs w:val="18"/>
                <w:lang w:val="es-CO" w:eastAsia="es-CO"/>
              </w:rPr>
            </w:pPr>
          </w:p>
        </w:tc>
        <w:tc>
          <w:tcPr>
            <w:tcW w:w="1855" w:type="pct"/>
            <w:shd w:val="clear" w:color="000000" w:fill="CCCCFF"/>
            <w:vAlign w:val="center"/>
            <w:hideMark/>
          </w:tcPr>
          <w:p w14:paraId="3E0F1B30" w14:textId="77777777" w:rsidR="00215BD8" w:rsidRPr="00B115A0" w:rsidRDefault="00215BD8">
            <w:pPr>
              <w:spacing w:after="0" w:line="240" w:lineRule="auto"/>
              <w:contextualSpacing/>
              <w:jc w:val="right"/>
              <w:rPr>
                <w:rFonts w:ascii="Arial Narrow" w:eastAsia="Times New Roman" w:hAnsi="Arial Narrow" w:cs="Calibri"/>
                <w:b/>
                <w:bCs/>
                <w:color w:val="000000"/>
                <w:sz w:val="18"/>
                <w:szCs w:val="18"/>
                <w:lang w:val="es-CO" w:eastAsia="es-CO"/>
              </w:rPr>
            </w:pPr>
            <w:r w:rsidRPr="00B115A0">
              <w:rPr>
                <w:rFonts w:ascii="Arial Narrow" w:eastAsia="Times New Roman" w:hAnsi="Arial Narrow" w:cs="Calibri"/>
                <w:b/>
                <w:bCs/>
                <w:color w:val="000000"/>
                <w:sz w:val="18"/>
                <w:szCs w:val="18"/>
                <w:lang w:val="es-CO" w:eastAsia="es-CO"/>
              </w:rPr>
              <w:t>1.423.177.516</w:t>
            </w:r>
          </w:p>
        </w:tc>
        <w:tc>
          <w:tcPr>
            <w:tcW w:w="1658" w:type="pct"/>
            <w:shd w:val="clear" w:color="000000" w:fill="CCCCFF"/>
            <w:vAlign w:val="center"/>
            <w:hideMark/>
          </w:tcPr>
          <w:p w14:paraId="6492D029" w14:textId="77777777" w:rsidR="00215BD8" w:rsidRPr="00B115A0" w:rsidRDefault="00215BD8">
            <w:pPr>
              <w:spacing w:after="0" w:line="240" w:lineRule="auto"/>
              <w:contextualSpacing/>
              <w:jc w:val="right"/>
              <w:rPr>
                <w:rFonts w:ascii="Arial Narrow" w:eastAsia="Times New Roman" w:hAnsi="Arial Narrow" w:cs="Calibri"/>
                <w:b/>
                <w:bCs/>
                <w:color w:val="000000"/>
                <w:sz w:val="18"/>
                <w:szCs w:val="18"/>
                <w:lang w:val="es-CO" w:eastAsia="es-CO"/>
              </w:rPr>
            </w:pPr>
            <w:r w:rsidRPr="00B115A0">
              <w:rPr>
                <w:rFonts w:ascii="Arial Narrow" w:eastAsia="Times New Roman" w:hAnsi="Arial Narrow" w:cs="Calibri"/>
                <w:b/>
                <w:bCs/>
                <w:color w:val="000000"/>
                <w:sz w:val="18"/>
                <w:szCs w:val="18"/>
                <w:lang w:val="es-CO" w:eastAsia="es-CO"/>
              </w:rPr>
              <w:t>1.423.177.516</w:t>
            </w:r>
          </w:p>
        </w:tc>
      </w:tr>
      <w:tr w:rsidR="00215BD8" w:rsidRPr="00B115A0" w14:paraId="637DB825" w14:textId="77777777" w:rsidTr="00215BD8">
        <w:trPr>
          <w:trHeight w:val="288"/>
          <w:jc w:val="center"/>
        </w:trPr>
        <w:tc>
          <w:tcPr>
            <w:tcW w:w="1486" w:type="pct"/>
            <w:shd w:val="clear" w:color="auto" w:fill="auto"/>
            <w:noWrap/>
            <w:vAlign w:val="center"/>
            <w:hideMark/>
          </w:tcPr>
          <w:p w14:paraId="4F1F8261"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1.1. Libre Inversión</w:t>
            </w:r>
          </w:p>
        </w:tc>
        <w:tc>
          <w:tcPr>
            <w:tcW w:w="1855" w:type="pct"/>
            <w:shd w:val="clear" w:color="auto" w:fill="auto"/>
            <w:noWrap/>
            <w:vAlign w:val="center"/>
            <w:hideMark/>
          </w:tcPr>
          <w:p w14:paraId="06D9ABC4"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848.789.825</w:t>
            </w:r>
          </w:p>
        </w:tc>
        <w:tc>
          <w:tcPr>
            <w:tcW w:w="1658" w:type="pct"/>
            <w:shd w:val="clear" w:color="auto" w:fill="auto"/>
            <w:noWrap/>
            <w:vAlign w:val="center"/>
            <w:hideMark/>
          </w:tcPr>
          <w:p w14:paraId="679F4096"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848.789.825</w:t>
            </w:r>
          </w:p>
        </w:tc>
      </w:tr>
      <w:tr w:rsidR="00215BD8" w:rsidRPr="00B115A0" w14:paraId="6DFABD78" w14:textId="77777777" w:rsidTr="00215BD8">
        <w:trPr>
          <w:trHeight w:val="300"/>
          <w:jc w:val="center"/>
        </w:trPr>
        <w:tc>
          <w:tcPr>
            <w:tcW w:w="1486" w:type="pct"/>
            <w:shd w:val="clear" w:color="auto" w:fill="auto"/>
            <w:noWrap/>
            <w:vAlign w:val="center"/>
            <w:hideMark/>
          </w:tcPr>
          <w:p w14:paraId="690E54BB"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1.2. Deporte y Recreación</w:t>
            </w:r>
          </w:p>
        </w:tc>
        <w:tc>
          <w:tcPr>
            <w:tcW w:w="1855" w:type="pct"/>
            <w:shd w:val="clear" w:color="auto" w:fill="auto"/>
            <w:noWrap/>
            <w:vAlign w:val="center"/>
            <w:hideMark/>
          </w:tcPr>
          <w:p w14:paraId="65D57C59"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45.618.531</w:t>
            </w:r>
          </w:p>
        </w:tc>
        <w:tc>
          <w:tcPr>
            <w:tcW w:w="1658" w:type="pct"/>
            <w:shd w:val="clear" w:color="auto" w:fill="auto"/>
            <w:noWrap/>
            <w:vAlign w:val="center"/>
            <w:hideMark/>
          </w:tcPr>
          <w:p w14:paraId="4A104A2F"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45.618.531</w:t>
            </w:r>
          </w:p>
        </w:tc>
      </w:tr>
      <w:tr w:rsidR="00215BD8" w:rsidRPr="00B115A0" w14:paraId="4F2ED93E" w14:textId="77777777" w:rsidTr="00215BD8">
        <w:trPr>
          <w:trHeight w:val="288"/>
          <w:jc w:val="center"/>
        </w:trPr>
        <w:tc>
          <w:tcPr>
            <w:tcW w:w="1486" w:type="pct"/>
            <w:shd w:val="clear" w:color="auto" w:fill="auto"/>
            <w:noWrap/>
            <w:vAlign w:val="center"/>
            <w:hideMark/>
          </w:tcPr>
          <w:p w14:paraId="4743A0F9"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1.3. Cultura</w:t>
            </w:r>
          </w:p>
        </w:tc>
        <w:tc>
          <w:tcPr>
            <w:tcW w:w="1855" w:type="pct"/>
            <w:shd w:val="clear" w:color="auto" w:fill="auto"/>
            <w:noWrap/>
            <w:vAlign w:val="center"/>
            <w:hideMark/>
          </w:tcPr>
          <w:p w14:paraId="08835E61"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98.291.818</w:t>
            </w:r>
          </w:p>
        </w:tc>
        <w:tc>
          <w:tcPr>
            <w:tcW w:w="1658" w:type="pct"/>
            <w:shd w:val="clear" w:color="auto" w:fill="auto"/>
            <w:noWrap/>
            <w:vAlign w:val="center"/>
            <w:hideMark/>
          </w:tcPr>
          <w:p w14:paraId="32C8749F"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98.291.818</w:t>
            </w:r>
          </w:p>
        </w:tc>
      </w:tr>
      <w:tr w:rsidR="00215BD8" w:rsidRPr="00B115A0" w14:paraId="30383310" w14:textId="77777777" w:rsidTr="00215BD8">
        <w:trPr>
          <w:trHeight w:val="288"/>
          <w:jc w:val="center"/>
        </w:trPr>
        <w:tc>
          <w:tcPr>
            <w:tcW w:w="1486" w:type="pct"/>
            <w:shd w:val="clear" w:color="auto" w:fill="auto"/>
            <w:noWrap/>
            <w:vAlign w:val="center"/>
            <w:hideMark/>
          </w:tcPr>
          <w:p w14:paraId="5351056D"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1.4. Libre Destinación</w:t>
            </w:r>
          </w:p>
        </w:tc>
        <w:tc>
          <w:tcPr>
            <w:tcW w:w="1855" w:type="pct"/>
            <w:shd w:val="clear" w:color="auto" w:fill="auto"/>
            <w:noWrap/>
            <w:vAlign w:val="center"/>
            <w:hideMark/>
          </w:tcPr>
          <w:p w14:paraId="664A01A2"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430.477.342</w:t>
            </w:r>
          </w:p>
        </w:tc>
        <w:tc>
          <w:tcPr>
            <w:tcW w:w="1658" w:type="pct"/>
            <w:shd w:val="clear" w:color="auto" w:fill="auto"/>
            <w:noWrap/>
            <w:vAlign w:val="center"/>
            <w:hideMark/>
          </w:tcPr>
          <w:p w14:paraId="402D984A"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430.477.342</w:t>
            </w:r>
          </w:p>
        </w:tc>
      </w:tr>
    </w:tbl>
    <w:p w14:paraId="770BC107" w14:textId="77777777" w:rsidR="00136CB1" w:rsidRPr="00FB27C3" w:rsidRDefault="00136CB1" w:rsidP="00286F4A">
      <w:pPr>
        <w:spacing w:line="240" w:lineRule="auto"/>
        <w:contextualSpacing/>
        <w:jc w:val="center"/>
        <w:rPr>
          <w:sz w:val="16"/>
          <w:szCs w:val="16"/>
        </w:rPr>
      </w:pPr>
      <w:r w:rsidRPr="00FB27C3">
        <w:rPr>
          <w:b/>
          <w:bCs/>
          <w:sz w:val="16"/>
          <w:szCs w:val="16"/>
        </w:rPr>
        <w:t xml:space="preserve">Fuente: </w:t>
      </w:r>
      <w:r w:rsidRPr="00FB27C3">
        <w:rPr>
          <w:sz w:val="16"/>
          <w:szCs w:val="16"/>
        </w:rPr>
        <w:t>Elaboración DAF con base en las ejecuciones presupuestales y el reporte FUT Cierre Fiscal.</w:t>
      </w:r>
    </w:p>
    <w:p w14:paraId="18F9300B" w14:textId="77777777" w:rsidR="00FF0763" w:rsidRPr="00FB27C3" w:rsidRDefault="00FF0763">
      <w:pPr>
        <w:spacing w:line="240" w:lineRule="auto"/>
        <w:contextualSpacing/>
      </w:pPr>
    </w:p>
    <w:p w14:paraId="2AB4CB46" w14:textId="77777777" w:rsidR="005D7743" w:rsidRDefault="005D7743">
      <w:pPr>
        <w:spacing w:line="240" w:lineRule="auto"/>
        <w:contextualSpacing/>
        <w:rPr>
          <w:rFonts w:cs="Arial"/>
          <w:b/>
          <w:bCs/>
        </w:rPr>
      </w:pPr>
      <w:r w:rsidRPr="005D7743">
        <w:rPr>
          <w:rFonts w:cs="Arial"/>
          <w:b/>
          <w:bCs/>
        </w:rPr>
        <w:t>Vigencia 2020</w:t>
      </w:r>
      <w:r w:rsidR="00F90354">
        <w:rPr>
          <w:rFonts w:cs="Arial"/>
          <w:b/>
          <w:bCs/>
        </w:rPr>
        <w:t>.</w:t>
      </w:r>
    </w:p>
    <w:p w14:paraId="74E6F586" w14:textId="77777777" w:rsidR="00F90354" w:rsidRPr="005D7743" w:rsidRDefault="00F90354">
      <w:pPr>
        <w:spacing w:line="240" w:lineRule="auto"/>
        <w:contextualSpacing/>
        <w:rPr>
          <w:rFonts w:cs="Arial"/>
          <w:b/>
          <w:bCs/>
        </w:rPr>
      </w:pPr>
    </w:p>
    <w:p w14:paraId="5B65FF41" w14:textId="77777777" w:rsidR="00FF0763" w:rsidRPr="00FB27C3" w:rsidRDefault="00FF0763">
      <w:pPr>
        <w:spacing w:after="0" w:line="240" w:lineRule="auto"/>
        <w:contextualSpacing/>
        <w:jc w:val="center"/>
        <w:rPr>
          <w:b/>
          <w:bCs/>
          <w:sz w:val="20"/>
          <w:szCs w:val="20"/>
        </w:rPr>
      </w:pPr>
      <w:r w:rsidRPr="00FB27C3">
        <w:rPr>
          <w:b/>
          <w:bCs/>
          <w:sz w:val="20"/>
          <w:szCs w:val="20"/>
        </w:rPr>
        <w:t>Cuadro No. 7</w:t>
      </w:r>
    </w:p>
    <w:p w14:paraId="72FE37E7" w14:textId="77777777" w:rsidR="00FF0763" w:rsidRPr="00FB27C3" w:rsidRDefault="00FF0763">
      <w:pPr>
        <w:spacing w:after="0" w:line="240" w:lineRule="auto"/>
        <w:contextualSpacing/>
        <w:jc w:val="center"/>
        <w:rPr>
          <w:sz w:val="20"/>
          <w:szCs w:val="20"/>
        </w:rPr>
      </w:pPr>
      <w:r w:rsidRPr="00FB27C3">
        <w:rPr>
          <w:sz w:val="20"/>
          <w:szCs w:val="20"/>
        </w:rPr>
        <w:t>Cierre Fiscal 2020</w:t>
      </w:r>
    </w:p>
    <w:p w14:paraId="1DB38A36" w14:textId="77777777" w:rsidR="00FF0763" w:rsidRPr="00FB27C3" w:rsidRDefault="00FF0763">
      <w:pPr>
        <w:spacing w:after="0" w:line="240" w:lineRule="auto"/>
        <w:contextualSpacing/>
        <w:jc w:val="center"/>
        <w:rPr>
          <w:sz w:val="20"/>
          <w:szCs w:val="20"/>
        </w:rPr>
      </w:pPr>
      <w:r w:rsidRPr="00FB27C3">
        <w:rPr>
          <w:sz w:val="20"/>
          <w:szCs w:val="20"/>
        </w:rPr>
        <w:t xml:space="preserve">Municipio de </w:t>
      </w:r>
      <w:r w:rsidR="00D174A6" w:rsidRPr="00FB27C3">
        <w:rPr>
          <w:sz w:val="20"/>
          <w:szCs w:val="20"/>
        </w:rPr>
        <w:t>Puerto Leguízamo – Putumayo</w:t>
      </w:r>
    </w:p>
    <w:tbl>
      <w:tblPr>
        <w:tblW w:w="48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8"/>
        <w:gridCol w:w="2316"/>
        <w:gridCol w:w="2364"/>
        <w:gridCol w:w="2071"/>
      </w:tblGrid>
      <w:tr w:rsidR="00B115A0" w:rsidRPr="00215BD8" w14:paraId="604858F8" w14:textId="77777777" w:rsidTr="00215BD8">
        <w:trPr>
          <w:trHeight w:val="288"/>
          <w:jc w:val="center"/>
        </w:trPr>
        <w:tc>
          <w:tcPr>
            <w:tcW w:w="5000" w:type="pct"/>
            <w:gridSpan w:val="4"/>
            <w:shd w:val="clear" w:color="000000" w:fill="666699"/>
            <w:vAlign w:val="center"/>
            <w:hideMark/>
          </w:tcPr>
          <w:p w14:paraId="0BCA05AC" w14:textId="77777777" w:rsidR="00B115A0" w:rsidRPr="00B115A0" w:rsidRDefault="00B115A0">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 xml:space="preserve">Sector Propósito General Cierre Fiscal 2020 - Saldo en Caja FUT (cifras en pesos) </w:t>
            </w:r>
          </w:p>
        </w:tc>
      </w:tr>
      <w:tr w:rsidR="00215BD8" w:rsidRPr="006C532F" w14:paraId="633CE266" w14:textId="77777777" w:rsidTr="00215BD8">
        <w:trPr>
          <w:trHeight w:val="540"/>
          <w:jc w:val="center"/>
        </w:trPr>
        <w:tc>
          <w:tcPr>
            <w:tcW w:w="942" w:type="pct"/>
            <w:vMerge w:val="restart"/>
            <w:shd w:val="clear" w:color="000000" w:fill="666699"/>
            <w:vAlign w:val="center"/>
            <w:hideMark/>
          </w:tcPr>
          <w:p w14:paraId="528A18DB" w14:textId="77777777" w:rsidR="00215BD8" w:rsidRPr="00B115A0" w:rsidRDefault="00215BD8" w:rsidP="00286F4A">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Destinaciones</w:t>
            </w:r>
          </w:p>
        </w:tc>
        <w:tc>
          <w:tcPr>
            <w:tcW w:w="1392" w:type="pct"/>
            <w:shd w:val="clear" w:color="000000" w:fill="666699"/>
            <w:vAlign w:val="center"/>
            <w:hideMark/>
          </w:tcPr>
          <w:p w14:paraId="16E85F94" w14:textId="77777777" w:rsidR="00215BD8" w:rsidRPr="00B115A0" w:rsidRDefault="00215BD8">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Saldo en Cajas</w:t>
            </w:r>
          </w:p>
        </w:tc>
        <w:tc>
          <w:tcPr>
            <w:tcW w:w="1421" w:type="pct"/>
            <w:shd w:val="clear" w:color="000000" w:fill="666699"/>
            <w:vAlign w:val="center"/>
            <w:hideMark/>
          </w:tcPr>
          <w:p w14:paraId="6BA77852" w14:textId="77777777" w:rsidR="00215BD8" w:rsidRPr="00B115A0" w:rsidRDefault="00215BD8">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Ctas x Pagar Vigencia</w:t>
            </w:r>
          </w:p>
        </w:tc>
        <w:tc>
          <w:tcPr>
            <w:tcW w:w="1244" w:type="pct"/>
            <w:shd w:val="clear" w:color="000000" w:fill="666699"/>
            <w:vAlign w:val="center"/>
            <w:hideMark/>
          </w:tcPr>
          <w:p w14:paraId="12BFCD8A" w14:textId="77777777" w:rsidR="00215BD8" w:rsidRPr="00B115A0" w:rsidRDefault="00215BD8">
            <w:pPr>
              <w:spacing w:after="0" w:line="240" w:lineRule="auto"/>
              <w:contextualSpacing/>
              <w:jc w:val="center"/>
              <w:rPr>
                <w:rFonts w:ascii="Arial Narrow" w:eastAsia="Times New Roman" w:hAnsi="Arial Narrow" w:cs="Calibri"/>
                <w:b/>
                <w:bCs/>
                <w:color w:val="FFFFFF"/>
                <w:sz w:val="18"/>
                <w:szCs w:val="18"/>
                <w:lang w:val="es-CO" w:eastAsia="es-CO"/>
              </w:rPr>
            </w:pPr>
            <w:r w:rsidRPr="00B115A0">
              <w:rPr>
                <w:rFonts w:ascii="Arial Narrow" w:eastAsia="Times New Roman" w:hAnsi="Arial Narrow" w:cs="Calibri"/>
                <w:b/>
                <w:bCs/>
                <w:color w:val="FFFFFF"/>
                <w:sz w:val="18"/>
                <w:szCs w:val="18"/>
                <w:lang w:val="es-CO" w:eastAsia="es-CO"/>
              </w:rPr>
              <w:t>Superávit o Déficit</w:t>
            </w:r>
          </w:p>
        </w:tc>
      </w:tr>
      <w:tr w:rsidR="00215BD8" w:rsidRPr="006C532F" w14:paraId="08D015B3" w14:textId="77777777" w:rsidTr="00215BD8">
        <w:trPr>
          <w:trHeight w:val="300"/>
          <w:jc w:val="center"/>
        </w:trPr>
        <w:tc>
          <w:tcPr>
            <w:tcW w:w="942" w:type="pct"/>
            <w:vMerge/>
            <w:vAlign w:val="center"/>
            <w:hideMark/>
          </w:tcPr>
          <w:p w14:paraId="31C656E5" w14:textId="77777777" w:rsidR="00215BD8" w:rsidRPr="00B115A0" w:rsidRDefault="00215BD8">
            <w:pPr>
              <w:spacing w:after="0" w:line="240" w:lineRule="auto"/>
              <w:contextualSpacing/>
              <w:rPr>
                <w:rFonts w:ascii="Arial Narrow" w:eastAsia="Times New Roman" w:hAnsi="Arial Narrow" w:cs="Calibri"/>
                <w:b/>
                <w:bCs/>
                <w:color w:val="FFFFFF"/>
                <w:sz w:val="18"/>
                <w:szCs w:val="18"/>
                <w:lang w:val="es-CO" w:eastAsia="es-CO"/>
              </w:rPr>
            </w:pPr>
          </w:p>
        </w:tc>
        <w:tc>
          <w:tcPr>
            <w:tcW w:w="1392" w:type="pct"/>
            <w:shd w:val="clear" w:color="000000" w:fill="CCCCFF"/>
            <w:vAlign w:val="center"/>
            <w:hideMark/>
          </w:tcPr>
          <w:p w14:paraId="210061FD" w14:textId="77777777" w:rsidR="00215BD8" w:rsidRPr="00B115A0" w:rsidRDefault="00215BD8">
            <w:pPr>
              <w:spacing w:after="0" w:line="240" w:lineRule="auto"/>
              <w:contextualSpacing/>
              <w:jc w:val="right"/>
              <w:rPr>
                <w:rFonts w:ascii="Arial Narrow" w:eastAsia="Times New Roman" w:hAnsi="Arial Narrow" w:cs="Calibri"/>
                <w:b/>
                <w:bCs/>
                <w:color w:val="000000"/>
                <w:sz w:val="18"/>
                <w:szCs w:val="18"/>
                <w:lang w:val="es-CO" w:eastAsia="es-CO"/>
              </w:rPr>
            </w:pPr>
            <w:r w:rsidRPr="00B115A0">
              <w:rPr>
                <w:rFonts w:ascii="Arial Narrow" w:eastAsia="Times New Roman" w:hAnsi="Arial Narrow" w:cs="Calibri"/>
                <w:b/>
                <w:bCs/>
                <w:color w:val="000000"/>
                <w:sz w:val="18"/>
                <w:szCs w:val="18"/>
                <w:lang w:val="es-CO" w:eastAsia="es-CO"/>
              </w:rPr>
              <w:t>1.111.416.060</w:t>
            </w:r>
          </w:p>
        </w:tc>
        <w:tc>
          <w:tcPr>
            <w:tcW w:w="1421" w:type="pct"/>
            <w:shd w:val="clear" w:color="000000" w:fill="CCCCFF"/>
            <w:vAlign w:val="center"/>
            <w:hideMark/>
          </w:tcPr>
          <w:p w14:paraId="26BBF5BD" w14:textId="77777777" w:rsidR="00215BD8" w:rsidRPr="00B115A0" w:rsidRDefault="00215BD8">
            <w:pPr>
              <w:spacing w:after="0" w:line="240" w:lineRule="auto"/>
              <w:contextualSpacing/>
              <w:jc w:val="right"/>
              <w:rPr>
                <w:rFonts w:ascii="Arial Narrow" w:eastAsia="Times New Roman" w:hAnsi="Arial Narrow" w:cs="Calibri"/>
                <w:b/>
                <w:bCs/>
                <w:color w:val="000000"/>
                <w:sz w:val="18"/>
                <w:szCs w:val="18"/>
                <w:lang w:val="es-CO" w:eastAsia="es-CO"/>
              </w:rPr>
            </w:pPr>
            <w:r w:rsidRPr="00B115A0">
              <w:rPr>
                <w:rFonts w:ascii="Arial Narrow" w:eastAsia="Times New Roman" w:hAnsi="Arial Narrow" w:cs="Calibri"/>
                <w:b/>
                <w:bCs/>
                <w:color w:val="000000"/>
                <w:sz w:val="18"/>
                <w:szCs w:val="18"/>
                <w:lang w:val="es-CO" w:eastAsia="es-CO"/>
              </w:rPr>
              <w:t>28.456.897</w:t>
            </w:r>
          </w:p>
        </w:tc>
        <w:tc>
          <w:tcPr>
            <w:tcW w:w="1244" w:type="pct"/>
            <w:shd w:val="clear" w:color="000000" w:fill="CCCCFF"/>
            <w:vAlign w:val="center"/>
            <w:hideMark/>
          </w:tcPr>
          <w:p w14:paraId="13CF0A70" w14:textId="77777777" w:rsidR="00215BD8" w:rsidRPr="00B115A0" w:rsidRDefault="00215BD8">
            <w:pPr>
              <w:spacing w:after="0" w:line="240" w:lineRule="auto"/>
              <w:contextualSpacing/>
              <w:jc w:val="right"/>
              <w:rPr>
                <w:rFonts w:ascii="Arial Narrow" w:eastAsia="Times New Roman" w:hAnsi="Arial Narrow" w:cs="Calibri"/>
                <w:b/>
                <w:bCs/>
                <w:color w:val="000000"/>
                <w:sz w:val="18"/>
                <w:szCs w:val="18"/>
                <w:lang w:val="es-CO" w:eastAsia="es-CO"/>
              </w:rPr>
            </w:pPr>
            <w:r w:rsidRPr="00B115A0">
              <w:rPr>
                <w:rFonts w:ascii="Arial Narrow" w:eastAsia="Times New Roman" w:hAnsi="Arial Narrow" w:cs="Calibri"/>
                <w:b/>
                <w:bCs/>
                <w:color w:val="000000"/>
                <w:sz w:val="18"/>
                <w:szCs w:val="18"/>
                <w:lang w:val="es-CO" w:eastAsia="es-CO"/>
              </w:rPr>
              <w:t>1.082.959.163</w:t>
            </w:r>
          </w:p>
        </w:tc>
      </w:tr>
      <w:tr w:rsidR="00215BD8" w:rsidRPr="006C532F" w14:paraId="1197319D" w14:textId="77777777" w:rsidTr="00215BD8">
        <w:trPr>
          <w:trHeight w:val="288"/>
          <w:jc w:val="center"/>
        </w:trPr>
        <w:tc>
          <w:tcPr>
            <w:tcW w:w="942" w:type="pct"/>
            <w:shd w:val="clear" w:color="auto" w:fill="auto"/>
            <w:noWrap/>
            <w:vAlign w:val="center"/>
            <w:hideMark/>
          </w:tcPr>
          <w:p w14:paraId="31DD318B"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1.1. Libre Inversión</w:t>
            </w:r>
          </w:p>
        </w:tc>
        <w:tc>
          <w:tcPr>
            <w:tcW w:w="1392" w:type="pct"/>
            <w:shd w:val="clear" w:color="auto" w:fill="auto"/>
            <w:noWrap/>
            <w:vAlign w:val="center"/>
            <w:hideMark/>
          </w:tcPr>
          <w:p w14:paraId="0DC28035"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1.071.376.273</w:t>
            </w:r>
          </w:p>
        </w:tc>
        <w:tc>
          <w:tcPr>
            <w:tcW w:w="1421" w:type="pct"/>
            <w:shd w:val="clear" w:color="auto" w:fill="auto"/>
            <w:noWrap/>
            <w:vAlign w:val="center"/>
            <w:hideMark/>
          </w:tcPr>
          <w:p w14:paraId="79BD3B81"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w:t>
            </w:r>
          </w:p>
        </w:tc>
        <w:tc>
          <w:tcPr>
            <w:tcW w:w="1244" w:type="pct"/>
            <w:shd w:val="clear" w:color="auto" w:fill="auto"/>
            <w:vAlign w:val="center"/>
            <w:hideMark/>
          </w:tcPr>
          <w:p w14:paraId="6BA0C44A"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1.071.376.273</w:t>
            </w:r>
          </w:p>
        </w:tc>
      </w:tr>
      <w:tr w:rsidR="00215BD8" w:rsidRPr="006C532F" w14:paraId="1BE16F56" w14:textId="77777777" w:rsidTr="00215BD8">
        <w:trPr>
          <w:trHeight w:val="300"/>
          <w:jc w:val="center"/>
        </w:trPr>
        <w:tc>
          <w:tcPr>
            <w:tcW w:w="942" w:type="pct"/>
            <w:shd w:val="clear" w:color="auto" w:fill="auto"/>
            <w:noWrap/>
            <w:vAlign w:val="center"/>
            <w:hideMark/>
          </w:tcPr>
          <w:p w14:paraId="705708B5" w14:textId="77777777" w:rsidR="00215BD8" w:rsidRPr="00B115A0" w:rsidRDefault="00215BD8" w:rsidP="00286F4A">
            <w:pPr>
              <w:spacing w:after="0" w:line="240" w:lineRule="auto"/>
              <w:contextualSpacing/>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1.4. Libre Destinación</w:t>
            </w:r>
          </w:p>
        </w:tc>
        <w:tc>
          <w:tcPr>
            <w:tcW w:w="1392" w:type="pct"/>
            <w:shd w:val="clear" w:color="auto" w:fill="auto"/>
            <w:noWrap/>
            <w:vAlign w:val="center"/>
            <w:hideMark/>
          </w:tcPr>
          <w:p w14:paraId="55F5FC31"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40.039.787</w:t>
            </w:r>
          </w:p>
        </w:tc>
        <w:tc>
          <w:tcPr>
            <w:tcW w:w="1421" w:type="pct"/>
            <w:shd w:val="clear" w:color="auto" w:fill="auto"/>
            <w:noWrap/>
            <w:vAlign w:val="center"/>
            <w:hideMark/>
          </w:tcPr>
          <w:p w14:paraId="58D8C821"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28.456.897</w:t>
            </w:r>
          </w:p>
        </w:tc>
        <w:tc>
          <w:tcPr>
            <w:tcW w:w="1244" w:type="pct"/>
            <w:shd w:val="clear" w:color="auto" w:fill="auto"/>
            <w:noWrap/>
            <w:vAlign w:val="center"/>
            <w:hideMark/>
          </w:tcPr>
          <w:p w14:paraId="0F827C26" w14:textId="77777777" w:rsidR="00215BD8" w:rsidRPr="00B115A0" w:rsidRDefault="00215BD8">
            <w:pPr>
              <w:spacing w:after="0" w:line="240" w:lineRule="auto"/>
              <w:contextualSpacing/>
              <w:jc w:val="right"/>
              <w:rPr>
                <w:rFonts w:ascii="Arial Narrow" w:eastAsia="Times New Roman" w:hAnsi="Arial Narrow" w:cs="Calibri"/>
                <w:color w:val="000000"/>
                <w:sz w:val="18"/>
                <w:szCs w:val="18"/>
                <w:lang w:val="es-CO" w:eastAsia="es-CO"/>
              </w:rPr>
            </w:pPr>
            <w:r w:rsidRPr="00B115A0">
              <w:rPr>
                <w:rFonts w:ascii="Arial Narrow" w:eastAsia="Times New Roman" w:hAnsi="Arial Narrow" w:cs="Calibri"/>
                <w:color w:val="000000"/>
                <w:sz w:val="18"/>
                <w:szCs w:val="18"/>
                <w:lang w:val="es-CO" w:eastAsia="es-CO"/>
              </w:rPr>
              <w:t>11.582.890</w:t>
            </w:r>
          </w:p>
        </w:tc>
      </w:tr>
    </w:tbl>
    <w:p w14:paraId="3278EC31" w14:textId="77777777" w:rsidR="00B115A0" w:rsidRPr="00FB27C3" w:rsidRDefault="004023D9" w:rsidP="00286F4A">
      <w:pPr>
        <w:pStyle w:val="Prrafodelista"/>
        <w:spacing w:line="240" w:lineRule="auto"/>
        <w:jc w:val="center"/>
        <w:rPr>
          <w:rFonts w:cs="Arial"/>
          <w:sz w:val="20"/>
          <w:szCs w:val="20"/>
        </w:rPr>
      </w:pPr>
      <w:r w:rsidRPr="00FB27C3">
        <w:rPr>
          <w:b/>
          <w:bCs/>
          <w:sz w:val="16"/>
          <w:szCs w:val="16"/>
        </w:rPr>
        <w:t xml:space="preserve">Fuente: </w:t>
      </w:r>
      <w:r w:rsidRPr="00FB27C3">
        <w:rPr>
          <w:sz w:val="16"/>
          <w:szCs w:val="16"/>
        </w:rPr>
        <w:t>Elaboración DAF con base en las ejecuciones presupuestales y el reporte FUT Cierre Fiscal.</w:t>
      </w:r>
    </w:p>
    <w:p w14:paraId="6409E53F" w14:textId="77777777" w:rsidR="00C747F3" w:rsidRPr="009E19B7" w:rsidRDefault="00C747F3">
      <w:pPr>
        <w:pStyle w:val="Prrafodelista"/>
        <w:spacing w:line="240" w:lineRule="auto"/>
        <w:rPr>
          <w:rFonts w:cs="Arial"/>
        </w:rPr>
      </w:pPr>
    </w:p>
    <w:sectPr w:rsidR="00C747F3" w:rsidRPr="009E19B7" w:rsidSect="00FB27C3">
      <w:headerReference w:type="default" r:id="rId97"/>
      <w:footerReference w:type="default" r:id="rId98"/>
      <w:pgSz w:w="11906" w:h="16838"/>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CD5EC" w14:textId="77777777" w:rsidR="004F481B" w:rsidRDefault="004F481B" w:rsidP="001B2354">
      <w:pPr>
        <w:spacing w:after="0" w:line="240" w:lineRule="auto"/>
      </w:pPr>
      <w:r>
        <w:separator/>
      </w:r>
    </w:p>
  </w:endnote>
  <w:endnote w:type="continuationSeparator" w:id="0">
    <w:p w14:paraId="5DED2E28" w14:textId="77777777" w:rsidR="004F481B" w:rsidRDefault="004F481B" w:rsidP="001B2354">
      <w:pPr>
        <w:spacing w:after="0" w:line="240" w:lineRule="auto"/>
      </w:pPr>
      <w:r>
        <w:continuationSeparator/>
      </w:r>
    </w:p>
  </w:endnote>
  <w:endnote w:type="continuationNotice" w:id="1">
    <w:p w14:paraId="691BA537" w14:textId="77777777" w:rsidR="004F481B" w:rsidRDefault="004F48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101B" w14:textId="77777777" w:rsidR="00B6513B" w:rsidRDefault="00B6513B">
    <w:pPr>
      <w:pStyle w:val="Piedepgina"/>
    </w:pPr>
    <w:r w:rsidRPr="00364B15">
      <w:rPr>
        <w:noProof/>
        <w:lang w:val="es-CO" w:eastAsia="es-CO"/>
      </w:rPr>
      <w:drawing>
        <wp:inline distT="0" distB="0" distL="0" distR="0" wp14:anchorId="094D6FDB" wp14:editId="7AC8D88E">
          <wp:extent cx="3399155" cy="9810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63A03" w14:textId="77777777" w:rsidR="004F481B" w:rsidRDefault="004F481B" w:rsidP="001B2354">
      <w:pPr>
        <w:spacing w:after="0" w:line="240" w:lineRule="auto"/>
      </w:pPr>
      <w:r>
        <w:separator/>
      </w:r>
    </w:p>
  </w:footnote>
  <w:footnote w:type="continuationSeparator" w:id="0">
    <w:p w14:paraId="64D0E060" w14:textId="77777777" w:rsidR="004F481B" w:rsidRDefault="004F481B" w:rsidP="001B2354">
      <w:pPr>
        <w:spacing w:after="0" w:line="240" w:lineRule="auto"/>
      </w:pPr>
      <w:r>
        <w:continuationSeparator/>
      </w:r>
    </w:p>
  </w:footnote>
  <w:footnote w:type="continuationNotice" w:id="1">
    <w:p w14:paraId="01CCCB2D" w14:textId="77777777" w:rsidR="004F481B" w:rsidRDefault="004F481B">
      <w:pPr>
        <w:spacing w:after="0" w:line="240" w:lineRule="auto"/>
      </w:pPr>
    </w:p>
  </w:footnote>
  <w:footnote w:id="2">
    <w:p w14:paraId="0628C20A" w14:textId="77777777" w:rsidR="00B6513B" w:rsidRDefault="00B6513B">
      <w:pPr>
        <w:pStyle w:val="Textonotapie"/>
      </w:pPr>
      <w:r>
        <w:rPr>
          <w:rStyle w:val="Refdenotaalpie"/>
        </w:rPr>
        <w:footnoteRef/>
      </w:r>
      <w:r>
        <w:t xml:space="preserve"> </w:t>
      </w:r>
      <w:r w:rsidRPr="00A931F4">
        <w:rPr>
          <w:sz w:val="18"/>
          <w:szCs w:val="18"/>
        </w:rPr>
        <w:t>De acuerdo con lo establecido por el artículo 79° de la Ley 715 modificado por el artículo 23° de la Ley 1176 de 2007.</w:t>
      </w:r>
    </w:p>
  </w:footnote>
  <w:footnote w:id="3">
    <w:p w14:paraId="64A8B63F" w14:textId="77777777" w:rsidR="00B6513B" w:rsidRPr="00FB27C3" w:rsidRDefault="00B6513B" w:rsidP="00FB27C3">
      <w:pPr>
        <w:pStyle w:val="Textonotapie"/>
        <w:jc w:val="both"/>
        <w:rPr>
          <w:rFonts w:cs="Arial"/>
          <w:sz w:val="18"/>
          <w:szCs w:val="18"/>
        </w:rPr>
      </w:pPr>
      <w:r w:rsidRPr="00FB27C3">
        <w:rPr>
          <w:rStyle w:val="Refdenotaalpie"/>
          <w:rFonts w:cs="Arial"/>
          <w:sz w:val="18"/>
          <w:szCs w:val="18"/>
        </w:rPr>
        <w:footnoteRef/>
      </w:r>
      <w:r w:rsidRPr="00FB27C3">
        <w:rPr>
          <w:rFonts w:cs="Arial"/>
          <w:sz w:val="18"/>
          <w:szCs w:val="18"/>
        </w:rPr>
        <w:t xml:space="preserve"> Dirección General de Presupuesto Nacional – Ministerio de Hacienda y Crédito Público (2011). Aspectos Generales del Proceso Presupuestal Colombiano (P. 616)</w:t>
      </w:r>
    </w:p>
  </w:footnote>
  <w:footnote w:id="4">
    <w:p w14:paraId="37648D11" w14:textId="77777777" w:rsidR="00B6513B" w:rsidRPr="00FB27C3" w:rsidRDefault="00B6513B" w:rsidP="00A77447">
      <w:pPr>
        <w:pStyle w:val="Textonotapie"/>
        <w:jc w:val="both"/>
        <w:rPr>
          <w:rFonts w:cs="Arial"/>
          <w:sz w:val="18"/>
          <w:szCs w:val="18"/>
        </w:rPr>
      </w:pPr>
      <w:r w:rsidRPr="00FB27C3">
        <w:rPr>
          <w:rStyle w:val="Refdenotaalpie"/>
          <w:rFonts w:cs="Arial"/>
          <w:sz w:val="18"/>
          <w:szCs w:val="18"/>
        </w:rPr>
        <w:footnoteRef/>
      </w:r>
      <w:r w:rsidRPr="00FB27C3">
        <w:rPr>
          <w:rFonts w:cs="Arial"/>
          <w:sz w:val="18"/>
          <w:szCs w:val="18"/>
        </w:rPr>
        <w:t xml:space="preserve"> “[…], si al cierre de la vigencia 2020 no fueron ejecutadas reservas presupuestales constituidas al cierre de la vigencia 2019 estas fenecen, no obstante, dada la existencia jurídica de los compromisos y de los recursos para su financiación, es ineludible su incorporación en el presupuesto de la vigencia 2021. Por tanto, los compromisos deben ser incorporados manteniendo el mismo objeto de gasto de su origen y sus fuentes de financiación como ingresos de capital, en la subcuenta recursos del balance, en el concepto de ingreso cancelación de reservas identificando de manera auxiliar su libre destinación o destinación específica establecida por Ley, Ordenanza o Acuerdo.” Concepto Radicado No. </w:t>
      </w:r>
      <w:r w:rsidRPr="00FB27C3">
        <w:rPr>
          <w:rFonts w:cs="Arial"/>
          <w:sz w:val="18"/>
          <w:szCs w:val="18"/>
          <w:lang w:val="es-CO"/>
        </w:rPr>
        <w:t>2-2021-005580</w:t>
      </w:r>
      <w:r w:rsidRPr="00FB27C3">
        <w:rPr>
          <w:rFonts w:cs="Arial"/>
          <w:sz w:val="18"/>
          <w:szCs w:val="18"/>
        </w:rPr>
        <w:t xml:space="preserve"> de la Dirección General de Apoyo Fiscal del MHCP.</w:t>
      </w:r>
    </w:p>
  </w:footnote>
  <w:footnote w:id="5">
    <w:p w14:paraId="27849A85" w14:textId="77777777" w:rsidR="00B6513B" w:rsidRPr="00594449" w:rsidRDefault="00B6513B">
      <w:pPr>
        <w:pStyle w:val="Textonotapie"/>
        <w:rPr>
          <w:lang w:val="es-CO"/>
        </w:rPr>
      </w:pPr>
      <w:r>
        <w:rPr>
          <w:rStyle w:val="Refdenotaalpie"/>
        </w:rPr>
        <w:footnoteRef/>
      </w:r>
      <w:r>
        <w:t xml:space="preserve"> </w:t>
      </w:r>
      <w:r w:rsidRPr="0032158B">
        <w:t xml:space="preserve">Acta </w:t>
      </w:r>
      <w:r>
        <w:t>d</w:t>
      </w:r>
      <w:r w:rsidRPr="0032158B">
        <w:t>e Reconocimiento Institucional</w:t>
      </w:r>
      <w:r>
        <w:t xml:space="preserve">. </w:t>
      </w:r>
      <w:r w:rsidRPr="0032158B">
        <w:t xml:space="preserve">Municipio </w:t>
      </w:r>
      <w:r>
        <w:t>d</w:t>
      </w:r>
      <w:r w:rsidRPr="0032158B">
        <w:t>e Puerto Leguizamo – Putumayo</w:t>
      </w:r>
    </w:p>
  </w:footnote>
  <w:footnote w:id="6">
    <w:p w14:paraId="2528B5E3" w14:textId="77777777" w:rsidR="00B6513B" w:rsidRPr="00FB27C3" w:rsidRDefault="00B6513B" w:rsidP="00FB27C3">
      <w:pPr>
        <w:pStyle w:val="Textonotapie"/>
        <w:jc w:val="both"/>
        <w:rPr>
          <w:sz w:val="18"/>
          <w:szCs w:val="18"/>
          <w:lang w:val="es-CO"/>
        </w:rPr>
      </w:pPr>
      <w:r w:rsidRPr="00FB27C3">
        <w:rPr>
          <w:rStyle w:val="Refdenotaalpie"/>
          <w:sz w:val="18"/>
          <w:szCs w:val="18"/>
        </w:rPr>
        <w:footnoteRef/>
      </w:r>
      <w:r w:rsidRPr="00FB27C3">
        <w:rPr>
          <w:sz w:val="18"/>
          <w:szCs w:val="18"/>
        </w:rPr>
        <w:t xml:space="preserve"> Acta de Reconocimiento Institucional. Municipio de Puerto Leguizamo – Putumayo</w:t>
      </w:r>
    </w:p>
  </w:footnote>
  <w:footnote w:id="7">
    <w:p w14:paraId="25D68994" w14:textId="77777777" w:rsidR="00B6513B" w:rsidRPr="00FB27C3" w:rsidRDefault="00B6513B" w:rsidP="00594449">
      <w:pPr>
        <w:pStyle w:val="Textonotapie"/>
        <w:jc w:val="both"/>
        <w:rPr>
          <w:sz w:val="18"/>
          <w:szCs w:val="18"/>
          <w:lang w:val="es-CO"/>
        </w:rPr>
      </w:pPr>
      <w:r w:rsidRPr="00FB27C3">
        <w:rPr>
          <w:rStyle w:val="Refdenotaalpie"/>
          <w:sz w:val="18"/>
          <w:szCs w:val="18"/>
        </w:rPr>
        <w:footnoteRef/>
      </w:r>
      <w:r w:rsidRPr="00FB27C3">
        <w:rPr>
          <w:sz w:val="18"/>
          <w:szCs w:val="18"/>
        </w:rPr>
        <w:t xml:space="preserve"> Para este caso, en cada vigencia se comparará el valor del valor comprometido con el valor de la relación contractual, debido a que ya se abordaron las diferencias entre los compromisos de las ejecuciones presupuestales y los Registros Presupuestales en el apartado financiero del presente informe.</w:t>
      </w:r>
    </w:p>
  </w:footnote>
  <w:footnote w:id="8">
    <w:p w14:paraId="3268AA83" w14:textId="77777777" w:rsidR="00B6513B" w:rsidRDefault="00B6513B" w:rsidP="00D33087">
      <w:pPr>
        <w:pStyle w:val="Textonotapie"/>
        <w:rPr>
          <w:rFonts w:ascii="Times New Roman" w:eastAsia="MS Mincho" w:hAnsi="Times New Roman" w:cs="Times New Roman"/>
          <w:lang w:val="es-ES"/>
        </w:rPr>
      </w:pPr>
      <w:r>
        <w:rPr>
          <w:rStyle w:val="Refdenotaalpie"/>
        </w:rPr>
        <w:footnoteRef/>
      </w:r>
      <w:r>
        <w:t xml:space="preserve"> </w:t>
      </w:r>
      <w:r>
        <w:rPr>
          <w:rFonts w:ascii="Arial Narrow" w:eastAsia="Arial Narrow" w:hAnsi="Arial Narrow" w:cs="Arial Narrow"/>
          <w:sz w:val="18"/>
          <w:szCs w:val="18"/>
        </w:rPr>
        <w:t>Aspectos Generales del Proceso Presupuestal Colombiano – Dirección General de Presupuesto Nacional – Ministerio de Hacienda y Crédito Público, Año 2011, Páginas 250-254.</w:t>
      </w:r>
    </w:p>
  </w:footnote>
  <w:footnote w:id="9">
    <w:p w14:paraId="746242D2" w14:textId="77777777" w:rsidR="00B6513B" w:rsidRDefault="00B6513B">
      <w:pPr>
        <w:pStyle w:val="Textonotapie"/>
      </w:pPr>
      <w:r>
        <w:rPr>
          <w:rStyle w:val="Refdenotaalpie"/>
        </w:rPr>
        <w:footnoteRef/>
      </w:r>
      <w:r>
        <w:t xml:space="preserve"> </w:t>
      </w:r>
      <w:r w:rsidRPr="00282ADE">
        <w:rPr>
          <w:sz w:val="18"/>
          <w:szCs w:val="18"/>
        </w:rPr>
        <w:t>Guía de Orientaciones para la Programación y Ejecución de los recursos del Sistema General de Participaciones</w:t>
      </w:r>
    </w:p>
  </w:footnote>
  <w:footnote w:id="10">
    <w:p w14:paraId="78AA6D51" w14:textId="77777777" w:rsidR="00B6513B" w:rsidRPr="00891F4D" w:rsidRDefault="00B6513B" w:rsidP="00891F4D">
      <w:pPr>
        <w:pStyle w:val="Textonotapie"/>
        <w:jc w:val="both"/>
        <w:rPr>
          <w:i/>
          <w:iCs/>
        </w:rPr>
      </w:pPr>
      <w:r>
        <w:rPr>
          <w:rStyle w:val="Refdenotaalpie"/>
        </w:rPr>
        <w:footnoteRef/>
      </w:r>
      <w:r>
        <w:t xml:space="preserve"> </w:t>
      </w:r>
      <w:r w:rsidRPr="00891F4D">
        <w:rPr>
          <w:sz w:val="18"/>
          <w:szCs w:val="18"/>
        </w:rPr>
        <w:t xml:space="preserve">De acuerdo con </w:t>
      </w:r>
      <w:r>
        <w:rPr>
          <w:sz w:val="18"/>
          <w:szCs w:val="18"/>
        </w:rPr>
        <w:t>el Documento Guía de</w:t>
      </w:r>
      <w:r w:rsidRPr="00891F4D">
        <w:rPr>
          <w:sz w:val="18"/>
          <w:szCs w:val="18"/>
        </w:rPr>
        <w:t xml:space="preserve"> Proyectos de Inversión del DNP (2016), un proyecto de inversión </w:t>
      </w:r>
      <w:r>
        <w:rPr>
          <w:sz w:val="18"/>
          <w:szCs w:val="18"/>
        </w:rPr>
        <w:t>“</w:t>
      </w:r>
      <w:r w:rsidRPr="00891F4D">
        <w:rPr>
          <w:i/>
          <w:iCs/>
          <w:sz w:val="18"/>
          <w:szCs w:val="18"/>
        </w:rPr>
        <w:t>se entiende como la unidad operacional de la planeación del desarrollo que vincula recursos públicos (humanos, físicos, monetarios, entre otros) para resolver problemas o necesidades sentidas de la población. Contemplan actividades limitadas en el tiempo, que utilizan total o parcialmente estos recursos, con el fin de crear, ampliar, mejorar o recuperar la capacidad de producción o de provisión de bienes o servicios por parte del Estado. Éste plasma el proceso de creación de valor.</w:t>
      </w:r>
      <w:r>
        <w:rPr>
          <w:i/>
          <w:iCs/>
          <w:sz w:val="18"/>
          <w:szCs w:val="18"/>
        </w:rPr>
        <w:t>”</w:t>
      </w:r>
    </w:p>
  </w:footnote>
  <w:footnote w:id="11">
    <w:p w14:paraId="3D30C685" w14:textId="77777777" w:rsidR="00B6513B" w:rsidRPr="00C745AF" w:rsidRDefault="00B6513B" w:rsidP="006B23FF">
      <w:pPr>
        <w:pStyle w:val="Textonotapie"/>
        <w:jc w:val="both"/>
        <w:rPr>
          <w:lang w:val="es-CO"/>
        </w:rPr>
      </w:pPr>
      <w:r>
        <w:rPr>
          <w:rStyle w:val="Refdenotaalpie"/>
        </w:rPr>
        <w:footnoteRef/>
      </w:r>
      <w:r>
        <w:t xml:space="preserve"> </w:t>
      </w:r>
      <w:r>
        <w:rPr>
          <w:sz w:val="18"/>
          <w:szCs w:val="18"/>
        </w:rPr>
        <w:t>“Orientaciones para la Programación y Ejecución de los Recursos del Sistema General de Participaciones SGP 2009”, pág. 277</w:t>
      </w:r>
      <w:r w:rsidR="008A78FB">
        <w:t>.</w:t>
      </w:r>
    </w:p>
  </w:footnote>
  <w:footnote w:id="12">
    <w:p w14:paraId="133CAD2B" w14:textId="77777777" w:rsidR="00B6513B" w:rsidRDefault="00B6513B">
      <w:pPr>
        <w:pStyle w:val="Textonotapie"/>
      </w:pPr>
      <w:r>
        <w:rPr>
          <w:rStyle w:val="Refdenotaalpie"/>
        </w:rPr>
        <w:footnoteRef/>
      </w:r>
      <w:r>
        <w:t xml:space="preserve"> </w:t>
      </w:r>
      <w:r>
        <w:rPr>
          <w:sz w:val="18"/>
          <w:szCs w:val="18"/>
        </w:rPr>
        <w:t>Documento Guía de</w:t>
      </w:r>
      <w:r w:rsidRPr="00891F4D">
        <w:rPr>
          <w:sz w:val="18"/>
          <w:szCs w:val="18"/>
        </w:rPr>
        <w:t xml:space="preserve"> Proyectos de Inversión del DNP (2016)</w:t>
      </w:r>
    </w:p>
  </w:footnote>
  <w:footnote w:id="13">
    <w:p w14:paraId="19CBFDBA" w14:textId="77777777" w:rsidR="00B6513B" w:rsidRPr="00282ADE" w:rsidRDefault="00B6513B" w:rsidP="00A75731">
      <w:pPr>
        <w:pStyle w:val="Textonotapie"/>
        <w:rPr>
          <w:sz w:val="18"/>
          <w:szCs w:val="18"/>
          <w:lang w:val="es-CO"/>
        </w:rPr>
      </w:pPr>
      <w:r>
        <w:rPr>
          <w:rStyle w:val="Refdenotaalpie"/>
        </w:rPr>
        <w:footnoteRef/>
      </w:r>
      <w:r>
        <w:t xml:space="preserve"> </w:t>
      </w:r>
      <w:r w:rsidRPr="00282ADE">
        <w:rPr>
          <w:rFonts w:cs="Arial"/>
          <w:sz w:val="18"/>
          <w:szCs w:val="18"/>
        </w:rPr>
        <w:t>Aspectos Generales del Proceso Presupuestal Colombiano – Dirección General de Presupuesto Nacional – Ministerio de Hacienda y Crédito Público, Año 2011, P. 261</w:t>
      </w:r>
    </w:p>
  </w:footnote>
  <w:footnote w:id="14">
    <w:p w14:paraId="41D17767" w14:textId="77777777" w:rsidR="00B6513B" w:rsidRPr="00282ADE" w:rsidRDefault="00B6513B">
      <w:pPr>
        <w:pStyle w:val="Textonotapie"/>
        <w:rPr>
          <w:lang w:val="es-CO"/>
        </w:rPr>
      </w:pPr>
      <w:r w:rsidRPr="00D026A8">
        <w:rPr>
          <w:rStyle w:val="Refdenotaalpie"/>
          <w:sz w:val="18"/>
          <w:szCs w:val="18"/>
        </w:rPr>
        <w:footnoteRef/>
      </w:r>
      <w:r w:rsidRPr="00D026A8">
        <w:rPr>
          <w:sz w:val="18"/>
          <w:szCs w:val="18"/>
        </w:rPr>
        <w:t xml:space="preserve"> </w:t>
      </w:r>
      <w:r w:rsidRPr="00D026A8">
        <w:rPr>
          <w:sz w:val="18"/>
          <w:szCs w:val="18"/>
          <w:lang w:val="es-CO"/>
        </w:rPr>
        <w:t>Departamento Nacional de Planeación (201</w:t>
      </w:r>
      <w:r>
        <w:rPr>
          <w:sz w:val="18"/>
          <w:szCs w:val="18"/>
          <w:lang w:val="es-CO"/>
        </w:rPr>
        <w:t>7</w:t>
      </w:r>
      <w:r w:rsidRPr="00D026A8">
        <w:rPr>
          <w:sz w:val="18"/>
          <w:szCs w:val="18"/>
          <w:lang w:val="es-CO"/>
        </w:rPr>
        <w:t xml:space="preserve">). </w:t>
      </w:r>
      <w:r w:rsidRPr="00D026A8">
        <w:rPr>
          <w:i/>
          <w:iCs/>
          <w:sz w:val="18"/>
          <w:szCs w:val="18"/>
        </w:rPr>
        <w:t>Guía de Orientaciones para la Programación y Ejecución de los recursos del Sistema General de Participaciones (</w:t>
      </w:r>
      <w:r w:rsidRPr="00DD7573">
        <w:rPr>
          <w:i/>
          <w:iCs/>
          <w:sz w:val="18"/>
          <w:szCs w:val="18"/>
        </w:rPr>
        <w:t>p.</w:t>
      </w:r>
      <w:r>
        <w:rPr>
          <w:i/>
          <w:iCs/>
          <w:sz w:val="18"/>
          <w:szCs w:val="18"/>
        </w:rPr>
        <w:t>158</w:t>
      </w:r>
      <w:r w:rsidRPr="00DD7573">
        <w:rPr>
          <w:i/>
          <w:iCs/>
          <w:sz w:val="18"/>
          <w:szCs w:val="18"/>
        </w:rPr>
        <w:t>)</w:t>
      </w:r>
    </w:p>
  </w:footnote>
  <w:footnote w:id="15">
    <w:p w14:paraId="1BDE720D" w14:textId="77777777" w:rsidR="00B6513B" w:rsidRPr="00FB27C3" w:rsidRDefault="00B6513B" w:rsidP="00965FB3">
      <w:pPr>
        <w:pStyle w:val="Textonotapie"/>
        <w:jc w:val="both"/>
        <w:rPr>
          <w:i/>
          <w:iCs/>
          <w:sz w:val="16"/>
          <w:szCs w:val="16"/>
        </w:rPr>
      </w:pPr>
      <w:r w:rsidRPr="00FB27C3">
        <w:rPr>
          <w:rStyle w:val="Refdenotaalpie"/>
          <w:sz w:val="16"/>
          <w:szCs w:val="16"/>
        </w:rPr>
        <w:footnoteRef/>
      </w:r>
      <w:r w:rsidRPr="00FB27C3">
        <w:rPr>
          <w:sz w:val="16"/>
          <w:szCs w:val="16"/>
        </w:rPr>
        <w:t xml:space="preserve"> De acuerdo con el Documento Guía de Proyectos de Inversión del DNP (2016), un proyecto de inversión “</w:t>
      </w:r>
      <w:r w:rsidRPr="00FB27C3">
        <w:rPr>
          <w:i/>
          <w:iCs/>
          <w:sz w:val="16"/>
          <w:szCs w:val="16"/>
        </w:rPr>
        <w:t>se entiende como la unidad operacional de la planeación del desarrollo que vincula recursos públicos (humanos, físicos, monetarios, entre otros) para resolver problemas o necesidades sentidas de la población. Contemplan actividades limitadas en el tiempo, que utilizan total o parcialmente estos recursos, con el fin de crear, ampliar, mejorar o recuperar la capacidad de producción o de provisión de bienes o servicios por parte del Estado. Éste plasma el proceso de creación de valor.”</w:t>
      </w:r>
    </w:p>
  </w:footnote>
  <w:footnote w:id="16">
    <w:p w14:paraId="3FCA2913" w14:textId="77777777" w:rsidR="00B6513B" w:rsidRPr="00282ADE" w:rsidRDefault="00B6513B">
      <w:pPr>
        <w:pStyle w:val="Textonotapie"/>
        <w:rPr>
          <w:lang w:val="es-CO"/>
        </w:rPr>
      </w:pPr>
      <w:r>
        <w:rPr>
          <w:rStyle w:val="Refdenotaalpie"/>
        </w:rPr>
        <w:footnoteRef/>
      </w:r>
      <w:r>
        <w:t xml:space="preserve"> </w:t>
      </w:r>
      <w:r w:rsidRPr="00130425">
        <w:rPr>
          <w:sz w:val="18"/>
          <w:szCs w:val="18"/>
          <w:lang w:val="es-CO"/>
        </w:rPr>
        <w:t>Departamento Nacional de Planeación (201</w:t>
      </w:r>
      <w:r>
        <w:rPr>
          <w:sz w:val="18"/>
          <w:szCs w:val="18"/>
          <w:lang w:val="es-CO"/>
        </w:rPr>
        <w:t>7</w:t>
      </w:r>
      <w:r w:rsidRPr="00130425">
        <w:rPr>
          <w:sz w:val="18"/>
          <w:szCs w:val="18"/>
          <w:lang w:val="es-CO"/>
        </w:rPr>
        <w:t xml:space="preserve">). </w:t>
      </w:r>
      <w:r w:rsidRPr="00130425">
        <w:rPr>
          <w:i/>
          <w:iCs/>
          <w:sz w:val="18"/>
          <w:szCs w:val="18"/>
        </w:rPr>
        <w:t>Guía de Orientaciones para la Programación y Ejecución de los recursos del Sistema General de Participaciones (</w:t>
      </w:r>
      <w:r w:rsidRPr="00DD7573">
        <w:rPr>
          <w:i/>
          <w:iCs/>
          <w:sz w:val="18"/>
          <w:szCs w:val="18"/>
        </w:rPr>
        <w:t>p.</w:t>
      </w:r>
      <w:r>
        <w:rPr>
          <w:i/>
          <w:iCs/>
          <w:sz w:val="18"/>
          <w:szCs w:val="18"/>
        </w:rPr>
        <w:t>135</w:t>
      </w:r>
      <w:r w:rsidRPr="00DD7573">
        <w:rPr>
          <w:i/>
          <w:iCs/>
          <w:sz w:val="18"/>
          <w:szCs w:val="18"/>
        </w:rPr>
        <w:t>)</w:t>
      </w:r>
    </w:p>
  </w:footnote>
  <w:footnote w:id="17">
    <w:p w14:paraId="49969B43" w14:textId="77777777" w:rsidR="00B6513B" w:rsidRDefault="00B6513B" w:rsidP="00B35825">
      <w:pPr>
        <w:pStyle w:val="Textonotapie"/>
      </w:pPr>
      <w:r>
        <w:rPr>
          <w:rStyle w:val="Refdenotaalpie"/>
        </w:rPr>
        <w:footnoteRef/>
      </w:r>
      <w:r>
        <w:t xml:space="preserve"> Guía de Orientaciones para la Programación y Ejecución de los recursos del Sistema General de Participaciones</w:t>
      </w:r>
    </w:p>
  </w:footnote>
  <w:footnote w:id="18">
    <w:p w14:paraId="31CF3F9E" w14:textId="77777777" w:rsidR="00B6513B" w:rsidRDefault="00B6513B" w:rsidP="00EE26DC">
      <w:pPr>
        <w:pStyle w:val="Textonotapie"/>
        <w:rPr>
          <w:rFonts w:ascii="Times New Roman" w:eastAsia="MS Mincho" w:hAnsi="Times New Roman" w:cs="Times New Roman"/>
          <w:lang w:val="es-ES"/>
        </w:rPr>
      </w:pPr>
      <w:r>
        <w:rPr>
          <w:rStyle w:val="Refdenotaalpie"/>
        </w:rPr>
        <w:footnoteRef/>
      </w:r>
      <w:r>
        <w:t xml:space="preserve"> </w:t>
      </w:r>
      <w:r>
        <w:rPr>
          <w:rFonts w:ascii="Arial Narrow" w:eastAsia="Arial Narrow" w:hAnsi="Arial Narrow" w:cs="Arial Narrow"/>
          <w:sz w:val="18"/>
          <w:szCs w:val="18"/>
        </w:rPr>
        <w:t>Aspectos Generales del Proceso Presupuestal Colombiano – Dirección General de Presupuesto Nacional – Ministerio de Hacienda y Crédito Público, Año 2011, Páginas 250-254.</w:t>
      </w:r>
    </w:p>
  </w:footnote>
  <w:footnote w:id="19">
    <w:p w14:paraId="76C867E9" w14:textId="77777777" w:rsidR="00B6513B" w:rsidRDefault="00B6513B" w:rsidP="00EE26DC">
      <w:pPr>
        <w:pStyle w:val="Textonotapie"/>
      </w:pPr>
      <w:r>
        <w:rPr>
          <w:rStyle w:val="Refdenotaalpie"/>
        </w:rPr>
        <w:footnoteRef/>
      </w:r>
      <w:r>
        <w:t xml:space="preserve"> </w:t>
      </w:r>
      <w:r w:rsidRPr="00282ADE">
        <w:rPr>
          <w:sz w:val="18"/>
          <w:szCs w:val="18"/>
        </w:rPr>
        <w:t>Guía de Orientaciones para la Programación y Ejecución de los recursos del Sistema General de Participaciones</w:t>
      </w:r>
    </w:p>
  </w:footnote>
  <w:footnote w:id="20">
    <w:p w14:paraId="01475BD8" w14:textId="77777777" w:rsidR="00B6513B" w:rsidRDefault="00B6513B" w:rsidP="00282ADE">
      <w:pPr>
        <w:pStyle w:val="Textocomentario"/>
        <w:jc w:val="both"/>
      </w:pPr>
      <w:r>
        <w:rPr>
          <w:rStyle w:val="Refdenotaalpie"/>
        </w:rPr>
        <w:footnoteRef/>
      </w:r>
      <w:r>
        <w:t xml:space="preserve"> </w:t>
      </w:r>
      <w:r>
        <w:rPr>
          <w:b/>
          <w:sz w:val="16"/>
        </w:rPr>
        <w:t>DNP, (2017)</w:t>
      </w:r>
      <w:r>
        <w:rPr>
          <w:sz w:val="16"/>
        </w:rPr>
        <w:t>. Orientaciones para la programación y ejecución de los recursos del Sistema General de Participaciones (SGP); Capítulo 6 “Capítulo 6 Participación de Propósito General”.</w:t>
      </w:r>
    </w:p>
  </w:footnote>
  <w:footnote w:id="21">
    <w:p w14:paraId="299B2D3C" w14:textId="77777777" w:rsidR="00B6513B" w:rsidRPr="00282ADE" w:rsidRDefault="00B6513B" w:rsidP="0067222E">
      <w:pPr>
        <w:pStyle w:val="Textonotapie"/>
        <w:rPr>
          <w:lang w:val="es-CO"/>
        </w:rPr>
      </w:pPr>
      <w:r>
        <w:rPr>
          <w:rStyle w:val="Refdenotaalpie"/>
        </w:rPr>
        <w:footnoteRef/>
      </w:r>
      <w:r>
        <w:t xml:space="preserve"> </w:t>
      </w:r>
      <w:r w:rsidRPr="00D026A8">
        <w:rPr>
          <w:sz w:val="18"/>
          <w:szCs w:val="18"/>
          <w:lang w:val="es-CO"/>
        </w:rPr>
        <w:t>DNP, (2017). Cartilla Orientadora para la puesta en marcha y gestión de los bancos de proyectos de inversión territoriales BPI</w:t>
      </w:r>
      <w:r>
        <w:rPr>
          <w:sz w:val="18"/>
          <w:szCs w:val="18"/>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A7994" w14:textId="77777777" w:rsidR="00B6513B" w:rsidRDefault="00B6513B">
    <w:pPr>
      <w:pStyle w:val="Encabezado"/>
    </w:pPr>
    <w:r>
      <w:rPr>
        <w:noProof/>
        <w:color w:val="1F497D"/>
        <w:lang w:val="es-CO" w:eastAsia="es-CO"/>
      </w:rPr>
      <w:drawing>
        <wp:inline distT="0" distB="0" distL="0" distR="0" wp14:anchorId="749B540C" wp14:editId="05F4542A">
          <wp:extent cx="3181350" cy="542925"/>
          <wp:effectExtent l="0" t="0" r="0" b="9525"/>
          <wp:docPr id="47" name="Imagen 47" descr="cid:image009.png@01D48D50.4B8C8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png@01D48D50.4B8C8F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81350" cy="542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C695B"/>
    <w:multiLevelType w:val="hybridMultilevel"/>
    <w:tmpl w:val="17C65F2C"/>
    <w:lvl w:ilvl="0" w:tplc="A48E55A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15:restartNumberingAfterBreak="0">
    <w:nsid w:val="0FC40C35"/>
    <w:multiLevelType w:val="hybridMultilevel"/>
    <w:tmpl w:val="F91AE9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A4B43"/>
    <w:multiLevelType w:val="hybridMultilevel"/>
    <w:tmpl w:val="0EBEDA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63227C"/>
    <w:multiLevelType w:val="hybridMultilevel"/>
    <w:tmpl w:val="390E3CC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5B861CF"/>
    <w:multiLevelType w:val="hybridMultilevel"/>
    <w:tmpl w:val="0CA438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E4763D"/>
    <w:multiLevelType w:val="hybridMultilevel"/>
    <w:tmpl w:val="5916049C"/>
    <w:lvl w:ilvl="0" w:tplc="4F7CCE30">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097207"/>
    <w:multiLevelType w:val="hybridMultilevel"/>
    <w:tmpl w:val="0A20EC06"/>
    <w:lvl w:ilvl="0" w:tplc="7234C5A6">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 w15:restartNumberingAfterBreak="0">
    <w:nsid w:val="1B1A6B13"/>
    <w:multiLevelType w:val="hybridMultilevel"/>
    <w:tmpl w:val="ECDE82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CE647DF"/>
    <w:multiLevelType w:val="hybridMultilevel"/>
    <w:tmpl w:val="E7E49844"/>
    <w:lvl w:ilvl="0" w:tplc="71540B4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51465D"/>
    <w:multiLevelType w:val="hybridMultilevel"/>
    <w:tmpl w:val="3210D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4C2EB5"/>
    <w:multiLevelType w:val="hybridMultilevel"/>
    <w:tmpl w:val="8E6E900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28469C"/>
    <w:multiLevelType w:val="hybridMultilevel"/>
    <w:tmpl w:val="3CB66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A27E9F"/>
    <w:multiLevelType w:val="hybridMultilevel"/>
    <w:tmpl w:val="FD4A9D4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C64F54"/>
    <w:multiLevelType w:val="hybridMultilevel"/>
    <w:tmpl w:val="0D585E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590051E"/>
    <w:multiLevelType w:val="multilevel"/>
    <w:tmpl w:val="6C4C3C06"/>
    <w:lvl w:ilvl="0">
      <w:start w:val="1"/>
      <w:numFmt w:val="upperRoman"/>
      <w:lvlText w:val="%1."/>
      <w:lvlJc w:val="right"/>
      <w:pPr>
        <w:ind w:left="720" w:hanging="360"/>
      </w:pPr>
      <w:rPr>
        <w:rFonts w:hint="default"/>
      </w:rPr>
    </w:lvl>
    <w:lvl w:ilvl="1">
      <w:start w:val="3"/>
      <w:numFmt w:val="decimal"/>
      <w:isLgl/>
      <w:lvlText w:val="%1.%2"/>
      <w:lvlJc w:val="left"/>
      <w:pPr>
        <w:ind w:left="37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E739C2"/>
    <w:multiLevelType w:val="hybridMultilevel"/>
    <w:tmpl w:val="221029E2"/>
    <w:lvl w:ilvl="0" w:tplc="83503190">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B8D4851"/>
    <w:multiLevelType w:val="hybridMultilevel"/>
    <w:tmpl w:val="232A56E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CE54D2D"/>
    <w:multiLevelType w:val="hybridMultilevel"/>
    <w:tmpl w:val="F62EDC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4F94655"/>
    <w:multiLevelType w:val="hybridMultilevel"/>
    <w:tmpl w:val="F7981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EB256A"/>
    <w:multiLevelType w:val="hybridMultilevel"/>
    <w:tmpl w:val="D5D04B2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90E716D"/>
    <w:multiLevelType w:val="hybridMultilevel"/>
    <w:tmpl w:val="93F21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F631D2"/>
    <w:multiLevelType w:val="hybridMultilevel"/>
    <w:tmpl w:val="856027CA"/>
    <w:lvl w:ilvl="0" w:tplc="C8E0B3B0">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C4B199E"/>
    <w:multiLevelType w:val="hybridMultilevel"/>
    <w:tmpl w:val="FCCCC510"/>
    <w:lvl w:ilvl="0" w:tplc="240A0017">
      <w:start w:val="1"/>
      <w:numFmt w:val="lowerLetter"/>
      <w:lvlText w:val="%1)"/>
      <w:lvlJc w:val="left"/>
      <w:pPr>
        <w:ind w:left="732" w:hanging="360"/>
      </w:pPr>
    </w:lvl>
    <w:lvl w:ilvl="1" w:tplc="240A0019" w:tentative="1">
      <w:start w:val="1"/>
      <w:numFmt w:val="lowerLetter"/>
      <w:lvlText w:val="%2."/>
      <w:lvlJc w:val="left"/>
      <w:pPr>
        <w:ind w:left="1452" w:hanging="360"/>
      </w:pPr>
    </w:lvl>
    <w:lvl w:ilvl="2" w:tplc="240A001B" w:tentative="1">
      <w:start w:val="1"/>
      <w:numFmt w:val="lowerRoman"/>
      <w:lvlText w:val="%3."/>
      <w:lvlJc w:val="right"/>
      <w:pPr>
        <w:ind w:left="2172" w:hanging="180"/>
      </w:pPr>
    </w:lvl>
    <w:lvl w:ilvl="3" w:tplc="240A000F" w:tentative="1">
      <w:start w:val="1"/>
      <w:numFmt w:val="decimal"/>
      <w:lvlText w:val="%4."/>
      <w:lvlJc w:val="left"/>
      <w:pPr>
        <w:ind w:left="2892" w:hanging="360"/>
      </w:pPr>
    </w:lvl>
    <w:lvl w:ilvl="4" w:tplc="240A0019" w:tentative="1">
      <w:start w:val="1"/>
      <w:numFmt w:val="lowerLetter"/>
      <w:lvlText w:val="%5."/>
      <w:lvlJc w:val="left"/>
      <w:pPr>
        <w:ind w:left="3612" w:hanging="360"/>
      </w:pPr>
    </w:lvl>
    <w:lvl w:ilvl="5" w:tplc="240A001B" w:tentative="1">
      <w:start w:val="1"/>
      <w:numFmt w:val="lowerRoman"/>
      <w:lvlText w:val="%6."/>
      <w:lvlJc w:val="right"/>
      <w:pPr>
        <w:ind w:left="4332" w:hanging="180"/>
      </w:pPr>
    </w:lvl>
    <w:lvl w:ilvl="6" w:tplc="240A000F" w:tentative="1">
      <w:start w:val="1"/>
      <w:numFmt w:val="decimal"/>
      <w:lvlText w:val="%7."/>
      <w:lvlJc w:val="left"/>
      <w:pPr>
        <w:ind w:left="5052" w:hanging="360"/>
      </w:pPr>
    </w:lvl>
    <w:lvl w:ilvl="7" w:tplc="240A0019" w:tentative="1">
      <w:start w:val="1"/>
      <w:numFmt w:val="lowerLetter"/>
      <w:lvlText w:val="%8."/>
      <w:lvlJc w:val="left"/>
      <w:pPr>
        <w:ind w:left="5772" w:hanging="360"/>
      </w:pPr>
    </w:lvl>
    <w:lvl w:ilvl="8" w:tplc="240A001B" w:tentative="1">
      <w:start w:val="1"/>
      <w:numFmt w:val="lowerRoman"/>
      <w:lvlText w:val="%9."/>
      <w:lvlJc w:val="right"/>
      <w:pPr>
        <w:ind w:left="6492" w:hanging="180"/>
      </w:pPr>
    </w:lvl>
  </w:abstractNum>
  <w:abstractNum w:abstractNumId="23" w15:restartNumberingAfterBreak="0">
    <w:nsid w:val="4CCD1AD7"/>
    <w:multiLevelType w:val="multilevel"/>
    <w:tmpl w:val="C1381C6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9183768"/>
    <w:multiLevelType w:val="hybridMultilevel"/>
    <w:tmpl w:val="FFFFFFFF"/>
    <w:lvl w:ilvl="0" w:tplc="83503190">
      <w:start w:val="1"/>
      <w:numFmt w:val="bullet"/>
      <w:lvlText w:val="-"/>
      <w:lvlJc w:val="left"/>
      <w:pPr>
        <w:ind w:left="720" w:hanging="360"/>
      </w:pPr>
      <w:rPr>
        <w:rFonts w:ascii="Calibri" w:hAnsi="Calibri" w:hint="default"/>
      </w:rPr>
    </w:lvl>
    <w:lvl w:ilvl="1" w:tplc="C95A099C">
      <w:start w:val="1"/>
      <w:numFmt w:val="bullet"/>
      <w:lvlText w:val="o"/>
      <w:lvlJc w:val="left"/>
      <w:pPr>
        <w:ind w:left="1440" w:hanging="360"/>
      </w:pPr>
      <w:rPr>
        <w:rFonts w:ascii="Courier New" w:hAnsi="Courier New" w:hint="default"/>
      </w:rPr>
    </w:lvl>
    <w:lvl w:ilvl="2" w:tplc="FF167736">
      <w:start w:val="1"/>
      <w:numFmt w:val="bullet"/>
      <w:lvlText w:val=""/>
      <w:lvlJc w:val="left"/>
      <w:pPr>
        <w:ind w:left="2160" w:hanging="360"/>
      </w:pPr>
      <w:rPr>
        <w:rFonts w:ascii="Wingdings" w:hAnsi="Wingdings" w:hint="default"/>
      </w:rPr>
    </w:lvl>
    <w:lvl w:ilvl="3" w:tplc="E9E45B84">
      <w:start w:val="1"/>
      <w:numFmt w:val="bullet"/>
      <w:lvlText w:val=""/>
      <w:lvlJc w:val="left"/>
      <w:pPr>
        <w:ind w:left="2880" w:hanging="360"/>
      </w:pPr>
      <w:rPr>
        <w:rFonts w:ascii="Symbol" w:hAnsi="Symbol" w:hint="default"/>
      </w:rPr>
    </w:lvl>
    <w:lvl w:ilvl="4" w:tplc="6D8AE022">
      <w:start w:val="1"/>
      <w:numFmt w:val="bullet"/>
      <w:lvlText w:val="o"/>
      <w:lvlJc w:val="left"/>
      <w:pPr>
        <w:ind w:left="3600" w:hanging="360"/>
      </w:pPr>
      <w:rPr>
        <w:rFonts w:ascii="Courier New" w:hAnsi="Courier New" w:hint="default"/>
      </w:rPr>
    </w:lvl>
    <w:lvl w:ilvl="5" w:tplc="15B4F9F2">
      <w:start w:val="1"/>
      <w:numFmt w:val="bullet"/>
      <w:lvlText w:val=""/>
      <w:lvlJc w:val="left"/>
      <w:pPr>
        <w:ind w:left="4320" w:hanging="360"/>
      </w:pPr>
      <w:rPr>
        <w:rFonts w:ascii="Wingdings" w:hAnsi="Wingdings" w:hint="default"/>
      </w:rPr>
    </w:lvl>
    <w:lvl w:ilvl="6" w:tplc="6FA0C38C">
      <w:start w:val="1"/>
      <w:numFmt w:val="bullet"/>
      <w:lvlText w:val=""/>
      <w:lvlJc w:val="left"/>
      <w:pPr>
        <w:ind w:left="5040" w:hanging="360"/>
      </w:pPr>
      <w:rPr>
        <w:rFonts w:ascii="Symbol" w:hAnsi="Symbol" w:hint="default"/>
      </w:rPr>
    </w:lvl>
    <w:lvl w:ilvl="7" w:tplc="8AD693FA">
      <w:start w:val="1"/>
      <w:numFmt w:val="bullet"/>
      <w:lvlText w:val="o"/>
      <w:lvlJc w:val="left"/>
      <w:pPr>
        <w:ind w:left="5760" w:hanging="360"/>
      </w:pPr>
      <w:rPr>
        <w:rFonts w:ascii="Courier New" w:hAnsi="Courier New" w:hint="default"/>
      </w:rPr>
    </w:lvl>
    <w:lvl w:ilvl="8" w:tplc="80966096">
      <w:start w:val="1"/>
      <w:numFmt w:val="bullet"/>
      <w:lvlText w:val=""/>
      <w:lvlJc w:val="left"/>
      <w:pPr>
        <w:ind w:left="6480" w:hanging="360"/>
      </w:pPr>
      <w:rPr>
        <w:rFonts w:ascii="Wingdings" w:hAnsi="Wingdings" w:hint="default"/>
      </w:rPr>
    </w:lvl>
  </w:abstractNum>
  <w:abstractNum w:abstractNumId="25" w15:restartNumberingAfterBreak="0">
    <w:nsid w:val="5E8C619D"/>
    <w:multiLevelType w:val="hybridMultilevel"/>
    <w:tmpl w:val="AC52591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36D2193"/>
    <w:multiLevelType w:val="hybridMultilevel"/>
    <w:tmpl w:val="0298CD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8764612"/>
    <w:multiLevelType w:val="hybridMultilevel"/>
    <w:tmpl w:val="0F7A12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FAD1825"/>
    <w:multiLevelType w:val="hybridMultilevel"/>
    <w:tmpl w:val="0076F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0663F21"/>
    <w:multiLevelType w:val="hybridMultilevel"/>
    <w:tmpl w:val="16B435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7D90764"/>
    <w:multiLevelType w:val="hybridMultilevel"/>
    <w:tmpl w:val="771CC8D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81E6439"/>
    <w:multiLevelType w:val="hybridMultilevel"/>
    <w:tmpl w:val="FE4898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F46079B"/>
    <w:multiLevelType w:val="hybridMultilevel"/>
    <w:tmpl w:val="015EF3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FC334DE"/>
    <w:multiLevelType w:val="hybridMultilevel"/>
    <w:tmpl w:val="CF628980"/>
    <w:lvl w:ilvl="0" w:tplc="9164322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763692373">
    <w:abstractNumId w:val="8"/>
  </w:num>
  <w:num w:numId="2" w16cid:durableId="1768960664">
    <w:abstractNumId w:val="29"/>
  </w:num>
  <w:num w:numId="3" w16cid:durableId="1610353096">
    <w:abstractNumId w:val="0"/>
  </w:num>
  <w:num w:numId="4" w16cid:durableId="461582338">
    <w:abstractNumId w:val="14"/>
  </w:num>
  <w:num w:numId="5" w16cid:durableId="85545334">
    <w:abstractNumId w:val="6"/>
  </w:num>
  <w:num w:numId="6" w16cid:durableId="164130242">
    <w:abstractNumId w:val="27"/>
  </w:num>
  <w:num w:numId="7" w16cid:durableId="122114308">
    <w:abstractNumId w:val="12"/>
  </w:num>
  <w:num w:numId="8" w16cid:durableId="1718504153">
    <w:abstractNumId w:val="3"/>
  </w:num>
  <w:num w:numId="9" w16cid:durableId="515703383">
    <w:abstractNumId w:val="22"/>
  </w:num>
  <w:num w:numId="10" w16cid:durableId="1476727045">
    <w:abstractNumId w:val="16"/>
  </w:num>
  <w:num w:numId="11" w16cid:durableId="153496603">
    <w:abstractNumId w:val="28"/>
  </w:num>
  <w:num w:numId="12" w16cid:durableId="848257692">
    <w:abstractNumId w:val="17"/>
  </w:num>
  <w:num w:numId="13" w16cid:durableId="1358310900">
    <w:abstractNumId w:val="2"/>
  </w:num>
  <w:num w:numId="14" w16cid:durableId="1019313355">
    <w:abstractNumId w:val="5"/>
  </w:num>
  <w:num w:numId="15" w16cid:durableId="1020618630">
    <w:abstractNumId w:val="32"/>
  </w:num>
  <w:num w:numId="16" w16cid:durableId="726146859">
    <w:abstractNumId w:val="7"/>
  </w:num>
  <w:num w:numId="17" w16cid:durableId="1921062463">
    <w:abstractNumId w:val="11"/>
  </w:num>
  <w:num w:numId="18" w16cid:durableId="1184592635">
    <w:abstractNumId w:val="9"/>
  </w:num>
  <w:num w:numId="19" w16cid:durableId="1168985043">
    <w:abstractNumId w:val="21"/>
  </w:num>
  <w:num w:numId="20" w16cid:durableId="1119032634">
    <w:abstractNumId w:val="1"/>
  </w:num>
  <w:num w:numId="21" w16cid:durableId="82722994">
    <w:abstractNumId w:val="15"/>
  </w:num>
  <w:num w:numId="22" w16cid:durableId="385373237">
    <w:abstractNumId w:val="20"/>
  </w:num>
  <w:num w:numId="23" w16cid:durableId="1616525767">
    <w:abstractNumId w:val="26"/>
  </w:num>
  <w:num w:numId="24" w16cid:durableId="612708935">
    <w:abstractNumId w:val="24"/>
  </w:num>
  <w:num w:numId="25" w16cid:durableId="982272587">
    <w:abstractNumId w:val="25"/>
  </w:num>
  <w:num w:numId="26" w16cid:durableId="2019846644">
    <w:abstractNumId w:val="13"/>
  </w:num>
  <w:num w:numId="27" w16cid:durableId="201982707">
    <w:abstractNumId w:val="19"/>
  </w:num>
  <w:num w:numId="28" w16cid:durableId="162014541">
    <w:abstractNumId w:val="30"/>
  </w:num>
  <w:num w:numId="29" w16cid:durableId="479737417">
    <w:abstractNumId w:val="4"/>
  </w:num>
  <w:num w:numId="30" w16cid:durableId="1994260961">
    <w:abstractNumId w:val="31"/>
  </w:num>
  <w:num w:numId="31" w16cid:durableId="1572810905">
    <w:abstractNumId w:val="18"/>
  </w:num>
  <w:num w:numId="32" w16cid:durableId="1260598397">
    <w:abstractNumId w:val="23"/>
  </w:num>
  <w:num w:numId="33" w16cid:durableId="688339152">
    <w:abstractNumId w:val="33"/>
  </w:num>
  <w:num w:numId="34" w16cid:durableId="17318823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354"/>
    <w:rsid w:val="00000A77"/>
    <w:rsid w:val="00000E9A"/>
    <w:rsid w:val="00002830"/>
    <w:rsid w:val="00002B8E"/>
    <w:rsid w:val="000033F2"/>
    <w:rsid w:val="00004B0B"/>
    <w:rsid w:val="00007A30"/>
    <w:rsid w:val="000123F7"/>
    <w:rsid w:val="00012FF6"/>
    <w:rsid w:val="00013581"/>
    <w:rsid w:val="000155E9"/>
    <w:rsid w:val="000168F6"/>
    <w:rsid w:val="00016AD5"/>
    <w:rsid w:val="00017B7E"/>
    <w:rsid w:val="00017D28"/>
    <w:rsid w:val="00020280"/>
    <w:rsid w:val="00020E12"/>
    <w:rsid w:val="000236B8"/>
    <w:rsid w:val="000242D8"/>
    <w:rsid w:val="00025B8D"/>
    <w:rsid w:val="00025EC6"/>
    <w:rsid w:val="0003293A"/>
    <w:rsid w:val="000361F5"/>
    <w:rsid w:val="000367E7"/>
    <w:rsid w:val="00036C54"/>
    <w:rsid w:val="00037533"/>
    <w:rsid w:val="00040428"/>
    <w:rsid w:val="00041485"/>
    <w:rsid w:val="000433DE"/>
    <w:rsid w:val="00043699"/>
    <w:rsid w:val="00043A46"/>
    <w:rsid w:val="00044FC9"/>
    <w:rsid w:val="00045AC4"/>
    <w:rsid w:val="00045AEC"/>
    <w:rsid w:val="00045B19"/>
    <w:rsid w:val="00045DDE"/>
    <w:rsid w:val="000470E5"/>
    <w:rsid w:val="00047DFF"/>
    <w:rsid w:val="000528B9"/>
    <w:rsid w:val="00054367"/>
    <w:rsid w:val="000545DE"/>
    <w:rsid w:val="00055868"/>
    <w:rsid w:val="00055D85"/>
    <w:rsid w:val="00056071"/>
    <w:rsid w:val="000569EC"/>
    <w:rsid w:val="00057E93"/>
    <w:rsid w:val="0006007E"/>
    <w:rsid w:val="000626FE"/>
    <w:rsid w:val="00063B87"/>
    <w:rsid w:val="00065EA5"/>
    <w:rsid w:val="00066813"/>
    <w:rsid w:val="000673C1"/>
    <w:rsid w:val="00067B82"/>
    <w:rsid w:val="000712A6"/>
    <w:rsid w:val="00072054"/>
    <w:rsid w:val="000722DA"/>
    <w:rsid w:val="0007232D"/>
    <w:rsid w:val="00073451"/>
    <w:rsid w:val="0007452F"/>
    <w:rsid w:val="00074E62"/>
    <w:rsid w:val="00081CDF"/>
    <w:rsid w:val="00083822"/>
    <w:rsid w:val="00083C46"/>
    <w:rsid w:val="00084E04"/>
    <w:rsid w:val="00085021"/>
    <w:rsid w:val="00085937"/>
    <w:rsid w:val="00085BDB"/>
    <w:rsid w:val="0008724B"/>
    <w:rsid w:val="000876BC"/>
    <w:rsid w:val="000908F4"/>
    <w:rsid w:val="00092D43"/>
    <w:rsid w:val="000933B9"/>
    <w:rsid w:val="000941C3"/>
    <w:rsid w:val="00094816"/>
    <w:rsid w:val="00096329"/>
    <w:rsid w:val="00097DF9"/>
    <w:rsid w:val="000A05B5"/>
    <w:rsid w:val="000A0B92"/>
    <w:rsid w:val="000A1342"/>
    <w:rsid w:val="000A319F"/>
    <w:rsid w:val="000A429E"/>
    <w:rsid w:val="000A43FE"/>
    <w:rsid w:val="000A6019"/>
    <w:rsid w:val="000B0C24"/>
    <w:rsid w:val="000B37EA"/>
    <w:rsid w:val="000B4A1E"/>
    <w:rsid w:val="000B4DFF"/>
    <w:rsid w:val="000B5080"/>
    <w:rsid w:val="000B5086"/>
    <w:rsid w:val="000B59F7"/>
    <w:rsid w:val="000B6295"/>
    <w:rsid w:val="000C0352"/>
    <w:rsid w:val="000C1D69"/>
    <w:rsid w:val="000C54EC"/>
    <w:rsid w:val="000C6BB7"/>
    <w:rsid w:val="000D0030"/>
    <w:rsid w:val="000D2916"/>
    <w:rsid w:val="000D2968"/>
    <w:rsid w:val="000D2CBF"/>
    <w:rsid w:val="000D5011"/>
    <w:rsid w:val="000D5E35"/>
    <w:rsid w:val="000D6CB2"/>
    <w:rsid w:val="000E1A27"/>
    <w:rsid w:val="000E26F6"/>
    <w:rsid w:val="000E3C38"/>
    <w:rsid w:val="000E6155"/>
    <w:rsid w:val="000F1033"/>
    <w:rsid w:val="000F1724"/>
    <w:rsid w:val="000F32D9"/>
    <w:rsid w:val="000F4E5B"/>
    <w:rsid w:val="000F5443"/>
    <w:rsid w:val="000F586A"/>
    <w:rsid w:val="000F5CBE"/>
    <w:rsid w:val="000F5E7E"/>
    <w:rsid w:val="0010114D"/>
    <w:rsid w:val="001015A1"/>
    <w:rsid w:val="00101602"/>
    <w:rsid w:val="001019FF"/>
    <w:rsid w:val="0010664D"/>
    <w:rsid w:val="00106E5B"/>
    <w:rsid w:val="00110859"/>
    <w:rsid w:val="00110DA4"/>
    <w:rsid w:val="001113E8"/>
    <w:rsid w:val="001119AE"/>
    <w:rsid w:val="00112439"/>
    <w:rsid w:val="00113184"/>
    <w:rsid w:val="001146D9"/>
    <w:rsid w:val="00114825"/>
    <w:rsid w:val="00114F8E"/>
    <w:rsid w:val="001228E9"/>
    <w:rsid w:val="0012480C"/>
    <w:rsid w:val="001259D0"/>
    <w:rsid w:val="00125B9E"/>
    <w:rsid w:val="00126195"/>
    <w:rsid w:val="001262E8"/>
    <w:rsid w:val="00127189"/>
    <w:rsid w:val="0012729C"/>
    <w:rsid w:val="0013039E"/>
    <w:rsid w:val="001309BD"/>
    <w:rsid w:val="0013324F"/>
    <w:rsid w:val="00134823"/>
    <w:rsid w:val="00135486"/>
    <w:rsid w:val="00136150"/>
    <w:rsid w:val="0013639E"/>
    <w:rsid w:val="00136708"/>
    <w:rsid w:val="00136CB1"/>
    <w:rsid w:val="00137D05"/>
    <w:rsid w:val="00137E65"/>
    <w:rsid w:val="001402E2"/>
    <w:rsid w:val="00142534"/>
    <w:rsid w:val="001435FA"/>
    <w:rsid w:val="00143F31"/>
    <w:rsid w:val="001450C6"/>
    <w:rsid w:val="001504C5"/>
    <w:rsid w:val="00150EEA"/>
    <w:rsid w:val="00151F0B"/>
    <w:rsid w:val="00151FBE"/>
    <w:rsid w:val="00152AC9"/>
    <w:rsid w:val="0015523F"/>
    <w:rsid w:val="00155FAA"/>
    <w:rsid w:val="00156381"/>
    <w:rsid w:val="0015696A"/>
    <w:rsid w:val="001605E3"/>
    <w:rsid w:val="00160745"/>
    <w:rsid w:val="00160FE7"/>
    <w:rsid w:val="001617CD"/>
    <w:rsid w:val="00162209"/>
    <w:rsid w:val="0016392D"/>
    <w:rsid w:val="00171E50"/>
    <w:rsid w:val="001729F6"/>
    <w:rsid w:val="00173D43"/>
    <w:rsid w:val="00173EBA"/>
    <w:rsid w:val="0017412B"/>
    <w:rsid w:val="001752F5"/>
    <w:rsid w:val="001756D2"/>
    <w:rsid w:val="001758E0"/>
    <w:rsid w:val="00175CF8"/>
    <w:rsid w:val="0017796C"/>
    <w:rsid w:val="00177D17"/>
    <w:rsid w:val="00180BB0"/>
    <w:rsid w:val="00180C60"/>
    <w:rsid w:val="0018335A"/>
    <w:rsid w:val="00185EF1"/>
    <w:rsid w:val="00186E60"/>
    <w:rsid w:val="001879AF"/>
    <w:rsid w:val="00191271"/>
    <w:rsid w:val="001935AF"/>
    <w:rsid w:val="00194FF5"/>
    <w:rsid w:val="001950AE"/>
    <w:rsid w:val="001959AE"/>
    <w:rsid w:val="001A2B5E"/>
    <w:rsid w:val="001A2FA1"/>
    <w:rsid w:val="001A3309"/>
    <w:rsid w:val="001A4851"/>
    <w:rsid w:val="001A499F"/>
    <w:rsid w:val="001A689B"/>
    <w:rsid w:val="001A69D1"/>
    <w:rsid w:val="001A769F"/>
    <w:rsid w:val="001A7CBF"/>
    <w:rsid w:val="001B04EB"/>
    <w:rsid w:val="001B12A4"/>
    <w:rsid w:val="001B2354"/>
    <w:rsid w:val="001B4BD7"/>
    <w:rsid w:val="001B4C93"/>
    <w:rsid w:val="001B606C"/>
    <w:rsid w:val="001B6E1C"/>
    <w:rsid w:val="001C2B32"/>
    <w:rsid w:val="001C2DF6"/>
    <w:rsid w:val="001C538E"/>
    <w:rsid w:val="001C6437"/>
    <w:rsid w:val="001C775D"/>
    <w:rsid w:val="001D010B"/>
    <w:rsid w:val="001D0160"/>
    <w:rsid w:val="001D0958"/>
    <w:rsid w:val="001D2282"/>
    <w:rsid w:val="001D27C0"/>
    <w:rsid w:val="001D2A77"/>
    <w:rsid w:val="001D3F68"/>
    <w:rsid w:val="001D66C2"/>
    <w:rsid w:val="001D7D74"/>
    <w:rsid w:val="001D7E3C"/>
    <w:rsid w:val="001E0406"/>
    <w:rsid w:val="001E077A"/>
    <w:rsid w:val="001E0C42"/>
    <w:rsid w:val="001E2836"/>
    <w:rsid w:val="001E35AA"/>
    <w:rsid w:val="001E3707"/>
    <w:rsid w:val="001E4741"/>
    <w:rsid w:val="001E475E"/>
    <w:rsid w:val="001E7FEB"/>
    <w:rsid w:val="001F11B1"/>
    <w:rsid w:val="001F1340"/>
    <w:rsid w:val="001F54A3"/>
    <w:rsid w:val="001F56D3"/>
    <w:rsid w:val="001F5B59"/>
    <w:rsid w:val="001F701A"/>
    <w:rsid w:val="00200CD6"/>
    <w:rsid w:val="002016F2"/>
    <w:rsid w:val="00202AF0"/>
    <w:rsid w:val="0020340D"/>
    <w:rsid w:val="00204EAD"/>
    <w:rsid w:val="00205D38"/>
    <w:rsid w:val="002062F2"/>
    <w:rsid w:val="00206A9E"/>
    <w:rsid w:val="002074D8"/>
    <w:rsid w:val="00207690"/>
    <w:rsid w:val="00210D64"/>
    <w:rsid w:val="002119EB"/>
    <w:rsid w:val="00212745"/>
    <w:rsid w:val="002151EF"/>
    <w:rsid w:val="002153F1"/>
    <w:rsid w:val="00215BD8"/>
    <w:rsid w:val="00217013"/>
    <w:rsid w:val="00221538"/>
    <w:rsid w:val="00221657"/>
    <w:rsid w:val="002217F5"/>
    <w:rsid w:val="00222582"/>
    <w:rsid w:val="00222CAA"/>
    <w:rsid w:val="00225C8B"/>
    <w:rsid w:val="0022681B"/>
    <w:rsid w:val="002270B5"/>
    <w:rsid w:val="0023169B"/>
    <w:rsid w:val="00231BBE"/>
    <w:rsid w:val="00231D91"/>
    <w:rsid w:val="0023303A"/>
    <w:rsid w:val="00233ABB"/>
    <w:rsid w:val="00236303"/>
    <w:rsid w:val="0023635C"/>
    <w:rsid w:val="00236446"/>
    <w:rsid w:val="002406BA"/>
    <w:rsid w:val="0024082E"/>
    <w:rsid w:val="00242F59"/>
    <w:rsid w:val="00244A31"/>
    <w:rsid w:val="00247E23"/>
    <w:rsid w:val="00247FC0"/>
    <w:rsid w:val="002507BF"/>
    <w:rsid w:val="00250FFB"/>
    <w:rsid w:val="002527FF"/>
    <w:rsid w:val="00252F86"/>
    <w:rsid w:val="0025369B"/>
    <w:rsid w:val="00253D84"/>
    <w:rsid w:val="00254039"/>
    <w:rsid w:val="00254040"/>
    <w:rsid w:val="002550A6"/>
    <w:rsid w:val="00255484"/>
    <w:rsid w:val="0025557B"/>
    <w:rsid w:val="002570E0"/>
    <w:rsid w:val="002579A5"/>
    <w:rsid w:val="00257FC0"/>
    <w:rsid w:val="002605C5"/>
    <w:rsid w:val="00261D87"/>
    <w:rsid w:val="00261DDD"/>
    <w:rsid w:val="00262032"/>
    <w:rsid w:val="0026351B"/>
    <w:rsid w:val="0026357D"/>
    <w:rsid w:val="002638A3"/>
    <w:rsid w:val="002642E6"/>
    <w:rsid w:val="002644F4"/>
    <w:rsid w:val="00264619"/>
    <w:rsid w:val="00265B34"/>
    <w:rsid w:val="00266A7F"/>
    <w:rsid w:val="00266EDB"/>
    <w:rsid w:val="002675BD"/>
    <w:rsid w:val="00267908"/>
    <w:rsid w:val="00270147"/>
    <w:rsid w:val="00270971"/>
    <w:rsid w:val="002711DA"/>
    <w:rsid w:val="0027271A"/>
    <w:rsid w:val="0027329C"/>
    <w:rsid w:val="00273BE0"/>
    <w:rsid w:val="00273C40"/>
    <w:rsid w:val="002749FD"/>
    <w:rsid w:val="00274E8E"/>
    <w:rsid w:val="00275024"/>
    <w:rsid w:val="002754A9"/>
    <w:rsid w:val="00276D66"/>
    <w:rsid w:val="00277E69"/>
    <w:rsid w:val="00281AB9"/>
    <w:rsid w:val="00282ADE"/>
    <w:rsid w:val="00283010"/>
    <w:rsid w:val="002831D9"/>
    <w:rsid w:val="00283232"/>
    <w:rsid w:val="0028409B"/>
    <w:rsid w:val="00285025"/>
    <w:rsid w:val="00286312"/>
    <w:rsid w:val="00286454"/>
    <w:rsid w:val="0028697D"/>
    <w:rsid w:val="00286F4A"/>
    <w:rsid w:val="002873C1"/>
    <w:rsid w:val="0028768B"/>
    <w:rsid w:val="00291E16"/>
    <w:rsid w:val="00292351"/>
    <w:rsid w:val="00292636"/>
    <w:rsid w:val="00295514"/>
    <w:rsid w:val="00295D53"/>
    <w:rsid w:val="00295F60"/>
    <w:rsid w:val="00297145"/>
    <w:rsid w:val="002A0110"/>
    <w:rsid w:val="002A0700"/>
    <w:rsid w:val="002A09B1"/>
    <w:rsid w:val="002A0BE2"/>
    <w:rsid w:val="002A3846"/>
    <w:rsid w:val="002A4AE6"/>
    <w:rsid w:val="002A5D75"/>
    <w:rsid w:val="002A622A"/>
    <w:rsid w:val="002A727C"/>
    <w:rsid w:val="002A7898"/>
    <w:rsid w:val="002A7D64"/>
    <w:rsid w:val="002B1B2F"/>
    <w:rsid w:val="002B2436"/>
    <w:rsid w:val="002B3A28"/>
    <w:rsid w:val="002B6B7A"/>
    <w:rsid w:val="002C042B"/>
    <w:rsid w:val="002C218B"/>
    <w:rsid w:val="002C2958"/>
    <w:rsid w:val="002C2A46"/>
    <w:rsid w:val="002C325C"/>
    <w:rsid w:val="002C436F"/>
    <w:rsid w:val="002C4BC9"/>
    <w:rsid w:val="002C552C"/>
    <w:rsid w:val="002C5EF0"/>
    <w:rsid w:val="002C7BDA"/>
    <w:rsid w:val="002D034B"/>
    <w:rsid w:val="002D1CB7"/>
    <w:rsid w:val="002D524A"/>
    <w:rsid w:val="002D6681"/>
    <w:rsid w:val="002D727E"/>
    <w:rsid w:val="002E0DA1"/>
    <w:rsid w:val="002E1165"/>
    <w:rsid w:val="002E1AD2"/>
    <w:rsid w:val="002E31CB"/>
    <w:rsid w:val="002E43BE"/>
    <w:rsid w:val="002E5E5C"/>
    <w:rsid w:val="002E746A"/>
    <w:rsid w:val="002F26C2"/>
    <w:rsid w:val="002F3E90"/>
    <w:rsid w:val="002F47B8"/>
    <w:rsid w:val="002F504A"/>
    <w:rsid w:val="002F55F0"/>
    <w:rsid w:val="002F5756"/>
    <w:rsid w:val="002F584C"/>
    <w:rsid w:val="002F657F"/>
    <w:rsid w:val="002F7831"/>
    <w:rsid w:val="00302265"/>
    <w:rsid w:val="00302669"/>
    <w:rsid w:val="00302CEE"/>
    <w:rsid w:val="00303104"/>
    <w:rsid w:val="0030350D"/>
    <w:rsid w:val="00303F38"/>
    <w:rsid w:val="0030418A"/>
    <w:rsid w:val="0030448C"/>
    <w:rsid w:val="00304D9D"/>
    <w:rsid w:val="00305757"/>
    <w:rsid w:val="00305DCA"/>
    <w:rsid w:val="00306345"/>
    <w:rsid w:val="00314084"/>
    <w:rsid w:val="0032158B"/>
    <w:rsid w:val="00321FB5"/>
    <w:rsid w:val="00322ECA"/>
    <w:rsid w:val="00325276"/>
    <w:rsid w:val="00326968"/>
    <w:rsid w:val="0032792E"/>
    <w:rsid w:val="00327BB2"/>
    <w:rsid w:val="00330298"/>
    <w:rsid w:val="00330FF4"/>
    <w:rsid w:val="0033173F"/>
    <w:rsid w:val="00332653"/>
    <w:rsid w:val="003341BC"/>
    <w:rsid w:val="003350B4"/>
    <w:rsid w:val="00335A3D"/>
    <w:rsid w:val="00337367"/>
    <w:rsid w:val="00340E9A"/>
    <w:rsid w:val="00343A76"/>
    <w:rsid w:val="00344969"/>
    <w:rsid w:val="00346309"/>
    <w:rsid w:val="00346452"/>
    <w:rsid w:val="003506EF"/>
    <w:rsid w:val="00350F71"/>
    <w:rsid w:val="00351C35"/>
    <w:rsid w:val="00351C9D"/>
    <w:rsid w:val="003521AE"/>
    <w:rsid w:val="00352295"/>
    <w:rsid w:val="003522F9"/>
    <w:rsid w:val="00353646"/>
    <w:rsid w:val="003543EB"/>
    <w:rsid w:val="0035497F"/>
    <w:rsid w:val="00354E20"/>
    <w:rsid w:val="00355722"/>
    <w:rsid w:val="00355826"/>
    <w:rsid w:val="0035656C"/>
    <w:rsid w:val="00360323"/>
    <w:rsid w:val="00360546"/>
    <w:rsid w:val="00360BC0"/>
    <w:rsid w:val="00361232"/>
    <w:rsid w:val="00361742"/>
    <w:rsid w:val="00361DFD"/>
    <w:rsid w:val="003624F9"/>
    <w:rsid w:val="00362587"/>
    <w:rsid w:val="0036271A"/>
    <w:rsid w:val="00365B37"/>
    <w:rsid w:val="00367E99"/>
    <w:rsid w:val="00367F4F"/>
    <w:rsid w:val="00373347"/>
    <w:rsid w:val="003753B7"/>
    <w:rsid w:val="00375516"/>
    <w:rsid w:val="00375AB8"/>
    <w:rsid w:val="00375DCE"/>
    <w:rsid w:val="00376010"/>
    <w:rsid w:val="00376B96"/>
    <w:rsid w:val="003772E2"/>
    <w:rsid w:val="00380123"/>
    <w:rsid w:val="00381513"/>
    <w:rsid w:val="0038178A"/>
    <w:rsid w:val="003820E1"/>
    <w:rsid w:val="0038264C"/>
    <w:rsid w:val="003843E3"/>
    <w:rsid w:val="00384C73"/>
    <w:rsid w:val="0038554E"/>
    <w:rsid w:val="00385F8B"/>
    <w:rsid w:val="003861CE"/>
    <w:rsid w:val="00386BBC"/>
    <w:rsid w:val="0039074E"/>
    <w:rsid w:val="00390F12"/>
    <w:rsid w:val="0039139C"/>
    <w:rsid w:val="00392809"/>
    <w:rsid w:val="0039301A"/>
    <w:rsid w:val="00393C24"/>
    <w:rsid w:val="0039540A"/>
    <w:rsid w:val="0039609F"/>
    <w:rsid w:val="003971C1"/>
    <w:rsid w:val="003A1BAC"/>
    <w:rsid w:val="003A293B"/>
    <w:rsid w:val="003A49A2"/>
    <w:rsid w:val="003A52CD"/>
    <w:rsid w:val="003A54AC"/>
    <w:rsid w:val="003A7548"/>
    <w:rsid w:val="003A7AC8"/>
    <w:rsid w:val="003B28DC"/>
    <w:rsid w:val="003B324B"/>
    <w:rsid w:val="003B6B3B"/>
    <w:rsid w:val="003B736F"/>
    <w:rsid w:val="003C02E0"/>
    <w:rsid w:val="003C1EFD"/>
    <w:rsid w:val="003C2A4D"/>
    <w:rsid w:val="003C342B"/>
    <w:rsid w:val="003C460E"/>
    <w:rsid w:val="003C4CDB"/>
    <w:rsid w:val="003C57B2"/>
    <w:rsid w:val="003D0772"/>
    <w:rsid w:val="003D108C"/>
    <w:rsid w:val="003D164A"/>
    <w:rsid w:val="003D1CDA"/>
    <w:rsid w:val="003D2315"/>
    <w:rsid w:val="003D28AE"/>
    <w:rsid w:val="003D4924"/>
    <w:rsid w:val="003D5EDB"/>
    <w:rsid w:val="003D6554"/>
    <w:rsid w:val="003D7A4B"/>
    <w:rsid w:val="003E0E9F"/>
    <w:rsid w:val="003E4684"/>
    <w:rsid w:val="003E531A"/>
    <w:rsid w:val="003E5B48"/>
    <w:rsid w:val="003E6229"/>
    <w:rsid w:val="003E63C0"/>
    <w:rsid w:val="003E6A81"/>
    <w:rsid w:val="003F3D88"/>
    <w:rsid w:val="003F44E4"/>
    <w:rsid w:val="003F505E"/>
    <w:rsid w:val="003F5715"/>
    <w:rsid w:val="003F5B57"/>
    <w:rsid w:val="003F6138"/>
    <w:rsid w:val="003F6491"/>
    <w:rsid w:val="003F76D7"/>
    <w:rsid w:val="003F7828"/>
    <w:rsid w:val="003F7F51"/>
    <w:rsid w:val="00401B73"/>
    <w:rsid w:val="00401E66"/>
    <w:rsid w:val="004023D9"/>
    <w:rsid w:val="00405E77"/>
    <w:rsid w:val="004069DA"/>
    <w:rsid w:val="00411165"/>
    <w:rsid w:val="0041142E"/>
    <w:rsid w:val="0041239E"/>
    <w:rsid w:val="00412DAE"/>
    <w:rsid w:val="0041444E"/>
    <w:rsid w:val="0041445A"/>
    <w:rsid w:val="00417649"/>
    <w:rsid w:val="00420F7E"/>
    <w:rsid w:val="00421E57"/>
    <w:rsid w:val="0042408D"/>
    <w:rsid w:val="004246DB"/>
    <w:rsid w:val="00424860"/>
    <w:rsid w:val="004257A4"/>
    <w:rsid w:val="00425945"/>
    <w:rsid w:val="00425D14"/>
    <w:rsid w:val="004315BF"/>
    <w:rsid w:val="00431826"/>
    <w:rsid w:val="00431C2F"/>
    <w:rsid w:val="00432608"/>
    <w:rsid w:val="0043475B"/>
    <w:rsid w:val="0043710F"/>
    <w:rsid w:val="00441942"/>
    <w:rsid w:val="00443049"/>
    <w:rsid w:val="004435B0"/>
    <w:rsid w:val="00444818"/>
    <w:rsid w:val="0044582B"/>
    <w:rsid w:val="00445ED3"/>
    <w:rsid w:val="00446C1D"/>
    <w:rsid w:val="00447BEF"/>
    <w:rsid w:val="00450C03"/>
    <w:rsid w:val="0045158B"/>
    <w:rsid w:val="004525FD"/>
    <w:rsid w:val="004532E4"/>
    <w:rsid w:val="00453B26"/>
    <w:rsid w:val="00454E79"/>
    <w:rsid w:val="004560BC"/>
    <w:rsid w:val="0045711B"/>
    <w:rsid w:val="00461CD5"/>
    <w:rsid w:val="00463DC6"/>
    <w:rsid w:val="00463FF9"/>
    <w:rsid w:val="00465654"/>
    <w:rsid w:val="004663B5"/>
    <w:rsid w:val="004663BF"/>
    <w:rsid w:val="004668AB"/>
    <w:rsid w:val="004676B3"/>
    <w:rsid w:val="00467C34"/>
    <w:rsid w:val="00467C60"/>
    <w:rsid w:val="00470B34"/>
    <w:rsid w:val="004718E9"/>
    <w:rsid w:val="00471EF4"/>
    <w:rsid w:val="004727F2"/>
    <w:rsid w:val="00472C85"/>
    <w:rsid w:val="004748AE"/>
    <w:rsid w:val="004750FF"/>
    <w:rsid w:val="00475806"/>
    <w:rsid w:val="00476038"/>
    <w:rsid w:val="00476A83"/>
    <w:rsid w:val="004772FE"/>
    <w:rsid w:val="00482961"/>
    <w:rsid w:val="00483AE7"/>
    <w:rsid w:val="00486DCF"/>
    <w:rsid w:val="00487C45"/>
    <w:rsid w:val="00492494"/>
    <w:rsid w:val="00494025"/>
    <w:rsid w:val="00494C30"/>
    <w:rsid w:val="0049584C"/>
    <w:rsid w:val="00495AEA"/>
    <w:rsid w:val="0049615B"/>
    <w:rsid w:val="00496617"/>
    <w:rsid w:val="004A0C20"/>
    <w:rsid w:val="004A1674"/>
    <w:rsid w:val="004A175E"/>
    <w:rsid w:val="004A2C0E"/>
    <w:rsid w:val="004A2CC4"/>
    <w:rsid w:val="004A381B"/>
    <w:rsid w:val="004A39D5"/>
    <w:rsid w:val="004A3FC6"/>
    <w:rsid w:val="004A5A8F"/>
    <w:rsid w:val="004A6EFB"/>
    <w:rsid w:val="004A6FBF"/>
    <w:rsid w:val="004B0504"/>
    <w:rsid w:val="004B241C"/>
    <w:rsid w:val="004B345D"/>
    <w:rsid w:val="004B3989"/>
    <w:rsid w:val="004B4362"/>
    <w:rsid w:val="004B464A"/>
    <w:rsid w:val="004C0C17"/>
    <w:rsid w:val="004C18D2"/>
    <w:rsid w:val="004C1C3E"/>
    <w:rsid w:val="004C20CA"/>
    <w:rsid w:val="004C2CE2"/>
    <w:rsid w:val="004C2DBD"/>
    <w:rsid w:val="004C2EDD"/>
    <w:rsid w:val="004C30FB"/>
    <w:rsid w:val="004C41BB"/>
    <w:rsid w:val="004C5D08"/>
    <w:rsid w:val="004C61E1"/>
    <w:rsid w:val="004C6B87"/>
    <w:rsid w:val="004C792C"/>
    <w:rsid w:val="004D0595"/>
    <w:rsid w:val="004D0654"/>
    <w:rsid w:val="004D1724"/>
    <w:rsid w:val="004D1DCA"/>
    <w:rsid w:val="004D2742"/>
    <w:rsid w:val="004D33E8"/>
    <w:rsid w:val="004D3556"/>
    <w:rsid w:val="004D3B41"/>
    <w:rsid w:val="004D4749"/>
    <w:rsid w:val="004D51CE"/>
    <w:rsid w:val="004D6DE7"/>
    <w:rsid w:val="004E0739"/>
    <w:rsid w:val="004E0C88"/>
    <w:rsid w:val="004E0F03"/>
    <w:rsid w:val="004E2B37"/>
    <w:rsid w:val="004F0B38"/>
    <w:rsid w:val="004F15B0"/>
    <w:rsid w:val="004F1F72"/>
    <w:rsid w:val="004F209E"/>
    <w:rsid w:val="004F2145"/>
    <w:rsid w:val="004F2304"/>
    <w:rsid w:val="004F2B04"/>
    <w:rsid w:val="004F3C1B"/>
    <w:rsid w:val="004F481B"/>
    <w:rsid w:val="004F5333"/>
    <w:rsid w:val="004F5BAF"/>
    <w:rsid w:val="004F6B4F"/>
    <w:rsid w:val="004F7BCF"/>
    <w:rsid w:val="00500E23"/>
    <w:rsid w:val="00504069"/>
    <w:rsid w:val="0050425A"/>
    <w:rsid w:val="00505B2E"/>
    <w:rsid w:val="00505B3C"/>
    <w:rsid w:val="00505F0E"/>
    <w:rsid w:val="00506559"/>
    <w:rsid w:val="005068BB"/>
    <w:rsid w:val="0050707E"/>
    <w:rsid w:val="00511AA7"/>
    <w:rsid w:val="0051567F"/>
    <w:rsid w:val="0051613D"/>
    <w:rsid w:val="005165F6"/>
    <w:rsid w:val="005226ED"/>
    <w:rsid w:val="0052280D"/>
    <w:rsid w:val="00523B7E"/>
    <w:rsid w:val="0052683D"/>
    <w:rsid w:val="00526D86"/>
    <w:rsid w:val="00526F06"/>
    <w:rsid w:val="00527579"/>
    <w:rsid w:val="00527DDB"/>
    <w:rsid w:val="005307DC"/>
    <w:rsid w:val="0053094F"/>
    <w:rsid w:val="00531364"/>
    <w:rsid w:val="005314B0"/>
    <w:rsid w:val="005348D5"/>
    <w:rsid w:val="00534B40"/>
    <w:rsid w:val="0054069C"/>
    <w:rsid w:val="005418B1"/>
    <w:rsid w:val="00542558"/>
    <w:rsid w:val="00542CFE"/>
    <w:rsid w:val="00544612"/>
    <w:rsid w:val="00544753"/>
    <w:rsid w:val="00547F13"/>
    <w:rsid w:val="005500D5"/>
    <w:rsid w:val="00552D28"/>
    <w:rsid w:val="00553B7B"/>
    <w:rsid w:val="00554DDD"/>
    <w:rsid w:val="00555164"/>
    <w:rsid w:val="00556766"/>
    <w:rsid w:val="00557376"/>
    <w:rsid w:val="005577EA"/>
    <w:rsid w:val="0055797C"/>
    <w:rsid w:val="005579DE"/>
    <w:rsid w:val="00560117"/>
    <w:rsid w:val="00560DE9"/>
    <w:rsid w:val="00561214"/>
    <w:rsid w:val="0056128A"/>
    <w:rsid w:val="00561667"/>
    <w:rsid w:val="00562B6D"/>
    <w:rsid w:val="00562E78"/>
    <w:rsid w:val="00563C56"/>
    <w:rsid w:val="00563C67"/>
    <w:rsid w:val="0056405C"/>
    <w:rsid w:val="005654D2"/>
    <w:rsid w:val="00565720"/>
    <w:rsid w:val="00565DF7"/>
    <w:rsid w:val="00570933"/>
    <w:rsid w:val="00571AA2"/>
    <w:rsid w:val="00571E80"/>
    <w:rsid w:val="0057226B"/>
    <w:rsid w:val="0057315C"/>
    <w:rsid w:val="00573E4D"/>
    <w:rsid w:val="00574A57"/>
    <w:rsid w:val="00575478"/>
    <w:rsid w:val="0057549D"/>
    <w:rsid w:val="00575E74"/>
    <w:rsid w:val="005764B1"/>
    <w:rsid w:val="0057688E"/>
    <w:rsid w:val="00576C55"/>
    <w:rsid w:val="0058069B"/>
    <w:rsid w:val="005817D9"/>
    <w:rsid w:val="00581A2C"/>
    <w:rsid w:val="005824C6"/>
    <w:rsid w:val="00582539"/>
    <w:rsid w:val="005904B7"/>
    <w:rsid w:val="0059060F"/>
    <w:rsid w:val="00590970"/>
    <w:rsid w:val="00590E16"/>
    <w:rsid w:val="00590E3C"/>
    <w:rsid w:val="0059236D"/>
    <w:rsid w:val="00592615"/>
    <w:rsid w:val="00592DB7"/>
    <w:rsid w:val="005936E4"/>
    <w:rsid w:val="0059394E"/>
    <w:rsid w:val="00593C53"/>
    <w:rsid w:val="00593E68"/>
    <w:rsid w:val="00594449"/>
    <w:rsid w:val="005949E5"/>
    <w:rsid w:val="00595A36"/>
    <w:rsid w:val="00596048"/>
    <w:rsid w:val="005966DC"/>
    <w:rsid w:val="00596D81"/>
    <w:rsid w:val="00596FF3"/>
    <w:rsid w:val="005A2296"/>
    <w:rsid w:val="005A2DF8"/>
    <w:rsid w:val="005A4DD0"/>
    <w:rsid w:val="005A67B2"/>
    <w:rsid w:val="005B29EE"/>
    <w:rsid w:val="005B3941"/>
    <w:rsid w:val="005B39B0"/>
    <w:rsid w:val="005B4AA6"/>
    <w:rsid w:val="005B5F2D"/>
    <w:rsid w:val="005B774B"/>
    <w:rsid w:val="005C17D3"/>
    <w:rsid w:val="005C34CF"/>
    <w:rsid w:val="005C41BB"/>
    <w:rsid w:val="005C4FA3"/>
    <w:rsid w:val="005C7E95"/>
    <w:rsid w:val="005D05CE"/>
    <w:rsid w:val="005D1380"/>
    <w:rsid w:val="005D230E"/>
    <w:rsid w:val="005D2448"/>
    <w:rsid w:val="005D336C"/>
    <w:rsid w:val="005D39B6"/>
    <w:rsid w:val="005D4D04"/>
    <w:rsid w:val="005D5908"/>
    <w:rsid w:val="005D7743"/>
    <w:rsid w:val="005D7A77"/>
    <w:rsid w:val="005E001A"/>
    <w:rsid w:val="005E0F80"/>
    <w:rsid w:val="005E1570"/>
    <w:rsid w:val="005E1B8D"/>
    <w:rsid w:val="005E1D45"/>
    <w:rsid w:val="005E2D8B"/>
    <w:rsid w:val="005E3990"/>
    <w:rsid w:val="005E3A9E"/>
    <w:rsid w:val="005E6D5C"/>
    <w:rsid w:val="005E7389"/>
    <w:rsid w:val="005E7F1D"/>
    <w:rsid w:val="005F1802"/>
    <w:rsid w:val="005F1807"/>
    <w:rsid w:val="005F2AA8"/>
    <w:rsid w:val="005F2F67"/>
    <w:rsid w:val="005F524D"/>
    <w:rsid w:val="005F7537"/>
    <w:rsid w:val="005F75CF"/>
    <w:rsid w:val="0060044C"/>
    <w:rsid w:val="0060269D"/>
    <w:rsid w:val="006047A2"/>
    <w:rsid w:val="006048E0"/>
    <w:rsid w:val="00605D8C"/>
    <w:rsid w:val="00605F42"/>
    <w:rsid w:val="0060771A"/>
    <w:rsid w:val="006108BB"/>
    <w:rsid w:val="00610A22"/>
    <w:rsid w:val="006110F3"/>
    <w:rsid w:val="00612727"/>
    <w:rsid w:val="00612C47"/>
    <w:rsid w:val="006151B0"/>
    <w:rsid w:val="00616BD8"/>
    <w:rsid w:val="00620098"/>
    <w:rsid w:val="006219BA"/>
    <w:rsid w:val="00621A78"/>
    <w:rsid w:val="006230AA"/>
    <w:rsid w:val="00625788"/>
    <w:rsid w:val="00627B5B"/>
    <w:rsid w:val="00630181"/>
    <w:rsid w:val="006306C1"/>
    <w:rsid w:val="006312A5"/>
    <w:rsid w:val="006316D7"/>
    <w:rsid w:val="006321DC"/>
    <w:rsid w:val="00633413"/>
    <w:rsid w:val="00634A2C"/>
    <w:rsid w:val="00635AF4"/>
    <w:rsid w:val="00635DFD"/>
    <w:rsid w:val="00641941"/>
    <w:rsid w:val="0064478C"/>
    <w:rsid w:val="00644977"/>
    <w:rsid w:val="00646285"/>
    <w:rsid w:val="00646EEE"/>
    <w:rsid w:val="00650D51"/>
    <w:rsid w:val="00654BA4"/>
    <w:rsid w:val="00654D34"/>
    <w:rsid w:val="006552E2"/>
    <w:rsid w:val="00656B70"/>
    <w:rsid w:val="00661896"/>
    <w:rsid w:val="00664274"/>
    <w:rsid w:val="0066489D"/>
    <w:rsid w:val="0066565A"/>
    <w:rsid w:val="00666EA5"/>
    <w:rsid w:val="00671483"/>
    <w:rsid w:val="00671D09"/>
    <w:rsid w:val="00671E68"/>
    <w:rsid w:val="0067222E"/>
    <w:rsid w:val="0067489C"/>
    <w:rsid w:val="00674903"/>
    <w:rsid w:val="00674FB8"/>
    <w:rsid w:val="00675862"/>
    <w:rsid w:val="006767EB"/>
    <w:rsid w:val="00676946"/>
    <w:rsid w:val="00677773"/>
    <w:rsid w:val="00677E5D"/>
    <w:rsid w:val="0068051D"/>
    <w:rsid w:val="00680919"/>
    <w:rsid w:val="00680B94"/>
    <w:rsid w:val="00681EFE"/>
    <w:rsid w:val="0068346A"/>
    <w:rsid w:val="00683D42"/>
    <w:rsid w:val="0068493D"/>
    <w:rsid w:val="0068707D"/>
    <w:rsid w:val="00687E15"/>
    <w:rsid w:val="006922C6"/>
    <w:rsid w:val="0069237F"/>
    <w:rsid w:val="00692F8A"/>
    <w:rsid w:val="006951F9"/>
    <w:rsid w:val="00697EAD"/>
    <w:rsid w:val="006A11F4"/>
    <w:rsid w:val="006A1480"/>
    <w:rsid w:val="006A1EE8"/>
    <w:rsid w:val="006A4015"/>
    <w:rsid w:val="006A5061"/>
    <w:rsid w:val="006A6684"/>
    <w:rsid w:val="006A7F8F"/>
    <w:rsid w:val="006B0ED2"/>
    <w:rsid w:val="006B12C8"/>
    <w:rsid w:val="006B220A"/>
    <w:rsid w:val="006B23FF"/>
    <w:rsid w:val="006B64D0"/>
    <w:rsid w:val="006C11BD"/>
    <w:rsid w:val="006C17C5"/>
    <w:rsid w:val="006C1E1A"/>
    <w:rsid w:val="006C3703"/>
    <w:rsid w:val="006C3B4A"/>
    <w:rsid w:val="006C42E0"/>
    <w:rsid w:val="006C45D9"/>
    <w:rsid w:val="006C532F"/>
    <w:rsid w:val="006C5609"/>
    <w:rsid w:val="006C62D9"/>
    <w:rsid w:val="006C65F3"/>
    <w:rsid w:val="006C6D2D"/>
    <w:rsid w:val="006D09FB"/>
    <w:rsid w:val="006D2A7A"/>
    <w:rsid w:val="006D2A8C"/>
    <w:rsid w:val="006D3A44"/>
    <w:rsid w:val="006D5153"/>
    <w:rsid w:val="006D5C9C"/>
    <w:rsid w:val="006D6B70"/>
    <w:rsid w:val="006D7A57"/>
    <w:rsid w:val="006E0511"/>
    <w:rsid w:val="006E0CCF"/>
    <w:rsid w:val="006E18EC"/>
    <w:rsid w:val="006E239A"/>
    <w:rsid w:val="006E3EEE"/>
    <w:rsid w:val="006E458C"/>
    <w:rsid w:val="006E531C"/>
    <w:rsid w:val="006E5371"/>
    <w:rsid w:val="006E6B82"/>
    <w:rsid w:val="006E7D29"/>
    <w:rsid w:val="006F2123"/>
    <w:rsid w:val="006F2535"/>
    <w:rsid w:val="006F31A1"/>
    <w:rsid w:val="006F40BD"/>
    <w:rsid w:val="006F4D02"/>
    <w:rsid w:val="006F513B"/>
    <w:rsid w:val="006F7DDC"/>
    <w:rsid w:val="007001FB"/>
    <w:rsid w:val="0070032D"/>
    <w:rsid w:val="0070040C"/>
    <w:rsid w:val="00700B1B"/>
    <w:rsid w:val="00701971"/>
    <w:rsid w:val="007042E5"/>
    <w:rsid w:val="00704306"/>
    <w:rsid w:val="00704F4A"/>
    <w:rsid w:val="00707423"/>
    <w:rsid w:val="00711E9E"/>
    <w:rsid w:val="00712AE0"/>
    <w:rsid w:val="0071464C"/>
    <w:rsid w:val="007151DF"/>
    <w:rsid w:val="007154DC"/>
    <w:rsid w:val="007155AC"/>
    <w:rsid w:val="007157E7"/>
    <w:rsid w:val="00715CAF"/>
    <w:rsid w:val="00716602"/>
    <w:rsid w:val="00716675"/>
    <w:rsid w:val="00720111"/>
    <w:rsid w:val="00723405"/>
    <w:rsid w:val="00723FC9"/>
    <w:rsid w:val="00724B19"/>
    <w:rsid w:val="00724F00"/>
    <w:rsid w:val="00725968"/>
    <w:rsid w:val="00725F44"/>
    <w:rsid w:val="00727F32"/>
    <w:rsid w:val="00730C4A"/>
    <w:rsid w:val="007311D7"/>
    <w:rsid w:val="00731666"/>
    <w:rsid w:val="007316E3"/>
    <w:rsid w:val="00732973"/>
    <w:rsid w:val="00732D94"/>
    <w:rsid w:val="00733346"/>
    <w:rsid w:val="00733689"/>
    <w:rsid w:val="00734F79"/>
    <w:rsid w:val="00736D4C"/>
    <w:rsid w:val="007413DC"/>
    <w:rsid w:val="00741806"/>
    <w:rsid w:val="007419D5"/>
    <w:rsid w:val="00741E61"/>
    <w:rsid w:val="00742164"/>
    <w:rsid w:val="00742E54"/>
    <w:rsid w:val="00742FB3"/>
    <w:rsid w:val="007432D2"/>
    <w:rsid w:val="00743A7C"/>
    <w:rsid w:val="00743AFF"/>
    <w:rsid w:val="00743CB5"/>
    <w:rsid w:val="00745C72"/>
    <w:rsid w:val="007467D6"/>
    <w:rsid w:val="00747BBB"/>
    <w:rsid w:val="0075070B"/>
    <w:rsid w:val="00750E2E"/>
    <w:rsid w:val="007513E9"/>
    <w:rsid w:val="007518C3"/>
    <w:rsid w:val="0075343B"/>
    <w:rsid w:val="0075537C"/>
    <w:rsid w:val="007571C2"/>
    <w:rsid w:val="0075754B"/>
    <w:rsid w:val="007577E7"/>
    <w:rsid w:val="0075782E"/>
    <w:rsid w:val="00757ACD"/>
    <w:rsid w:val="007607F4"/>
    <w:rsid w:val="00760BFB"/>
    <w:rsid w:val="007610E3"/>
    <w:rsid w:val="0076682B"/>
    <w:rsid w:val="007676B3"/>
    <w:rsid w:val="00771076"/>
    <w:rsid w:val="007710A9"/>
    <w:rsid w:val="00772738"/>
    <w:rsid w:val="00772887"/>
    <w:rsid w:val="007730F1"/>
    <w:rsid w:val="00774092"/>
    <w:rsid w:val="00774599"/>
    <w:rsid w:val="00775397"/>
    <w:rsid w:val="00780FA4"/>
    <w:rsid w:val="007818C0"/>
    <w:rsid w:val="00781A97"/>
    <w:rsid w:val="00790D47"/>
    <w:rsid w:val="00791F13"/>
    <w:rsid w:val="0079286A"/>
    <w:rsid w:val="0079654E"/>
    <w:rsid w:val="00796A14"/>
    <w:rsid w:val="007A0D0F"/>
    <w:rsid w:val="007A1321"/>
    <w:rsid w:val="007A13FA"/>
    <w:rsid w:val="007A1F34"/>
    <w:rsid w:val="007A2B19"/>
    <w:rsid w:val="007A753D"/>
    <w:rsid w:val="007A7B74"/>
    <w:rsid w:val="007A7D91"/>
    <w:rsid w:val="007B05AE"/>
    <w:rsid w:val="007B0EDE"/>
    <w:rsid w:val="007B1B1C"/>
    <w:rsid w:val="007B1B54"/>
    <w:rsid w:val="007B2F52"/>
    <w:rsid w:val="007B4149"/>
    <w:rsid w:val="007B6FCD"/>
    <w:rsid w:val="007B7366"/>
    <w:rsid w:val="007C0005"/>
    <w:rsid w:val="007C00C3"/>
    <w:rsid w:val="007C220E"/>
    <w:rsid w:val="007C2854"/>
    <w:rsid w:val="007C2A39"/>
    <w:rsid w:val="007C2DAB"/>
    <w:rsid w:val="007C2F39"/>
    <w:rsid w:val="007C3CA0"/>
    <w:rsid w:val="007C5DAE"/>
    <w:rsid w:val="007C690C"/>
    <w:rsid w:val="007C79E4"/>
    <w:rsid w:val="007D22B1"/>
    <w:rsid w:val="007D2AE5"/>
    <w:rsid w:val="007D367F"/>
    <w:rsid w:val="007D589D"/>
    <w:rsid w:val="007D6A7D"/>
    <w:rsid w:val="007D6CCA"/>
    <w:rsid w:val="007D7220"/>
    <w:rsid w:val="007D7645"/>
    <w:rsid w:val="007E0088"/>
    <w:rsid w:val="007E1074"/>
    <w:rsid w:val="007E1891"/>
    <w:rsid w:val="007E1F3E"/>
    <w:rsid w:val="007E2436"/>
    <w:rsid w:val="007E2627"/>
    <w:rsid w:val="007E2990"/>
    <w:rsid w:val="007E34DC"/>
    <w:rsid w:val="007E3531"/>
    <w:rsid w:val="007E46CE"/>
    <w:rsid w:val="007E510F"/>
    <w:rsid w:val="007E657D"/>
    <w:rsid w:val="007E7098"/>
    <w:rsid w:val="007F0F9C"/>
    <w:rsid w:val="007F55E5"/>
    <w:rsid w:val="007F73CB"/>
    <w:rsid w:val="00800C2C"/>
    <w:rsid w:val="00801799"/>
    <w:rsid w:val="0080183A"/>
    <w:rsid w:val="00801E9B"/>
    <w:rsid w:val="00802B35"/>
    <w:rsid w:val="00802D56"/>
    <w:rsid w:val="00804826"/>
    <w:rsid w:val="00804D1A"/>
    <w:rsid w:val="00804E83"/>
    <w:rsid w:val="008063C2"/>
    <w:rsid w:val="00807470"/>
    <w:rsid w:val="008075B4"/>
    <w:rsid w:val="00807BDF"/>
    <w:rsid w:val="00807D36"/>
    <w:rsid w:val="00807E63"/>
    <w:rsid w:val="0081079C"/>
    <w:rsid w:val="008118E4"/>
    <w:rsid w:val="00811A76"/>
    <w:rsid w:val="00811CC7"/>
    <w:rsid w:val="00812913"/>
    <w:rsid w:val="0081291A"/>
    <w:rsid w:val="00812966"/>
    <w:rsid w:val="008129EC"/>
    <w:rsid w:val="008140F7"/>
    <w:rsid w:val="008142FE"/>
    <w:rsid w:val="0081467E"/>
    <w:rsid w:val="00814F5D"/>
    <w:rsid w:val="008155ED"/>
    <w:rsid w:val="00815CC8"/>
    <w:rsid w:val="00820CCC"/>
    <w:rsid w:val="00820F7E"/>
    <w:rsid w:val="008221F1"/>
    <w:rsid w:val="0082253F"/>
    <w:rsid w:val="00822637"/>
    <w:rsid w:val="00822CB7"/>
    <w:rsid w:val="0082490C"/>
    <w:rsid w:val="00824AFA"/>
    <w:rsid w:val="0082686B"/>
    <w:rsid w:val="00827770"/>
    <w:rsid w:val="00827E44"/>
    <w:rsid w:val="0083049F"/>
    <w:rsid w:val="00831BFD"/>
    <w:rsid w:val="00832A13"/>
    <w:rsid w:val="008333DD"/>
    <w:rsid w:val="00834F34"/>
    <w:rsid w:val="00835061"/>
    <w:rsid w:val="0083533B"/>
    <w:rsid w:val="00835B39"/>
    <w:rsid w:val="00835CF6"/>
    <w:rsid w:val="0084055D"/>
    <w:rsid w:val="00842479"/>
    <w:rsid w:val="00842C87"/>
    <w:rsid w:val="008433DA"/>
    <w:rsid w:val="008438D5"/>
    <w:rsid w:val="00844FDE"/>
    <w:rsid w:val="00846DFF"/>
    <w:rsid w:val="00847A7B"/>
    <w:rsid w:val="0085057F"/>
    <w:rsid w:val="00850731"/>
    <w:rsid w:val="00850822"/>
    <w:rsid w:val="0085175A"/>
    <w:rsid w:val="0085203A"/>
    <w:rsid w:val="00854894"/>
    <w:rsid w:val="008558F8"/>
    <w:rsid w:val="008560BD"/>
    <w:rsid w:val="00857542"/>
    <w:rsid w:val="008601A4"/>
    <w:rsid w:val="00860F52"/>
    <w:rsid w:val="008622E7"/>
    <w:rsid w:val="0086298C"/>
    <w:rsid w:val="00863B77"/>
    <w:rsid w:val="008642E3"/>
    <w:rsid w:val="0086521C"/>
    <w:rsid w:val="00866C50"/>
    <w:rsid w:val="008707B9"/>
    <w:rsid w:val="00871609"/>
    <w:rsid w:val="0087160B"/>
    <w:rsid w:val="00874610"/>
    <w:rsid w:val="00874614"/>
    <w:rsid w:val="008752CC"/>
    <w:rsid w:val="00877505"/>
    <w:rsid w:val="00877C8C"/>
    <w:rsid w:val="00877EA8"/>
    <w:rsid w:val="00880789"/>
    <w:rsid w:val="00881524"/>
    <w:rsid w:val="008832C7"/>
    <w:rsid w:val="008837CC"/>
    <w:rsid w:val="0088550A"/>
    <w:rsid w:val="00886A42"/>
    <w:rsid w:val="0088738F"/>
    <w:rsid w:val="00891F4D"/>
    <w:rsid w:val="00893625"/>
    <w:rsid w:val="008937CA"/>
    <w:rsid w:val="00894B34"/>
    <w:rsid w:val="00896598"/>
    <w:rsid w:val="008A11D2"/>
    <w:rsid w:val="008A11D4"/>
    <w:rsid w:val="008A17CC"/>
    <w:rsid w:val="008A1E0C"/>
    <w:rsid w:val="008A34FE"/>
    <w:rsid w:val="008A39E0"/>
    <w:rsid w:val="008A4867"/>
    <w:rsid w:val="008A5152"/>
    <w:rsid w:val="008A6A0C"/>
    <w:rsid w:val="008A7647"/>
    <w:rsid w:val="008A78FB"/>
    <w:rsid w:val="008B28AB"/>
    <w:rsid w:val="008B4533"/>
    <w:rsid w:val="008B4B71"/>
    <w:rsid w:val="008B5961"/>
    <w:rsid w:val="008B615A"/>
    <w:rsid w:val="008B66D4"/>
    <w:rsid w:val="008C03CD"/>
    <w:rsid w:val="008C081E"/>
    <w:rsid w:val="008C16A3"/>
    <w:rsid w:val="008C4D58"/>
    <w:rsid w:val="008C76E7"/>
    <w:rsid w:val="008C7924"/>
    <w:rsid w:val="008D29B6"/>
    <w:rsid w:val="008D389B"/>
    <w:rsid w:val="008D3CA9"/>
    <w:rsid w:val="008D3F03"/>
    <w:rsid w:val="008D473F"/>
    <w:rsid w:val="008D49DB"/>
    <w:rsid w:val="008D4A04"/>
    <w:rsid w:val="008D52D4"/>
    <w:rsid w:val="008D787F"/>
    <w:rsid w:val="008E00F3"/>
    <w:rsid w:val="008E0BC9"/>
    <w:rsid w:val="008E1565"/>
    <w:rsid w:val="008E2778"/>
    <w:rsid w:val="008E3162"/>
    <w:rsid w:val="008E45EB"/>
    <w:rsid w:val="008E51C1"/>
    <w:rsid w:val="008E5909"/>
    <w:rsid w:val="008E620D"/>
    <w:rsid w:val="008E7C4F"/>
    <w:rsid w:val="008F0265"/>
    <w:rsid w:val="008F0D64"/>
    <w:rsid w:val="008F2990"/>
    <w:rsid w:val="008F4C09"/>
    <w:rsid w:val="008F5491"/>
    <w:rsid w:val="008F5A51"/>
    <w:rsid w:val="008F5EEB"/>
    <w:rsid w:val="008F5FDE"/>
    <w:rsid w:val="008F7143"/>
    <w:rsid w:val="008F7734"/>
    <w:rsid w:val="0090062C"/>
    <w:rsid w:val="009022AA"/>
    <w:rsid w:val="00903080"/>
    <w:rsid w:val="009032C9"/>
    <w:rsid w:val="00903633"/>
    <w:rsid w:val="00903825"/>
    <w:rsid w:val="00903C5C"/>
    <w:rsid w:val="00903E71"/>
    <w:rsid w:val="0090413F"/>
    <w:rsid w:val="0090434B"/>
    <w:rsid w:val="00910929"/>
    <w:rsid w:val="0091183A"/>
    <w:rsid w:val="00911E94"/>
    <w:rsid w:val="009163AA"/>
    <w:rsid w:val="00916729"/>
    <w:rsid w:val="00922D1E"/>
    <w:rsid w:val="009238A9"/>
    <w:rsid w:val="009246A2"/>
    <w:rsid w:val="009249D0"/>
    <w:rsid w:val="00926F37"/>
    <w:rsid w:val="00935796"/>
    <w:rsid w:val="009415CA"/>
    <w:rsid w:val="00941878"/>
    <w:rsid w:val="009424D9"/>
    <w:rsid w:val="00942DEB"/>
    <w:rsid w:val="009437BB"/>
    <w:rsid w:val="009444D2"/>
    <w:rsid w:val="00945FD1"/>
    <w:rsid w:val="00947C8E"/>
    <w:rsid w:val="00951160"/>
    <w:rsid w:val="009520BE"/>
    <w:rsid w:val="00952935"/>
    <w:rsid w:val="00952AE3"/>
    <w:rsid w:val="009550AD"/>
    <w:rsid w:val="009551F5"/>
    <w:rsid w:val="00955981"/>
    <w:rsid w:val="009559BD"/>
    <w:rsid w:val="00956C16"/>
    <w:rsid w:val="00956D7D"/>
    <w:rsid w:val="00960B20"/>
    <w:rsid w:val="009625DA"/>
    <w:rsid w:val="009628F1"/>
    <w:rsid w:val="00962DC7"/>
    <w:rsid w:val="00964465"/>
    <w:rsid w:val="00964C6D"/>
    <w:rsid w:val="0096545D"/>
    <w:rsid w:val="00965FB3"/>
    <w:rsid w:val="00971174"/>
    <w:rsid w:val="00971BEB"/>
    <w:rsid w:val="009731BC"/>
    <w:rsid w:val="0097332F"/>
    <w:rsid w:val="00974325"/>
    <w:rsid w:val="0097432E"/>
    <w:rsid w:val="0097448F"/>
    <w:rsid w:val="00974C02"/>
    <w:rsid w:val="0097662B"/>
    <w:rsid w:val="0097733F"/>
    <w:rsid w:val="009778D3"/>
    <w:rsid w:val="0098044C"/>
    <w:rsid w:val="00980EBA"/>
    <w:rsid w:val="009830AD"/>
    <w:rsid w:val="00983459"/>
    <w:rsid w:val="00986166"/>
    <w:rsid w:val="00987313"/>
    <w:rsid w:val="0098790A"/>
    <w:rsid w:val="00990775"/>
    <w:rsid w:val="009912CF"/>
    <w:rsid w:val="00992D9B"/>
    <w:rsid w:val="009934A3"/>
    <w:rsid w:val="00994FAC"/>
    <w:rsid w:val="00995BD0"/>
    <w:rsid w:val="009962E4"/>
    <w:rsid w:val="00996381"/>
    <w:rsid w:val="009965CA"/>
    <w:rsid w:val="00997675"/>
    <w:rsid w:val="00997757"/>
    <w:rsid w:val="009A01AF"/>
    <w:rsid w:val="009A0F39"/>
    <w:rsid w:val="009A0FC1"/>
    <w:rsid w:val="009A1567"/>
    <w:rsid w:val="009A2DBB"/>
    <w:rsid w:val="009A332E"/>
    <w:rsid w:val="009A3B28"/>
    <w:rsid w:val="009A4188"/>
    <w:rsid w:val="009A65BB"/>
    <w:rsid w:val="009A7206"/>
    <w:rsid w:val="009A7E16"/>
    <w:rsid w:val="009B0190"/>
    <w:rsid w:val="009B2065"/>
    <w:rsid w:val="009B2468"/>
    <w:rsid w:val="009B2F98"/>
    <w:rsid w:val="009B49AA"/>
    <w:rsid w:val="009B6742"/>
    <w:rsid w:val="009B72D9"/>
    <w:rsid w:val="009B7DE8"/>
    <w:rsid w:val="009C034B"/>
    <w:rsid w:val="009C055F"/>
    <w:rsid w:val="009C2F8F"/>
    <w:rsid w:val="009C3822"/>
    <w:rsid w:val="009C3887"/>
    <w:rsid w:val="009C3CB4"/>
    <w:rsid w:val="009C4233"/>
    <w:rsid w:val="009C4450"/>
    <w:rsid w:val="009C46E2"/>
    <w:rsid w:val="009C6D03"/>
    <w:rsid w:val="009D0401"/>
    <w:rsid w:val="009D2315"/>
    <w:rsid w:val="009D28C7"/>
    <w:rsid w:val="009D2ADE"/>
    <w:rsid w:val="009D37AB"/>
    <w:rsid w:val="009D3AF7"/>
    <w:rsid w:val="009D4BCF"/>
    <w:rsid w:val="009D60A1"/>
    <w:rsid w:val="009D6AE4"/>
    <w:rsid w:val="009D77E9"/>
    <w:rsid w:val="009E0F3F"/>
    <w:rsid w:val="009E192D"/>
    <w:rsid w:val="009E19B7"/>
    <w:rsid w:val="009E2503"/>
    <w:rsid w:val="009E4D6F"/>
    <w:rsid w:val="009E5238"/>
    <w:rsid w:val="009E65C2"/>
    <w:rsid w:val="009E68C9"/>
    <w:rsid w:val="009F0AAD"/>
    <w:rsid w:val="009F19F5"/>
    <w:rsid w:val="009F2FC3"/>
    <w:rsid w:val="009F60A4"/>
    <w:rsid w:val="009F6808"/>
    <w:rsid w:val="00A017CD"/>
    <w:rsid w:val="00A01D36"/>
    <w:rsid w:val="00A06059"/>
    <w:rsid w:val="00A0639B"/>
    <w:rsid w:val="00A06F41"/>
    <w:rsid w:val="00A10287"/>
    <w:rsid w:val="00A113F6"/>
    <w:rsid w:val="00A12355"/>
    <w:rsid w:val="00A149E5"/>
    <w:rsid w:val="00A14C50"/>
    <w:rsid w:val="00A152CE"/>
    <w:rsid w:val="00A15913"/>
    <w:rsid w:val="00A235A3"/>
    <w:rsid w:val="00A24CE3"/>
    <w:rsid w:val="00A26072"/>
    <w:rsid w:val="00A3079F"/>
    <w:rsid w:val="00A30BE4"/>
    <w:rsid w:val="00A35DDD"/>
    <w:rsid w:val="00A371F9"/>
    <w:rsid w:val="00A374DA"/>
    <w:rsid w:val="00A40219"/>
    <w:rsid w:val="00A402A8"/>
    <w:rsid w:val="00A40DEA"/>
    <w:rsid w:val="00A46F35"/>
    <w:rsid w:val="00A47AE7"/>
    <w:rsid w:val="00A50F85"/>
    <w:rsid w:val="00A512C1"/>
    <w:rsid w:val="00A517C3"/>
    <w:rsid w:val="00A51D67"/>
    <w:rsid w:val="00A54E55"/>
    <w:rsid w:val="00A5520C"/>
    <w:rsid w:val="00A5580F"/>
    <w:rsid w:val="00A56FAE"/>
    <w:rsid w:val="00A57EC9"/>
    <w:rsid w:val="00A606A9"/>
    <w:rsid w:val="00A61836"/>
    <w:rsid w:val="00A61D30"/>
    <w:rsid w:val="00A66D5A"/>
    <w:rsid w:val="00A67D5C"/>
    <w:rsid w:val="00A71318"/>
    <w:rsid w:val="00A71980"/>
    <w:rsid w:val="00A723E8"/>
    <w:rsid w:val="00A72A5F"/>
    <w:rsid w:val="00A72F89"/>
    <w:rsid w:val="00A731B0"/>
    <w:rsid w:val="00A74E6A"/>
    <w:rsid w:val="00A75731"/>
    <w:rsid w:val="00A75BF3"/>
    <w:rsid w:val="00A77447"/>
    <w:rsid w:val="00A80BCB"/>
    <w:rsid w:val="00A80D6F"/>
    <w:rsid w:val="00A8239D"/>
    <w:rsid w:val="00A827D2"/>
    <w:rsid w:val="00A83D9C"/>
    <w:rsid w:val="00A84299"/>
    <w:rsid w:val="00A87588"/>
    <w:rsid w:val="00A90404"/>
    <w:rsid w:val="00A90609"/>
    <w:rsid w:val="00A908AA"/>
    <w:rsid w:val="00A908C9"/>
    <w:rsid w:val="00A90B1E"/>
    <w:rsid w:val="00A90E8B"/>
    <w:rsid w:val="00A930E6"/>
    <w:rsid w:val="00A944E9"/>
    <w:rsid w:val="00AA0BB4"/>
    <w:rsid w:val="00AA289B"/>
    <w:rsid w:val="00AA4667"/>
    <w:rsid w:val="00AA4813"/>
    <w:rsid w:val="00AA654D"/>
    <w:rsid w:val="00AA6F0E"/>
    <w:rsid w:val="00AA749C"/>
    <w:rsid w:val="00AB2C11"/>
    <w:rsid w:val="00AB3390"/>
    <w:rsid w:val="00AB3B7A"/>
    <w:rsid w:val="00AB3C39"/>
    <w:rsid w:val="00AB4706"/>
    <w:rsid w:val="00AB4EFB"/>
    <w:rsid w:val="00AB5242"/>
    <w:rsid w:val="00AB5B58"/>
    <w:rsid w:val="00AB6309"/>
    <w:rsid w:val="00AB6727"/>
    <w:rsid w:val="00AB6B32"/>
    <w:rsid w:val="00AB7C3A"/>
    <w:rsid w:val="00AB7C3E"/>
    <w:rsid w:val="00AC2419"/>
    <w:rsid w:val="00AC30A0"/>
    <w:rsid w:val="00AC33D8"/>
    <w:rsid w:val="00AC43DC"/>
    <w:rsid w:val="00AC4463"/>
    <w:rsid w:val="00AC4776"/>
    <w:rsid w:val="00AC50C6"/>
    <w:rsid w:val="00AC6BC2"/>
    <w:rsid w:val="00AC73CD"/>
    <w:rsid w:val="00AD09A5"/>
    <w:rsid w:val="00AD0EC1"/>
    <w:rsid w:val="00AD1CB0"/>
    <w:rsid w:val="00AD20AD"/>
    <w:rsid w:val="00AD38E1"/>
    <w:rsid w:val="00AD45DC"/>
    <w:rsid w:val="00AD70C3"/>
    <w:rsid w:val="00AD7ADA"/>
    <w:rsid w:val="00AE534E"/>
    <w:rsid w:val="00AE5489"/>
    <w:rsid w:val="00AE704F"/>
    <w:rsid w:val="00AF05FF"/>
    <w:rsid w:val="00AF10D4"/>
    <w:rsid w:val="00AF1397"/>
    <w:rsid w:val="00AF4B1C"/>
    <w:rsid w:val="00AF5B86"/>
    <w:rsid w:val="00AF652A"/>
    <w:rsid w:val="00B000E9"/>
    <w:rsid w:val="00B00C77"/>
    <w:rsid w:val="00B01F9C"/>
    <w:rsid w:val="00B0241B"/>
    <w:rsid w:val="00B02863"/>
    <w:rsid w:val="00B02FA0"/>
    <w:rsid w:val="00B03250"/>
    <w:rsid w:val="00B046EF"/>
    <w:rsid w:val="00B04AA0"/>
    <w:rsid w:val="00B074AF"/>
    <w:rsid w:val="00B115A0"/>
    <w:rsid w:val="00B115FB"/>
    <w:rsid w:val="00B167A2"/>
    <w:rsid w:val="00B17486"/>
    <w:rsid w:val="00B179B0"/>
    <w:rsid w:val="00B204B3"/>
    <w:rsid w:val="00B21A0E"/>
    <w:rsid w:val="00B21A9C"/>
    <w:rsid w:val="00B226B5"/>
    <w:rsid w:val="00B2582C"/>
    <w:rsid w:val="00B26ADB"/>
    <w:rsid w:val="00B27287"/>
    <w:rsid w:val="00B276A6"/>
    <w:rsid w:val="00B303B6"/>
    <w:rsid w:val="00B30D16"/>
    <w:rsid w:val="00B31F94"/>
    <w:rsid w:val="00B34BA8"/>
    <w:rsid w:val="00B34BB8"/>
    <w:rsid w:val="00B34CBD"/>
    <w:rsid w:val="00B35825"/>
    <w:rsid w:val="00B375D1"/>
    <w:rsid w:val="00B40163"/>
    <w:rsid w:val="00B40DD1"/>
    <w:rsid w:val="00B425BC"/>
    <w:rsid w:val="00B428A7"/>
    <w:rsid w:val="00B43C02"/>
    <w:rsid w:val="00B440BB"/>
    <w:rsid w:val="00B4676D"/>
    <w:rsid w:val="00B4752A"/>
    <w:rsid w:val="00B47A03"/>
    <w:rsid w:val="00B50947"/>
    <w:rsid w:val="00B51CEB"/>
    <w:rsid w:val="00B52E4F"/>
    <w:rsid w:val="00B54923"/>
    <w:rsid w:val="00B569FA"/>
    <w:rsid w:val="00B56FA7"/>
    <w:rsid w:val="00B57401"/>
    <w:rsid w:val="00B6318D"/>
    <w:rsid w:val="00B648E6"/>
    <w:rsid w:val="00B64B41"/>
    <w:rsid w:val="00B6513B"/>
    <w:rsid w:val="00B65AAA"/>
    <w:rsid w:val="00B65FFE"/>
    <w:rsid w:val="00B6652A"/>
    <w:rsid w:val="00B67A4E"/>
    <w:rsid w:val="00B7102F"/>
    <w:rsid w:val="00B7182A"/>
    <w:rsid w:val="00B72CE0"/>
    <w:rsid w:val="00B72F70"/>
    <w:rsid w:val="00B73282"/>
    <w:rsid w:val="00B758D2"/>
    <w:rsid w:val="00B76C57"/>
    <w:rsid w:val="00B77321"/>
    <w:rsid w:val="00B80123"/>
    <w:rsid w:val="00B81846"/>
    <w:rsid w:val="00B82623"/>
    <w:rsid w:val="00B83661"/>
    <w:rsid w:val="00B839CD"/>
    <w:rsid w:val="00B83BC9"/>
    <w:rsid w:val="00B83F79"/>
    <w:rsid w:val="00B84EAB"/>
    <w:rsid w:val="00B85342"/>
    <w:rsid w:val="00B86973"/>
    <w:rsid w:val="00B90224"/>
    <w:rsid w:val="00B902C8"/>
    <w:rsid w:val="00B90C7B"/>
    <w:rsid w:val="00B93570"/>
    <w:rsid w:val="00B936A7"/>
    <w:rsid w:val="00B93B07"/>
    <w:rsid w:val="00B94044"/>
    <w:rsid w:val="00B964C7"/>
    <w:rsid w:val="00BA0305"/>
    <w:rsid w:val="00BA6758"/>
    <w:rsid w:val="00BA701B"/>
    <w:rsid w:val="00BA751B"/>
    <w:rsid w:val="00BB3FB3"/>
    <w:rsid w:val="00BB4590"/>
    <w:rsid w:val="00BB4A5B"/>
    <w:rsid w:val="00BB4E7E"/>
    <w:rsid w:val="00BB5CCD"/>
    <w:rsid w:val="00BB6B06"/>
    <w:rsid w:val="00BC024E"/>
    <w:rsid w:val="00BC1341"/>
    <w:rsid w:val="00BC1C73"/>
    <w:rsid w:val="00BC2B99"/>
    <w:rsid w:val="00BC64D3"/>
    <w:rsid w:val="00BC76E8"/>
    <w:rsid w:val="00BC7E28"/>
    <w:rsid w:val="00BD03AD"/>
    <w:rsid w:val="00BD173E"/>
    <w:rsid w:val="00BD1D6E"/>
    <w:rsid w:val="00BD27ED"/>
    <w:rsid w:val="00BD40EB"/>
    <w:rsid w:val="00BD4577"/>
    <w:rsid w:val="00BD504F"/>
    <w:rsid w:val="00BD7683"/>
    <w:rsid w:val="00BE008F"/>
    <w:rsid w:val="00BE09C6"/>
    <w:rsid w:val="00BE5A65"/>
    <w:rsid w:val="00BE6A40"/>
    <w:rsid w:val="00BE6B38"/>
    <w:rsid w:val="00BF02DD"/>
    <w:rsid w:val="00BF451D"/>
    <w:rsid w:val="00BF701B"/>
    <w:rsid w:val="00C0073B"/>
    <w:rsid w:val="00C00F4A"/>
    <w:rsid w:val="00C0256F"/>
    <w:rsid w:val="00C0432E"/>
    <w:rsid w:val="00C04EDC"/>
    <w:rsid w:val="00C05A66"/>
    <w:rsid w:val="00C05C3D"/>
    <w:rsid w:val="00C05E86"/>
    <w:rsid w:val="00C06E5D"/>
    <w:rsid w:val="00C07C89"/>
    <w:rsid w:val="00C100B3"/>
    <w:rsid w:val="00C11C22"/>
    <w:rsid w:val="00C1216C"/>
    <w:rsid w:val="00C133B5"/>
    <w:rsid w:val="00C135BD"/>
    <w:rsid w:val="00C13EE9"/>
    <w:rsid w:val="00C143D7"/>
    <w:rsid w:val="00C1447E"/>
    <w:rsid w:val="00C154FB"/>
    <w:rsid w:val="00C15821"/>
    <w:rsid w:val="00C15BF8"/>
    <w:rsid w:val="00C1614E"/>
    <w:rsid w:val="00C16603"/>
    <w:rsid w:val="00C16933"/>
    <w:rsid w:val="00C16E4B"/>
    <w:rsid w:val="00C17D4A"/>
    <w:rsid w:val="00C20521"/>
    <w:rsid w:val="00C211B2"/>
    <w:rsid w:val="00C23265"/>
    <w:rsid w:val="00C24102"/>
    <w:rsid w:val="00C25B3B"/>
    <w:rsid w:val="00C264A0"/>
    <w:rsid w:val="00C2691B"/>
    <w:rsid w:val="00C277C6"/>
    <w:rsid w:val="00C30BD9"/>
    <w:rsid w:val="00C30CCC"/>
    <w:rsid w:val="00C32B9A"/>
    <w:rsid w:val="00C335F8"/>
    <w:rsid w:val="00C3362E"/>
    <w:rsid w:val="00C356C5"/>
    <w:rsid w:val="00C35CE8"/>
    <w:rsid w:val="00C36BEB"/>
    <w:rsid w:val="00C401EA"/>
    <w:rsid w:val="00C4067B"/>
    <w:rsid w:val="00C4070C"/>
    <w:rsid w:val="00C4161B"/>
    <w:rsid w:val="00C420C6"/>
    <w:rsid w:val="00C42CFA"/>
    <w:rsid w:val="00C43375"/>
    <w:rsid w:val="00C44B45"/>
    <w:rsid w:val="00C46123"/>
    <w:rsid w:val="00C5068F"/>
    <w:rsid w:val="00C513E5"/>
    <w:rsid w:val="00C52734"/>
    <w:rsid w:val="00C5474A"/>
    <w:rsid w:val="00C55351"/>
    <w:rsid w:val="00C57343"/>
    <w:rsid w:val="00C60D9A"/>
    <w:rsid w:val="00C6112F"/>
    <w:rsid w:val="00C618DC"/>
    <w:rsid w:val="00C6217B"/>
    <w:rsid w:val="00C639C7"/>
    <w:rsid w:val="00C63AE2"/>
    <w:rsid w:val="00C63F90"/>
    <w:rsid w:val="00C64143"/>
    <w:rsid w:val="00C6425D"/>
    <w:rsid w:val="00C64E01"/>
    <w:rsid w:val="00C64FEE"/>
    <w:rsid w:val="00C6563D"/>
    <w:rsid w:val="00C65B49"/>
    <w:rsid w:val="00C706A9"/>
    <w:rsid w:val="00C71A57"/>
    <w:rsid w:val="00C746BD"/>
    <w:rsid w:val="00C747F3"/>
    <w:rsid w:val="00C75C31"/>
    <w:rsid w:val="00C764FF"/>
    <w:rsid w:val="00C76605"/>
    <w:rsid w:val="00C768F5"/>
    <w:rsid w:val="00C76C2C"/>
    <w:rsid w:val="00C806CA"/>
    <w:rsid w:val="00C80796"/>
    <w:rsid w:val="00C848EA"/>
    <w:rsid w:val="00C8546D"/>
    <w:rsid w:val="00C85E1A"/>
    <w:rsid w:val="00C87041"/>
    <w:rsid w:val="00C87CD6"/>
    <w:rsid w:val="00C87E24"/>
    <w:rsid w:val="00C917D7"/>
    <w:rsid w:val="00C91E63"/>
    <w:rsid w:val="00C91FE2"/>
    <w:rsid w:val="00C94E99"/>
    <w:rsid w:val="00C96469"/>
    <w:rsid w:val="00C966B5"/>
    <w:rsid w:val="00C9708D"/>
    <w:rsid w:val="00C97279"/>
    <w:rsid w:val="00C97381"/>
    <w:rsid w:val="00CA1219"/>
    <w:rsid w:val="00CA12F8"/>
    <w:rsid w:val="00CA5649"/>
    <w:rsid w:val="00CA64AF"/>
    <w:rsid w:val="00CB0BAF"/>
    <w:rsid w:val="00CB20F6"/>
    <w:rsid w:val="00CB21E0"/>
    <w:rsid w:val="00CB2527"/>
    <w:rsid w:val="00CB2919"/>
    <w:rsid w:val="00CB2936"/>
    <w:rsid w:val="00CB3F4C"/>
    <w:rsid w:val="00CB610C"/>
    <w:rsid w:val="00CB760D"/>
    <w:rsid w:val="00CC0BFA"/>
    <w:rsid w:val="00CC106E"/>
    <w:rsid w:val="00CC2F8E"/>
    <w:rsid w:val="00CC3439"/>
    <w:rsid w:val="00CC534B"/>
    <w:rsid w:val="00CC5965"/>
    <w:rsid w:val="00CC7F2D"/>
    <w:rsid w:val="00CD0110"/>
    <w:rsid w:val="00CD135A"/>
    <w:rsid w:val="00CD392B"/>
    <w:rsid w:val="00CD555E"/>
    <w:rsid w:val="00CD5A96"/>
    <w:rsid w:val="00CD6826"/>
    <w:rsid w:val="00CD6B93"/>
    <w:rsid w:val="00CD7530"/>
    <w:rsid w:val="00CE0391"/>
    <w:rsid w:val="00CE0C27"/>
    <w:rsid w:val="00CE0E90"/>
    <w:rsid w:val="00CE4AA8"/>
    <w:rsid w:val="00CE518B"/>
    <w:rsid w:val="00CE750A"/>
    <w:rsid w:val="00CE76EA"/>
    <w:rsid w:val="00CE7FA3"/>
    <w:rsid w:val="00CF203E"/>
    <w:rsid w:val="00CF2A5A"/>
    <w:rsid w:val="00CF3AF2"/>
    <w:rsid w:val="00CF415E"/>
    <w:rsid w:val="00CF43F4"/>
    <w:rsid w:val="00CF4EC8"/>
    <w:rsid w:val="00D0045C"/>
    <w:rsid w:val="00D026A8"/>
    <w:rsid w:val="00D0410F"/>
    <w:rsid w:val="00D04E76"/>
    <w:rsid w:val="00D05881"/>
    <w:rsid w:val="00D059FC"/>
    <w:rsid w:val="00D05F4D"/>
    <w:rsid w:val="00D0686F"/>
    <w:rsid w:val="00D069DE"/>
    <w:rsid w:val="00D10A77"/>
    <w:rsid w:val="00D12D1E"/>
    <w:rsid w:val="00D13DBF"/>
    <w:rsid w:val="00D14D3E"/>
    <w:rsid w:val="00D174A6"/>
    <w:rsid w:val="00D2008B"/>
    <w:rsid w:val="00D22EF6"/>
    <w:rsid w:val="00D23AB3"/>
    <w:rsid w:val="00D27E2B"/>
    <w:rsid w:val="00D30C10"/>
    <w:rsid w:val="00D31C6B"/>
    <w:rsid w:val="00D32838"/>
    <w:rsid w:val="00D33087"/>
    <w:rsid w:val="00D335E2"/>
    <w:rsid w:val="00D3411B"/>
    <w:rsid w:val="00D345D6"/>
    <w:rsid w:val="00D359D5"/>
    <w:rsid w:val="00D362A8"/>
    <w:rsid w:val="00D3672C"/>
    <w:rsid w:val="00D4048B"/>
    <w:rsid w:val="00D40C4A"/>
    <w:rsid w:val="00D41293"/>
    <w:rsid w:val="00D414D3"/>
    <w:rsid w:val="00D41B6F"/>
    <w:rsid w:val="00D43396"/>
    <w:rsid w:val="00D4341B"/>
    <w:rsid w:val="00D43FB8"/>
    <w:rsid w:val="00D44023"/>
    <w:rsid w:val="00D44D78"/>
    <w:rsid w:val="00D45CA1"/>
    <w:rsid w:val="00D45DE0"/>
    <w:rsid w:val="00D47A67"/>
    <w:rsid w:val="00D514D9"/>
    <w:rsid w:val="00D52566"/>
    <w:rsid w:val="00D54343"/>
    <w:rsid w:val="00D56032"/>
    <w:rsid w:val="00D563DF"/>
    <w:rsid w:val="00D57C77"/>
    <w:rsid w:val="00D60D50"/>
    <w:rsid w:val="00D62D34"/>
    <w:rsid w:val="00D6374B"/>
    <w:rsid w:val="00D64481"/>
    <w:rsid w:val="00D66D3F"/>
    <w:rsid w:val="00D66E8E"/>
    <w:rsid w:val="00D71DA2"/>
    <w:rsid w:val="00D72FEF"/>
    <w:rsid w:val="00D74EBE"/>
    <w:rsid w:val="00D7565B"/>
    <w:rsid w:val="00D76594"/>
    <w:rsid w:val="00D80418"/>
    <w:rsid w:val="00D82F5C"/>
    <w:rsid w:val="00D8361B"/>
    <w:rsid w:val="00D84AE7"/>
    <w:rsid w:val="00D84C93"/>
    <w:rsid w:val="00D8569E"/>
    <w:rsid w:val="00D86AA4"/>
    <w:rsid w:val="00D86C5D"/>
    <w:rsid w:val="00D86FE4"/>
    <w:rsid w:val="00D87B13"/>
    <w:rsid w:val="00D92833"/>
    <w:rsid w:val="00D92D6E"/>
    <w:rsid w:val="00D92ED4"/>
    <w:rsid w:val="00D9356C"/>
    <w:rsid w:val="00D935A7"/>
    <w:rsid w:val="00D93712"/>
    <w:rsid w:val="00D94F9D"/>
    <w:rsid w:val="00D97DD2"/>
    <w:rsid w:val="00DA2AA8"/>
    <w:rsid w:val="00DA3624"/>
    <w:rsid w:val="00DA4C6A"/>
    <w:rsid w:val="00DA4D02"/>
    <w:rsid w:val="00DA62CB"/>
    <w:rsid w:val="00DB030C"/>
    <w:rsid w:val="00DB123F"/>
    <w:rsid w:val="00DB170F"/>
    <w:rsid w:val="00DB26BF"/>
    <w:rsid w:val="00DB26CE"/>
    <w:rsid w:val="00DB289D"/>
    <w:rsid w:val="00DB5F2C"/>
    <w:rsid w:val="00DB6CE8"/>
    <w:rsid w:val="00DB74E1"/>
    <w:rsid w:val="00DC0BEB"/>
    <w:rsid w:val="00DC16F5"/>
    <w:rsid w:val="00DC173B"/>
    <w:rsid w:val="00DC445E"/>
    <w:rsid w:val="00DC4D60"/>
    <w:rsid w:val="00DC50B4"/>
    <w:rsid w:val="00DC7538"/>
    <w:rsid w:val="00DC7CED"/>
    <w:rsid w:val="00DC7EF4"/>
    <w:rsid w:val="00DD7573"/>
    <w:rsid w:val="00DE192D"/>
    <w:rsid w:val="00DE24F6"/>
    <w:rsid w:val="00DE2AB6"/>
    <w:rsid w:val="00DE3BB4"/>
    <w:rsid w:val="00DE3FE4"/>
    <w:rsid w:val="00DE4ABA"/>
    <w:rsid w:val="00DE77E8"/>
    <w:rsid w:val="00DE7A47"/>
    <w:rsid w:val="00DF1173"/>
    <w:rsid w:val="00DF2058"/>
    <w:rsid w:val="00DF21DC"/>
    <w:rsid w:val="00DF2428"/>
    <w:rsid w:val="00DF249A"/>
    <w:rsid w:val="00DF3AD3"/>
    <w:rsid w:val="00DF676E"/>
    <w:rsid w:val="00E016D7"/>
    <w:rsid w:val="00E017EA"/>
    <w:rsid w:val="00E0337A"/>
    <w:rsid w:val="00E03EA9"/>
    <w:rsid w:val="00E06266"/>
    <w:rsid w:val="00E07D78"/>
    <w:rsid w:val="00E12112"/>
    <w:rsid w:val="00E13027"/>
    <w:rsid w:val="00E130FF"/>
    <w:rsid w:val="00E1480E"/>
    <w:rsid w:val="00E16BEF"/>
    <w:rsid w:val="00E16CB8"/>
    <w:rsid w:val="00E21CAB"/>
    <w:rsid w:val="00E21F1E"/>
    <w:rsid w:val="00E24BDF"/>
    <w:rsid w:val="00E24E49"/>
    <w:rsid w:val="00E26BDC"/>
    <w:rsid w:val="00E26DD5"/>
    <w:rsid w:val="00E27F4A"/>
    <w:rsid w:val="00E31E9D"/>
    <w:rsid w:val="00E32CF1"/>
    <w:rsid w:val="00E32EBD"/>
    <w:rsid w:val="00E32EFD"/>
    <w:rsid w:val="00E3304A"/>
    <w:rsid w:val="00E34600"/>
    <w:rsid w:val="00E42726"/>
    <w:rsid w:val="00E428D7"/>
    <w:rsid w:val="00E4322D"/>
    <w:rsid w:val="00E44B6F"/>
    <w:rsid w:val="00E44EA5"/>
    <w:rsid w:val="00E44ECB"/>
    <w:rsid w:val="00E46358"/>
    <w:rsid w:val="00E50AF0"/>
    <w:rsid w:val="00E50CA4"/>
    <w:rsid w:val="00E51693"/>
    <w:rsid w:val="00E52B0C"/>
    <w:rsid w:val="00E54026"/>
    <w:rsid w:val="00E55AB3"/>
    <w:rsid w:val="00E565EC"/>
    <w:rsid w:val="00E579C1"/>
    <w:rsid w:val="00E57E02"/>
    <w:rsid w:val="00E608CC"/>
    <w:rsid w:val="00E619A8"/>
    <w:rsid w:val="00E6435C"/>
    <w:rsid w:val="00E658BB"/>
    <w:rsid w:val="00E71573"/>
    <w:rsid w:val="00E718F4"/>
    <w:rsid w:val="00E71915"/>
    <w:rsid w:val="00E7453B"/>
    <w:rsid w:val="00E75150"/>
    <w:rsid w:val="00E7774D"/>
    <w:rsid w:val="00E80207"/>
    <w:rsid w:val="00E804AF"/>
    <w:rsid w:val="00E80B13"/>
    <w:rsid w:val="00E81087"/>
    <w:rsid w:val="00E81F4B"/>
    <w:rsid w:val="00E8235D"/>
    <w:rsid w:val="00E844CA"/>
    <w:rsid w:val="00E856DB"/>
    <w:rsid w:val="00E90ED4"/>
    <w:rsid w:val="00E93715"/>
    <w:rsid w:val="00E9423C"/>
    <w:rsid w:val="00E9432F"/>
    <w:rsid w:val="00EA13D5"/>
    <w:rsid w:val="00EA1BE3"/>
    <w:rsid w:val="00EA25C5"/>
    <w:rsid w:val="00EA3017"/>
    <w:rsid w:val="00EA3EAE"/>
    <w:rsid w:val="00EA5170"/>
    <w:rsid w:val="00EA702D"/>
    <w:rsid w:val="00EB0495"/>
    <w:rsid w:val="00EB090A"/>
    <w:rsid w:val="00EB1589"/>
    <w:rsid w:val="00EB1D55"/>
    <w:rsid w:val="00EB25B6"/>
    <w:rsid w:val="00EB27C7"/>
    <w:rsid w:val="00EB2D28"/>
    <w:rsid w:val="00EB4042"/>
    <w:rsid w:val="00EB5310"/>
    <w:rsid w:val="00EB718C"/>
    <w:rsid w:val="00EB7A9F"/>
    <w:rsid w:val="00EB7E71"/>
    <w:rsid w:val="00EC0C0E"/>
    <w:rsid w:val="00EC1451"/>
    <w:rsid w:val="00EC1EB8"/>
    <w:rsid w:val="00EC25B7"/>
    <w:rsid w:val="00EC3960"/>
    <w:rsid w:val="00EC3A70"/>
    <w:rsid w:val="00EC41EA"/>
    <w:rsid w:val="00EC4CEC"/>
    <w:rsid w:val="00EC68B6"/>
    <w:rsid w:val="00EC6A43"/>
    <w:rsid w:val="00ED16B3"/>
    <w:rsid w:val="00ED1C5B"/>
    <w:rsid w:val="00ED1F27"/>
    <w:rsid w:val="00ED2958"/>
    <w:rsid w:val="00ED58C7"/>
    <w:rsid w:val="00ED5D40"/>
    <w:rsid w:val="00ED6E2D"/>
    <w:rsid w:val="00ED71EA"/>
    <w:rsid w:val="00ED7E68"/>
    <w:rsid w:val="00EE04E6"/>
    <w:rsid w:val="00EE0AC1"/>
    <w:rsid w:val="00EE17D8"/>
    <w:rsid w:val="00EE26DC"/>
    <w:rsid w:val="00EE5167"/>
    <w:rsid w:val="00EE55CB"/>
    <w:rsid w:val="00EE5DD2"/>
    <w:rsid w:val="00EE72CD"/>
    <w:rsid w:val="00EE774A"/>
    <w:rsid w:val="00EE7782"/>
    <w:rsid w:val="00EE7E8E"/>
    <w:rsid w:val="00EF0ED4"/>
    <w:rsid w:val="00EF133D"/>
    <w:rsid w:val="00EF2326"/>
    <w:rsid w:val="00EF29C9"/>
    <w:rsid w:val="00EF2E2C"/>
    <w:rsid w:val="00EF2EB1"/>
    <w:rsid w:val="00EF330A"/>
    <w:rsid w:val="00EF3882"/>
    <w:rsid w:val="00EF4172"/>
    <w:rsid w:val="00EF584C"/>
    <w:rsid w:val="00EF5E7A"/>
    <w:rsid w:val="00EF75E5"/>
    <w:rsid w:val="00EF7F79"/>
    <w:rsid w:val="00F00113"/>
    <w:rsid w:val="00F02CCE"/>
    <w:rsid w:val="00F03B46"/>
    <w:rsid w:val="00F04D54"/>
    <w:rsid w:val="00F053B0"/>
    <w:rsid w:val="00F06C70"/>
    <w:rsid w:val="00F07B99"/>
    <w:rsid w:val="00F1081C"/>
    <w:rsid w:val="00F1170E"/>
    <w:rsid w:val="00F11998"/>
    <w:rsid w:val="00F11EC9"/>
    <w:rsid w:val="00F12261"/>
    <w:rsid w:val="00F14AA0"/>
    <w:rsid w:val="00F15150"/>
    <w:rsid w:val="00F164FA"/>
    <w:rsid w:val="00F17B19"/>
    <w:rsid w:val="00F20BD9"/>
    <w:rsid w:val="00F21502"/>
    <w:rsid w:val="00F22235"/>
    <w:rsid w:val="00F239B2"/>
    <w:rsid w:val="00F23B70"/>
    <w:rsid w:val="00F25B8B"/>
    <w:rsid w:val="00F25FFD"/>
    <w:rsid w:val="00F26EC2"/>
    <w:rsid w:val="00F27B7D"/>
    <w:rsid w:val="00F32D3B"/>
    <w:rsid w:val="00F32EC6"/>
    <w:rsid w:val="00F356A9"/>
    <w:rsid w:val="00F36025"/>
    <w:rsid w:val="00F37058"/>
    <w:rsid w:val="00F37774"/>
    <w:rsid w:val="00F37B88"/>
    <w:rsid w:val="00F41187"/>
    <w:rsid w:val="00F4278F"/>
    <w:rsid w:val="00F42E4D"/>
    <w:rsid w:val="00F434CF"/>
    <w:rsid w:val="00F43B1A"/>
    <w:rsid w:val="00F44283"/>
    <w:rsid w:val="00F45490"/>
    <w:rsid w:val="00F455C6"/>
    <w:rsid w:val="00F45E38"/>
    <w:rsid w:val="00F500B0"/>
    <w:rsid w:val="00F507B1"/>
    <w:rsid w:val="00F5460B"/>
    <w:rsid w:val="00F54A68"/>
    <w:rsid w:val="00F55B6B"/>
    <w:rsid w:val="00F5767A"/>
    <w:rsid w:val="00F622C6"/>
    <w:rsid w:val="00F62FED"/>
    <w:rsid w:val="00F63851"/>
    <w:rsid w:val="00F65410"/>
    <w:rsid w:val="00F6548B"/>
    <w:rsid w:val="00F6586B"/>
    <w:rsid w:val="00F70ACE"/>
    <w:rsid w:val="00F70FC7"/>
    <w:rsid w:val="00F73C51"/>
    <w:rsid w:val="00F73F3D"/>
    <w:rsid w:val="00F743E3"/>
    <w:rsid w:val="00F744A3"/>
    <w:rsid w:val="00F75786"/>
    <w:rsid w:val="00F75E05"/>
    <w:rsid w:val="00F8227D"/>
    <w:rsid w:val="00F82FD9"/>
    <w:rsid w:val="00F84BE1"/>
    <w:rsid w:val="00F84FB5"/>
    <w:rsid w:val="00F8500F"/>
    <w:rsid w:val="00F866AC"/>
    <w:rsid w:val="00F8711B"/>
    <w:rsid w:val="00F90354"/>
    <w:rsid w:val="00F9078C"/>
    <w:rsid w:val="00F90F4B"/>
    <w:rsid w:val="00F92A13"/>
    <w:rsid w:val="00F93970"/>
    <w:rsid w:val="00F93C17"/>
    <w:rsid w:val="00F949BC"/>
    <w:rsid w:val="00F94AA7"/>
    <w:rsid w:val="00F94DB7"/>
    <w:rsid w:val="00F94FD7"/>
    <w:rsid w:val="00F951B4"/>
    <w:rsid w:val="00F95C33"/>
    <w:rsid w:val="00FA2642"/>
    <w:rsid w:val="00FA2926"/>
    <w:rsid w:val="00FA6571"/>
    <w:rsid w:val="00FA7818"/>
    <w:rsid w:val="00FB0096"/>
    <w:rsid w:val="00FB0654"/>
    <w:rsid w:val="00FB1236"/>
    <w:rsid w:val="00FB12A0"/>
    <w:rsid w:val="00FB1A3D"/>
    <w:rsid w:val="00FB1A65"/>
    <w:rsid w:val="00FB2028"/>
    <w:rsid w:val="00FB20D7"/>
    <w:rsid w:val="00FB27C3"/>
    <w:rsid w:val="00FB2C2F"/>
    <w:rsid w:val="00FB37FA"/>
    <w:rsid w:val="00FB5D55"/>
    <w:rsid w:val="00FB7C7E"/>
    <w:rsid w:val="00FC2802"/>
    <w:rsid w:val="00FC2C69"/>
    <w:rsid w:val="00FC3C73"/>
    <w:rsid w:val="00FC6A87"/>
    <w:rsid w:val="00FD0E4A"/>
    <w:rsid w:val="00FD1236"/>
    <w:rsid w:val="00FD1DF3"/>
    <w:rsid w:val="00FD2163"/>
    <w:rsid w:val="00FD3EDA"/>
    <w:rsid w:val="00FD3F1A"/>
    <w:rsid w:val="00FD5A11"/>
    <w:rsid w:val="00FD6803"/>
    <w:rsid w:val="00FD7E43"/>
    <w:rsid w:val="00FE0E9A"/>
    <w:rsid w:val="00FE10FE"/>
    <w:rsid w:val="00FE17FD"/>
    <w:rsid w:val="00FE2531"/>
    <w:rsid w:val="00FE33DD"/>
    <w:rsid w:val="00FE462C"/>
    <w:rsid w:val="00FE7926"/>
    <w:rsid w:val="00FF05BA"/>
    <w:rsid w:val="00FF0751"/>
    <w:rsid w:val="00FF0763"/>
    <w:rsid w:val="00FF2189"/>
    <w:rsid w:val="00FF45FA"/>
    <w:rsid w:val="00FF61F2"/>
    <w:rsid w:val="00FF6B7D"/>
    <w:rsid w:val="00FF70DB"/>
    <w:rsid w:val="00FF7934"/>
    <w:rsid w:val="00FF7B68"/>
    <w:rsid w:val="00FF7E0B"/>
    <w:rsid w:val="13905659"/>
    <w:rsid w:val="15910FC4"/>
    <w:rsid w:val="37CA52DC"/>
    <w:rsid w:val="448C734E"/>
    <w:rsid w:val="464E7195"/>
    <w:rsid w:val="5BB43799"/>
    <w:rsid w:val="65353F9A"/>
    <w:rsid w:val="69D4360A"/>
    <w:rsid w:val="74A355F6"/>
    <w:rsid w:val="77CCF5AA"/>
    <w:rsid w:val="7839210F"/>
    <w:rsid w:val="79B3167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ED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9B7"/>
    <w:rPr>
      <w:rFonts w:ascii="Arial" w:hAnsi="Arial"/>
    </w:rPr>
  </w:style>
  <w:style w:type="paragraph" w:styleId="Ttulo1">
    <w:name w:val="heading 1"/>
    <w:basedOn w:val="Normal"/>
    <w:next w:val="Normal"/>
    <w:link w:val="Ttulo1Car"/>
    <w:uiPriority w:val="9"/>
    <w:qFormat/>
    <w:rsid w:val="00C747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354"/>
  </w:style>
  <w:style w:type="paragraph" w:customStyle="1" w:styleId="paragraph">
    <w:name w:val="paragraph"/>
    <w:basedOn w:val="Normal"/>
    <w:rsid w:val="0085203A"/>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85203A"/>
  </w:style>
  <w:style w:type="character" w:customStyle="1" w:styleId="eop">
    <w:name w:val="eop"/>
    <w:basedOn w:val="Fuentedeprrafopredeter"/>
    <w:rsid w:val="0085203A"/>
  </w:style>
  <w:style w:type="paragraph" w:styleId="Prrafodelista">
    <w:name w:val="List Paragraph"/>
    <w:basedOn w:val="Normal"/>
    <w:uiPriority w:val="34"/>
    <w:qFormat/>
    <w:rsid w:val="005F1802"/>
    <w:pPr>
      <w:ind w:left="720"/>
      <w:contextualSpacing/>
    </w:pPr>
  </w:style>
  <w:style w:type="character" w:customStyle="1" w:styleId="Ttulo1Car">
    <w:name w:val="Título 1 Car"/>
    <w:basedOn w:val="Fuentedeprrafopredeter"/>
    <w:link w:val="Ttulo1"/>
    <w:uiPriority w:val="9"/>
    <w:rsid w:val="00C747F3"/>
    <w:rPr>
      <w:rFonts w:asciiTheme="majorHAnsi" w:eastAsiaTheme="majorEastAsia" w:hAnsiTheme="majorHAnsi" w:cstheme="majorBidi"/>
      <w:color w:val="2F5496" w:themeColor="accent1" w:themeShade="BF"/>
      <w:sz w:val="32"/>
      <w:szCs w:val="32"/>
    </w:rPr>
  </w:style>
  <w:style w:type="character" w:styleId="Refdecomentario">
    <w:name w:val="annotation reference"/>
    <w:basedOn w:val="Fuentedeprrafopredeter"/>
    <w:uiPriority w:val="99"/>
    <w:semiHidden/>
    <w:unhideWhenUsed/>
    <w:rsid w:val="003F7828"/>
    <w:rPr>
      <w:sz w:val="16"/>
      <w:szCs w:val="16"/>
    </w:rPr>
  </w:style>
  <w:style w:type="paragraph" w:styleId="Textocomentario">
    <w:name w:val="annotation text"/>
    <w:basedOn w:val="Normal"/>
    <w:link w:val="TextocomentarioCar"/>
    <w:uiPriority w:val="99"/>
    <w:unhideWhenUsed/>
    <w:rsid w:val="003F7828"/>
    <w:pPr>
      <w:spacing w:line="240" w:lineRule="auto"/>
    </w:pPr>
    <w:rPr>
      <w:sz w:val="20"/>
      <w:szCs w:val="20"/>
    </w:rPr>
  </w:style>
  <w:style w:type="character" w:customStyle="1" w:styleId="TextocomentarioCar">
    <w:name w:val="Texto comentario Car"/>
    <w:basedOn w:val="Fuentedeprrafopredeter"/>
    <w:link w:val="Textocomentario"/>
    <w:uiPriority w:val="99"/>
    <w:rsid w:val="003F7828"/>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F7828"/>
    <w:rPr>
      <w:b/>
      <w:bCs/>
    </w:rPr>
  </w:style>
  <w:style w:type="character" w:customStyle="1" w:styleId="AsuntodelcomentarioCar">
    <w:name w:val="Asunto del comentario Car"/>
    <w:basedOn w:val="TextocomentarioCar"/>
    <w:link w:val="Asuntodelcomentario"/>
    <w:uiPriority w:val="99"/>
    <w:semiHidden/>
    <w:rsid w:val="003F7828"/>
    <w:rPr>
      <w:rFonts w:ascii="Arial" w:hAnsi="Arial"/>
      <w:b/>
      <w:bCs/>
      <w:sz w:val="20"/>
      <w:szCs w:val="20"/>
    </w:rPr>
  </w:style>
  <w:style w:type="paragraph" w:styleId="NormalWeb">
    <w:name w:val="Normal (Web)"/>
    <w:basedOn w:val="Normal"/>
    <w:uiPriority w:val="99"/>
    <w:unhideWhenUsed/>
    <w:rsid w:val="008E156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styleId="Textonotapie">
    <w:name w:val="footnote text"/>
    <w:aliases w:val="Ref. de nota al pie1,Texto de nota al pie,Footnotes refss,referencia nota al pie,BVI fnr,Ref. de nota al pie 2,Footnote Text Char Char Char Char,Footnote Text Char Char Char Char Char Char Char Char,FA Fu,Footnote Text Char"/>
    <w:basedOn w:val="Normal"/>
    <w:link w:val="TextonotapieCar"/>
    <w:semiHidden/>
    <w:unhideWhenUsed/>
    <w:rsid w:val="00C16933"/>
    <w:pPr>
      <w:spacing w:after="0" w:line="240" w:lineRule="auto"/>
    </w:pPr>
    <w:rPr>
      <w:sz w:val="20"/>
      <w:szCs w:val="20"/>
    </w:rPr>
  </w:style>
  <w:style w:type="character" w:customStyle="1" w:styleId="TextonotapieCar">
    <w:name w:val="Texto nota pie Car"/>
    <w:aliases w:val="Ref. de nota al pie1 Car,Texto de nota al pie Car,Footnotes refss Car,referencia nota al pie Car,BVI fnr Car,Ref. de nota al pie 2 Car,Footnote Text Char Char Char Char Car,Footnote Text Char Char Char Char Char Char Char Char Car"/>
    <w:basedOn w:val="Fuentedeprrafopredeter"/>
    <w:link w:val="Textonotapie"/>
    <w:semiHidden/>
    <w:rsid w:val="00C16933"/>
    <w:rPr>
      <w:rFonts w:ascii="Arial" w:hAnsi="Arial"/>
      <w:sz w:val="20"/>
      <w:szCs w:val="20"/>
    </w:rPr>
  </w:style>
  <w:style w:type="character" w:styleId="Refdenotaalpie">
    <w:name w:val="footnote reference"/>
    <w:basedOn w:val="Fuentedeprrafopredeter"/>
    <w:uiPriority w:val="99"/>
    <w:semiHidden/>
    <w:unhideWhenUsed/>
    <w:rsid w:val="00C16933"/>
    <w:rPr>
      <w:vertAlign w:val="superscript"/>
    </w:rPr>
  </w:style>
  <w:style w:type="table" w:styleId="Tablaconcuadrcula">
    <w:name w:val="Table Grid"/>
    <w:basedOn w:val="Tablanormal"/>
    <w:uiPriority w:val="39"/>
    <w:rsid w:val="00E24E49"/>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370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7058"/>
    <w:rPr>
      <w:rFonts w:ascii="Segoe UI" w:hAnsi="Segoe UI" w:cs="Segoe UI"/>
      <w:sz w:val="18"/>
      <w:szCs w:val="18"/>
    </w:rPr>
  </w:style>
  <w:style w:type="character" w:styleId="Hipervnculo">
    <w:name w:val="Hyperlink"/>
    <w:basedOn w:val="Fuentedeprrafopredeter"/>
    <w:uiPriority w:val="99"/>
    <w:unhideWhenUsed/>
    <w:rsid w:val="007419D5"/>
    <w:rPr>
      <w:color w:val="0563C1" w:themeColor="hyperlink"/>
      <w:u w:val="single"/>
    </w:rPr>
  </w:style>
  <w:style w:type="character" w:customStyle="1" w:styleId="Mencinsinresolver1">
    <w:name w:val="Mención sin resolver1"/>
    <w:basedOn w:val="Fuentedeprrafopredeter"/>
    <w:uiPriority w:val="99"/>
    <w:semiHidden/>
    <w:unhideWhenUsed/>
    <w:rsid w:val="007419D5"/>
    <w:rPr>
      <w:color w:val="605E5C"/>
      <w:shd w:val="clear" w:color="auto" w:fill="E1DFDD"/>
    </w:rPr>
  </w:style>
  <w:style w:type="character" w:customStyle="1" w:styleId="font71">
    <w:name w:val="font71"/>
    <w:basedOn w:val="Fuentedeprrafopredeter"/>
    <w:rsid w:val="00CD5A96"/>
    <w:rPr>
      <w:rFonts w:ascii="Arial Narrow" w:hAnsi="Arial Narrow" w:hint="default"/>
      <w:b/>
      <w:bCs/>
      <w:i/>
      <w:iCs/>
      <w:strike w:val="0"/>
      <w:dstrike w:val="0"/>
      <w:color w:val="FFFFFF"/>
      <w:sz w:val="20"/>
      <w:szCs w:val="20"/>
      <w:u w:val="none"/>
      <w:effect w:val="none"/>
    </w:rPr>
  </w:style>
  <w:style w:type="paragraph" w:styleId="Revisin">
    <w:name w:val="Revision"/>
    <w:hidden/>
    <w:uiPriority w:val="99"/>
    <w:semiHidden/>
    <w:rsid w:val="0026357D"/>
    <w:pPr>
      <w:spacing w:after="0" w:line="240" w:lineRule="auto"/>
    </w:pPr>
    <w:rPr>
      <w:rFonts w:ascii="Arial" w:hAnsi="Arial"/>
    </w:rPr>
  </w:style>
  <w:style w:type="character" w:customStyle="1" w:styleId="Mencinsinresolver2">
    <w:name w:val="Mención sin resolver2"/>
    <w:basedOn w:val="Fuentedeprrafopredeter"/>
    <w:uiPriority w:val="99"/>
    <w:semiHidden/>
    <w:unhideWhenUsed/>
    <w:rsid w:val="00D00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8153">
      <w:bodyDiv w:val="1"/>
      <w:marLeft w:val="0"/>
      <w:marRight w:val="0"/>
      <w:marTop w:val="0"/>
      <w:marBottom w:val="0"/>
      <w:divBdr>
        <w:top w:val="none" w:sz="0" w:space="0" w:color="auto"/>
        <w:left w:val="none" w:sz="0" w:space="0" w:color="auto"/>
        <w:bottom w:val="none" w:sz="0" w:space="0" w:color="auto"/>
        <w:right w:val="none" w:sz="0" w:space="0" w:color="auto"/>
      </w:divBdr>
    </w:div>
    <w:div w:id="73019658">
      <w:bodyDiv w:val="1"/>
      <w:marLeft w:val="0"/>
      <w:marRight w:val="0"/>
      <w:marTop w:val="0"/>
      <w:marBottom w:val="0"/>
      <w:divBdr>
        <w:top w:val="none" w:sz="0" w:space="0" w:color="auto"/>
        <w:left w:val="none" w:sz="0" w:space="0" w:color="auto"/>
        <w:bottom w:val="none" w:sz="0" w:space="0" w:color="auto"/>
        <w:right w:val="none" w:sz="0" w:space="0" w:color="auto"/>
      </w:divBdr>
    </w:div>
    <w:div w:id="151482326">
      <w:bodyDiv w:val="1"/>
      <w:marLeft w:val="0"/>
      <w:marRight w:val="0"/>
      <w:marTop w:val="0"/>
      <w:marBottom w:val="0"/>
      <w:divBdr>
        <w:top w:val="none" w:sz="0" w:space="0" w:color="auto"/>
        <w:left w:val="none" w:sz="0" w:space="0" w:color="auto"/>
        <w:bottom w:val="none" w:sz="0" w:space="0" w:color="auto"/>
        <w:right w:val="none" w:sz="0" w:space="0" w:color="auto"/>
      </w:divBdr>
    </w:div>
    <w:div w:id="210919768">
      <w:bodyDiv w:val="1"/>
      <w:marLeft w:val="0"/>
      <w:marRight w:val="0"/>
      <w:marTop w:val="0"/>
      <w:marBottom w:val="0"/>
      <w:divBdr>
        <w:top w:val="none" w:sz="0" w:space="0" w:color="auto"/>
        <w:left w:val="none" w:sz="0" w:space="0" w:color="auto"/>
        <w:bottom w:val="none" w:sz="0" w:space="0" w:color="auto"/>
        <w:right w:val="none" w:sz="0" w:space="0" w:color="auto"/>
      </w:divBdr>
    </w:div>
    <w:div w:id="221184020">
      <w:bodyDiv w:val="1"/>
      <w:marLeft w:val="0"/>
      <w:marRight w:val="0"/>
      <w:marTop w:val="0"/>
      <w:marBottom w:val="0"/>
      <w:divBdr>
        <w:top w:val="none" w:sz="0" w:space="0" w:color="auto"/>
        <w:left w:val="none" w:sz="0" w:space="0" w:color="auto"/>
        <w:bottom w:val="none" w:sz="0" w:space="0" w:color="auto"/>
        <w:right w:val="none" w:sz="0" w:space="0" w:color="auto"/>
      </w:divBdr>
    </w:div>
    <w:div w:id="354161702">
      <w:bodyDiv w:val="1"/>
      <w:marLeft w:val="0"/>
      <w:marRight w:val="0"/>
      <w:marTop w:val="0"/>
      <w:marBottom w:val="0"/>
      <w:divBdr>
        <w:top w:val="none" w:sz="0" w:space="0" w:color="auto"/>
        <w:left w:val="none" w:sz="0" w:space="0" w:color="auto"/>
        <w:bottom w:val="none" w:sz="0" w:space="0" w:color="auto"/>
        <w:right w:val="none" w:sz="0" w:space="0" w:color="auto"/>
      </w:divBdr>
    </w:div>
    <w:div w:id="440151333">
      <w:bodyDiv w:val="1"/>
      <w:marLeft w:val="0"/>
      <w:marRight w:val="0"/>
      <w:marTop w:val="0"/>
      <w:marBottom w:val="0"/>
      <w:divBdr>
        <w:top w:val="none" w:sz="0" w:space="0" w:color="auto"/>
        <w:left w:val="none" w:sz="0" w:space="0" w:color="auto"/>
        <w:bottom w:val="none" w:sz="0" w:space="0" w:color="auto"/>
        <w:right w:val="none" w:sz="0" w:space="0" w:color="auto"/>
      </w:divBdr>
    </w:div>
    <w:div w:id="451367498">
      <w:bodyDiv w:val="1"/>
      <w:marLeft w:val="0"/>
      <w:marRight w:val="0"/>
      <w:marTop w:val="0"/>
      <w:marBottom w:val="0"/>
      <w:divBdr>
        <w:top w:val="none" w:sz="0" w:space="0" w:color="auto"/>
        <w:left w:val="none" w:sz="0" w:space="0" w:color="auto"/>
        <w:bottom w:val="none" w:sz="0" w:space="0" w:color="auto"/>
        <w:right w:val="none" w:sz="0" w:space="0" w:color="auto"/>
      </w:divBdr>
      <w:divsChild>
        <w:div w:id="501050159">
          <w:marLeft w:val="0"/>
          <w:marRight w:val="0"/>
          <w:marTop w:val="0"/>
          <w:marBottom w:val="0"/>
          <w:divBdr>
            <w:top w:val="none" w:sz="0" w:space="0" w:color="auto"/>
            <w:left w:val="none" w:sz="0" w:space="0" w:color="auto"/>
            <w:bottom w:val="none" w:sz="0" w:space="0" w:color="auto"/>
            <w:right w:val="none" w:sz="0" w:space="0" w:color="auto"/>
          </w:divBdr>
        </w:div>
      </w:divsChild>
    </w:div>
    <w:div w:id="476998163">
      <w:bodyDiv w:val="1"/>
      <w:marLeft w:val="0"/>
      <w:marRight w:val="0"/>
      <w:marTop w:val="0"/>
      <w:marBottom w:val="0"/>
      <w:divBdr>
        <w:top w:val="none" w:sz="0" w:space="0" w:color="auto"/>
        <w:left w:val="none" w:sz="0" w:space="0" w:color="auto"/>
        <w:bottom w:val="none" w:sz="0" w:space="0" w:color="auto"/>
        <w:right w:val="none" w:sz="0" w:space="0" w:color="auto"/>
      </w:divBdr>
    </w:div>
    <w:div w:id="512693872">
      <w:bodyDiv w:val="1"/>
      <w:marLeft w:val="0"/>
      <w:marRight w:val="0"/>
      <w:marTop w:val="0"/>
      <w:marBottom w:val="0"/>
      <w:divBdr>
        <w:top w:val="none" w:sz="0" w:space="0" w:color="auto"/>
        <w:left w:val="none" w:sz="0" w:space="0" w:color="auto"/>
        <w:bottom w:val="none" w:sz="0" w:space="0" w:color="auto"/>
        <w:right w:val="none" w:sz="0" w:space="0" w:color="auto"/>
      </w:divBdr>
    </w:div>
    <w:div w:id="559363153">
      <w:bodyDiv w:val="1"/>
      <w:marLeft w:val="0"/>
      <w:marRight w:val="0"/>
      <w:marTop w:val="0"/>
      <w:marBottom w:val="0"/>
      <w:divBdr>
        <w:top w:val="none" w:sz="0" w:space="0" w:color="auto"/>
        <w:left w:val="none" w:sz="0" w:space="0" w:color="auto"/>
        <w:bottom w:val="none" w:sz="0" w:space="0" w:color="auto"/>
        <w:right w:val="none" w:sz="0" w:space="0" w:color="auto"/>
      </w:divBdr>
    </w:div>
    <w:div w:id="658385551">
      <w:bodyDiv w:val="1"/>
      <w:marLeft w:val="0"/>
      <w:marRight w:val="0"/>
      <w:marTop w:val="0"/>
      <w:marBottom w:val="0"/>
      <w:divBdr>
        <w:top w:val="none" w:sz="0" w:space="0" w:color="auto"/>
        <w:left w:val="none" w:sz="0" w:space="0" w:color="auto"/>
        <w:bottom w:val="none" w:sz="0" w:space="0" w:color="auto"/>
        <w:right w:val="none" w:sz="0" w:space="0" w:color="auto"/>
      </w:divBdr>
    </w:div>
    <w:div w:id="664556552">
      <w:bodyDiv w:val="1"/>
      <w:marLeft w:val="0"/>
      <w:marRight w:val="0"/>
      <w:marTop w:val="0"/>
      <w:marBottom w:val="0"/>
      <w:divBdr>
        <w:top w:val="none" w:sz="0" w:space="0" w:color="auto"/>
        <w:left w:val="none" w:sz="0" w:space="0" w:color="auto"/>
        <w:bottom w:val="none" w:sz="0" w:space="0" w:color="auto"/>
        <w:right w:val="none" w:sz="0" w:space="0" w:color="auto"/>
      </w:divBdr>
    </w:div>
    <w:div w:id="669910621">
      <w:bodyDiv w:val="1"/>
      <w:marLeft w:val="0"/>
      <w:marRight w:val="0"/>
      <w:marTop w:val="0"/>
      <w:marBottom w:val="0"/>
      <w:divBdr>
        <w:top w:val="none" w:sz="0" w:space="0" w:color="auto"/>
        <w:left w:val="none" w:sz="0" w:space="0" w:color="auto"/>
        <w:bottom w:val="none" w:sz="0" w:space="0" w:color="auto"/>
        <w:right w:val="none" w:sz="0" w:space="0" w:color="auto"/>
      </w:divBdr>
    </w:div>
    <w:div w:id="672415901">
      <w:bodyDiv w:val="1"/>
      <w:marLeft w:val="0"/>
      <w:marRight w:val="0"/>
      <w:marTop w:val="0"/>
      <w:marBottom w:val="0"/>
      <w:divBdr>
        <w:top w:val="none" w:sz="0" w:space="0" w:color="auto"/>
        <w:left w:val="none" w:sz="0" w:space="0" w:color="auto"/>
        <w:bottom w:val="none" w:sz="0" w:space="0" w:color="auto"/>
        <w:right w:val="none" w:sz="0" w:space="0" w:color="auto"/>
      </w:divBdr>
    </w:div>
    <w:div w:id="815681682">
      <w:bodyDiv w:val="1"/>
      <w:marLeft w:val="0"/>
      <w:marRight w:val="0"/>
      <w:marTop w:val="0"/>
      <w:marBottom w:val="0"/>
      <w:divBdr>
        <w:top w:val="none" w:sz="0" w:space="0" w:color="auto"/>
        <w:left w:val="none" w:sz="0" w:space="0" w:color="auto"/>
        <w:bottom w:val="none" w:sz="0" w:space="0" w:color="auto"/>
        <w:right w:val="none" w:sz="0" w:space="0" w:color="auto"/>
      </w:divBdr>
    </w:div>
    <w:div w:id="881864744">
      <w:bodyDiv w:val="1"/>
      <w:marLeft w:val="0"/>
      <w:marRight w:val="0"/>
      <w:marTop w:val="0"/>
      <w:marBottom w:val="0"/>
      <w:divBdr>
        <w:top w:val="none" w:sz="0" w:space="0" w:color="auto"/>
        <w:left w:val="none" w:sz="0" w:space="0" w:color="auto"/>
        <w:bottom w:val="none" w:sz="0" w:space="0" w:color="auto"/>
        <w:right w:val="none" w:sz="0" w:space="0" w:color="auto"/>
      </w:divBdr>
    </w:div>
    <w:div w:id="918952455">
      <w:bodyDiv w:val="1"/>
      <w:marLeft w:val="0"/>
      <w:marRight w:val="0"/>
      <w:marTop w:val="0"/>
      <w:marBottom w:val="0"/>
      <w:divBdr>
        <w:top w:val="none" w:sz="0" w:space="0" w:color="auto"/>
        <w:left w:val="none" w:sz="0" w:space="0" w:color="auto"/>
        <w:bottom w:val="none" w:sz="0" w:space="0" w:color="auto"/>
        <w:right w:val="none" w:sz="0" w:space="0" w:color="auto"/>
      </w:divBdr>
    </w:div>
    <w:div w:id="973406489">
      <w:bodyDiv w:val="1"/>
      <w:marLeft w:val="0"/>
      <w:marRight w:val="0"/>
      <w:marTop w:val="0"/>
      <w:marBottom w:val="0"/>
      <w:divBdr>
        <w:top w:val="none" w:sz="0" w:space="0" w:color="auto"/>
        <w:left w:val="none" w:sz="0" w:space="0" w:color="auto"/>
        <w:bottom w:val="none" w:sz="0" w:space="0" w:color="auto"/>
        <w:right w:val="none" w:sz="0" w:space="0" w:color="auto"/>
      </w:divBdr>
    </w:div>
    <w:div w:id="1019695846">
      <w:bodyDiv w:val="1"/>
      <w:marLeft w:val="0"/>
      <w:marRight w:val="0"/>
      <w:marTop w:val="0"/>
      <w:marBottom w:val="0"/>
      <w:divBdr>
        <w:top w:val="none" w:sz="0" w:space="0" w:color="auto"/>
        <w:left w:val="none" w:sz="0" w:space="0" w:color="auto"/>
        <w:bottom w:val="none" w:sz="0" w:space="0" w:color="auto"/>
        <w:right w:val="none" w:sz="0" w:space="0" w:color="auto"/>
      </w:divBdr>
    </w:div>
    <w:div w:id="1037435264">
      <w:bodyDiv w:val="1"/>
      <w:marLeft w:val="0"/>
      <w:marRight w:val="0"/>
      <w:marTop w:val="0"/>
      <w:marBottom w:val="0"/>
      <w:divBdr>
        <w:top w:val="none" w:sz="0" w:space="0" w:color="auto"/>
        <w:left w:val="none" w:sz="0" w:space="0" w:color="auto"/>
        <w:bottom w:val="none" w:sz="0" w:space="0" w:color="auto"/>
        <w:right w:val="none" w:sz="0" w:space="0" w:color="auto"/>
      </w:divBdr>
    </w:div>
    <w:div w:id="1084642122">
      <w:bodyDiv w:val="1"/>
      <w:marLeft w:val="0"/>
      <w:marRight w:val="0"/>
      <w:marTop w:val="0"/>
      <w:marBottom w:val="0"/>
      <w:divBdr>
        <w:top w:val="none" w:sz="0" w:space="0" w:color="auto"/>
        <w:left w:val="none" w:sz="0" w:space="0" w:color="auto"/>
        <w:bottom w:val="none" w:sz="0" w:space="0" w:color="auto"/>
        <w:right w:val="none" w:sz="0" w:space="0" w:color="auto"/>
      </w:divBdr>
    </w:div>
    <w:div w:id="1164517035">
      <w:bodyDiv w:val="1"/>
      <w:marLeft w:val="0"/>
      <w:marRight w:val="0"/>
      <w:marTop w:val="0"/>
      <w:marBottom w:val="0"/>
      <w:divBdr>
        <w:top w:val="none" w:sz="0" w:space="0" w:color="auto"/>
        <w:left w:val="none" w:sz="0" w:space="0" w:color="auto"/>
        <w:bottom w:val="none" w:sz="0" w:space="0" w:color="auto"/>
        <w:right w:val="none" w:sz="0" w:space="0" w:color="auto"/>
      </w:divBdr>
    </w:div>
    <w:div w:id="1227179759">
      <w:bodyDiv w:val="1"/>
      <w:marLeft w:val="0"/>
      <w:marRight w:val="0"/>
      <w:marTop w:val="0"/>
      <w:marBottom w:val="0"/>
      <w:divBdr>
        <w:top w:val="none" w:sz="0" w:space="0" w:color="auto"/>
        <w:left w:val="none" w:sz="0" w:space="0" w:color="auto"/>
        <w:bottom w:val="none" w:sz="0" w:space="0" w:color="auto"/>
        <w:right w:val="none" w:sz="0" w:space="0" w:color="auto"/>
      </w:divBdr>
      <w:divsChild>
        <w:div w:id="1796482474">
          <w:marLeft w:val="0"/>
          <w:marRight w:val="0"/>
          <w:marTop w:val="0"/>
          <w:marBottom w:val="0"/>
          <w:divBdr>
            <w:top w:val="none" w:sz="0" w:space="0" w:color="auto"/>
            <w:left w:val="none" w:sz="0" w:space="0" w:color="auto"/>
            <w:bottom w:val="none" w:sz="0" w:space="0" w:color="auto"/>
            <w:right w:val="none" w:sz="0" w:space="0" w:color="auto"/>
          </w:divBdr>
          <w:divsChild>
            <w:div w:id="1670909115">
              <w:marLeft w:val="0"/>
              <w:marRight w:val="0"/>
              <w:marTop w:val="0"/>
              <w:marBottom w:val="0"/>
              <w:divBdr>
                <w:top w:val="none" w:sz="0" w:space="0" w:color="auto"/>
                <w:left w:val="none" w:sz="0" w:space="0" w:color="auto"/>
                <w:bottom w:val="none" w:sz="0" w:space="0" w:color="auto"/>
                <w:right w:val="none" w:sz="0" w:space="0" w:color="auto"/>
              </w:divBdr>
            </w:div>
          </w:divsChild>
        </w:div>
        <w:div w:id="305428968">
          <w:marLeft w:val="0"/>
          <w:marRight w:val="0"/>
          <w:marTop w:val="0"/>
          <w:marBottom w:val="0"/>
          <w:divBdr>
            <w:top w:val="none" w:sz="0" w:space="0" w:color="auto"/>
            <w:left w:val="none" w:sz="0" w:space="0" w:color="auto"/>
            <w:bottom w:val="none" w:sz="0" w:space="0" w:color="auto"/>
            <w:right w:val="none" w:sz="0" w:space="0" w:color="auto"/>
          </w:divBdr>
          <w:divsChild>
            <w:div w:id="229465852">
              <w:marLeft w:val="0"/>
              <w:marRight w:val="0"/>
              <w:marTop w:val="0"/>
              <w:marBottom w:val="0"/>
              <w:divBdr>
                <w:top w:val="none" w:sz="0" w:space="0" w:color="auto"/>
                <w:left w:val="none" w:sz="0" w:space="0" w:color="auto"/>
                <w:bottom w:val="none" w:sz="0" w:space="0" w:color="auto"/>
                <w:right w:val="none" w:sz="0" w:space="0" w:color="auto"/>
              </w:divBdr>
            </w:div>
          </w:divsChild>
        </w:div>
        <w:div w:id="392854778">
          <w:marLeft w:val="0"/>
          <w:marRight w:val="0"/>
          <w:marTop w:val="0"/>
          <w:marBottom w:val="0"/>
          <w:divBdr>
            <w:top w:val="none" w:sz="0" w:space="0" w:color="auto"/>
            <w:left w:val="none" w:sz="0" w:space="0" w:color="auto"/>
            <w:bottom w:val="none" w:sz="0" w:space="0" w:color="auto"/>
            <w:right w:val="none" w:sz="0" w:space="0" w:color="auto"/>
          </w:divBdr>
          <w:divsChild>
            <w:div w:id="1751270746">
              <w:marLeft w:val="0"/>
              <w:marRight w:val="0"/>
              <w:marTop w:val="0"/>
              <w:marBottom w:val="0"/>
              <w:divBdr>
                <w:top w:val="none" w:sz="0" w:space="0" w:color="auto"/>
                <w:left w:val="none" w:sz="0" w:space="0" w:color="auto"/>
                <w:bottom w:val="none" w:sz="0" w:space="0" w:color="auto"/>
                <w:right w:val="none" w:sz="0" w:space="0" w:color="auto"/>
              </w:divBdr>
            </w:div>
          </w:divsChild>
        </w:div>
        <w:div w:id="1779568810">
          <w:marLeft w:val="0"/>
          <w:marRight w:val="0"/>
          <w:marTop w:val="0"/>
          <w:marBottom w:val="0"/>
          <w:divBdr>
            <w:top w:val="none" w:sz="0" w:space="0" w:color="auto"/>
            <w:left w:val="none" w:sz="0" w:space="0" w:color="auto"/>
            <w:bottom w:val="none" w:sz="0" w:space="0" w:color="auto"/>
            <w:right w:val="none" w:sz="0" w:space="0" w:color="auto"/>
          </w:divBdr>
          <w:divsChild>
            <w:div w:id="559443575">
              <w:marLeft w:val="0"/>
              <w:marRight w:val="0"/>
              <w:marTop w:val="0"/>
              <w:marBottom w:val="0"/>
              <w:divBdr>
                <w:top w:val="none" w:sz="0" w:space="0" w:color="auto"/>
                <w:left w:val="none" w:sz="0" w:space="0" w:color="auto"/>
                <w:bottom w:val="none" w:sz="0" w:space="0" w:color="auto"/>
                <w:right w:val="none" w:sz="0" w:space="0" w:color="auto"/>
              </w:divBdr>
            </w:div>
          </w:divsChild>
        </w:div>
        <w:div w:id="2126191296">
          <w:marLeft w:val="0"/>
          <w:marRight w:val="0"/>
          <w:marTop w:val="0"/>
          <w:marBottom w:val="0"/>
          <w:divBdr>
            <w:top w:val="none" w:sz="0" w:space="0" w:color="auto"/>
            <w:left w:val="none" w:sz="0" w:space="0" w:color="auto"/>
            <w:bottom w:val="none" w:sz="0" w:space="0" w:color="auto"/>
            <w:right w:val="none" w:sz="0" w:space="0" w:color="auto"/>
          </w:divBdr>
          <w:divsChild>
            <w:div w:id="1430809307">
              <w:marLeft w:val="0"/>
              <w:marRight w:val="0"/>
              <w:marTop w:val="0"/>
              <w:marBottom w:val="0"/>
              <w:divBdr>
                <w:top w:val="none" w:sz="0" w:space="0" w:color="auto"/>
                <w:left w:val="none" w:sz="0" w:space="0" w:color="auto"/>
                <w:bottom w:val="none" w:sz="0" w:space="0" w:color="auto"/>
                <w:right w:val="none" w:sz="0" w:space="0" w:color="auto"/>
              </w:divBdr>
            </w:div>
          </w:divsChild>
        </w:div>
        <w:div w:id="71052879">
          <w:marLeft w:val="0"/>
          <w:marRight w:val="0"/>
          <w:marTop w:val="0"/>
          <w:marBottom w:val="0"/>
          <w:divBdr>
            <w:top w:val="none" w:sz="0" w:space="0" w:color="auto"/>
            <w:left w:val="none" w:sz="0" w:space="0" w:color="auto"/>
            <w:bottom w:val="none" w:sz="0" w:space="0" w:color="auto"/>
            <w:right w:val="none" w:sz="0" w:space="0" w:color="auto"/>
          </w:divBdr>
          <w:divsChild>
            <w:div w:id="1052077067">
              <w:marLeft w:val="0"/>
              <w:marRight w:val="0"/>
              <w:marTop w:val="0"/>
              <w:marBottom w:val="0"/>
              <w:divBdr>
                <w:top w:val="none" w:sz="0" w:space="0" w:color="auto"/>
                <w:left w:val="none" w:sz="0" w:space="0" w:color="auto"/>
                <w:bottom w:val="none" w:sz="0" w:space="0" w:color="auto"/>
                <w:right w:val="none" w:sz="0" w:space="0" w:color="auto"/>
              </w:divBdr>
            </w:div>
          </w:divsChild>
        </w:div>
        <w:div w:id="1062367758">
          <w:marLeft w:val="0"/>
          <w:marRight w:val="0"/>
          <w:marTop w:val="0"/>
          <w:marBottom w:val="0"/>
          <w:divBdr>
            <w:top w:val="none" w:sz="0" w:space="0" w:color="auto"/>
            <w:left w:val="none" w:sz="0" w:space="0" w:color="auto"/>
            <w:bottom w:val="none" w:sz="0" w:space="0" w:color="auto"/>
            <w:right w:val="none" w:sz="0" w:space="0" w:color="auto"/>
          </w:divBdr>
          <w:divsChild>
            <w:div w:id="683825573">
              <w:marLeft w:val="0"/>
              <w:marRight w:val="0"/>
              <w:marTop w:val="0"/>
              <w:marBottom w:val="0"/>
              <w:divBdr>
                <w:top w:val="none" w:sz="0" w:space="0" w:color="auto"/>
                <w:left w:val="none" w:sz="0" w:space="0" w:color="auto"/>
                <w:bottom w:val="none" w:sz="0" w:space="0" w:color="auto"/>
                <w:right w:val="none" w:sz="0" w:space="0" w:color="auto"/>
              </w:divBdr>
            </w:div>
          </w:divsChild>
        </w:div>
        <w:div w:id="2058123731">
          <w:marLeft w:val="0"/>
          <w:marRight w:val="0"/>
          <w:marTop w:val="0"/>
          <w:marBottom w:val="0"/>
          <w:divBdr>
            <w:top w:val="none" w:sz="0" w:space="0" w:color="auto"/>
            <w:left w:val="none" w:sz="0" w:space="0" w:color="auto"/>
            <w:bottom w:val="none" w:sz="0" w:space="0" w:color="auto"/>
            <w:right w:val="none" w:sz="0" w:space="0" w:color="auto"/>
          </w:divBdr>
          <w:divsChild>
            <w:div w:id="7656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71222">
      <w:bodyDiv w:val="1"/>
      <w:marLeft w:val="0"/>
      <w:marRight w:val="0"/>
      <w:marTop w:val="0"/>
      <w:marBottom w:val="0"/>
      <w:divBdr>
        <w:top w:val="none" w:sz="0" w:space="0" w:color="auto"/>
        <w:left w:val="none" w:sz="0" w:space="0" w:color="auto"/>
        <w:bottom w:val="none" w:sz="0" w:space="0" w:color="auto"/>
        <w:right w:val="none" w:sz="0" w:space="0" w:color="auto"/>
      </w:divBdr>
    </w:div>
    <w:div w:id="1306668836">
      <w:bodyDiv w:val="1"/>
      <w:marLeft w:val="0"/>
      <w:marRight w:val="0"/>
      <w:marTop w:val="0"/>
      <w:marBottom w:val="0"/>
      <w:divBdr>
        <w:top w:val="none" w:sz="0" w:space="0" w:color="auto"/>
        <w:left w:val="none" w:sz="0" w:space="0" w:color="auto"/>
        <w:bottom w:val="none" w:sz="0" w:space="0" w:color="auto"/>
        <w:right w:val="none" w:sz="0" w:space="0" w:color="auto"/>
      </w:divBdr>
    </w:div>
    <w:div w:id="1387484341">
      <w:bodyDiv w:val="1"/>
      <w:marLeft w:val="0"/>
      <w:marRight w:val="0"/>
      <w:marTop w:val="0"/>
      <w:marBottom w:val="0"/>
      <w:divBdr>
        <w:top w:val="none" w:sz="0" w:space="0" w:color="auto"/>
        <w:left w:val="none" w:sz="0" w:space="0" w:color="auto"/>
        <w:bottom w:val="none" w:sz="0" w:space="0" w:color="auto"/>
        <w:right w:val="none" w:sz="0" w:space="0" w:color="auto"/>
      </w:divBdr>
    </w:div>
    <w:div w:id="1419254101">
      <w:bodyDiv w:val="1"/>
      <w:marLeft w:val="0"/>
      <w:marRight w:val="0"/>
      <w:marTop w:val="0"/>
      <w:marBottom w:val="0"/>
      <w:divBdr>
        <w:top w:val="none" w:sz="0" w:space="0" w:color="auto"/>
        <w:left w:val="none" w:sz="0" w:space="0" w:color="auto"/>
        <w:bottom w:val="none" w:sz="0" w:space="0" w:color="auto"/>
        <w:right w:val="none" w:sz="0" w:space="0" w:color="auto"/>
      </w:divBdr>
    </w:div>
    <w:div w:id="1465467362">
      <w:bodyDiv w:val="1"/>
      <w:marLeft w:val="0"/>
      <w:marRight w:val="0"/>
      <w:marTop w:val="0"/>
      <w:marBottom w:val="0"/>
      <w:divBdr>
        <w:top w:val="none" w:sz="0" w:space="0" w:color="auto"/>
        <w:left w:val="none" w:sz="0" w:space="0" w:color="auto"/>
        <w:bottom w:val="none" w:sz="0" w:space="0" w:color="auto"/>
        <w:right w:val="none" w:sz="0" w:space="0" w:color="auto"/>
      </w:divBdr>
    </w:div>
    <w:div w:id="1474712256">
      <w:bodyDiv w:val="1"/>
      <w:marLeft w:val="0"/>
      <w:marRight w:val="0"/>
      <w:marTop w:val="0"/>
      <w:marBottom w:val="0"/>
      <w:divBdr>
        <w:top w:val="none" w:sz="0" w:space="0" w:color="auto"/>
        <w:left w:val="none" w:sz="0" w:space="0" w:color="auto"/>
        <w:bottom w:val="none" w:sz="0" w:space="0" w:color="auto"/>
        <w:right w:val="none" w:sz="0" w:space="0" w:color="auto"/>
      </w:divBdr>
      <w:divsChild>
        <w:div w:id="684985856">
          <w:marLeft w:val="0"/>
          <w:marRight w:val="0"/>
          <w:marTop w:val="0"/>
          <w:marBottom w:val="0"/>
          <w:divBdr>
            <w:top w:val="none" w:sz="0" w:space="0" w:color="auto"/>
            <w:left w:val="none" w:sz="0" w:space="0" w:color="auto"/>
            <w:bottom w:val="none" w:sz="0" w:space="0" w:color="auto"/>
            <w:right w:val="none" w:sz="0" w:space="0" w:color="auto"/>
          </w:divBdr>
        </w:div>
        <w:div w:id="412967331">
          <w:marLeft w:val="0"/>
          <w:marRight w:val="0"/>
          <w:marTop w:val="0"/>
          <w:marBottom w:val="0"/>
          <w:divBdr>
            <w:top w:val="none" w:sz="0" w:space="0" w:color="auto"/>
            <w:left w:val="none" w:sz="0" w:space="0" w:color="auto"/>
            <w:bottom w:val="none" w:sz="0" w:space="0" w:color="auto"/>
            <w:right w:val="none" w:sz="0" w:space="0" w:color="auto"/>
          </w:divBdr>
        </w:div>
        <w:div w:id="1065448797">
          <w:marLeft w:val="0"/>
          <w:marRight w:val="0"/>
          <w:marTop w:val="0"/>
          <w:marBottom w:val="0"/>
          <w:divBdr>
            <w:top w:val="none" w:sz="0" w:space="0" w:color="auto"/>
            <w:left w:val="none" w:sz="0" w:space="0" w:color="auto"/>
            <w:bottom w:val="none" w:sz="0" w:space="0" w:color="auto"/>
            <w:right w:val="none" w:sz="0" w:space="0" w:color="auto"/>
          </w:divBdr>
        </w:div>
        <w:div w:id="459880648">
          <w:marLeft w:val="0"/>
          <w:marRight w:val="0"/>
          <w:marTop w:val="0"/>
          <w:marBottom w:val="0"/>
          <w:divBdr>
            <w:top w:val="none" w:sz="0" w:space="0" w:color="auto"/>
            <w:left w:val="none" w:sz="0" w:space="0" w:color="auto"/>
            <w:bottom w:val="none" w:sz="0" w:space="0" w:color="auto"/>
            <w:right w:val="none" w:sz="0" w:space="0" w:color="auto"/>
          </w:divBdr>
        </w:div>
      </w:divsChild>
    </w:div>
    <w:div w:id="1501894933">
      <w:bodyDiv w:val="1"/>
      <w:marLeft w:val="0"/>
      <w:marRight w:val="0"/>
      <w:marTop w:val="0"/>
      <w:marBottom w:val="0"/>
      <w:divBdr>
        <w:top w:val="none" w:sz="0" w:space="0" w:color="auto"/>
        <w:left w:val="none" w:sz="0" w:space="0" w:color="auto"/>
        <w:bottom w:val="none" w:sz="0" w:space="0" w:color="auto"/>
        <w:right w:val="none" w:sz="0" w:space="0" w:color="auto"/>
      </w:divBdr>
    </w:div>
    <w:div w:id="1567229838">
      <w:bodyDiv w:val="1"/>
      <w:marLeft w:val="0"/>
      <w:marRight w:val="0"/>
      <w:marTop w:val="0"/>
      <w:marBottom w:val="0"/>
      <w:divBdr>
        <w:top w:val="none" w:sz="0" w:space="0" w:color="auto"/>
        <w:left w:val="none" w:sz="0" w:space="0" w:color="auto"/>
        <w:bottom w:val="none" w:sz="0" w:space="0" w:color="auto"/>
        <w:right w:val="none" w:sz="0" w:space="0" w:color="auto"/>
      </w:divBdr>
    </w:div>
    <w:div w:id="1568806020">
      <w:bodyDiv w:val="1"/>
      <w:marLeft w:val="0"/>
      <w:marRight w:val="0"/>
      <w:marTop w:val="0"/>
      <w:marBottom w:val="0"/>
      <w:divBdr>
        <w:top w:val="none" w:sz="0" w:space="0" w:color="auto"/>
        <w:left w:val="none" w:sz="0" w:space="0" w:color="auto"/>
        <w:bottom w:val="none" w:sz="0" w:space="0" w:color="auto"/>
        <w:right w:val="none" w:sz="0" w:space="0" w:color="auto"/>
      </w:divBdr>
    </w:div>
    <w:div w:id="1618682224">
      <w:bodyDiv w:val="1"/>
      <w:marLeft w:val="0"/>
      <w:marRight w:val="0"/>
      <w:marTop w:val="0"/>
      <w:marBottom w:val="0"/>
      <w:divBdr>
        <w:top w:val="none" w:sz="0" w:space="0" w:color="auto"/>
        <w:left w:val="none" w:sz="0" w:space="0" w:color="auto"/>
        <w:bottom w:val="none" w:sz="0" w:space="0" w:color="auto"/>
        <w:right w:val="none" w:sz="0" w:space="0" w:color="auto"/>
      </w:divBdr>
    </w:div>
    <w:div w:id="1690444912">
      <w:bodyDiv w:val="1"/>
      <w:marLeft w:val="0"/>
      <w:marRight w:val="0"/>
      <w:marTop w:val="0"/>
      <w:marBottom w:val="0"/>
      <w:divBdr>
        <w:top w:val="none" w:sz="0" w:space="0" w:color="auto"/>
        <w:left w:val="none" w:sz="0" w:space="0" w:color="auto"/>
        <w:bottom w:val="none" w:sz="0" w:space="0" w:color="auto"/>
        <w:right w:val="none" w:sz="0" w:space="0" w:color="auto"/>
      </w:divBdr>
    </w:div>
    <w:div w:id="1710959977">
      <w:bodyDiv w:val="1"/>
      <w:marLeft w:val="0"/>
      <w:marRight w:val="0"/>
      <w:marTop w:val="0"/>
      <w:marBottom w:val="0"/>
      <w:divBdr>
        <w:top w:val="none" w:sz="0" w:space="0" w:color="auto"/>
        <w:left w:val="none" w:sz="0" w:space="0" w:color="auto"/>
        <w:bottom w:val="none" w:sz="0" w:space="0" w:color="auto"/>
        <w:right w:val="none" w:sz="0" w:space="0" w:color="auto"/>
      </w:divBdr>
      <w:divsChild>
        <w:div w:id="1900238887">
          <w:marLeft w:val="0"/>
          <w:marRight w:val="0"/>
          <w:marTop w:val="0"/>
          <w:marBottom w:val="0"/>
          <w:divBdr>
            <w:top w:val="none" w:sz="0" w:space="0" w:color="auto"/>
            <w:left w:val="none" w:sz="0" w:space="0" w:color="auto"/>
            <w:bottom w:val="none" w:sz="0" w:space="0" w:color="auto"/>
            <w:right w:val="none" w:sz="0" w:space="0" w:color="auto"/>
          </w:divBdr>
        </w:div>
      </w:divsChild>
    </w:div>
    <w:div w:id="1765108776">
      <w:bodyDiv w:val="1"/>
      <w:marLeft w:val="0"/>
      <w:marRight w:val="0"/>
      <w:marTop w:val="0"/>
      <w:marBottom w:val="0"/>
      <w:divBdr>
        <w:top w:val="none" w:sz="0" w:space="0" w:color="auto"/>
        <w:left w:val="none" w:sz="0" w:space="0" w:color="auto"/>
        <w:bottom w:val="none" w:sz="0" w:space="0" w:color="auto"/>
        <w:right w:val="none" w:sz="0" w:space="0" w:color="auto"/>
      </w:divBdr>
    </w:div>
    <w:div w:id="1779257437">
      <w:bodyDiv w:val="1"/>
      <w:marLeft w:val="0"/>
      <w:marRight w:val="0"/>
      <w:marTop w:val="0"/>
      <w:marBottom w:val="0"/>
      <w:divBdr>
        <w:top w:val="none" w:sz="0" w:space="0" w:color="auto"/>
        <w:left w:val="none" w:sz="0" w:space="0" w:color="auto"/>
        <w:bottom w:val="none" w:sz="0" w:space="0" w:color="auto"/>
        <w:right w:val="none" w:sz="0" w:space="0" w:color="auto"/>
      </w:divBdr>
    </w:div>
    <w:div w:id="1795370291">
      <w:bodyDiv w:val="1"/>
      <w:marLeft w:val="0"/>
      <w:marRight w:val="0"/>
      <w:marTop w:val="0"/>
      <w:marBottom w:val="0"/>
      <w:divBdr>
        <w:top w:val="none" w:sz="0" w:space="0" w:color="auto"/>
        <w:left w:val="none" w:sz="0" w:space="0" w:color="auto"/>
        <w:bottom w:val="none" w:sz="0" w:space="0" w:color="auto"/>
        <w:right w:val="none" w:sz="0" w:space="0" w:color="auto"/>
      </w:divBdr>
    </w:div>
    <w:div w:id="1826389917">
      <w:bodyDiv w:val="1"/>
      <w:marLeft w:val="0"/>
      <w:marRight w:val="0"/>
      <w:marTop w:val="0"/>
      <w:marBottom w:val="0"/>
      <w:divBdr>
        <w:top w:val="none" w:sz="0" w:space="0" w:color="auto"/>
        <w:left w:val="none" w:sz="0" w:space="0" w:color="auto"/>
        <w:bottom w:val="none" w:sz="0" w:space="0" w:color="auto"/>
        <w:right w:val="none" w:sz="0" w:space="0" w:color="auto"/>
      </w:divBdr>
    </w:div>
    <w:div w:id="1910311103">
      <w:bodyDiv w:val="1"/>
      <w:marLeft w:val="0"/>
      <w:marRight w:val="0"/>
      <w:marTop w:val="0"/>
      <w:marBottom w:val="0"/>
      <w:divBdr>
        <w:top w:val="none" w:sz="0" w:space="0" w:color="auto"/>
        <w:left w:val="none" w:sz="0" w:space="0" w:color="auto"/>
        <w:bottom w:val="none" w:sz="0" w:space="0" w:color="auto"/>
        <w:right w:val="none" w:sz="0" w:space="0" w:color="auto"/>
      </w:divBdr>
    </w:div>
    <w:div w:id="1943489604">
      <w:bodyDiv w:val="1"/>
      <w:marLeft w:val="0"/>
      <w:marRight w:val="0"/>
      <w:marTop w:val="0"/>
      <w:marBottom w:val="0"/>
      <w:divBdr>
        <w:top w:val="none" w:sz="0" w:space="0" w:color="auto"/>
        <w:left w:val="none" w:sz="0" w:space="0" w:color="auto"/>
        <w:bottom w:val="none" w:sz="0" w:space="0" w:color="auto"/>
        <w:right w:val="none" w:sz="0" w:space="0" w:color="auto"/>
      </w:divBdr>
    </w:div>
    <w:div w:id="2021005030">
      <w:bodyDiv w:val="1"/>
      <w:marLeft w:val="0"/>
      <w:marRight w:val="0"/>
      <w:marTop w:val="0"/>
      <w:marBottom w:val="0"/>
      <w:divBdr>
        <w:top w:val="none" w:sz="0" w:space="0" w:color="auto"/>
        <w:left w:val="none" w:sz="0" w:space="0" w:color="auto"/>
        <w:bottom w:val="none" w:sz="0" w:space="0" w:color="auto"/>
        <w:right w:val="none" w:sz="0" w:space="0" w:color="auto"/>
      </w:divBdr>
    </w:div>
    <w:div w:id="2034647953">
      <w:bodyDiv w:val="1"/>
      <w:marLeft w:val="0"/>
      <w:marRight w:val="0"/>
      <w:marTop w:val="0"/>
      <w:marBottom w:val="0"/>
      <w:divBdr>
        <w:top w:val="none" w:sz="0" w:space="0" w:color="auto"/>
        <w:left w:val="none" w:sz="0" w:space="0" w:color="auto"/>
        <w:bottom w:val="none" w:sz="0" w:space="0" w:color="auto"/>
        <w:right w:val="none" w:sz="0" w:space="0" w:color="auto"/>
      </w:divBdr>
    </w:div>
    <w:div w:id="2059234987">
      <w:bodyDiv w:val="1"/>
      <w:marLeft w:val="0"/>
      <w:marRight w:val="0"/>
      <w:marTop w:val="0"/>
      <w:marBottom w:val="0"/>
      <w:divBdr>
        <w:top w:val="none" w:sz="0" w:space="0" w:color="auto"/>
        <w:left w:val="none" w:sz="0" w:space="0" w:color="auto"/>
        <w:bottom w:val="none" w:sz="0" w:space="0" w:color="auto"/>
        <w:right w:val="none" w:sz="0" w:space="0" w:color="auto"/>
      </w:divBdr>
    </w:div>
    <w:div w:id="2095666776">
      <w:bodyDiv w:val="1"/>
      <w:marLeft w:val="0"/>
      <w:marRight w:val="0"/>
      <w:marTop w:val="0"/>
      <w:marBottom w:val="0"/>
      <w:divBdr>
        <w:top w:val="none" w:sz="0" w:space="0" w:color="auto"/>
        <w:left w:val="none" w:sz="0" w:space="0" w:color="auto"/>
        <w:bottom w:val="none" w:sz="0" w:space="0" w:color="auto"/>
        <w:right w:val="none" w:sz="0" w:space="0" w:color="auto"/>
      </w:divBdr>
    </w:div>
    <w:div w:id="212253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3jyVXKw" TargetMode="External"/><Relationship Id="rId21" Type="http://schemas.openxmlformats.org/officeDocument/2006/relationships/image" Target="media/image4.png"/><Relationship Id="rId42" Type="http://schemas.openxmlformats.org/officeDocument/2006/relationships/hyperlink" Target="https://bit.ly/3pFAEuK" TargetMode="External"/><Relationship Id="rId47" Type="http://schemas.openxmlformats.org/officeDocument/2006/relationships/hyperlink" Target="https://bit.ly/3ktVYQC" TargetMode="External"/><Relationship Id="rId63" Type="http://schemas.openxmlformats.org/officeDocument/2006/relationships/hyperlink" Target="https://bit.ly/3n246JH" TargetMode="External"/><Relationship Id="rId68" Type="http://schemas.openxmlformats.org/officeDocument/2006/relationships/hyperlink" Target="https://bit.ly/3onxgT0" TargetMode="External"/><Relationship Id="rId84" Type="http://schemas.openxmlformats.org/officeDocument/2006/relationships/hyperlink" Target="https://bit.ly/3vLnEos" TargetMode="External"/><Relationship Id="rId89" Type="http://schemas.openxmlformats.org/officeDocument/2006/relationships/hyperlink" Target="https://bit.ly/3jEfQ2R" TargetMode="External"/><Relationship Id="rId16" Type="http://schemas.openxmlformats.org/officeDocument/2006/relationships/chart" Target="charts/chart4.xml"/><Relationship Id="rId11" Type="http://schemas.openxmlformats.org/officeDocument/2006/relationships/image" Target="media/image1.png"/><Relationship Id="rId32" Type="http://schemas.openxmlformats.org/officeDocument/2006/relationships/hyperlink" Target="https://bit.ly/3vI8Kzp" TargetMode="External"/><Relationship Id="rId37" Type="http://schemas.openxmlformats.org/officeDocument/2006/relationships/hyperlink" Target="https://bit.ly/3GkbZSu" TargetMode="External"/><Relationship Id="rId53" Type="http://schemas.openxmlformats.org/officeDocument/2006/relationships/hyperlink" Target="https://bit.ly/3qv7Y8k" TargetMode="External"/><Relationship Id="rId58" Type="http://schemas.openxmlformats.org/officeDocument/2006/relationships/hyperlink" Target="https://bit.ly/30g24wt" TargetMode="External"/><Relationship Id="rId74" Type="http://schemas.openxmlformats.org/officeDocument/2006/relationships/hyperlink" Target="https://bit.ly/31MwQOl" TargetMode="External"/><Relationship Id="rId79" Type="http://schemas.openxmlformats.org/officeDocument/2006/relationships/hyperlink" Target="https://bit.ly/3z5PjnZ" TargetMode="External"/><Relationship Id="rId5" Type="http://schemas.openxmlformats.org/officeDocument/2006/relationships/numbering" Target="numbering.xml"/><Relationship Id="rId90" Type="http://schemas.openxmlformats.org/officeDocument/2006/relationships/hyperlink" Target="https://bit.ly/2Zndpum" TargetMode="External"/><Relationship Id="rId95" Type="http://schemas.openxmlformats.org/officeDocument/2006/relationships/hyperlink" Target="https://bit.ly/3ElrTKi" TargetMode="External"/><Relationship Id="rId22" Type="http://schemas.openxmlformats.org/officeDocument/2006/relationships/hyperlink" Target="https://bit.ly/30PeWtR" TargetMode="External"/><Relationship Id="rId27" Type="http://schemas.openxmlformats.org/officeDocument/2006/relationships/hyperlink" Target="https://bit.ly/3pCj0Ic" TargetMode="External"/><Relationship Id="rId43" Type="http://schemas.openxmlformats.org/officeDocument/2006/relationships/hyperlink" Target="https://bit.ly/2XIbPTl" TargetMode="External"/><Relationship Id="rId48" Type="http://schemas.openxmlformats.org/officeDocument/2006/relationships/hyperlink" Target="https://bit.ly/2YBqtw7" TargetMode="External"/><Relationship Id="rId64" Type="http://schemas.openxmlformats.org/officeDocument/2006/relationships/hyperlink" Target="https://bit.ly/3qujdOf" TargetMode="External"/><Relationship Id="rId69" Type="http://schemas.openxmlformats.org/officeDocument/2006/relationships/hyperlink" Target="https://bit.ly/3Hele75" TargetMode="External"/><Relationship Id="rId80" Type="http://schemas.openxmlformats.org/officeDocument/2006/relationships/hyperlink" Target="https://bit.ly/3pCtN5a" TargetMode="External"/><Relationship Id="rId85" Type="http://schemas.openxmlformats.org/officeDocument/2006/relationships/hyperlink" Target="https://bit.ly/3BsfHG9"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s://bit.ly/3pJTbWG" TargetMode="External"/><Relationship Id="rId33" Type="http://schemas.openxmlformats.org/officeDocument/2006/relationships/hyperlink" Target="https://bit.ly/3mbtTP3" TargetMode="External"/><Relationship Id="rId38" Type="http://schemas.openxmlformats.org/officeDocument/2006/relationships/hyperlink" Target="https://bit.ly/3jDlB0Z" TargetMode="External"/><Relationship Id="rId46" Type="http://schemas.openxmlformats.org/officeDocument/2006/relationships/hyperlink" Target="https://bit.ly/3wBrAsl" TargetMode="External"/><Relationship Id="rId59" Type="http://schemas.openxmlformats.org/officeDocument/2006/relationships/hyperlink" Target="https://bit.ly/3D7pliJ" TargetMode="External"/><Relationship Id="rId67" Type="http://schemas.openxmlformats.org/officeDocument/2006/relationships/hyperlink" Target="https://bit.ly/3oqU2JY" TargetMode="External"/><Relationship Id="rId20" Type="http://schemas.openxmlformats.org/officeDocument/2006/relationships/image" Target="media/image3.png"/><Relationship Id="rId41" Type="http://schemas.openxmlformats.org/officeDocument/2006/relationships/hyperlink" Target="https://bit.ly/3baPBg0" TargetMode="External"/><Relationship Id="rId54" Type="http://schemas.openxmlformats.org/officeDocument/2006/relationships/hyperlink" Target="https://bit.ly/3Da20Np" TargetMode="External"/><Relationship Id="rId62" Type="http://schemas.openxmlformats.org/officeDocument/2006/relationships/hyperlink" Target="https://bit.ly/3mZSiHY" TargetMode="External"/><Relationship Id="rId70" Type="http://schemas.openxmlformats.org/officeDocument/2006/relationships/hyperlink" Target="https://bit.ly/3F4qM2f" TargetMode="External"/><Relationship Id="rId75" Type="http://schemas.openxmlformats.org/officeDocument/2006/relationships/hyperlink" Target="https://bit.ly/3F5yw3Z" TargetMode="External"/><Relationship Id="rId83" Type="http://schemas.openxmlformats.org/officeDocument/2006/relationships/hyperlink" Target="https://bit.ly/3pCtN5a" TargetMode="External"/><Relationship Id="rId88" Type="http://schemas.openxmlformats.org/officeDocument/2006/relationships/hyperlink" Target="https://bit.ly/2XRhqqI" TargetMode="External"/><Relationship Id="rId91" Type="http://schemas.openxmlformats.org/officeDocument/2006/relationships/hyperlink" Target="https://bit.ly/3jCKmKL" TargetMode="External"/><Relationship Id="rId96" Type="http://schemas.openxmlformats.org/officeDocument/2006/relationships/hyperlink" Target="https://bit.ly/3oM3rv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hyperlink" Target="https://bit.ly/3nrpN54" TargetMode="External"/><Relationship Id="rId28" Type="http://schemas.openxmlformats.org/officeDocument/2006/relationships/hyperlink" Target="https://bit.ly/3md5t7V" TargetMode="External"/><Relationship Id="rId36" Type="http://schemas.openxmlformats.org/officeDocument/2006/relationships/hyperlink" Target="https://bit.ly/3vIPmCc" TargetMode="External"/><Relationship Id="rId49" Type="http://schemas.openxmlformats.org/officeDocument/2006/relationships/hyperlink" Target="https://bit.ly/3qvWama" TargetMode="External"/><Relationship Id="rId57" Type="http://schemas.openxmlformats.org/officeDocument/2006/relationships/hyperlink" Target="https://bit.ly/3F4o3Ws" TargetMode="External"/><Relationship Id="rId10" Type="http://schemas.openxmlformats.org/officeDocument/2006/relationships/endnotes" Target="endnotes.xml"/><Relationship Id="rId31" Type="http://schemas.openxmlformats.org/officeDocument/2006/relationships/hyperlink" Target="https://bit.ly/3pCjuOM" TargetMode="External"/><Relationship Id="rId44" Type="http://schemas.openxmlformats.org/officeDocument/2006/relationships/hyperlink" Target="https://bit.ly/3BciuDa" TargetMode="External"/><Relationship Id="rId52" Type="http://schemas.openxmlformats.org/officeDocument/2006/relationships/hyperlink" Target="https://bit.ly/3qrUSZt" TargetMode="External"/><Relationship Id="rId60" Type="http://schemas.openxmlformats.org/officeDocument/2006/relationships/hyperlink" Target="https://bit.ly/3D7mDd3" TargetMode="External"/><Relationship Id="rId65" Type="http://schemas.openxmlformats.org/officeDocument/2006/relationships/hyperlink" Target="https://bit.ly/3F6BPbg" TargetMode="External"/><Relationship Id="rId73" Type="http://schemas.openxmlformats.org/officeDocument/2006/relationships/hyperlink" Target="https://bit.ly/3c5cZvH" TargetMode="External"/><Relationship Id="rId78" Type="http://schemas.openxmlformats.org/officeDocument/2006/relationships/hyperlink" Target="https://bit.ly/3C20SKv" TargetMode="External"/><Relationship Id="rId81" Type="http://schemas.openxmlformats.org/officeDocument/2006/relationships/hyperlink" Target="https://bit.ly/3vJR2eS" TargetMode="External"/><Relationship Id="rId86" Type="http://schemas.openxmlformats.org/officeDocument/2006/relationships/hyperlink" Target="https://bit.ly/30Tse8I" TargetMode="External"/><Relationship Id="rId94" Type="http://schemas.openxmlformats.org/officeDocument/2006/relationships/hyperlink" Target="https://bit.ly/3GnOyrr"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s://bit.ly/3mbHfuH" TargetMode="External"/><Relationship Id="rId34" Type="http://schemas.openxmlformats.org/officeDocument/2006/relationships/hyperlink" Target="https://bit.ly/3ChKVAN" TargetMode="External"/><Relationship Id="rId50" Type="http://schemas.openxmlformats.org/officeDocument/2006/relationships/hyperlink" Target="https://bit.ly/3C6MoZV" TargetMode="External"/><Relationship Id="rId55" Type="http://schemas.openxmlformats.org/officeDocument/2006/relationships/hyperlink" Target="https://bit.ly/3qv28ns" TargetMode="External"/><Relationship Id="rId76" Type="http://schemas.openxmlformats.org/officeDocument/2006/relationships/hyperlink" Target="https://bit.ly/3ksnP3H" TargetMode="External"/><Relationship Id="rId97"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bit.ly/3wE3UDD" TargetMode="External"/><Relationship Id="rId92" Type="http://schemas.openxmlformats.org/officeDocument/2006/relationships/hyperlink" Target="https://bit.ly/3vK30VE" TargetMode="External"/><Relationship Id="rId2" Type="http://schemas.openxmlformats.org/officeDocument/2006/relationships/customXml" Target="../customXml/item2.xml"/><Relationship Id="rId29" Type="http://schemas.openxmlformats.org/officeDocument/2006/relationships/hyperlink" Target="https://bit.ly/3Ce6GkR" TargetMode="External"/><Relationship Id="rId24" Type="http://schemas.openxmlformats.org/officeDocument/2006/relationships/hyperlink" Target="https://bit.ly/3CeRvbn" TargetMode="External"/><Relationship Id="rId40" Type="http://schemas.openxmlformats.org/officeDocument/2006/relationships/hyperlink" Target="https://bit.ly/3pQBcOL" TargetMode="External"/><Relationship Id="rId45" Type="http://schemas.openxmlformats.org/officeDocument/2006/relationships/hyperlink" Target="https://bit.ly/3bhADoA" TargetMode="External"/><Relationship Id="rId66" Type="http://schemas.openxmlformats.org/officeDocument/2006/relationships/hyperlink" Target="https://bit.ly/3quu0I4" TargetMode="External"/><Relationship Id="rId87" Type="http://schemas.openxmlformats.org/officeDocument/2006/relationships/hyperlink" Target="https://bit.ly/3nu3Li7" TargetMode="External"/><Relationship Id="rId61" Type="http://schemas.openxmlformats.org/officeDocument/2006/relationships/hyperlink" Target="https://bit.ly/3wBjeB5" TargetMode="External"/><Relationship Id="rId82" Type="http://schemas.openxmlformats.org/officeDocument/2006/relationships/hyperlink" Target="https://bit.ly/3ncBYDC" TargetMode="External"/><Relationship Id="rId19" Type="http://schemas.openxmlformats.org/officeDocument/2006/relationships/chart" Target="charts/chart7.xml"/><Relationship Id="rId14" Type="http://schemas.openxmlformats.org/officeDocument/2006/relationships/chart" Target="charts/chart2.xml"/><Relationship Id="rId30" Type="http://schemas.openxmlformats.org/officeDocument/2006/relationships/hyperlink" Target="https://bit.ly/3CdOWq4" TargetMode="External"/><Relationship Id="rId35" Type="http://schemas.openxmlformats.org/officeDocument/2006/relationships/hyperlink" Target="https://bit.ly/3BdwH2D" TargetMode="External"/><Relationship Id="rId56" Type="http://schemas.openxmlformats.org/officeDocument/2006/relationships/hyperlink" Target="https://bit.ly/3CaVmFo" TargetMode="External"/><Relationship Id="rId77" Type="http://schemas.openxmlformats.org/officeDocument/2006/relationships/hyperlink" Target="https://bit.ly/3FnwNaz"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bit.ly/31IMcn2" TargetMode="External"/><Relationship Id="rId72" Type="http://schemas.openxmlformats.org/officeDocument/2006/relationships/hyperlink" Target="https://bit.ly/3oe2R9y" TargetMode="External"/><Relationship Id="rId93" Type="http://schemas.openxmlformats.org/officeDocument/2006/relationships/hyperlink" Target="https://bit.ly/3b8QVQy" TargetMode="External"/><Relationship Id="rId9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2" Type="http://schemas.openxmlformats.org/officeDocument/2006/relationships/image" Target="cid:image009.png@01D48D50.4B8C8F30" TargetMode="External"/><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minhaciendagovco.sharepoint.com/sites/028SGP-PROPSITOGENERAL/Documentos%20compartidos/PROP&#211;SITO%20GENERAL/3.%20ENTIDADES%20TERRITORIALES%20ATENDIDAS/01_DOCUMENTOS%20EN%20CONSTRUCCI&#211;N%20Y%20REVISI&#211;N/PUERTO%20LEGU&#205;ZAMO%20-%20PUTUMAYO/C&#225;lculos%20Puerto%25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nhaciendagovco.sharepoint.com/sites/028SGP-PROPSITOGENERAL/Documentos%20compartidos/PROP&#211;SITO%20GENERAL/3.%20ENTIDADES%20TERRITORIALES%20ATENDIDAS/01_DOCUMENTOS%20EN%20CONSTRUCCI&#211;N%20Y%20REVISI&#211;N/PUERTO%20LEGU&#205;ZAMO%20-%20PUTUMAYO/C&#225;lculos%20Puerto%25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Hoja1!$C$3</c:f>
              <c:strCache>
                <c:ptCount val="1"/>
                <c:pt idx="0">
                  <c:v>SGP </c:v>
                </c:pt>
              </c:strCache>
            </c:strRef>
          </c:tx>
          <c:spPr>
            <a:solidFill>
              <a:srgbClr val="666699"/>
            </a:solidFill>
            <a:ln>
              <a:noFill/>
            </a:ln>
            <a:effectLst/>
          </c:spPr>
          <c:invertIfNegative val="0"/>
          <c:cat>
            <c:strRef>
              <c:f>Hoja1!$B$4:$B$14</c:f>
              <c:strCache>
                <c:ptCount val="11"/>
                <c:pt idx="0">
                  <c:v>DEPORTE, RECREACIÓN Y ACTIVIDAD FÍSICA</c:v>
                </c:pt>
                <c:pt idx="1">
                  <c:v>AMBIENTE</c:v>
                </c:pt>
                <c:pt idx="2">
                  <c:v>AGROPECUARIO </c:v>
                </c:pt>
                <c:pt idx="3">
                  <c:v>DESARROLLO ECONÓMICO </c:v>
                </c:pt>
                <c:pt idx="4">
                  <c:v>SALUD</c:v>
                </c:pt>
                <c:pt idx="5">
                  <c:v>FOMENTO Y FORTALECIMIENTO DE LA CULTURA LEGUIZAMEÑA</c:v>
                </c:pt>
                <c:pt idx="6">
                  <c:v>PROMOCIÓN SOCIAL </c:v>
                </c:pt>
                <c:pt idx="7">
                  <c:v>GOBIERNO TERRITORIAL</c:v>
                </c:pt>
                <c:pt idx="8">
                  <c:v>EDUCACIÓN </c:v>
                </c:pt>
                <c:pt idx="9">
                  <c:v>EQUIPAMIENTO MUNICIPAL</c:v>
                </c:pt>
                <c:pt idx="10">
                  <c:v>SERVICIOS PÚBLICOS </c:v>
                </c:pt>
              </c:strCache>
            </c:strRef>
          </c:cat>
          <c:val>
            <c:numRef>
              <c:f>Hoja1!$C$4:$C$14</c:f>
              <c:numCache>
                <c:formatCode>_-"$"\ * #,##0_-;\-"$"\ * #,##0_-;_-"$"\ * "-"??_-;_-@_-</c:formatCode>
                <c:ptCount val="11"/>
                <c:pt idx="0">
                  <c:v>220000</c:v>
                </c:pt>
                <c:pt idx="1">
                  <c:v>0</c:v>
                </c:pt>
                <c:pt idx="2">
                  <c:v>162450</c:v>
                </c:pt>
                <c:pt idx="3">
                  <c:v>154551</c:v>
                </c:pt>
                <c:pt idx="4">
                  <c:v>2019600</c:v>
                </c:pt>
                <c:pt idx="5">
                  <c:v>865000</c:v>
                </c:pt>
                <c:pt idx="6">
                  <c:v>1906700</c:v>
                </c:pt>
                <c:pt idx="7">
                  <c:v>1524000</c:v>
                </c:pt>
                <c:pt idx="8">
                  <c:v>3075000</c:v>
                </c:pt>
                <c:pt idx="9">
                  <c:v>640000</c:v>
                </c:pt>
                <c:pt idx="10">
                  <c:v>4690000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11AB-4F83-A591-13633176F55E}"/>
            </c:ext>
          </c:extLst>
        </c:ser>
        <c:ser>
          <c:idx val="1"/>
          <c:order val="1"/>
          <c:tx>
            <c:strRef>
              <c:f>Hoja1!$D$3</c:f>
              <c:strCache>
                <c:ptCount val="1"/>
                <c:pt idx="0">
                  <c:v>RP</c:v>
                </c:pt>
              </c:strCache>
            </c:strRef>
          </c:tx>
          <c:spPr>
            <a:solidFill>
              <a:srgbClr val="9966FF"/>
            </a:solidFill>
            <a:ln>
              <a:noFill/>
            </a:ln>
            <a:effectLst/>
          </c:spPr>
          <c:invertIfNegative val="0"/>
          <c:cat>
            <c:strRef>
              <c:f>Hoja1!$B$4:$B$14</c:f>
              <c:strCache>
                <c:ptCount val="11"/>
                <c:pt idx="0">
                  <c:v>DEPORTE, RECREACIÓN Y ACTIVIDAD FÍSICA</c:v>
                </c:pt>
                <c:pt idx="1">
                  <c:v>AMBIENTE</c:v>
                </c:pt>
                <c:pt idx="2">
                  <c:v>AGROPECUARIO </c:v>
                </c:pt>
                <c:pt idx="3">
                  <c:v>DESARROLLO ECONÓMICO </c:v>
                </c:pt>
                <c:pt idx="4">
                  <c:v>SALUD</c:v>
                </c:pt>
                <c:pt idx="5">
                  <c:v>FOMENTO Y FORTALECIMIENTO DE LA CULTURA LEGUIZAMEÑA</c:v>
                </c:pt>
                <c:pt idx="6">
                  <c:v>PROMOCIÓN SOCIAL </c:v>
                </c:pt>
                <c:pt idx="7">
                  <c:v>GOBIERNO TERRITORIAL</c:v>
                </c:pt>
                <c:pt idx="8">
                  <c:v>EDUCACIÓN </c:v>
                </c:pt>
                <c:pt idx="9">
                  <c:v>EQUIPAMIENTO MUNICIPAL</c:v>
                </c:pt>
                <c:pt idx="10">
                  <c:v>SERVICIOS PÚBLICOS </c:v>
                </c:pt>
              </c:strCache>
            </c:strRef>
          </c:cat>
          <c:val>
            <c:numRef>
              <c:f>Hoja1!$D$4:$D$14</c:f>
              <c:numCache>
                <c:formatCode>_-"$"\ * #,##0_-;\-"$"\ * #,##0_-;_-"$"\ * "-"??_-;_-@_-</c:formatCode>
                <c:ptCount val="11"/>
                <c:pt idx="0">
                  <c:v>140000</c:v>
                </c:pt>
                <c:pt idx="1">
                  <c:v>99694</c:v>
                </c:pt>
                <c:pt idx="2">
                  <c:v>259350</c:v>
                </c:pt>
                <c:pt idx="3">
                  <c:v>291100</c:v>
                </c:pt>
                <c:pt idx="4">
                  <c:v>75000</c:v>
                </c:pt>
                <c:pt idx="5">
                  <c:v>445000</c:v>
                </c:pt>
                <c:pt idx="6">
                  <c:v>411000</c:v>
                </c:pt>
                <c:pt idx="7">
                  <c:v>689075</c:v>
                </c:pt>
                <c:pt idx="8">
                  <c:v>40000</c:v>
                </c:pt>
                <c:pt idx="9">
                  <c:v>255000</c:v>
                </c:pt>
                <c:pt idx="10">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11AB-4F83-A591-13633176F55E}"/>
            </c:ext>
          </c:extLst>
        </c:ser>
        <c:ser>
          <c:idx val="2"/>
          <c:order val="2"/>
          <c:tx>
            <c:strRef>
              <c:f>Hoja1!$E$3</c:f>
              <c:strCache>
                <c:ptCount val="1"/>
                <c:pt idx="0">
                  <c:v>SGR</c:v>
                </c:pt>
              </c:strCache>
            </c:strRef>
          </c:tx>
          <c:spPr>
            <a:solidFill>
              <a:srgbClr val="7030A0"/>
            </a:solidFill>
            <a:ln>
              <a:noFill/>
            </a:ln>
            <a:effectLst/>
          </c:spPr>
          <c:invertIfNegative val="0"/>
          <c:cat>
            <c:strRef>
              <c:f>Hoja1!$B$4:$B$14</c:f>
              <c:strCache>
                <c:ptCount val="11"/>
                <c:pt idx="0">
                  <c:v>DEPORTE, RECREACIÓN Y ACTIVIDAD FÍSICA</c:v>
                </c:pt>
                <c:pt idx="1">
                  <c:v>AMBIENTE</c:v>
                </c:pt>
                <c:pt idx="2">
                  <c:v>AGROPECUARIO </c:v>
                </c:pt>
                <c:pt idx="3">
                  <c:v>DESARROLLO ECONÓMICO </c:v>
                </c:pt>
                <c:pt idx="4">
                  <c:v>SALUD</c:v>
                </c:pt>
                <c:pt idx="5">
                  <c:v>FOMENTO Y FORTALECIMIENTO DE LA CULTURA LEGUIZAMEÑA</c:v>
                </c:pt>
                <c:pt idx="6">
                  <c:v>PROMOCIÓN SOCIAL </c:v>
                </c:pt>
                <c:pt idx="7">
                  <c:v>GOBIERNO TERRITORIAL</c:v>
                </c:pt>
                <c:pt idx="8">
                  <c:v>EDUCACIÓN </c:v>
                </c:pt>
                <c:pt idx="9">
                  <c:v>EQUIPAMIENTO MUNICIPAL</c:v>
                </c:pt>
                <c:pt idx="10">
                  <c:v>SERVICIOS PÚBLICOS </c:v>
                </c:pt>
              </c:strCache>
            </c:strRef>
          </c:cat>
          <c:val>
            <c:numRef>
              <c:f>Hoja1!$E$4:$E$14</c:f>
              <c:numCache>
                <c:formatCode>_-"$"\ * #,##0_-;\-"$"\ * #,##0_-;_-"$"\ * "-"??_-;_-@_-</c:formatCode>
                <c:ptCount val="11"/>
                <c:pt idx="0">
                  <c:v>0</c:v>
                </c:pt>
                <c:pt idx="1">
                  <c:v>0</c:v>
                </c:pt>
                <c:pt idx="2">
                  <c:v>0</c:v>
                </c:pt>
                <c:pt idx="3">
                  <c:v>0</c:v>
                </c:pt>
                <c:pt idx="4">
                  <c:v>200000</c:v>
                </c:pt>
                <c:pt idx="5">
                  <c:v>100000</c:v>
                </c:pt>
                <c:pt idx="6">
                  <c:v>0</c:v>
                </c:pt>
                <c:pt idx="7">
                  <c:v>100000</c:v>
                </c:pt>
                <c:pt idx="8">
                  <c:v>0</c:v>
                </c:pt>
                <c:pt idx="9">
                  <c:v>2400000</c:v>
                </c:pt>
                <c:pt idx="10">
                  <c:v>1800000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11AB-4F83-A591-13633176F55E}"/>
            </c:ext>
          </c:extLst>
        </c:ser>
        <c:ser>
          <c:idx val="3"/>
          <c:order val="3"/>
          <c:tx>
            <c:strRef>
              <c:f>Hoja1!$F$3</c:f>
              <c:strCache>
                <c:ptCount val="1"/>
                <c:pt idx="0">
                  <c:v>COFINACIACIÓN </c:v>
                </c:pt>
              </c:strCache>
            </c:strRef>
          </c:tx>
          <c:spPr>
            <a:solidFill>
              <a:srgbClr val="9999FF"/>
            </a:solidFill>
            <a:ln>
              <a:noFill/>
            </a:ln>
            <a:effectLst/>
          </c:spPr>
          <c:invertIfNegative val="0"/>
          <c:cat>
            <c:strRef>
              <c:f>Hoja1!$B$4:$B$14</c:f>
              <c:strCache>
                <c:ptCount val="11"/>
                <c:pt idx="0">
                  <c:v>DEPORTE, RECREACIÓN Y ACTIVIDAD FÍSICA</c:v>
                </c:pt>
                <c:pt idx="1">
                  <c:v>AMBIENTE</c:v>
                </c:pt>
                <c:pt idx="2">
                  <c:v>AGROPECUARIO </c:v>
                </c:pt>
                <c:pt idx="3">
                  <c:v>DESARROLLO ECONÓMICO </c:v>
                </c:pt>
                <c:pt idx="4">
                  <c:v>SALUD</c:v>
                </c:pt>
                <c:pt idx="5">
                  <c:v>FOMENTO Y FORTALECIMIENTO DE LA CULTURA LEGUIZAMEÑA</c:v>
                </c:pt>
                <c:pt idx="6">
                  <c:v>PROMOCIÓN SOCIAL </c:v>
                </c:pt>
                <c:pt idx="7">
                  <c:v>GOBIERNO TERRITORIAL</c:v>
                </c:pt>
                <c:pt idx="8">
                  <c:v>EDUCACIÓN </c:v>
                </c:pt>
                <c:pt idx="9">
                  <c:v>EQUIPAMIENTO MUNICIPAL</c:v>
                </c:pt>
                <c:pt idx="10">
                  <c:v>SERVICIOS PÚBLICOS </c:v>
                </c:pt>
              </c:strCache>
            </c:strRef>
          </c:cat>
          <c:val>
            <c:numRef>
              <c:f>Hoja1!$F$4:$F$14</c:f>
              <c:numCache>
                <c:formatCode>_-"$"\ * #,##0_-;\-"$"\ * #,##0_-;_-"$"\ * "-"??_-;_-@_-</c:formatCode>
                <c:ptCount val="11"/>
                <c:pt idx="0">
                  <c:v>0</c:v>
                </c:pt>
                <c:pt idx="1">
                  <c:v>1330306</c:v>
                </c:pt>
                <c:pt idx="2">
                  <c:v>1672600</c:v>
                </c:pt>
                <c:pt idx="3">
                  <c:v>2664349</c:v>
                </c:pt>
                <c:pt idx="4">
                  <c:v>1390000</c:v>
                </c:pt>
                <c:pt idx="5">
                  <c:v>2790000</c:v>
                </c:pt>
                <c:pt idx="6">
                  <c:v>1970000</c:v>
                </c:pt>
                <c:pt idx="7">
                  <c:v>3275000</c:v>
                </c:pt>
                <c:pt idx="8">
                  <c:v>3780000</c:v>
                </c:pt>
                <c:pt idx="9">
                  <c:v>9085000</c:v>
                </c:pt>
                <c:pt idx="10">
                  <c:v>16375000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11AB-4F83-A591-13633176F55E}"/>
            </c:ext>
          </c:extLst>
        </c:ser>
        <c:ser>
          <c:idx val="4"/>
          <c:order val="4"/>
          <c:tx>
            <c:strRef>
              <c:f>Hoja1!$G$3</c:f>
              <c:strCache>
                <c:ptCount val="1"/>
                <c:pt idx="0">
                  <c:v>CREDITO </c:v>
                </c:pt>
              </c:strCache>
            </c:strRef>
          </c:tx>
          <c:spPr>
            <a:solidFill>
              <a:schemeClr val="accent5"/>
            </a:solidFill>
            <a:ln>
              <a:noFill/>
            </a:ln>
            <a:effectLst/>
          </c:spPr>
          <c:invertIfNegative val="0"/>
          <c:cat>
            <c:strRef>
              <c:f>Hoja1!$B$4:$B$14</c:f>
              <c:strCache>
                <c:ptCount val="11"/>
                <c:pt idx="0">
                  <c:v>DEPORTE, RECREACIÓN Y ACTIVIDAD FÍSICA</c:v>
                </c:pt>
                <c:pt idx="1">
                  <c:v>AMBIENTE</c:v>
                </c:pt>
                <c:pt idx="2">
                  <c:v>AGROPECUARIO </c:v>
                </c:pt>
                <c:pt idx="3">
                  <c:v>DESARROLLO ECONÓMICO </c:v>
                </c:pt>
                <c:pt idx="4">
                  <c:v>SALUD</c:v>
                </c:pt>
                <c:pt idx="5">
                  <c:v>FOMENTO Y FORTALECIMIENTO DE LA CULTURA LEGUIZAMEÑA</c:v>
                </c:pt>
                <c:pt idx="6">
                  <c:v>PROMOCIÓN SOCIAL </c:v>
                </c:pt>
                <c:pt idx="7">
                  <c:v>GOBIERNO TERRITORIAL</c:v>
                </c:pt>
                <c:pt idx="8">
                  <c:v>EDUCACIÓN </c:v>
                </c:pt>
                <c:pt idx="9">
                  <c:v>EQUIPAMIENTO MUNICIPAL</c:v>
                </c:pt>
                <c:pt idx="10">
                  <c:v>SERVICIOS PÚBLICOS </c:v>
                </c:pt>
              </c:strCache>
            </c:strRef>
          </c:cat>
          <c:val>
            <c:numRef>
              <c:f>Hoja1!$G$4:$G$14</c:f>
              <c:numCache>
                <c:formatCode>_-"$"\ * #,##0_-;\-"$"\ * #,##0_-;_-"$"\ * "-"??_-;_-@_-</c:formatCode>
                <c:ptCount val="11"/>
                <c:pt idx="0">
                  <c:v>0</c:v>
                </c:pt>
                <c:pt idx="1">
                  <c:v>0</c:v>
                </c:pt>
                <c:pt idx="2">
                  <c:v>0</c:v>
                </c:pt>
                <c:pt idx="3">
                  <c:v>0</c:v>
                </c:pt>
                <c:pt idx="4">
                  <c:v>0</c:v>
                </c:pt>
                <c:pt idx="5">
                  <c:v>0</c:v>
                </c:pt>
                <c:pt idx="6">
                  <c:v>0</c:v>
                </c:pt>
                <c:pt idx="7">
                  <c:v>0</c:v>
                </c:pt>
                <c:pt idx="8">
                  <c:v>0</c:v>
                </c:pt>
                <c:pt idx="9">
                  <c:v>0</c:v>
                </c:pt>
                <c:pt idx="10">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11AB-4F83-A591-13633176F55E}"/>
            </c:ext>
          </c:extLst>
        </c:ser>
        <c:ser>
          <c:idx val="5"/>
          <c:order val="5"/>
          <c:tx>
            <c:strRef>
              <c:f>Hoja1!$H$3</c:f>
              <c:strCache>
                <c:ptCount val="1"/>
                <c:pt idx="0">
                  <c:v>OTROS</c:v>
                </c:pt>
              </c:strCache>
            </c:strRef>
          </c:tx>
          <c:spPr>
            <a:solidFill>
              <a:srgbClr val="660066"/>
            </a:solidFill>
            <a:ln>
              <a:noFill/>
            </a:ln>
            <a:effectLst/>
          </c:spPr>
          <c:invertIfNegative val="0"/>
          <c:cat>
            <c:strRef>
              <c:f>Hoja1!$B$4:$B$14</c:f>
              <c:strCache>
                <c:ptCount val="11"/>
                <c:pt idx="0">
                  <c:v>DEPORTE, RECREACIÓN Y ACTIVIDAD FÍSICA</c:v>
                </c:pt>
                <c:pt idx="1">
                  <c:v>AMBIENTE</c:v>
                </c:pt>
                <c:pt idx="2">
                  <c:v>AGROPECUARIO </c:v>
                </c:pt>
                <c:pt idx="3">
                  <c:v>DESARROLLO ECONÓMICO </c:v>
                </c:pt>
                <c:pt idx="4">
                  <c:v>SALUD</c:v>
                </c:pt>
                <c:pt idx="5">
                  <c:v>FOMENTO Y FORTALECIMIENTO DE LA CULTURA LEGUIZAMEÑA</c:v>
                </c:pt>
                <c:pt idx="6">
                  <c:v>PROMOCIÓN SOCIAL </c:v>
                </c:pt>
                <c:pt idx="7">
                  <c:v>GOBIERNO TERRITORIAL</c:v>
                </c:pt>
                <c:pt idx="8">
                  <c:v>EDUCACIÓN </c:v>
                </c:pt>
                <c:pt idx="9">
                  <c:v>EQUIPAMIENTO MUNICIPAL</c:v>
                </c:pt>
                <c:pt idx="10">
                  <c:v>SERVICIOS PÚBLICOS </c:v>
                </c:pt>
              </c:strCache>
            </c:strRef>
          </c:cat>
          <c:val>
            <c:numRef>
              <c:f>Hoja1!$H$4:$H$14</c:f>
              <c:numCache>
                <c:formatCode>_-"$"\ * #,##0_-;\-"$"\ * #,##0_-;_-"$"\ * "-"??_-;_-@_-</c:formatCode>
                <c:ptCount val="11"/>
                <c:pt idx="0">
                  <c:v>0</c:v>
                </c:pt>
                <c:pt idx="1">
                  <c:v>0</c:v>
                </c:pt>
                <c:pt idx="2">
                  <c:v>0</c:v>
                </c:pt>
                <c:pt idx="3">
                  <c:v>0</c:v>
                </c:pt>
                <c:pt idx="4">
                  <c:v>0</c:v>
                </c:pt>
                <c:pt idx="5">
                  <c:v>0</c:v>
                </c:pt>
                <c:pt idx="6">
                  <c:v>40000</c:v>
                </c:pt>
                <c:pt idx="7">
                  <c:v>40000</c:v>
                </c:pt>
                <c:pt idx="8">
                  <c:v>0</c:v>
                </c:pt>
                <c:pt idx="9">
                  <c:v>0</c:v>
                </c:pt>
                <c:pt idx="10">
                  <c:v>910000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11AB-4F83-A591-13633176F55E}"/>
            </c:ext>
          </c:extLst>
        </c:ser>
        <c:dLbls>
          <c:showLegendKey val="0"/>
          <c:showVal val="0"/>
          <c:showCatName val="0"/>
          <c:showSerName val="0"/>
          <c:showPercent val="0"/>
          <c:showBubbleSize val="0"/>
        </c:dLbls>
        <c:gapWidth val="150"/>
        <c:overlap val="100"/>
        <c:axId val="1957524703"/>
        <c:axId val="2068588143"/>
      </c:barChart>
      <c:catAx>
        <c:axId val="1957524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68588143"/>
        <c:crosses val="autoZero"/>
        <c:auto val="1"/>
        <c:lblAlgn val="ctr"/>
        <c:lblOffset val="100"/>
        <c:noMultiLvlLbl val="0"/>
      </c:catAx>
      <c:valAx>
        <c:axId val="2068588143"/>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957524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'[Cálculos Puerto Leguízamo - Putumayo.xlsx]1. Análisis de Asignación'!$C$34</c:f>
              <c:strCache>
                <c:ptCount val="1"/>
                <c:pt idx="0">
                  <c:v>2018</c:v>
                </c:pt>
              </c:strCache>
            </c:strRef>
          </c:tx>
          <c:spPr>
            <a:solidFill>
              <a:srgbClr val="CCCCFF"/>
            </a:solidFill>
            <a:ln>
              <a:solidFill>
                <a:srgbClr val="CCCCFF"/>
              </a:solidFill>
            </a:ln>
            <a:effectLst/>
          </c:spPr>
          <c:invertIfNegative val="0"/>
          <c:cat>
            <c:strRef>
              <c:f>'[Cálculos Puerto Leguízamo - Putumayo.xlsx]1. Análisis de Asignación'!$B$35:$B$39</c:f>
              <c:strCache>
                <c:ptCount val="5"/>
                <c:pt idx="0">
                  <c:v>Total Asignación</c:v>
                </c:pt>
                <c:pt idx="1">
                  <c:v>Libre destinación</c:v>
                </c:pt>
                <c:pt idx="2">
                  <c:v>Libre Inversión </c:v>
                </c:pt>
                <c:pt idx="3">
                  <c:v>Deporte y recreación</c:v>
                </c:pt>
                <c:pt idx="4">
                  <c:v>Cultura</c:v>
                </c:pt>
              </c:strCache>
            </c:strRef>
          </c:cat>
          <c:val>
            <c:numRef>
              <c:f>'[Cálculos Puerto Leguízamo - Putumayo.xlsx]1. Análisis de Asignación'!$C$35:$C$39</c:f>
              <c:numCache>
                <c:formatCode>_-"$"\ * #,##0_-;\-"$"\ * #,##0_-;_-"$"\ * "-"??_-;_-@_-</c:formatCode>
                <c:ptCount val="5"/>
                <c:pt idx="0">
                  <c:v>2454254907</c:v>
                </c:pt>
                <c:pt idx="1">
                  <c:v>1036872694</c:v>
                </c:pt>
                <c:pt idx="2">
                  <c:v>1314660989</c:v>
                </c:pt>
                <c:pt idx="3">
                  <c:v>58697842</c:v>
                </c:pt>
                <c:pt idx="4">
                  <c:v>44023382</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9E1A-453A-8C1B-674920BDB4E2}"/>
            </c:ext>
          </c:extLst>
        </c:ser>
        <c:ser>
          <c:idx val="1"/>
          <c:order val="1"/>
          <c:tx>
            <c:strRef>
              <c:f>'[Cálculos Puerto Leguízamo - Putumayo.xlsx]1. Análisis de Asignación'!$D$34</c:f>
              <c:strCache>
                <c:ptCount val="1"/>
                <c:pt idx="0">
                  <c:v>2019</c:v>
                </c:pt>
              </c:strCache>
            </c:strRef>
          </c:tx>
          <c:spPr>
            <a:solidFill>
              <a:srgbClr val="9999FF"/>
            </a:solidFill>
            <a:ln>
              <a:noFill/>
            </a:ln>
            <a:effectLst/>
          </c:spPr>
          <c:invertIfNegative val="0"/>
          <c:cat>
            <c:strRef>
              <c:f>'[Cálculos Puerto Leguízamo - Putumayo.xlsx]1. Análisis de Asignación'!$B$35:$B$39</c:f>
              <c:strCache>
                <c:ptCount val="5"/>
                <c:pt idx="0">
                  <c:v>Total Asignación</c:v>
                </c:pt>
                <c:pt idx="1">
                  <c:v>Libre destinación</c:v>
                </c:pt>
                <c:pt idx="2">
                  <c:v>Libre Inversión </c:v>
                </c:pt>
                <c:pt idx="3">
                  <c:v>Deporte y recreación</c:v>
                </c:pt>
                <c:pt idx="4">
                  <c:v>Cultura</c:v>
                </c:pt>
              </c:strCache>
            </c:strRef>
          </c:cat>
          <c:val>
            <c:numRef>
              <c:f>'[Cálculos Puerto Leguízamo - Putumayo.xlsx]1. Análisis de Asignación'!$D$35:$D$39</c:f>
              <c:numCache>
                <c:formatCode>_-"$"\ * #,##0_-;\-"$"\ * #,##0_-;_-"$"\ * "-"??_-;_-@_-</c:formatCode>
                <c:ptCount val="5"/>
                <c:pt idx="0">
                  <c:v>2665867399</c:v>
                </c:pt>
                <c:pt idx="1">
                  <c:v>1138572465</c:v>
                </c:pt>
                <c:pt idx="2">
                  <c:v>1452925954</c:v>
                </c:pt>
                <c:pt idx="3">
                  <c:v>42496560</c:v>
                </c:pt>
                <c:pt idx="4">
                  <c:v>31872420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9E1A-453A-8C1B-674920BDB4E2}"/>
            </c:ext>
          </c:extLst>
        </c:ser>
        <c:ser>
          <c:idx val="2"/>
          <c:order val="2"/>
          <c:tx>
            <c:strRef>
              <c:f>'[Cálculos Puerto Leguízamo - Putumayo.xlsx]1. Análisis de Asignación'!$E$34</c:f>
              <c:strCache>
                <c:ptCount val="1"/>
                <c:pt idx="0">
                  <c:v>2020</c:v>
                </c:pt>
              </c:strCache>
            </c:strRef>
          </c:tx>
          <c:spPr>
            <a:solidFill>
              <a:srgbClr val="7030A0"/>
            </a:solidFill>
            <a:ln>
              <a:noFill/>
            </a:ln>
            <a:effectLst/>
          </c:spPr>
          <c:invertIfNegative val="0"/>
          <c:cat>
            <c:strRef>
              <c:f>'[Cálculos Puerto Leguízamo - Putumayo.xlsx]1. Análisis de Asignación'!$B$35:$B$39</c:f>
              <c:strCache>
                <c:ptCount val="5"/>
                <c:pt idx="0">
                  <c:v>Total Asignación</c:v>
                </c:pt>
                <c:pt idx="1">
                  <c:v>Libre destinación</c:v>
                </c:pt>
                <c:pt idx="2">
                  <c:v>Libre Inversión </c:v>
                </c:pt>
                <c:pt idx="3">
                  <c:v>Deporte y recreación</c:v>
                </c:pt>
                <c:pt idx="4">
                  <c:v>Cultura</c:v>
                </c:pt>
              </c:strCache>
            </c:strRef>
          </c:cat>
          <c:val>
            <c:numRef>
              <c:f>'[Cálculos Puerto Leguízamo - Putumayo.xlsx]1. Análisis de Asignación'!$E$35:$E$39</c:f>
              <c:numCache>
                <c:formatCode>_-"$"\ * #,##0_-;\-"$"\ * #,##0_-;_-"$"\ * "-"??_-;_-@_-</c:formatCode>
                <c:ptCount val="5"/>
                <c:pt idx="0">
                  <c:v>2592212781</c:v>
                </c:pt>
                <c:pt idx="1">
                  <c:v>1088729369</c:v>
                </c:pt>
                <c:pt idx="2">
                  <c:v>1303490150</c:v>
                </c:pt>
                <c:pt idx="3">
                  <c:v>114281864</c:v>
                </c:pt>
                <c:pt idx="4">
                  <c:v>85711398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9E1A-453A-8C1B-674920BDB4E2}"/>
            </c:ext>
          </c:extLst>
        </c:ser>
        <c:dLbls>
          <c:showLegendKey val="0"/>
          <c:showVal val="0"/>
          <c:showCatName val="0"/>
          <c:showSerName val="0"/>
          <c:showPercent val="0"/>
          <c:showBubbleSize val="0"/>
        </c:dLbls>
        <c:gapWidth val="150"/>
        <c:axId val="1071870576"/>
        <c:axId val="1071868496"/>
      </c:barChart>
      <c:catAx>
        <c:axId val="107187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71868496"/>
        <c:crosses val="autoZero"/>
        <c:auto val="1"/>
        <c:lblAlgn val="ctr"/>
        <c:lblOffset val="100"/>
        <c:noMultiLvlLbl val="0"/>
      </c:catAx>
      <c:valAx>
        <c:axId val="107186849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71870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'[Cálculos Puerto Leguízamo - Putumayo.xlsx]1. Análisis de Asignación'!$E$5</c:f>
              <c:strCache>
                <c:ptCount val="1"/>
                <c:pt idx="0">
                  <c:v>2018</c:v>
                </c:pt>
              </c:strCache>
            </c:strRef>
          </c:tx>
          <c:spPr>
            <a:solidFill>
              <a:srgbClr val="E5E5FF"/>
            </a:solidFill>
            <a:ln>
              <a:noFill/>
            </a:ln>
            <a:effectLst/>
          </c:spPr>
          <c:invertIfNegative val="0"/>
          <c:dLbls>
            <c:dLbl>
              <c:idx val="0"/>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9-702B-4459-821C-43E84C6E15BB}"/>
                </c:ext>
              </c:extLst>
            </c:dLbl>
            <c:dLbl>
              <c:idx val="1"/>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A-702B-4459-821C-43E84C6E15BB}"/>
                </c:ext>
              </c:extLst>
            </c:dLbl>
            <c:dLbl>
              <c:idx val="2"/>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C-702B-4459-821C-43E84C6E15BB}"/>
                </c:ext>
              </c:extLst>
            </c:dLbl>
            <c:dLbl>
              <c:idx val="3"/>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6-702B-4459-821C-43E84C6E15BB}"/>
                </c:ext>
              </c:extLst>
            </c:dLbl>
            <c:dLbl>
              <c:idx val="4"/>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3-702B-4459-821C-43E84C6E15BB}"/>
                </c:ext>
              </c:extLst>
            </c:dLbl>
            <c:dLbl>
              <c:idx val="5"/>
              <c:delete val="1"/>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1-702B-4459-821C-43E84C6E15BB}"/>
                </c:ext>
              </c:extLst>
            </c:dLbl>
            <c:dLbl>
              <c:idx val="6"/>
              <c:layout>
                <c:manualLayout>
                  <c:x val="-2.1561017680034496E-3"/>
                  <c:y val="-5.0505050505050504E-2"/>
                </c:manualLayout>
              </c:layout>
              <c:dLblPos val="outEnd"/>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E-702B-4459-821C-43E84C6E15BB}"/>
                </c:ext>
              </c:extLst>
            </c:dLbl>
            <c:dLbl>
              <c:idx val="7"/>
              <c:layout>
                <c:manualLayout>
                  <c:x val="2.8029322984044688E-2"/>
                  <c:y val="-5.0505050505050567E-2"/>
                </c:manualLayout>
              </c:layout>
              <c:dLblPos val="outEnd"/>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 xmlns:c16="http://schemas.microsoft.com/office/drawing/2014/chart" uri="{C3380CC4-5D6E-409C-BE32-E72D297353CC}">
                  <c16:uniqueId val="{0000000D-702B-4459-821C-43E84C6E15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multiLvlStrRef>
              <c:f>'[Cálculos Puerto Leguízamo - Putumayo.xlsx]1. Análisis de Asignación'!$F$3:$M$4</c:f>
              <c:multiLvlStrCache>
                <c:ptCount val="8"/>
                <c:lvl>
                  <c:pt idx="0">
                    <c:v>Población </c:v>
                  </c:pt>
                  <c:pt idx="1">
                    <c:v>Pobreza</c:v>
                  </c:pt>
                  <c:pt idx="2">
                    <c:v>Población </c:v>
                  </c:pt>
                  <c:pt idx="3">
                    <c:v>Pobreza </c:v>
                  </c:pt>
                  <c:pt idx="4">
                    <c:v>Eficiencia Fiscal</c:v>
                  </c:pt>
                  <c:pt idx="5">
                    <c:v>Eficiencia Administrativa</c:v>
                  </c:pt>
                  <c:pt idx="6">
                    <c:v>Compensación deporte</c:v>
                  </c:pt>
                  <c:pt idx="7">
                    <c:v>Compensación cultura</c:v>
                  </c:pt>
                </c:lvl>
                <c:lvl>
                  <c:pt idx="0">
                    <c:v>Menores de 25 mil habitantes</c:v>
                  </c:pt>
                  <c:pt idx="2">
                    <c:v>Resto criterios Propósito General</c:v>
                  </c:pt>
                </c:lvl>
              </c:multiLvlStrCache>
            </c:multiLvlStrRef>
          </c:cat>
          <c:val>
            <c:numRef>
              <c:f>'[Cálculos Puerto Leguízamo - Putumayo.xlsx]1. Análisis de Asignación'!$F$5:$M$5</c:f>
              <c:numCache>
                <c:formatCode>_-"$"\ * #,##0_-;\-"$"\ * #,##0_-;_-"$"\ * "-"??_-;_-@_-</c:formatCode>
                <c:ptCount val="8"/>
                <c:pt idx="0">
                  <c:v>476562573</c:v>
                </c:pt>
                <c:pt idx="1">
                  <c:v>406618488</c:v>
                </c:pt>
                <c:pt idx="2">
                  <c:v>443601959</c:v>
                </c:pt>
                <c:pt idx="3">
                  <c:v>978752659</c:v>
                </c:pt>
                <c:pt idx="4">
                  <c:v>0</c:v>
                </c:pt>
                <c:pt idx="5">
                  <c:v>0</c:v>
                </c:pt>
                <c:pt idx="6">
                  <c:v>14652072</c:v>
                </c:pt>
                <c:pt idx="7">
                  <c:v>10989053</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7A54-4740-AC2A-49DD68DE2D7D}"/>
            </c:ext>
          </c:extLst>
        </c:ser>
        <c:ser>
          <c:idx val="1"/>
          <c:order val="1"/>
          <c:tx>
            <c:strRef>
              <c:f>'[Cálculos Puerto Leguízamo - Putumayo.xlsx]1. Análisis de Asignación'!$E$6</c:f>
              <c:strCache>
                <c:ptCount val="1"/>
                <c:pt idx="0">
                  <c:v>2019</c:v>
                </c:pt>
              </c:strCache>
            </c:strRef>
          </c:tx>
          <c:spPr>
            <a:solidFill>
              <a:srgbClr val="9999FF"/>
            </a:solidFill>
            <a:ln>
              <a:noFill/>
            </a:ln>
            <a:effectLst/>
          </c:spPr>
          <c:invertIfNegative val="0"/>
          <c:dLbls>
            <c:delete val="1"/>
          </c:dLbls>
          <c:cat>
            <c:multiLvlStrRef>
              <c:f>'[Cálculos Puerto Leguízamo - Putumayo.xlsx]1. Análisis de Asignación'!$F$3:$M$4</c:f>
              <c:multiLvlStrCache>
                <c:ptCount val="8"/>
                <c:lvl>
                  <c:pt idx="0">
                    <c:v>Población </c:v>
                  </c:pt>
                  <c:pt idx="1">
                    <c:v>Pobreza</c:v>
                  </c:pt>
                  <c:pt idx="2">
                    <c:v>Población </c:v>
                  </c:pt>
                  <c:pt idx="3">
                    <c:v>Pobreza </c:v>
                  </c:pt>
                  <c:pt idx="4">
                    <c:v>Eficiencia Fiscal</c:v>
                  </c:pt>
                  <c:pt idx="5">
                    <c:v>Eficiencia Administrativa</c:v>
                  </c:pt>
                  <c:pt idx="6">
                    <c:v>Compensación deporte</c:v>
                  </c:pt>
                  <c:pt idx="7">
                    <c:v>Compensación cultura</c:v>
                  </c:pt>
                </c:lvl>
                <c:lvl>
                  <c:pt idx="0">
                    <c:v>Menores de 25 mil habitantes</c:v>
                  </c:pt>
                  <c:pt idx="2">
                    <c:v>Resto criterios Propósito General</c:v>
                  </c:pt>
                </c:lvl>
              </c:multiLvlStrCache>
            </c:multiLvlStrRef>
          </c:cat>
          <c:val>
            <c:numRef>
              <c:f>'[Cálculos Puerto Leguízamo - Putumayo.xlsx]1. Análisis de Asignación'!$F$6:$M$6</c:f>
              <c:numCache>
                <c:formatCode>_-"$"\ * #,##0_-;\-"$"\ * #,##0_-;_-"$"\ * "-"??_-;_-@_-</c:formatCode>
                <c:ptCount val="8"/>
                <c:pt idx="0">
                  <c:v>526236996</c:v>
                </c:pt>
                <c:pt idx="1">
                  <c:v>450361676</c:v>
                </c:pt>
                <c:pt idx="2">
                  <c:v>443601959</c:v>
                </c:pt>
                <c:pt idx="3">
                  <c:v>1079592763</c:v>
                </c:pt>
                <c:pt idx="4">
                  <c:v>0</c:v>
                </c:pt>
                <c:pt idx="6">
                  <c:v>0</c:v>
                </c:pt>
                <c:pt idx="7">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7A54-4740-AC2A-49DD68DE2D7D}"/>
            </c:ext>
          </c:extLst>
        </c:ser>
        <c:ser>
          <c:idx val="2"/>
          <c:order val="2"/>
          <c:tx>
            <c:strRef>
              <c:f>'[Cálculos Puerto Leguízamo - Putumayo.xlsx]1. Análisis de Asignación'!$E$7</c:f>
              <c:strCache>
                <c:ptCount val="1"/>
                <c:pt idx="0">
                  <c:v>2020</c:v>
                </c:pt>
              </c:strCache>
            </c:strRef>
          </c:tx>
          <c:spPr>
            <a:solidFill>
              <a:srgbClr val="7030A0"/>
            </a:solidFill>
            <a:ln>
              <a:noFill/>
            </a:ln>
            <a:effectLst/>
          </c:spPr>
          <c:invertIfNegative val="0"/>
          <c:dLbls>
            <c:delete val="1"/>
          </c:dLbls>
          <c:cat>
            <c:multiLvlStrRef>
              <c:f>'[Cálculos Puerto Leguízamo - Putumayo.xlsx]1. Análisis de Asignación'!$F$3:$M$4</c:f>
              <c:multiLvlStrCache>
                <c:ptCount val="8"/>
                <c:lvl>
                  <c:pt idx="0">
                    <c:v>Población </c:v>
                  </c:pt>
                  <c:pt idx="1">
                    <c:v>Pobreza</c:v>
                  </c:pt>
                  <c:pt idx="2">
                    <c:v>Población </c:v>
                  </c:pt>
                  <c:pt idx="3">
                    <c:v>Pobreza </c:v>
                  </c:pt>
                  <c:pt idx="4">
                    <c:v>Eficiencia Fiscal</c:v>
                  </c:pt>
                  <c:pt idx="5">
                    <c:v>Eficiencia Administrativa</c:v>
                  </c:pt>
                  <c:pt idx="6">
                    <c:v>Compensación deporte</c:v>
                  </c:pt>
                  <c:pt idx="7">
                    <c:v>Compensación cultura</c:v>
                  </c:pt>
                </c:lvl>
                <c:lvl>
                  <c:pt idx="0">
                    <c:v>Menores de 25 mil habitantes</c:v>
                  </c:pt>
                  <c:pt idx="2">
                    <c:v>Resto criterios Propósito General</c:v>
                  </c:pt>
                </c:lvl>
              </c:multiLvlStrCache>
            </c:multiLvlStrRef>
          </c:cat>
          <c:val>
            <c:numRef>
              <c:f>'[Cálculos Puerto Leguízamo - Putumayo.xlsx]1. Análisis de Asignación'!$F$7:$M$7</c:f>
              <c:numCache>
                <c:formatCode>_-"$"\ * #,##0_-;\-"$"\ * #,##0_-;_-"$"\ * "-"??_-;_-@_-</c:formatCode>
                <c:ptCount val="8"/>
                <c:pt idx="0">
                  <c:v>0</c:v>
                </c:pt>
                <c:pt idx="1">
                  <c:v>0</c:v>
                </c:pt>
                <c:pt idx="2">
                  <c:v>746513081</c:v>
                </c:pt>
                <c:pt idx="3">
                  <c:v>1452848518</c:v>
                </c:pt>
                <c:pt idx="4">
                  <c:v>0</c:v>
                </c:pt>
                <c:pt idx="5">
                  <c:v>194718271</c:v>
                </c:pt>
                <c:pt idx="6">
                  <c:v>0</c:v>
                </c:pt>
                <c:pt idx="7">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7A54-4740-AC2A-49DD68DE2D7D}"/>
            </c:ext>
          </c:extLst>
        </c:ser>
        <c:dLbls>
          <c:dLblPos val="outEnd"/>
          <c:showLegendKey val="0"/>
          <c:showVal val="1"/>
          <c:showCatName val="0"/>
          <c:showSerName val="0"/>
          <c:showPercent val="0"/>
          <c:showBubbleSize val="0"/>
        </c:dLbls>
        <c:gapWidth val="150"/>
        <c:axId val="367563232"/>
        <c:axId val="367563648"/>
      </c:barChart>
      <c:catAx>
        <c:axId val="367563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67563648"/>
        <c:crosses val="autoZero"/>
        <c:auto val="1"/>
        <c:lblAlgn val="ctr"/>
        <c:lblOffset val="100"/>
        <c:noMultiLvlLbl val="0"/>
      </c:catAx>
      <c:valAx>
        <c:axId val="36756364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675632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9738078881079463"/>
          <c:y val="2.4266936299292215E-2"/>
          <c:w val="0.77801071007063716"/>
          <c:h val="0.35050150076033221"/>
        </c:manualLayout>
      </c:layout>
      <c:barChart>
        <c:barDir val="col"/>
        <c:grouping val="clustered"/>
        <c:varyColors val="0"/>
        <c:ser>
          <c:idx val="0"/>
          <c:order val="0"/>
          <c:tx>
            <c:strRef>
              <c:f>'[Cálculos Puerto Leguízamo - Putumayo.xlsx]3. Patrones de inversión'!$D$5</c:f>
              <c:strCache>
                <c:ptCount val="1"/>
                <c:pt idx="0">
                  <c:v>Compromisos
2018</c:v>
                </c:pt>
              </c:strCache>
            </c:strRef>
          </c:tx>
          <c:spPr>
            <a:solidFill>
              <a:srgbClr val="CCCCFF"/>
            </a:solidFill>
            <a:ln>
              <a:noFill/>
            </a:ln>
            <a:effectLst/>
          </c:spPr>
          <c:invertIfNegative val="0"/>
          <c:cat>
            <c:strRef>
              <c:f>'[Cálculos Puerto Leguízamo - Putumayo.xlsx]3. Patrones de inversión'!$C$6:$C$20</c:f>
              <c:strCache>
                <c:ptCount val="12"/>
                <c:pt idx="0">
                  <c:v> Atención a grupos vulnerables</c:v>
                </c:pt>
                <c:pt idx="1">
                  <c:v>Justicia</c:v>
                </c:pt>
                <c:pt idx="2">
                  <c:v>Centros de reclusión</c:v>
                </c:pt>
                <c:pt idx="3">
                  <c:v>Fortalecimiento Institucional</c:v>
                </c:pt>
                <c:pt idx="4">
                  <c:v>Prevención y atención de desastres </c:v>
                </c:pt>
                <c:pt idx="5">
                  <c:v>Transporte</c:v>
                </c:pt>
                <c:pt idx="6">
                  <c:v>Agropecuario</c:v>
                </c:pt>
                <c:pt idx="7">
                  <c:v>Deporte</c:v>
                </c:pt>
                <c:pt idx="8">
                  <c:v>Cultura</c:v>
                </c:pt>
                <c:pt idx="9">
                  <c:v>Equipamiento Municipal</c:v>
                </c:pt>
                <c:pt idx="10">
                  <c:v>Salud</c:v>
                </c:pt>
                <c:pt idx="11">
                  <c:v>OTROS</c:v>
                </c:pt>
              </c:str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strRef>
          </c:cat>
          <c:val>
            <c:numRef>
              <c:f>'[Cálculos Puerto Leguízamo - Putumayo.xlsx]3. Patrones de inversión'!$D$6:$D$20</c:f>
              <c:numCache>
                <c:formatCode>"$"#,##0_);[Red]\("$"#,##0\)</c:formatCode>
                <c:ptCount val="12"/>
                <c:pt idx="0">
                  <c:v>331360371.54000002</c:v>
                </c:pt>
                <c:pt idx="1">
                  <c:v>189255867</c:v>
                </c:pt>
                <c:pt idx="2">
                  <c:v>130269898</c:v>
                </c:pt>
                <c:pt idx="3">
                  <c:v>144112500</c:v>
                </c:pt>
                <c:pt idx="4">
                  <c:v>81965000</c:v>
                </c:pt>
                <c:pt idx="5">
                  <c:v>208663880.68000001</c:v>
                </c:pt>
                <c:pt idx="6">
                  <c:v>161483991</c:v>
                </c:pt>
                <c:pt idx="7">
                  <c:v>105233764.37</c:v>
                </c:pt>
                <c:pt idx="8">
                  <c:v>43213000</c:v>
                </c:pt>
                <c:pt idx="9">
                  <c:v>56477353</c:v>
                </c:pt>
                <c:pt idx="10">
                  <c:v>25000000</c:v>
                </c:pt>
                <c:pt idx="11">
                  <c:v>68854732.430000007</c:v>
                </c:pt>
              </c:num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7CD2-483E-8188-EF431F0EF446}"/>
            </c:ext>
          </c:extLst>
        </c:ser>
        <c:ser>
          <c:idx val="1"/>
          <c:order val="1"/>
          <c:tx>
            <c:strRef>
              <c:f>'[Cálculos Puerto Leguízamo - Putumayo.xlsx]3. Patrones de inversión'!$E$5</c:f>
              <c:strCache>
                <c:ptCount val="1"/>
                <c:pt idx="0">
                  <c:v>Compromisos
2019</c:v>
                </c:pt>
              </c:strCache>
            </c:strRef>
          </c:tx>
          <c:spPr>
            <a:solidFill>
              <a:srgbClr val="9999FF"/>
            </a:solidFill>
            <a:ln>
              <a:noFill/>
            </a:ln>
            <a:effectLst/>
          </c:spPr>
          <c:invertIfNegative val="0"/>
          <c:cat>
            <c:strRef>
              <c:f>'[Cálculos Puerto Leguízamo - Putumayo.xlsx]3. Patrones de inversión'!$C$6:$C$20</c:f>
              <c:strCache>
                <c:ptCount val="12"/>
                <c:pt idx="0">
                  <c:v> Atención a grupos vulnerables</c:v>
                </c:pt>
                <c:pt idx="1">
                  <c:v>Justicia</c:v>
                </c:pt>
                <c:pt idx="2">
                  <c:v>Centros de reclusión</c:v>
                </c:pt>
                <c:pt idx="3">
                  <c:v>Fortalecimiento Institucional</c:v>
                </c:pt>
                <c:pt idx="4">
                  <c:v>Prevención y atención de desastres </c:v>
                </c:pt>
                <c:pt idx="5">
                  <c:v>Transporte</c:v>
                </c:pt>
                <c:pt idx="6">
                  <c:v>Agropecuario</c:v>
                </c:pt>
                <c:pt idx="7">
                  <c:v>Deporte</c:v>
                </c:pt>
                <c:pt idx="8">
                  <c:v>Cultura</c:v>
                </c:pt>
                <c:pt idx="9">
                  <c:v>Equipamiento Municipal</c:v>
                </c:pt>
                <c:pt idx="10">
                  <c:v>Salud</c:v>
                </c:pt>
                <c:pt idx="11">
                  <c:v>OTROS</c:v>
                </c:pt>
              </c:str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strRef>
          </c:cat>
          <c:val>
            <c:numRef>
              <c:f>'[Cálculos Puerto Leguízamo - Putumayo.xlsx]3. Patrones de inversión'!$E$6:$E$20</c:f>
              <c:numCache>
                <c:formatCode>"$"#,##0_);[Red]\("$"#,##0\)</c:formatCode>
                <c:ptCount val="12"/>
                <c:pt idx="0">
                  <c:v>289320100</c:v>
                </c:pt>
                <c:pt idx="1">
                  <c:v>187523176</c:v>
                </c:pt>
                <c:pt idx="2">
                  <c:v>203347400</c:v>
                </c:pt>
                <c:pt idx="3">
                  <c:v>145730000</c:v>
                </c:pt>
                <c:pt idx="4">
                  <c:v>102999994</c:v>
                </c:pt>
                <c:pt idx="5">
                  <c:v>157724184</c:v>
                </c:pt>
                <c:pt idx="6">
                  <c:v>121400000</c:v>
                </c:pt>
                <c:pt idx="7">
                  <c:v>43192391</c:v>
                </c:pt>
                <c:pt idx="8">
                  <c:v>32327680</c:v>
                </c:pt>
                <c:pt idx="9">
                  <c:v>58999993</c:v>
                </c:pt>
                <c:pt idx="10">
                  <c:v>31500000</c:v>
                </c:pt>
                <c:pt idx="11">
                  <c:v>67083333</c:v>
                </c:pt>
              </c:num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7CD2-483E-8188-EF431F0EF446}"/>
            </c:ext>
          </c:extLst>
        </c:ser>
        <c:ser>
          <c:idx val="2"/>
          <c:order val="2"/>
          <c:tx>
            <c:strRef>
              <c:f>'[Cálculos Puerto Leguízamo - Putumayo.xlsx]3. Patrones de inversión'!$F$5</c:f>
              <c:strCache>
                <c:ptCount val="1"/>
                <c:pt idx="0">
                  <c:v>Compromisos
2020</c:v>
                </c:pt>
              </c:strCache>
            </c:strRef>
          </c:tx>
          <c:spPr>
            <a:solidFill>
              <a:srgbClr val="7030A0"/>
            </a:solidFill>
            <a:ln>
              <a:noFill/>
            </a:ln>
            <a:effectLst/>
          </c:spPr>
          <c:invertIfNegative val="0"/>
          <c:cat>
            <c:strRef>
              <c:f>'[Cálculos Puerto Leguízamo - Putumayo.xlsx]3. Patrones de inversión'!$C$6:$C$20</c:f>
              <c:strCache>
                <c:ptCount val="12"/>
                <c:pt idx="0">
                  <c:v> Atención a grupos vulnerables</c:v>
                </c:pt>
                <c:pt idx="1">
                  <c:v>Justicia</c:v>
                </c:pt>
                <c:pt idx="2">
                  <c:v>Centros de reclusión</c:v>
                </c:pt>
                <c:pt idx="3">
                  <c:v>Fortalecimiento Institucional</c:v>
                </c:pt>
                <c:pt idx="4">
                  <c:v>Prevención y atención de desastres </c:v>
                </c:pt>
                <c:pt idx="5">
                  <c:v>Transporte</c:v>
                </c:pt>
                <c:pt idx="6">
                  <c:v>Agropecuario</c:v>
                </c:pt>
                <c:pt idx="7">
                  <c:v>Deporte</c:v>
                </c:pt>
                <c:pt idx="8">
                  <c:v>Cultura</c:v>
                </c:pt>
                <c:pt idx="9">
                  <c:v>Equipamiento Municipal</c:v>
                </c:pt>
                <c:pt idx="10">
                  <c:v>Salud</c:v>
                </c:pt>
                <c:pt idx="11">
                  <c:v>OTROS</c:v>
                </c:pt>
              </c:str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strRef>
          </c:cat>
          <c:val>
            <c:numRef>
              <c:f>'[Cálculos Puerto Leguízamo - Putumayo.xlsx]3. Patrones de inversión'!$F$6:$F$20</c:f>
              <c:numCache>
                <c:formatCode>"$"#,##0_);[Red]\("$"#,##0\)</c:formatCode>
                <c:ptCount val="12"/>
                <c:pt idx="0">
                  <c:v>284641570</c:v>
                </c:pt>
                <c:pt idx="1">
                  <c:v>226025879</c:v>
                </c:pt>
                <c:pt idx="2">
                  <c:v>190257650</c:v>
                </c:pt>
                <c:pt idx="3">
                  <c:v>161840000</c:v>
                </c:pt>
                <c:pt idx="4">
                  <c:v>209480000</c:v>
                </c:pt>
                <c:pt idx="5">
                  <c:v>23999010</c:v>
                </c:pt>
                <c:pt idx="6">
                  <c:v>82840000</c:v>
                </c:pt>
                <c:pt idx="7">
                  <c:v>94642654.730000004</c:v>
                </c:pt>
                <c:pt idx="8">
                  <c:v>61658854</c:v>
                </c:pt>
                <c:pt idx="9">
                  <c:v>5000000</c:v>
                </c:pt>
                <c:pt idx="10">
                  <c:v>27600000</c:v>
                </c:pt>
                <c:pt idx="11">
                  <c:v>47646560</c:v>
                </c:pt>
              </c:numCache>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7CD2-483E-8188-EF431F0EF446}"/>
            </c:ext>
          </c:extLst>
        </c:ser>
        <c:dLbls>
          <c:showLegendKey val="0"/>
          <c:showVal val="0"/>
          <c:showCatName val="0"/>
          <c:showSerName val="0"/>
          <c:showPercent val="0"/>
          <c:showBubbleSize val="0"/>
        </c:dLbls>
        <c:gapWidth val="219"/>
        <c:overlap val="-27"/>
        <c:axId val="168239520"/>
        <c:axId val="2061420512"/>
      </c:barChart>
      <c:catAx>
        <c:axId val="168239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Sectores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61420512"/>
        <c:crosses val="autoZero"/>
        <c:auto val="1"/>
        <c:lblAlgn val="ctr"/>
        <c:lblOffset val="100"/>
        <c:noMultiLvlLbl val="0"/>
      </c:catAx>
      <c:valAx>
        <c:axId val="206142051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823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Hoja1!$C$2</c:f>
              <c:strCache>
                <c:ptCount val="1"/>
                <c:pt idx="0">
                  <c:v>2023</c:v>
                </c:pt>
              </c:strCache>
            </c:strRef>
          </c:tx>
          <c:spPr>
            <a:solidFill>
              <a:srgbClr val="E5E5FF"/>
            </a:solidFill>
            <a:ln>
              <a:solidFill>
                <a:srgbClr val="9999FF"/>
              </a:solidFill>
            </a:ln>
            <a:effectLst/>
          </c:spPr>
          <c:invertIfNegative val="0"/>
          <c:cat>
            <c:strRef>
              <c:f>Hoja1!$B$3:$B$18</c:f>
              <c:strCache>
                <c:ptCount val="16"/>
                <c:pt idx="0">
                  <c:v> Comercio, industria y turismo </c:v>
                </c:pt>
                <c:pt idx="1">
                  <c:v> Información estadística </c:v>
                </c:pt>
                <c:pt idx="2">
                  <c:v> Tecnologías de la información y las comunicaciones </c:v>
                </c:pt>
                <c:pt idx="3">
                  <c:v> Trabajo </c:v>
                </c:pt>
                <c:pt idx="4">
                  <c:v> Justicia y del derecho </c:v>
                </c:pt>
                <c:pt idx="5">
                  <c:v> Transporte </c:v>
                </c:pt>
                <c:pt idx="6">
                  <c:v> Deporte y recreación </c:v>
                </c:pt>
                <c:pt idx="7">
                  <c:v> Minas y energía </c:v>
                </c:pt>
                <c:pt idx="8">
                  <c:v> Agricultura y desarrollo rural </c:v>
                </c:pt>
                <c:pt idx="9">
                  <c:v> Ambiente y desarrollo sostenible </c:v>
                </c:pt>
                <c:pt idx="10">
                  <c:v> Cultura </c:v>
                </c:pt>
                <c:pt idx="11">
                  <c:v> Inclusión social y reconciliación </c:v>
                </c:pt>
                <c:pt idx="12">
                  <c:v> Gobierno territorial </c:v>
                </c:pt>
                <c:pt idx="13">
                  <c:v> Salud y protección social </c:v>
                </c:pt>
                <c:pt idx="14">
                  <c:v> Educación </c:v>
                </c:pt>
                <c:pt idx="15">
                  <c:v> Vivienda, ciudad y territorio </c:v>
                </c:pt>
              </c:strCache>
            </c:strRef>
          </c:cat>
          <c:val>
            <c:numRef>
              <c:f>Hoja1!$C$3:$C$18</c:f>
              <c:numCache>
                <c:formatCode>_-"$"\ * #,##0_-;\-"$"\ * #,##0_-;_-"$"\ * "-"??_-;_-@_-</c:formatCode>
                <c:ptCount val="16"/>
                <c:pt idx="0">
                  <c:v>2710000</c:v>
                </c:pt>
                <c:pt idx="1">
                  <c:v>9000000</c:v>
                </c:pt>
                <c:pt idx="2">
                  <c:v>22000000</c:v>
                </c:pt>
                <c:pt idx="3">
                  <c:v>24600000</c:v>
                </c:pt>
                <c:pt idx="4">
                  <c:v>30400000</c:v>
                </c:pt>
                <c:pt idx="5">
                  <c:v>34000000</c:v>
                </c:pt>
                <c:pt idx="6">
                  <c:v>56000000</c:v>
                </c:pt>
                <c:pt idx="7">
                  <c:v>56000000</c:v>
                </c:pt>
                <c:pt idx="8">
                  <c:v>62690000.200000003</c:v>
                </c:pt>
                <c:pt idx="9">
                  <c:v>99200000</c:v>
                </c:pt>
                <c:pt idx="10">
                  <c:v>159000000</c:v>
                </c:pt>
                <c:pt idx="11">
                  <c:v>175300000</c:v>
                </c:pt>
                <c:pt idx="12">
                  <c:v>299600000</c:v>
                </c:pt>
                <c:pt idx="13">
                  <c:v>352400000</c:v>
                </c:pt>
                <c:pt idx="14">
                  <c:v>603000000</c:v>
                </c:pt>
                <c:pt idx="15">
                  <c:v>880600000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1973-434C-9748-FF86FA60B799}"/>
            </c:ext>
          </c:extLst>
        </c:ser>
        <c:ser>
          <c:idx val="1"/>
          <c:order val="1"/>
          <c:tx>
            <c:strRef>
              <c:f>Hoja1!$D$2</c:f>
              <c:strCache>
                <c:ptCount val="1"/>
                <c:pt idx="0">
                  <c:v>2022</c:v>
                </c:pt>
              </c:strCache>
            </c:strRef>
          </c:tx>
          <c:spPr>
            <a:solidFill>
              <a:srgbClr val="9966FF"/>
            </a:solidFill>
            <a:ln>
              <a:noFill/>
            </a:ln>
            <a:effectLst/>
          </c:spPr>
          <c:invertIfNegative val="0"/>
          <c:cat>
            <c:strRef>
              <c:f>Hoja1!$B$3:$B$18</c:f>
              <c:strCache>
                <c:ptCount val="16"/>
                <c:pt idx="0">
                  <c:v> Comercio, industria y turismo </c:v>
                </c:pt>
                <c:pt idx="1">
                  <c:v> Información estadística </c:v>
                </c:pt>
                <c:pt idx="2">
                  <c:v> Tecnologías de la información y las comunicaciones </c:v>
                </c:pt>
                <c:pt idx="3">
                  <c:v> Trabajo </c:v>
                </c:pt>
                <c:pt idx="4">
                  <c:v> Justicia y del derecho </c:v>
                </c:pt>
                <c:pt idx="5">
                  <c:v> Transporte </c:v>
                </c:pt>
                <c:pt idx="6">
                  <c:v> Deporte y recreación </c:v>
                </c:pt>
                <c:pt idx="7">
                  <c:v> Minas y energía </c:v>
                </c:pt>
                <c:pt idx="8">
                  <c:v> Agricultura y desarrollo rural </c:v>
                </c:pt>
                <c:pt idx="9">
                  <c:v> Ambiente y desarrollo sostenible </c:v>
                </c:pt>
                <c:pt idx="10">
                  <c:v> Cultura </c:v>
                </c:pt>
                <c:pt idx="11">
                  <c:v> Inclusión social y reconciliación </c:v>
                </c:pt>
                <c:pt idx="12">
                  <c:v> Gobierno territorial </c:v>
                </c:pt>
                <c:pt idx="13">
                  <c:v> Salud y protección social </c:v>
                </c:pt>
                <c:pt idx="14">
                  <c:v> Educación </c:v>
                </c:pt>
                <c:pt idx="15">
                  <c:v> Vivienda, ciudad y territorio </c:v>
                </c:pt>
              </c:strCache>
            </c:strRef>
          </c:cat>
          <c:val>
            <c:numRef>
              <c:f>Hoja1!$D$3:$D$18</c:f>
              <c:numCache>
                <c:formatCode>_-"$"\ * #,##0_-;\-"$"\ * #,##0_-;_-"$"\ * "-"??_-;_-@_-</c:formatCode>
                <c:ptCount val="16"/>
                <c:pt idx="0">
                  <c:v>4065000</c:v>
                </c:pt>
                <c:pt idx="1">
                  <c:v>13500000</c:v>
                </c:pt>
                <c:pt idx="2">
                  <c:v>33000000</c:v>
                </c:pt>
                <c:pt idx="3">
                  <c:v>36900000</c:v>
                </c:pt>
                <c:pt idx="4">
                  <c:v>45600000</c:v>
                </c:pt>
                <c:pt idx="5">
                  <c:v>51000000</c:v>
                </c:pt>
                <c:pt idx="6">
                  <c:v>84000000</c:v>
                </c:pt>
                <c:pt idx="7">
                  <c:v>84000000</c:v>
                </c:pt>
                <c:pt idx="8">
                  <c:v>94035000.299999997</c:v>
                </c:pt>
                <c:pt idx="9">
                  <c:v>148800000</c:v>
                </c:pt>
                <c:pt idx="10">
                  <c:v>238500000</c:v>
                </c:pt>
                <c:pt idx="11">
                  <c:v>262950000</c:v>
                </c:pt>
                <c:pt idx="12">
                  <c:v>449400000</c:v>
                </c:pt>
                <c:pt idx="13">
                  <c:v>528600000</c:v>
                </c:pt>
                <c:pt idx="14">
                  <c:v>904500000</c:v>
                </c:pt>
                <c:pt idx="15">
                  <c:v>1320900000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1973-434C-9748-FF86FA60B799}"/>
            </c:ext>
          </c:extLst>
        </c:ser>
        <c:ser>
          <c:idx val="2"/>
          <c:order val="2"/>
          <c:tx>
            <c:strRef>
              <c:f>Hoja1!$E$2</c:f>
              <c:strCache>
                <c:ptCount val="1"/>
                <c:pt idx="0">
                  <c:v>2021</c:v>
                </c:pt>
              </c:strCache>
            </c:strRef>
          </c:tx>
          <c:spPr>
            <a:solidFill>
              <a:srgbClr val="7030A0"/>
            </a:solidFill>
            <a:ln>
              <a:noFill/>
            </a:ln>
            <a:effectLst/>
          </c:spPr>
          <c:invertIfNegative val="0"/>
          <c:cat>
            <c:strRef>
              <c:f>Hoja1!$B$3:$B$18</c:f>
              <c:strCache>
                <c:ptCount val="16"/>
                <c:pt idx="0">
                  <c:v> Comercio, industria y turismo </c:v>
                </c:pt>
                <c:pt idx="1">
                  <c:v> Información estadística </c:v>
                </c:pt>
                <c:pt idx="2">
                  <c:v> Tecnologías de la información y las comunicaciones </c:v>
                </c:pt>
                <c:pt idx="3">
                  <c:v> Trabajo </c:v>
                </c:pt>
                <c:pt idx="4">
                  <c:v> Justicia y del derecho </c:v>
                </c:pt>
                <c:pt idx="5">
                  <c:v> Transporte </c:v>
                </c:pt>
                <c:pt idx="6">
                  <c:v> Deporte y recreación </c:v>
                </c:pt>
                <c:pt idx="7">
                  <c:v> Minas y energía </c:v>
                </c:pt>
                <c:pt idx="8">
                  <c:v> Agricultura y desarrollo rural </c:v>
                </c:pt>
                <c:pt idx="9">
                  <c:v> Ambiente y desarrollo sostenible </c:v>
                </c:pt>
                <c:pt idx="10">
                  <c:v> Cultura </c:v>
                </c:pt>
                <c:pt idx="11">
                  <c:v> Inclusión social y reconciliación </c:v>
                </c:pt>
                <c:pt idx="12">
                  <c:v> Gobierno territorial </c:v>
                </c:pt>
                <c:pt idx="13">
                  <c:v> Salud y protección social </c:v>
                </c:pt>
                <c:pt idx="14">
                  <c:v> Educación </c:v>
                </c:pt>
                <c:pt idx="15">
                  <c:v> Vivienda, ciudad y territorio </c:v>
                </c:pt>
              </c:strCache>
            </c:strRef>
          </c:cat>
          <c:val>
            <c:numRef>
              <c:f>Hoja1!$E$3:$E$18</c:f>
              <c:numCache>
                <c:formatCode>_-"$"\ * #,##0_-;\-"$"\ * #,##0_-;_-"$"\ * "-"??_-;_-@_-</c:formatCode>
                <c:ptCount val="16"/>
                <c:pt idx="0">
                  <c:v>4065000</c:v>
                </c:pt>
                <c:pt idx="1">
                  <c:v>13500000</c:v>
                </c:pt>
                <c:pt idx="2">
                  <c:v>33000000</c:v>
                </c:pt>
                <c:pt idx="3">
                  <c:v>36900000</c:v>
                </c:pt>
                <c:pt idx="4">
                  <c:v>45600000</c:v>
                </c:pt>
                <c:pt idx="5">
                  <c:v>51000000</c:v>
                </c:pt>
                <c:pt idx="6">
                  <c:v>84000000</c:v>
                </c:pt>
                <c:pt idx="7">
                  <c:v>84000000</c:v>
                </c:pt>
                <c:pt idx="8">
                  <c:v>94035000.299999997</c:v>
                </c:pt>
                <c:pt idx="9">
                  <c:v>148800000</c:v>
                </c:pt>
                <c:pt idx="10">
                  <c:v>238500000</c:v>
                </c:pt>
                <c:pt idx="11">
                  <c:v>262950000</c:v>
                </c:pt>
                <c:pt idx="12">
                  <c:v>449400000</c:v>
                </c:pt>
                <c:pt idx="13">
                  <c:v>528600000</c:v>
                </c:pt>
                <c:pt idx="14">
                  <c:v>904500000</c:v>
                </c:pt>
                <c:pt idx="15">
                  <c:v>1320900000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1973-434C-9748-FF86FA60B799}"/>
            </c:ext>
          </c:extLst>
        </c:ser>
        <c:ser>
          <c:idx val="3"/>
          <c:order val="3"/>
          <c:tx>
            <c:strRef>
              <c:f>Hoja1!$F$2</c:f>
              <c:strCache>
                <c:ptCount val="1"/>
                <c:pt idx="0">
                  <c:v>2020</c:v>
                </c:pt>
              </c:strCache>
            </c:strRef>
          </c:tx>
          <c:spPr>
            <a:solidFill>
              <a:srgbClr val="666699"/>
            </a:solidFill>
            <a:ln>
              <a:noFill/>
            </a:ln>
            <a:effectLst/>
          </c:spPr>
          <c:invertIfNegative val="0"/>
          <c:cat>
            <c:strRef>
              <c:f>Hoja1!$B$3:$B$18</c:f>
              <c:strCache>
                <c:ptCount val="16"/>
                <c:pt idx="0">
                  <c:v> Comercio, industria y turismo </c:v>
                </c:pt>
                <c:pt idx="1">
                  <c:v> Información estadística </c:v>
                </c:pt>
                <c:pt idx="2">
                  <c:v> Tecnologías de la información y las comunicaciones </c:v>
                </c:pt>
                <c:pt idx="3">
                  <c:v> Trabajo </c:v>
                </c:pt>
                <c:pt idx="4">
                  <c:v> Justicia y del derecho </c:v>
                </c:pt>
                <c:pt idx="5">
                  <c:v> Transporte </c:v>
                </c:pt>
                <c:pt idx="6">
                  <c:v> Deporte y recreación </c:v>
                </c:pt>
                <c:pt idx="7">
                  <c:v> Minas y energía </c:v>
                </c:pt>
                <c:pt idx="8">
                  <c:v> Agricultura y desarrollo rural </c:v>
                </c:pt>
                <c:pt idx="9">
                  <c:v> Ambiente y desarrollo sostenible </c:v>
                </c:pt>
                <c:pt idx="10">
                  <c:v> Cultura </c:v>
                </c:pt>
                <c:pt idx="11">
                  <c:v> Inclusión social y reconciliación </c:v>
                </c:pt>
                <c:pt idx="12">
                  <c:v> Gobierno territorial </c:v>
                </c:pt>
                <c:pt idx="13">
                  <c:v> Salud y protección social </c:v>
                </c:pt>
                <c:pt idx="14">
                  <c:v> Educación </c:v>
                </c:pt>
                <c:pt idx="15">
                  <c:v> Vivienda, ciudad y territorio </c:v>
                </c:pt>
              </c:strCache>
            </c:strRef>
          </c:cat>
          <c:val>
            <c:numRef>
              <c:f>Hoja1!$F$3:$F$18</c:f>
              <c:numCache>
                <c:formatCode>_-"$"\ * #,##0_-;\-"$"\ * #,##0_-;_-"$"\ * "-"??_-;_-@_-</c:formatCode>
                <c:ptCount val="16"/>
                <c:pt idx="0">
                  <c:v>2710000</c:v>
                </c:pt>
                <c:pt idx="1">
                  <c:v>9000000</c:v>
                </c:pt>
                <c:pt idx="2">
                  <c:v>22000000</c:v>
                </c:pt>
                <c:pt idx="3">
                  <c:v>24600000</c:v>
                </c:pt>
                <c:pt idx="4">
                  <c:v>30400000</c:v>
                </c:pt>
                <c:pt idx="5">
                  <c:v>34000000</c:v>
                </c:pt>
                <c:pt idx="6">
                  <c:v>56000000</c:v>
                </c:pt>
                <c:pt idx="7">
                  <c:v>56000000</c:v>
                </c:pt>
                <c:pt idx="8">
                  <c:v>62690000</c:v>
                </c:pt>
                <c:pt idx="9">
                  <c:v>99200000</c:v>
                </c:pt>
                <c:pt idx="10">
                  <c:v>159000000</c:v>
                </c:pt>
                <c:pt idx="11">
                  <c:v>175300000</c:v>
                </c:pt>
                <c:pt idx="12">
                  <c:v>299600000</c:v>
                </c:pt>
                <c:pt idx="13">
                  <c:v>352400000</c:v>
                </c:pt>
                <c:pt idx="14">
                  <c:v>603000000</c:v>
                </c:pt>
                <c:pt idx="15">
                  <c:v>880600000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1973-434C-9748-FF86FA60B799}"/>
            </c:ext>
          </c:extLst>
        </c:ser>
        <c:dLbls>
          <c:showLegendKey val="0"/>
          <c:showVal val="0"/>
          <c:showCatName val="0"/>
          <c:showSerName val="0"/>
          <c:showPercent val="0"/>
          <c:showBubbleSize val="0"/>
        </c:dLbls>
        <c:gapWidth val="182"/>
        <c:axId val="985093583"/>
        <c:axId val="1486704687"/>
      </c:barChart>
      <c:catAx>
        <c:axId val="985093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486704687"/>
        <c:crosses val="autoZero"/>
        <c:auto val="1"/>
        <c:lblAlgn val="ctr"/>
        <c:lblOffset val="100"/>
        <c:noMultiLvlLbl val="0"/>
      </c:catAx>
      <c:valAx>
        <c:axId val="1486704687"/>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985093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CONSOLIDADO!$B$2</c:f>
              <c:strCache>
                <c:ptCount val="1"/>
                <c:pt idx="0">
                  <c:v>PROGRAMADO </c:v>
                </c:pt>
              </c:strCache>
            </c:strRef>
          </c:tx>
          <c:spPr>
            <a:solidFill>
              <a:srgbClr val="9999FF"/>
            </a:solidFill>
            <a:ln>
              <a:noFill/>
            </a:ln>
            <a:effectLst/>
          </c:spPr>
          <c:invertIfNegative val="0"/>
          <c:cat>
            <c:strRef>
              <c:f>CONSOLIDADO!$A$3:$A$17</c:f>
              <c:strCache>
                <c:ptCount val="15"/>
                <c:pt idx="0">
                  <c:v>A.1. Educación</c:v>
                </c:pt>
                <c:pt idx="1">
                  <c:v>A.10. Ambiental</c:v>
                </c:pt>
                <c:pt idx="2">
                  <c:v>A.12. Prevención y Atención de Desastres</c:v>
                </c:pt>
                <c:pt idx="3">
                  <c:v>A.13. Promoción del Desarrollo</c:v>
                </c:pt>
                <c:pt idx="4">
                  <c:v>A.14. Atención a Grupos Vulnerables - Promoción Social</c:v>
                </c:pt>
                <c:pt idx="5">
                  <c:v>A.15. Equipamiento</c:v>
                </c:pt>
                <c:pt idx="6">
                  <c:v>A.16. Desarrollo Comunitario</c:v>
                </c:pt>
                <c:pt idx="7">
                  <c:v>A.17. Fortalecimiento Institucional</c:v>
                </c:pt>
                <c:pt idx="8">
                  <c:v>A.18. Justicia y Seguridad</c:v>
                </c:pt>
                <c:pt idx="9">
                  <c:v>A.2. Salud</c:v>
                </c:pt>
                <c:pt idx="10">
                  <c:v>A.3. Agua Potable y Saneamiento Básico</c:v>
                </c:pt>
                <c:pt idx="11">
                  <c:v>A.4. Deporte y Recreación</c:v>
                </c:pt>
                <c:pt idx="12">
                  <c:v>A.5. Cultura</c:v>
                </c:pt>
                <c:pt idx="13">
                  <c:v>A.7. Vivienda</c:v>
                </c:pt>
                <c:pt idx="14">
                  <c:v>A.8. Agropecuario</c:v>
                </c:pt>
              </c:strCache>
            </c:strRef>
          </c:cat>
          <c:val>
            <c:numRef>
              <c:f>CONSOLIDADO!$B$3:$B$17</c:f>
              <c:numCache>
                <c:formatCode>_("$"* #,##0_);_("$"* \(#,##0\);_("$"* "-"_);_(@_)</c:formatCode>
                <c:ptCount val="15"/>
                <c:pt idx="0">
                  <c:v>35000</c:v>
                </c:pt>
                <c:pt idx="1">
                  <c:v>50000</c:v>
                </c:pt>
                <c:pt idx="2">
                  <c:v>39000</c:v>
                </c:pt>
                <c:pt idx="3">
                  <c:v>188000</c:v>
                </c:pt>
                <c:pt idx="4">
                  <c:v>283000</c:v>
                </c:pt>
                <c:pt idx="5">
                  <c:v>34000</c:v>
                </c:pt>
                <c:pt idx="6">
                  <c:v>50000</c:v>
                </c:pt>
                <c:pt idx="7">
                  <c:v>189700</c:v>
                </c:pt>
                <c:pt idx="8">
                  <c:v>26000</c:v>
                </c:pt>
                <c:pt idx="9">
                  <c:v>0</c:v>
                </c:pt>
                <c:pt idx="10">
                  <c:v>0</c:v>
                </c:pt>
                <c:pt idx="11">
                  <c:v>90000</c:v>
                </c:pt>
                <c:pt idx="12">
                  <c:v>185000</c:v>
                </c:pt>
                <c:pt idx="13">
                  <c:v>40000</c:v>
                </c:pt>
                <c:pt idx="14">
                  <c:v>228000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F0F8-4160-8F31-8A6E4D79EE0A}"/>
            </c:ext>
          </c:extLst>
        </c:ser>
        <c:ser>
          <c:idx val="1"/>
          <c:order val="1"/>
          <c:tx>
            <c:strRef>
              <c:f>CONSOLIDADO!$C$2</c:f>
              <c:strCache>
                <c:ptCount val="1"/>
                <c:pt idx="0">
                  <c:v>EJECUTADO </c:v>
                </c:pt>
              </c:strCache>
            </c:strRef>
          </c:tx>
          <c:spPr>
            <a:solidFill>
              <a:srgbClr val="666699"/>
            </a:solidFill>
            <a:ln>
              <a:noFill/>
            </a:ln>
            <a:effectLst/>
          </c:spPr>
          <c:invertIfNegative val="0"/>
          <c:cat>
            <c:strRef>
              <c:f>CONSOLIDADO!$A$3:$A$17</c:f>
              <c:strCache>
                <c:ptCount val="15"/>
                <c:pt idx="0">
                  <c:v>A.1. Educación</c:v>
                </c:pt>
                <c:pt idx="1">
                  <c:v>A.10. Ambiental</c:v>
                </c:pt>
                <c:pt idx="2">
                  <c:v>A.12. Prevención y Atención de Desastres</c:v>
                </c:pt>
                <c:pt idx="3">
                  <c:v>A.13. Promoción del Desarrollo</c:v>
                </c:pt>
                <c:pt idx="4">
                  <c:v>A.14. Atención a Grupos Vulnerables - Promoción Social</c:v>
                </c:pt>
                <c:pt idx="5">
                  <c:v>A.15. Equipamiento</c:v>
                </c:pt>
                <c:pt idx="6">
                  <c:v>A.16. Desarrollo Comunitario</c:v>
                </c:pt>
                <c:pt idx="7">
                  <c:v>A.17. Fortalecimiento Institucional</c:v>
                </c:pt>
                <c:pt idx="8">
                  <c:v>A.18. Justicia y Seguridad</c:v>
                </c:pt>
                <c:pt idx="9">
                  <c:v>A.2. Salud</c:v>
                </c:pt>
                <c:pt idx="10">
                  <c:v>A.3. Agua Potable y Saneamiento Básico</c:v>
                </c:pt>
                <c:pt idx="11">
                  <c:v>A.4. Deporte y Recreación</c:v>
                </c:pt>
                <c:pt idx="12">
                  <c:v>A.5. Cultura</c:v>
                </c:pt>
                <c:pt idx="13">
                  <c:v>A.7. Vivienda</c:v>
                </c:pt>
                <c:pt idx="14">
                  <c:v>A.8. Agropecuario</c:v>
                </c:pt>
              </c:strCache>
            </c:strRef>
          </c:cat>
          <c:val>
            <c:numRef>
              <c:f>CONSOLIDADO!$C$3:$C$17</c:f>
              <c:numCache>
                <c:formatCode>_("$"* #,##0_);_("$"* \(#,##0\);_("$"* "-"_);_(@_)</c:formatCode>
                <c:ptCount val="15"/>
                <c:pt idx="0">
                  <c:v>59000</c:v>
                </c:pt>
                <c:pt idx="1">
                  <c:v>75000</c:v>
                </c:pt>
                <c:pt idx="2">
                  <c:v>39000</c:v>
                </c:pt>
                <c:pt idx="3">
                  <c:v>20000</c:v>
                </c:pt>
                <c:pt idx="4">
                  <c:v>0</c:v>
                </c:pt>
                <c:pt idx="5">
                  <c:v>75000</c:v>
                </c:pt>
                <c:pt idx="6">
                  <c:v>38000</c:v>
                </c:pt>
                <c:pt idx="7">
                  <c:v>135000</c:v>
                </c:pt>
                <c:pt idx="8">
                  <c:v>60000</c:v>
                </c:pt>
                <c:pt idx="9">
                  <c:v>155000</c:v>
                </c:pt>
                <c:pt idx="10">
                  <c:v>35000</c:v>
                </c:pt>
                <c:pt idx="11">
                  <c:v>50000</c:v>
                </c:pt>
                <c:pt idx="12">
                  <c:v>0</c:v>
                </c:pt>
                <c:pt idx="13">
                  <c:v>0</c:v>
                </c:pt>
                <c:pt idx="14">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F0F8-4160-8F31-8A6E4D79EE0A}"/>
            </c:ext>
          </c:extLst>
        </c:ser>
        <c:dLbls>
          <c:showLegendKey val="0"/>
          <c:showVal val="0"/>
          <c:showCatName val="0"/>
          <c:showSerName val="0"/>
          <c:showPercent val="0"/>
          <c:showBubbleSize val="0"/>
        </c:dLbls>
        <c:gapWidth val="182"/>
        <c:axId val="655189872"/>
        <c:axId val="655184048"/>
      </c:barChart>
      <c:catAx>
        <c:axId val="65518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55184048"/>
        <c:crosses val="autoZero"/>
        <c:auto val="1"/>
        <c:lblAlgn val="ctr"/>
        <c:lblOffset val="100"/>
        <c:noMultiLvlLbl val="0"/>
      </c:catAx>
      <c:valAx>
        <c:axId val="655184048"/>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5518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CONSOLIDADO!$G$2</c:f>
              <c:strCache>
                <c:ptCount val="1"/>
                <c:pt idx="0">
                  <c:v>PROGRAMADO </c:v>
                </c:pt>
              </c:strCache>
            </c:strRef>
          </c:tx>
          <c:spPr>
            <a:solidFill>
              <a:srgbClr val="9999FF"/>
            </a:solidFill>
            <a:ln>
              <a:noFill/>
            </a:ln>
            <a:effectLst/>
          </c:spPr>
          <c:invertIfNegative val="0"/>
          <c:cat>
            <c:strRef>
              <c:f>CONSOLIDADO!$F$3:$F$19</c:f>
              <c:strCache>
                <c:ptCount val="17"/>
                <c:pt idx="0">
                  <c:v>A.1. Educación</c:v>
                </c:pt>
                <c:pt idx="1">
                  <c:v>A.10. Ambiental</c:v>
                </c:pt>
                <c:pt idx="2">
                  <c:v>A.11. Centros de Reclusión</c:v>
                </c:pt>
                <c:pt idx="3">
                  <c:v>A.12. Prevención y Atención de Desastres</c:v>
                </c:pt>
                <c:pt idx="4">
                  <c:v>A.13. Promoción del Desarrollo</c:v>
                </c:pt>
                <c:pt idx="5">
                  <c:v>A.14. Atención a Grupos Vulnerables - Promoción Social</c:v>
                </c:pt>
                <c:pt idx="6">
                  <c:v>A.15. Equipamiento</c:v>
                </c:pt>
                <c:pt idx="7">
                  <c:v>A.16. Desarrollo Comunitario</c:v>
                </c:pt>
                <c:pt idx="8">
                  <c:v>A.17. Fortalecimiento Institucional</c:v>
                </c:pt>
                <c:pt idx="9">
                  <c:v>A.18. Justicia y Seguridad</c:v>
                </c:pt>
                <c:pt idx="10">
                  <c:v>A.2. Salud</c:v>
                </c:pt>
                <c:pt idx="11">
                  <c:v>A.3. Agua Potable y Saneamiento Básico</c:v>
                </c:pt>
                <c:pt idx="12">
                  <c:v>A.4. Deporte y Recreación</c:v>
                </c:pt>
                <c:pt idx="13">
                  <c:v>A.5. Cultura</c:v>
                </c:pt>
                <c:pt idx="14">
                  <c:v>A.6. Servicios Públicos Diferentes a Acueducto Alcantarillado y Aseo</c:v>
                </c:pt>
                <c:pt idx="15">
                  <c:v>A.7. Vivienda</c:v>
                </c:pt>
                <c:pt idx="16">
                  <c:v>A.8. Agropecuario</c:v>
                </c:pt>
              </c:strCache>
            </c:strRef>
          </c:cat>
          <c:val>
            <c:numRef>
              <c:f>CONSOLIDADO!$G$3:$G$19</c:f>
              <c:numCache>
                <c:formatCode>_("$"* #,##0_);_("$"* \(#,##0\);_("$"* "-"_);_(@_)</c:formatCode>
                <c:ptCount val="17"/>
                <c:pt idx="0">
                  <c:v>155000</c:v>
                </c:pt>
                <c:pt idx="1">
                  <c:v>140000</c:v>
                </c:pt>
                <c:pt idx="2">
                  <c:v>0</c:v>
                </c:pt>
                <c:pt idx="3">
                  <c:v>76500</c:v>
                </c:pt>
                <c:pt idx="4">
                  <c:v>228000</c:v>
                </c:pt>
                <c:pt idx="5">
                  <c:v>283000</c:v>
                </c:pt>
                <c:pt idx="6">
                  <c:v>120000</c:v>
                </c:pt>
                <c:pt idx="7">
                  <c:v>98000</c:v>
                </c:pt>
                <c:pt idx="8">
                  <c:v>385900</c:v>
                </c:pt>
                <c:pt idx="9">
                  <c:v>60000</c:v>
                </c:pt>
                <c:pt idx="10">
                  <c:v>92000</c:v>
                </c:pt>
                <c:pt idx="11">
                  <c:v>45000</c:v>
                </c:pt>
                <c:pt idx="12">
                  <c:v>90000</c:v>
                </c:pt>
                <c:pt idx="13">
                  <c:v>185000</c:v>
                </c:pt>
                <c:pt idx="14">
                  <c:v>0</c:v>
                </c:pt>
                <c:pt idx="15">
                  <c:v>40000</c:v>
                </c:pt>
                <c:pt idx="16">
                  <c:v>228000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5B58-45E6-91A4-BE03E9A91EF7}"/>
            </c:ext>
          </c:extLst>
        </c:ser>
        <c:ser>
          <c:idx val="1"/>
          <c:order val="1"/>
          <c:tx>
            <c:strRef>
              <c:f>CONSOLIDADO!$H$2</c:f>
              <c:strCache>
                <c:ptCount val="1"/>
                <c:pt idx="0">
                  <c:v>EJECUTADO </c:v>
                </c:pt>
              </c:strCache>
            </c:strRef>
          </c:tx>
          <c:spPr>
            <a:solidFill>
              <a:srgbClr val="666699"/>
            </a:solidFill>
            <a:ln>
              <a:noFill/>
            </a:ln>
            <a:effectLst/>
          </c:spPr>
          <c:invertIfNegative val="0"/>
          <c:cat>
            <c:strRef>
              <c:f>CONSOLIDADO!$F$3:$F$19</c:f>
              <c:strCache>
                <c:ptCount val="17"/>
                <c:pt idx="0">
                  <c:v>A.1. Educación</c:v>
                </c:pt>
                <c:pt idx="1">
                  <c:v>A.10. Ambiental</c:v>
                </c:pt>
                <c:pt idx="2">
                  <c:v>A.11. Centros de Reclusión</c:v>
                </c:pt>
                <c:pt idx="3">
                  <c:v>A.12. Prevención y Atención de Desastres</c:v>
                </c:pt>
                <c:pt idx="4">
                  <c:v>A.13. Promoción del Desarrollo</c:v>
                </c:pt>
                <c:pt idx="5">
                  <c:v>A.14. Atención a Grupos Vulnerables - Promoción Social</c:v>
                </c:pt>
                <c:pt idx="6">
                  <c:v>A.15. Equipamiento</c:v>
                </c:pt>
                <c:pt idx="7">
                  <c:v>A.16. Desarrollo Comunitario</c:v>
                </c:pt>
                <c:pt idx="8">
                  <c:v>A.17. Fortalecimiento Institucional</c:v>
                </c:pt>
                <c:pt idx="9">
                  <c:v>A.18. Justicia y Seguridad</c:v>
                </c:pt>
                <c:pt idx="10">
                  <c:v>A.2. Salud</c:v>
                </c:pt>
                <c:pt idx="11">
                  <c:v>A.3. Agua Potable y Saneamiento Básico</c:v>
                </c:pt>
                <c:pt idx="12">
                  <c:v>A.4. Deporte y Recreación</c:v>
                </c:pt>
                <c:pt idx="13">
                  <c:v>A.5. Cultura</c:v>
                </c:pt>
                <c:pt idx="14">
                  <c:v>A.6. Servicios Públicos Diferentes a Acueducto Alcantarillado y Aseo</c:v>
                </c:pt>
                <c:pt idx="15">
                  <c:v>A.7. Vivienda</c:v>
                </c:pt>
                <c:pt idx="16">
                  <c:v>A.8. Agropecuario</c:v>
                </c:pt>
              </c:strCache>
            </c:strRef>
          </c:cat>
          <c:val>
            <c:numRef>
              <c:f>CONSOLIDADO!$H$3:$H$19</c:f>
              <c:numCache>
                <c:formatCode>_("$"* #,##0_);_("$"* \(#,##0\);_("$"* "-"_);_(@_)</c:formatCode>
                <c:ptCount val="17"/>
                <c:pt idx="0">
                  <c:v>140000</c:v>
                </c:pt>
                <c:pt idx="1">
                  <c:v>0</c:v>
                </c:pt>
                <c:pt idx="2">
                  <c:v>76500</c:v>
                </c:pt>
                <c:pt idx="3">
                  <c:v>228000</c:v>
                </c:pt>
                <c:pt idx="4">
                  <c:v>283000</c:v>
                </c:pt>
                <c:pt idx="5">
                  <c:v>120000</c:v>
                </c:pt>
                <c:pt idx="6">
                  <c:v>98000</c:v>
                </c:pt>
                <c:pt idx="7">
                  <c:v>385900</c:v>
                </c:pt>
                <c:pt idx="8">
                  <c:v>60000</c:v>
                </c:pt>
                <c:pt idx="9">
                  <c:v>92000</c:v>
                </c:pt>
                <c:pt idx="10">
                  <c:v>45000</c:v>
                </c:pt>
                <c:pt idx="11">
                  <c:v>90000</c:v>
                </c:pt>
                <c:pt idx="12">
                  <c:v>185000</c:v>
                </c:pt>
                <c:pt idx="13">
                  <c:v>0</c:v>
                </c:pt>
                <c:pt idx="14">
                  <c:v>40000</c:v>
                </c:pt>
                <c:pt idx="15">
                  <c:v>228000</c:v>
                </c:pt>
                <c:pt idx="16">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5B58-45E6-91A4-BE03E9A91EF7}"/>
            </c:ext>
          </c:extLst>
        </c:ser>
        <c:dLbls>
          <c:showLegendKey val="0"/>
          <c:showVal val="0"/>
          <c:showCatName val="0"/>
          <c:showSerName val="0"/>
          <c:showPercent val="0"/>
          <c:showBubbleSize val="0"/>
        </c:dLbls>
        <c:gapWidth val="182"/>
        <c:axId val="1085524831"/>
        <c:axId val="1337694815"/>
      </c:barChart>
      <c:catAx>
        <c:axId val="1085524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37694815"/>
        <c:crosses val="autoZero"/>
        <c:auto val="1"/>
        <c:lblAlgn val="ctr"/>
        <c:lblOffset val="100"/>
        <c:noMultiLvlLbl val="0"/>
      </c:catAx>
      <c:valAx>
        <c:axId val="1337694815"/>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8552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2.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FFDC81-4BBF-41AE-BC72-04AA3333A4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B335CB-1BC8-451B-9F2D-58E104ACEAAB}">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DCA3312B-6268-4135-86B0-B80095A8B07F}"/>
</file>

<file path=customXml/itemProps4.xml><?xml version="1.0" encoding="utf-8"?>
<ds:datastoreItem xmlns:ds="http://schemas.openxmlformats.org/officeDocument/2006/customXml" ds:itemID="{F435E486-388D-46EE-806B-5EAED0633F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38157</Words>
  <Characters>209867</Characters>
  <Application>Microsoft Office Word</Application>
  <DocSecurity>0</DocSecurity>
  <Lines>1748</Lines>
  <Paragraphs>495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2023-10-14T00:56:00Z</dcterms:created>
  <dcterms:modified xsi:type="dcterms:W3CDTF">2023-10-14T00:56:00Z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ies>
</file>