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olors5.xml" ContentType="application/vnd.ms-office.chartcolorstyle+xml"/>
  <Override PartName="/word/charts/chart5.xml" ContentType="application/vnd.openxmlformats-officedocument.drawingml.chart+xml"/>
  <Override PartName="/word/charts/style5.xml" ContentType="application/vnd.ms-office.chartstyle+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olors4.xml" ContentType="application/vnd.ms-office.chartcolorstyle+xml"/>
  <Override PartName="/word/charts/style4.xml" ContentType="application/vnd.ms-office.chartstyle+xml"/>
  <Override PartName="/word/charts/chart4.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3.xml" ContentType="application/vnd.openxmlformats-officedocument.drawingml.chart+xml"/>
  <Override PartName="/word/diagrams/colors1.xml" ContentType="application/vnd.openxmlformats-officedocument.drawingml.diagramColor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70C" w:rsidRDefault="0006670C" w:rsidP="0006670C">
      <w:pPr>
        <w:jc w:val="both"/>
        <w:rPr>
          <w:rFonts w:ascii="Arial" w:hAnsi="Arial" w:cs="Arial"/>
          <w:sz w:val="22"/>
          <w:szCs w:val="22"/>
        </w:rPr>
      </w:pPr>
      <w:bookmarkStart w:id="0" w:name="_GoBack"/>
      <w:bookmarkEnd w:id="0"/>
    </w:p>
    <w:p w:rsidR="0006670C" w:rsidRDefault="0006670C" w:rsidP="0006670C">
      <w:pPr>
        <w:pStyle w:val="paragraph"/>
        <w:spacing w:before="0" w:beforeAutospacing="0" w:after="0" w:afterAutospacing="0"/>
        <w:contextualSpacing/>
        <w:jc w:val="center"/>
        <w:textAlignment w:val="baseline"/>
        <w:rPr>
          <w:rStyle w:val="normaltextrun"/>
          <w:rFonts w:eastAsia="Calibri"/>
          <w:b/>
          <w:bCs/>
          <w:lang w:val="es-ES" w:eastAsia="es-ES"/>
        </w:rPr>
      </w:pPr>
      <w:r>
        <w:rPr>
          <w:rStyle w:val="normaltextrun"/>
          <w:rFonts w:ascii="Arial" w:eastAsia="Calibri" w:hAnsi="Arial" w:cs="Arial"/>
          <w:b/>
          <w:bCs/>
          <w:sz w:val="22"/>
          <w:szCs w:val="22"/>
        </w:rPr>
        <w:t>INFORME DE ESTADO PARTICIPACIÓN DE PROPÓSITO GENERAL DEL SISTEMA GENERAL DE PARTICIPACIONES MUNICIPIO DE PUERTO ESCONDIDO - DEPARTAMENTO DE CÓRDOBA.</w:t>
      </w:r>
    </w:p>
    <w:p w:rsidR="0006670C" w:rsidRDefault="0006670C" w:rsidP="0006670C">
      <w:pPr>
        <w:pStyle w:val="paragraph"/>
        <w:spacing w:before="0" w:beforeAutospacing="0" w:after="0" w:afterAutospacing="0"/>
        <w:contextualSpacing/>
        <w:jc w:val="center"/>
        <w:textAlignment w:val="baseline"/>
      </w:pPr>
    </w:p>
    <w:tbl>
      <w:tblPr>
        <w:tblStyle w:val="Tablaconcuadrcula"/>
        <w:tblW w:w="0" w:type="auto"/>
        <w:tblBorders>
          <w:insideH w:val="single" w:sz="6" w:space="0" w:color="auto"/>
          <w:insideV w:val="single" w:sz="6" w:space="0" w:color="auto"/>
        </w:tblBorders>
        <w:shd w:val="clear" w:color="auto" w:fill="DEEAF6" w:themeFill="accent1" w:themeFillTint="33"/>
        <w:tblLook w:val="04A0" w:firstRow="1" w:lastRow="0" w:firstColumn="1" w:lastColumn="0" w:noHBand="0" w:noVBand="1"/>
      </w:tblPr>
      <w:tblGrid>
        <w:gridCol w:w="2100"/>
        <w:gridCol w:w="6103"/>
      </w:tblGrid>
      <w:tr w:rsidR="0006670C" w:rsidTr="0006670C">
        <w:trPr>
          <w:trHeight w:val="276"/>
        </w:trPr>
        <w:tc>
          <w:tcPr>
            <w:tcW w:w="2100" w:type="dxa"/>
            <w:tcBorders>
              <w:top w:val="single" w:sz="6" w:space="0" w:color="auto"/>
              <w:left w:val="single" w:sz="4" w:space="0" w:color="auto"/>
              <w:bottom w:val="single" w:sz="6" w:space="0" w:color="auto"/>
              <w:right w:val="single" w:sz="6" w:space="0" w:color="auto"/>
            </w:tcBorders>
            <w:shd w:val="clear" w:color="auto" w:fill="DEEAF6" w:themeFill="accent1" w:themeFillTint="33"/>
            <w:vAlign w:val="center"/>
            <w:hideMark/>
          </w:tcPr>
          <w:p w:rsidR="0006670C" w:rsidRDefault="0006670C">
            <w:pPr>
              <w:pStyle w:val="NormalWeb"/>
              <w:spacing w:before="0" w:beforeAutospacing="0" w:after="0"/>
              <w:contextualSpacing/>
              <w:rPr>
                <w:rFonts w:ascii="Arial" w:hAnsi="Arial" w:cs="Arial"/>
                <w:bCs/>
                <w:sz w:val="14"/>
                <w:szCs w:val="14"/>
              </w:rPr>
            </w:pPr>
            <w:r>
              <w:rPr>
                <w:rFonts w:ascii="Arial" w:hAnsi="Arial" w:cs="Arial"/>
                <w:bCs/>
                <w:sz w:val="14"/>
                <w:szCs w:val="14"/>
              </w:rPr>
              <w:t>Expediente</w:t>
            </w:r>
          </w:p>
        </w:tc>
        <w:tc>
          <w:tcPr>
            <w:tcW w:w="6103" w:type="dxa"/>
            <w:tcBorders>
              <w:top w:val="single" w:sz="6" w:space="0" w:color="auto"/>
              <w:left w:val="single" w:sz="6" w:space="0" w:color="auto"/>
              <w:bottom w:val="single" w:sz="6" w:space="0" w:color="auto"/>
              <w:right w:val="single" w:sz="4" w:space="0" w:color="auto"/>
            </w:tcBorders>
            <w:shd w:val="clear" w:color="auto" w:fill="DEEAF6" w:themeFill="accent1" w:themeFillTint="33"/>
            <w:vAlign w:val="center"/>
            <w:hideMark/>
          </w:tcPr>
          <w:p w:rsidR="0006670C" w:rsidRDefault="0006670C">
            <w:pPr>
              <w:pStyle w:val="NormalWeb"/>
              <w:spacing w:before="0" w:beforeAutospacing="0" w:after="0"/>
              <w:contextualSpacing/>
              <w:rPr>
                <w:rFonts w:ascii="Arial" w:hAnsi="Arial" w:cs="Arial"/>
                <w:bCs/>
                <w:sz w:val="14"/>
                <w:szCs w:val="14"/>
              </w:rPr>
            </w:pPr>
            <w:r>
              <w:rPr>
                <w:rFonts w:ascii="Arial" w:hAnsi="Arial" w:cs="Arial"/>
                <w:sz w:val="14"/>
                <w:szCs w:val="14"/>
              </w:rPr>
              <w:t>15/2020/D028-PREDI</w:t>
            </w:r>
          </w:p>
        </w:tc>
      </w:tr>
      <w:tr w:rsidR="0006670C" w:rsidTr="0006670C">
        <w:trPr>
          <w:trHeight w:val="276"/>
        </w:trPr>
        <w:tc>
          <w:tcPr>
            <w:tcW w:w="2100" w:type="dxa"/>
            <w:tcBorders>
              <w:top w:val="single" w:sz="6" w:space="0" w:color="auto"/>
              <w:left w:val="single" w:sz="4" w:space="0" w:color="auto"/>
              <w:bottom w:val="single" w:sz="6" w:space="0" w:color="auto"/>
              <w:right w:val="single" w:sz="6" w:space="0" w:color="auto"/>
            </w:tcBorders>
            <w:shd w:val="clear" w:color="auto" w:fill="DEEAF6" w:themeFill="accent1" w:themeFillTint="33"/>
            <w:vAlign w:val="center"/>
            <w:hideMark/>
          </w:tcPr>
          <w:p w:rsidR="0006670C" w:rsidRDefault="0006670C">
            <w:pPr>
              <w:pStyle w:val="NormalWeb"/>
              <w:spacing w:before="0" w:beforeAutospacing="0" w:after="0"/>
              <w:contextualSpacing/>
              <w:rPr>
                <w:rFonts w:ascii="Arial" w:hAnsi="Arial" w:cs="Arial"/>
                <w:bCs/>
                <w:sz w:val="14"/>
                <w:szCs w:val="14"/>
              </w:rPr>
            </w:pPr>
            <w:r>
              <w:rPr>
                <w:rFonts w:ascii="Arial" w:hAnsi="Arial" w:cs="Arial"/>
                <w:bCs/>
                <w:sz w:val="14"/>
                <w:szCs w:val="14"/>
              </w:rPr>
              <w:t>Sector</w:t>
            </w:r>
          </w:p>
        </w:tc>
        <w:tc>
          <w:tcPr>
            <w:tcW w:w="6103" w:type="dxa"/>
            <w:tcBorders>
              <w:top w:val="single" w:sz="6" w:space="0" w:color="auto"/>
              <w:left w:val="single" w:sz="6" w:space="0" w:color="auto"/>
              <w:bottom w:val="single" w:sz="6" w:space="0" w:color="auto"/>
              <w:right w:val="single" w:sz="4" w:space="0" w:color="auto"/>
            </w:tcBorders>
            <w:shd w:val="clear" w:color="auto" w:fill="DEEAF6" w:themeFill="accent1" w:themeFillTint="33"/>
            <w:vAlign w:val="center"/>
            <w:hideMark/>
          </w:tcPr>
          <w:p w:rsidR="0006670C" w:rsidRDefault="0006670C">
            <w:pPr>
              <w:pStyle w:val="NormalWeb"/>
              <w:spacing w:before="0" w:beforeAutospacing="0" w:after="0"/>
              <w:contextualSpacing/>
              <w:rPr>
                <w:rFonts w:ascii="Arial" w:hAnsi="Arial" w:cs="Arial"/>
                <w:bCs/>
                <w:sz w:val="14"/>
                <w:szCs w:val="14"/>
              </w:rPr>
            </w:pPr>
            <w:r>
              <w:rPr>
                <w:rFonts w:ascii="Arial" w:hAnsi="Arial" w:cs="Arial"/>
                <w:bCs/>
                <w:sz w:val="14"/>
                <w:szCs w:val="14"/>
              </w:rPr>
              <w:t xml:space="preserve">Propósito General </w:t>
            </w:r>
          </w:p>
        </w:tc>
      </w:tr>
      <w:tr w:rsidR="0006670C" w:rsidTr="0006670C">
        <w:trPr>
          <w:trHeight w:val="301"/>
        </w:trPr>
        <w:tc>
          <w:tcPr>
            <w:tcW w:w="2100" w:type="dxa"/>
            <w:tcBorders>
              <w:top w:val="single" w:sz="6" w:space="0" w:color="auto"/>
              <w:left w:val="single" w:sz="4" w:space="0" w:color="auto"/>
              <w:bottom w:val="single" w:sz="6" w:space="0" w:color="auto"/>
              <w:right w:val="single" w:sz="6" w:space="0" w:color="auto"/>
            </w:tcBorders>
            <w:shd w:val="clear" w:color="auto" w:fill="DEEAF6" w:themeFill="accent1" w:themeFillTint="33"/>
            <w:vAlign w:val="center"/>
            <w:hideMark/>
          </w:tcPr>
          <w:p w:rsidR="0006670C" w:rsidRDefault="0006670C">
            <w:pPr>
              <w:pStyle w:val="NormalWeb"/>
              <w:spacing w:before="0" w:beforeAutospacing="0" w:after="0"/>
              <w:contextualSpacing/>
              <w:rPr>
                <w:rFonts w:ascii="Arial" w:hAnsi="Arial" w:cs="Arial"/>
                <w:bCs/>
                <w:sz w:val="14"/>
                <w:szCs w:val="14"/>
              </w:rPr>
            </w:pPr>
            <w:r>
              <w:rPr>
                <w:rFonts w:ascii="Arial" w:hAnsi="Arial" w:cs="Arial"/>
                <w:bCs/>
                <w:sz w:val="14"/>
                <w:szCs w:val="14"/>
              </w:rPr>
              <w:t>Tipo de Entidad</w:t>
            </w:r>
          </w:p>
        </w:tc>
        <w:tc>
          <w:tcPr>
            <w:tcW w:w="6103" w:type="dxa"/>
            <w:tcBorders>
              <w:top w:val="single" w:sz="6" w:space="0" w:color="auto"/>
              <w:left w:val="single" w:sz="6" w:space="0" w:color="auto"/>
              <w:bottom w:val="single" w:sz="6" w:space="0" w:color="auto"/>
              <w:right w:val="single" w:sz="4" w:space="0" w:color="auto"/>
            </w:tcBorders>
            <w:shd w:val="clear" w:color="auto" w:fill="DEEAF6" w:themeFill="accent1" w:themeFillTint="33"/>
            <w:vAlign w:val="center"/>
            <w:hideMark/>
          </w:tcPr>
          <w:p w:rsidR="0006670C" w:rsidRDefault="0006670C">
            <w:pPr>
              <w:rPr>
                <w:rFonts w:ascii="Arial" w:hAnsi="Arial" w:cs="Arial"/>
                <w:sz w:val="14"/>
                <w:szCs w:val="14"/>
              </w:rPr>
            </w:pPr>
            <w:r>
              <w:rPr>
                <w:rFonts w:ascii="Arial" w:hAnsi="Arial" w:cs="Arial"/>
                <w:sz w:val="14"/>
                <w:szCs w:val="14"/>
              </w:rPr>
              <w:t>Municipio</w:t>
            </w:r>
          </w:p>
        </w:tc>
      </w:tr>
      <w:tr w:rsidR="0006670C" w:rsidTr="0006670C">
        <w:trPr>
          <w:trHeight w:val="276"/>
        </w:trPr>
        <w:tc>
          <w:tcPr>
            <w:tcW w:w="2100" w:type="dxa"/>
            <w:tcBorders>
              <w:top w:val="single" w:sz="6" w:space="0" w:color="auto"/>
              <w:left w:val="single" w:sz="4" w:space="0" w:color="auto"/>
              <w:bottom w:val="single" w:sz="6" w:space="0" w:color="auto"/>
              <w:right w:val="single" w:sz="6" w:space="0" w:color="auto"/>
            </w:tcBorders>
            <w:shd w:val="clear" w:color="auto" w:fill="DEEAF6" w:themeFill="accent1" w:themeFillTint="33"/>
            <w:vAlign w:val="center"/>
            <w:hideMark/>
          </w:tcPr>
          <w:p w:rsidR="0006670C" w:rsidRDefault="0006670C">
            <w:pPr>
              <w:pStyle w:val="NormalWeb"/>
              <w:spacing w:before="0" w:beforeAutospacing="0" w:after="0"/>
              <w:contextualSpacing/>
              <w:rPr>
                <w:rFonts w:ascii="Arial" w:hAnsi="Arial" w:cs="Arial"/>
                <w:bCs/>
                <w:sz w:val="14"/>
                <w:szCs w:val="14"/>
              </w:rPr>
            </w:pPr>
            <w:r>
              <w:rPr>
                <w:rFonts w:ascii="Arial" w:hAnsi="Arial" w:cs="Arial"/>
                <w:bCs/>
                <w:sz w:val="14"/>
                <w:szCs w:val="14"/>
              </w:rPr>
              <w:t>Entidad</w:t>
            </w:r>
          </w:p>
        </w:tc>
        <w:tc>
          <w:tcPr>
            <w:tcW w:w="6103" w:type="dxa"/>
            <w:tcBorders>
              <w:top w:val="single" w:sz="6" w:space="0" w:color="auto"/>
              <w:left w:val="single" w:sz="6" w:space="0" w:color="auto"/>
              <w:bottom w:val="single" w:sz="6" w:space="0" w:color="auto"/>
              <w:right w:val="single" w:sz="4" w:space="0" w:color="auto"/>
            </w:tcBorders>
            <w:shd w:val="clear" w:color="auto" w:fill="DEEAF6" w:themeFill="accent1" w:themeFillTint="33"/>
            <w:vAlign w:val="center"/>
            <w:hideMark/>
          </w:tcPr>
          <w:p w:rsidR="0006670C" w:rsidRDefault="0006670C">
            <w:pPr>
              <w:rPr>
                <w:rFonts w:ascii="Arial" w:hAnsi="Arial" w:cs="Arial"/>
                <w:sz w:val="14"/>
                <w:szCs w:val="14"/>
              </w:rPr>
            </w:pPr>
            <w:r>
              <w:rPr>
                <w:rFonts w:ascii="Arial" w:hAnsi="Arial" w:cs="Arial"/>
                <w:sz w:val="14"/>
                <w:szCs w:val="14"/>
              </w:rPr>
              <w:t>Córdoba – Puerto Escondido</w:t>
            </w:r>
          </w:p>
        </w:tc>
      </w:tr>
    </w:tbl>
    <w:p w:rsidR="0006670C" w:rsidRDefault="0006670C" w:rsidP="0006670C">
      <w:pPr>
        <w:pStyle w:val="paragraph"/>
        <w:spacing w:before="0" w:beforeAutospacing="0" w:after="0" w:afterAutospacing="0"/>
        <w:contextualSpacing/>
        <w:jc w:val="center"/>
        <w:textAlignment w:val="baseline"/>
        <w:rPr>
          <w:rFonts w:ascii="Arial" w:hAnsi="Arial" w:cs="Arial"/>
          <w:sz w:val="22"/>
          <w:szCs w:val="22"/>
        </w:rPr>
      </w:pPr>
    </w:p>
    <w:p w:rsidR="0006670C" w:rsidRDefault="0006670C" w:rsidP="0006670C">
      <w:pPr>
        <w:pStyle w:val="paragraph"/>
        <w:numPr>
          <w:ilvl w:val="0"/>
          <w:numId w:val="45"/>
        </w:numPr>
        <w:spacing w:before="0" w:beforeAutospacing="0" w:after="0" w:afterAutospacing="0"/>
        <w:ind w:left="360" w:firstLine="0"/>
        <w:contextualSpacing/>
        <w:textAlignment w:val="baseline"/>
        <w:rPr>
          <w:rFonts w:ascii="Arial" w:hAnsi="Arial" w:cs="Arial"/>
          <w:sz w:val="22"/>
          <w:szCs w:val="22"/>
        </w:rPr>
      </w:pPr>
      <w:r>
        <w:rPr>
          <w:rStyle w:val="normaltextrun"/>
          <w:rFonts w:ascii="Arial" w:eastAsia="Calibri" w:hAnsi="Arial" w:cs="Arial"/>
          <w:b/>
          <w:bCs/>
          <w:sz w:val="22"/>
          <w:szCs w:val="22"/>
        </w:rPr>
        <w:t xml:space="preserve"> Antecedentes</w:t>
      </w:r>
      <w:r>
        <w:rPr>
          <w:rStyle w:val="eop"/>
          <w:rFonts w:ascii="Arial" w:hAnsi="Arial" w:cs="Arial"/>
          <w:sz w:val="22"/>
          <w:szCs w:val="22"/>
        </w:rPr>
        <w:t>.</w:t>
      </w:r>
    </w:p>
    <w:p w:rsidR="0006670C" w:rsidRDefault="0006670C" w:rsidP="0006670C">
      <w:pPr>
        <w:jc w:val="both"/>
        <w:rPr>
          <w:rFonts w:ascii="Arial" w:hAnsi="Arial" w:cs="Arial"/>
          <w:sz w:val="22"/>
          <w:szCs w:val="22"/>
        </w:rPr>
      </w:pPr>
    </w:p>
    <w:p w:rsidR="0006670C" w:rsidRDefault="0006670C" w:rsidP="0006670C">
      <w:pPr>
        <w:jc w:val="both"/>
        <w:rPr>
          <w:rFonts w:ascii="Arial" w:hAnsi="Arial" w:cs="Arial"/>
          <w:sz w:val="22"/>
          <w:szCs w:val="22"/>
          <w:lang w:val="es-CO"/>
        </w:rPr>
      </w:pPr>
      <w:r>
        <w:rPr>
          <w:rFonts w:ascii="Arial" w:hAnsi="Arial" w:cs="Arial"/>
          <w:sz w:val="22"/>
          <w:szCs w:val="22"/>
          <w:lang w:val="es-CO"/>
        </w:rPr>
        <w:t>El Municipio de Puerto Escondido - Córdoba, fue priorizado por la Dirección de Desarrollo Territorial Sostenible del Departamento Nacional de Planeación - DNP, por el manejo de recursos del Sistema General de Participaciones en su Monitoreo General donde se identificaron deficiencias y situaciones de riesgo en el uso de los recursos de Propósito General y las respectivas Asignaciones. La Dirección General de Apoyo Fiscal en el marco de las funciones contenidas en el Decreto 028 de 2008 y asignadas por las Resoluciones No. 794 de 2009 y 1872 de 2011, recibió el oficio de traslado del “</w:t>
      </w:r>
      <w:r>
        <w:rPr>
          <w:rFonts w:ascii="Arial" w:hAnsi="Arial" w:cs="Arial"/>
          <w:i/>
          <w:sz w:val="22"/>
          <w:szCs w:val="22"/>
          <w:lang w:val="es-CO"/>
        </w:rPr>
        <w:t>Informe de monitoreo de campo, Puerto Escondido - Córdoba, Vigencias 2017 y 2018 (Primer semestre)”,</w:t>
      </w:r>
      <w:r>
        <w:rPr>
          <w:rFonts w:ascii="Arial" w:hAnsi="Arial" w:cs="Arial"/>
          <w:sz w:val="22"/>
          <w:szCs w:val="22"/>
          <w:lang w:val="es-CO"/>
        </w:rPr>
        <w:t xml:space="preserve"> con radicado No. 1-2018-130439 del 28 de diciembre de 2018.</w:t>
      </w:r>
    </w:p>
    <w:p w:rsidR="0006670C" w:rsidRDefault="0006670C" w:rsidP="0006670C">
      <w:pPr>
        <w:jc w:val="both"/>
        <w:rPr>
          <w:rFonts w:ascii="Arial" w:hAnsi="Arial" w:cs="Arial"/>
          <w:sz w:val="22"/>
          <w:szCs w:val="22"/>
          <w:lang w:val="es-CO"/>
        </w:rPr>
      </w:pPr>
    </w:p>
    <w:p w:rsidR="0006670C" w:rsidRDefault="0006670C" w:rsidP="0006670C">
      <w:pPr>
        <w:jc w:val="both"/>
        <w:rPr>
          <w:rFonts w:ascii="Arial" w:hAnsi="Arial" w:cs="Arial"/>
          <w:sz w:val="22"/>
          <w:szCs w:val="22"/>
          <w:lang w:val="es-CO"/>
        </w:rPr>
      </w:pPr>
      <w:r>
        <w:rPr>
          <w:rFonts w:ascii="Arial" w:hAnsi="Arial" w:cs="Arial"/>
          <w:sz w:val="22"/>
          <w:szCs w:val="22"/>
          <w:lang w:val="es-CO"/>
        </w:rPr>
        <w:t>De acuerdo con lo anterior y en cumplimiento del artículo 2.6.3.4.3 del Decreto 1068 de 2015, esta Dirección con base en sus criterios de priorización, determinó el inicio de las actividades de Seguimiento y Control a su cargo en dicho Municipio y se procedió a realizar el diagnóstico sobre los recursos de la Participación de Propósito General del Sistema General de Participaciones, dadas las competencias antes mencionadas.</w:t>
      </w:r>
    </w:p>
    <w:p w:rsidR="0006670C" w:rsidRDefault="0006670C" w:rsidP="0006670C">
      <w:pPr>
        <w:spacing w:after="160"/>
        <w:contextualSpacing/>
        <w:rPr>
          <w:rFonts w:ascii="Arial" w:eastAsia="Times New Roman" w:hAnsi="Arial" w:cs="Arial"/>
          <w:sz w:val="22"/>
          <w:szCs w:val="22"/>
          <w:lang w:val="es-CO" w:eastAsia="es-CO"/>
        </w:rPr>
      </w:pPr>
      <w:r>
        <w:rPr>
          <w:rFonts w:ascii="Arial" w:eastAsia="Times New Roman" w:hAnsi="Arial" w:cs="Arial"/>
          <w:sz w:val="22"/>
          <w:szCs w:val="22"/>
          <w:lang w:val="es-CO" w:eastAsia="es-CO"/>
        </w:rPr>
        <w:br w:type="page"/>
      </w:r>
    </w:p>
    <w:p w:rsidR="0006670C" w:rsidRDefault="0006670C" w:rsidP="0006670C">
      <w:pPr>
        <w:jc w:val="both"/>
        <w:textAlignment w:val="baseline"/>
        <w:rPr>
          <w:rFonts w:ascii="Arial" w:eastAsia="Times New Roman" w:hAnsi="Arial" w:cs="Arial"/>
          <w:sz w:val="22"/>
          <w:szCs w:val="22"/>
          <w:lang w:val="es-CO" w:eastAsia="es-CO"/>
        </w:rPr>
      </w:pPr>
    </w:p>
    <w:p w:rsidR="0006670C" w:rsidRDefault="0006670C" w:rsidP="0006670C">
      <w:pPr>
        <w:pStyle w:val="Prrafodelista"/>
        <w:numPr>
          <w:ilvl w:val="0"/>
          <w:numId w:val="45"/>
        </w:numPr>
        <w:spacing w:line="240" w:lineRule="auto"/>
        <w:jc w:val="both"/>
        <w:textAlignment w:val="baseline"/>
        <w:rPr>
          <w:rFonts w:ascii="Arial" w:eastAsia="Times New Roman" w:hAnsi="Arial" w:cs="Arial"/>
          <w:b/>
          <w:lang w:eastAsia="es-CO"/>
        </w:rPr>
      </w:pPr>
      <w:r>
        <w:rPr>
          <w:rFonts w:ascii="Arial" w:eastAsia="Times New Roman" w:hAnsi="Arial" w:cs="Arial"/>
          <w:b/>
          <w:lang w:eastAsia="es-CO"/>
        </w:rPr>
        <w:t>Caracterización.</w:t>
      </w:r>
    </w:p>
    <w:p w:rsidR="0006670C" w:rsidRDefault="0006670C" w:rsidP="0006670C">
      <w:pPr>
        <w:ind w:left="-709"/>
        <w:contextualSpacing/>
        <w:jc w:val="both"/>
        <w:textAlignment w:val="baseline"/>
        <w:rPr>
          <w:rFonts w:ascii="Arial" w:eastAsia="Times New Roman" w:hAnsi="Arial" w:cs="Arial"/>
          <w:sz w:val="22"/>
          <w:szCs w:val="22"/>
          <w:lang w:eastAsia="es-CO"/>
        </w:rPr>
      </w:pPr>
      <w:r>
        <w:rPr>
          <w:rFonts w:ascii="Arial" w:hAnsi="Arial" w:cs="Arial"/>
          <w:noProof/>
          <w:sz w:val="22"/>
          <w:szCs w:val="22"/>
          <w:lang w:val="es-CO" w:eastAsia="es-CO"/>
        </w:rPr>
        <w:drawing>
          <wp:inline distT="0" distB="0" distL="0" distR="0">
            <wp:extent cx="6543675" cy="145732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1913" b="4948"/>
                    <a:stretch>
                      <a:fillRect/>
                    </a:stretch>
                  </pic:blipFill>
                  <pic:spPr bwMode="auto">
                    <a:xfrm>
                      <a:off x="0" y="0"/>
                      <a:ext cx="6543675" cy="1457325"/>
                    </a:xfrm>
                    <a:prstGeom prst="rect">
                      <a:avLst/>
                    </a:prstGeom>
                    <a:noFill/>
                    <a:ln>
                      <a:noFill/>
                    </a:ln>
                  </pic:spPr>
                </pic:pic>
              </a:graphicData>
            </a:graphic>
          </wp:inline>
        </w:drawing>
      </w:r>
    </w:p>
    <w:p w:rsidR="0006670C" w:rsidRDefault="0006670C" w:rsidP="0006670C">
      <w:pPr>
        <w:ind w:left="-851"/>
        <w:contextualSpacing/>
        <w:jc w:val="both"/>
        <w:textAlignment w:val="baseline"/>
        <w:rPr>
          <w:rFonts w:ascii="Arial" w:eastAsia="Times New Roman" w:hAnsi="Arial" w:cs="Arial"/>
          <w:sz w:val="22"/>
          <w:szCs w:val="22"/>
          <w:lang w:val="es-CO" w:eastAsia="es-CO"/>
        </w:rPr>
      </w:pPr>
      <w:r>
        <w:rPr>
          <w:rFonts w:ascii="Arial" w:hAnsi="Arial" w:cs="Arial"/>
          <w:noProof/>
          <w:sz w:val="22"/>
          <w:szCs w:val="22"/>
          <w:lang w:val="es-CO" w:eastAsia="es-CO"/>
        </w:rPr>
        <w:drawing>
          <wp:inline distT="0" distB="0" distL="0" distR="0">
            <wp:extent cx="6819900" cy="25908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9900" cy="2590800"/>
                    </a:xfrm>
                    <a:prstGeom prst="rect">
                      <a:avLst/>
                    </a:prstGeom>
                    <a:noFill/>
                    <a:ln>
                      <a:noFill/>
                    </a:ln>
                  </pic:spPr>
                </pic:pic>
              </a:graphicData>
            </a:graphic>
          </wp:inline>
        </w:drawing>
      </w:r>
    </w:p>
    <w:p w:rsidR="0006670C" w:rsidRDefault="0006670C" w:rsidP="0006670C">
      <w:pPr>
        <w:ind w:left="-851"/>
        <w:contextualSpacing/>
        <w:jc w:val="both"/>
        <w:textAlignment w:val="baseline"/>
        <w:rPr>
          <w:rFonts w:ascii="Arial" w:eastAsia="Times New Roman" w:hAnsi="Arial" w:cs="Arial"/>
          <w:sz w:val="22"/>
          <w:szCs w:val="22"/>
          <w:lang w:val="es-CO" w:eastAsia="es-CO"/>
        </w:rPr>
      </w:pPr>
      <w:r>
        <w:rPr>
          <w:rFonts w:ascii="Arial" w:hAnsi="Arial" w:cs="Arial"/>
          <w:noProof/>
          <w:sz w:val="22"/>
          <w:szCs w:val="22"/>
          <w:lang w:val="es-CO" w:eastAsia="es-CO"/>
        </w:rPr>
        <w:drawing>
          <wp:inline distT="0" distB="0" distL="0" distR="0">
            <wp:extent cx="6934200" cy="301942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0" cy="3019425"/>
                    </a:xfrm>
                    <a:prstGeom prst="rect">
                      <a:avLst/>
                    </a:prstGeom>
                    <a:noFill/>
                    <a:ln>
                      <a:noFill/>
                    </a:ln>
                  </pic:spPr>
                </pic:pic>
              </a:graphicData>
            </a:graphic>
          </wp:inline>
        </w:drawing>
      </w:r>
    </w:p>
    <w:p w:rsidR="0006670C" w:rsidRDefault="0006670C" w:rsidP="0006670C">
      <w:pPr>
        <w:ind w:left="-851"/>
        <w:contextualSpacing/>
        <w:jc w:val="both"/>
        <w:textAlignment w:val="baseline"/>
        <w:rPr>
          <w:rFonts w:ascii="Arial" w:eastAsia="Times New Roman" w:hAnsi="Arial" w:cs="Arial"/>
          <w:sz w:val="22"/>
          <w:szCs w:val="22"/>
          <w:lang w:val="es-CO" w:eastAsia="es-CO"/>
        </w:rPr>
      </w:pPr>
    </w:p>
    <w:p w:rsidR="0006670C" w:rsidRDefault="0006670C" w:rsidP="0006670C">
      <w:pPr>
        <w:ind w:left="-851"/>
        <w:contextualSpacing/>
        <w:jc w:val="both"/>
        <w:textAlignment w:val="baseline"/>
        <w:rPr>
          <w:rFonts w:ascii="Arial" w:eastAsia="Times New Roman" w:hAnsi="Arial" w:cs="Arial"/>
          <w:sz w:val="22"/>
          <w:szCs w:val="22"/>
          <w:lang w:val="es-CO" w:eastAsia="es-CO"/>
        </w:rPr>
      </w:pPr>
    </w:p>
    <w:p w:rsidR="0006670C" w:rsidRDefault="0006670C" w:rsidP="0006670C">
      <w:pPr>
        <w:ind w:left="-1134"/>
        <w:contextualSpacing/>
        <w:jc w:val="both"/>
        <w:textAlignment w:val="baseline"/>
        <w:rPr>
          <w:rFonts w:ascii="Arial" w:eastAsia="Times New Roman" w:hAnsi="Arial" w:cs="Arial"/>
          <w:sz w:val="22"/>
          <w:szCs w:val="22"/>
          <w:lang w:val="es-CO" w:eastAsia="es-CO"/>
        </w:rPr>
      </w:pPr>
      <w:r>
        <w:rPr>
          <w:rFonts w:ascii="Arial" w:hAnsi="Arial" w:cs="Arial"/>
          <w:noProof/>
          <w:sz w:val="22"/>
          <w:szCs w:val="22"/>
          <w:lang w:val="es-CO" w:eastAsia="es-CO"/>
        </w:rPr>
        <w:drawing>
          <wp:inline distT="0" distB="0" distL="0" distR="0">
            <wp:extent cx="7210425" cy="235267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0425" cy="2352675"/>
                    </a:xfrm>
                    <a:prstGeom prst="rect">
                      <a:avLst/>
                    </a:prstGeom>
                    <a:noFill/>
                    <a:ln>
                      <a:noFill/>
                    </a:ln>
                  </pic:spPr>
                </pic:pic>
              </a:graphicData>
            </a:graphic>
          </wp:inline>
        </w:drawing>
      </w:r>
    </w:p>
    <w:p w:rsidR="0006670C" w:rsidRDefault="0006670C" w:rsidP="0006670C">
      <w:pPr>
        <w:jc w:val="both"/>
        <w:textAlignment w:val="baseline"/>
        <w:rPr>
          <w:rFonts w:ascii="Arial" w:eastAsia="Times New Roman" w:hAnsi="Arial" w:cs="Arial"/>
          <w:sz w:val="22"/>
          <w:szCs w:val="22"/>
          <w:lang w:val="es-CO" w:eastAsia="es-CO"/>
        </w:rPr>
      </w:pPr>
    </w:p>
    <w:p w:rsidR="0006670C" w:rsidRDefault="0006670C" w:rsidP="0006670C">
      <w:pPr>
        <w:pStyle w:val="Sinespaciado"/>
        <w:numPr>
          <w:ilvl w:val="0"/>
          <w:numId w:val="45"/>
        </w:numPr>
        <w:contextualSpacing/>
        <w:jc w:val="both"/>
        <w:rPr>
          <w:rFonts w:ascii="Arial" w:hAnsi="Arial" w:cs="Arial"/>
          <w:b/>
        </w:rPr>
      </w:pPr>
      <w:r>
        <w:rPr>
          <w:rFonts w:ascii="Arial" w:hAnsi="Arial" w:cs="Arial"/>
          <w:b/>
        </w:rPr>
        <w:t>ANÁLISIS FINANCIERO.</w:t>
      </w:r>
    </w:p>
    <w:p w:rsidR="0006670C" w:rsidRDefault="0006670C" w:rsidP="0006670C">
      <w:pPr>
        <w:pStyle w:val="Sinespaciado"/>
        <w:jc w:val="both"/>
        <w:rPr>
          <w:rFonts w:ascii="Arial" w:hAnsi="Arial" w:cs="Arial"/>
          <w:b/>
        </w:rPr>
      </w:pPr>
    </w:p>
    <w:p w:rsidR="0006670C" w:rsidRDefault="0006670C" w:rsidP="0006670C">
      <w:pPr>
        <w:pStyle w:val="Sinespaciado"/>
        <w:ind w:left="567"/>
        <w:contextualSpacing/>
        <w:jc w:val="both"/>
        <w:rPr>
          <w:rFonts w:ascii="Arial" w:hAnsi="Arial" w:cs="Arial"/>
          <w:b/>
        </w:rPr>
      </w:pPr>
      <w:r>
        <w:rPr>
          <w:rFonts w:ascii="Arial" w:hAnsi="Arial" w:cs="Arial"/>
          <w:b/>
        </w:rPr>
        <w:t xml:space="preserve">3.1 </w:t>
      </w:r>
      <w:r>
        <w:rPr>
          <w:rFonts w:ascii="Arial" w:hAnsi="Arial" w:cs="Arial"/>
          <w:b/>
          <w:u w:val="single"/>
        </w:rPr>
        <w:t>Análisis Presupuestal de Ingresos</w:t>
      </w:r>
      <w:r>
        <w:rPr>
          <w:rFonts w:ascii="Arial" w:hAnsi="Arial" w:cs="Arial"/>
          <w:b/>
        </w:rPr>
        <w:t>.</w:t>
      </w:r>
    </w:p>
    <w:p w:rsidR="0006670C" w:rsidRDefault="0006670C" w:rsidP="0006670C">
      <w:pPr>
        <w:jc w:val="both"/>
        <w:rPr>
          <w:rFonts w:ascii="Arial" w:hAnsi="Arial" w:cs="Arial"/>
          <w:sz w:val="22"/>
          <w:szCs w:val="22"/>
          <w:lang w:val="es-CO"/>
        </w:rPr>
      </w:pPr>
    </w:p>
    <w:p w:rsidR="0006670C" w:rsidRDefault="0006670C" w:rsidP="0006670C">
      <w:pPr>
        <w:jc w:val="both"/>
        <w:rPr>
          <w:rFonts w:ascii="Arial" w:eastAsia="Arial Narrow" w:hAnsi="Arial" w:cs="Arial"/>
          <w:sz w:val="22"/>
          <w:szCs w:val="22"/>
          <w:lang w:val="es-CO"/>
        </w:rPr>
      </w:pPr>
      <w:r>
        <w:rPr>
          <w:rFonts w:ascii="Arial" w:hAnsi="Arial" w:cs="Arial"/>
          <w:sz w:val="22"/>
          <w:szCs w:val="22"/>
          <w:lang w:val="es-CO"/>
        </w:rPr>
        <w:t xml:space="preserve">A continuación, se presenta el análisis de la información presupuestal de ingresos de los recursos de la Participación de Propósito General - PG - para el </w:t>
      </w:r>
      <w:r>
        <w:rPr>
          <w:rFonts w:ascii="Arial" w:hAnsi="Arial" w:cs="Arial"/>
          <w:sz w:val="22"/>
          <w:szCs w:val="22"/>
        </w:rPr>
        <w:t xml:space="preserve">Municipio de Puerto Escondido – Córdoba </w:t>
      </w:r>
      <w:r>
        <w:rPr>
          <w:rFonts w:ascii="Arial" w:hAnsi="Arial" w:cs="Arial"/>
          <w:sz w:val="22"/>
          <w:szCs w:val="22"/>
          <w:lang w:val="es-CO"/>
        </w:rPr>
        <w:t xml:space="preserve">con base en la información aportada por la Administración Municipal. </w:t>
      </w:r>
      <w:r>
        <w:rPr>
          <w:rFonts w:ascii="Arial" w:eastAsia="Arial Narrow" w:hAnsi="Arial" w:cs="Arial"/>
          <w:sz w:val="22"/>
          <w:szCs w:val="22"/>
          <w:lang w:val="es-CO"/>
        </w:rPr>
        <w:t>Es importante mencionar que la información presupuestal del cierre de la vigencia 2019 y 2020, es tomada de los reportes FUT realizados por el Municipio.</w:t>
      </w:r>
    </w:p>
    <w:p w:rsidR="0006670C" w:rsidRDefault="0006670C" w:rsidP="0006670C">
      <w:pPr>
        <w:jc w:val="both"/>
        <w:rPr>
          <w:rFonts w:ascii="Arial" w:hAnsi="Arial" w:cs="Arial"/>
          <w:sz w:val="22"/>
          <w:szCs w:val="22"/>
          <w:lang w:val="es-CO"/>
        </w:rPr>
      </w:pPr>
    </w:p>
    <w:p w:rsidR="0006670C" w:rsidRDefault="0006670C" w:rsidP="0006670C">
      <w:pPr>
        <w:pStyle w:val="Sinespaciado"/>
        <w:ind w:left="993"/>
        <w:contextualSpacing/>
        <w:jc w:val="both"/>
        <w:rPr>
          <w:rFonts w:ascii="Arial" w:hAnsi="Arial" w:cs="Arial"/>
          <w:b/>
        </w:rPr>
      </w:pPr>
      <w:r>
        <w:rPr>
          <w:rFonts w:ascii="Arial" w:hAnsi="Arial" w:cs="Arial"/>
          <w:b/>
        </w:rPr>
        <w:t xml:space="preserve">3.1.1 </w:t>
      </w:r>
      <w:r>
        <w:rPr>
          <w:rFonts w:ascii="Arial" w:hAnsi="Arial" w:cs="Arial"/>
          <w:b/>
          <w:u w:val="single"/>
        </w:rPr>
        <w:t>Análisis de asignación e incorporación</w:t>
      </w:r>
      <w:r>
        <w:rPr>
          <w:rFonts w:ascii="Arial" w:hAnsi="Arial" w:cs="Arial"/>
          <w:b/>
        </w:rPr>
        <w:t>:</w:t>
      </w:r>
    </w:p>
    <w:p w:rsidR="0006670C" w:rsidRDefault="0006670C" w:rsidP="0006670C">
      <w:pPr>
        <w:pStyle w:val="Sinespaciado"/>
        <w:jc w:val="both"/>
        <w:rPr>
          <w:rFonts w:ascii="Arial" w:hAnsi="Arial" w:cs="Arial"/>
        </w:rPr>
      </w:pPr>
    </w:p>
    <w:p w:rsidR="0006670C" w:rsidRDefault="0006670C" w:rsidP="0006670C">
      <w:pPr>
        <w:pStyle w:val="Sinespaciado"/>
        <w:jc w:val="both"/>
        <w:rPr>
          <w:rFonts w:ascii="Arial" w:hAnsi="Arial" w:cs="Arial"/>
        </w:rPr>
      </w:pPr>
      <w:r>
        <w:rPr>
          <w:rFonts w:ascii="Arial" w:hAnsi="Arial" w:cs="Arial"/>
        </w:rPr>
        <w:t>El Municipio incorporó en su presupuesto el 100 % de los recursos asignados para todas las destinaciones de Propósito General - PG, como se muestra a continuación:</w:t>
      </w:r>
    </w:p>
    <w:p w:rsidR="0006670C" w:rsidRDefault="0006670C" w:rsidP="0006670C">
      <w:pPr>
        <w:rPr>
          <w:rFonts w:ascii="Arial" w:hAnsi="Arial" w:cs="Arial"/>
          <w:sz w:val="22"/>
          <w:szCs w:val="22"/>
        </w:rPr>
      </w:pPr>
    </w:p>
    <w:p w:rsidR="0006670C" w:rsidRDefault="0006670C" w:rsidP="0006670C">
      <w:pPr>
        <w:jc w:val="center"/>
        <w:rPr>
          <w:rFonts w:ascii="Arial" w:hAnsi="Arial" w:cs="Arial"/>
          <w:b/>
          <w:sz w:val="18"/>
          <w:szCs w:val="18"/>
          <w:lang w:val="es-CO"/>
        </w:rPr>
      </w:pPr>
      <w:r>
        <w:rPr>
          <w:rFonts w:ascii="Arial" w:hAnsi="Arial" w:cs="Arial"/>
          <w:b/>
          <w:sz w:val="18"/>
          <w:szCs w:val="18"/>
          <w:lang w:val="es-CO"/>
        </w:rPr>
        <w:t>Cuadro N° 1.</w:t>
      </w:r>
    </w:p>
    <w:p w:rsidR="0006670C" w:rsidRDefault="0006670C" w:rsidP="0006670C">
      <w:pPr>
        <w:jc w:val="center"/>
        <w:rPr>
          <w:rFonts w:ascii="Arial" w:hAnsi="Arial" w:cs="Arial"/>
          <w:sz w:val="18"/>
          <w:szCs w:val="18"/>
          <w:lang w:val="es-CO"/>
        </w:rPr>
      </w:pPr>
      <w:r>
        <w:rPr>
          <w:rFonts w:ascii="Arial" w:hAnsi="Arial" w:cs="Arial"/>
          <w:sz w:val="18"/>
          <w:szCs w:val="18"/>
          <w:lang w:val="es-CO"/>
        </w:rPr>
        <w:t xml:space="preserve">Análisis de la distribución e incorporación de recursos de la Participación de Propósito General, Vigencias 2018 – </w:t>
      </w:r>
    </w:p>
    <w:p w:rsidR="0006670C" w:rsidRDefault="0006670C" w:rsidP="0006670C">
      <w:pPr>
        <w:jc w:val="center"/>
        <w:rPr>
          <w:rFonts w:ascii="Arial" w:hAnsi="Arial" w:cs="Arial"/>
          <w:sz w:val="18"/>
          <w:szCs w:val="18"/>
          <w:lang w:val="es-CO"/>
        </w:rPr>
      </w:pPr>
      <w:r>
        <w:rPr>
          <w:rFonts w:ascii="Arial" w:hAnsi="Arial" w:cs="Arial"/>
          <w:sz w:val="18"/>
          <w:szCs w:val="18"/>
          <w:lang w:val="es-CO"/>
        </w:rPr>
        <w:t>2020, Puerto Escondido.</w:t>
      </w:r>
    </w:p>
    <w:p w:rsidR="0006670C" w:rsidRDefault="0006670C" w:rsidP="0006670C">
      <w:pPr>
        <w:jc w:val="center"/>
        <w:rPr>
          <w:rFonts w:ascii="Arial" w:hAnsi="Arial" w:cs="Arial"/>
          <w:sz w:val="18"/>
          <w:szCs w:val="18"/>
          <w:lang w:val="es-CO"/>
        </w:rPr>
      </w:pPr>
      <w:r>
        <w:rPr>
          <w:rFonts w:ascii="Arial" w:hAnsi="Arial" w:cs="Arial"/>
          <w:sz w:val="18"/>
          <w:szCs w:val="18"/>
          <w:lang w:val="es-CO"/>
        </w:rPr>
        <w:t>-</w:t>
      </w:r>
      <w:r>
        <w:rPr>
          <w:rFonts w:ascii="Arial" w:hAnsi="Arial" w:cs="Arial"/>
          <w:i/>
          <w:sz w:val="18"/>
          <w:szCs w:val="18"/>
          <w:lang w:val="es-CO"/>
        </w:rPr>
        <w:t>Cifras en pesos</w:t>
      </w:r>
      <w:r>
        <w:rPr>
          <w:rFonts w:ascii="Arial" w:hAnsi="Arial" w:cs="Arial"/>
          <w:sz w:val="18"/>
          <w:szCs w:val="18"/>
          <w:lang w:val="es-CO"/>
        </w:rPr>
        <w:t>-</w:t>
      </w:r>
    </w:p>
    <w:tbl>
      <w:tblPr>
        <w:tblW w:w="10264" w:type="dxa"/>
        <w:jc w:val="center"/>
        <w:tblCellMar>
          <w:left w:w="70" w:type="dxa"/>
          <w:right w:w="70" w:type="dxa"/>
        </w:tblCellMar>
        <w:tblLook w:val="04A0" w:firstRow="1" w:lastRow="0" w:firstColumn="1" w:lastColumn="0" w:noHBand="0" w:noVBand="1"/>
      </w:tblPr>
      <w:tblGrid>
        <w:gridCol w:w="1081"/>
        <w:gridCol w:w="1292"/>
        <w:gridCol w:w="1292"/>
        <w:gridCol w:w="651"/>
        <w:gridCol w:w="1292"/>
        <w:gridCol w:w="1292"/>
        <w:gridCol w:w="651"/>
        <w:gridCol w:w="1292"/>
        <w:gridCol w:w="1292"/>
        <w:gridCol w:w="651"/>
      </w:tblGrid>
      <w:tr w:rsidR="0006670C" w:rsidTr="0006670C">
        <w:trPr>
          <w:trHeight w:val="452"/>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ind w:left="-75"/>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Conceptos</w:t>
            </w:r>
          </w:p>
        </w:tc>
        <w:tc>
          <w:tcPr>
            <w:tcW w:w="0" w:type="auto"/>
            <w:gridSpan w:val="2"/>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2018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666699"/>
            <w:textDirection w:val="tbRl"/>
            <w:vAlign w:val="center"/>
            <w:hideMark/>
          </w:tcPr>
          <w:p w:rsidR="0006670C" w:rsidRDefault="0006670C">
            <w:pPr>
              <w:spacing w:line="256" w:lineRule="auto"/>
              <w:ind w:left="113" w:right="113"/>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Incorporación</w:t>
            </w:r>
          </w:p>
        </w:tc>
        <w:tc>
          <w:tcPr>
            <w:tcW w:w="0" w:type="auto"/>
            <w:gridSpan w:val="2"/>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2019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666699"/>
            <w:textDirection w:val="tbRl"/>
            <w:vAlign w:val="center"/>
            <w:hideMark/>
          </w:tcPr>
          <w:p w:rsidR="0006670C" w:rsidRDefault="0006670C">
            <w:pPr>
              <w:spacing w:line="256" w:lineRule="auto"/>
              <w:ind w:left="113" w:right="113"/>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Incorporación</w:t>
            </w:r>
          </w:p>
        </w:tc>
        <w:tc>
          <w:tcPr>
            <w:tcW w:w="0" w:type="auto"/>
            <w:gridSpan w:val="2"/>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666699"/>
            <w:textDirection w:val="tbRl"/>
            <w:vAlign w:val="center"/>
            <w:hideMark/>
          </w:tcPr>
          <w:p w:rsidR="0006670C" w:rsidRDefault="0006670C">
            <w:pPr>
              <w:spacing w:line="256" w:lineRule="auto"/>
              <w:ind w:left="113" w:right="113"/>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Incorporación</w:t>
            </w:r>
          </w:p>
        </w:tc>
      </w:tr>
      <w:tr w:rsidR="0006670C" w:rsidTr="0006670C">
        <w:trPr>
          <w:trHeight w:val="1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0" w:type="auto"/>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Documentos Distribución</w:t>
            </w:r>
          </w:p>
        </w:tc>
        <w:tc>
          <w:tcPr>
            <w:tcW w:w="0" w:type="auto"/>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Presupuesto definitivo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0" w:type="auto"/>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Documentos Distribución</w:t>
            </w:r>
          </w:p>
        </w:tc>
        <w:tc>
          <w:tcPr>
            <w:tcW w:w="0" w:type="auto"/>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Presupuesto definitivo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0" w:type="auto"/>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Documentos Distribución</w:t>
            </w:r>
          </w:p>
        </w:tc>
        <w:tc>
          <w:tcPr>
            <w:tcW w:w="0" w:type="auto"/>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Presupuesto definitivo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r>
      <w:tr w:rsidR="0006670C" w:rsidTr="0006670C">
        <w:trPr>
          <w:trHeight w:val="561"/>
          <w:jc w:val="center"/>
        </w:trPr>
        <w:tc>
          <w:tcPr>
            <w:tcW w:w="709" w:type="dxa"/>
            <w:tcBorders>
              <w:top w:val="nil"/>
              <w:left w:val="single" w:sz="4" w:space="0" w:color="auto"/>
              <w:bottom w:val="single" w:sz="4" w:space="0" w:color="auto"/>
              <w:right w:val="single" w:sz="4" w:space="0" w:color="auto"/>
            </w:tcBorders>
            <w:shd w:val="clear" w:color="auto" w:fill="E5E5FF"/>
            <w:vAlign w:val="center"/>
            <w:hideMark/>
          </w:tcPr>
          <w:p w:rsidR="0006670C" w:rsidRDefault="0006670C">
            <w:pPr>
              <w:spacing w:line="256" w:lineRule="auto"/>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 Ingresos Corrientes</w:t>
            </w:r>
          </w:p>
        </w:tc>
        <w:tc>
          <w:tcPr>
            <w:tcW w:w="0" w:type="auto"/>
            <w:tcBorders>
              <w:top w:val="nil"/>
              <w:left w:val="nil"/>
              <w:bottom w:val="single" w:sz="4" w:space="0" w:color="auto"/>
              <w:right w:val="single" w:sz="4" w:space="0" w:color="auto"/>
            </w:tcBorders>
            <w:shd w:val="clear" w:color="auto" w:fill="E5E5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3.885.265.429</w:t>
            </w:r>
          </w:p>
        </w:tc>
        <w:tc>
          <w:tcPr>
            <w:tcW w:w="0" w:type="auto"/>
            <w:tcBorders>
              <w:top w:val="nil"/>
              <w:left w:val="nil"/>
              <w:bottom w:val="single" w:sz="4" w:space="0" w:color="auto"/>
              <w:right w:val="single" w:sz="4" w:space="0" w:color="auto"/>
            </w:tcBorders>
            <w:shd w:val="clear" w:color="auto" w:fill="E5E5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3.885.265.429</w:t>
            </w:r>
          </w:p>
        </w:tc>
        <w:tc>
          <w:tcPr>
            <w:tcW w:w="0" w:type="auto"/>
            <w:tcBorders>
              <w:top w:val="nil"/>
              <w:left w:val="nil"/>
              <w:bottom w:val="single" w:sz="4" w:space="0" w:color="auto"/>
              <w:right w:val="single" w:sz="4" w:space="0" w:color="auto"/>
            </w:tcBorders>
            <w:shd w:val="clear" w:color="auto" w:fill="E5E5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100 %</w:t>
            </w:r>
          </w:p>
        </w:tc>
        <w:tc>
          <w:tcPr>
            <w:tcW w:w="0" w:type="auto"/>
            <w:tcBorders>
              <w:top w:val="nil"/>
              <w:left w:val="nil"/>
              <w:bottom w:val="single" w:sz="4" w:space="0" w:color="auto"/>
              <w:right w:val="single" w:sz="4" w:space="0" w:color="auto"/>
            </w:tcBorders>
            <w:shd w:val="clear" w:color="auto" w:fill="E5E5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4.570.990.986</w:t>
            </w:r>
          </w:p>
        </w:tc>
        <w:tc>
          <w:tcPr>
            <w:tcW w:w="0" w:type="auto"/>
            <w:tcBorders>
              <w:top w:val="nil"/>
              <w:left w:val="nil"/>
              <w:bottom w:val="single" w:sz="4" w:space="0" w:color="auto"/>
              <w:right w:val="single" w:sz="4" w:space="0" w:color="auto"/>
            </w:tcBorders>
            <w:shd w:val="clear" w:color="auto" w:fill="E5E5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4.570.990.986</w:t>
            </w:r>
          </w:p>
        </w:tc>
        <w:tc>
          <w:tcPr>
            <w:tcW w:w="0" w:type="auto"/>
            <w:tcBorders>
              <w:top w:val="nil"/>
              <w:left w:val="nil"/>
              <w:bottom w:val="single" w:sz="4" w:space="0" w:color="auto"/>
              <w:right w:val="single" w:sz="4" w:space="0" w:color="auto"/>
            </w:tcBorders>
            <w:shd w:val="clear" w:color="auto" w:fill="E5E5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100 %</w:t>
            </w:r>
          </w:p>
        </w:tc>
        <w:tc>
          <w:tcPr>
            <w:tcW w:w="0" w:type="auto"/>
            <w:tcBorders>
              <w:top w:val="nil"/>
              <w:left w:val="nil"/>
              <w:bottom w:val="single" w:sz="4" w:space="0" w:color="auto"/>
              <w:right w:val="single" w:sz="4" w:space="0" w:color="auto"/>
            </w:tcBorders>
            <w:shd w:val="clear" w:color="auto" w:fill="E5E5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8.421.883.846</w:t>
            </w:r>
          </w:p>
        </w:tc>
        <w:tc>
          <w:tcPr>
            <w:tcW w:w="0" w:type="auto"/>
            <w:tcBorders>
              <w:top w:val="nil"/>
              <w:left w:val="nil"/>
              <w:bottom w:val="single" w:sz="4" w:space="0" w:color="auto"/>
              <w:right w:val="single" w:sz="4" w:space="0" w:color="auto"/>
            </w:tcBorders>
            <w:shd w:val="clear" w:color="auto" w:fill="E5E5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8.421.883.846</w:t>
            </w:r>
          </w:p>
        </w:tc>
        <w:tc>
          <w:tcPr>
            <w:tcW w:w="0" w:type="auto"/>
            <w:tcBorders>
              <w:top w:val="nil"/>
              <w:left w:val="nil"/>
              <w:bottom w:val="single" w:sz="4" w:space="0" w:color="auto"/>
              <w:right w:val="single" w:sz="4" w:space="0" w:color="auto"/>
            </w:tcBorders>
            <w:shd w:val="clear" w:color="auto" w:fill="E5E5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100 %</w:t>
            </w:r>
          </w:p>
        </w:tc>
      </w:tr>
      <w:tr w:rsidR="0006670C" w:rsidTr="0006670C">
        <w:trPr>
          <w:trHeight w:val="430"/>
          <w:jc w:val="center"/>
        </w:trPr>
        <w:tc>
          <w:tcPr>
            <w:tcW w:w="709" w:type="dxa"/>
            <w:tcBorders>
              <w:top w:val="nil"/>
              <w:left w:val="single" w:sz="4" w:space="0" w:color="auto"/>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1.1. Libre Destinación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1.732.302.512</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1.732.302.512</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pPr>
            <w:r>
              <w:rPr>
                <w:rFonts w:ascii="Arial" w:eastAsia="Times New Roman" w:hAnsi="Arial" w:cs="Arial"/>
                <w:sz w:val="18"/>
                <w:szCs w:val="18"/>
                <w:lang w:val="es-CO" w:eastAsia="es-CO"/>
              </w:rPr>
              <w:t>100 %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2.028.754.751</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2.028.754.751</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pPr>
            <w:r>
              <w:rPr>
                <w:rFonts w:ascii="Arial" w:eastAsia="Times New Roman" w:hAnsi="Arial" w:cs="Arial"/>
                <w:sz w:val="18"/>
                <w:szCs w:val="18"/>
                <w:lang w:val="es-CO" w:eastAsia="es-CO"/>
              </w:rPr>
              <w:t>100 %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3.537.191.215</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3.537.191.215</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100 %</w:t>
            </w:r>
          </w:p>
        </w:tc>
      </w:tr>
      <w:tr w:rsidR="0006670C" w:rsidTr="0006670C">
        <w:trPr>
          <w:trHeight w:val="430"/>
          <w:jc w:val="center"/>
        </w:trPr>
        <w:tc>
          <w:tcPr>
            <w:tcW w:w="709" w:type="dxa"/>
            <w:tcBorders>
              <w:top w:val="nil"/>
              <w:left w:val="single" w:sz="4" w:space="0" w:color="auto"/>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1.2. Libre Inversión</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1.818.051.098</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1.818.051.098</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pPr>
            <w:r>
              <w:rPr>
                <w:rFonts w:ascii="Arial" w:eastAsia="Times New Roman" w:hAnsi="Arial" w:cs="Arial"/>
                <w:sz w:val="18"/>
                <w:szCs w:val="18"/>
                <w:lang w:val="es-CO" w:eastAsia="es-CO"/>
              </w:rPr>
              <w:t>100 %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2.150.010.316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2.150.010.316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pPr>
            <w:r>
              <w:rPr>
                <w:rFonts w:ascii="Arial" w:eastAsia="Times New Roman" w:hAnsi="Arial" w:cs="Arial"/>
                <w:sz w:val="18"/>
                <w:szCs w:val="18"/>
                <w:lang w:val="es-CO" w:eastAsia="es-CO"/>
              </w:rPr>
              <w:t>100 %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4.425.004.586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4.425.004.586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pPr>
            <w:r>
              <w:rPr>
                <w:rFonts w:ascii="Arial" w:eastAsia="Times New Roman" w:hAnsi="Arial" w:cs="Arial"/>
                <w:sz w:val="18"/>
                <w:szCs w:val="18"/>
                <w:lang w:val="es-CO" w:eastAsia="es-CO"/>
              </w:rPr>
              <w:t>100 %</w:t>
            </w:r>
          </w:p>
        </w:tc>
      </w:tr>
      <w:tr w:rsidR="0006670C" w:rsidTr="0006670C">
        <w:trPr>
          <w:trHeight w:val="430"/>
          <w:jc w:val="center"/>
        </w:trPr>
        <w:tc>
          <w:tcPr>
            <w:tcW w:w="709" w:type="dxa"/>
            <w:tcBorders>
              <w:top w:val="nil"/>
              <w:left w:val="single" w:sz="4" w:space="0" w:color="auto"/>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lastRenderedPageBreak/>
              <w:t>1.3. Deporte y Recreación</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191.378.183</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191.378.183</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pPr>
            <w:r>
              <w:rPr>
                <w:rFonts w:ascii="Arial" w:eastAsia="Times New Roman" w:hAnsi="Arial" w:cs="Arial"/>
                <w:sz w:val="18"/>
                <w:szCs w:val="18"/>
                <w:lang w:val="es-CO" w:eastAsia="es-CO"/>
              </w:rPr>
              <w:t>100 %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224.129.096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224.129.096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pPr>
            <w:r>
              <w:rPr>
                <w:rFonts w:ascii="Arial" w:eastAsia="Times New Roman" w:hAnsi="Arial" w:cs="Arial"/>
                <w:sz w:val="18"/>
                <w:szCs w:val="18"/>
                <w:lang w:val="es-CO" w:eastAsia="es-CO"/>
              </w:rPr>
              <w:t>100 %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262.678.883</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262.678.883</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pPr>
            <w:r>
              <w:rPr>
                <w:rFonts w:ascii="Arial" w:eastAsia="Times New Roman" w:hAnsi="Arial" w:cs="Arial"/>
                <w:sz w:val="18"/>
                <w:szCs w:val="18"/>
                <w:lang w:val="es-CO" w:eastAsia="es-CO"/>
              </w:rPr>
              <w:t>100 %</w:t>
            </w:r>
          </w:p>
        </w:tc>
      </w:tr>
      <w:tr w:rsidR="0006670C" w:rsidTr="0006670C">
        <w:trPr>
          <w:trHeight w:val="430"/>
          <w:jc w:val="center"/>
        </w:trPr>
        <w:tc>
          <w:tcPr>
            <w:tcW w:w="709" w:type="dxa"/>
            <w:tcBorders>
              <w:top w:val="nil"/>
              <w:left w:val="single" w:sz="4" w:space="0" w:color="auto"/>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1.4. Cultura</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143.533.636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143.533.636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pPr>
            <w:r>
              <w:rPr>
                <w:rFonts w:ascii="Arial" w:eastAsia="Times New Roman" w:hAnsi="Arial" w:cs="Arial"/>
                <w:sz w:val="18"/>
                <w:szCs w:val="18"/>
                <w:lang w:val="es-CO" w:eastAsia="es-CO"/>
              </w:rPr>
              <w:t>100 %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168.096.823</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168.096.823</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pPr>
            <w:r>
              <w:rPr>
                <w:rFonts w:ascii="Arial" w:eastAsia="Times New Roman" w:hAnsi="Arial" w:cs="Arial"/>
                <w:sz w:val="18"/>
                <w:szCs w:val="18"/>
                <w:lang w:val="es-CO" w:eastAsia="es-CO"/>
              </w:rPr>
              <w:t>100 %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197.009.162</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197.009.162</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pPr>
            <w:r>
              <w:rPr>
                <w:rFonts w:ascii="Arial" w:eastAsia="Times New Roman" w:hAnsi="Arial" w:cs="Arial"/>
                <w:sz w:val="18"/>
                <w:szCs w:val="18"/>
                <w:lang w:val="es-CO" w:eastAsia="es-CO"/>
              </w:rPr>
              <w:t>100 %</w:t>
            </w:r>
          </w:p>
        </w:tc>
      </w:tr>
    </w:tbl>
    <w:p w:rsidR="0006670C" w:rsidRDefault="0006670C" w:rsidP="0006670C">
      <w:pPr>
        <w:jc w:val="both"/>
        <w:rPr>
          <w:rFonts w:ascii="Arial" w:eastAsiaTheme="minorHAnsi" w:hAnsi="Arial" w:cs="Arial"/>
          <w:b/>
          <w:sz w:val="18"/>
          <w:szCs w:val="18"/>
          <w:lang w:val="es-CO" w:eastAsia="en-US"/>
        </w:rPr>
      </w:pPr>
      <w:r>
        <w:rPr>
          <w:rFonts w:ascii="Arial" w:hAnsi="Arial" w:cs="Arial"/>
          <w:b/>
          <w:sz w:val="18"/>
          <w:szCs w:val="18"/>
        </w:rPr>
        <w:t xml:space="preserve">Fuente: </w:t>
      </w:r>
      <w:r>
        <w:rPr>
          <w:rFonts w:ascii="Arial" w:hAnsi="Arial" w:cs="Arial"/>
          <w:sz w:val="18"/>
          <w:szCs w:val="18"/>
        </w:rPr>
        <w:t>Elaboración propia con base en la información reportada al FUT por el Municipio y los Documentos de Distribución SGP-23-2017, SGP-26-2018, SGP-33-2018, SGP-36-2019, SGP-39-2019 y SGP-48-2020.</w:t>
      </w:r>
    </w:p>
    <w:p w:rsidR="0006670C" w:rsidRDefault="0006670C" w:rsidP="0006670C">
      <w:pPr>
        <w:jc w:val="both"/>
        <w:textAlignment w:val="baseline"/>
        <w:rPr>
          <w:rStyle w:val="normaltextrun"/>
          <w:rFonts w:eastAsia="Times New Roman"/>
          <w:lang w:eastAsia="es-CO"/>
        </w:rPr>
      </w:pPr>
    </w:p>
    <w:p w:rsidR="0006670C" w:rsidRDefault="0006670C" w:rsidP="0006670C">
      <w:pPr>
        <w:pStyle w:val="Sinespaciado"/>
        <w:jc w:val="both"/>
        <w:rPr>
          <w:lang w:val="es-ES_tradnl"/>
        </w:rPr>
      </w:pPr>
      <w:r>
        <w:rPr>
          <w:rFonts w:ascii="Arial" w:hAnsi="Arial" w:cs="Arial"/>
        </w:rPr>
        <w:t xml:space="preserve">En términos del análisis de la asignación de recursos por concepto de la Participación de Propósito General para el Municipio de Puerto Escondido – Córdoba se observó que la misma ha sido creciente, entre los periodos analizados. </w:t>
      </w:r>
      <w:r>
        <w:rPr>
          <w:rFonts w:ascii="Arial" w:hAnsi="Arial" w:cs="Arial"/>
          <w:lang w:val="es-ES_tradnl"/>
        </w:rPr>
        <w:t>Entre las vigencias 2018 y 2019 se presenta un aumento del 18 % en los recursos asignados por los Documentos de Distribución. De igual manera, para la vigencia 2020 se evidencia un aumento en los recursos asignados por los Documentos de Distribución del 84 % frente a lo asignado en la vigencia 2019.</w:t>
      </w:r>
    </w:p>
    <w:p w:rsidR="0006670C" w:rsidRDefault="0006670C" w:rsidP="0006670C">
      <w:pPr>
        <w:pStyle w:val="Sinespaciado"/>
        <w:jc w:val="both"/>
        <w:rPr>
          <w:rFonts w:ascii="Arial" w:hAnsi="Arial" w:cs="Arial"/>
          <w:lang w:val="es-ES_tradnl"/>
        </w:rPr>
      </w:pPr>
    </w:p>
    <w:p w:rsidR="0006670C" w:rsidRDefault="0006670C" w:rsidP="0006670C">
      <w:pPr>
        <w:pStyle w:val="Sinespaciado"/>
        <w:jc w:val="both"/>
        <w:rPr>
          <w:rFonts w:ascii="Arial" w:hAnsi="Arial" w:cs="Arial"/>
          <w:lang w:val="es-ES_tradnl"/>
        </w:rPr>
      </w:pPr>
      <w:r>
        <w:rPr>
          <w:rFonts w:ascii="Arial" w:hAnsi="Arial" w:cs="Arial"/>
          <w:lang w:val="es-ES_tradnl"/>
        </w:rPr>
        <w:t>Aunque el crecimiento no fue en la misma proporción y se destaca el de los recursos asignados para la vigencia 2020, en un análisis detallado de los criterios de distribución, se identificó que dicho crecimiento se debe principalmente a un aumento en lo asignado por los criterios de distribución de eficiencia fiscal, pobreza relativa y población.</w:t>
      </w:r>
    </w:p>
    <w:p w:rsidR="0006670C" w:rsidRDefault="0006670C" w:rsidP="0006670C">
      <w:pPr>
        <w:pStyle w:val="Sinespaciado"/>
        <w:jc w:val="both"/>
        <w:rPr>
          <w:rFonts w:ascii="Arial" w:hAnsi="Arial" w:cs="Arial"/>
        </w:rPr>
      </w:pPr>
    </w:p>
    <w:p w:rsidR="0006670C" w:rsidRDefault="0006670C" w:rsidP="0006670C">
      <w:pPr>
        <w:pStyle w:val="Sinespaciado"/>
        <w:jc w:val="both"/>
        <w:rPr>
          <w:rFonts w:ascii="Arial" w:hAnsi="Arial" w:cs="Arial"/>
          <w:lang w:val="es-ES_tradnl"/>
        </w:rPr>
      </w:pPr>
      <w:r>
        <w:rPr>
          <w:rFonts w:ascii="Arial" w:hAnsi="Arial" w:cs="Arial"/>
        </w:rPr>
        <w:t>En el Gráfico 1 se destaca que</w:t>
      </w:r>
      <w:r>
        <w:rPr>
          <w:rFonts w:ascii="Arial" w:hAnsi="Arial" w:cs="Arial"/>
          <w:lang w:val="es-ES_tradnl"/>
        </w:rPr>
        <w:t xml:space="preserve"> el Municipio de </w:t>
      </w:r>
      <w:r>
        <w:rPr>
          <w:rFonts w:ascii="Arial" w:hAnsi="Arial" w:cs="Arial"/>
        </w:rPr>
        <w:t xml:space="preserve">Puerto Escondido – Córdoba </w:t>
      </w:r>
      <w:r>
        <w:rPr>
          <w:rFonts w:ascii="Arial" w:hAnsi="Arial" w:cs="Arial"/>
          <w:lang w:val="es-ES_tradnl"/>
        </w:rPr>
        <w:t>ha sido beneficiario de una asignación creciente por los criterios demográficos. Adicionalmente, es importante resaltar que el Municipio ha presentado crecimiento en los recursos asignados por el criterio de eficiencia fiscal, que es un criterio que se basa el crecimiento promedio de los ingresos per cápita de las últimas tres (3) vigencias. Es decir, el Municipio de Puerto Escondido - Córdoba logró un crecimiento promedio positivo del recaudo de ingresos tributarios per cápita durante los periodos analizados.</w:t>
      </w:r>
    </w:p>
    <w:p w:rsidR="0006670C" w:rsidRDefault="0006670C" w:rsidP="0006670C">
      <w:pPr>
        <w:pStyle w:val="Sinespaciado"/>
        <w:jc w:val="both"/>
        <w:rPr>
          <w:rFonts w:ascii="Arial" w:hAnsi="Arial" w:cs="Arial"/>
          <w:lang w:val="es-ES_tradnl"/>
        </w:rPr>
      </w:pPr>
    </w:p>
    <w:p w:rsidR="0006670C" w:rsidRDefault="0006670C" w:rsidP="0006670C">
      <w:pPr>
        <w:jc w:val="center"/>
        <w:rPr>
          <w:rFonts w:ascii="Arial" w:hAnsi="Arial" w:cs="Arial"/>
          <w:b/>
          <w:sz w:val="18"/>
          <w:szCs w:val="18"/>
          <w:lang w:val="es-ES_tradnl"/>
        </w:rPr>
      </w:pPr>
      <w:r>
        <w:rPr>
          <w:rFonts w:ascii="Arial" w:hAnsi="Arial" w:cs="Arial"/>
          <w:b/>
          <w:sz w:val="18"/>
          <w:szCs w:val="18"/>
          <w:lang w:val="es-ES_tradnl"/>
        </w:rPr>
        <w:t>Gráfico N° 1.</w:t>
      </w:r>
    </w:p>
    <w:p w:rsidR="0006670C" w:rsidRDefault="0006670C" w:rsidP="0006670C">
      <w:pPr>
        <w:pStyle w:val="Prrafodelista"/>
        <w:spacing w:line="240" w:lineRule="auto"/>
        <w:ind w:left="142"/>
        <w:jc w:val="center"/>
        <w:rPr>
          <w:rFonts w:ascii="Arial" w:hAnsi="Arial" w:cs="Arial"/>
          <w:sz w:val="18"/>
          <w:szCs w:val="18"/>
          <w:lang w:val="es-ES_tradnl"/>
        </w:rPr>
      </w:pPr>
      <w:r>
        <w:rPr>
          <w:rFonts w:ascii="Arial" w:hAnsi="Arial" w:cs="Arial"/>
          <w:sz w:val="18"/>
          <w:szCs w:val="18"/>
          <w:lang w:val="es-ES_tradnl"/>
        </w:rPr>
        <w:t>Análisis de la Asignación y distribución por criterios de la Participación de Propósito General. 17 % Municipios Menores De 25.000 Habitantes. Vigencias 2018 - 2020, Municipio de Puerto Escondido – Córdoba.</w:t>
      </w:r>
    </w:p>
    <w:p w:rsidR="0006670C" w:rsidRDefault="0006670C" w:rsidP="0006670C">
      <w:pPr>
        <w:pStyle w:val="Prrafodelista"/>
        <w:spacing w:line="240" w:lineRule="auto"/>
        <w:jc w:val="center"/>
        <w:rPr>
          <w:rFonts w:ascii="Arial" w:hAnsi="Arial" w:cs="Arial"/>
          <w:sz w:val="18"/>
          <w:szCs w:val="18"/>
          <w:lang w:val="es-ES_tradnl"/>
        </w:rPr>
      </w:pPr>
      <w:r>
        <w:rPr>
          <w:rFonts w:ascii="Arial" w:hAnsi="Arial" w:cs="Arial"/>
          <w:sz w:val="18"/>
          <w:szCs w:val="18"/>
          <w:lang w:val="es-ES_tradnl"/>
        </w:rPr>
        <w:t>-</w:t>
      </w:r>
      <w:r>
        <w:rPr>
          <w:rFonts w:ascii="Arial" w:hAnsi="Arial" w:cs="Arial"/>
          <w:i/>
          <w:sz w:val="18"/>
          <w:szCs w:val="18"/>
          <w:lang w:val="es-ES_tradnl"/>
        </w:rPr>
        <w:t>Cifras en pesos</w:t>
      </w:r>
      <w:r>
        <w:rPr>
          <w:rFonts w:ascii="Arial" w:hAnsi="Arial" w:cs="Arial"/>
          <w:sz w:val="18"/>
          <w:szCs w:val="18"/>
          <w:lang w:val="es-ES_tradnl"/>
        </w:rPr>
        <w:t>-</w:t>
      </w:r>
    </w:p>
    <w:p w:rsidR="0006670C" w:rsidRDefault="0006670C" w:rsidP="0006670C">
      <w:pPr>
        <w:pStyle w:val="Prrafodelista"/>
        <w:spacing w:line="240" w:lineRule="auto"/>
        <w:ind w:left="-142"/>
        <w:jc w:val="center"/>
        <w:rPr>
          <w:rFonts w:ascii="Arial" w:hAnsi="Arial" w:cs="Arial"/>
          <w:sz w:val="18"/>
          <w:szCs w:val="18"/>
          <w:lang w:val="es-ES_tradnl"/>
        </w:rPr>
      </w:pPr>
      <w:r>
        <w:rPr>
          <w:noProof/>
          <w:lang w:eastAsia="es-CO"/>
        </w:rPr>
        <w:drawing>
          <wp:inline distT="0" distB="0" distL="0" distR="0">
            <wp:extent cx="4114800" cy="1609725"/>
            <wp:effectExtent l="0" t="0" r="0" b="952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670C" w:rsidRDefault="0006670C" w:rsidP="0006670C">
      <w:pPr>
        <w:pStyle w:val="Prrafodelista"/>
        <w:spacing w:line="240" w:lineRule="auto"/>
        <w:ind w:left="284"/>
        <w:jc w:val="both"/>
        <w:rPr>
          <w:rFonts w:ascii="Arial" w:hAnsi="Arial" w:cs="Arial"/>
          <w:sz w:val="18"/>
          <w:szCs w:val="18"/>
          <w:lang w:val="es-ES_tradnl"/>
        </w:rPr>
      </w:pPr>
      <w:r>
        <w:rPr>
          <w:rFonts w:ascii="Arial" w:hAnsi="Arial" w:cs="Arial"/>
          <w:b/>
          <w:sz w:val="18"/>
          <w:szCs w:val="18"/>
          <w:lang w:val="es-ES_tradnl"/>
        </w:rPr>
        <w:t>Fuente:</w:t>
      </w:r>
      <w:r>
        <w:rPr>
          <w:rFonts w:ascii="Arial" w:hAnsi="Arial" w:cs="Arial"/>
          <w:sz w:val="18"/>
          <w:szCs w:val="18"/>
          <w:lang w:val="es-ES_tradnl"/>
        </w:rPr>
        <w:t xml:space="preserve"> Elaboración propia con base en la información de los Documentos de Distribución SGP-23-2017, SGP-26-2018, SGP-33-2018, SGP-36-2019, SGP-39-2019 y SGP-48-2020.</w:t>
      </w:r>
    </w:p>
    <w:p w:rsidR="0006670C" w:rsidRDefault="0006670C" w:rsidP="0006670C">
      <w:pPr>
        <w:spacing w:after="160" w:line="256" w:lineRule="auto"/>
        <w:rPr>
          <w:rFonts w:ascii="Arial" w:eastAsiaTheme="minorHAnsi" w:hAnsi="Arial" w:cs="Arial"/>
          <w:sz w:val="22"/>
          <w:szCs w:val="22"/>
          <w:lang w:val="es-ES_tradnl" w:eastAsia="en-US"/>
        </w:rPr>
      </w:pPr>
      <w:r>
        <w:rPr>
          <w:rFonts w:ascii="Arial" w:hAnsi="Arial" w:cs="Arial"/>
          <w:lang w:val="es-ES_tradnl"/>
        </w:rPr>
        <w:br w:type="page"/>
      </w:r>
    </w:p>
    <w:p w:rsidR="0006670C" w:rsidRDefault="0006670C" w:rsidP="0006670C">
      <w:pPr>
        <w:pStyle w:val="Prrafodelista"/>
        <w:spacing w:line="240" w:lineRule="auto"/>
        <w:ind w:left="284"/>
        <w:jc w:val="both"/>
        <w:rPr>
          <w:rFonts w:ascii="Arial" w:hAnsi="Arial" w:cs="Arial"/>
          <w:lang w:val="es-ES_tradnl"/>
        </w:rPr>
      </w:pPr>
    </w:p>
    <w:p w:rsidR="0006670C" w:rsidRDefault="0006670C" w:rsidP="0006670C">
      <w:pPr>
        <w:jc w:val="center"/>
        <w:rPr>
          <w:rFonts w:ascii="Arial" w:hAnsi="Arial" w:cs="Arial"/>
          <w:b/>
          <w:sz w:val="18"/>
          <w:szCs w:val="18"/>
          <w:lang w:val="es-ES_tradnl"/>
        </w:rPr>
      </w:pPr>
      <w:r>
        <w:rPr>
          <w:rFonts w:ascii="Arial" w:hAnsi="Arial" w:cs="Arial"/>
          <w:b/>
          <w:sz w:val="18"/>
          <w:szCs w:val="18"/>
          <w:lang w:val="es-ES_tradnl"/>
        </w:rPr>
        <w:t>Gráfico N° 2.</w:t>
      </w:r>
    </w:p>
    <w:p w:rsidR="0006670C" w:rsidRDefault="0006670C" w:rsidP="0006670C">
      <w:pPr>
        <w:pStyle w:val="Prrafodelista"/>
        <w:spacing w:line="240" w:lineRule="auto"/>
        <w:jc w:val="center"/>
        <w:rPr>
          <w:rFonts w:ascii="Arial" w:hAnsi="Arial" w:cs="Arial"/>
          <w:sz w:val="18"/>
          <w:szCs w:val="18"/>
          <w:lang w:val="es-ES_tradnl"/>
        </w:rPr>
      </w:pPr>
      <w:r>
        <w:rPr>
          <w:rFonts w:ascii="Arial" w:hAnsi="Arial" w:cs="Arial"/>
          <w:sz w:val="18"/>
          <w:szCs w:val="18"/>
          <w:lang w:val="es-ES_tradnl"/>
        </w:rPr>
        <w:t>Análisis de la Asignación y distribución por criterios de la Participación de Propósito General. 83 % Distribuido entre todos los Distritos y Municipios. Vigencias 2018 - 2020, Municipio de Puerto Escondido – Córdoba.</w:t>
      </w:r>
    </w:p>
    <w:p w:rsidR="0006670C" w:rsidRDefault="0006670C" w:rsidP="0006670C">
      <w:pPr>
        <w:pStyle w:val="Prrafodelista"/>
        <w:spacing w:line="240" w:lineRule="auto"/>
        <w:jc w:val="center"/>
        <w:rPr>
          <w:rFonts w:ascii="Arial" w:hAnsi="Arial" w:cs="Arial"/>
          <w:sz w:val="18"/>
          <w:szCs w:val="18"/>
          <w:lang w:val="es-ES_tradnl"/>
        </w:rPr>
      </w:pPr>
      <w:r>
        <w:rPr>
          <w:rFonts w:ascii="Arial" w:hAnsi="Arial" w:cs="Arial"/>
          <w:sz w:val="18"/>
          <w:szCs w:val="18"/>
          <w:lang w:val="es-ES_tradnl"/>
        </w:rPr>
        <w:t>-</w:t>
      </w:r>
      <w:r>
        <w:rPr>
          <w:rFonts w:ascii="Arial" w:hAnsi="Arial" w:cs="Arial"/>
          <w:i/>
          <w:sz w:val="18"/>
          <w:szCs w:val="18"/>
          <w:lang w:val="es-ES_tradnl"/>
        </w:rPr>
        <w:t>Cifras en pesos</w:t>
      </w:r>
      <w:r>
        <w:rPr>
          <w:rFonts w:ascii="Arial" w:hAnsi="Arial" w:cs="Arial"/>
          <w:sz w:val="18"/>
          <w:szCs w:val="18"/>
          <w:lang w:val="es-ES_tradnl"/>
        </w:rPr>
        <w:t>-</w:t>
      </w:r>
    </w:p>
    <w:p w:rsidR="0006670C" w:rsidRDefault="0006670C" w:rsidP="0006670C">
      <w:pPr>
        <w:pStyle w:val="Prrafodelista"/>
        <w:spacing w:line="240" w:lineRule="auto"/>
        <w:ind w:left="-142"/>
        <w:jc w:val="center"/>
        <w:rPr>
          <w:rFonts w:ascii="Arial" w:hAnsi="Arial" w:cs="Arial"/>
          <w:sz w:val="18"/>
          <w:szCs w:val="18"/>
          <w:lang w:val="es-ES_tradnl"/>
        </w:rPr>
      </w:pPr>
      <w:r>
        <w:rPr>
          <w:noProof/>
          <w:lang w:eastAsia="es-CO"/>
        </w:rPr>
        <w:drawing>
          <wp:inline distT="0" distB="0" distL="0" distR="0">
            <wp:extent cx="4143375" cy="1638300"/>
            <wp:effectExtent l="0" t="0" r="9525"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670C" w:rsidRDefault="0006670C" w:rsidP="0006670C">
      <w:pPr>
        <w:pStyle w:val="Prrafodelista"/>
        <w:spacing w:line="240" w:lineRule="auto"/>
        <w:ind w:left="-142"/>
        <w:jc w:val="center"/>
        <w:rPr>
          <w:rFonts w:ascii="Arial" w:hAnsi="Arial" w:cs="Arial"/>
          <w:sz w:val="18"/>
          <w:szCs w:val="18"/>
          <w:lang w:val="es-ES_tradnl"/>
        </w:rPr>
      </w:pPr>
      <w:r>
        <w:rPr>
          <w:noProof/>
          <w:lang w:eastAsia="es-CO"/>
        </w:rPr>
        <w:drawing>
          <wp:inline distT="0" distB="0" distL="0" distR="0">
            <wp:extent cx="4143375" cy="2228850"/>
            <wp:effectExtent l="0" t="0" r="9525"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670C" w:rsidRDefault="0006670C" w:rsidP="0006670C">
      <w:pPr>
        <w:pStyle w:val="Prrafodelista"/>
        <w:spacing w:line="240" w:lineRule="auto"/>
        <w:jc w:val="both"/>
      </w:pPr>
      <w:r>
        <w:rPr>
          <w:rFonts w:ascii="Arial" w:hAnsi="Arial" w:cs="Arial"/>
          <w:b/>
          <w:sz w:val="18"/>
          <w:szCs w:val="18"/>
          <w:lang w:val="es-ES_tradnl"/>
        </w:rPr>
        <w:t>Fuente:</w:t>
      </w:r>
      <w:r>
        <w:rPr>
          <w:rFonts w:ascii="Arial" w:hAnsi="Arial" w:cs="Arial"/>
          <w:sz w:val="18"/>
          <w:szCs w:val="18"/>
          <w:lang w:val="es-ES_tradnl"/>
        </w:rPr>
        <w:t xml:space="preserve"> Elaboración propia con base en la información de los Documentos de Distribución SGP-23-2017, SGP-26-2018, SGP-33-2018, SGP-36-2019, SGP-39-2019 y SGP-48-2020.</w:t>
      </w:r>
    </w:p>
    <w:p w:rsidR="0006670C" w:rsidRDefault="0006670C" w:rsidP="0006670C">
      <w:pPr>
        <w:pStyle w:val="Prrafodelista"/>
        <w:spacing w:line="240" w:lineRule="auto"/>
        <w:ind w:left="0"/>
        <w:jc w:val="both"/>
        <w:rPr>
          <w:rFonts w:ascii="Arial" w:hAnsi="Arial" w:cs="Arial"/>
          <w:lang w:val="es-ES_tradnl"/>
        </w:rPr>
      </w:pPr>
    </w:p>
    <w:p w:rsidR="0006670C" w:rsidRDefault="0006670C" w:rsidP="0006670C">
      <w:pPr>
        <w:pStyle w:val="Prrafodelista"/>
        <w:spacing w:line="240" w:lineRule="auto"/>
        <w:ind w:left="0"/>
        <w:jc w:val="both"/>
        <w:rPr>
          <w:rFonts w:ascii="Arial" w:hAnsi="Arial" w:cs="Arial"/>
          <w:lang w:val="es-ES_tradnl"/>
        </w:rPr>
      </w:pPr>
      <w:r>
        <w:rPr>
          <w:rFonts w:ascii="Arial" w:hAnsi="Arial" w:cs="Arial"/>
          <w:lang w:val="es-ES_tradnl"/>
        </w:rPr>
        <w:t>Sin embargo, para el criterio de eficiencia administrativa se evidencia una disminución en los recursos asignados entre las vigencias 2019 y 2020. Cabe aclarar, que el criterio de eficiencia administrativa representa un incentivo a la racionalización del gasto de funcionamiento. Por lo tanto, se asigna a los distritos y municipios que cumplan con los límites establecidos para los gastos de funcionamiento de la administración central de que trata la Ley 617 de 2000.</w:t>
      </w:r>
    </w:p>
    <w:p w:rsidR="0006670C" w:rsidRDefault="0006670C" w:rsidP="0006670C">
      <w:pPr>
        <w:pStyle w:val="Prrafodelista"/>
        <w:spacing w:line="240" w:lineRule="auto"/>
        <w:ind w:left="0"/>
        <w:jc w:val="both"/>
        <w:rPr>
          <w:rFonts w:ascii="Arial" w:hAnsi="Arial" w:cs="Arial"/>
          <w:lang w:val="es-ES_tradnl"/>
        </w:rPr>
      </w:pPr>
    </w:p>
    <w:p w:rsidR="0006670C" w:rsidRDefault="0006670C" w:rsidP="0006670C">
      <w:pPr>
        <w:pStyle w:val="Prrafodelista"/>
        <w:spacing w:line="240" w:lineRule="auto"/>
        <w:ind w:left="0"/>
        <w:jc w:val="both"/>
        <w:rPr>
          <w:rFonts w:ascii="Arial" w:hAnsi="Arial" w:cs="Arial"/>
          <w:lang w:val="es-ES_tradnl"/>
        </w:rPr>
      </w:pPr>
      <w:r>
        <w:rPr>
          <w:rFonts w:ascii="Arial" w:hAnsi="Arial" w:cs="Arial"/>
          <w:lang w:val="es-ES_tradnl"/>
        </w:rPr>
        <w:t xml:space="preserve">Lo anterior implica, que el Municipio de </w:t>
      </w:r>
      <w:r>
        <w:rPr>
          <w:rFonts w:ascii="Arial" w:hAnsi="Arial" w:cs="Arial"/>
        </w:rPr>
        <w:t xml:space="preserve">Puerto Escondido – Córdoba, aunque </w:t>
      </w:r>
      <w:r>
        <w:rPr>
          <w:rFonts w:ascii="Arial" w:hAnsi="Arial" w:cs="Arial"/>
          <w:lang w:val="es-ES_tradnl"/>
        </w:rPr>
        <w:t>cumplió con los límites de gasto, disminuyó la holgura, es decir la diferencia entre el límite establecido y el gasto real total, debido a que el Municipio aumentó esta relación en 10 % en la vigencia 2018 frente a la vigencia 2017</w:t>
      </w:r>
      <w:r>
        <w:rPr>
          <w:rStyle w:val="Refdenotaalpie"/>
          <w:rFonts w:ascii="Arial" w:hAnsi="Arial" w:cs="Arial"/>
          <w:lang w:val="es-ES_tradnl"/>
        </w:rPr>
        <w:footnoteReference w:id="1"/>
      </w:r>
      <w:r>
        <w:rPr>
          <w:rFonts w:ascii="Arial" w:hAnsi="Arial" w:cs="Arial"/>
          <w:lang w:val="es-ES_tradnl"/>
        </w:rPr>
        <w:t xml:space="preserve"> y por lo tanto, la asignación relacionada al incentivo a esta racionalización disminuyó.</w:t>
      </w:r>
    </w:p>
    <w:p w:rsidR="0006670C" w:rsidRDefault="0006670C" w:rsidP="0006670C">
      <w:pPr>
        <w:pStyle w:val="Prrafodelista"/>
        <w:spacing w:line="240" w:lineRule="auto"/>
        <w:ind w:left="0"/>
        <w:jc w:val="both"/>
        <w:rPr>
          <w:rFonts w:ascii="Arial" w:hAnsi="Arial" w:cs="Arial"/>
          <w:lang w:val="es-ES_tradnl"/>
        </w:rPr>
      </w:pPr>
    </w:p>
    <w:p w:rsidR="0006670C" w:rsidRDefault="0006670C" w:rsidP="0006670C">
      <w:pPr>
        <w:pStyle w:val="Prrafodelista"/>
        <w:spacing w:line="240" w:lineRule="auto"/>
        <w:ind w:left="0"/>
        <w:jc w:val="both"/>
        <w:rPr>
          <w:rFonts w:ascii="Arial" w:hAnsi="Arial" w:cs="Arial"/>
          <w:lang w:val="es-ES_tradnl"/>
        </w:rPr>
      </w:pPr>
    </w:p>
    <w:p w:rsidR="0006670C" w:rsidRDefault="0006670C" w:rsidP="0006670C">
      <w:pPr>
        <w:pStyle w:val="Sinespaciado"/>
        <w:jc w:val="both"/>
        <w:rPr>
          <w:rFonts w:ascii="Arial" w:hAnsi="Arial" w:cs="Arial"/>
          <w:b/>
          <w:lang w:val="es-ES_tradnl"/>
        </w:rPr>
      </w:pPr>
      <w:r>
        <w:rPr>
          <w:rFonts w:ascii="Arial" w:hAnsi="Arial" w:cs="Arial"/>
          <w:b/>
          <w:lang w:val="es-ES_tradnl"/>
        </w:rPr>
        <w:lastRenderedPageBreak/>
        <w:t xml:space="preserve">3.1.2 </w:t>
      </w:r>
      <w:r>
        <w:rPr>
          <w:rFonts w:ascii="Arial" w:hAnsi="Arial" w:cs="Arial"/>
          <w:b/>
          <w:u w:val="single"/>
          <w:lang w:val="es-ES_tradnl"/>
        </w:rPr>
        <w:t>Análisis presupuestal</w:t>
      </w:r>
      <w:r>
        <w:rPr>
          <w:rFonts w:ascii="Arial" w:hAnsi="Arial" w:cs="Arial"/>
          <w:b/>
          <w:lang w:val="es-ES_tradnl"/>
        </w:rPr>
        <w:t>:</w:t>
      </w:r>
    </w:p>
    <w:p w:rsidR="0006670C" w:rsidRDefault="0006670C" w:rsidP="0006670C">
      <w:pPr>
        <w:pStyle w:val="Sinespaciado"/>
        <w:jc w:val="both"/>
        <w:rPr>
          <w:rFonts w:ascii="Arial" w:hAnsi="Arial" w:cs="Arial"/>
          <w:b/>
          <w:lang w:val="es-ES_tradnl"/>
        </w:rPr>
      </w:pPr>
    </w:p>
    <w:p w:rsidR="0006670C" w:rsidRDefault="0006670C" w:rsidP="0006670C">
      <w:pPr>
        <w:pStyle w:val="Sinespaciado"/>
        <w:jc w:val="both"/>
        <w:rPr>
          <w:rFonts w:ascii="Arial" w:hAnsi="Arial" w:cs="Arial"/>
          <w:lang w:val="es-ES_tradnl"/>
        </w:rPr>
      </w:pPr>
      <w:r>
        <w:rPr>
          <w:rFonts w:ascii="Arial" w:hAnsi="Arial" w:cs="Arial"/>
          <w:lang w:val="es-ES_tradnl"/>
        </w:rPr>
        <w:t>Para el período 2018 hasta 2020, se identificó que en promedio los ingresos corrientes representan un 87 % de participación del total de los recursos incorporados en Propósito General. Asimismo, y de acuerdo con lo reportado al FUT, se evidencia que la Participación de Propósito General en promedio representa el 16 % de los ingresos totales de la Entidad Territorial.</w:t>
      </w:r>
    </w:p>
    <w:p w:rsidR="0006670C" w:rsidRDefault="0006670C" w:rsidP="0006670C">
      <w:pPr>
        <w:pStyle w:val="Sinespaciado"/>
        <w:jc w:val="both"/>
        <w:rPr>
          <w:rFonts w:ascii="Arial" w:hAnsi="Arial" w:cs="Arial"/>
          <w:lang w:val="es-ES_tradnl"/>
        </w:rPr>
      </w:pPr>
    </w:p>
    <w:p w:rsidR="0006670C" w:rsidRDefault="0006670C" w:rsidP="0006670C">
      <w:pPr>
        <w:jc w:val="center"/>
        <w:rPr>
          <w:rFonts w:ascii="Arial" w:hAnsi="Arial" w:cs="Arial"/>
          <w:b/>
          <w:sz w:val="18"/>
          <w:szCs w:val="18"/>
          <w:lang w:val="es-ES_tradnl"/>
        </w:rPr>
      </w:pPr>
      <w:r>
        <w:rPr>
          <w:rFonts w:ascii="Arial" w:hAnsi="Arial" w:cs="Arial"/>
          <w:b/>
          <w:sz w:val="18"/>
          <w:szCs w:val="18"/>
          <w:lang w:val="es-ES_tradnl"/>
        </w:rPr>
        <w:t>Cuadro N° 2.</w:t>
      </w:r>
    </w:p>
    <w:p w:rsidR="0006670C" w:rsidRDefault="0006670C" w:rsidP="0006670C">
      <w:pPr>
        <w:jc w:val="center"/>
        <w:rPr>
          <w:rFonts w:ascii="Arial" w:hAnsi="Arial" w:cs="Arial"/>
          <w:sz w:val="18"/>
          <w:szCs w:val="18"/>
          <w:lang w:val="es-ES_tradnl"/>
        </w:rPr>
      </w:pPr>
      <w:r>
        <w:rPr>
          <w:rFonts w:ascii="Arial" w:hAnsi="Arial" w:cs="Arial"/>
          <w:sz w:val="18"/>
          <w:szCs w:val="18"/>
          <w:lang w:val="es-ES_tradnl"/>
        </w:rPr>
        <w:t>Análisis de la ejecución de ingresos de la Participación de Propósito General, Vigencias 2018 – 2020, Municipio de Puerto Escondido – Córdoba</w:t>
      </w:r>
    </w:p>
    <w:p w:rsidR="0006670C" w:rsidRDefault="0006670C" w:rsidP="0006670C">
      <w:pPr>
        <w:pStyle w:val="Prrafodelista"/>
        <w:spacing w:line="240" w:lineRule="auto"/>
        <w:ind w:left="-142"/>
        <w:jc w:val="center"/>
        <w:rPr>
          <w:rFonts w:ascii="Arial" w:hAnsi="Arial" w:cs="Arial"/>
          <w:i/>
          <w:sz w:val="18"/>
          <w:szCs w:val="18"/>
          <w:lang w:val="es-ES_tradnl"/>
        </w:rPr>
      </w:pPr>
      <w:r>
        <w:rPr>
          <w:rFonts w:ascii="Arial" w:hAnsi="Arial" w:cs="Arial"/>
          <w:sz w:val="18"/>
          <w:szCs w:val="18"/>
          <w:lang w:val="es-ES_tradnl"/>
        </w:rPr>
        <w:t>-</w:t>
      </w:r>
      <w:r>
        <w:rPr>
          <w:rFonts w:ascii="Arial" w:hAnsi="Arial" w:cs="Arial"/>
          <w:i/>
          <w:sz w:val="18"/>
          <w:szCs w:val="18"/>
          <w:lang w:val="es-ES_tradnl"/>
        </w:rPr>
        <w:t>Cifras en pesos-</w:t>
      </w:r>
    </w:p>
    <w:tbl>
      <w:tblPr>
        <w:tblW w:w="11145" w:type="dxa"/>
        <w:jc w:val="center"/>
        <w:tblCellMar>
          <w:left w:w="70" w:type="dxa"/>
          <w:right w:w="70" w:type="dxa"/>
        </w:tblCellMar>
        <w:tblLook w:val="04A0" w:firstRow="1" w:lastRow="0" w:firstColumn="1" w:lastColumn="0" w:noHBand="0" w:noVBand="1"/>
      </w:tblPr>
      <w:tblGrid>
        <w:gridCol w:w="1419"/>
        <w:gridCol w:w="1164"/>
        <w:gridCol w:w="1164"/>
        <w:gridCol w:w="914"/>
        <w:gridCol w:w="1164"/>
        <w:gridCol w:w="1164"/>
        <w:gridCol w:w="914"/>
        <w:gridCol w:w="1164"/>
        <w:gridCol w:w="1164"/>
        <w:gridCol w:w="914"/>
      </w:tblGrid>
      <w:tr w:rsidR="0006670C" w:rsidTr="0006670C">
        <w:trPr>
          <w:trHeight w:val="302"/>
          <w:jc w:val="center"/>
        </w:trPr>
        <w:tc>
          <w:tcPr>
            <w:tcW w:w="1419" w:type="dxa"/>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Conceptos</w:t>
            </w:r>
          </w:p>
        </w:tc>
        <w:tc>
          <w:tcPr>
            <w:tcW w:w="0" w:type="auto"/>
            <w:gridSpan w:val="3"/>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2018</w:t>
            </w:r>
          </w:p>
        </w:tc>
        <w:tc>
          <w:tcPr>
            <w:tcW w:w="0" w:type="auto"/>
            <w:gridSpan w:val="3"/>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2019</w:t>
            </w:r>
          </w:p>
        </w:tc>
        <w:tc>
          <w:tcPr>
            <w:tcW w:w="0" w:type="auto"/>
            <w:gridSpan w:val="3"/>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2020</w:t>
            </w:r>
          </w:p>
        </w:tc>
      </w:tr>
      <w:tr w:rsidR="0006670C" w:rsidTr="0006670C">
        <w:trPr>
          <w:trHeight w:val="4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0" w:type="auto"/>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Presupuesto definitivo</w:t>
            </w:r>
          </w:p>
        </w:tc>
        <w:tc>
          <w:tcPr>
            <w:tcW w:w="0" w:type="auto"/>
            <w:tcBorders>
              <w:top w:val="nil"/>
              <w:left w:val="nil"/>
              <w:bottom w:val="single" w:sz="4" w:space="0" w:color="auto"/>
              <w:right w:val="single" w:sz="4" w:space="0" w:color="auto"/>
            </w:tcBorders>
            <w:shd w:val="clear" w:color="auto" w:fill="666699"/>
            <w:noWrap/>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Recaudo</w:t>
            </w:r>
          </w:p>
        </w:tc>
        <w:tc>
          <w:tcPr>
            <w:tcW w:w="0" w:type="auto"/>
            <w:tcBorders>
              <w:top w:val="nil"/>
              <w:left w:val="nil"/>
              <w:bottom w:val="single" w:sz="4" w:space="0" w:color="auto"/>
              <w:right w:val="single" w:sz="4" w:space="0" w:color="auto"/>
            </w:tcBorders>
            <w:shd w:val="clear" w:color="auto" w:fill="666699"/>
            <w:noWrap/>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Diferencia</w:t>
            </w:r>
          </w:p>
        </w:tc>
        <w:tc>
          <w:tcPr>
            <w:tcW w:w="0" w:type="auto"/>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Presupuesto definitivo</w:t>
            </w:r>
          </w:p>
        </w:tc>
        <w:tc>
          <w:tcPr>
            <w:tcW w:w="0" w:type="auto"/>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Recaudo</w:t>
            </w:r>
          </w:p>
        </w:tc>
        <w:tc>
          <w:tcPr>
            <w:tcW w:w="0" w:type="auto"/>
            <w:tcBorders>
              <w:top w:val="nil"/>
              <w:left w:val="nil"/>
              <w:bottom w:val="single" w:sz="4" w:space="0" w:color="auto"/>
              <w:right w:val="single" w:sz="4" w:space="0" w:color="auto"/>
            </w:tcBorders>
            <w:shd w:val="clear" w:color="auto" w:fill="666699"/>
            <w:noWrap/>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Diferencia</w:t>
            </w:r>
          </w:p>
        </w:tc>
        <w:tc>
          <w:tcPr>
            <w:tcW w:w="0" w:type="auto"/>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Presupuesto definitivo</w:t>
            </w:r>
          </w:p>
        </w:tc>
        <w:tc>
          <w:tcPr>
            <w:tcW w:w="0" w:type="auto"/>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Recaudo</w:t>
            </w:r>
          </w:p>
        </w:tc>
        <w:tc>
          <w:tcPr>
            <w:tcW w:w="0" w:type="auto"/>
            <w:tcBorders>
              <w:top w:val="nil"/>
              <w:left w:val="nil"/>
              <w:bottom w:val="single" w:sz="4" w:space="0" w:color="auto"/>
              <w:right w:val="single" w:sz="4" w:space="0" w:color="auto"/>
            </w:tcBorders>
            <w:shd w:val="clear" w:color="auto" w:fill="666699"/>
            <w:noWrap/>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Diferencia</w:t>
            </w:r>
          </w:p>
        </w:tc>
      </w:tr>
      <w:tr w:rsidR="0006670C" w:rsidTr="0006670C">
        <w:trPr>
          <w:trHeight w:val="524"/>
          <w:jc w:val="center"/>
        </w:trPr>
        <w:tc>
          <w:tcPr>
            <w:tcW w:w="1419"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Propósito General</w:t>
            </w:r>
          </w:p>
        </w:tc>
        <w:tc>
          <w:tcPr>
            <w:tcW w:w="0" w:type="auto"/>
            <w:tcBorders>
              <w:top w:val="nil"/>
              <w:left w:val="nil"/>
              <w:bottom w:val="single" w:sz="4" w:space="0" w:color="auto"/>
              <w:right w:val="single" w:sz="4" w:space="0" w:color="auto"/>
            </w:tcBorders>
            <w:shd w:val="clear" w:color="auto" w:fill="CCCCFF"/>
            <w:noWrap/>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6.061.273.017</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6.061.273.017</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noWrap/>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4.571.675.603</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4.572.054.902</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-379.299</w:t>
            </w:r>
          </w:p>
        </w:tc>
        <w:tc>
          <w:tcPr>
            <w:tcW w:w="0" w:type="auto"/>
            <w:tcBorders>
              <w:top w:val="nil"/>
              <w:left w:val="nil"/>
              <w:bottom w:val="single" w:sz="4" w:space="0" w:color="auto"/>
              <w:right w:val="single" w:sz="4" w:space="0" w:color="auto"/>
            </w:tcBorders>
            <w:shd w:val="clear" w:color="auto" w:fill="CCCCFF"/>
            <w:noWrap/>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8.504.039.040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8.504.039.040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r>
      <w:tr w:rsidR="0006670C" w:rsidTr="0006670C">
        <w:trPr>
          <w:trHeight w:val="287"/>
          <w:jc w:val="center"/>
        </w:trPr>
        <w:tc>
          <w:tcPr>
            <w:tcW w:w="1419"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 Ingresos Corrientes</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3.885.265.429</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3.885.265.429</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4.570.990.986</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4.570.990.986</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8.421.883.846</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8.421.883.846</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r>
      <w:tr w:rsidR="0006670C" w:rsidTr="0006670C">
        <w:trPr>
          <w:trHeight w:val="287"/>
          <w:jc w:val="center"/>
        </w:trPr>
        <w:tc>
          <w:tcPr>
            <w:tcW w:w="1419" w:type="dxa"/>
            <w:tcBorders>
              <w:top w:val="nil"/>
              <w:left w:val="single" w:sz="4" w:space="0" w:color="auto"/>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1.1. Libre Destinación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1.732.302.512</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1.732.302.512</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2.028.754.751</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2.028.754.751</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3.537.191.215</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3.537.191.212</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w:t>
            </w:r>
          </w:p>
        </w:tc>
      </w:tr>
      <w:tr w:rsidR="0006670C" w:rsidTr="0006670C">
        <w:trPr>
          <w:trHeight w:val="287"/>
          <w:jc w:val="center"/>
        </w:trPr>
        <w:tc>
          <w:tcPr>
            <w:tcW w:w="1419" w:type="dxa"/>
            <w:tcBorders>
              <w:top w:val="nil"/>
              <w:left w:val="single" w:sz="4" w:space="0" w:color="auto"/>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1.2. Libre Inversión</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1.818.051.098</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1.818.051.098</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2.150.010.316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2.150.010.316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4.425.004.586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4.425.004.589</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w:t>
            </w:r>
          </w:p>
        </w:tc>
      </w:tr>
      <w:tr w:rsidR="0006670C" w:rsidTr="0006670C">
        <w:trPr>
          <w:trHeight w:val="287"/>
          <w:jc w:val="center"/>
        </w:trPr>
        <w:tc>
          <w:tcPr>
            <w:tcW w:w="1419" w:type="dxa"/>
            <w:tcBorders>
              <w:top w:val="nil"/>
              <w:left w:val="single" w:sz="4" w:space="0" w:color="auto"/>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1.3. Deporte y Recreación</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191.378.183</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191.378.183</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224.129.096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224.129.096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262.678.883</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262.678.883</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r>
      <w:tr w:rsidR="0006670C" w:rsidTr="0006670C">
        <w:trPr>
          <w:trHeight w:val="287"/>
          <w:jc w:val="center"/>
        </w:trPr>
        <w:tc>
          <w:tcPr>
            <w:tcW w:w="1419" w:type="dxa"/>
            <w:tcBorders>
              <w:top w:val="nil"/>
              <w:left w:val="single" w:sz="4" w:space="0" w:color="auto"/>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1.4. Cultura</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143.533.636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143.533.636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168.096.823</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168.096.823</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197.009.162</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197.009.162</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r>
      <w:tr w:rsidR="0006670C" w:rsidTr="0006670C">
        <w:trPr>
          <w:trHeight w:val="287"/>
          <w:jc w:val="center"/>
        </w:trPr>
        <w:tc>
          <w:tcPr>
            <w:tcW w:w="1419"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2. Recursos de Capital </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2.176.007.588</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2.176.007.588</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684.617</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1.063.916</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-379.299</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82.155.194</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82.155.194</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r>
      <w:tr w:rsidR="0006670C" w:rsidTr="0006670C">
        <w:trPr>
          <w:trHeight w:val="734"/>
          <w:jc w:val="center"/>
        </w:trPr>
        <w:tc>
          <w:tcPr>
            <w:tcW w:w="1419"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2.1 Saldos No ejecutados, Vigencias Anteriores</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2.174.501.871</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2.174.501.871</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61.636.984</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61.636.984</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r>
      <w:tr w:rsidR="0006670C" w:rsidTr="0006670C">
        <w:trPr>
          <w:trHeight w:val="287"/>
          <w:jc w:val="center"/>
        </w:trPr>
        <w:tc>
          <w:tcPr>
            <w:tcW w:w="1419"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1.2. Libre Inversión</w:t>
            </w:r>
          </w:p>
        </w:tc>
        <w:tc>
          <w:tcPr>
            <w:tcW w:w="0" w:type="auto"/>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93.397.879</w:t>
            </w:r>
          </w:p>
        </w:tc>
        <w:tc>
          <w:tcPr>
            <w:tcW w:w="0" w:type="auto"/>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93.397.879</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r>
      <w:tr w:rsidR="0006670C" w:rsidTr="0006670C">
        <w:trPr>
          <w:trHeight w:val="489"/>
          <w:jc w:val="center"/>
        </w:trPr>
        <w:tc>
          <w:tcPr>
            <w:tcW w:w="1419"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1.3. Deporte y Recreación</w:t>
            </w:r>
          </w:p>
        </w:tc>
        <w:tc>
          <w:tcPr>
            <w:tcW w:w="0" w:type="auto"/>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2.081.103.992</w:t>
            </w:r>
          </w:p>
        </w:tc>
        <w:tc>
          <w:tcPr>
            <w:tcW w:w="0" w:type="auto"/>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2.081.103.992</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637.570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637.570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r>
      <w:tr w:rsidR="0006670C" w:rsidTr="0006670C">
        <w:trPr>
          <w:trHeight w:val="287"/>
          <w:jc w:val="center"/>
        </w:trPr>
        <w:tc>
          <w:tcPr>
            <w:tcW w:w="1419"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1.4. Cultura</w:t>
            </w:r>
          </w:p>
        </w:tc>
        <w:tc>
          <w:tcPr>
            <w:tcW w:w="0" w:type="auto"/>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60.999.414</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60.999.414</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r>
      <w:tr w:rsidR="0006670C" w:rsidTr="0006670C">
        <w:trPr>
          <w:trHeight w:val="489"/>
          <w:jc w:val="center"/>
        </w:trPr>
        <w:tc>
          <w:tcPr>
            <w:tcW w:w="1419"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2.2 Cancelación de Reservas</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r>
      <w:tr w:rsidR="0006670C" w:rsidTr="0006670C">
        <w:trPr>
          <w:trHeight w:val="489"/>
          <w:jc w:val="center"/>
        </w:trPr>
        <w:tc>
          <w:tcPr>
            <w:tcW w:w="1419"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2.3 Rendimientos Financieros</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1.505.717</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1.505.717</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684.617</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1.063.916</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-379.299</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20.518.210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20.518.210</w:t>
            </w:r>
          </w:p>
        </w:tc>
        <w:tc>
          <w:tcPr>
            <w:tcW w:w="0" w:type="auto"/>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r>
      <w:tr w:rsidR="0006670C" w:rsidTr="0006670C">
        <w:trPr>
          <w:trHeight w:val="287"/>
          <w:jc w:val="center"/>
        </w:trPr>
        <w:tc>
          <w:tcPr>
            <w:tcW w:w="1419"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1.2. Libre Inversión</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1.505.717</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1.505.717</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684.617</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1.063.916</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-379.299</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20.518.210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20.518.210</w:t>
            </w:r>
          </w:p>
        </w:tc>
        <w:tc>
          <w:tcPr>
            <w:tcW w:w="0" w:type="auto"/>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p>
        </w:tc>
      </w:tr>
    </w:tbl>
    <w:p w:rsidR="0006670C" w:rsidRDefault="0006670C" w:rsidP="0006670C">
      <w:pPr>
        <w:pStyle w:val="Sinespaciado"/>
        <w:jc w:val="center"/>
        <w:rPr>
          <w:rFonts w:ascii="Arial" w:hAnsi="Arial" w:cs="Arial"/>
          <w:b/>
          <w:sz w:val="18"/>
          <w:szCs w:val="18"/>
          <w:lang w:val="es-ES_tradnl"/>
        </w:rPr>
      </w:pPr>
      <w:r>
        <w:rPr>
          <w:rFonts w:ascii="Arial" w:hAnsi="Arial" w:cs="Arial"/>
          <w:b/>
          <w:sz w:val="18"/>
          <w:szCs w:val="18"/>
          <w:lang w:val="es-ES_tradnl"/>
        </w:rPr>
        <w:t xml:space="preserve">Fuente: </w:t>
      </w:r>
      <w:r>
        <w:rPr>
          <w:rFonts w:ascii="Arial" w:hAnsi="Arial" w:cs="Arial"/>
          <w:sz w:val="18"/>
          <w:szCs w:val="18"/>
          <w:lang w:val="es-ES_tradnl"/>
        </w:rPr>
        <w:t>Elaboración propia con base en la información reportada al FUT.</w:t>
      </w:r>
    </w:p>
    <w:p w:rsidR="0006670C" w:rsidRDefault="0006670C" w:rsidP="0006670C">
      <w:pPr>
        <w:pStyle w:val="Prrafodelista"/>
        <w:spacing w:line="240" w:lineRule="auto"/>
        <w:ind w:left="0"/>
        <w:jc w:val="both"/>
        <w:rPr>
          <w:rFonts w:ascii="Arial" w:hAnsi="Arial" w:cs="Arial"/>
          <w:lang w:val="es-ES_tradnl"/>
        </w:rPr>
      </w:pPr>
    </w:p>
    <w:p w:rsidR="0006670C" w:rsidRDefault="0006670C" w:rsidP="0006670C">
      <w:pPr>
        <w:pStyle w:val="Prrafodelista"/>
        <w:spacing w:line="240" w:lineRule="auto"/>
        <w:ind w:left="0"/>
        <w:jc w:val="both"/>
        <w:rPr>
          <w:rFonts w:ascii="Arial" w:hAnsi="Arial" w:cs="Arial"/>
          <w:lang w:val="es-ES_tradnl"/>
        </w:rPr>
      </w:pPr>
      <w:r>
        <w:rPr>
          <w:rFonts w:ascii="Arial" w:hAnsi="Arial" w:cs="Arial"/>
          <w:lang w:val="es-ES_tradnl"/>
        </w:rPr>
        <w:t xml:space="preserve">En el Cuadro N° 2 se refleja el manejo presupuestal tanto de los recursos incorporados como de los recursos recaudados para la Participación de Propósito General por parte del Municipio de </w:t>
      </w:r>
      <w:r>
        <w:rPr>
          <w:rFonts w:ascii="Arial" w:hAnsi="Arial" w:cs="Arial"/>
        </w:rPr>
        <w:t>Puerto Escondido – Córdoba</w:t>
      </w:r>
      <w:r>
        <w:rPr>
          <w:rFonts w:ascii="Arial" w:hAnsi="Arial" w:cs="Arial"/>
          <w:lang w:val="es-ES_tradnl"/>
        </w:rPr>
        <w:t>. Frente a los ingresos corrientes, se puede ver que para las vigencias analizadas el Municipio ha recaudado la totalidad de lo asignado. Lo anterior, concuerda con lo informado por el DNP en su informe en donde confirma que la información del Municipio coincide entre lo reportado y lo incorporado.</w:t>
      </w:r>
    </w:p>
    <w:p w:rsidR="0006670C" w:rsidRDefault="0006670C" w:rsidP="0006670C">
      <w:pPr>
        <w:pStyle w:val="Prrafodelista"/>
        <w:spacing w:line="240" w:lineRule="auto"/>
        <w:ind w:left="0"/>
        <w:jc w:val="both"/>
        <w:rPr>
          <w:rFonts w:ascii="Arial" w:hAnsi="Arial" w:cs="Arial"/>
          <w:lang w:val="es-ES_tradnl"/>
        </w:rPr>
      </w:pPr>
    </w:p>
    <w:p w:rsidR="0006670C" w:rsidRDefault="0006670C" w:rsidP="0006670C">
      <w:pPr>
        <w:pStyle w:val="Prrafodelista"/>
        <w:spacing w:line="240" w:lineRule="auto"/>
        <w:ind w:left="0"/>
        <w:jc w:val="both"/>
        <w:rPr>
          <w:rFonts w:ascii="Arial" w:eastAsia="MS Mincho" w:hAnsi="Arial" w:cs="Arial"/>
          <w:lang w:val="es-ES_tradnl" w:eastAsia="es-ES"/>
        </w:rPr>
      </w:pPr>
      <w:r>
        <w:rPr>
          <w:rFonts w:ascii="Arial" w:hAnsi="Arial" w:cs="Arial"/>
        </w:rPr>
        <w:lastRenderedPageBreak/>
        <w:t xml:space="preserve">En términos generales, se destaca que el Municipio no presenta diferencias entre los conceptos de ingreso, por el contrario, ha logrado recaudar lo que ha presupuestado. Llama la atención que, para el Concepto de </w:t>
      </w:r>
      <w:r>
        <w:rPr>
          <w:rFonts w:ascii="Arial" w:hAnsi="Arial" w:cs="Arial"/>
          <w:iCs/>
        </w:rPr>
        <w:t>Saldos No Ejecutados, Vigencias Anteriores</w:t>
      </w:r>
      <w:r>
        <w:rPr>
          <w:rFonts w:ascii="Arial" w:hAnsi="Arial" w:cs="Arial"/>
        </w:rPr>
        <w:t xml:space="preserve"> en la vigencia 2018 con la fuente de Deporte, el Municipio reporta un valor de $2.081.103.992, siendo un valor muy por encima de lo que el Municipio recibe en una vigencia. Sin embargo, dicha situación se presenta porque la Entidad estaría incorporando otros recursos provenientes de una cofinanciación.</w:t>
      </w:r>
    </w:p>
    <w:p w:rsidR="0006670C" w:rsidRDefault="0006670C" w:rsidP="0006670C">
      <w:pPr>
        <w:pStyle w:val="Prrafodelista"/>
        <w:spacing w:line="240" w:lineRule="auto"/>
        <w:ind w:left="0"/>
        <w:jc w:val="both"/>
        <w:rPr>
          <w:rFonts w:ascii="Arial" w:eastAsia="MS Mincho" w:hAnsi="Arial" w:cs="Arial"/>
          <w:lang w:val="es-ES_tradnl" w:eastAsia="es-ES"/>
        </w:rPr>
      </w:pPr>
    </w:p>
    <w:p w:rsidR="0006670C" w:rsidRDefault="0006670C" w:rsidP="0006670C">
      <w:pPr>
        <w:pStyle w:val="Prrafodelista"/>
        <w:spacing w:line="240" w:lineRule="auto"/>
        <w:ind w:left="0"/>
        <w:jc w:val="both"/>
        <w:rPr>
          <w:rFonts w:ascii="Arial" w:eastAsia="MS Mincho" w:hAnsi="Arial" w:cs="Arial"/>
          <w:lang w:val="es-ES_tradnl" w:eastAsia="es-ES"/>
        </w:rPr>
      </w:pPr>
      <w:r>
        <w:rPr>
          <w:rFonts w:ascii="Arial" w:eastAsia="MS Mincho" w:hAnsi="Arial" w:cs="Arial"/>
          <w:lang w:val="es-ES_tradnl" w:eastAsia="es-ES"/>
        </w:rPr>
        <w:t xml:space="preserve">Así mismo, </w:t>
      </w:r>
      <w:r>
        <w:rPr>
          <w:rFonts w:ascii="Arial" w:hAnsi="Arial" w:cs="Arial"/>
          <w:lang w:val="es-ES_tradnl"/>
        </w:rPr>
        <w:t xml:space="preserve">llama la atención el saldo reportado para el concepto de </w:t>
      </w:r>
      <w:r>
        <w:rPr>
          <w:rFonts w:ascii="Arial" w:hAnsi="Arial" w:cs="Arial"/>
          <w:iCs/>
          <w:lang w:val="es-ES_tradnl"/>
        </w:rPr>
        <w:t>Saldos No Ejecutados, de Vigencias Anteriores</w:t>
      </w:r>
      <w:r>
        <w:rPr>
          <w:rFonts w:ascii="Arial" w:hAnsi="Arial" w:cs="Arial"/>
          <w:lang w:val="es-ES_tradnl"/>
        </w:rPr>
        <w:t xml:space="preserve"> con la fuente de Cultura en la vigencia 2020, lo anterior, debido a que el Municipio en la vigencia 2019 no comprometió recursos por valor de $444.830 pero en la vigencia siguiente está incorporando unos saldos por total de $60.999.414, reflejando una diferencia de $60.554.584 por encima de lo que realmente la Entidad dejó de comprometer. Sin embargo, como la información presentada es tomada del FUT, dicha diferencia pueden ser un error en el reporte.</w:t>
      </w:r>
    </w:p>
    <w:p w:rsidR="0006670C" w:rsidRDefault="0006670C" w:rsidP="0006670C">
      <w:pPr>
        <w:jc w:val="both"/>
        <w:rPr>
          <w:rFonts w:ascii="Arial" w:hAnsi="Arial" w:cs="Arial"/>
          <w:sz w:val="22"/>
          <w:szCs w:val="22"/>
          <w:lang w:val="es-ES_tradnl"/>
        </w:rPr>
      </w:pPr>
    </w:p>
    <w:p w:rsidR="0006670C" w:rsidRDefault="0006670C" w:rsidP="0006670C">
      <w:pPr>
        <w:pStyle w:val="Sinespaciado"/>
        <w:numPr>
          <w:ilvl w:val="1"/>
          <w:numId w:val="46"/>
        </w:numPr>
        <w:ind w:left="0" w:hanging="11"/>
        <w:contextualSpacing/>
        <w:jc w:val="both"/>
        <w:rPr>
          <w:rFonts w:ascii="Arial" w:hAnsi="Arial" w:cs="Arial"/>
          <w:b/>
          <w:lang w:val="es-ES_tradnl"/>
        </w:rPr>
      </w:pPr>
      <w:r>
        <w:rPr>
          <w:rFonts w:ascii="Arial" w:hAnsi="Arial" w:cs="Arial"/>
          <w:b/>
          <w:u w:val="single"/>
          <w:lang w:val="es-ES_tradnl"/>
        </w:rPr>
        <w:t>Análisis de la ejecución de gastos</w:t>
      </w:r>
      <w:r>
        <w:rPr>
          <w:rFonts w:ascii="Arial" w:hAnsi="Arial" w:cs="Arial"/>
          <w:b/>
          <w:lang w:val="es-ES_tradnl"/>
        </w:rPr>
        <w:t>:</w:t>
      </w:r>
    </w:p>
    <w:p w:rsidR="0006670C" w:rsidRDefault="0006670C" w:rsidP="0006670C">
      <w:pPr>
        <w:jc w:val="both"/>
        <w:rPr>
          <w:rFonts w:ascii="Arial" w:hAnsi="Arial" w:cs="Arial"/>
          <w:sz w:val="22"/>
          <w:szCs w:val="22"/>
          <w:lang w:val="es-ES_tradnl"/>
        </w:rPr>
      </w:pPr>
    </w:p>
    <w:p w:rsidR="0006670C" w:rsidRDefault="0006670C" w:rsidP="0006670C">
      <w:pPr>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Para la Participación de Propósito General durante las tres vigencias analizadas, el Municipio de </w:t>
      </w:r>
      <w:r>
        <w:rPr>
          <w:rFonts w:ascii="Arial" w:hAnsi="Arial" w:cs="Arial"/>
          <w:sz w:val="22"/>
          <w:szCs w:val="22"/>
        </w:rPr>
        <w:t xml:space="preserve">Puerto Escondido – Córdoba </w:t>
      </w:r>
      <w:r>
        <w:rPr>
          <w:rFonts w:ascii="Arial" w:hAnsi="Arial" w:cs="Arial"/>
          <w:color w:val="000000" w:themeColor="text1"/>
          <w:sz w:val="22"/>
          <w:szCs w:val="22"/>
          <w:lang w:val="es-ES_tradnl"/>
        </w:rPr>
        <w:t>apropió un total de recursos por valor de $15.271.758.927. A nivel de gestión, la Entidad Territorial en promedio comprometió 98 % de los recursos apropiados y frente a los pagos realizados por el Municipio estos fueron en promedio 97 % con relación a las obligaciones adquiridas. En el cuadro siguiente, se evidencia que en general y para todas las fuentes de financiación el Municipio tiene adecuados niveles de ejecución en todos los momentos del gasto: compromisos, obligaciones y pagos.</w:t>
      </w:r>
    </w:p>
    <w:p w:rsidR="0006670C" w:rsidRDefault="0006670C" w:rsidP="0006670C">
      <w:pPr>
        <w:jc w:val="both"/>
        <w:rPr>
          <w:rFonts w:ascii="Arial" w:hAnsi="Arial" w:cs="Arial"/>
          <w:sz w:val="22"/>
          <w:szCs w:val="22"/>
          <w:lang w:val="es-ES_tradnl"/>
        </w:rPr>
      </w:pPr>
    </w:p>
    <w:p w:rsidR="0006670C" w:rsidRDefault="0006670C" w:rsidP="0006670C">
      <w:pPr>
        <w:jc w:val="center"/>
        <w:rPr>
          <w:rFonts w:ascii="Arial" w:hAnsi="Arial" w:cs="Arial"/>
          <w:b/>
          <w:sz w:val="18"/>
          <w:szCs w:val="18"/>
          <w:lang w:val="es-ES_tradnl"/>
        </w:rPr>
      </w:pPr>
      <w:r>
        <w:rPr>
          <w:rFonts w:ascii="Arial" w:hAnsi="Arial" w:cs="Arial"/>
          <w:b/>
          <w:sz w:val="18"/>
          <w:szCs w:val="18"/>
          <w:lang w:val="es-ES_tradnl"/>
        </w:rPr>
        <w:t>Cuadro N° 3</w:t>
      </w:r>
    </w:p>
    <w:p w:rsidR="0006670C" w:rsidRDefault="0006670C" w:rsidP="0006670C">
      <w:pPr>
        <w:jc w:val="center"/>
        <w:rPr>
          <w:rFonts w:ascii="Arial" w:hAnsi="Arial" w:cs="Arial"/>
          <w:sz w:val="18"/>
          <w:szCs w:val="18"/>
          <w:lang w:val="es-ES_tradnl"/>
        </w:rPr>
      </w:pPr>
      <w:r>
        <w:rPr>
          <w:rFonts w:ascii="Arial" w:hAnsi="Arial" w:cs="Arial"/>
          <w:sz w:val="18"/>
          <w:szCs w:val="18"/>
          <w:lang w:val="es-ES_tradnl"/>
        </w:rPr>
        <w:t>Análisis de la Ejecución de Gastos, Participación de Propósito General. Vigencias 2018 – 2020, Municipio de Puerto Escondido – Córdoba.</w:t>
      </w:r>
    </w:p>
    <w:p w:rsidR="0006670C" w:rsidRDefault="0006670C" w:rsidP="0006670C">
      <w:pPr>
        <w:jc w:val="center"/>
        <w:rPr>
          <w:rFonts w:ascii="Arial" w:hAnsi="Arial" w:cs="Arial"/>
          <w:sz w:val="18"/>
          <w:szCs w:val="18"/>
          <w:lang w:val="es-ES_tradnl"/>
        </w:rPr>
      </w:pPr>
      <w:r>
        <w:rPr>
          <w:rFonts w:ascii="Arial" w:hAnsi="Arial" w:cs="Arial"/>
          <w:sz w:val="18"/>
          <w:szCs w:val="18"/>
          <w:lang w:val="es-ES_tradnl"/>
        </w:rPr>
        <w:t>-</w:t>
      </w:r>
      <w:r>
        <w:rPr>
          <w:rFonts w:ascii="Arial" w:hAnsi="Arial" w:cs="Arial"/>
          <w:i/>
          <w:sz w:val="18"/>
          <w:szCs w:val="18"/>
          <w:lang w:val="es-ES_tradnl"/>
        </w:rPr>
        <w:t>Cifras en pesos</w:t>
      </w:r>
      <w:r>
        <w:rPr>
          <w:rFonts w:ascii="Arial" w:hAnsi="Arial" w:cs="Arial"/>
          <w:sz w:val="18"/>
          <w:szCs w:val="18"/>
          <w:lang w:val="es-ES_tradnl"/>
        </w:rPr>
        <w:t xml:space="preserve">- </w:t>
      </w:r>
    </w:p>
    <w:tbl>
      <w:tblPr>
        <w:tblW w:w="0" w:type="dxa"/>
        <w:tblInd w:w="-998" w:type="dxa"/>
        <w:tblLayout w:type="fixed"/>
        <w:tblCellMar>
          <w:left w:w="70" w:type="dxa"/>
          <w:right w:w="70" w:type="dxa"/>
        </w:tblCellMar>
        <w:tblLook w:val="04A0" w:firstRow="1" w:lastRow="0" w:firstColumn="1" w:lastColumn="0" w:noHBand="0" w:noVBand="1"/>
      </w:tblPr>
      <w:tblGrid>
        <w:gridCol w:w="329"/>
        <w:gridCol w:w="1231"/>
        <w:gridCol w:w="1277"/>
        <w:gridCol w:w="1277"/>
        <w:gridCol w:w="1264"/>
        <w:gridCol w:w="1296"/>
        <w:gridCol w:w="1127"/>
        <w:gridCol w:w="1419"/>
        <w:gridCol w:w="1128"/>
        <w:gridCol w:w="772"/>
      </w:tblGrid>
      <w:tr w:rsidR="0006670C" w:rsidTr="0006670C">
        <w:trPr>
          <w:cantSplit/>
          <w:trHeight w:val="1653"/>
        </w:trPr>
        <w:tc>
          <w:tcPr>
            <w:tcW w:w="329" w:type="dxa"/>
            <w:tcBorders>
              <w:top w:val="single" w:sz="4" w:space="0" w:color="auto"/>
              <w:left w:val="single" w:sz="4" w:space="0" w:color="auto"/>
              <w:bottom w:val="single" w:sz="4" w:space="0" w:color="auto"/>
              <w:right w:val="single" w:sz="4" w:space="0" w:color="auto"/>
            </w:tcBorders>
            <w:shd w:val="clear" w:color="auto" w:fill="666699"/>
            <w:textDirection w:val="btLr"/>
            <w:vAlign w:val="center"/>
            <w:hideMark/>
          </w:tcPr>
          <w:p w:rsidR="0006670C" w:rsidRDefault="0006670C">
            <w:pPr>
              <w:spacing w:line="256" w:lineRule="auto"/>
              <w:ind w:left="113" w:right="113"/>
              <w:contextualSpacing/>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Vigencia</w:t>
            </w:r>
          </w:p>
        </w:tc>
        <w:tc>
          <w:tcPr>
            <w:tcW w:w="1231"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Concepto</w:t>
            </w:r>
          </w:p>
        </w:tc>
        <w:tc>
          <w:tcPr>
            <w:tcW w:w="1277"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Presupuesto Definitivo</w:t>
            </w:r>
          </w:p>
        </w:tc>
        <w:tc>
          <w:tcPr>
            <w:tcW w:w="1277"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Compromisos</w:t>
            </w:r>
          </w:p>
        </w:tc>
        <w:tc>
          <w:tcPr>
            <w:tcW w:w="1264"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Obligaciones</w:t>
            </w:r>
          </w:p>
        </w:tc>
        <w:tc>
          <w:tcPr>
            <w:tcW w:w="1296"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Pagos</w:t>
            </w:r>
          </w:p>
        </w:tc>
        <w:tc>
          <w:tcPr>
            <w:tcW w:w="1127"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Cuentas por pagar</w:t>
            </w:r>
          </w:p>
        </w:tc>
        <w:tc>
          <w:tcPr>
            <w:tcW w:w="1419"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Reservas</w:t>
            </w:r>
            <w:r>
              <w:rPr>
                <w:rFonts w:ascii="Arial" w:eastAsia="Times New Roman" w:hAnsi="Arial" w:cs="Arial"/>
                <w:b/>
                <w:bCs/>
                <w:color w:val="FFFFFF"/>
                <w:sz w:val="16"/>
                <w:szCs w:val="16"/>
                <w:lang w:val="es-CO" w:eastAsia="es-CO"/>
              </w:rPr>
              <w:br/>
              <w:t>(Comprometido - Obligado)</w:t>
            </w:r>
          </w:p>
        </w:tc>
        <w:tc>
          <w:tcPr>
            <w:tcW w:w="1128"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Saldo sin Compromiso</w:t>
            </w:r>
          </w:p>
        </w:tc>
        <w:tc>
          <w:tcPr>
            <w:tcW w:w="772" w:type="dxa"/>
            <w:tcBorders>
              <w:top w:val="single" w:sz="4" w:space="0" w:color="auto"/>
              <w:left w:val="nil"/>
              <w:bottom w:val="single" w:sz="4" w:space="0" w:color="auto"/>
              <w:right w:val="single" w:sz="4" w:space="0" w:color="auto"/>
            </w:tcBorders>
            <w:shd w:val="clear" w:color="auto" w:fill="666699"/>
            <w:textDirection w:val="tbRl"/>
            <w:vAlign w:val="center"/>
            <w:hideMark/>
          </w:tcPr>
          <w:p w:rsidR="0006670C" w:rsidRDefault="0006670C">
            <w:pPr>
              <w:spacing w:line="256" w:lineRule="auto"/>
              <w:ind w:left="113" w:right="113"/>
              <w:contextualSpacing/>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 de lo Comprometido</w:t>
            </w:r>
          </w:p>
        </w:tc>
      </w:tr>
      <w:tr w:rsidR="0006670C" w:rsidTr="0006670C">
        <w:trPr>
          <w:trHeight w:val="481"/>
        </w:trPr>
        <w:tc>
          <w:tcPr>
            <w:tcW w:w="329" w:type="dxa"/>
            <w:vMerge w:val="restart"/>
            <w:tcBorders>
              <w:top w:val="nil"/>
              <w:left w:val="single" w:sz="4" w:space="0" w:color="auto"/>
              <w:bottom w:val="single" w:sz="4" w:space="0" w:color="auto"/>
              <w:right w:val="single" w:sz="4" w:space="0" w:color="auto"/>
            </w:tcBorders>
            <w:shd w:val="clear" w:color="auto" w:fill="666699"/>
            <w:textDirection w:val="btLr"/>
            <w:vAlign w:val="center"/>
            <w:hideMark/>
          </w:tcPr>
          <w:p w:rsidR="0006670C" w:rsidRDefault="0006670C">
            <w:pPr>
              <w:spacing w:line="256" w:lineRule="auto"/>
              <w:ind w:left="113" w:right="113"/>
              <w:contextualSpacing/>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Año 2018</w:t>
            </w:r>
          </w:p>
        </w:tc>
        <w:tc>
          <w:tcPr>
            <w:tcW w:w="1231"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 Propósito General</w:t>
            </w:r>
          </w:p>
        </w:tc>
        <w:tc>
          <w:tcPr>
            <w:tcW w:w="1277"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3.581.738.290</w:t>
            </w:r>
          </w:p>
        </w:tc>
        <w:tc>
          <w:tcPr>
            <w:tcW w:w="1277"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3.529.937.224</w:t>
            </w:r>
          </w:p>
        </w:tc>
        <w:tc>
          <w:tcPr>
            <w:tcW w:w="1264"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3.529.556.573</w:t>
            </w:r>
          </w:p>
        </w:tc>
        <w:tc>
          <w:tcPr>
            <w:tcW w:w="1296"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3.342.091.494</w:t>
            </w:r>
          </w:p>
        </w:tc>
        <w:tc>
          <w:tcPr>
            <w:tcW w:w="1127"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187.465.079</w:t>
            </w:r>
          </w:p>
        </w:tc>
        <w:tc>
          <w:tcPr>
            <w:tcW w:w="1419"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380.651</w:t>
            </w:r>
          </w:p>
        </w:tc>
        <w:tc>
          <w:tcPr>
            <w:tcW w:w="1128"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51.801.066</w:t>
            </w:r>
          </w:p>
        </w:tc>
        <w:tc>
          <w:tcPr>
            <w:tcW w:w="772"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98,55 %</w:t>
            </w:r>
          </w:p>
        </w:tc>
      </w:tr>
      <w:tr w:rsidR="0006670C" w:rsidTr="0006670C">
        <w:trPr>
          <w:trHeight w:val="239"/>
        </w:trPr>
        <w:tc>
          <w:tcPr>
            <w:tcW w:w="329" w:type="dxa"/>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1231" w:type="dxa"/>
            <w:tcBorders>
              <w:top w:val="nil"/>
              <w:left w:val="nil"/>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1.1. Libre Destinación</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1.992.662.803</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1.948.966.987</w:t>
            </w:r>
          </w:p>
        </w:tc>
        <w:tc>
          <w:tcPr>
            <w:tcW w:w="12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1.948.586.336</w:t>
            </w:r>
          </w:p>
        </w:tc>
        <w:tc>
          <w:tcPr>
            <w:tcW w:w="129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1.860.514.751</w:t>
            </w:r>
          </w:p>
        </w:tc>
        <w:tc>
          <w:tcPr>
            <w:tcW w:w="112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88.071.585</w:t>
            </w:r>
          </w:p>
        </w:tc>
        <w:tc>
          <w:tcPr>
            <w:tcW w:w="141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380.651</w:t>
            </w:r>
          </w:p>
        </w:tc>
        <w:tc>
          <w:tcPr>
            <w:tcW w:w="1128"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43.695.816</w:t>
            </w:r>
          </w:p>
        </w:tc>
        <w:tc>
          <w:tcPr>
            <w:tcW w:w="77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97,81 %</w:t>
            </w:r>
          </w:p>
        </w:tc>
      </w:tr>
      <w:tr w:rsidR="0006670C" w:rsidTr="0006670C">
        <w:trPr>
          <w:trHeight w:val="239"/>
        </w:trPr>
        <w:tc>
          <w:tcPr>
            <w:tcW w:w="329" w:type="dxa"/>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1231" w:type="dxa"/>
            <w:tcBorders>
              <w:top w:val="nil"/>
              <w:left w:val="nil"/>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1.2. Libre Inversión</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1.255.163.668</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1.250.575.646</w:t>
            </w:r>
          </w:p>
        </w:tc>
        <w:tc>
          <w:tcPr>
            <w:tcW w:w="12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1.250.575.646</w:t>
            </w:r>
          </w:p>
        </w:tc>
        <w:tc>
          <w:tcPr>
            <w:tcW w:w="129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1.152.382.152</w:t>
            </w:r>
          </w:p>
        </w:tc>
        <w:tc>
          <w:tcPr>
            <w:tcW w:w="112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98.193.494</w:t>
            </w:r>
          </w:p>
        </w:tc>
        <w:tc>
          <w:tcPr>
            <w:tcW w:w="141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p>
        </w:tc>
        <w:tc>
          <w:tcPr>
            <w:tcW w:w="1128"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4.588.022</w:t>
            </w:r>
          </w:p>
        </w:tc>
        <w:tc>
          <w:tcPr>
            <w:tcW w:w="77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99,63 %</w:t>
            </w:r>
          </w:p>
        </w:tc>
      </w:tr>
      <w:tr w:rsidR="0006670C" w:rsidTr="0006670C">
        <w:trPr>
          <w:trHeight w:val="239"/>
        </w:trPr>
        <w:tc>
          <w:tcPr>
            <w:tcW w:w="329" w:type="dxa"/>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1231" w:type="dxa"/>
            <w:tcBorders>
              <w:top w:val="nil"/>
              <w:left w:val="nil"/>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1.3. Deporte y Recreación</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191.378.183</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189.444.626</w:t>
            </w:r>
          </w:p>
        </w:tc>
        <w:tc>
          <w:tcPr>
            <w:tcW w:w="12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189.444.626</w:t>
            </w:r>
          </w:p>
        </w:tc>
        <w:tc>
          <w:tcPr>
            <w:tcW w:w="129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189.444.626</w:t>
            </w:r>
          </w:p>
        </w:tc>
        <w:tc>
          <w:tcPr>
            <w:tcW w:w="112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p>
        </w:tc>
        <w:tc>
          <w:tcPr>
            <w:tcW w:w="141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p>
        </w:tc>
        <w:tc>
          <w:tcPr>
            <w:tcW w:w="1128"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1.933.557</w:t>
            </w:r>
          </w:p>
        </w:tc>
        <w:tc>
          <w:tcPr>
            <w:tcW w:w="77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98,99 %</w:t>
            </w:r>
          </w:p>
        </w:tc>
      </w:tr>
      <w:tr w:rsidR="0006670C" w:rsidTr="0006670C">
        <w:trPr>
          <w:trHeight w:val="252"/>
        </w:trPr>
        <w:tc>
          <w:tcPr>
            <w:tcW w:w="329" w:type="dxa"/>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1231" w:type="dxa"/>
            <w:tcBorders>
              <w:top w:val="nil"/>
              <w:left w:val="nil"/>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1.4. Cultura</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142.533.636</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140.949.965</w:t>
            </w:r>
          </w:p>
        </w:tc>
        <w:tc>
          <w:tcPr>
            <w:tcW w:w="12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140.949.965</w:t>
            </w:r>
          </w:p>
        </w:tc>
        <w:tc>
          <w:tcPr>
            <w:tcW w:w="129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139.749.965</w:t>
            </w:r>
          </w:p>
        </w:tc>
        <w:tc>
          <w:tcPr>
            <w:tcW w:w="112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1.200.000</w:t>
            </w:r>
          </w:p>
        </w:tc>
        <w:tc>
          <w:tcPr>
            <w:tcW w:w="141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p>
        </w:tc>
        <w:tc>
          <w:tcPr>
            <w:tcW w:w="1128"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1.583.671</w:t>
            </w:r>
          </w:p>
        </w:tc>
        <w:tc>
          <w:tcPr>
            <w:tcW w:w="77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98,89 %</w:t>
            </w:r>
          </w:p>
        </w:tc>
      </w:tr>
      <w:tr w:rsidR="0006670C" w:rsidTr="0006670C">
        <w:trPr>
          <w:trHeight w:val="239"/>
        </w:trPr>
        <w:tc>
          <w:tcPr>
            <w:tcW w:w="329" w:type="dxa"/>
            <w:vMerge w:val="restart"/>
            <w:tcBorders>
              <w:top w:val="nil"/>
              <w:left w:val="single" w:sz="4" w:space="0" w:color="auto"/>
              <w:bottom w:val="single" w:sz="4" w:space="0" w:color="auto"/>
              <w:right w:val="single" w:sz="4" w:space="0" w:color="auto"/>
            </w:tcBorders>
            <w:shd w:val="clear" w:color="auto" w:fill="666699"/>
            <w:textDirection w:val="btLr"/>
            <w:vAlign w:val="center"/>
            <w:hideMark/>
          </w:tcPr>
          <w:p w:rsidR="0006670C" w:rsidRDefault="0006670C">
            <w:pPr>
              <w:spacing w:line="256" w:lineRule="auto"/>
              <w:ind w:left="113" w:right="113"/>
              <w:contextualSpacing/>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Año 2019</w:t>
            </w:r>
          </w:p>
        </w:tc>
        <w:tc>
          <w:tcPr>
            <w:tcW w:w="1231"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 Propósito General</w:t>
            </w:r>
          </w:p>
        </w:tc>
        <w:tc>
          <w:tcPr>
            <w:tcW w:w="1277"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3.970.585.730</w:t>
            </w:r>
          </w:p>
        </w:tc>
        <w:tc>
          <w:tcPr>
            <w:tcW w:w="1277"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3.916.088.583</w:t>
            </w:r>
          </w:p>
        </w:tc>
        <w:tc>
          <w:tcPr>
            <w:tcW w:w="1264"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3.906.821.183</w:t>
            </w:r>
          </w:p>
        </w:tc>
        <w:tc>
          <w:tcPr>
            <w:tcW w:w="1296"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3.897.990.202</w:t>
            </w:r>
          </w:p>
        </w:tc>
        <w:tc>
          <w:tcPr>
            <w:tcW w:w="1127"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8.830.981</w:t>
            </w:r>
          </w:p>
        </w:tc>
        <w:tc>
          <w:tcPr>
            <w:tcW w:w="1419"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9.267.400</w:t>
            </w:r>
          </w:p>
        </w:tc>
        <w:tc>
          <w:tcPr>
            <w:tcW w:w="1128"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54.497.147</w:t>
            </w:r>
          </w:p>
        </w:tc>
        <w:tc>
          <w:tcPr>
            <w:tcW w:w="772"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98,63 %</w:t>
            </w:r>
          </w:p>
        </w:tc>
      </w:tr>
      <w:tr w:rsidR="0006670C" w:rsidTr="0006670C">
        <w:trPr>
          <w:trHeight w:val="239"/>
        </w:trPr>
        <w:tc>
          <w:tcPr>
            <w:tcW w:w="329" w:type="dxa"/>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1231" w:type="dxa"/>
            <w:tcBorders>
              <w:top w:val="nil"/>
              <w:left w:val="nil"/>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1.1. Libre Destinación</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2.086.626.590</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2.041.925.985</w:t>
            </w:r>
          </w:p>
        </w:tc>
        <w:tc>
          <w:tcPr>
            <w:tcW w:w="12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2.032.658.585</w:t>
            </w:r>
          </w:p>
        </w:tc>
        <w:tc>
          <w:tcPr>
            <w:tcW w:w="129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2.026.773.454</w:t>
            </w:r>
          </w:p>
        </w:tc>
        <w:tc>
          <w:tcPr>
            <w:tcW w:w="112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5.885.131</w:t>
            </w:r>
          </w:p>
        </w:tc>
        <w:tc>
          <w:tcPr>
            <w:tcW w:w="141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9.267.400</w:t>
            </w:r>
          </w:p>
        </w:tc>
        <w:tc>
          <w:tcPr>
            <w:tcW w:w="1128"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44.700.605</w:t>
            </w:r>
          </w:p>
        </w:tc>
        <w:tc>
          <w:tcPr>
            <w:tcW w:w="77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97,86 %</w:t>
            </w:r>
          </w:p>
        </w:tc>
      </w:tr>
      <w:tr w:rsidR="0006670C" w:rsidTr="0006670C">
        <w:trPr>
          <w:trHeight w:val="239"/>
        </w:trPr>
        <w:tc>
          <w:tcPr>
            <w:tcW w:w="329" w:type="dxa"/>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1231" w:type="dxa"/>
            <w:tcBorders>
              <w:top w:val="nil"/>
              <w:left w:val="nil"/>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1.2. Libre Inversión</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1.491.733.221</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1.485.858.541</w:t>
            </w:r>
          </w:p>
        </w:tc>
        <w:tc>
          <w:tcPr>
            <w:tcW w:w="12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1.485.858.541</w:t>
            </w:r>
          </w:p>
        </w:tc>
        <w:tc>
          <w:tcPr>
            <w:tcW w:w="129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1.483.531.741</w:t>
            </w:r>
          </w:p>
        </w:tc>
        <w:tc>
          <w:tcPr>
            <w:tcW w:w="112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2.326.800</w:t>
            </w:r>
          </w:p>
        </w:tc>
        <w:tc>
          <w:tcPr>
            <w:tcW w:w="141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p>
        </w:tc>
        <w:tc>
          <w:tcPr>
            <w:tcW w:w="1128"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5.874.680</w:t>
            </w:r>
          </w:p>
        </w:tc>
        <w:tc>
          <w:tcPr>
            <w:tcW w:w="77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99,61 %</w:t>
            </w:r>
          </w:p>
        </w:tc>
      </w:tr>
      <w:tr w:rsidR="0006670C" w:rsidTr="0006670C">
        <w:trPr>
          <w:trHeight w:val="239"/>
        </w:trPr>
        <w:tc>
          <w:tcPr>
            <w:tcW w:w="329" w:type="dxa"/>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1231" w:type="dxa"/>
            <w:tcBorders>
              <w:top w:val="nil"/>
              <w:left w:val="nil"/>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1.3. Deporte y Recreación</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224.129.096</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220.652.064</w:t>
            </w:r>
          </w:p>
        </w:tc>
        <w:tc>
          <w:tcPr>
            <w:tcW w:w="12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220.652.064</w:t>
            </w:r>
          </w:p>
        </w:tc>
        <w:tc>
          <w:tcPr>
            <w:tcW w:w="129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220.511.014</w:t>
            </w:r>
          </w:p>
        </w:tc>
        <w:tc>
          <w:tcPr>
            <w:tcW w:w="112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141.050</w:t>
            </w:r>
          </w:p>
        </w:tc>
        <w:tc>
          <w:tcPr>
            <w:tcW w:w="141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p>
        </w:tc>
        <w:tc>
          <w:tcPr>
            <w:tcW w:w="1128"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3.477.032</w:t>
            </w:r>
          </w:p>
        </w:tc>
        <w:tc>
          <w:tcPr>
            <w:tcW w:w="77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98,45 %</w:t>
            </w:r>
          </w:p>
        </w:tc>
      </w:tr>
      <w:tr w:rsidR="0006670C" w:rsidTr="0006670C">
        <w:trPr>
          <w:trHeight w:val="252"/>
        </w:trPr>
        <w:tc>
          <w:tcPr>
            <w:tcW w:w="329" w:type="dxa"/>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1231" w:type="dxa"/>
            <w:tcBorders>
              <w:top w:val="nil"/>
              <w:left w:val="nil"/>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1.4. Cultura</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168.096.823</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167.651.993</w:t>
            </w:r>
          </w:p>
        </w:tc>
        <w:tc>
          <w:tcPr>
            <w:tcW w:w="12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167.651.993</w:t>
            </w:r>
          </w:p>
        </w:tc>
        <w:tc>
          <w:tcPr>
            <w:tcW w:w="129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167.173.993</w:t>
            </w:r>
          </w:p>
        </w:tc>
        <w:tc>
          <w:tcPr>
            <w:tcW w:w="112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478.000</w:t>
            </w:r>
          </w:p>
        </w:tc>
        <w:tc>
          <w:tcPr>
            <w:tcW w:w="141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p>
        </w:tc>
        <w:tc>
          <w:tcPr>
            <w:tcW w:w="1128"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444.830</w:t>
            </w:r>
          </w:p>
        </w:tc>
        <w:tc>
          <w:tcPr>
            <w:tcW w:w="77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99,74 %</w:t>
            </w:r>
          </w:p>
        </w:tc>
      </w:tr>
      <w:tr w:rsidR="0006670C" w:rsidTr="0006670C">
        <w:trPr>
          <w:trHeight w:val="699"/>
        </w:trPr>
        <w:tc>
          <w:tcPr>
            <w:tcW w:w="329" w:type="dxa"/>
            <w:vMerge w:val="restart"/>
            <w:tcBorders>
              <w:top w:val="nil"/>
              <w:left w:val="single" w:sz="4" w:space="0" w:color="auto"/>
              <w:bottom w:val="single" w:sz="4" w:space="0" w:color="auto"/>
              <w:right w:val="single" w:sz="4" w:space="0" w:color="auto"/>
            </w:tcBorders>
            <w:shd w:val="clear" w:color="auto" w:fill="666699"/>
            <w:textDirection w:val="btLr"/>
            <w:vAlign w:val="center"/>
            <w:hideMark/>
          </w:tcPr>
          <w:p w:rsidR="0006670C" w:rsidRDefault="0006670C">
            <w:pPr>
              <w:spacing w:line="256" w:lineRule="auto"/>
              <w:ind w:left="113" w:right="113"/>
              <w:contextualSpacing/>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Año 2020</w:t>
            </w:r>
          </w:p>
        </w:tc>
        <w:tc>
          <w:tcPr>
            <w:tcW w:w="1231"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 Propósito General</w:t>
            </w:r>
          </w:p>
        </w:tc>
        <w:tc>
          <w:tcPr>
            <w:tcW w:w="1277"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7.719.434.908</w:t>
            </w:r>
          </w:p>
        </w:tc>
        <w:tc>
          <w:tcPr>
            <w:tcW w:w="1277"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7.551.395.652</w:t>
            </w:r>
          </w:p>
        </w:tc>
        <w:tc>
          <w:tcPr>
            <w:tcW w:w="1264"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6.638.899.703</w:t>
            </w:r>
          </w:p>
        </w:tc>
        <w:tc>
          <w:tcPr>
            <w:tcW w:w="1296"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6.576.504.932</w:t>
            </w:r>
          </w:p>
        </w:tc>
        <w:tc>
          <w:tcPr>
            <w:tcW w:w="1127"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62.394.771</w:t>
            </w:r>
          </w:p>
        </w:tc>
        <w:tc>
          <w:tcPr>
            <w:tcW w:w="1419"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912.495.949</w:t>
            </w:r>
          </w:p>
        </w:tc>
        <w:tc>
          <w:tcPr>
            <w:tcW w:w="1128"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168.039.255</w:t>
            </w:r>
          </w:p>
        </w:tc>
        <w:tc>
          <w:tcPr>
            <w:tcW w:w="772" w:type="dxa"/>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97,82 %</w:t>
            </w:r>
          </w:p>
        </w:tc>
      </w:tr>
      <w:tr w:rsidR="0006670C" w:rsidTr="0006670C">
        <w:trPr>
          <w:trHeight w:val="239"/>
        </w:trPr>
        <w:tc>
          <w:tcPr>
            <w:tcW w:w="329" w:type="dxa"/>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1231" w:type="dxa"/>
            <w:tcBorders>
              <w:top w:val="nil"/>
              <w:left w:val="nil"/>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1.1. Libre Destinación</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3.537.191.222</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3.416.032.242</w:t>
            </w:r>
          </w:p>
        </w:tc>
        <w:tc>
          <w:tcPr>
            <w:tcW w:w="12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3.030.933.847</w:t>
            </w:r>
          </w:p>
        </w:tc>
        <w:tc>
          <w:tcPr>
            <w:tcW w:w="129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2.978.477.722</w:t>
            </w:r>
          </w:p>
        </w:tc>
        <w:tc>
          <w:tcPr>
            <w:tcW w:w="112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52.456.125</w:t>
            </w:r>
          </w:p>
        </w:tc>
        <w:tc>
          <w:tcPr>
            <w:tcW w:w="141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385.098.395</w:t>
            </w:r>
          </w:p>
        </w:tc>
        <w:tc>
          <w:tcPr>
            <w:tcW w:w="1128"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121.158.980</w:t>
            </w:r>
          </w:p>
        </w:tc>
        <w:tc>
          <w:tcPr>
            <w:tcW w:w="77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96,57 %</w:t>
            </w:r>
          </w:p>
        </w:tc>
      </w:tr>
      <w:tr w:rsidR="0006670C" w:rsidTr="0006670C">
        <w:trPr>
          <w:trHeight w:val="239"/>
        </w:trPr>
        <w:tc>
          <w:tcPr>
            <w:tcW w:w="329" w:type="dxa"/>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1231" w:type="dxa"/>
            <w:tcBorders>
              <w:top w:val="nil"/>
              <w:left w:val="nil"/>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1.2. Libre Inversión</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3.660.918.657</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3.638.141.691</w:t>
            </w:r>
          </w:p>
        </w:tc>
        <w:tc>
          <w:tcPr>
            <w:tcW w:w="12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3.110.744.137</w:t>
            </w:r>
          </w:p>
        </w:tc>
        <w:tc>
          <w:tcPr>
            <w:tcW w:w="129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3.100.805.491</w:t>
            </w:r>
          </w:p>
        </w:tc>
        <w:tc>
          <w:tcPr>
            <w:tcW w:w="112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9.938.646</w:t>
            </w:r>
          </w:p>
        </w:tc>
        <w:tc>
          <w:tcPr>
            <w:tcW w:w="141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527.397.554</w:t>
            </w:r>
          </w:p>
        </w:tc>
        <w:tc>
          <w:tcPr>
            <w:tcW w:w="1128"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22.776.966</w:t>
            </w:r>
          </w:p>
        </w:tc>
        <w:tc>
          <w:tcPr>
            <w:tcW w:w="77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99,38 %</w:t>
            </w:r>
          </w:p>
        </w:tc>
      </w:tr>
      <w:tr w:rsidR="0006670C" w:rsidTr="0006670C">
        <w:trPr>
          <w:trHeight w:val="239"/>
        </w:trPr>
        <w:tc>
          <w:tcPr>
            <w:tcW w:w="329" w:type="dxa"/>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1231" w:type="dxa"/>
            <w:tcBorders>
              <w:top w:val="nil"/>
              <w:left w:val="nil"/>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1.3. Deporte y Recreación</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263.316.453</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263.316.453</w:t>
            </w:r>
          </w:p>
        </w:tc>
        <w:tc>
          <w:tcPr>
            <w:tcW w:w="12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263.316.453</w:t>
            </w:r>
          </w:p>
        </w:tc>
        <w:tc>
          <w:tcPr>
            <w:tcW w:w="129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263.316.453</w:t>
            </w:r>
          </w:p>
        </w:tc>
        <w:tc>
          <w:tcPr>
            <w:tcW w:w="112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p>
        </w:tc>
        <w:tc>
          <w:tcPr>
            <w:tcW w:w="141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p>
        </w:tc>
        <w:tc>
          <w:tcPr>
            <w:tcW w:w="1128"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p>
        </w:tc>
        <w:tc>
          <w:tcPr>
            <w:tcW w:w="77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100 %</w:t>
            </w:r>
          </w:p>
        </w:tc>
      </w:tr>
      <w:tr w:rsidR="0006670C" w:rsidTr="0006670C">
        <w:trPr>
          <w:trHeight w:val="252"/>
        </w:trPr>
        <w:tc>
          <w:tcPr>
            <w:tcW w:w="329" w:type="dxa"/>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1231" w:type="dxa"/>
            <w:tcBorders>
              <w:top w:val="nil"/>
              <w:left w:val="nil"/>
              <w:bottom w:val="single" w:sz="4" w:space="0" w:color="auto"/>
              <w:right w:val="single" w:sz="4" w:space="0" w:color="auto"/>
            </w:tcBorders>
            <w:noWrap/>
            <w:vAlign w:val="center"/>
            <w:hideMark/>
          </w:tcPr>
          <w:p w:rsidR="0006670C" w:rsidRDefault="0006670C">
            <w:pPr>
              <w:spacing w:line="256" w:lineRule="auto"/>
              <w:rPr>
                <w:rFonts w:ascii="Arial" w:eastAsia="Times New Roman" w:hAnsi="Arial" w:cs="Arial"/>
                <w:sz w:val="16"/>
                <w:szCs w:val="16"/>
                <w:lang w:val="es-CO" w:eastAsia="es-CO"/>
              </w:rPr>
            </w:pPr>
            <w:r>
              <w:rPr>
                <w:rFonts w:ascii="Arial" w:eastAsia="Times New Roman" w:hAnsi="Arial" w:cs="Arial"/>
                <w:sz w:val="16"/>
                <w:szCs w:val="16"/>
                <w:lang w:val="es-CO" w:eastAsia="es-CO"/>
              </w:rPr>
              <w:t>1.4. Cultura</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258.008.576</w:t>
            </w:r>
          </w:p>
        </w:tc>
        <w:tc>
          <w:tcPr>
            <w:tcW w:w="127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233.905.266</w:t>
            </w:r>
          </w:p>
        </w:tc>
        <w:tc>
          <w:tcPr>
            <w:tcW w:w="12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233.905.266</w:t>
            </w:r>
          </w:p>
        </w:tc>
        <w:tc>
          <w:tcPr>
            <w:tcW w:w="129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233.905.266</w:t>
            </w:r>
          </w:p>
        </w:tc>
        <w:tc>
          <w:tcPr>
            <w:tcW w:w="1127"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p>
        </w:tc>
        <w:tc>
          <w:tcPr>
            <w:tcW w:w="141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p>
        </w:tc>
        <w:tc>
          <w:tcPr>
            <w:tcW w:w="1128"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24.103.310</w:t>
            </w:r>
          </w:p>
        </w:tc>
        <w:tc>
          <w:tcPr>
            <w:tcW w:w="77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90,66 %</w:t>
            </w:r>
          </w:p>
        </w:tc>
      </w:tr>
    </w:tbl>
    <w:p w:rsidR="0006670C" w:rsidRDefault="0006670C" w:rsidP="0006670C">
      <w:pPr>
        <w:pStyle w:val="Sinespaciado"/>
        <w:jc w:val="center"/>
        <w:rPr>
          <w:rFonts w:ascii="Arial" w:hAnsi="Arial" w:cs="Arial"/>
          <w:b/>
          <w:sz w:val="18"/>
          <w:szCs w:val="18"/>
          <w:lang w:val="es-ES_tradnl"/>
        </w:rPr>
      </w:pPr>
      <w:r>
        <w:rPr>
          <w:rFonts w:ascii="Arial" w:hAnsi="Arial" w:cs="Arial"/>
          <w:b/>
          <w:sz w:val="18"/>
          <w:szCs w:val="18"/>
          <w:lang w:val="es-ES_tradnl"/>
        </w:rPr>
        <w:t xml:space="preserve">Fuente: </w:t>
      </w:r>
      <w:r>
        <w:rPr>
          <w:rFonts w:ascii="Arial" w:hAnsi="Arial" w:cs="Arial"/>
          <w:sz w:val="18"/>
          <w:szCs w:val="18"/>
          <w:lang w:val="es-ES_tradnl"/>
        </w:rPr>
        <w:t>Elaboración propia con base en la información reportada al FUT.</w:t>
      </w:r>
    </w:p>
    <w:p w:rsidR="0006670C" w:rsidRDefault="0006670C" w:rsidP="0006670C">
      <w:pPr>
        <w:pStyle w:val="Sinespaciado"/>
        <w:jc w:val="both"/>
        <w:rPr>
          <w:rFonts w:ascii="Arial" w:hAnsi="Arial" w:cs="Arial"/>
          <w:color w:val="000000" w:themeColor="text1"/>
          <w:lang w:val="es-ES_tradnl"/>
        </w:rPr>
      </w:pPr>
    </w:p>
    <w:p w:rsidR="0006670C" w:rsidRDefault="0006670C" w:rsidP="0006670C">
      <w:pPr>
        <w:pStyle w:val="Sinespaciado"/>
        <w:jc w:val="both"/>
        <w:rPr>
          <w:rFonts w:ascii="Arial" w:hAnsi="Arial" w:cs="Arial"/>
          <w:color w:val="000000" w:themeColor="text1"/>
          <w:lang w:val="es-ES_tradnl"/>
        </w:rPr>
      </w:pPr>
      <w:r>
        <w:rPr>
          <w:rFonts w:ascii="Arial" w:hAnsi="Arial" w:cs="Arial"/>
          <w:color w:val="000000" w:themeColor="text1"/>
          <w:lang w:val="es-ES_tradnl"/>
        </w:rPr>
        <w:t>Sin embargo, para la Fuente de Libre Destinación se está apropiando más de lo que se incorporó en las vigencias 2018 y 2019. A continuación, se muestran las diferencias identificadas.</w:t>
      </w:r>
    </w:p>
    <w:p w:rsidR="0006670C" w:rsidRDefault="0006670C" w:rsidP="0006670C">
      <w:pPr>
        <w:pStyle w:val="Sinespaciado"/>
        <w:jc w:val="both"/>
        <w:rPr>
          <w:rFonts w:ascii="Arial" w:hAnsi="Arial" w:cs="Arial"/>
          <w:color w:val="000000" w:themeColor="text1"/>
          <w:lang w:val="es-ES_tradnl"/>
        </w:rPr>
      </w:pPr>
    </w:p>
    <w:p w:rsidR="0006670C" w:rsidRDefault="0006670C" w:rsidP="0006670C">
      <w:pPr>
        <w:pStyle w:val="Sinespaciado"/>
        <w:jc w:val="center"/>
        <w:rPr>
          <w:rFonts w:ascii="Arial" w:hAnsi="Arial" w:cs="Arial"/>
          <w:b/>
          <w:sz w:val="18"/>
          <w:szCs w:val="18"/>
        </w:rPr>
      </w:pPr>
      <w:r>
        <w:rPr>
          <w:rFonts w:ascii="Arial" w:hAnsi="Arial" w:cs="Arial"/>
          <w:b/>
          <w:sz w:val="18"/>
          <w:szCs w:val="18"/>
        </w:rPr>
        <w:t>Cuadro N° 4</w:t>
      </w:r>
      <w:r>
        <w:rPr>
          <w:rFonts w:ascii="Arial" w:hAnsi="Arial" w:cs="Arial"/>
          <w:sz w:val="18"/>
          <w:szCs w:val="18"/>
        </w:rPr>
        <w:t xml:space="preserve"> </w:t>
      </w:r>
    </w:p>
    <w:p w:rsidR="0006670C" w:rsidRDefault="0006670C" w:rsidP="0006670C">
      <w:pPr>
        <w:jc w:val="center"/>
        <w:rPr>
          <w:rFonts w:ascii="Arial" w:hAnsi="Arial" w:cs="Arial"/>
          <w:sz w:val="18"/>
          <w:szCs w:val="18"/>
          <w:lang w:val="es-ES_tradnl"/>
        </w:rPr>
      </w:pPr>
      <w:r>
        <w:rPr>
          <w:rFonts w:ascii="Arial" w:hAnsi="Arial" w:cs="Arial"/>
          <w:sz w:val="18"/>
          <w:szCs w:val="18"/>
        </w:rPr>
        <w:t xml:space="preserve">Contraste Recaudo Efectivo y Apropiación Definitiva, </w:t>
      </w:r>
      <w:r>
        <w:rPr>
          <w:rFonts w:ascii="Arial" w:hAnsi="Arial" w:cs="Arial"/>
          <w:sz w:val="18"/>
          <w:szCs w:val="18"/>
          <w:lang w:val="es-ES_tradnl"/>
        </w:rPr>
        <w:t>Participación de Propósito General. Vigencias 2018 – 2020, Municipio de Puerto Escondido – Córdoba.</w:t>
      </w:r>
    </w:p>
    <w:p w:rsidR="0006670C" w:rsidRDefault="0006670C" w:rsidP="0006670C">
      <w:pPr>
        <w:jc w:val="center"/>
        <w:rPr>
          <w:rFonts w:ascii="Arial" w:hAnsi="Arial" w:cs="Arial"/>
          <w:sz w:val="18"/>
          <w:szCs w:val="18"/>
          <w:lang w:val="es-ES_tradnl"/>
        </w:rPr>
      </w:pPr>
      <w:r>
        <w:rPr>
          <w:rFonts w:ascii="Arial" w:hAnsi="Arial" w:cs="Arial"/>
          <w:sz w:val="18"/>
          <w:szCs w:val="18"/>
          <w:lang w:val="es-ES_tradnl"/>
        </w:rPr>
        <w:t>-</w:t>
      </w:r>
      <w:r>
        <w:rPr>
          <w:rFonts w:ascii="Arial" w:hAnsi="Arial" w:cs="Arial"/>
          <w:i/>
          <w:sz w:val="18"/>
          <w:szCs w:val="18"/>
          <w:lang w:val="es-ES_tradnl"/>
        </w:rPr>
        <w:t>Cifras en pesos</w:t>
      </w:r>
      <w:r>
        <w:rPr>
          <w:rFonts w:ascii="Arial" w:hAnsi="Arial" w:cs="Arial"/>
          <w:sz w:val="18"/>
          <w:szCs w:val="18"/>
          <w:lang w:val="es-ES_tradnl"/>
        </w:rPr>
        <w:t>-</w:t>
      </w:r>
    </w:p>
    <w:tbl>
      <w:tblPr>
        <w:tblW w:w="4208" w:type="pct"/>
        <w:jc w:val="center"/>
        <w:tblCellMar>
          <w:left w:w="70" w:type="dxa"/>
          <w:right w:w="70" w:type="dxa"/>
        </w:tblCellMar>
        <w:tblLook w:val="04A0" w:firstRow="1" w:lastRow="0" w:firstColumn="1" w:lastColumn="0" w:noHBand="0" w:noVBand="1"/>
      </w:tblPr>
      <w:tblGrid>
        <w:gridCol w:w="881"/>
        <w:gridCol w:w="2232"/>
        <w:gridCol w:w="1925"/>
        <w:gridCol w:w="1668"/>
        <w:gridCol w:w="1201"/>
      </w:tblGrid>
      <w:tr w:rsidR="0006670C" w:rsidTr="0006670C">
        <w:trPr>
          <w:trHeight w:val="735"/>
          <w:jc w:val="center"/>
        </w:trPr>
        <w:tc>
          <w:tcPr>
            <w:tcW w:w="479"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Vigencia</w:t>
            </w:r>
          </w:p>
        </w:tc>
        <w:tc>
          <w:tcPr>
            <w:tcW w:w="1213" w:type="pct"/>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Concepto</w:t>
            </w:r>
          </w:p>
        </w:tc>
        <w:tc>
          <w:tcPr>
            <w:tcW w:w="1409" w:type="pct"/>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Recaudo Efectivo</w:t>
            </w:r>
          </w:p>
        </w:tc>
        <w:tc>
          <w:tcPr>
            <w:tcW w:w="1246" w:type="pct"/>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Apropiación Definitiva</w:t>
            </w:r>
          </w:p>
        </w:tc>
        <w:tc>
          <w:tcPr>
            <w:tcW w:w="653" w:type="pct"/>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Diferencia</w:t>
            </w:r>
          </w:p>
        </w:tc>
      </w:tr>
      <w:tr w:rsidR="0006670C" w:rsidTr="0006670C">
        <w:trPr>
          <w:trHeight w:val="282"/>
          <w:jc w:val="center"/>
        </w:trPr>
        <w:tc>
          <w:tcPr>
            <w:tcW w:w="479" w:type="pct"/>
            <w:vMerge w:val="restart"/>
            <w:tcBorders>
              <w:top w:val="nil"/>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Año 2018</w:t>
            </w:r>
          </w:p>
        </w:tc>
        <w:tc>
          <w:tcPr>
            <w:tcW w:w="1213"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 Propósito General</w:t>
            </w:r>
          </w:p>
        </w:tc>
        <w:tc>
          <w:tcPr>
            <w:tcW w:w="1409"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3.885.265.429</w:t>
            </w:r>
          </w:p>
        </w:tc>
        <w:tc>
          <w:tcPr>
            <w:tcW w:w="1246"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3.581.738.290</w:t>
            </w:r>
          </w:p>
        </w:tc>
        <w:tc>
          <w:tcPr>
            <w:tcW w:w="653"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303.527.139</w:t>
            </w:r>
          </w:p>
        </w:tc>
      </w:tr>
      <w:tr w:rsidR="0006670C" w:rsidTr="0006670C">
        <w:trPr>
          <w:trHeight w:val="282"/>
          <w:jc w:val="center"/>
        </w:trPr>
        <w:tc>
          <w:tcPr>
            <w:tcW w:w="0" w:type="auto"/>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1213" w:type="pct"/>
            <w:tcBorders>
              <w:top w:val="nil"/>
              <w:left w:val="nil"/>
              <w:bottom w:val="single" w:sz="4" w:space="0" w:color="auto"/>
              <w:right w:val="single" w:sz="4" w:space="0" w:color="auto"/>
            </w:tcBorders>
            <w:noWrap/>
            <w:vAlign w:val="bottom"/>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1.1. Libre Destinación</w:t>
            </w:r>
          </w:p>
        </w:tc>
        <w:tc>
          <w:tcPr>
            <w:tcW w:w="1409"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1.732.302.512</w:t>
            </w:r>
          </w:p>
        </w:tc>
        <w:tc>
          <w:tcPr>
            <w:tcW w:w="1246"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1.992.662.803</w:t>
            </w:r>
          </w:p>
        </w:tc>
        <w:tc>
          <w:tcPr>
            <w:tcW w:w="653"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-260.360.291</w:t>
            </w:r>
          </w:p>
        </w:tc>
      </w:tr>
      <w:tr w:rsidR="0006670C" w:rsidTr="0006670C">
        <w:trPr>
          <w:trHeight w:val="282"/>
          <w:jc w:val="center"/>
        </w:trPr>
        <w:tc>
          <w:tcPr>
            <w:tcW w:w="0" w:type="auto"/>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1213" w:type="pct"/>
            <w:tcBorders>
              <w:top w:val="nil"/>
              <w:left w:val="nil"/>
              <w:bottom w:val="single" w:sz="4" w:space="0" w:color="auto"/>
              <w:right w:val="single" w:sz="4" w:space="0" w:color="auto"/>
            </w:tcBorders>
            <w:noWrap/>
            <w:vAlign w:val="bottom"/>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1.2. Libre Inversión</w:t>
            </w:r>
          </w:p>
        </w:tc>
        <w:tc>
          <w:tcPr>
            <w:tcW w:w="1409"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1.818.051.098</w:t>
            </w:r>
          </w:p>
        </w:tc>
        <w:tc>
          <w:tcPr>
            <w:tcW w:w="1246"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1.255.163.668</w:t>
            </w:r>
          </w:p>
        </w:tc>
        <w:tc>
          <w:tcPr>
            <w:tcW w:w="653"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562.887.430</w:t>
            </w:r>
          </w:p>
        </w:tc>
      </w:tr>
      <w:tr w:rsidR="0006670C" w:rsidTr="0006670C">
        <w:trPr>
          <w:trHeight w:val="282"/>
          <w:jc w:val="center"/>
        </w:trPr>
        <w:tc>
          <w:tcPr>
            <w:tcW w:w="0" w:type="auto"/>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1213" w:type="pct"/>
            <w:tcBorders>
              <w:top w:val="nil"/>
              <w:left w:val="nil"/>
              <w:bottom w:val="single" w:sz="4" w:space="0" w:color="auto"/>
              <w:right w:val="single" w:sz="4" w:space="0" w:color="auto"/>
            </w:tcBorders>
            <w:noWrap/>
            <w:vAlign w:val="bottom"/>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1.3. Deporte y Recreación</w:t>
            </w:r>
          </w:p>
        </w:tc>
        <w:tc>
          <w:tcPr>
            <w:tcW w:w="1409"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191.378.183</w:t>
            </w:r>
          </w:p>
        </w:tc>
        <w:tc>
          <w:tcPr>
            <w:tcW w:w="1246"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191.378.183</w:t>
            </w:r>
          </w:p>
        </w:tc>
        <w:tc>
          <w:tcPr>
            <w:tcW w:w="653"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0</w:t>
            </w:r>
          </w:p>
        </w:tc>
      </w:tr>
      <w:tr w:rsidR="0006670C" w:rsidTr="0006670C">
        <w:trPr>
          <w:trHeight w:val="296"/>
          <w:jc w:val="center"/>
        </w:trPr>
        <w:tc>
          <w:tcPr>
            <w:tcW w:w="0" w:type="auto"/>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1213" w:type="pct"/>
            <w:tcBorders>
              <w:top w:val="nil"/>
              <w:left w:val="nil"/>
              <w:bottom w:val="single" w:sz="4" w:space="0" w:color="auto"/>
              <w:right w:val="single" w:sz="4" w:space="0" w:color="auto"/>
            </w:tcBorders>
            <w:noWrap/>
            <w:vAlign w:val="bottom"/>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1.4. Cultura</w:t>
            </w:r>
          </w:p>
        </w:tc>
        <w:tc>
          <w:tcPr>
            <w:tcW w:w="1409"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143.533.636</w:t>
            </w:r>
          </w:p>
        </w:tc>
        <w:tc>
          <w:tcPr>
            <w:tcW w:w="1246"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142.533.636</w:t>
            </w:r>
          </w:p>
        </w:tc>
        <w:tc>
          <w:tcPr>
            <w:tcW w:w="653"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1.000.000</w:t>
            </w:r>
          </w:p>
        </w:tc>
      </w:tr>
      <w:tr w:rsidR="0006670C" w:rsidTr="0006670C">
        <w:trPr>
          <w:trHeight w:val="282"/>
          <w:jc w:val="center"/>
        </w:trPr>
        <w:tc>
          <w:tcPr>
            <w:tcW w:w="479" w:type="pct"/>
            <w:vMerge w:val="restart"/>
            <w:tcBorders>
              <w:top w:val="nil"/>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Año 2019</w:t>
            </w:r>
          </w:p>
        </w:tc>
        <w:tc>
          <w:tcPr>
            <w:tcW w:w="1213"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 Propósito General</w:t>
            </w:r>
          </w:p>
        </w:tc>
        <w:tc>
          <w:tcPr>
            <w:tcW w:w="1409"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4.570.990.986</w:t>
            </w:r>
          </w:p>
        </w:tc>
        <w:tc>
          <w:tcPr>
            <w:tcW w:w="1246"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3.970.585.730</w:t>
            </w:r>
          </w:p>
        </w:tc>
        <w:tc>
          <w:tcPr>
            <w:tcW w:w="653"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600.405.256</w:t>
            </w:r>
          </w:p>
        </w:tc>
      </w:tr>
      <w:tr w:rsidR="0006670C" w:rsidTr="0006670C">
        <w:trPr>
          <w:trHeight w:val="282"/>
          <w:jc w:val="center"/>
        </w:trPr>
        <w:tc>
          <w:tcPr>
            <w:tcW w:w="0" w:type="auto"/>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1213" w:type="pct"/>
            <w:tcBorders>
              <w:top w:val="nil"/>
              <w:left w:val="nil"/>
              <w:bottom w:val="single" w:sz="4" w:space="0" w:color="auto"/>
              <w:right w:val="single" w:sz="4" w:space="0" w:color="auto"/>
            </w:tcBorders>
            <w:noWrap/>
            <w:vAlign w:val="bottom"/>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1.1. Libre Destinación</w:t>
            </w:r>
          </w:p>
        </w:tc>
        <w:tc>
          <w:tcPr>
            <w:tcW w:w="1409"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2.028.754.751</w:t>
            </w:r>
          </w:p>
        </w:tc>
        <w:tc>
          <w:tcPr>
            <w:tcW w:w="1246"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2.086.626.590</w:t>
            </w:r>
          </w:p>
        </w:tc>
        <w:tc>
          <w:tcPr>
            <w:tcW w:w="653"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-57.871.839</w:t>
            </w:r>
          </w:p>
        </w:tc>
      </w:tr>
      <w:tr w:rsidR="0006670C" w:rsidTr="0006670C">
        <w:trPr>
          <w:trHeight w:val="282"/>
          <w:jc w:val="center"/>
        </w:trPr>
        <w:tc>
          <w:tcPr>
            <w:tcW w:w="0" w:type="auto"/>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1213" w:type="pct"/>
            <w:tcBorders>
              <w:top w:val="nil"/>
              <w:left w:val="nil"/>
              <w:bottom w:val="single" w:sz="4" w:space="0" w:color="auto"/>
              <w:right w:val="single" w:sz="4" w:space="0" w:color="auto"/>
            </w:tcBorders>
            <w:noWrap/>
            <w:vAlign w:val="bottom"/>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1.2. Libre Inversión</w:t>
            </w:r>
          </w:p>
        </w:tc>
        <w:tc>
          <w:tcPr>
            <w:tcW w:w="1409"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2.150.010.316</w:t>
            </w:r>
          </w:p>
        </w:tc>
        <w:tc>
          <w:tcPr>
            <w:tcW w:w="1246"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1.491.733.221</w:t>
            </w:r>
          </w:p>
        </w:tc>
        <w:tc>
          <w:tcPr>
            <w:tcW w:w="653"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658.277.095</w:t>
            </w:r>
          </w:p>
        </w:tc>
      </w:tr>
      <w:tr w:rsidR="0006670C" w:rsidTr="0006670C">
        <w:trPr>
          <w:trHeight w:val="282"/>
          <w:jc w:val="center"/>
        </w:trPr>
        <w:tc>
          <w:tcPr>
            <w:tcW w:w="0" w:type="auto"/>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1213" w:type="pct"/>
            <w:tcBorders>
              <w:top w:val="nil"/>
              <w:left w:val="nil"/>
              <w:bottom w:val="single" w:sz="4" w:space="0" w:color="auto"/>
              <w:right w:val="single" w:sz="4" w:space="0" w:color="auto"/>
            </w:tcBorders>
            <w:noWrap/>
            <w:vAlign w:val="bottom"/>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1.3. Deporte y Recreación</w:t>
            </w:r>
          </w:p>
        </w:tc>
        <w:tc>
          <w:tcPr>
            <w:tcW w:w="1409"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224.129.096</w:t>
            </w:r>
          </w:p>
        </w:tc>
        <w:tc>
          <w:tcPr>
            <w:tcW w:w="1246"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224.129.096</w:t>
            </w:r>
          </w:p>
        </w:tc>
        <w:tc>
          <w:tcPr>
            <w:tcW w:w="653"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0</w:t>
            </w:r>
          </w:p>
        </w:tc>
      </w:tr>
      <w:tr w:rsidR="0006670C" w:rsidTr="0006670C">
        <w:trPr>
          <w:trHeight w:val="296"/>
          <w:jc w:val="center"/>
        </w:trPr>
        <w:tc>
          <w:tcPr>
            <w:tcW w:w="0" w:type="auto"/>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1213" w:type="pct"/>
            <w:tcBorders>
              <w:top w:val="nil"/>
              <w:left w:val="nil"/>
              <w:bottom w:val="single" w:sz="4" w:space="0" w:color="auto"/>
              <w:right w:val="single" w:sz="4" w:space="0" w:color="auto"/>
            </w:tcBorders>
            <w:noWrap/>
            <w:vAlign w:val="bottom"/>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1.4. Cultura</w:t>
            </w:r>
          </w:p>
        </w:tc>
        <w:tc>
          <w:tcPr>
            <w:tcW w:w="1409"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168.096.823</w:t>
            </w:r>
          </w:p>
        </w:tc>
        <w:tc>
          <w:tcPr>
            <w:tcW w:w="1246"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168.096.823</w:t>
            </w:r>
          </w:p>
        </w:tc>
        <w:tc>
          <w:tcPr>
            <w:tcW w:w="653"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0</w:t>
            </w:r>
          </w:p>
        </w:tc>
      </w:tr>
      <w:tr w:rsidR="0006670C" w:rsidTr="0006670C">
        <w:trPr>
          <w:trHeight w:val="282"/>
          <w:jc w:val="center"/>
        </w:trPr>
        <w:tc>
          <w:tcPr>
            <w:tcW w:w="479" w:type="pct"/>
            <w:vMerge w:val="restart"/>
            <w:tcBorders>
              <w:top w:val="nil"/>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Año 2020</w:t>
            </w:r>
          </w:p>
        </w:tc>
        <w:tc>
          <w:tcPr>
            <w:tcW w:w="1213"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 Propósito General</w:t>
            </w:r>
          </w:p>
        </w:tc>
        <w:tc>
          <w:tcPr>
            <w:tcW w:w="1409"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8.421.883.846</w:t>
            </w:r>
          </w:p>
        </w:tc>
        <w:tc>
          <w:tcPr>
            <w:tcW w:w="1246"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7.719.434.908</w:t>
            </w:r>
          </w:p>
        </w:tc>
        <w:tc>
          <w:tcPr>
            <w:tcW w:w="653"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702.448.938</w:t>
            </w:r>
          </w:p>
        </w:tc>
      </w:tr>
      <w:tr w:rsidR="0006670C" w:rsidTr="0006670C">
        <w:trPr>
          <w:trHeight w:val="282"/>
          <w:jc w:val="center"/>
        </w:trPr>
        <w:tc>
          <w:tcPr>
            <w:tcW w:w="0" w:type="auto"/>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1213" w:type="pct"/>
            <w:tcBorders>
              <w:top w:val="nil"/>
              <w:left w:val="nil"/>
              <w:bottom w:val="single" w:sz="4" w:space="0" w:color="auto"/>
              <w:right w:val="single" w:sz="4" w:space="0" w:color="auto"/>
            </w:tcBorders>
            <w:noWrap/>
            <w:vAlign w:val="bottom"/>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1.1. Libre Destinación</w:t>
            </w:r>
          </w:p>
        </w:tc>
        <w:tc>
          <w:tcPr>
            <w:tcW w:w="1409"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3.537.191.212</w:t>
            </w:r>
          </w:p>
        </w:tc>
        <w:tc>
          <w:tcPr>
            <w:tcW w:w="1246"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3.537.191.222</w:t>
            </w:r>
          </w:p>
        </w:tc>
        <w:tc>
          <w:tcPr>
            <w:tcW w:w="653"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-10</w:t>
            </w:r>
          </w:p>
        </w:tc>
      </w:tr>
      <w:tr w:rsidR="0006670C" w:rsidTr="0006670C">
        <w:trPr>
          <w:trHeight w:val="282"/>
          <w:jc w:val="center"/>
        </w:trPr>
        <w:tc>
          <w:tcPr>
            <w:tcW w:w="0" w:type="auto"/>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1213" w:type="pct"/>
            <w:tcBorders>
              <w:top w:val="nil"/>
              <w:left w:val="nil"/>
              <w:bottom w:val="single" w:sz="4" w:space="0" w:color="auto"/>
              <w:right w:val="single" w:sz="4" w:space="0" w:color="auto"/>
            </w:tcBorders>
            <w:noWrap/>
            <w:vAlign w:val="bottom"/>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1.2. Libre Inversión</w:t>
            </w:r>
          </w:p>
        </w:tc>
        <w:tc>
          <w:tcPr>
            <w:tcW w:w="1409"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4.425.004.589</w:t>
            </w:r>
          </w:p>
        </w:tc>
        <w:tc>
          <w:tcPr>
            <w:tcW w:w="1246"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3.660.918.657</w:t>
            </w:r>
          </w:p>
        </w:tc>
        <w:tc>
          <w:tcPr>
            <w:tcW w:w="653"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764.085.932</w:t>
            </w:r>
          </w:p>
        </w:tc>
      </w:tr>
      <w:tr w:rsidR="0006670C" w:rsidTr="0006670C">
        <w:trPr>
          <w:trHeight w:val="282"/>
          <w:jc w:val="center"/>
        </w:trPr>
        <w:tc>
          <w:tcPr>
            <w:tcW w:w="0" w:type="auto"/>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1213" w:type="pct"/>
            <w:tcBorders>
              <w:top w:val="nil"/>
              <w:left w:val="nil"/>
              <w:bottom w:val="single" w:sz="4" w:space="0" w:color="auto"/>
              <w:right w:val="single" w:sz="4" w:space="0" w:color="auto"/>
            </w:tcBorders>
            <w:noWrap/>
            <w:vAlign w:val="bottom"/>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1.3. Deporte y Recreación</w:t>
            </w:r>
          </w:p>
        </w:tc>
        <w:tc>
          <w:tcPr>
            <w:tcW w:w="1409"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262.678.883</w:t>
            </w:r>
          </w:p>
        </w:tc>
        <w:tc>
          <w:tcPr>
            <w:tcW w:w="1246"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263.316.453</w:t>
            </w:r>
          </w:p>
        </w:tc>
        <w:tc>
          <w:tcPr>
            <w:tcW w:w="653"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-637.570</w:t>
            </w:r>
          </w:p>
        </w:tc>
      </w:tr>
      <w:tr w:rsidR="0006670C" w:rsidTr="0006670C">
        <w:trPr>
          <w:trHeight w:val="296"/>
          <w:jc w:val="center"/>
        </w:trPr>
        <w:tc>
          <w:tcPr>
            <w:tcW w:w="0" w:type="auto"/>
            <w:vMerge/>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b/>
                <w:bCs/>
                <w:color w:val="FFFFFF"/>
                <w:sz w:val="18"/>
                <w:szCs w:val="18"/>
                <w:lang w:val="es-CO" w:eastAsia="es-CO"/>
              </w:rPr>
            </w:pPr>
          </w:p>
        </w:tc>
        <w:tc>
          <w:tcPr>
            <w:tcW w:w="1213" w:type="pct"/>
            <w:tcBorders>
              <w:top w:val="nil"/>
              <w:left w:val="nil"/>
              <w:bottom w:val="single" w:sz="4" w:space="0" w:color="auto"/>
              <w:right w:val="single" w:sz="4" w:space="0" w:color="auto"/>
            </w:tcBorders>
            <w:noWrap/>
            <w:vAlign w:val="bottom"/>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1.4. Cultura</w:t>
            </w:r>
          </w:p>
        </w:tc>
        <w:tc>
          <w:tcPr>
            <w:tcW w:w="1409"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197.009.162</w:t>
            </w:r>
          </w:p>
        </w:tc>
        <w:tc>
          <w:tcPr>
            <w:tcW w:w="1246"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258.008.576</w:t>
            </w:r>
          </w:p>
        </w:tc>
        <w:tc>
          <w:tcPr>
            <w:tcW w:w="653" w:type="pct"/>
            <w:tcBorders>
              <w:top w:val="nil"/>
              <w:left w:val="nil"/>
              <w:bottom w:val="single" w:sz="4" w:space="0" w:color="auto"/>
              <w:right w:val="single" w:sz="4" w:space="0" w:color="auto"/>
            </w:tcBorders>
            <w:noWrap/>
            <w:vAlign w:val="center"/>
            <w:hideMark/>
          </w:tcPr>
          <w:p w:rsidR="0006670C" w:rsidRDefault="0006670C">
            <w:pPr>
              <w:spacing w:line="256" w:lineRule="auto"/>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-60.999.414</w:t>
            </w:r>
          </w:p>
        </w:tc>
      </w:tr>
    </w:tbl>
    <w:p w:rsidR="0006670C" w:rsidRDefault="0006670C" w:rsidP="0006670C">
      <w:pPr>
        <w:pStyle w:val="Sinespaciado"/>
        <w:jc w:val="center"/>
        <w:rPr>
          <w:rFonts w:ascii="Arial" w:hAnsi="Arial" w:cs="Arial"/>
          <w:b/>
          <w:sz w:val="18"/>
          <w:szCs w:val="18"/>
          <w:lang w:val="es-ES_tradnl"/>
        </w:rPr>
      </w:pPr>
      <w:r>
        <w:rPr>
          <w:rFonts w:ascii="Arial" w:hAnsi="Arial" w:cs="Arial"/>
          <w:b/>
          <w:sz w:val="18"/>
          <w:szCs w:val="18"/>
          <w:lang w:val="es-ES_tradnl"/>
        </w:rPr>
        <w:t xml:space="preserve">Fuente: </w:t>
      </w:r>
      <w:r>
        <w:rPr>
          <w:rFonts w:ascii="Arial" w:hAnsi="Arial" w:cs="Arial"/>
          <w:sz w:val="18"/>
          <w:szCs w:val="18"/>
          <w:lang w:val="es-ES_tradnl"/>
        </w:rPr>
        <w:t>Elaboración propia con base en la información reportada al FUT.</w:t>
      </w:r>
    </w:p>
    <w:p w:rsidR="0006670C" w:rsidRDefault="0006670C" w:rsidP="0006670C">
      <w:pPr>
        <w:pStyle w:val="Sinespaciado"/>
        <w:jc w:val="both"/>
        <w:rPr>
          <w:rFonts w:ascii="Arial" w:hAnsi="Arial" w:cs="Arial"/>
          <w:color w:val="000000" w:themeColor="text1"/>
          <w:lang w:val="es-ES_tradnl"/>
        </w:rPr>
      </w:pPr>
    </w:p>
    <w:p w:rsidR="0006670C" w:rsidRDefault="0006670C" w:rsidP="0006670C">
      <w:pPr>
        <w:pStyle w:val="Sinespaciado"/>
        <w:jc w:val="both"/>
        <w:rPr>
          <w:rFonts w:ascii="Arial" w:hAnsi="Arial" w:cs="Arial"/>
          <w:color w:val="000000" w:themeColor="text1"/>
          <w:lang w:val="es-ES_tradnl"/>
        </w:rPr>
      </w:pPr>
      <w:r>
        <w:rPr>
          <w:rFonts w:ascii="Arial" w:hAnsi="Arial" w:cs="Arial"/>
          <w:color w:val="000000" w:themeColor="text1"/>
          <w:lang w:val="es-ES_tradnl"/>
        </w:rPr>
        <w:t xml:space="preserve">Como se refleja en el Cuadro N° 4, las fuentes de financiación en las que se presentan diferencias recurrentes son Libres Destinación y Libre Inversión. Para la vigencia 2020 la destinación de Cultura también muestra una diferencia del 30 % sobre lo que recaudó el Municipio. Es importante recordar que todas estas diferencias ratifican inconvenientes con el reporte realizado por el Municipio al Formulario Único Territorial - FUT. Sin embargo, de acompasarse la información reportada con la realidad presupuestal del Municipio, este tipo de situaciones podrían conllevar </w:t>
      </w:r>
      <w:r>
        <w:rPr>
          <w:rFonts w:ascii="Arial" w:hAnsi="Arial" w:cs="Arial"/>
          <w:color w:val="000000" w:themeColor="text1"/>
          <w:lang w:val="es-ES_tradnl"/>
        </w:rPr>
        <w:lastRenderedPageBreak/>
        <w:t>la generación de compromisos sin respaldo presupuestal para el caso de Libre Destinación, pero dejar sin ejecutar recursos disponibles en el caso de Libre Inversión.</w:t>
      </w:r>
    </w:p>
    <w:p w:rsidR="0006670C" w:rsidRDefault="0006670C" w:rsidP="0006670C">
      <w:pPr>
        <w:pStyle w:val="Sinespaciado"/>
        <w:jc w:val="both"/>
        <w:rPr>
          <w:rFonts w:ascii="Arial" w:hAnsi="Arial" w:cs="Arial"/>
          <w:color w:val="000000" w:themeColor="text1"/>
          <w:lang w:val="es-ES_tradnl"/>
        </w:rPr>
      </w:pPr>
    </w:p>
    <w:p w:rsidR="0006670C" w:rsidRDefault="0006670C" w:rsidP="0006670C">
      <w:pPr>
        <w:pStyle w:val="Sinespaciado"/>
        <w:jc w:val="both"/>
        <w:rPr>
          <w:rFonts w:ascii="Arial" w:hAnsi="Arial" w:cs="Arial"/>
          <w:b/>
          <w:color w:val="000000" w:themeColor="text1"/>
          <w:lang w:val="es-ES_tradnl"/>
        </w:rPr>
      </w:pPr>
      <w:r>
        <w:rPr>
          <w:rFonts w:ascii="Arial" w:hAnsi="Arial" w:cs="Arial"/>
          <w:b/>
          <w:color w:val="000000" w:themeColor="text1"/>
          <w:lang w:val="es-ES_tradnl"/>
        </w:rPr>
        <w:t>Destinación de los recursos de Propósito General.</w:t>
      </w:r>
    </w:p>
    <w:p w:rsidR="0006670C" w:rsidRDefault="0006670C" w:rsidP="0006670C">
      <w:pPr>
        <w:pStyle w:val="Sinespaciado"/>
        <w:jc w:val="both"/>
        <w:rPr>
          <w:rFonts w:ascii="Arial" w:hAnsi="Arial" w:cs="Arial"/>
          <w:color w:val="000000" w:themeColor="text1"/>
          <w:lang w:val="es-ES_tradnl"/>
        </w:rPr>
      </w:pPr>
    </w:p>
    <w:p w:rsidR="0006670C" w:rsidRDefault="0006670C" w:rsidP="0006670C">
      <w:pPr>
        <w:pStyle w:val="Sinespaciado"/>
        <w:jc w:val="both"/>
        <w:rPr>
          <w:rFonts w:ascii="Arial" w:hAnsi="Arial" w:cs="Arial"/>
          <w:color w:val="000000" w:themeColor="text1"/>
          <w:lang w:val="es-ES_tradnl"/>
        </w:rPr>
      </w:pPr>
      <w:r>
        <w:rPr>
          <w:rFonts w:ascii="Arial" w:hAnsi="Arial" w:cs="Arial"/>
          <w:color w:val="000000" w:themeColor="text1"/>
          <w:lang w:val="es-ES_tradnl"/>
        </w:rPr>
        <w:t>En un análisis detallado, identificamos los componentes de gasto asociados a cada una de las fuentes de financiación que se muestran a continuación:</w:t>
      </w:r>
    </w:p>
    <w:p w:rsidR="0006670C" w:rsidRDefault="0006670C" w:rsidP="0006670C">
      <w:pPr>
        <w:pStyle w:val="Sinespaciado"/>
        <w:jc w:val="both"/>
        <w:rPr>
          <w:rFonts w:ascii="Arial" w:hAnsi="Arial" w:cs="Arial"/>
          <w:i/>
          <w:color w:val="000000" w:themeColor="text1"/>
          <w:lang w:val="es-ES_tradnl"/>
        </w:rPr>
      </w:pPr>
    </w:p>
    <w:p w:rsidR="0006670C" w:rsidRDefault="0006670C" w:rsidP="0006670C">
      <w:pPr>
        <w:pStyle w:val="Sinespaciado"/>
        <w:jc w:val="both"/>
        <w:rPr>
          <w:rFonts w:ascii="Arial" w:hAnsi="Arial" w:cs="Arial"/>
          <w:iCs/>
          <w:color w:val="000000" w:themeColor="text1"/>
          <w:lang w:val="es-ES_tradnl"/>
        </w:rPr>
      </w:pPr>
      <w:r>
        <w:rPr>
          <w:rFonts w:ascii="Arial" w:hAnsi="Arial" w:cs="Arial"/>
          <w:iCs/>
          <w:color w:val="000000" w:themeColor="text1"/>
          <w:lang w:val="es-ES_tradnl"/>
        </w:rPr>
        <w:t>Libre Destinación.</w:t>
      </w:r>
    </w:p>
    <w:p w:rsidR="0006670C" w:rsidRDefault="0006670C" w:rsidP="0006670C">
      <w:pPr>
        <w:pStyle w:val="Sinespaciado"/>
        <w:jc w:val="both"/>
        <w:rPr>
          <w:rFonts w:ascii="Arial" w:hAnsi="Arial" w:cs="Arial"/>
          <w:color w:val="000000" w:themeColor="text1"/>
          <w:lang w:val="es-ES_tradnl"/>
        </w:rPr>
      </w:pPr>
    </w:p>
    <w:p w:rsidR="0006670C" w:rsidRDefault="0006670C" w:rsidP="0006670C">
      <w:pPr>
        <w:pStyle w:val="Sinespaciado"/>
        <w:jc w:val="both"/>
        <w:rPr>
          <w:rFonts w:ascii="Arial" w:hAnsi="Arial" w:cs="Arial"/>
        </w:rPr>
      </w:pPr>
      <w:r>
        <w:rPr>
          <w:rFonts w:ascii="Arial" w:hAnsi="Arial" w:cs="Arial"/>
          <w:color w:val="000000" w:themeColor="text1"/>
          <w:lang w:val="es-ES_tradnl"/>
        </w:rPr>
        <w:t xml:space="preserve">Durante las tres vigencias analizadas se evidenció que el Municipio de </w:t>
      </w:r>
      <w:r>
        <w:rPr>
          <w:rFonts w:ascii="Arial" w:hAnsi="Arial" w:cs="Arial"/>
        </w:rPr>
        <w:t>Puerto Escondido – Córdoba destina en promedio el 60 % de los recursos de Libre Destinación para funcionamiento, se resaltan los objetos de gasto asociados al pago de sueldo de personal y honorarios.</w:t>
      </w:r>
    </w:p>
    <w:p w:rsidR="0006670C" w:rsidRDefault="0006670C" w:rsidP="0006670C">
      <w:pPr>
        <w:pStyle w:val="Sinespaciado"/>
        <w:jc w:val="both"/>
        <w:rPr>
          <w:rFonts w:ascii="Arial" w:hAnsi="Arial" w:cs="Arial"/>
          <w:color w:val="000000" w:themeColor="text1"/>
          <w:lang w:val="es-ES_tradnl"/>
        </w:rPr>
      </w:pPr>
    </w:p>
    <w:p w:rsidR="0006670C" w:rsidRDefault="0006670C" w:rsidP="0006670C">
      <w:pPr>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Por otra parte, el 40 % adicional en promedio para las vigencias analizadas se destinó en</w:t>
      </w:r>
      <w:r>
        <w:rPr>
          <w:rFonts w:ascii="Arial" w:eastAsiaTheme="minorHAnsi" w:hAnsi="Arial" w:cs="Arial"/>
          <w:color w:val="000000" w:themeColor="text1"/>
          <w:sz w:val="22"/>
          <w:szCs w:val="22"/>
          <w:lang w:val="es-ES_tradnl" w:eastAsia="en-US"/>
        </w:rPr>
        <w:t xml:space="preserve"> Otros Sectores de</w:t>
      </w:r>
      <w:r>
        <w:rPr>
          <w:rFonts w:ascii="Arial" w:hAnsi="Arial" w:cs="Arial"/>
          <w:color w:val="000000" w:themeColor="text1"/>
          <w:sz w:val="22"/>
          <w:szCs w:val="22"/>
          <w:lang w:val="es-ES_tradnl"/>
        </w:rPr>
        <w:t xml:space="preserve"> Inversión, entre los cuales resaltan Transporte, con el objeto de gasto asociado al mejoramiento de vías; Fortalecimiento Institucional, financiando programas de capacitación y asistencias técnicas orientados al desarrollo eficiente de las competencias de ley; Justicia y Seguridad, con el pago a los inspectores de policía y a la comisaría de familia. Se destaca además que para la vigencia 2019 se destina el 40 % para el pago de déficit en varios sectores de inversión, entre los que se encuentra Deporte, Agua Potable, Fortalecimiento Institucional, Agropecuario y Ambiente.</w:t>
      </w:r>
    </w:p>
    <w:p w:rsidR="0006670C" w:rsidRDefault="0006670C" w:rsidP="0006670C">
      <w:pPr>
        <w:jc w:val="both"/>
        <w:rPr>
          <w:rFonts w:ascii="Arial" w:hAnsi="Arial" w:cs="Arial"/>
          <w:color w:val="000000" w:themeColor="text1"/>
          <w:sz w:val="22"/>
          <w:szCs w:val="22"/>
          <w:lang w:val="es-ES_tradnl"/>
        </w:rPr>
      </w:pPr>
    </w:p>
    <w:p w:rsidR="0006670C" w:rsidRDefault="0006670C" w:rsidP="0006670C">
      <w:pPr>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Es importante recordar, que el pago de déficit debe realizarse con recursos propios y no con recursos SPG-PG. Ahora, se aclara que el comportamiento anterior, solo se identificó para la vigencia 2019, ya que para la vigencia 2020 no se registraron dichos objetos de gasto.</w:t>
      </w:r>
    </w:p>
    <w:p w:rsidR="0006670C" w:rsidRDefault="0006670C" w:rsidP="0006670C">
      <w:pPr>
        <w:jc w:val="both"/>
        <w:rPr>
          <w:rFonts w:ascii="Arial" w:hAnsi="Arial" w:cs="Arial"/>
          <w:color w:val="000000" w:themeColor="text1"/>
          <w:sz w:val="22"/>
          <w:szCs w:val="22"/>
          <w:lang w:val="es-ES_tradnl"/>
        </w:rPr>
      </w:pPr>
    </w:p>
    <w:p w:rsidR="0006670C" w:rsidRDefault="0006670C" w:rsidP="0006670C">
      <w:pPr>
        <w:pStyle w:val="Sinespaciado"/>
        <w:jc w:val="both"/>
        <w:rPr>
          <w:rFonts w:ascii="Arial" w:hAnsi="Arial" w:cs="Arial"/>
          <w:iCs/>
          <w:color w:val="000000" w:themeColor="text1"/>
          <w:lang w:val="es-ES_tradnl"/>
        </w:rPr>
      </w:pPr>
      <w:r>
        <w:rPr>
          <w:rFonts w:ascii="Arial" w:hAnsi="Arial" w:cs="Arial"/>
          <w:iCs/>
          <w:color w:val="000000" w:themeColor="text1"/>
          <w:lang w:val="es-ES_tradnl"/>
        </w:rPr>
        <w:t>Cultura.</w:t>
      </w:r>
    </w:p>
    <w:p w:rsidR="0006670C" w:rsidRDefault="0006670C" w:rsidP="0006670C">
      <w:pPr>
        <w:pStyle w:val="Sinespaciado"/>
        <w:jc w:val="both"/>
        <w:rPr>
          <w:rFonts w:ascii="Arial" w:hAnsi="Arial" w:cs="Arial"/>
          <w:color w:val="000000" w:themeColor="text1"/>
          <w:lang w:val="es-ES_tradnl"/>
        </w:rPr>
      </w:pPr>
    </w:p>
    <w:p w:rsidR="0006670C" w:rsidRDefault="0006670C" w:rsidP="0006670C">
      <w:pPr>
        <w:jc w:val="both"/>
        <w:rPr>
          <w:rFonts w:ascii="Arial" w:eastAsiaTheme="minorHAnsi" w:hAnsi="Arial" w:cs="Arial"/>
          <w:color w:val="000000" w:themeColor="text1"/>
          <w:sz w:val="22"/>
          <w:szCs w:val="22"/>
          <w:lang w:val="es-ES_tradnl" w:eastAsia="en-US"/>
        </w:rPr>
      </w:pPr>
      <w:r>
        <w:rPr>
          <w:rFonts w:ascii="Arial" w:hAnsi="Arial" w:cs="Arial"/>
          <w:color w:val="000000" w:themeColor="text1"/>
          <w:sz w:val="22"/>
          <w:szCs w:val="22"/>
          <w:lang w:val="es-ES_tradnl"/>
        </w:rPr>
        <w:t xml:space="preserve">Para el Sector </w:t>
      </w:r>
      <w:r>
        <w:rPr>
          <w:rFonts w:ascii="Arial" w:eastAsiaTheme="minorHAnsi" w:hAnsi="Arial" w:cs="Arial"/>
          <w:color w:val="000000" w:themeColor="text1"/>
          <w:sz w:val="22"/>
          <w:szCs w:val="22"/>
          <w:lang w:val="es-ES_tradnl" w:eastAsia="en-US"/>
        </w:rPr>
        <w:t>Cultura se ha evidenciado que con los recursos asignados se han fortalecido tres objetos de inversión específica: fomento, apoyo y difusión de eventos, expresiones artísticas y actividades culturales; mantenimiento de la infraestructura; y pago de instructores y bibliotecólogos contratados.</w:t>
      </w:r>
    </w:p>
    <w:p w:rsidR="0006670C" w:rsidRDefault="0006670C" w:rsidP="0006670C">
      <w:pPr>
        <w:pStyle w:val="Sinespaciado"/>
        <w:jc w:val="both"/>
        <w:rPr>
          <w:rFonts w:ascii="Arial" w:hAnsi="Arial" w:cs="Arial"/>
          <w:color w:val="000000" w:themeColor="text1"/>
          <w:lang w:val="es-ES_tradnl"/>
        </w:rPr>
      </w:pPr>
    </w:p>
    <w:p w:rsidR="0006670C" w:rsidRDefault="0006670C" w:rsidP="0006670C">
      <w:pPr>
        <w:pStyle w:val="Sinespaciado"/>
        <w:jc w:val="both"/>
        <w:rPr>
          <w:rFonts w:ascii="Arial" w:hAnsi="Arial" w:cs="Arial"/>
          <w:iCs/>
          <w:color w:val="000000" w:themeColor="text1"/>
          <w:lang w:val="es-ES_tradnl"/>
        </w:rPr>
      </w:pPr>
      <w:r>
        <w:rPr>
          <w:rFonts w:ascii="Arial" w:hAnsi="Arial" w:cs="Arial"/>
          <w:iCs/>
          <w:color w:val="000000" w:themeColor="text1"/>
          <w:lang w:val="es-ES_tradnl"/>
        </w:rPr>
        <w:t>Deporte.</w:t>
      </w:r>
    </w:p>
    <w:p w:rsidR="0006670C" w:rsidRDefault="0006670C" w:rsidP="0006670C">
      <w:pPr>
        <w:pStyle w:val="Sinespaciado"/>
        <w:jc w:val="both"/>
        <w:rPr>
          <w:rFonts w:ascii="Arial" w:hAnsi="Arial" w:cs="Arial"/>
          <w:color w:val="000000" w:themeColor="text1"/>
          <w:lang w:val="es-ES_tradnl"/>
        </w:rPr>
      </w:pPr>
    </w:p>
    <w:p w:rsidR="0006670C" w:rsidRDefault="0006670C" w:rsidP="0006670C">
      <w:pPr>
        <w:jc w:val="both"/>
        <w:rPr>
          <w:rFonts w:ascii="Arial" w:eastAsiaTheme="minorHAnsi" w:hAnsi="Arial" w:cs="Arial"/>
          <w:color w:val="000000" w:themeColor="text1"/>
          <w:sz w:val="22"/>
          <w:szCs w:val="22"/>
          <w:lang w:val="es-ES_tradnl" w:eastAsia="en-US"/>
        </w:rPr>
      </w:pPr>
      <w:r>
        <w:rPr>
          <w:rFonts w:ascii="Arial" w:eastAsiaTheme="minorHAnsi" w:hAnsi="Arial" w:cs="Arial"/>
          <w:color w:val="000000" w:themeColor="text1"/>
          <w:sz w:val="22"/>
          <w:szCs w:val="22"/>
          <w:lang w:val="es-ES_tradnl" w:eastAsia="en-US"/>
        </w:rPr>
        <w:t>Para el Sector Deporte, se han dirigido todos los recursos asignados para objetos de gastos relacionados a: pago de instructores contratados para la práctica del deporte y la recreación; fomento, desarrollo y práctica del deporte, la recreación y el aprovechamiento del tiempo libre; y construcción, mantenimiento y/o adecuación de los escenarios deportivos y recreativos.</w:t>
      </w:r>
    </w:p>
    <w:p w:rsidR="0006670C" w:rsidRDefault="0006670C" w:rsidP="0006670C">
      <w:pPr>
        <w:jc w:val="both"/>
        <w:rPr>
          <w:rFonts w:ascii="Arial" w:eastAsia="Times New Roman" w:hAnsi="Arial" w:cs="Arial"/>
          <w:sz w:val="22"/>
          <w:szCs w:val="22"/>
          <w:lang w:val="es-ES_tradnl" w:eastAsia="es-CO"/>
        </w:rPr>
      </w:pPr>
    </w:p>
    <w:p w:rsidR="0006670C" w:rsidRDefault="0006670C" w:rsidP="0006670C">
      <w:pPr>
        <w:pStyle w:val="Sinespaciado"/>
        <w:jc w:val="both"/>
        <w:rPr>
          <w:rFonts w:ascii="Arial" w:hAnsi="Arial" w:cs="Arial"/>
          <w:iCs/>
          <w:color w:val="000000" w:themeColor="text1"/>
          <w:lang w:val="es-ES_tradnl"/>
        </w:rPr>
      </w:pPr>
      <w:r>
        <w:rPr>
          <w:rFonts w:ascii="Arial" w:hAnsi="Arial" w:cs="Arial"/>
          <w:iCs/>
          <w:color w:val="000000" w:themeColor="text1"/>
          <w:lang w:val="es-ES_tradnl"/>
        </w:rPr>
        <w:t>Libre Inversión.</w:t>
      </w:r>
    </w:p>
    <w:p w:rsidR="0006670C" w:rsidRDefault="0006670C" w:rsidP="0006670C">
      <w:pPr>
        <w:pStyle w:val="Sinespaciado"/>
        <w:jc w:val="both"/>
        <w:rPr>
          <w:rFonts w:ascii="Arial" w:hAnsi="Arial" w:cs="Arial"/>
          <w:i/>
          <w:color w:val="000000" w:themeColor="text1"/>
          <w:lang w:val="es-ES_tradnl"/>
        </w:rPr>
      </w:pPr>
    </w:p>
    <w:p w:rsidR="0006670C" w:rsidRDefault="0006670C" w:rsidP="0006670C">
      <w:pPr>
        <w:pStyle w:val="Sinespaciado"/>
        <w:jc w:val="both"/>
        <w:rPr>
          <w:rFonts w:ascii="Arial" w:hAnsi="Arial" w:cs="Arial"/>
        </w:rPr>
      </w:pPr>
      <w:r>
        <w:rPr>
          <w:rFonts w:ascii="Arial" w:hAnsi="Arial" w:cs="Arial"/>
        </w:rPr>
        <w:t>En el gráfico 3</w:t>
      </w:r>
      <w:r>
        <w:rPr>
          <w:rStyle w:val="Refdenotaalpie"/>
          <w:rFonts w:ascii="Arial" w:hAnsi="Arial" w:cs="Arial"/>
        </w:rPr>
        <w:footnoteReference w:id="2"/>
      </w:r>
      <w:r>
        <w:rPr>
          <w:rFonts w:ascii="Arial" w:hAnsi="Arial" w:cs="Arial"/>
        </w:rPr>
        <w:t xml:space="preserve">, se muestra la tendencia de la inversión que ha tenido el Municipio </w:t>
      </w:r>
      <w:r>
        <w:rPr>
          <w:rFonts w:ascii="Arial" w:hAnsi="Arial" w:cs="Arial"/>
          <w:color w:val="000000" w:themeColor="text1"/>
          <w:lang w:val="es-ES_tradnl"/>
        </w:rPr>
        <w:t xml:space="preserve">de </w:t>
      </w:r>
      <w:r>
        <w:rPr>
          <w:rFonts w:ascii="Arial" w:hAnsi="Arial" w:cs="Arial"/>
        </w:rPr>
        <w:t xml:space="preserve">Puerto Escondido – Córdoba a lo largo de las vigencias 2018 - 2020. Llama la atención, que para el 2020 el único Sector de Inversión que creció fue Transporte, mientras que los demás presentaron </w:t>
      </w:r>
      <w:r>
        <w:rPr>
          <w:rFonts w:ascii="Arial" w:hAnsi="Arial" w:cs="Arial"/>
        </w:rPr>
        <w:lastRenderedPageBreak/>
        <w:t>decrecimiento, particularmente Atención a Grupos Vulnerables, Medio Ambiente, Prevención y Atención de Desastres y Justicia.</w:t>
      </w:r>
    </w:p>
    <w:p w:rsidR="0006670C" w:rsidRDefault="0006670C" w:rsidP="0006670C">
      <w:pPr>
        <w:pStyle w:val="Sinespaciado"/>
        <w:jc w:val="both"/>
        <w:rPr>
          <w:rFonts w:ascii="Arial" w:hAnsi="Arial" w:cs="Arial"/>
        </w:rPr>
      </w:pPr>
    </w:p>
    <w:p w:rsidR="0006670C" w:rsidRDefault="0006670C" w:rsidP="0006670C">
      <w:pPr>
        <w:pStyle w:val="Sinespaciado"/>
        <w:jc w:val="both"/>
      </w:pPr>
      <w:r>
        <w:rPr>
          <w:rFonts w:ascii="Arial" w:hAnsi="Arial" w:cs="Arial"/>
        </w:rPr>
        <w:t>Cabe mencionar que entre 2018 y 2019, el Municipio invertía los recursos de Libre Inversión en 11 sectores, mientras que para 2020 solo invirtió en 7; los sectores en los que para la vigencia 2020 no se invirtieron recursos son Medio Ambiente, Promoción al Desarrollo, Equipamiento Municipal y Desarrollo Comunitario. Lo anterior, refleja un cambio importante en los patrones de inversión del Municipio debido al cambio de gobierno local.</w:t>
      </w:r>
    </w:p>
    <w:p w:rsidR="0006670C" w:rsidRDefault="0006670C" w:rsidP="0006670C">
      <w:pPr>
        <w:pStyle w:val="Sinespaciado"/>
        <w:jc w:val="both"/>
        <w:rPr>
          <w:rFonts w:ascii="Arial" w:hAnsi="Arial" w:cs="Arial"/>
        </w:rPr>
      </w:pPr>
    </w:p>
    <w:p w:rsidR="0006670C" w:rsidRDefault="0006670C" w:rsidP="0006670C">
      <w:pPr>
        <w:jc w:val="center"/>
        <w:rPr>
          <w:rFonts w:ascii="Arial" w:hAnsi="Arial" w:cs="Arial"/>
          <w:b/>
          <w:sz w:val="18"/>
          <w:szCs w:val="18"/>
          <w:lang w:val="es-CO"/>
        </w:rPr>
      </w:pPr>
      <w:r>
        <w:rPr>
          <w:rFonts w:ascii="Arial" w:hAnsi="Arial" w:cs="Arial"/>
          <w:b/>
          <w:sz w:val="18"/>
          <w:szCs w:val="18"/>
          <w:lang w:val="es-CO"/>
        </w:rPr>
        <w:t>Gráfico N° 3.</w:t>
      </w:r>
    </w:p>
    <w:p w:rsidR="0006670C" w:rsidRDefault="0006670C" w:rsidP="0006670C">
      <w:pPr>
        <w:jc w:val="center"/>
        <w:rPr>
          <w:rFonts w:ascii="Arial" w:hAnsi="Arial" w:cs="Arial"/>
          <w:sz w:val="18"/>
          <w:szCs w:val="18"/>
          <w:lang w:val="es-CO"/>
        </w:rPr>
      </w:pPr>
      <w:r>
        <w:rPr>
          <w:rFonts w:ascii="Arial" w:hAnsi="Arial" w:cs="Arial"/>
          <w:sz w:val="18"/>
          <w:szCs w:val="18"/>
          <w:lang w:val="es-CO"/>
        </w:rPr>
        <w:t xml:space="preserve">Porcentaje de Participación por Sectores de la destinación de Libre Inversión - PG – Vigencias 2018 - 2020, </w:t>
      </w:r>
      <w:r>
        <w:rPr>
          <w:rFonts w:ascii="Arial" w:hAnsi="Arial" w:cs="Arial"/>
          <w:sz w:val="18"/>
          <w:szCs w:val="18"/>
        </w:rPr>
        <w:t>Municipio de Puerto Escondido – Córdoba.</w:t>
      </w:r>
    </w:p>
    <w:p w:rsidR="0006670C" w:rsidRDefault="0006670C" w:rsidP="0006670C">
      <w:pPr>
        <w:jc w:val="center"/>
        <w:rPr>
          <w:rFonts w:ascii="Arial" w:hAnsi="Arial" w:cs="Arial"/>
          <w:sz w:val="18"/>
          <w:szCs w:val="18"/>
          <w:lang w:val="es-CO"/>
        </w:rPr>
      </w:pPr>
      <w:r>
        <w:rPr>
          <w:rFonts w:ascii="Arial" w:hAnsi="Arial" w:cs="Arial"/>
          <w:sz w:val="18"/>
          <w:szCs w:val="18"/>
          <w:lang w:val="es-CO"/>
        </w:rPr>
        <w:t>-</w:t>
      </w:r>
      <w:r>
        <w:rPr>
          <w:rFonts w:ascii="Arial" w:hAnsi="Arial" w:cs="Arial"/>
          <w:i/>
          <w:sz w:val="18"/>
          <w:szCs w:val="18"/>
          <w:lang w:val="es-CO"/>
        </w:rPr>
        <w:t>Cifras en pesos</w:t>
      </w:r>
      <w:r>
        <w:rPr>
          <w:rFonts w:ascii="Arial" w:hAnsi="Arial" w:cs="Arial"/>
          <w:sz w:val="18"/>
          <w:szCs w:val="18"/>
          <w:lang w:val="es-CO"/>
        </w:rPr>
        <w:t>-</w:t>
      </w:r>
    </w:p>
    <w:p w:rsidR="0006670C" w:rsidRDefault="0006670C" w:rsidP="0006670C">
      <w:pPr>
        <w:pStyle w:val="Sinespaciado"/>
        <w:ind w:left="-284"/>
        <w:contextualSpacing/>
        <w:jc w:val="center"/>
        <w:rPr>
          <w:rFonts w:ascii="Arial" w:hAnsi="Arial" w:cs="Arial"/>
          <w:color w:val="000000" w:themeColor="text1"/>
          <w:sz w:val="18"/>
          <w:szCs w:val="18"/>
        </w:rPr>
      </w:pPr>
      <w:r>
        <w:rPr>
          <w:noProof/>
          <w:lang w:eastAsia="es-CO"/>
        </w:rPr>
        <w:drawing>
          <wp:inline distT="0" distB="0" distL="0" distR="0">
            <wp:extent cx="6181725" cy="2914650"/>
            <wp:effectExtent l="0" t="0" r="9525" b="0"/>
            <wp:docPr id="22" name="Gráfico 22">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670C" w:rsidRDefault="0006670C" w:rsidP="0006670C">
      <w:pPr>
        <w:pStyle w:val="Sinespaciado"/>
        <w:jc w:val="center"/>
        <w:rPr>
          <w:rFonts w:ascii="Arial" w:hAnsi="Arial" w:cs="Arial"/>
          <w:b/>
          <w:sz w:val="18"/>
          <w:szCs w:val="18"/>
          <w:lang w:val="es-ES_tradnl"/>
        </w:rPr>
      </w:pPr>
      <w:r>
        <w:rPr>
          <w:rFonts w:ascii="Arial" w:hAnsi="Arial" w:cs="Arial"/>
          <w:b/>
          <w:sz w:val="18"/>
          <w:szCs w:val="18"/>
          <w:lang w:val="es-ES_tradnl"/>
        </w:rPr>
        <w:t xml:space="preserve">Fuente: </w:t>
      </w:r>
      <w:r>
        <w:rPr>
          <w:rFonts w:ascii="Arial" w:hAnsi="Arial" w:cs="Arial"/>
          <w:sz w:val="18"/>
          <w:szCs w:val="18"/>
          <w:lang w:val="es-ES_tradnl"/>
        </w:rPr>
        <w:t>Elaboración propia con base en la información reportada al FUT.</w:t>
      </w:r>
    </w:p>
    <w:p w:rsidR="0006670C" w:rsidRDefault="0006670C" w:rsidP="0006670C">
      <w:pPr>
        <w:pStyle w:val="Sinespaciado"/>
        <w:jc w:val="both"/>
        <w:rPr>
          <w:rFonts w:ascii="Arial" w:hAnsi="Arial" w:cs="Arial"/>
        </w:rPr>
      </w:pPr>
    </w:p>
    <w:p w:rsidR="0006670C" w:rsidRDefault="0006670C" w:rsidP="0006670C">
      <w:pPr>
        <w:pStyle w:val="Sinespaciado"/>
        <w:jc w:val="both"/>
        <w:rPr>
          <w:rFonts w:ascii="Arial" w:hAnsi="Arial" w:cs="Arial"/>
          <w:color w:val="000000" w:themeColor="text1"/>
        </w:rPr>
      </w:pPr>
      <w:r>
        <w:rPr>
          <w:rFonts w:ascii="Arial" w:hAnsi="Arial" w:cs="Arial"/>
          <w:color w:val="000000" w:themeColor="text1"/>
        </w:rPr>
        <w:t>En un análisis más detallado, se identifican los objetos de gastos más recurrentes en aquellos sectores de inversión en los cuales el Municipio continúa invirtiendo sus recursos. Se encontró que para el Sector de Transporte los objetos de gasto están enfocados principalmente en el mejoramiento de la infraestructura vial; y estudios y pre-inversión en infraestructura. Además, es importante mencionar el crecimiento exponencial que ha tenido este sector en las últimas vigencias, representando para la vigencia 2020 el 88,4 % del total de la inversión financiada con recursos de Propósito General.</w:t>
      </w:r>
    </w:p>
    <w:p w:rsidR="0006670C" w:rsidRDefault="0006670C" w:rsidP="0006670C">
      <w:pPr>
        <w:pStyle w:val="Sinespaciado"/>
        <w:jc w:val="both"/>
        <w:rPr>
          <w:rFonts w:ascii="Arial" w:hAnsi="Arial" w:cs="Arial"/>
          <w:color w:val="000000" w:themeColor="text1"/>
        </w:rPr>
      </w:pPr>
    </w:p>
    <w:p w:rsidR="0006670C" w:rsidRDefault="0006670C" w:rsidP="0006670C">
      <w:pPr>
        <w:jc w:val="both"/>
      </w:pPr>
      <w:r>
        <w:rPr>
          <w:rFonts w:ascii="Arial" w:eastAsiaTheme="minorHAnsi" w:hAnsi="Arial" w:cs="Arial"/>
          <w:color w:val="000000" w:themeColor="text1"/>
          <w:sz w:val="22"/>
          <w:szCs w:val="22"/>
          <w:lang w:val="es-CO" w:eastAsia="en-US"/>
        </w:rPr>
        <w:t xml:space="preserve">En otros Sectores, como Fortalecimiento Institucional, los componentes de gasto recurrentes son: programas de capacitación y asistencias técnicas orientados al desarrollo eficiente de las competencias de Ley; y actualización del SISBEN, del cual se destaca que gracias a este tipo de inversión el Municipio ha podido recibir más recursos asociados al criterio de asignación por eficiencia administrativa. Para la vigencia 2020, se presenta un nuevo objeto del gasto: elaboración y actualización del Plan de Desarrollo. Para el Sector Agropecuario, se destacan dos componentes durante las tres vigencias: pago del personal técnico vinculado a la prestación del </w:t>
      </w:r>
      <w:r>
        <w:rPr>
          <w:rFonts w:ascii="Arial" w:eastAsiaTheme="minorHAnsi" w:hAnsi="Arial" w:cs="Arial"/>
          <w:color w:val="000000" w:themeColor="text1"/>
          <w:sz w:val="22"/>
          <w:szCs w:val="22"/>
          <w:lang w:val="es-CO" w:eastAsia="en-US"/>
        </w:rPr>
        <w:lastRenderedPageBreak/>
        <w:t>servicio de asistencia técnica directa rural; y desarrollo de programas y proyectos productivos en el marco del plan agropecuario.</w:t>
      </w:r>
    </w:p>
    <w:p w:rsidR="0006670C" w:rsidRDefault="0006670C" w:rsidP="0006670C">
      <w:pPr>
        <w:pStyle w:val="Sinespaciado"/>
        <w:jc w:val="both"/>
        <w:rPr>
          <w:rFonts w:ascii="Arial" w:hAnsi="Arial" w:cs="Arial"/>
          <w:color w:val="000000" w:themeColor="text1"/>
        </w:rPr>
      </w:pPr>
    </w:p>
    <w:p w:rsidR="0006670C" w:rsidRDefault="0006670C" w:rsidP="0006670C">
      <w:pPr>
        <w:pStyle w:val="Sinespaciado"/>
        <w:numPr>
          <w:ilvl w:val="1"/>
          <w:numId w:val="46"/>
        </w:numPr>
        <w:contextualSpacing/>
        <w:jc w:val="both"/>
        <w:rPr>
          <w:rFonts w:ascii="Arial" w:hAnsi="Arial" w:cs="Arial"/>
          <w:b/>
          <w:u w:val="single"/>
          <w:lang w:val="es-ES_tradnl"/>
        </w:rPr>
      </w:pPr>
      <w:r>
        <w:rPr>
          <w:rFonts w:ascii="Arial" w:hAnsi="Arial" w:cs="Arial"/>
          <w:b/>
          <w:u w:val="single"/>
          <w:lang w:val="es-ES_tradnl"/>
        </w:rPr>
        <w:t>Cierre Fiscal.</w:t>
      </w:r>
    </w:p>
    <w:p w:rsidR="0006670C" w:rsidRDefault="0006670C" w:rsidP="0006670C">
      <w:pPr>
        <w:pStyle w:val="Sinespaciado"/>
        <w:jc w:val="both"/>
        <w:rPr>
          <w:rFonts w:ascii="Arial" w:hAnsi="Arial" w:cs="Arial"/>
          <w:b/>
          <w:u w:val="single"/>
          <w:lang w:val="es-ES_tradnl"/>
        </w:rPr>
      </w:pPr>
    </w:p>
    <w:p w:rsidR="0006670C" w:rsidRDefault="0006670C" w:rsidP="0006670C">
      <w:pPr>
        <w:jc w:val="both"/>
        <w:rPr>
          <w:rFonts w:ascii="Arial" w:eastAsiaTheme="minorHAnsi" w:hAnsi="Arial" w:cs="Arial"/>
          <w:sz w:val="22"/>
          <w:szCs w:val="22"/>
          <w:lang w:val="es-CO" w:eastAsia="en-US"/>
        </w:rPr>
      </w:pPr>
      <w:r>
        <w:rPr>
          <w:rFonts w:ascii="Arial" w:eastAsiaTheme="minorHAnsi" w:hAnsi="Arial" w:cs="Arial"/>
          <w:sz w:val="22"/>
          <w:szCs w:val="22"/>
          <w:lang w:val="es-ES_tradnl" w:eastAsia="en-US"/>
        </w:rPr>
        <w:t xml:space="preserve">Teniendo en cuenta la información reportada al Formulario Único Territorial – FUT, esta Dirección realizó un calculó sobre la situación fiscal del Municipio de </w:t>
      </w:r>
      <w:r>
        <w:rPr>
          <w:rFonts w:ascii="Arial" w:hAnsi="Arial" w:cs="Arial"/>
          <w:sz w:val="22"/>
          <w:szCs w:val="22"/>
          <w:lang w:val="es-ES_tradnl"/>
        </w:rPr>
        <w:t>Puerto Escondido – Córdoba</w:t>
      </w:r>
      <w:r>
        <w:rPr>
          <w:rFonts w:ascii="Arial" w:eastAsiaTheme="minorHAnsi" w:hAnsi="Arial" w:cs="Arial"/>
          <w:sz w:val="22"/>
          <w:szCs w:val="22"/>
          <w:lang w:val="es-ES_tradnl" w:eastAsia="en-US"/>
        </w:rPr>
        <w:t xml:space="preserve"> para las vigencias 2018 a 2020. Lo anterior, como lo evidencia el Cuadro N° 5. </w:t>
      </w:r>
      <w:r>
        <w:rPr>
          <w:rFonts w:ascii="Arial" w:eastAsiaTheme="minorHAnsi" w:hAnsi="Arial" w:cs="Arial"/>
          <w:sz w:val="22"/>
          <w:szCs w:val="22"/>
          <w:lang w:val="es-CO" w:eastAsia="en-US"/>
        </w:rPr>
        <w:t>El ingreso total que logró recaudar el Municipio durante las vigencias analizadas fue de $19.137.366.958 y comprometió recursos (gastos) por valor de $</w:t>
      </w:r>
      <w:r>
        <w:rPr>
          <w:rFonts w:ascii="Arial" w:hAnsi="Arial" w:cs="Arial"/>
          <w:sz w:val="22"/>
          <w:szCs w:val="22"/>
        </w:rPr>
        <w:t>14.997.421.459</w:t>
      </w:r>
      <w:r>
        <w:rPr>
          <w:rFonts w:ascii="Arial" w:eastAsiaTheme="minorHAnsi" w:hAnsi="Arial" w:cs="Arial"/>
          <w:sz w:val="22"/>
          <w:szCs w:val="22"/>
          <w:lang w:val="es-CO" w:eastAsia="en-US"/>
        </w:rPr>
        <w:t>.</w:t>
      </w:r>
    </w:p>
    <w:p w:rsidR="0006670C" w:rsidRDefault="0006670C" w:rsidP="0006670C">
      <w:pPr>
        <w:jc w:val="both"/>
        <w:rPr>
          <w:rFonts w:ascii="Arial" w:eastAsiaTheme="minorEastAsia" w:hAnsi="Arial" w:cs="Arial"/>
          <w:sz w:val="22"/>
          <w:szCs w:val="22"/>
          <w:lang w:val="es-CO" w:eastAsia="en-US"/>
        </w:rPr>
      </w:pPr>
    </w:p>
    <w:p w:rsidR="0006670C" w:rsidRDefault="0006670C" w:rsidP="0006670C">
      <w:pPr>
        <w:jc w:val="center"/>
        <w:rPr>
          <w:rFonts w:ascii="Arial" w:hAnsi="Arial" w:cs="Arial"/>
          <w:b/>
          <w:sz w:val="18"/>
          <w:szCs w:val="18"/>
          <w:lang w:val="es-ES_tradnl"/>
        </w:rPr>
      </w:pPr>
      <w:r>
        <w:rPr>
          <w:rFonts w:ascii="Arial" w:hAnsi="Arial" w:cs="Arial"/>
          <w:b/>
          <w:sz w:val="18"/>
          <w:szCs w:val="18"/>
          <w:lang w:val="es-ES_tradnl"/>
        </w:rPr>
        <w:t>Cuadro N° 5.</w:t>
      </w:r>
    </w:p>
    <w:p w:rsidR="0006670C" w:rsidRDefault="0006670C" w:rsidP="0006670C">
      <w:pPr>
        <w:jc w:val="center"/>
        <w:rPr>
          <w:rFonts w:ascii="Arial" w:hAnsi="Arial" w:cs="Arial"/>
          <w:sz w:val="18"/>
          <w:szCs w:val="18"/>
          <w:lang w:val="es-ES_tradnl"/>
        </w:rPr>
      </w:pPr>
      <w:r>
        <w:rPr>
          <w:rFonts w:ascii="Arial" w:hAnsi="Arial" w:cs="Arial"/>
          <w:sz w:val="18"/>
          <w:szCs w:val="18"/>
          <w:lang w:val="es-ES_tradnl"/>
        </w:rPr>
        <w:t>Cierre Fiscal – PG, Municipio de Puerto Escondido – Córdoba. Vigencias 2018 - 2020.</w:t>
      </w:r>
    </w:p>
    <w:p w:rsidR="0006670C" w:rsidRDefault="0006670C" w:rsidP="0006670C">
      <w:pPr>
        <w:jc w:val="center"/>
        <w:rPr>
          <w:rFonts w:ascii="Arial" w:hAnsi="Arial" w:cs="Arial"/>
          <w:sz w:val="18"/>
          <w:szCs w:val="18"/>
          <w:lang w:val="es-ES_tradnl"/>
        </w:rPr>
      </w:pPr>
      <w:r>
        <w:rPr>
          <w:rFonts w:ascii="Arial" w:hAnsi="Arial" w:cs="Arial"/>
          <w:sz w:val="18"/>
          <w:szCs w:val="18"/>
          <w:lang w:val="es-ES_tradnl"/>
        </w:rPr>
        <w:t>-</w:t>
      </w:r>
      <w:r>
        <w:rPr>
          <w:rFonts w:ascii="Arial" w:hAnsi="Arial" w:cs="Arial"/>
          <w:i/>
          <w:sz w:val="18"/>
          <w:szCs w:val="18"/>
          <w:lang w:val="es-ES_tradnl"/>
        </w:rPr>
        <w:t>Cifras en pesos-</w:t>
      </w:r>
    </w:p>
    <w:tbl>
      <w:tblPr>
        <w:tblW w:w="7100" w:type="dxa"/>
        <w:jc w:val="center"/>
        <w:tblCellMar>
          <w:left w:w="70" w:type="dxa"/>
          <w:right w:w="70" w:type="dxa"/>
        </w:tblCellMar>
        <w:tblLook w:val="04A0" w:firstRow="1" w:lastRow="0" w:firstColumn="1" w:lastColumn="0" w:noHBand="0" w:noVBand="1"/>
      </w:tblPr>
      <w:tblGrid>
        <w:gridCol w:w="2260"/>
        <w:gridCol w:w="2000"/>
        <w:gridCol w:w="1420"/>
        <w:gridCol w:w="1420"/>
      </w:tblGrid>
      <w:tr w:rsidR="0006670C" w:rsidTr="0006670C">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CONCEPTO </w:t>
            </w:r>
          </w:p>
        </w:tc>
        <w:tc>
          <w:tcPr>
            <w:tcW w:w="2000"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2018</w:t>
            </w:r>
          </w:p>
        </w:tc>
        <w:tc>
          <w:tcPr>
            <w:tcW w:w="1420"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2019</w:t>
            </w:r>
          </w:p>
        </w:tc>
        <w:tc>
          <w:tcPr>
            <w:tcW w:w="1420"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2020</w:t>
            </w:r>
          </w:p>
        </w:tc>
      </w:tr>
      <w:tr w:rsidR="0006670C" w:rsidTr="0006670C">
        <w:trPr>
          <w:trHeight w:val="300"/>
          <w:jc w:val="center"/>
        </w:trPr>
        <w:tc>
          <w:tcPr>
            <w:tcW w:w="2260" w:type="dxa"/>
            <w:tcBorders>
              <w:top w:val="nil"/>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TotaI Ingresos</w:t>
            </w:r>
          </w:p>
        </w:tc>
        <w:tc>
          <w:tcPr>
            <w:tcW w:w="200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6.061.273.017</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4.571.675.603</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8.504.039.040</w:t>
            </w:r>
          </w:p>
        </w:tc>
      </w:tr>
      <w:tr w:rsidR="0006670C" w:rsidTr="0006670C">
        <w:trPr>
          <w:trHeight w:val="300"/>
          <w:jc w:val="center"/>
        </w:trPr>
        <w:tc>
          <w:tcPr>
            <w:tcW w:w="2260" w:type="dxa"/>
            <w:tcBorders>
              <w:top w:val="nil"/>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Total Recaudado</w:t>
            </w:r>
          </w:p>
        </w:tc>
        <w:tc>
          <w:tcPr>
            <w:tcW w:w="200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6.061.273.017</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4.572.054.902</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8.504.039.040</w:t>
            </w:r>
          </w:p>
        </w:tc>
      </w:tr>
      <w:tr w:rsidR="0006670C" w:rsidTr="0006670C">
        <w:trPr>
          <w:trHeight w:val="510"/>
          <w:jc w:val="center"/>
        </w:trPr>
        <w:tc>
          <w:tcPr>
            <w:tcW w:w="2260" w:type="dxa"/>
            <w:tcBorders>
              <w:top w:val="nil"/>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Documento</w:t>
            </w:r>
            <w:r>
              <w:rPr>
                <w:rFonts w:ascii="Arial" w:eastAsia="Times New Roman" w:hAnsi="Arial" w:cs="Arial"/>
                <w:b/>
                <w:bCs/>
                <w:color w:val="FFFFFF"/>
                <w:sz w:val="18"/>
                <w:szCs w:val="18"/>
                <w:lang w:val="es-CO" w:eastAsia="es-CO"/>
              </w:rPr>
              <w:br/>
              <w:t xml:space="preserve"> Distribución (A)</w:t>
            </w:r>
          </w:p>
        </w:tc>
        <w:tc>
          <w:tcPr>
            <w:tcW w:w="200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3.885.265.429</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4.570.990.986</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8.421.883.846</w:t>
            </w:r>
          </w:p>
        </w:tc>
      </w:tr>
      <w:tr w:rsidR="0006670C" w:rsidTr="0006670C">
        <w:trPr>
          <w:trHeight w:val="510"/>
          <w:jc w:val="center"/>
        </w:trPr>
        <w:tc>
          <w:tcPr>
            <w:tcW w:w="2260" w:type="dxa"/>
            <w:tcBorders>
              <w:top w:val="nil"/>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Ingresos Corrientes </w:t>
            </w:r>
            <w:r>
              <w:rPr>
                <w:rFonts w:ascii="Arial" w:eastAsia="Times New Roman" w:hAnsi="Arial" w:cs="Arial"/>
                <w:b/>
                <w:bCs/>
                <w:color w:val="FFFFFF"/>
                <w:sz w:val="18"/>
                <w:szCs w:val="18"/>
                <w:lang w:val="es-CO" w:eastAsia="es-CO"/>
              </w:rPr>
              <w:br/>
              <w:t>(B)</w:t>
            </w:r>
          </w:p>
        </w:tc>
        <w:tc>
          <w:tcPr>
            <w:tcW w:w="200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3.885.265.429</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4.570.990.986</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8.421.883.846</w:t>
            </w:r>
          </w:p>
        </w:tc>
      </w:tr>
      <w:tr w:rsidR="0006670C" w:rsidTr="0006670C">
        <w:trPr>
          <w:trHeight w:val="585"/>
          <w:jc w:val="center"/>
        </w:trPr>
        <w:tc>
          <w:tcPr>
            <w:tcW w:w="22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Recaudo Efectivo</w:t>
            </w:r>
            <w:r>
              <w:rPr>
                <w:rFonts w:ascii="Arial" w:eastAsia="Times New Roman" w:hAnsi="Arial" w:cs="Arial"/>
                <w:b/>
                <w:bCs/>
                <w:color w:val="000000"/>
                <w:sz w:val="18"/>
                <w:szCs w:val="18"/>
                <w:lang w:val="es-CO" w:eastAsia="es-CO"/>
              </w:rPr>
              <w:br/>
              <w:t>de Ingresos Corrientes</w:t>
            </w:r>
          </w:p>
        </w:tc>
        <w:tc>
          <w:tcPr>
            <w:tcW w:w="200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3.885.265.429</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4.570.990.986</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8.421.883.846</w:t>
            </w:r>
          </w:p>
        </w:tc>
      </w:tr>
      <w:tr w:rsidR="0006670C" w:rsidTr="0006670C">
        <w:trPr>
          <w:trHeight w:val="660"/>
          <w:jc w:val="center"/>
        </w:trPr>
        <w:tc>
          <w:tcPr>
            <w:tcW w:w="2260" w:type="dxa"/>
            <w:tcBorders>
              <w:top w:val="nil"/>
              <w:left w:val="single" w:sz="4" w:space="0" w:color="auto"/>
              <w:bottom w:val="single" w:sz="4" w:space="0" w:color="auto"/>
              <w:right w:val="single" w:sz="4" w:space="0" w:color="auto"/>
            </w:tcBorders>
            <w:shd w:val="clear" w:color="auto" w:fill="E5E5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Diferencia</w:t>
            </w:r>
            <w:r>
              <w:rPr>
                <w:rFonts w:ascii="Arial" w:eastAsia="Times New Roman" w:hAnsi="Arial" w:cs="Arial"/>
                <w:b/>
                <w:bCs/>
                <w:color w:val="000000"/>
                <w:sz w:val="18"/>
                <w:szCs w:val="18"/>
                <w:lang w:val="es-CO" w:eastAsia="es-CO"/>
              </w:rPr>
              <w:br/>
              <w:t>(C = B-A)</w:t>
            </w:r>
          </w:p>
        </w:tc>
        <w:tc>
          <w:tcPr>
            <w:tcW w:w="200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r>
      <w:tr w:rsidR="0006670C" w:rsidTr="0006670C">
        <w:trPr>
          <w:trHeight w:val="300"/>
          <w:jc w:val="center"/>
        </w:trPr>
        <w:tc>
          <w:tcPr>
            <w:tcW w:w="2260" w:type="dxa"/>
            <w:tcBorders>
              <w:top w:val="nil"/>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Recursos del Capital</w:t>
            </w:r>
          </w:p>
        </w:tc>
        <w:tc>
          <w:tcPr>
            <w:tcW w:w="200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2.176.007.588</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684.617</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82.155.194</w:t>
            </w:r>
          </w:p>
        </w:tc>
      </w:tr>
      <w:tr w:rsidR="0006670C" w:rsidTr="0006670C">
        <w:trPr>
          <w:trHeight w:val="630"/>
          <w:jc w:val="center"/>
        </w:trPr>
        <w:tc>
          <w:tcPr>
            <w:tcW w:w="22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Recaudo Efectivo</w:t>
            </w:r>
            <w:r>
              <w:rPr>
                <w:rFonts w:ascii="Arial" w:eastAsia="Times New Roman" w:hAnsi="Arial" w:cs="Arial"/>
                <w:b/>
                <w:bCs/>
                <w:color w:val="000000"/>
                <w:sz w:val="18"/>
                <w:szCs w:val="18"/>
                <w:lang w:val="es-CO" w:eastAsia="es-CO"/>
              </w:rPr>
              <w:br/>
              <w:t>de Ingresos de Capital.</w:t>
            </w:r>
          </w:p>
        </w:tc>
        <w:tc>
          <w:tcPr>
            <w:tcW w:w="200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2.176.007.588</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1.063.916</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82.155.194</w:t>
            </w:r>
          </w:p>
        </w:tc>
      </w:tr>
      <w:tr w:rsidR="0006670C" w:rsidTr="0006670C">
        <w:trPr>
          <w:trHeight w:val="645"/>
          <w:jc w:val="center"/>
        </w:trPr>
        <w:tc>
          <w:tcPr>
            <w:tcW w:w="2260" w:type="dxa"/>
            <w:tcBorders>
              <w:top w:val="nil"/>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Total Gastos Apropiados</w:t>
            </w:r>
          </w:p>
        </w:tc>
        <w:tc>
          <w:tcPr>
            <w:tcW w:w="200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3.581.738.290</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3.970.585.730</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7.719.434.908</w:t>
            </w:r>
          </w:p>
        </w:tc>
      </w:tr>
      <w:tr w:rsidR="0006670C" w:rsidTr="0006670C">
        <w:trPr>
          <w:trHeight w:val="300"/>
          <w:jc w:val="center"/>
        </w:trPr>
        <w:tc>
          <w:tcPr>
            <w:tcW w:w="22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Comprometido</w:t>
            </w:r>
          </w:p>
        </w:tc>
        <w:tc>
          <w:tcPr>
            <w:tcW w:w="200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3.529.937.224</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3.916.088.583</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7.551.395.652</w:t>
            </w:r>
          </w:p>
        </w:tc>
      </w:tr>
      <w:tr w:rsidR="0006670C" w:rsidTr="0006670C">
        <w:trPr>
          <w:trHeight w:val="300"/>
          <w:jc w:val="center"/>
        </w:trPr>
        <w:tc>
          <w:tcPr>
            <w:tcW w:w="22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Obligado </w:t>
            </w:r>
          </w:p>
        </w:tc>
        <w:tc>
          <w:tcPr>
            <w:tcW w:w="200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3.529.556.573</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3.906.821.183</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6.638.899.703</w:t>
            </w:r>
          </w:p>
        </w:tc>
      </w:tr>
      <w:tr w:rsidR="0006670C" w:rsidTr="0006670C">
        <w:trPr>
          <w:trHeight w:val="300"/>
          <w:jc w:val="center"/>
        </w:trPr>
        <w:tc>
          <w:tcPr>
            <w:tcW w:w="22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Pagado</w:t>
            </w:r>
          </w:p>
        </w:tc>
        <w:tc>
          <w:tcPr>
            <w:tcW w:w="200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3.342.091.494</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3.897.990.202</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6.576.504.932</w:t>
            </w:r>
          </w:p>
        </w:tc>
      </w:tr>
      <w:tr w:rsidR="0006670C" w:rsidTr="0006670C">
        <w:trPr>
          <w:trHeight w:val="660"/>
          <w:jc w:val="center"/>
        </w:trPr>
        <w:tc>
          <w:tcPr>
            <w:tcW w:w="2260" w:type="dxa"/>
            <w:tcBorders>
              <w:top w:val="nil"/>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Resultado Presupuestal </w:t>
            </w:r>
          </w:p>
        </w:tc>
        <w:tc>
          <w:tcPr>
            <w:tcW w:w="200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2.531.335.793</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655.966.319</w:t>
            </w:r>
          </w:p>
        </w:tc>
        <w:tc>
          <w:tcPr>
            <w:tcW w:w="142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952.643.387</w:t>
            </w:r>
          </w:p>
        </w:tc>
      </w:tr>
      <w:tr w:rsidR="0006670C" w:rsidTr="0006670C">
        <w:trPr>
          <w:trHeight w:val="549"/>
          <w:jc w:val="center"/>
        </w:trPr>
        <w:tc>
          <w:tcPr>
            <w:tcW w:w="22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Reservas Presupuestales</w:t>
            </w:r>
          </w:p>
        </w:tc>
        <w:tc>
          <w:tcPr>
            <w:tcW w:w="200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380.651</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9.267.400</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912.495.949</w:t>
            </w:r>
          </w:p>
        </w:tc>
      </w:tr>
      <w:tr w:rsidR="0006670C" w:rsidTr="0006670C">
        <w:trPr>
          <w:trHeight w:val="300"/>
          <w:jc w:val="center"/>
        </w:trPr>
        <w:tc>
          <w:tcPr>
            <w:tcW w:w="22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Cuentas por Pagar</w:t>
            </w:r>
          </w:p>
        </w:tc>
        <w:tc>
          <w:tcPr>
            <w:tcW w:w="200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187.465.079</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8.830.981</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62.394.771</w:t>
            </w:r>
          </w:p>
        </w:tc>
      </w:tr>
      <w:tr w:rsidR="0006670C" w:rsidTr="0006670C">
        <w:trPr>
          <w:trHeight w:val="535"/>
          <w:jc w:val="center"/>
        </w:trPr>
        <w:tc>
          <w:tcPr>
            <w:tcW w:w="22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Saldo Mínimo Disponible en Caja</w:t>
            </w:r>
          </w:p>
        </w:tc>
        <w:tc>
          <w:tcPr>
            <w:tcW w:w="200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2.719.181.523</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674.064.700</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1.927.534.107</w:t>
            </w:r>
          </w:p>
        </w:tc>
      </w:tr>
      <w:tr w:rsidR="0006670C" w:rsidTr="0006670C">
        <w:trPr>
          <w:trHeight w:val="300"/>
          <w:jc w:val="center"/>
        </w:trPr>
        <w:tc>
          <w:tcPr>
            <w:tcW w:w="22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Saldo en Bancos</w:t>
            </w:r>
          </w:p>
        </w:tc>
        <w:tc>
          <w:tcPr>
            <w:tcW w:w="200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121.292.049</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143.494.356</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2.324.563.857</w:t>
            </w:r>
          </w:p>
        </w:tc>
      </w:tr>
      <w:tr w:rsidR="0006670C" w:rsidTr="0006670C">
        <w:trPr>
          <w:trHeight w:val="300"/>
          <w:jc w:val="center"/>
        </w:trPr>
        <w:tc>
          <w:tcPr>
            <w:tcW w:w="22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lastRenderedPageBreak/>
              <w:t>Diferencias</w:t>
            </w:r>
          </w:p>
        </w:tc>
        <w:tc>
          <w:tcPr>
            <w:tcW w:w="200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-2.597.889.474</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-530.570.344</w:t>
            </w:r>
          </w:p>
        </w:tc>
        <w:tc>
          <w:tcPr>
            <w:tcW w:w="142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397.029.750</w:t>
            </w:r>
            <w:r>
              <w:rPr>
                <w:rStyle w:val="Refdenotaalpie"/>
                <w:rFonts w:ascii="Arial" w:eastAsia="Times New Roman" w:hAnsi="Arial" w:cs="Arial"/>
                <w:sz w:val="18"/>
                <w:szCs w:val="18"/>
                <w:lang w:val="es-CO" w:eastAsia="es-CO"/>
              </w:rPr>
              <w:footnoteReference w:id="3"/>
            </w:r>
          </w:p>
        </w:tc>
      </w:tr>
    </w:tbl>
    <w:p w:rsidR="0006670C" w:rsidRDefault="0006670C" w:rsidP="0006670C">
      <w:pPr>
        <w:jc w:val="center"/>
        <w:rPr>
          <w:rFonts w:ascii="Arial" w:eastAsia="Times New Roman" w:hAnsi="Arial" w:cs="Arial"/>
          <w:sz w:val="18"/>
          <w:szCs w:val="18"/>
          <w:lang w:val="es-ES_tradnl" w:eastAsia="es-CO"/>
        </w:rPr>
      </w:pPr>
      <w:r>
        <w:rPr>
          <w:rFonts w:ascii="Arial" w:eastAsia="Times New Roman" w:hAnsi="Arial" w:cs="Arial"/>
          <w:b/>
          <w:color w:val="171717"/>
          <w:sz w:val="18"/>
          <w:szCs w:val="18"/>
          <w:lang w:val="es-ES_tradnl" w:eastAsia="es-CO"/>
        </w:rPr>
        <w:t xml:space="preserve">Fuente: </w:t>
      </w:r>
      <w:r>
        <w:rPr>
          <w:rFonts w:ascii="Arial" w:eastAsia="Times New Roman" w:hAnsi="Arial" w:cs="Arial"/>
          <w:color w:val="171717"/>
          <w:sz w:val="18"/>
          <w:szCs w:val="18"/>
          <w:lang w:val="es-ES_tradnl" w:eastAsia="es-CO"/>
        </w:rPr>
        <w:t>Elaboración propia con base en la información reportada al FUT.</w:t>
      </w:r>
    </w:p>
    <w:p w:rsidR="0006670C" w:rsidRDefault="0006670C" w:rsidP="0006670C">
      <w:pPr>
        <w:jc w:val="both"/>
        <w:rPr>
          <w:rFonts w:ascii="Arial" w:eastAsiaTheme="minorHAnsi" w:hAnsi="Arial" w:cs="Arial"/>
          <w:sz w:val="22"/>
          <w:szCs w:val="22"/>
          <w:lang w:val="es-ES_tradnl" w:eastAsia="en-US"/>
        </w:rPr>
      </w:pPr>
    </w:p>
    <w:p w:rsidR="0006670C" w:rsidRDefault="0006670C" w:rsidP="0006670C">
      <w:pPr>
        <w:jc w:val="both"/>
        <w:rPr>
          <w:rFonts w:ascii="Arial" w:eastAsiaTheme="minorHAnsi" w:hAnsi="Arial" w:cs="Arial"/>
          <w:sz w:val="22"/>
          <w:szCs w:val="22"/>
          <w:lang w:val="es-ES_tradnl" w:eastAsia="en-US"/>
        </w:rPr>
      </w:pPr>
      <w:r>
        <w:rPr>
          <w:rFonts w:ascii="Arial" w:eastAsiaTheme="minorHAnsi" w:hAnsi="Arial" w:cs="Arial"/>
          <w:sz w:val="22"/>
          <w:szCs w:val="22"/>
          <w:lang w:val="es-ES_tradnl" w:eastAsia="en-US"/>
        </w:rPr>
        <w:t xml:space="preserve">El concepto </w:t>
      </w:r>
      <w:r>
        <w:rPr>
          <w:rFonts w:ascii="Arial" w:eastAsiaTheme="minorHAnsi" w:hAnsi="Arial" w:cs="Arial"/>
          <w:iCs/>
          <w:sz w:val="22"/>
          <w:szCs w:val="22"/>
          <w:lang w:val="es-ES_tradnl" w:eastAsia="en-US"/>
        </w:rPr>
        <w:t>Resultado Presupuestal</w:t>
      </w:r>
      <w:r>
        <w:rPr>
          <w:rFonts w:ascii="Arial" w:eastAsiaTheme="minorHAnsi" w:hAnsi="Arial" w:cs="Arial"/>
          <w:sz w:val="22"/>
          <w:szCs w:val="22"/>
          <w:lang w:val="es-ES_tradnl" w:eastAsia="en-US"/>
        </w:rPr>
        <w:t xml:space="preserve"> presentando en el cuadro anterior y basado en la información reportada en FUT, confirma que el Municipio tiene un superávit para las tres vigencias analizadas. Sin embargo, destaca que para las vigencias 2018 y 2019 el saldo que hay en bancos presenta una diferencia con el saldo mínimo disponible en caja.</w:t>
      </w:r>
    </w:p>
    <w:p w:rsidR="0006670C" w:rsidRDefault="0006670C" w:rsidP="0006670C">
      <w:pPr>
        <w:jc w:val="both"/>
        <w:rPr>
          <w:rFonts w:ascii="Arial" w:eastAsiaTheme="minorHAnsi" w:hAnsi="Arial" w:cs="Arial"/>
          <w:sz w:val="22"/>
          <w:szCs w:val="22"/>
          <w:lang w:val="es-ES_tradnl" w:eastAsia="en-US"/>
        </w:rPr>
      </w:pPr>
    </w:p>
    <w:p w:rsidR="0006670C" w:rsidRDefault="0006670C" w:rsidP="0006670C">
      <w:pPr>
        <w:jc w:val="both"/>
        <w:rPr>
          <w:rFonts w:ascii="Arial" w:eastAsiaTheme="minorHAnsi" w:hAnsi="Arial" w:cs="Arial"/>
          <w:sz w:val="22"/>
          <w:szCs w:val="22"/>
          <w:lang w:val="es-ES_tradnl" w:eastAsia="en-US"/>
        </w:rPr>
      </w:pPr>
      <w:r>
        <w:rPr>
          <w:rFonts w:ascii="Arial" w:eastAsiaTheme="minorHAnsi" w:hAnsi="Arial" w:cs="Arial"/>
          <w:sz w:val="22"/>
          <w:szCs w:val="22"/>
          <w:lang w:val="es-ES_tradnl" w:eastAsia="en-US"/>
        </w:rPr>
        <w:t>Es importante recordar, que el saldo disponible en caja es el saldo mínimo que debe tener el Municipio para cubrir las cuentas por pagar, las reservas presupuestales y el resultado presupuestal que inicialmente muestra el ejercicio. Dicho saldo se contrasta contra el saldo que reportan los bancos en las Cuentas Maestras, lo anterior, para verificar la consistencia en la información, pero como lo refleja el Cuadro N° 5 para la vigencia 2018 se evidencia una diferencia por valor de $2.597.889.474 y para la vigencia 2019 es de $530.570.334.</w:t>
      </w:r>
    </w:p>
    <w:p w:rsidR="0006670C" w:rsidRDefault="0006670C" w:rsidP="0006670C">
      <w:pPr>
        <w:jc w:val="both"/>
        <w:rPr>
          <w:rFonts w:ascii="Arial" w:eastAsiaTheme="minorHAnsi" w:hAnsi="Arial" w:cs="Arial"/>
          <w:sz w:val="22"/>
          <w:szCs w:val="22"/>
          <w:lang w:val="es-ES_tradnl" w:eastAsia="en-US"/>
        </w:rPr>
      </w:pPr>
    </w:p>
    <w:p w:rsidR="0006670C" w:rsidRDefault="0006670C" w:rsidP="0006670C">
      <w:pPr>
        <w:jc w:val="both"/>
        <w:rPr>
          <w:rFonts w:ascii="Arial" w:eastAsiaTheme="minorHAnsi" w:hAnsi="Arial" w:cs="Arial"/>
          <w:sz w:val="22"/>
          <w:szCs w:val="22"/>
          <w:lang w:val="es-ES_tradnl" w:eastAsia="en-US"/>
        </w:rPr>
      </w:pPr>
      <w:r>
        <w:rPr>
          <w:rFonts w:ascii="Arial" w:eastAsiaTheme="minorHAnsi" w:hAnsi="Arial" w:cs="Arial"/>
          <w:sz w:val="22"/>
          <w:szCs w:val="22"/>
          <w:lang w:val="es-ES_tradnl" w:eastAsia="en-US"/>
        </w:rPr>
        <w:t>Se debe considerar que las diferencias identificadas en 2018 y 2019 se presentan por dos factores, el primero por mala información reportada al FUT. El segundo factor, como bien lo indica el Informe de Monitoreo en Campo realizado por el Departamento Nacional de Planeación – DNP, por el traslado de los recursos de Propósito General a cuentas no autorizadas, lo que es contrario al marco legal. Siendo así, las diferencias identificadas se deben a que solo se tiene disponible la información de saldos en la Cuenta Maestra y la carencia de información sobre otras cuentas en las cuales el Municipio administró los recursos de Propósito General en el período analizado. La incorrecta administración de los recursos de Propósito General se ampliará a continuación.</w:t>
      </w:r>
    </w:p>
    <w:p w:rsidR="0006670C" w:rsidRDefault="0006670C" w:rsidP="0006670C">
      <w:pPr>
        <w:jc w:val="both"/>
        <w:rPr>
          <w:rFonts w:ascii="Arial" w:eastAsiaTheme="minorHAnsi" w:hAnsi="Arial" w:cs="Arial"/>
          <w:sz w:val="22"/>
          <w:szCs w:val="22"/>
          <w:lang w:val="es-ES_tradnl" w:eastAsia="en-US"/>
        </w:rPr>
      </w:pPr>
    </w:p>
    <w:p w:rsidR="0006670C" w:rsidRDefault="0006670C" w:rsidP="0006670C">
      <w:pPr>
        <w:pStyle w:val="Sinespaciado"/>
        <w:jc w:val="both"/>
        <w:rPr>
          <w:rFonts w:ascii="Arial" w:hAnsi="Arial" w:cs="Arial"/>
          <w:b/>
          <w:u w:val="single"/>
          <w:lang w:val="es-ES_tradnl"/>
        </w:rPr>
      </w:pPr>
      <w:r>
        <w:rPr>
          <w:rFonts w:ascii="Arial" w:hAnsi="Arial" w:cs="Arial"/>
          <w:b/>
          <w:u w:val="single"/>
          <w:lang w:val="es-ES_tradnl"/>
        </w:rPr>
        <w:t>3.4 Cuentas Maestras</w:t>
      </w:r>
      <w:r>
        <w:rPr>
          <w:rFonts w:ascii="Arial" w:hAnsi="Arial" w:cs="Arial"/>
          <w:b/>
          <w:lang w:val="es-ES_tradnl"/>
        </w:rPr>
        <w:t>.</w:t>
      </w:r>
    </w:p>
    <w:p w:rsidR="0006670C" w:rsidRDefault="0006670C" w:rsidP="0006670C">
      <w:pPr>
        <w:jc w:val="both"/>
        <w:rPr>
          <w:rFonts w:ascii="Arial" w:hAnsi="Arial" w:cs="Arial"/>
          <w:sz w:val="22"/>
          <w:szCs w:val="22"/>
        </w:rPr>
      </w:pPr>
    </w:p>
    <w:p w:rsidR="0006670C" w:rsidRDefault="0006670C" w:rsidP="0006670C">
      <w:pPr>
        <w:jc w:val="both"/>
        <w:rPr>
          <w:rFonts w:ascii="Arial" w:hAnsi="Arial" w:cs="Arial"/>
          <w:sz w:val="22"/>
          <w:szCs w:val="22"/>
        </w:rPr>
      </w:pPr>
      <w:r>
        <w:rPr>
          <w:rFonts w:ascii="Arial" w:hAnsi="Arial" w:cs="Arial"/>
          <w:sz w:val="22"/>
          <w:szCs w:val="22"/>
        </w:rPr>
        <w:t>Como se indicó anteriormente, el DNP en el informe de monitoreo de campo, destaca la situación de riesgo asociada a la administración de los recursos del SGP en cuentas no autorizadas para su manejo. Lo anterior, al confirmar que existen 4 cuentas bancarias de titularidad del Municipio y a las cuales se realizaban traslados desde la Cuenta Maestra de Propósito General. En ese orden, el DNP hizo recomendaciones a la Entidad Territorial para cuentas maestras, indicando que:</w:t>
      </w:r>
    </w:p>
    <w:p w:rsidR="0006670C" w:rsidRDefault="0006670C" w:rsidP="0006670C">
      <w:pPr>
        <w:jc w:val="both"/>
        <w:rPr>
          <w:rFonts w:ascii="Arial" w:hAnsi="Arial" w:cs="Arial"/>
          <w:sz w:val="22"/>
          <w:szCs w:val="22"/>
        </w:rPr>
      </w:pPr>
    </w:p>
    <w:p w:rsidR="0006670C" w:rsidRDefault="0006670C" w:rsidP="0006670C">
      <w:pPr>
        <w:ind w:left="1416"/>
        <w:contextualSpacing/>
        <w:jc w:val="both"/>
        <w:rPr>
          <w:rFonts w:ascii="Arial" w:hAnsi="Arial" w:cs="Arial"/>
          <w:sz w:val="18"/>
          <w:szCs w:val="18"/>
        </w:rPr>
      </w:pPr>
      <w:r>
        <w:rPr>
          <w:rFonts w:ascii="Arial" w:hAnsi="Arial" w:cs="Arial"/>
          <w:i/>
          <w:sz w:val="18"/>
          <w:szCs w:val="18"/>
        </w:rPr>
        <w:t>“[…] orientó a la administración respecto a los lineamientos de la Circular externa 019 de 2016 del Ministerio de Hacienda y Crédito Público y de la Resolución 4835 de 2015 del Ministerio de Hacienda y Crédito Público, y se les informa que deben cerrar las cuentas alternas e informar al Ministerio de Hacienda una vez se hayan cancelado</w:t>
      </w:r>
      <w:r>
        <w:rPr>
          <w:rFonts w:ascii="Arial" w:hAnsi="Arial" w:cs="Arial"/>
          <w:sz w:val="18"/>
          <w:szCs w:val="18"/>
        </w:rPr>
        <w:t>”.</w:t>
      </w:r>
    </w:p>
    <w:p w:rsidR="0006670C" w:rsidRDefault="0006670C" w:rsidP="0006670C">
      <w:pPr>
        <w:pStyle w:val="Sinespaciado"/>
        <w:jc w:val="both"/>
        <w:rPr>
          <w:rFonts w:ascii="Arial" w:eastAsia="MS Mincho" w:hAnsi="Arial" w:cs="Arial"/>
          <w:lang w:eastAsia="es-ES"/>
        </w:rPr>
      </w:pPr>
    </w:p>
    <w:p w:rsidR="0006670C" w:rsidRDefault="0006670C" w:rsidP="0006670C">
      <w:pPr>
        <w:pStyle w:val="Sinespaciado"/>
        <w:jc w:val="both"/>
        <w:rPr>
          <w:rFonts w:ascii="Arial" w:eastAsia="MS Mincho" w:hAnsi="Arial" w:cs="Arial"/>
          <w:lang w:eastAsia="es-ES"/>
        </w:rPr>
      </w:pPr>
      <w:r>
        <w:rPr>
          <w:rFonts w:ascii="Arial" w:eastAsia="MS Mincho" w:hAnsi="Arial" w:cs="Arial"/>
          <w:lang w:eastAsia="es-ES"/>
        </w:rPr>
        <w:t>Por lo anterior, esta Dirección analizó los reportes de información que realizan las entidades bancarias a través del Sistema PISIS del Ministerio de Salud y de Protección Social, evidenciando movimientos y operaciones de débito que se desconocen en el marco legal que regula la administración de las Cuentas Maestras de los recursos del Sistema General de Participaciones, como se observa en las situaciones que se describen a continuación:</w:t>
      </w:r>
    </w:p>
    <w:p w:rsidR="0006670C" w:rsidRDefault="0006670C" w:rsidP="0006670C">
      <w:pPr>
        <w:pStyle w:val="Sinespaciado"/>
        <w:jc w:val="both"/>
        <w:rPr>
          <w:rFonts w:ascii="Arial" w:eastAsia="MS Mincho" w:hAnsi="Arial" w:cs="Arial"/>
          <w:lang w:eastAsia="es-ES"/>
        </w:rPr>
      </w:pPr>
    </w:p>
    <w:p w:rsidR="0006670C" w:rsidRDefault="0006670C" w:rsidP="0006670C">
      <w:pPr>
        <w:pStyle w:val="Sinespaciado"/>
        <w:jc w:val="both"/>
        <w:rPr>
          <w:rFonts w:ascii="Arial" w:eastAsia="MS Mincho" w:hAnsi="Arial" w:cs="Arial"/>
          <w:lang w:eastAsia="es-ES"/>
        </w:rPr>
      </w:pPr>
      <w:r>
        <w:rPr>
          <w:rFonts w:ascii="Arial" w:hAnsi="Arial" w:cs="Arial"/>
          <w:b/>
          <w:lang w:val="es-ES_tradnl"/>
        </w:rPr>
        <w:t>Administración de los recursos en cuentas bancarias no autorizadas.</w:t>
      </w:r>
    </w:p>
    <w:p w:rsidR="0006670C" w:rsidRDefault="0006670C" w:rsidP="0006670C">
      <w:pPr>
        <w:pStyle w:val="Sinespaciado"/>
        <w:jc w:val="both"/>
        <w:rPr>
          <w:rFonts w:ascii="Arial" w:eastAsia="MS Mincho" w:hAnsi="Arial" w:cs="Arial"/>
          <w:lang w:eastAsia="es-ES"/>
        </w:rPr>
      </w:pPr>
    </w:p>
    <w:p w:rsidR="0006670C" w:rsidRDefault="0006670C" w:rsidP="0006670C">
      <w:pPr>
        <w:autoSpaceDE w:val="0"/>
        <w:autoSpaceDN w:val="0"/>
        <w:adjustRightInd w:val="0"/>
        <w:jc w:val="both"/>
        <w:rPr>
          <w:rFonts w:ascii="Arial" w:hAnsi="Arial" w:cs="Arial"/>
          <w:i/>
          <w:iCs/>
          <w:color w:val="000000"/>
          <w:sz w:val="22"/>
          <w:szCs w:val="22"/>
        </w:rPr>
      </w:pPr>
      <w:r>
        <w:rPr>
          <w:rFonts w:ascii="Arial" w:hAnsi="Arial" w:cs="Arial"/>
          <w:sz w:val="22"/>
          <w:szCs w:val="22"/>
        </w:rPr>
        <w:lastRenderedPageBreak/>
        <w:t>Es importante recordar que e</w:t>
      </w:r>
      <w:r>
        <w:rPr>
          <w:rFonts w:ascii="Arial" w:hAnsi="Arial" w:cs="Arial"/>
          <w:color w:val="000000"/>
          <w:sz w:val="22"/>
          <w:szCs w:val="22"/>
        </w:rPr>
        <w:t xml:space="preserve">n virtud de lo establecido por el artículo 140 de la Ley 1753 de 2015, que ordenó a las entidades territoriales que la administración de los recursos del Sistema General de Participaciones se efectúe a través de Cuentas Maestras reglamentadas por cada ministerio que realiza el giro de estos recursos, el Ministerio de Hacienda y Crédito Público, como el encargado de realizar los giros de los recursos de la Participación de Propósito General, las Asignaciones Especiales y la Asignación para la Atención Integral a la Primera Infancia, reglamentó dicho mecanismo mediante la Resolución 4835 de 2015; la cual en su artículo 3° señaló que </w:t>
      </w:r>
      <w:r>
        <w:rPr>
          <w:rFonts w:ascii="Arial" w:hAnsi="Arial" w:cs="Arial"/>
          <w:i/>
          <w:iCs/>
          <w:color w:val="000000"/>
          <w:sz w:val="22"/>
          <w:szCs w:val="22"/>
        </w:rPr>
        <w:t xml:space="preserve">“La entidad territorial según sea el caso, deberá aperturar </w:t>
      </w:r>
      <w:r>
        <w:rPr>
          <w:rFonts w:ascii="Arial" w:hAnsi="Arial" w:cs="Arial"/>
          <w:b/>
          <w:bCs/>
          <w:i/>
          <w:iCs/>
          <w:color w:val="000000"/>
          <w:sz w:val="22"/>
          <w:szCs w:val="22"/>
        </w:rPr>
        <w:t xml:space="preserve">una </w:t>
      </w:r>
      <w:r>
        <w:rPr>
          <w:rFonts w:ascii="Arial" w:hAnsi="Arial" w:cs="Arial"/>
          <w:i/>
          <w:iCs/>
          <w:color w:val="000000"/>
          <w:sz w:val="22"/>
          <w:szCs w:val="22"/>
        </w:rPr>
        <w:t xml:space="preserve">Cuenta Maestra para la administración de los recursos del Sistema General de Participaciones, así: </w:t>
      </w:r>
      <w:r>
        <w:rPr>
          <w:rFonts w:ascii="Arial" w:hAnsi="Arial" w:cs="Arial"/>
          <w:b/>
          <w:bCs/>
          <w:i/>
          <w:iCs/>
          <w:color w:val="000000"/>
          <w:sz w:val="22"/>
          <w:szCs w:val="22"/>
        </w:rPr>
        <w:t>1. Una cuenta maestra para la Participación de Propósito General […]</w:t>
      </w:r>
      <w:r>
        <w:rPr>
          <w:rFonts w:ascii="Arial" w:hAnsi="Arial" w:cs="Arial"/>
          <w:i/>
          <w:iCs/>
          <w:color w:val="000000"/>
          <w:sz w:val="22"/>
          <w:szCs w:val="22"/>
        </w:rPr>
        <w:t xml:space="preserve">” </w:t>
      </w:r>
      <w:r>
        <w:rPr>
          <w:rFonts w:ascii="Arial" w:hAnsi="Arial" w:cs="Arial"/>
          <w:color w:val="000000"/>
          <w:sz w:val="22"/>
          <w:szCs w:val="22"/>
        </w:rPr>
        <w:t xml:space="preserve">(negrita fuera del texto) y que adicionalmente en el parágrafo del artículo 12 de la mencionada Resolución indicó que </w:t>
      </w:r>
      <w:r>
        <w:rPr>
          <w:rFonts w:ascii="Arial" w:hAnsi="Arial" w:cs="Arial"/>
          <w:i/>
          <w:iCs/>
          <w:color w:val="000000"/>
          <w:sz w:val="22"/>
          <w:szCs w:val="22"/>
        </w:rPr>
        <w:t>“Las entidades territoriales en ningún caso podrán tener registrada más de una Cuenta Maestra para la administración de los recursos de cada una de las participaciones y asignaciones del Sistema General de Participaciones […]”.</w:t>
      </w:r>
    </w:p>
    <w:p w:rsidR="0006670C" w:rsidRDefault="0006670C" w:rsidP="0006670C">
      <w:pPr>
        <w:autoSpaceDE w:val="0"/>
        <w:autoSpaceDN w:val="0"/>
        <w:adjustRightInd w:val="0"/>
        <w:jc w:val="both"/>
        <w:rPr>
          <w:rFonts w:ascii="Arial" w:hAnsi="Arial" w:cs="Arial"/>
          <w:i/>
          <w:iCs/>
          <w:color w:val="000000"/>
          <w:sz w:val="22"/>
          <w:szCs w:val="22"/>
        </w:rPr>
      </w:pPr>
    </w:p>
    <w:p w:rsidR="0006670C" w:rsidRDefault="0006670C" w:rsidP="0006670C">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Aunado a esto, la Resolución 4835 de 2015 en concordancia con el artículo 140 de la Ley 1753 del mismo año, indicó en su artículo 8° que </w:t>
      </w:r>
      <w:r>
        <w:rPr>
          <w:rFonts w:ascii="Arial" w:hAnsi="Arial" w:cs="Arial"/>
          <w:i/>
          <w:iCs/>
          <w:color w:val="000000"/>
          <w:sz w:val="22"/>
          <w:szCs w:val="22"/>
        </w:rPr>
        <w:t xml:space="preserve">“Serán beneficiarias de las Cuentas Maestras aquellas </w:t>
      </w:r>
      <w:r>
        <w:rPr>
          <w:rFonts w:ascii="Arial" w:hAnsi="Arial" w:cs="Arial"/>
          <w:b/>
          <w:bCs/>
          <w:i/>
          <w:iCs/>
          <w:color w:val="000000"/>
          <w:sz w:val="22"/>
          <w:szCs w:val="22"/>
        </w:rPr>
        <w:t xml:space="preserve">personas naturales o jurídicas de derecho público o privado que presten o suministren bienes y/o servicios </w:t>
      </w:r>
      <w:r>
        <w:rPr>
          <w:rFonts w:ascii="Arial" w:hAnsi="Arial" w:cs="Arial"/>
          <w:i/>
          <w:iCs/>
          <w:color w:val="000000"/>
          <w:sz w:val="22"/>
          <w:szCs w:val="22"/>
        </w:rPr>
        <w:t xml:space="preserve">en atención a lo dispuesto en las Leyes 715 de 2001 y 1176 de 2007” </w:t>
      </w:r>
      <w:r>
        <w:rPr>
          <w:rFonts w:ascii="Arial" w:hAnsi="Arial" w:cs="Arial"/>
          <w:color w:val="000000"/>
          <w:sz w:val="22"/>
          <w:szCs w:val="22"/>
        </w:rPr>
        <w:t>(negrita fuera del texto) a quienes solo se les podrá realizar transacciones de pago por vía electrónica previa inscripción en la Cuenta Maestra.</w:t>
      </w:r>
    </w:p>
    <w:p w:rsidR="0006670C" w:rsidRDefault="0006670C" w:rsidP="0006670C">
      <w:pPr>
        <w:pStyle w:val="Sinespaciado"/>
        <w:jc w:val="both"/>
        <w:rPr>
          <w:rFonts w:ascii="Arial" w:eastAsia="MS Mincho" w:hAnsi="Arial" w:cs="Arial"/>
          <w:lang w:eastAsia="es-ES"/>
        </w:rPr>
      </w:pPr>
    </w:p>
    <w:p w:rsidR="0006670C" w:rsidRDefault="0006670C" w:rsidP="0006670C">
      <w:pPr>
        <w:pStyle w:val="Sinespaciado"/>
        <w:jc w:val="both"/>
        <w:rPr>
          <w:rFonts w:ascii="Arial" w:eastAsia="MS Mincho" w:hAnsi="Arial" w:cs="Arial"/>
          <w:lang w:eastAsia="es-ES"/>
        </w:rPr>
      </w:pPr>
      <w:r>
        <w:rPr>
          <w:rFonts w:ascii="Arial" w:eastAsia="MS Mincho" w:hAnsi="Arial" w:cs="Arial"/>
          <w:lang w:eastAsia="es-ES"/>
        </w:rPr>
        <w:t xml:space="preserve">En ese orden, se solicitó la información sobre movimientos de la cuenta maestra de Propósito General del Municipio de Puerto Escondido – Córdoba al Grupo de Cuentas Maestras de esta Dirección y en su análisis, que comprende el periodo de enero de 2020 a enero 2021, informan que: </w:t>
      </w:r>
    </w:p>
    <w:p w:rsidR="0006670C" w:rsidRDefault="0006670C" w:rsidP="0006670C">
      <w:pPr>
        <w:pStyle w:val="NormalWeb"/>
        <w:ind w:left="1416"/>
        <w:contextualSpacing/>
        <w:jc w:val="both"/>
        <w:rPr>
          <w:rFonts w:ascii="Arial" w:eastAsia="MS Mincho" w:hAnsi="Arial" w:cs="Arial"/>
          <w:i/>
          <w:sz w:val="18"/>
          <w:szCs w:val="18"/>
        </w:rPr>
      </w:pPr>
      <w:r>
        <w:rPr>
          <w:rFonts w:ascii="Arial" w:eastAsia="MS Mincho" w:hAnsi="Arial" w:cs="Arial"/>
          <w:i/>
          <w:sz w:val="18"/>
          <w:szCs w:val="18"/>
        </w:rPr>
        <w:t>“[…] se evidencia que los egresos únicamente se están administrando a través del concepto 313 “</w:t>
      </w:r>
      <w:r>
        <w:rPr>
          <w:rFonts w:ascii="Arial" w:eastAsia="MS Mincho" w:hAnsi="Arial" w:cs="Arial"/>
          <w:i/>
          <w:iCs/>
          <w:sz w:val="18"/>
          <w:szCs w:val="18"/>
        </w:rPr>
        <w:t xml:space="preserve">Libre Destinación”, </w:t>
      </w:r>
      <w:r>
        <w:rPr>
          <w:rFonts w:ascii="Arial" w:eastAsia="MS Mincho" w:hAnsi="Arial" w:cs="Arial"/>
          <w:i/>
          <w:sz w:val="18"/>
          <w:szCs w:val="18"/>
        </w:rPr>
        <w:t>situación que fue advertida en la información enviada el 9 de julio de 2020, y que evidencia un uso inadecuado del producto Cuenta Maestra dado que no se tipifican los conceptos autorizados por la Ley 715 de 2001 incluido dentro del anexo técnico de la Resolución No. 4835 de 2015.”</w:t>
      </w:r>
    </w:p>
    <w:p w:rsidR="0006670C" w:rsidRDefault="0006670C" w:rsidP="0006670C">
      <w:pPr>
        <w:pStyle w:val="NormalWeb"/>
        <w:ind w:left="1416"/>
        <w:contextualSpacing/>
        <w:jc w:val="both"/>
        <w:rPr>
          <w:rFonts w:ascii="Arial" w:eastAsia="MS Mincho" w:hAnsi="Arial" w:cs="Arial"/>
          <w:i/>
          <w:sz w:val="18"/>
          <w:szCs w:val="18"/>
          <w:lang w:val="es-CO"/>
        </w:rPr>
      </w:pPr>
    </w:p>
    <w:p w:rsidR="0006670C" w:rsidRDefault="0006670C" w:rsidP="0006670C">
      <w:pPr>
        <w:pStyle w:val="NormalWeb"/>
        <w:ind w:left="1416"/>
        <w:contextualSpacing/>
        <w:jc w:val="both"/>
        <w:rPr>
          <w:rFonts w:ascii="Arial" w:eastAsia="MS Mincho" w:hAnsi="Arial" w:cs="Arial"/>
          <w:i/>
          <w:sz w:val="22"/>
          <w:szCs w:val="22"/>
          <w:lang w:val="es-CO"/>
        </w:rPr>
      </w:pPr>
      <w:r>
        <w:rPr>
          <w:rFonts w:ascii="Arial" w:eastAsia="MS Mincho" w:hAnsi="Arial" w:cs="Arial"/>
          <w:i/>
          <w:sz w:val="18"/>
          <w:szCs w:val="18"/>
          <w:lang w:val="es-CO"/>
        </w:rPr>
        <w:t>“[…] Respecto a los egresos se evidencian traslados a nueve (9) cuentas diferentes a nombre del Municipio de Puerto Escondido por un valor de $1.200.455.719, de los cuales vale la pena revisar si se trata de traslados por conceptos de impuestos Municipales y/o traslados para pago de impuestos Nacionales, frente a estos últimos, estos deberían realizarse a través de la Cuenta Maestra Pagadora en el literal e del Artículo 7 de la Resolución 0660 de 2018. Así mismo se evidencian traslados al “</w:t>
      </w:r>
      <w:r>
        <w:rPr>
          <w:rFonts w:ascii="Arial" w:eastAsia="MS Mincho" w:hAnsi="Arial" w:cs="Arial"/>
          <w:i/>
          <w:iCs/>
          <w:sz w:val="18"/>
          <w:szCs w:val="18"/>
          <w:lang w:val="es-CO"/>
        </w:rPr>
        <w:t>Banco Agrario de Colombia S A</w:t>
      </w:r>
      <w:r>
        <w:rPr>
          <w:rFonts w:ascii="Arial" w:eastAsia="MS Mincho" w:hAnsi="Arial" w:cs="Arial"/>
          <w:i/>
          <w:sz w:val="18"/>
          <w:szCs w:val="18"/>
          <w:lang w:val="es-CO"/>
        </w:rPr>
        <w:t>” de los cuales no se encuentra explicación ya que en caso de existir un crédito con cargo a los recursos del SGP, estos pagos solo pueden darse por medio de la Cuenta de Manejo de Garantías. Del mismo modo se perciben egresos a “</w:t>
      </w:r>
      <w:r>
        <w:rPr>
          <w:rFonts w:ascii="Arial" w:eastAsia="MS Mincho" w:hAnsi="Arial" w:cs="Arial"/>
          <w:i/>
          <w:iCs/>
          <w:sz w:val="18"/>
          <w:szCs w:val="18"/>
          <w:lang w:val="es-CO"/>
        </w:rPr>
        <w:t>PATRIMONIOS AUTONOMOS FIDUCIARIA BANCOLOMBIA S A SOCIEDAD FIDUCIARIA</w:t>
      </w:r>
      <w:r>
        <w:rPr>
          <w:rFonts w:ascii="Arial" w:eastAsia="MS Mincho" w:hAnsi="Arial" w:cs="Arial"/>
          <w:i/>
          <w:sz w:val="18"/>
          <w:szCs w:val="18"/>
          <w:lang w:val="es-CO"/>
        </w:rPr>
        <w:t>”, “</w:t>
      </w:r>
      <w:r>
        <w:rPr>
          <w:rFonts w:ascii="Arial" w:eastAsia="MS Mincho" w:hAnsi="Arial" w:cs="Arial"/>
          <w:i/>
          <w:iCs/>
          <w:sz w:val="18"/>
          <w:szCs w:val="18"/>
          <w:lang w:val="es-CO"/>
        </w:rPr>
        <w:t>FIDEICOMISOS SOCIEDAD FIDUCIARIA DE OCCIDENTE SA</w:t>
      </w:r>
      <w:r>
        <w:rPr>
          <w:rFonts w:ascii="Arial" w:eastAsia="MS Mincho" w:hAnsi="Arial" w:cs="Arial"/>
          <w:i/>
          <w:sz w:val="18"/>
          <w:szCs w:val="18"/>
          <w:lang w:val="es-CO"/>
        </w:rPr>
        <w:t>” y “</w:t>
      </w:r>
      <w:r>
        <w:rPr>
          <w:rFonts w:ascii="Arial" w:eastAsia="MS Mincho" w:hAnsi="Arial" w:cs="Arial"/>
          <w:i/>
          <w:iCs/>
          <w:sz w:val="18"/>
          <w:szCs w:val="18"/>
          <w:lang w:val="es-CO"/>
        </w:rPr>
        <w:t>LA PREVISORA S A COMPANIA DE SEGUROS</w:t>
      </w:r>
      <w:r>
        <w:rPr>
          <w:rFonts w:ascii="Arial" w:eastAsia="MS Mincho" w:hAnsi="Arial" w:cs="Arial"/>
          <w:i/>
          <w:sz w:val="18"/>
          <w:szCs w:val="18"/>
          <w:lang w:val="es-CO"/>
        </w:rPr>
        <w:t>” de los cuales no se determina la naturaleza de este tipo de movimiento. En el caso del FIDEICOMISO, este podría tratarse de anticipos permitidos, sin embargo, es imposible identificar si se trata de esto. Igualmente, es de destacar que se distinguen egresos a la Personería Municipal de Puerto Escondido y al Concejo Municipal de Puerto Escondido. Cabe señalar que se evidencia pagos por “</w:t>
      </w:r>
      <w:r>
        <w:rPr>
          <w:rFonts w:ascii="Arial" w:eastAsia="MS Mincho" w:hAnsi="Arial" w:cs="Arial"/>
          <w:i/>
          <w:iCs/>
          <w:sz w:val="18"/>
          <w:szCs w:val="18"/>
          <w:lang w:val="es-CO"/>
        </w:rPr>
        <w:t>EMPRESTITO MUN DE PUERTO ESCON</w:t>
      </w:r>
      <w:r>
        <w:rPr>
          <w:rFonts w:ascii="Arial" w:eastAsia="MS Mincho" w:hAnsi="Arial" w:cs="Arial"/>
          <w:i/>
          <w:sz w:val="18"/>
          <w:szCs w:val="18"/>
          <w:lang w:val="es-CO"/>
        </w:rPr>
        <w:t>” a diferentes cuentas, situación anómala debido a que este debe manejarse por una única Cuenta de Manejo de Garantías. De los movimientos mencionados anteriormente, es preciso solicitar que se revisen detalladamente y determinar la naturaleza de los mismos</w:t>
      </w:r>
      <w:r>
        <w:rPr>
          <w:rFonts w:ascii="Arial" w:eastAsia="MS Mincho" w:hAnsi="Arial" w:cs="Arial"/>
          <w:i/>
          <w:sz w:val="18"/>
          <w:szCs w:val="18"/>
        </w:rPr>
        <w:t>”.</w:t>
      </w:r>
    </w:p>
    <w:p w:rsidR="0006670C" w:rsidRDefault="0006670C" w:rsidP="0006670C">
      <w:pPr>
        <w:pStyle w:val="Sinespaciado"/>
        <w:jc w:val="both"/>
        <w:rPr>
          <w:rFonts w:ascii="Arial" w:eastAsia="MS Mincho" w:hAnsi="Arial" w:cs="Arial"/>
          <w:lang w:eastAsia="es-ES"/>
        </w:rPr>
      </w:pPr>
    </w:p>
    <w:p w:rsidR="0006670C" w:rsidRDefault="0006670C" w:rsidP="0006670C">
      <w:pPr>
        <w:pStyle w:val="Sinespaciado"/>
        <w:jc w:val="both"/>
        <w:rPr>
          <w:rFonts w:ascii="Arial" w:eastAsia="MS Mincho" w:hAnsi="Arial" w:cs="Arial"/>
          <w:lang w:eastAsia="es-ES"/>
        </w:rPr>
      </w:pPr>
      <w:r>
        <w:rPr>
          <w:rFonts w:ascii="Arial" w:eastAsia="MS Mincho" w:hAnsi="Arial" w:cs="Arial"/>
          <w:lang w:eastAsia="es-ES"/>
        </w:rPr>
        <w:lastRenderedPageBreak/>
        <w:t>Así las cosas, una vez analizada la información de la Cuenta Maestra de Propósito General del Municipio de Puerto Escondido – Córdoba, se confirmó la situación de riesgo evidenciada por el informe del DNP. Ver el cuadro siguiente:</w:t>
      </w:r>
    </w:p>
    <w:p w:rsidR="0006670C" w:rsidRDefault="0006670C" w:rsidP="0006670C">
      <w:pPr>
        <w:pStyle w:val="Sinespaciado"/>
        <w:jc w:val="both"/>
        <w:rPr>
          <w:rFonts w:ascii="Arial" w:eastAsia="MS Mincho" w:hAnsi="Arial" w:cs="Arial"/>
          <w:lang w:eastAsia="es-ES"/>
        </w:rPr>
      </w:pPr>
    </w:p>
    <w:p w:rsidR="0006670C" w:rsidRDefault="0006670C" w:rsidP="0006670C">
      <w:pPr>
        <w:pStyle w:val="Sinespaciado"/>
        <w:jc w:val="center"/>
        <w:rPr>
          <w:rFonts w:ascii="Arial" w:eastAsia="MS Mincho" w:hAnsi="Arial" w:cs="Arial"/>
          <w:b/>
          <w:sz w:val="18"/>
          <w:szCs w:val="18"/>
          <w:lang w:eastAsia="es-ES"/>
        </w:rPr>
      </w:pPr>
      <w:r>
        <w:rPr>
          <w:rFonts w:ascii="Arial" w:eastAsia="MS Mincho" w:hAnsi="Arial" w:cs="Arial"/>
          <w:b/>
          <w:sz w:val="18"/>
          <w:szCs w:val="18"/>
          <w:lang w:eastAsia="es-ES"/>
        </w:rPr>
        <w:t>Cuadro N° 6.</w:t>
      </w:r>
    </w:p>
    <w:p w:rsidR="0006670C" w:rsidRDefault="0006670C" w:rsidP="0006670C">
      <w:pPr>
        <w:pStyle w:val="Sinespaciado"/>
        <w:jc w:val="center"/>
        <w:rPr>
          <w:rFonts w:ascii="Arial" w:eastAsia="MS Mincho" w:hAnsi="Arial" w:cs="Arial"/>
          <w:sz w:val="18"/>
          <w:szCs w:val="18"/>
          <w:lang w:eastAsia="es-ES"/>
        </w:rPr>
      </w:pPr>
      <w:r>
        <w:rPr>
          <w:rFonts w:ascii="Arial" w:eastAsia="MS Mincho" w:hAnsi="Arial" w:cs="Arial"/>
          <w:sz w:val="18"/>
          <w:szCs w:val="18"/>
          <w:lang w:eastAsia="es-ES"/>
        </w:rPr>
        <w:t>Cuentas beneficiarias inscritas en la Cuenta Maestra del Municipio de Puerto Escondido – Córdoba.</w:t>
      </w:r>
    </w:p>
    <w:tbl>
      <w:tblPr>
        <w:tblW w:w="10453" w:type="dxa"/>
        <w:tblInd w:w="-856" w:type="dxa"/>
        <w:tblCellMar>
          <w:left w:w="70" w:type="dxa"/>
          <w:right w:w="70" w:type="dxa"/>
        </w:tblCellMar>
        <w:tblLook w:val="04A0" w:firstRow="1" w:lastRow="0" w:firstColumn="1" w:lastColumn="0" w:noHBand="0" w:noVBand="1"/>
      </w:tblPr>
      <w:tblGrid>
        <w:gridCol w:w="2411"/>
        <w:gridCol w:w="1360"/>
        <w:gridCol w:w="1479"/>
        <w:gridCol w:w="2264"/>
        <w:gridCol w:w="1459"/>
        <w:gridCol w:w="1480"/>
      </w:tblGrid>
      <w:tr w:rsidR="0006670C" w:rsidTr="0006670C">
        <w:trPr>
          <w:trHeight w:val="765"/>
        </w:trPr>
        <w:tc>
          <w:tcPr>
            <w:tcW w:w="2411"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Nombre o Razón Social  Beneficiario Registrado</w:t>
            </w:r>
          </w:p>
        </w:tc>
        <w:tc>
          <w:tcPr>
            <w:tcW w:w="1360"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Nit</w:t>
            </w:r>
          </w:p>
        </w:tc>
        <w:tc>
          <w:tcPr>
            <w:tcW w:w="1479"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N° de Cuenta</w:t>
            </w:r>
          </w:p>
        </w:tc>
        <w:tc>
          <w:tcPr>
            <w:tcW w:w="2264"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Período</w:t>
            </w:r>
          </w:p>
        </w:tc>
        <w:tc>
          <w:tcPr>
            <w:tcW w:w="1459"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Número de Operaciones Débito</w:t>
            </w:r>
          </w:p>
        </w:tc>
        <w:tc>
          <w:tcPr>
            <w:tcW w:w="1480"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Valor</w:t>
            </w:r>
          </w:p>
        </w:tc>
      </w:tr>
      <w:tr w:rsidR="0006670C" w:rsidTr="0006670C">
        <w:trPr>
          <w:trHeight w:val="300"/>
        </w:trPr>
        <w:tc>
          <w:tcPr>
            <w:tcW w:w="2411"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MUNICIPIO DE PUERTO ESCONDIDO</w:t>
            </w:r>
          </w:p>
        </w:tc>
        <w:tc>
          <w:tcPr>
            <w:tcW w:w="136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800096770-7</w:t>
            </w:r>
          </w:p>
        </w:tc>
        <w:tc>
          <w:tcPr>
            <w:tcW w:w="147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67786072902</w:t>
            </w:r>
          </w:p>
        </w:tc>
        <w:tc>
          <w:tcPr>
            <w:tcW w:w="2264"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enero 2020 a enero 2021</w:t>
            </w:r>
          </w:p>
        </w:tc>
        <w:tc>
          <w:tcPr>
            <w:tcW w:w="145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$366.006.224</w:t>
            </w:r>
          </w:p>
        </w:tc>
      </w:tr>
      <w:tr w:rsidR="0006670C" w:rsidTr="0006670C">
        <w:trPr>
          <w:trHeight w:val="600"/>
        </w:trPr>
        <w:tc>
          <w:tcPr>
            <w:tcW w:w="2411"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MUNICIPIO DE PUERTO ESCONDIDO (Empréstito)</w:t>
            </w:r>
          </w:p>
        </w:tc>
        <w:tc>
          <w:tcPr>
            <w:tcW w:w="136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800096770-7</w:t>
            </w:r>
          </w:p>
        </w:tc>
        <w:tc>
          <w:tcPr>
            <w:tcW w:w="147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67700030307</w:t>
            </w:r>
          </w:p>
        </w:tc>
        <w:tc>
          <w:tcPr>
            <w:tcW w:w="2264"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enero 2020 a enero 2021</w:t>
            </w:r>
          </w:p>
        </w:tc>
        <w:tc>
          <w:tcPr>
            <w:tcW w:w="145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22</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$502.338.311</w:t>
            </w:r>
          </w:p>
        </w:tc>
      </w:tr>
      <w:tr w:rsidR="0006670C" w:rsidTr="0006670C">
        <w:trPr>
          <w:trHeight w:val="300"/>
        </w:trPr>
        <w:tc>
          <w:tcPr>
            <w:tcW w:w="2411"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MUNICIPIO DE PUERTO ESCONDIDO</w:t>
            </w:r>
          </w:p>
        </w:tc>
        <w:tc>
          <w:tcPr>
            <w:tcW w:w="136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800096770-7</w:t>
            </w:r>
          </w:p>
        </w:tc>
        <w:tc>
          <w:tcPr>
            <w:tcW w:w="147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67700034591</w:t>
            </w:r>
          </w:p>
        </w:tc>
        <w:tc>
          <w:tcPr>
            <w:tcW w:w="2264"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enero 2020 a enero 2021</w:t>
            </w:r>
          </w:p>
        </w:tc>
        <w:tc>
          <w:tcPr>
            <w:tcW w:w="145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$18.000.000</w:t>
            </w:r>
          </w:p>
        </w:tc>
      </w:tr>
      <w:tr w:rsidR="0006670C" w:rsidTr="0006670C">
        <w:trPr>
          <w:trHeight w:val="600"/>
        </w:trPr>
        <w:tc>
          <w:tcPr>
            <w:tcW w:w="2411"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MUNICIPIO DE PUERTO ESCONDIDO (Empréstito)</w:t>
            </w:r>
          </w:p>
        </w:tc>
        <w:tc>
          <w:tcPr>
            <w:tcW w:w="136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800096770-7</w:t>
            </w:r>
          </w:p>
        </w:tc>
        <w:tc>
          <w:tcPr>
            <w:tcW w:w="147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67769224413</w:t>
            </w:r>
          </w:p>
        </w:tc>
        <w:tc>
          <w:tcPr>
            <w:tcW w:w="2264"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enero 2020 a enero 2021</w:t>
            </w:r>
          </w:p>
        </w:tc>
        <w:tc>
          <w:tcPr>
            <w:tcW w:w="145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$321.543.599</w:t>
            </w:r>
          </w:p>
        </w:tc>
      </w:tr>
      <w:tr w:rsidR="0006670C" w:rsidTr="0006670C">
        <w:trPr>
          <w:trHeight w:val="300"/>
        </w:trPr>
        <w:tc>
          <w:tcPr>
            <w:tcW w:w="2411"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MUNICIPIO DE PUERTO ESCONDIDO</w:t>
            </w:r>
          </w:p>
        </w:tc>
        <w:tc>
          <w:tcPr>
            <w:tcW w:w="136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800096770-7</w:t>
            </w:r>
          </w:p>
        </w:tc>
        <w:tc>
          <w:tcPr>
            <w:tcW w:w="147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427693001440</w:t>
            </w:r>
          </w:p>
        </w:tc>
        <w:tc>
          <w:tcPr>
            <w:tcW w:w="2264"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enero 2020 a enero 2021</w:t>
            </w:r>
          </w:p>
        </w:tc>
        <w:tc>
          <w:tcPr>
            <w:tcW w:w="145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$79.125.346</w:t>
            </w:r>
          </w:p>
        </w:tc>
      </w:tr>
      <w:tr w:rsidR="0006670C" w:rsidTr="0006670C">
        <w:trPr>
          <w:trHeight w:val="600"/>
        </w:trPr>
        <w:tc>
          <w:tcPr>
            <w:tcW w:w="2411"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MUNICIPIO DE PUERTO ESCONDIDO (Empréstito)</w:t>
            </w:r>
          </w:p>
        </w:tc>
        <w:tc>
          <w:tcPr>
            <w:tcW w:w="136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800096770-7</w:t>
            </w:r>
          </w:p>
        </w:tc>
        <w:tc>
          <w:tcPr>
            <w:tcW w:w="147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327690000598</w:t>
            </w:r>
          </w:p>
        </w:tc>
        <w:tc>
          <w:tcPr>
            <w:tcW w:w="2264"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enero 2020 a enero 2021</w:t>
            </w:r>
          </w:p>
        </w:tc>
        <w:tc>
          <w:tcPr>
            <w:tcW w:w="145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$80.815.526</w:t>
            </w:r>
          </w:p>
        </w:tc>
      </w:tr>
      <w:tr w:rsidR="0006670C" w:rsidTr="0006670C">
        <w:trPr>
          <w:trHeight w:val="300"/>
        </w:trPr>
        <w:tc>
          <w:tcPr>
            <w:tcW w:w="2411"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MUNICIPIO DE PUERTO ESCONDIDO</w:t>
            </w:r>
          </w:p>
        </w:tc>
        <w:tc>
          <w:tcPr>
            <w:tcW w:w="136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800096770-7</w:t>
            </w:r>
          </w:p>
        </w:tc>
        <w:tc>
          <w:tcPr>
            <w:tcW w:w="147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327690001075</w:t>
            </w:r>
          </w:p>
        </w:tc>
        <w:tc>
          <w:tcPr>
            <w:tcW w:w="2264"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enero 2020 a enero 2021</w:t>
            </w:r>
          </w:p>
        </w:tc>
        <w:tc>
          <w:tcPr>
            <w:tcW w:w="145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$35.084.574</w:t>
            </w:r>
          </w:p>
        </w:tc>
      </w:tr>
      <w:tr w:rsidR="0006670C" w:rsidTr="0006670C">
        <w:trPr>
          <w:trHeight w:val="600"/>
        </w:trPr>
        <w:tc>
          <w:tcPr>
            <w:tcW w:w="2411"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MUNICIPIO DE PUERTO ESCONDIDO (Empréstito)</w:t>
            </w:r>
          </w:p>
        </w:tc>
        <w:tc>
          <w:tcPr>
            <w:tcW w:w="136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800096770-7</w:t>
            </w:r>
          </w:p>
        </w:tc>
        <w:tc>
          <w:tcPr>
            <w:tcW w:w="147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327690000192</w:t>
            </w:r>
          </w:p>
        </w:tc>
        <w:tc>
          <w:tcPr>
            <w:tcW w:w="2264"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enero 2020 a enero 2021</w:t>
            </w:r>
          </w:p>
        </w:tc>
        <w:tc>
          <w:tcPr>
            <w:tcW w:w="145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$122.396.243</w:t>
            </w:r>
          </w:p>
        </w:tc>
      </w:tr>
      <w:tr w:rsidR="0006670C" w:rsidTr="0006670C">
        <w:trPr>
          <w:trHeight w:val="300"/>
        </w:trPr>
        <w:tc>
          <w:tcPr>
            <w:tcW w:w="2411"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MUNICIPIO DE PUERTO ESCONDIDO</w:t>
            </w:r>
          </w:p>
        </w:tc>
        <w:tc>
          <w:tcPr>
            <w:tcW w:w="136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800096770-7</w:t>
            </w:r>
          </w:p>
        </w:tc>
        <w:tc>
          <w:tcPr>
            <w:tcW w:w="147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327690001356</w:t>
            </w:r>
          </w:p>
        </w:tc>
        <w:tc>
          <w:tcPr>
            <w:tcW w:w="2264"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enero 2020 a enero 2021</w:t>
            </w:r>
          </w:p>
        </w:tc>
        <w:tc>
          <w:tcPr>
            <w:tcW w:w="1459"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$9.473.382</w:t>
            </w:r>
          </w:p>
        </w:tc>
      </w:tr>
      <w:tr w:rsidR="0006670C" w:rsidTr="0006670C">
        <w:trPr>
          <w:trHeight w:val="300"/>
        </w:trPr>
        <w:tc>
          <w:tcPr>
            <w:tcW w:w="7514" w:type="dxa"/>
            <w:gridSpan w:val="4"/>
            <w:tcBorders>
              <w:top w:val="single" w:sz="4" w:space="0" w:color="auto"/>
              <w:left w:val="single" w:sz="4" w:space="0" w:color="auto"/>
              <w:bottom w:val="single" w:sz="4" w:space="0" w:color="auto"/>
              <w:right w:val="single" w:sz="4" w:space="0" w:color="000000"/>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Total de Transacciones realizadas y su valor total</w:t>
            </w:r>
          </w:p>
        </w:tc>
        <w:tc>
          <w:tcPr>
            <w:tcW w:w="1459"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70</w:t>
            </w:r>
          </w:p>
        </w:tc>
        <w:tc>
          <w:tcPr>
            <w:tcW w:w="1480" w:type="dxa"/>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$ 1.534.783.205</w:t>
            </w:r>
          </w:p>
        </w:tc>
      </w:tr>
    </w:tbl>
    <w:p w:rsidR="0006670C" w:rsidRDefault="0006670C" w:rsidP="0006670C">
      <w:pPr>
        <w:pStyle w:val="Sinespaciado"/>
        <w:jc w:val="center"/>
        <w:rPr>
          <w:rFonts w:ascii="Arial" w:eastAsia="MS Mincho" w:hAnsi="Arial" w:cs="Arial"/>
          <w:sz w:val="18"/>
          <w:szCs w:val="18"/>
          <w:lang w:eastAsia="es-ES"/>
        </w:rPr>
      </w:pPr>
      <w:r>
        <w:rPr>
          <w:rFonts w:ascii="Arial" w:eastAsia="MS Mincho" w:hAnsi="Arial" w:cs="Arial"/>
          <w:b/>
          <w:sz w:val="18"/>
          <w:szCs w:val="18"/>
          <w:lang w:eastAsia="es-ES"/>
        </w:rPr>
        <w:t>Fuente:</w:t>
      </w:r>
      <w:r>
        <w:rPr>
          <w:rFonts w:ascii="Arial" w:eastAsia="MS Mincho" w:hAnsi="Arial" w:cs="Arial"/>
          <w:sz w:val="18"/>
          <w:szCs w:val="18"/>
          <w:lang w:eastAsia="es-ES"/>
        </w:rPr>
        <w:t xml:space="preserve"> Elaboración Propia, DAF.</w:t>
      </w:r>
    </w:p>
    <w:p w:rsidR="0006670C" w:rsidRDefault="0006670C" w:rsidP="0006670C">
      <w:pPr>
        <w:pStyle w:val="Sinespaciado"/>
        <w:jc w:val="both"/>
        <w:rPr>
          <w:rFonts w:ascii="Arial" w:eastAsia="MS Mincho" w:hAnsi="Arial" w:cs="Arial"/>
          <w:lang w:eastAsia="es-ES"/>
        </w:rPr>
      </w:pPr>
    </w:p>
    <w:p w:rsidR="0006670C" w:rsidRDefault="0006670C" w:rsidP="0006670C">
      <w:pPr>
        <w:pStyle w:val="Sinespaciado"/>
        <w:jc w:val="both"/>
        <w:rPr>
          <w:rFonts w:ascii="Arial" w:eastAsia="MS Mincho" w:hAnsi="Arial" w:cs="Arial"/>
          <w:color w:val="000000"/>
          <w:lang w:val="es-ES" w:eastAsia="es-ES"/>
        </w:rPr>
      </w:pPr>
      <w:r>
        <w:rPr>
          <w:rFonts w:ascii="Arial" w:eastAsia="MS Mincho" w:hAnsi="Arial" w:cs="Arial"/>
          <w:lang w:eastAsia="es-ES"/>
        </w:rPr>
        <w:t>En el Cuadro N° 6 se confirma que, durante el período analizado, el Municipio realizó traslados de los recursos de Propósito General a 9 cuentas a titularidad del mismo Municipio y denominadas “</w:t>
      </w:r>
      <w:r>
        <w:rPr>
          <w:rFonts w:ascii="Arial" w:eastAsia="MS Mincho" w:hAnsi="Arial" w:cs="Arial"/>
          <w:i/>
          <w:iCs/>
          <w:lang w:eastAsia="es-ES"/>
        </w:rPr>
        <w:t>MUNICIPIO DE PUERTO ESCONDIDO</w:t>
      </w:r>
      <w:r>
        <w:rPr>
          <w:rFonts w:ascii="Arial" w:eastAsia="MS Mincho" w:hAnsi="Arial" w:cs="Arial"/>
          <w:lang w:eastAsia="es-ES"/>
        </w:rPr>
        <w:t>” o “</w:t>
      </w:r>
      <w:r>
        <w:rPr>
          <w:rFonts w:ascii="Arial" w:eastAsia="MS Mincho" w:hAnsi="Arial" w:cs="Arial"/>
          <w:i/>
          <w:iCs/>
          <w:lang w:eastAsia="es-ES"/>
        </w:rPr>
        <w:t>MUNICIPIO DE PUERTO ESCONDIDO (Empréstito)</w:t>
      </w:r>
      <w:r>
        <w:rPr>
          <w:rFonts w:ascii="Arial" w:eastAsia="MS Mincho" w:hAnsi="Arial" w:cs="Arial"/>
          <w:lang w:eastAsia="es-ES"/>
        </w:rPr>
        <w:t xml:space="preserve">”. Dichas operaciones débito suman un valor total de $1.534.783.205 a través de 70 transacciones </w:t>
      </w:r>
      <w:r>
        <w:rPr>
          <w:rFonts w:ascii="Arial" w:eastAsia="MS Mincho" w:hAnsi="Arial" w:cs="Arial"/>
          <w:color w:val="000000"/>
          <w:lang w:val="es-ES" w:eastAsia="es-ES"/>
        </w:rPr>
        <w:t>para el período enero 2020 – enero 2021 y presentan un comportamiento contrario al marco legal anteriormente enunciado.</w:t>
      </w:r>
    </w:p>
    <w:p w:rsidR="0006670C" w:rsidRDefault="0006670C" w:rsidP="0006670C">
      <w:pPr>
        <w:pStyle w:val="Sinespaciado"/>
        <w:jc w:val="both"/>
        <w:rPr>
          <w:rFonts w:ascii="Arial" w:eastAsia="MS Mincho" w:hAnsi="Arial" w:cs="Arial"/>
          <w:color w:val="000000"/>
          <w:lang w:val="es-ES" w:eastAsia="es-ES"/>
        </w:rPr>
      </w:pPr>
    </w:p>
    <w:p w:rsidR="0006670C" w:rsidRDefault="0006670C" w:rsidP="0006670C">
      <w:pPr>
        <w:pStyle w:val="Sinespaciado"/>
        <w:jc w:val="both"/>
        <w:rPr>
          <w:rFonts w:ascii="Arial" w:eastAsia="MS Mincho" w:hAnsi="Arial" w:cs="Arial"/>
          <w:color w:val="000000"/>
          <w:lang w:val="es-ES" w:eastAsia="es-ES"/>
        </w:rPr>
      </w:pPr>
      <w:r>
        <w:rPr>
          <w:rFonts w:ascii="Arial" w:eastAsia="MS Mincho" w:hAnsi="Arial" w:cs="Arial"/>
          <w:color w:val="000000"/>
          <w:lang w:val="es-ES" w:eastAsia="es-ES"/>
        </w:rPr>
        <w:t>Además, como se informó previamente, el Municipio estaría relacionando todos sus egresos a través del concepto 313</w:t>
      </w:r>
      <w:r>
        <w:rPr>
          <w:rFonts w:ascii="Arial" w:eastAsia="MS Mincho" w:hAnsi="Arial" w:cs="Arial"/>
          <w:i/>
          <w:lang w:eastAsia="es-ES"/>
        </w:rPr>
        <w:t xml:space="preserve"> “</w:t>
      </w:r>
      <w:r>
        <w:rPr>
          <w:rFonts w:ascii="Arial" w:eastAsia="MS Mincho" w:hAnsi="Arial" w:cs="Arial"/>
          <w:i/>
          <w:iCs/>
          <w:lang w:eastAsia="es-ES"/>
        </w:rPr>
        <w:t xml:space="preserve">Libre Destinación”, </w:t>
      </w:r>
      <w:r>
        <w:rPr>
          <w:rFonts w:ascii="Arial" w:eastAsia="MS Mincho" w:hAnsi="Arial" w:cs="Arial"/>
          <w:color w:val="000000"/>
          <w:lang w:val="es-ES" w:eastAsia="es-ES"/>
        </w:rPr>
        <w:t>sin tener en cuenta que existen pagos que se realizan con cargos a otras fuentes de financiación como Libre Inversión, Cultura o Deporte. Esto refleja un inadecuado manejo de la Cuenta Maestra, y evidencia que el Municipio no acata lo establecido en el anexo técnico de la Resolución N° 4835 de 2015.</w:t>
      </w:r>
    </w:p>
    <w:p w:rsidR="0006670C" w:rsidRDefault="0006670C" w:rsidP="0006670C">
      <w:pPr>
        <w:pStyle w:val="Sinespaciado"/>
        <w:jc w:val="both"/>
        <w:rPr>
          <w:rFonts w:ascii="Arial" w:eastAsia="MS Mincho" w:hAnsi="Arial" w:cs="Arial"/>
          <w:color w:val="000000"/>
          <w:lang w:val="es-ES" w:eastAsia="es-ES"/>
        </w:rPr>
      </w:pPr>
    </w:p>
    <w:p w:rsidR="0006670C" w:rsidRDefault="0006670C" w:rsidP="0006670C">
      <w:pPr>
        <w:pStyle w:val="Sinespaciado"/>
        <w:jc w:val="both"/>
        <w:rPr>
          <w:rFonts w:ascii="Arial" w:eastAsia="MS Mincho" w:hAnsi="Arial" w:cs="Arial"/>
          <w:color w:val="000000"/>
          <w:lang w:val="es-ES" w:eastAsia="es-ES"/>
        </w:rPr>
      </w:pPr>
      <w:r>
        <w:rPr>
          <w:rFonts w:ascii="Arial" w:eastAsia="MS Mincho" w:hAnsi="Arial" w:cs="Arial"/>
          <w:color w:val="000000"/>
          <w:lang w:val="es-ES" w:eastAsia="es-ES"/>
        </w:rPr>
        <w:t>También se identificaron operaciones débito no autorizadas a cuentas de establecimientos bancarios. Cabe recordar, que las Entidades Territoriales solo puede realizar este tipo de traslados para honrar el servicio de la deuda con los cuales se haya suscrito un empréstito.</w:t>
      </w:r>
    </w:p>
    <w:p w:rsidR="0006670C" w:rsidRDefault="0006670C" w:rsidP="0006670C">
      <w:pPr>
        <w:pStyle w:val="Sinespaciado"/>
        <w:jc w:val="both"/>
        <w:rPr>
          <w:rFonts w:ascii="Arial" w:eastAsia="MS Mincho" w:hAnsi="Arial" w:cs="Arial"/>
          <w:color w:val="000000"/>
          <w:lang w:val="es-ES" w:eastAsia="es-ES"/>
        </w:rPr>
      </w:pPr>
    </w:p>
    <w:p w:rsidR="0006670C" w:rsidRDefault="0006670C" w:rsidP="0006670C">
      <w:pPr>
        <w:autoSpaceDE w:val="0"/>
        <w:autoSpaceDN w:val="0"/>
        <w:adjustRightInd w:val="0"/>
        <w:jc w:val="both"/>
        <w:rPr>
          <w:rFonts w:ascii="Arial" w:hAnsi="Arial" w:cs="Arial"/>
          <w:color w:val="000000"/>
          <w:sz w:val="22"/>
          <w:szCs w:val="22"/>
        </w:rPr>
      </w:pPr>
      <w:r>
        <w:rPr>
          <w:rFonts w:ascii="Arial" w:hAnsi="Arial" w:cs="Arial"/>
          <w:color w:val="000000"/>
          <w:sz w:val="22"/>
          <w:szCs w:val="22"/>
        </w:rPr>
        <w:t>Para lo anterior y como bien lo informa el artículo 13 de la Resolución 0660 de 2018:</w:t>
      </w:r>
    </w:p>
    <w:p w:rsidR="0006670C" w:rsidRDefault="0006670C" w:rsidP="0006670C">
      <w:pPr>
        <w:autoSpaceDE w:val="0"/>
        <w:autoSpaceDN w:val="0"/>
        <w:adjustRightInd w:val="0"/>
        <w:jc w:val="both"/>
        <w:rPr>
          <w:rFonts w:ascii="Arial" w:hAnsi="Arial" w:cs="Arial"/>
          <w:color w:val="000000"/>
          <w:sz w:val="22"/>
          <w:szCs w:val="22"/>
        </w:rPr>
      </w:pPr>
    </w:p>
    <w:p w:rsidR="0006670C" w:rsidRDefault="0006670C" w:rsidP="0006670C">
      <w:pPr>
        <w:autoSpaceDE w:val="0"/>
        <w:autoSpaceDN w:val="0"/>
        <w:adjustRightInd w:val="0"/>
        <w:ind w:left="1416"/>
        <w:contextualSpacing/>
        <w:jc w:val="both"/>
        <w:rPr>
          <w:rFonts w:ascii="Arial" w:hAnsi="Arial" w:cs="Arial"/>
          <w:i/>
          <w:color w:val="000000"/>
          <w:sz w:val="18"/>
          <w:szCs w:val="18"/>
        </w:rPr>
      </w:pPr>
      <w:r>
        <w:rPr>
          <w:rFonts w:ascii="Arial" w:hAnsi="Arial" w:cs="Arial"/>
          <w:i/>
          <w:color w:val="000000"/>
          <w:sz w:val="18"/>
          <w:szCs w:val="18"/>
        </w:rPr>
        <w:t>“</w:t>
      </w:r>
      <w:r>
        <w:rPr>
          <w:rFonts w:ascii="Arial" w:eastAsiaTheme="minorHAnsi" w:hAnsi="Arial" w:cs="Arial"/>
          <w:i/>
          <w:sz w:val="18"/>
          <w:szCs w:val="18"/>
          <w:lang w:val="es-CO" w:eastAsia="en-US"/>
        </w:rPr>
        <w:t>Una vez aperturada la Cuenta de Manejo de Garantías se inscribirá como beneficiaria de la Cuenta Maestra para transferir los recursos necesarios para honrar el servicio de la deuda.</w:t>
      </w:r>
      <w:r>
        <w:rPr>
          <w:rFonts w:ascii="Arial" w:hAnsi="Arial" w:cs="Arial"/>
          <w:i/>
          <w:color w:val="000000"/>
          <w:sz w:val="18"/>
          <w:szCs w:val="18"/>
        </w:rPr>
        <w:t xml:space="preserve">” </w:t>
      </w:r>
    </w:p>
    <w:p w:rsidR="0006670C" w:rsidRDefault="0006670C" w:rsidP="0006670C">
      <w:pPr>
        <w:autoSpaceDE w:val="0"/>
        <w:autoSpaceDN w:val="0"/>
        <w:adjustRightInd w:val="0"/>
        <w:jc w:val="both"/>
        <w:rPr>
          <w:rFonts w:ascii="Arial" w:hAnsi="Arial" w:cs="Arial"/>
          <w:color w:val="000000"/>
          <w:sz w:val="22"/>
          <w:szCs w:val="22"/>
        </w:rPr>
      </w:pPr>
    </w:p>
    <w:p w:rsidR="0006670C" w:rsidRDefault="0006670C" w:rsidP="0006670C">
      <w:pPr>
        <w:autoSpaceDE w:val="0"/>
        <w:autoSpaceDN w:val="0"/>
        <w:adjustRightInd w:val="0"/>
        <w:jc w:val="both"/>
        <w:rPr>
          <w:rFonts w:ascii="Arial" w:hAnsi="Arial" w:cs="Arial"/>
          <w:color w:val="000000"/>
        </w:rPr>
      </w:pPr>
      <w:r>
        <w:rPr>
          <w:rFonts w:ascii="Arial" w:hAnsi="Arial" w:cs="Arial"/>
          <w:color w:val="000000"/>
          <w:sz w:val="22"/>
          <w:szCs w:val="22"/>
        </w:rPr>
        <w:t>Es decir, que a través de una cuenta de manejo de garantías el Municipio podrá realizar estas operaciones débito. Sin embargo, en las operaciones identificadas se evidencia que el Municipio está trasladando de manera directa desde la Cuenta Maestra de PG a las cuentas de los establecimientos bancarios, tal y como se muestra a continuación:</w:t>
      </w:r>
    </w:p>
    <w:p w:rsidR="0006670C" w:rsidRDefault="0006670C" w:rsidP="0006670C">
      <w:pPr>
        <w:autoSpaceDE w:val="0"/>
        <w:autoSpaceDN w:val="0"/>
        <w:adjustRightInd w:val="0"/>
        <w:jc w:val="both"/>
        <w:rPr>
          <w:rFonts w:ascii="Arial" w:hAnsi="Arial" w:cs="Arial"/>
          <w:color w:val="000000"/>
        </w:rPr>
      </w:pPr>
    </w:p>
    <w:p w:rsidR="0006670C" w:rsidRDefault="0006670C" w:rsidP="0006670C">
      <w:pPr>
        <w:pStyle w:val="Sinespaciado"/>
        <w:jc w:val="center"/>
        <w:rPr>
          <w:rFonts w:ascii="Arial" w:eastAsia="MS Mincho" w:hAnsi="Arial" w:cs="Arial"/>
          <w:b/>
          <w:sz w:val="18"/>
          <w:szCs w:val="18"/>
          <w:lang w:eastAsia="es-ES"/>
        </w:rPr>
      </w:pPr>
      <w:r>
        <w:rPr>
          <w:rFonts w:ascii="Arial" w:eastAsia="MS Mincho" w:hAnsi="Arial" w:cs="Arial"/>
          <w:b/>
          <w:sz w:val="18"/>
          <w:szCs w:val="18"/>
          <w:lang w:eastAsia="es-ES"/>
        </w:rPr>
        <w:t>Cuadro N° 7.</w:t>
      </w:r>
    </w:p>
    <w:p w:rsidR="0006670C" w:rsidRDefault="0006670C" w:rsidP="0006670C">
      <w:pPr>
        <w:pStyle w:val="Sinespaciado"/>
        <w:jc w:val="center"/>
        <w:rPr>
          <w:rFonts w:ascii="Arial" w:eastAsia="MS Mincho" w:hAnsi="Arial" w:cs="Arial"/>
          <w:sz w:val="18"/>
          <w:szCs w:val="18"/>
          <w:lang w:eastAsia="es-ES"/>
        </w:rPr>
      </w:pPr>
      <w:r>
        <w:rPr>
          <w:rFonts w:ascii="Arial" w:eastAsia="MS Mincho" w:hAnsi="Arial" w:cs="Arial"/>
          <w:sz w:val="18"/>
          <w:szCs w:val="18"/>
          <w:lang w:eastAsia="es-ES"/>
        </w:rPr>
        <w:t>Cuentas de Establecimientos Bancarios Beneficiarias inscritas en la Cuenta Maestra del Municipio de Puerto Escondido - Córdoba</w:t>
      </w:r>
    </w:p>
    <w:tbl>
      <w:tblPr>
        <w:tblW w:w="5041" w:type="pct"/>
        <w:tblCellMar>
          <w:left w:w="70" w:type="dxa"/>
          <w:right w:w="70" w:type="dxa"/>
        </w:tblCellMar>
        <w:tblLook w:val="04A0" w:firstRow="1" w:lastRow="0" w:firstColumn="1" w:lastColumn="0" w:noHBand="0" w:noVBand="1"/>
      </w:tblPr>
      <w:tblGrid>
        <w:gridCol w:w="2740"/>
        <w:gridCol w:w="1212"/>
        <w:gridCol w:w="1252"/>
        <w:gridCol w:w="1830"/>
        <w:gridCol w:w="1241"/>
        <w:gridCol w:w="1197"/>
      </w:tblGrid>
      <w:tr w:rsidR="0006670C" w:rsidTr="0006670C">
        <w:trPr>
          <w:trHeight w:val="668"/>
        </w:trPr>
        <w:tc>
          <w:tcPr>
            <w:tcW w:w="1446"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Nombre o Razón Social  Beneficiario Registrado</w:t>
            </w:r>
          </w:p>
        </w:tc>
        <w:tc>
          <w:tcPr>
            <w:tcW w:w="640" w:type="pct"/>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Nit</w:t>
            </w:r>
          </w:p>
        </w:tc>
        <w:tc>
          <w:tcPr>
            <w:tcW w:w="661" w:type="pct"/>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N° de Cuenta</w:t>
            </w:r>
          </w:p>
        </w:tc>
        <w:tc>
          <w:tcPr>
            <w:tcW w:w="965" w:type="pct"/>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Período</w:t>
            </w:r>
          </w:p>
        </w:tc>
        <w:tc>
          <w:tcPr>
            <w:tcW w:w="655" w:type="pct"/>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Número de Operaciones Débito</w:t>
            </w:r>
          </w:p>
        </w:tc>
        <w:tc>
          <w:tcPr>
            <w:tcW w:w="633" w:type="pct"/>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Valor</w:t>
            </w:r>
          </w:p>
        </w:tc>
      </w:tr>
      <w:tr w:rsidR="0006670C" w:rsidTr="0006670C">
        <w:trPr>
          <w:trHeight w:val="524"/>
        </w:trPr>
        <w:tc>
          <w:tcPr>
            <w:tcW w:w="1446"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FIDEICOMISOS SOCIEDAD FIDUCIARIA DE OCCIDENTE SA</w:t>
            </w:r>
          </w:p>
        </w:tc>
        <w:tc>
          <w:tcPr>
            <w:tcW w:w="640"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830054076-2</w:t>
            </w:r>
          </w:p>
        </w:tc>
        <w:tc>
          <w:tcPr>
            <w:tcW w:w="66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47700000765</w:t>
            </w:r>
          </w:p>
        </w:tc>
        <w:tc>
          <w:tcPr>
            <w:tcW w:w="965" w:type="pct"/>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enero 2020 a enero 2021</w:t>
            </w:r>
          </w:p>
        </w:tc>
        <w:tc>
          <w:tcPr>
            <w:tcW w:w="655"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w:t>
            </w:r>
          </w:p>
        </w:tc>
        <w:tc>
          <w:tcPr>
            <w:tcW w:w="63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$1.302.730</w:t>
            </w:r>
          </w:p>
        </w:tc>
      </w:tr>
      <w:tr w:rsidR="0006670C" w:rsidTr="0006670C">
        <w:trPr>
          <w:trHeight w:val="261"/>
        </w:trPr>
        <w:tc>
          <w:tcPr>
            <w:tcW w:w="1446"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BANCO AGRARIO DE COLOMBIA S A</w:t>
            </w:r>
          </w:p>
        </w:tc>
        <w:tc>
          <w:tcPr>
            <w:tcW w:w="640"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800037800-8</w:t>
            </w:r>
          </w:p>
        </w:tc>
        <w:tc>
          <w:tcPr>
            <w:tcW w:w="66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03052032978</w:t>
            </w:r>
          </w:p>
        </w:tc>
        <w:tc>
          <w:tcPr>
            <w:tcW w:w="965" w:type="pct"/>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enero 2020 a enero 2021</w:t>
            </w:r>
          </w:p>
        </w:tc>
        <w:tc>
          <w:tcPr>
            <w:tcW w:w="655"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w:t>
            </w:r>
          </w:p>
        </w:tc>
        <w:tc>
          <w:tcPr>
            <w:tcW w:w="63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$19.133.704</w:t>
            </w:r>
          </w:p>
        </w:tc>
      </w:tr>
      <w:tr w:rsidR="0006670C" w:rsidTr="0006670C">
        <w:trPr>
          <w:trHeight w:val="787"/>
        </w:trPr>
        <w:tc>
          <w:tcPr>
            <w:tcW w:w="1446"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PATRIMONIOS AUTONOMOS FIDUCIARIA BANCOLOMBIA S A SOCIEDAD FIDUCIARIA</w:t>
            </w:r>
          </w:p>
        </w:tc>
        <w:tc>
          <w:tcPr>
            <w:tcW w:w="640"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830054539-0</w:t>
            </w:r>
          </w:p>
        </w:tc>
        <w:tc>
          <w:tcPr>
            <w:tcW w:w="66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48748869142</w:t>
            </w:r>
          </w:p>
        </w:tc>
        <w:tc>
          <w:tcPr>
            <w:tcW w:w="965" w:type="pct"/>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enero 2020 a enero 2021</w:t>
            </w:r>
          </w:p>
        </w:tc>
        <w:tc>
          <w:tcPr>
            <w:tcW w:w="655"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w:t>
            </w:r>
          </w:p>
        </w:tc>
        <w:tc>
          <w:tcPr>
            <w:tcW w:w="63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$3.410.130</w:t>
            </w:r>
          </w:p>
        </w:tc>
      </w:tr>
      <w:tr w:rsidR="0006670C" w:rsidTr="0006670C">
        <w:trPr>
          <w:trHeight w:val="261"/>
        </w:trPr>
        <w:tc>
          <w:tcPr>
            <w:tcW w:w="3713" w:type="pct"/>
            <w:gridSpan w:val="4"/>
            <w:tcBorders>
              <w:top w:val="single" w:sz="4" w:space="0" w:color="auto"/>
              <w:left w:val="single" w:sz="4" w:space="0" w:color="auto"/>
              <w:bottom w:val="single" w:sz="4" w:space="0" w:color="auto"/>
              <w:right w:val="single" w:sz="4" w:space="0" w:color="000000"/>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Total de Transacciones realizadas y su valor total</w:t>
            </w:r>
          </w:p>
        </w:tc>
        <w:tc>
          <w:tcPr>
            <w:tcW w:w="655" w:type="pct"/>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7</w:t>
            </w:r>
          </w:p>
        </w:tc>
        <w:tc>
          <w:tcPr>
            <w:tcW w:w="633" w:type="pct"/>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$23.846.564</w:t>
            </w:r>
          </w:p>
        </w:tc>
      </w:tr>
    </w:tbl>
    <w:p w:rsidR="0006670C" w:rsidRDefault="0006670C" w:rsidP="0006670C">
      <w:pPr>
        <w:pStyle w:val="Sinespaciado"/>
        <w:jc w:val="center"/>
        <w:rPr>
          <w:rFonts w:ascii="Arial" w:eastAsia="MS Mincho" w:hAnsi="Arial" w:cs="Arial"/>
          <w:sz w:val="18"/>
          <w:szCs w:val="18"/>
          <w:lang w:eastAsia="es-ES"/>
        </w:rPr>
      </w:pPr>
      <w:r>
        <w:rPr>
          <w:rFonts w:ascii="Arial" w:eastAsia="MS Mincho" w:hAnsi="Arial" w:cs="Arial"/>
          <w:b/>
          <w:sz w:val="18"/>
          <w:szCs w:val="18"/>
          <w:lang w:eastAsia="es-ES"/>
        </w:rPr>
        <w:t>Fuente:</w:t>
      </w:r>
      <w:r>
        <w:rPr>
          <w:rFonts w:ascii="Arial" w:eastAsia="MS Mincho" w:hAnsi="Arial" w:cs="Arial"/>
          <w:sz w:val="18"/>
          <w:szCs w:val="18"/>
          <w:lang w:eastAsia="es-ES"/>
        </w:rPr>
        <w:t xml:space="preserve"> Elaboración Propia, DAF.</w:t>
      </w:r>
    </w:p>
    <w:p w:rsidR="0006670C" w:rsidRDefault="0006670C" w:rsidP="0006670C">
      <w:pPr>
        <w:autoSpaceDE w:val="0"/>
        <w:autoSpaceDN w:val="0"/>
        <w:adjustRightInd w:val="0"/>
        <w:jc w:val="both"/>
        <w:rPr>
          <w:rFonts w:ascii="Arial" w:hAnsi="Arial" w:cs="Arial"/>
          <w:color w:val="000000"/>
        </w:rPr>
      </w:pPr>
    </w:p>
    <w:p w:rsidR="0006670C" w:rsidRDefault="0006670C" w:rsidP="0006670C">
      <w:pPr>
        <w:autoSpaceDE w:val="0"/>
        <w:autoSpaceDN w:val="0"/>
        <w:adjustRightInd w:val="0"/>
        <w:jc w:val="both"/>
        <w:rPr>
          <w:rFonts w:ascii="Arial" w:hAnsi="Arial" w:cs="Arial"/>
          <w:color w:val="000000"/>
        </w:rPr>
      </w:pPr>
      <w:r>
        <w:rPr>
          <w:rFonts w:ascii="Arial" w:hAnsi="Arial" w:cs="Arial"/>
          <w:color w:val="000000"/>
          <w:sz w:val="22"/>
          <w:szCs w:val="22"/>
        </w:rPr>
        <w:t>El cuadro anterior confirma que, durante el período de enero de 2020 a enero de 2021 el Municipio de Puerto Escondido - Córdoba realizó 7 traslados desde la Cuenta Maestra PG a tres (3) establecimientos bancarios por un monto total de $23.846.564, corroborando operaciones débito no autorizadas y en contra del marco legal.</w:t>
      </w:r>
    </w:p>
    <w:p w:rsidR="0006670C" w:rsidRDefault="0006670C" w:rsidP="0006670C">
      <w:pPr>
        <w:pStyle w:val="Sinespaciado"/>
        <w:jc w:val="both"/>
        <w:rPr>
          <w:rFonts w:ascii="Arial" w:hAnsi="Arial" w:cs="Arial"/>
          <w:color w:val="000000" w:themeColor="text1"/>
        </w:rPr>
      </w:pPr>
    </w:p>
    <w:p w:rsidR="0006670C" w:rsidRDefault="0006670C" w:rsidP="0006670C">
      <w:pPr>
        <w:pStyle w:val="Prrafodelista"/>
        <w:numPr>
          <w:ilvl w:val="0"/>
          <w:numId w:val="45"/>
        </w:numPr>
        <w:spacing w:line="240" w:lineRule="auto"/>
        <w:jc w:val="both"/>
        <w:textAlignment w:val="baseline"/>
        <w:rPr>
          <w:rStyle w:val="normaltextrun"/>
          <w:rFonts w:eastAsia="Times New Roman"/>
          <w:lang w:eastAsia="es-CO"/>
        </w:rPr>
      </w:pPr>
      <w:r>
        <w:rPr>
          <w:rStyle w:val="normaltextrun"/>
          <w:rFonts w:ascii="Arial" w:hAnsi="Arial" w:cs="Arial"/>
          <w:b/>
          <w:bCs/>
          <w:color w:val="000000"/>
          <w:shd w:val="clear" w:color="auto" w:fill="FFFFFF"/>
        </w:rPr>
        <w:t>Contractual.</w:t>
      </w:r>
    </w:p>
    <w:p w:rsidR="0006670C" w:rsidRDefault="0006670C" w:rsidP="0006670C">
      <w:pPr>
        <w:pStyle w:val="Sinespaciado"/>
        <w:jc w:val="both"/>
        <w:rPr>
          <w:rFonts w:eastAsia="MS Mincho"/>
          <w:color w:val="000000"/>
          <w:lang w:val="es-ES" w:eastAsia="es-ES"/>
        </w:rPr>
      </w:pPr>
      <w:r>
        <w:rPr>
          <w:rFonts w:ascii="Arial" w:eastAsia="MS Mincho" w:hAnsi="Arial" w:cs="Arial"/>
          <w:color w:val="000000"/>
          <w:lang w:val="es-ES" w:eastAsia="es-ES"/>
        </w:rPr>
        <w:t>El informe del DNP confirma que el Municipio cuenta con las carpetas contractuales que soportan las respectivas etapas contractuales de manera adecuada; además confirma que se cuentan con los documentos soporte para los contratos revisados.</w:t>
      </w:r>
    </w:p>
    <w:p w:rsidR="0006670C" w:rsidRDefault="0006670C" w:rsidP="0006670C">
      <w:pPr>
        <w:pStyle w:val="Sinespaciado"/>
        <w:jc w:val="both"/>
        <w:rPr>
          <w:rFonts w:ascii="Arial" w:eastAsia="MS Mincho" w:hAnsi="Arial" w:cs="Arial"/>
          <w:color w:val="000000"/>
          <w:lang w:val="es-ES" w:eastAsia="es-ES"/>
        </w:rPr>
      </w:pPr>
    </w:p>
    <w:p w:rsidR="0006670C" w:rsidRDefault="0006670C" w:rsidP="0006670C">
      <w:pPr>
        <w:pStyle w:val="Sinespaciado"/>
        <w:jc w:val="both"/>
        <w:rPr>
          <w:rFonts w:ascii="Arial" w:eastAsia="MS Mincho" w:hAnsi="Arial" w:cs="Arial"/>
          <w:color w:val="000000"/>
          <w:lang w:val="es-ES" w:eastAsia="es-ES"/>
        </w:rPr>
      </w:pPr>
      <w:r>
        <w:rPr>
          <w:rFonts w:ascii="Arial" w:eastAsia="MS Mincho" w:hAnsi="Arial" w:cs="Arial"/>
          <w:color w:val="000000"/>
          <w:lang w:val="es-ES" w:eastAsia="es-ES"/>
        </w:rPr>
        <w:t>Aunque el informe no relaciona situaciones de riesgo específicamente para Propósito General, se revisó la relación de contratos y los expedientes que fueron entregados por parte del Municipio de Puerto Escondido al DNP. Allí se encontraron algunas situaciones que se deben subsanar, y que se presentan a continuación:</w:t>
      </w:r>
    </w:p>
    <w:p w:rsidR="0006670C" w:rsidRDefault="0006670C" w:rsidP="0006670C">
      <w:pPr>
        <w:pStyle w:val="Sinespaciado"/>
        <w:jc w:val="both"/>
        <w:rPr>
          <w:rFonts w:ascii="Arial" w:eastAsia="MS Mincho" w:hAnsi="Arial" w:cs="Arial"/>
          <w:color w:val="000000"/>
          <w:lang w:val="es-ES" w:eastAsia="es-ES"/>
        </w:rPr>
      </w:pPr>
    </w:p>
    <w:p w:rsidR="0006670C" w:rsidRDefault="0006670C" w:rsidP="0006670C">
      <w:pPr>
        <w:pStyle w:val="Sinespaciado"/>
        <w:jc w:val="both"/>
        <w:rPr>
          <w:rFonts w:ascii="Arial" w:hAnsi="Arial" w:cs="Arial"/>
          <w:b/>
          <w:lang w:val="es-ES_tradnl"/>
        </w:rPr>
      </w:pPr>
      <w:r>
        <w:rPr>
          <w:rFonts w:ascii="Arial" w:hAnsi="Arial" w:cs="Arial"/>
          <w:b/>
          <w:lang w:val="es-ES_tradnl"/>
        </w:rPr>
        <w:t>Utilización de recursos de la Participación de Propósito General - objeto contractual y disponibilidad de recursos no acorde con las destinaciones definidas por normatividad (financiación de actividades no permitidas en la ley).</w:t>
      </w:r>
    </w:p>
    <w:p w:rsidR="0006670C" w:rsidRDefault="0006670C" w:rsidP="0006670C">
      <w:pPr>
        <w:pStyle w:val="Sinespaciado"/>
        <w:jc w:val="both"/>
        <w:rPr>
          <w:rFonts w:ascii="Arial" w:hAnsi="Arial" w:cs="Arial"/>
          <w:b/>
          <w:lang w:val="es-ES_tradnl"/>
        </w:rPr>
      </w:pPr>
    </w:p>
    <w:p w:rsidR="0006670C" w:rsidRDefault="0006670C" w:rsidP="0006670C">
      <w:pPr>
        <w:tabs>
          <w:tab w:val="left" w:pos="2268"/>
        </w:tabs>
        <w:jc w:val="both"/>
        <w:rPr>
          <w:rFonts w:ascii="Arial" w:eastAsiaTheme="minorEastAsia" w:hAnsi="Arial" w:cs="Arial"/>
          <w:color w:val="000000"/>
          <w:sz w:val="22"/>
          <w:szCs w:val="22"/>
          <w:lang w:val="es-ES_tradnl" w:eastAsia="en-US"/>
        </w:rPr>
      </w:pPr>
      <w:r>
        <w:rPr>
          <w:rFonts w:ascii="Arial" w:eastAsiaTheme="minorEastAsia" w:hAnsi="Arial" w:cs="Arial"/>
          <w:color w:val="000000" w:themeColor="text1"/>
          <w:sz w:val="22"/>
          <w:szCs w:val="22"/>
          <w:lang w:val="es-ES_tradnl" w:eastAsia="en-US"/>
        </w:rPr>
        <w:t>De acuerdo con el artículo 78 de la Ley 715 de 2001, en donde se establece el destino de los recursos para la Participación de Propósito General, se indica que “</w:t>
      </w:r>
      <w:r>
        <w:rPr>
          <w:rFonts w:ascii="Arial" w:hAnsi="Arial" w:cs="Arial"/>
          <w:i/>
          <w:iCs/>
          <w:sz w:val="22"/>
          <w:szCs w:val="22"/>
          <w:lang w:val="es-ES_tradnl"/>
        </w:rPr>
        <w:t xml:space="preserve">Los Municipios clasificados en las categorías 4, 5 y 6 podrán destinar libremente, para inversión u otros gastos inherentes al </w:t>
      </w:r>
      <w:r>
        <w:rPr>
          <w:rFonts w:ascii="Arial" w:hAnsi="Arial" w:cs="Arial"/>
          <w:i/>
          <w:iCs/>
          <w:sz w:val="22"/>
          <w:szCs w:val="22"/>
          <w:lang w:val="es-ES_tradnl"/>
        </w:rPr>
        <w:lastRenderedPageBreak/>
        <w:t>funcionamiento de la administración municipal, hasta un cuarenta y dos por ciento (42 %) de los recursos que perciban por la participación de propósito general</w:t>
      </w:r>
      <w:r>
        <w:rPr>
          <w:rFonts w:ascii="Arial" w:eastAsiaTheme="minorEastAsia" w:hAnsi="Arial" w:cs="Arial"/>
          <w:color w:val="000000" w:themeColor="text1"/>
          <w:sz w:val="22"/>
          <w:szCs w:val="22"/>
          <w:lang w:val="es-ES_tradnl" w:eastAsia="en-US"/>
        </w:rPr>
        <w:t>”.</w:t>
      </w:r>
    </w:p>
    <w:p w:rsidR="0006670C" w:rsidRDefault="0006670C" w:rsidP="0006670C">
      <w:pPr>
        <w:tabs>
          <w:tab w:val="left" w:pos="2268"/>
        </w:tabs>
        <w:jc w:val="both"/>
        <w:rPr>
          <w:rFonts w:ascii="Arial" w:eastAsiaTheme="minorHAnsi" w:hAnsi="Arial" w:cs="Arial"/>
          <w:color w:val="000000"/>
          <w:sz w:val="22"/>
          <w:szCs w:val="22"/>
          <w:lang w:val="es-ES_tradnl" w:eastAsia="en-US"/>
        </w:rPr>
      </w:pPr>
    </w:p>
    <w:p w:rsidR="0006670C" w:rsidRDefault="0006670C" w:rsidP="0006670C">
      <w:pPr>
        <w:jc w:val="both"/>
        <w:rPr>
          <w:rFonts w:ascii="Arial" w:hAnsi="Arial" w:cs="Arial"/>
          <w:sz w:val="22"/>
          <w:szCs w:val="22"/>
          <w:shd w:val="clear" w:color="auto" w:fill="FFFFFF"/>
          <w:lang w:val="es-ES_tradnl"/>
        </w:rPr>
      </w:pPr>
      <w:r>
        <w:rPr>
          <w:rFonts w:ascii="Arial" w:hAnsi="Arial" w:cs="Arial"/>
          <w:sz w:val="22"/>
          <w:szCs w:val="22"/>
          <w:lang w:val="es-ES_tradnl"/>
        </w:rPr>
        <w:t xml:space="preserve">Por lo anterior, los </w:t>
      </w:r>
      <w:r>
        <w:rPr>
          <w:rFonts w:ascii="Arial" w:hAnsi="Arial" w:cs="Arial"/>
          <w:sz w:val="22"/>
          <w:szCs w:val="22"/>
          <w:shd w:val="clear" w:color="auto" w:fill="FFFFFF"/>
          <w:lang w:val="es-ES_tradnl"/>
        </w:rPr>
        <w:t>gastos de funcionamiento son “</w:t>
      </w:r>
      <w:r>
        <w:rPr>
          <w:rFonts w:ascii="Arial" w:hAnsi="Arial" w:cs="Arial"/>
          <w:i/>
          <w:iCs/>
          <w:sz w:val="22"/>
          <w:szCs w:val="22"/>
          <w:shd w:val="clear" w:color="auto" w:fill="FFFFFF"/>
          <w:lang w:val="es-ES_tradnl"/>
        </w:rPr>
        <w:t>aquellos que tienen por objeto atender las necesidades del Estado para cumplir con las funciones asignadas en la Constitución Política y en la ley”</w:t>
      </w:r>
      <w:r>
        <w:rPr>
          <w:rStyle w:val="Refdenotaalpie"/>
          <w:rFonts w:ascii="Arial" w:hAnsi="Arial" w:cs="Arial"/>
          <w:sz w:val="22"/>
          <w:szCs w:val="22"/>
          <w:shd w:val="clear" w:color="auto" w:fill="FFFFFF"/>
          <w:lang w:val="es-ES_tradnl"/>
        </w:rPr>
        <w:t xml:space="preserve"> </w:t>
      </w:r>
      <w:r>
        <w:rPr>
          <w:rStyle w:val="Refdenotaalpie"/>
          <w:rFonts w:ascii="Arial" w:hAnsi="Arial" w:cs="Arial"/>
          <w:sz w:val="22"/>
          <w:szCs w:val="22"/>
          <w:shd w:val="clear" w:color="auto" w:fill="FFFFFF"/>
          <w:lang w:val="es-ES_tradnl"/>
        </w:rPr>
        <w:footnoteReference w:id="4"/>
      </w:r>
      <w:r>
        <w:rPr>
          <w:rFonts w:ascii="Arial" w:hAnsi="Arial" w:cs="Arial"/>
          <w:sz w:val="22"/>
          <w:szCs w:val="22"/>
          <w:lang w:val="es-ES_tradnl"/>
        </w:rPr>
        <w:t xml:space="preserve"> </w:t>
      </w:r>
      <w:r>
        <w:rPr>
          <w:rFonts w:ascii="Arial" w:hAnsi="Arial" w:cs="Arial"/>
          <w:sz w:val="22"/>
          <w:szCs w:val="22"/>
          <w:shd w:val="clear" w:color="auto" w:fill="FFFFFF"/>
          <w:lang w:val="es-ES_tradnl"/>
        </w:rPr>
        <w:t>es importante destacar que los gastos de funcionamiento tienen una clasificación entre los cuales se encuentran los gastos de personal directos o indirectos y los gastos generales. Al final, esos bienes y servicios son necesarios para que las entidades territoriales cumplan con las funciones asignadas por la Constitución Política y la ley.</w:t>
      </w:r>
    </w:p>
    <w:p w:rsidR="0006670C" w:rsidRDefault="0006670C" w:rsidP="0006670C">
      <w:pPr>
        <w:jc w:val="both"/>
        <w:rPr>
          <w:rFonts w:ascii="Arial" w:hAnsi="Arial" w:cs="Arial"/>
          <w:sz w:val="22"/>
          <w:szCs w:val="22"/>
          <w:shd w:val="clear" w:color="auto" w:fill="FFFFFF"/>
          <w:lang w:val="es-ES_tradnl"/>
        </w:rPr>
      </w:pPr>
    </w:p>
    <w:p w:rsidR="0006670C" w:rsidRDefault="0006670C" w:rsidP="0006670C">
      <w:pPr>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En esta línea, los gastos de funcionamiento según el artículo 3° de la Ley 617 de 2000 deben financiarse con ingresos corrientes de libre destinación y se excluye de forma expresa la financiación de estos gastos con transferencias de destinación específica.</w:t>
      </w:r>
    </w:p>
    <w:p w:rsidR="0006670C" w:rsidRDefault="0006670C" w:rsidP="0006670C">
      <w:pPr>
        <w:pStyle w:val="Default"/>
        <w:jc w:val="both"/>
        <w:rPr>
          <w:rFonts w:ascii="Arial" w:hAnsi="Arial" w:cs="Arial"/>
          <w:sz w:val="22"/>
          <w:szCs w:val="22"/>
          <w:lang w:val="es-ES_tradnl"/>
        </w:rPr>
      </w:pPr>
    </w:p>
    <w:p w:rsidR="0006670C" w:rsidRDefault="0006670C" w:rsidP="0006670C">
      <w:pPr>
        <w:spacing w:after="200"/>
        <w:contextualSpacing/>
        <w:jc w:val="both"/>
        <w:rPr>
          <w:rFonts w:ascii="Arial" w:hAnsi="Arial" w:cs="Arial"/>
          <w:sz w:val="22"/>
          <w:szCs w:val="22"/>
          <w:lang w:val="es-ES_tradnl"/>
        </w:rPr>
      </w:pPr>
      <w:r>
        <w:rPr>
          <w:rFonts w:ascii="Arial" w:eastAsiaTheme="minorEastAsia" w:hAnsi="Arial" w:cs="Arial"/>
          <w:color w:val="000000" w:themeColor="text1"/>
          <w:sz w:val="22"/>
          <w:szCs w:val="22"/>
          <w:lang w:val="es-ES_tradnl" w:eastAsia="en-US"/>
        </w:rPr>
        <w:t>Es importante señalar, que algunas de las destinaciones del Propósito General tienen una destinación específica (Libre Inversión, Cultura y Deporte). Como lo indica</w:t>
      </w:r>
      <w:r>
        <w:rPr>
          <w:rFonts w:ascii="Arial" w:eastAsiaTheme="minorHAnsi" w:hAnsi="Arial" w:cs="Arial"/>
          <w:sz w:val="22"/>
          <w:szCs w:val="22"/>
          <w:lang w:val="es-ES_tradnl" w:eastAsia="en-US"/>
        </w:rPr>
        <w:t xml:space="preserve"> el artículo 78 de la Ley 715 de 2001, en el cual se establece el destino de los recursos de Propósito General, en los siguientes términos:</w:t>
      </w:r>
    </w:p>
    <w:p w:rsidR="0006670C" w:rsidRDefault="0006670C" w:rsidP="0006670C">
      <w:pPr>
        <w:pStyle w:val="NormalWeb"/>
        <w:ind w:left="1416"/>
        <w:contextualSpacing/>
        <w:jc w:val="both"/>
        <w:rPr>
          <w:rFonts w:ascii="Arial" w:eastAsia="MS Mincho" w:hAnsi="Arial" w:cs="Arial"/>
          <w:i/>
          <w:iCs/>
          <w:sz w:val="18"/>
          <w:szCs w:val="18"/>
          <w:lang w:val="es-ES_tradnl"/>
        </w:rPr>
      </w:pPr>
      <w:r>
        <w:rPr>
          <w:rFonts w:ascii="Arial" w:eastAsia="MS Mincho" w:hAnsi="Arial" w:cs="Arial"/>
          <w:i/>
          <w:iCs/>
          <w:sz w:val="18"/>
          <w:szCs w:val="18"/>
          <w:lang w:val="es-ES_tradnl"/>
        </w:rPr>
        <w:t xml:space="preserve">“[...] Del total de los recursos de la participación de propósito general asignada a cada distrito o Municipio una vez descontada la destinación establecida para inversión u otros gastos inherentes al funcionamiento de la administración municipal de que trata el inciso anterior y la asignación correspondiente a los Municipios menores de 25.000 habitantes, definida en el inciso 3o del artículo </w:t>
      </w:r>
      <w:hyperlink r:id="rId16" w:anchor="4" w:history="1">
        <w:r>
          <w:rPr>
            <w:rStyle w:val="Hipervnculo"/>
            <w:rFonts w:ascii="Arial" w:eastAsia="MS Mincho" w:hAnsi="Arial" w:cs="Arial"/>
            <w:i/>
            <w:iCs/>
            <w:sz w:val="18"/>
            <w:szCs w:val="18"/>
            <w:lang w:val="es-ES_tradnl"/>
          </w:rPr>
          <w:t>4</w:t>
        </w:r>
      </w:hyperlink>
      <w:r>
        <w:rPr>
          <w:rFonts w:ascii="Arial" w:eastAsia="MS Mincho" w:hAnsi="Arial" w:cs="Arial"/>
          <w:i/>
          <w:iCs/>
          <w:sz w:val="18"/>
          <w:szCs w:val="18"/>
          <w:lang w:val="es-ES_tradnl"/>
        </w:rPr>
        <w:t xml:space="preserve"> del Acto Legislativo 04 de 2007, </w:t>
      </w:r>
      <w:r>
        <w:rPr>
          <w:rFonts w:ascii="Arial" w:eastAsia="MS Mincho" w:hAnsi="Arial" w:cs="Arial"/>
          <w:b/>
          <w:i/>
          <w:iCs/>
          <w:sz w:val="18"/>
          <w:szCs w:val="18"/>
          <w:lang w:val="es-ES_tradnl"/>
        </w:rPr>
        <w:t>cada distrito y Municipio destinará el ocho por ciento (8%) para deporte y recreación, el seis por ciento (6%) para cultura</w:t>
      </w:r>
      <w:r>
        <w:rPr>
          <w:rFonts w:ascii="Arial" w:eastAsia="MS Mincho" w:hAnsi="Arial" w:cs="Arial"/>
          <w:i/>
          <w:iCs/>
          <w:sz w:val="18"/>
          <w:szCs w:val="18"/>
          <w:lang w:val="es-ES_tradnl"/>
        </w:rPr>
        <w:t xml:space="preserve"> y el diez por ciento (10%) para el Fondo Nacional de Pensiones de las Entidades Territoriales, Fonpet.</w:t>
      </w:r>
    </w:p>
    <w:p w:rsidR="0006670C" w:rsidRDefault="0006670C" w:rsidP="0006670C">
      <w:pPr>
        <w:pStyle w:val="NormalWeb"/>
        <w:ind w:left="1416"/>
        <w:contextualSpacing/>
        <w:jc w:val="both"/>
        <w:rPr>
          <w:rFonts w:ascii="Arial" w:eastAsia="MS Mincho" w:hAnsi="Arial" w:cs="Arial"/>
          <w:i/>
          <w:iCs/>
          <w:sz w:val="18"/>
          <w:szCs w:val="18"/>
          <w:lang w:val="es-ES_tradnl"/>
        </w:rPr>
      </w:pPr>
    </w:p>
    <w:p w:rsidR="0006670C" w:rsidRDefault="0006670C" w:rsidP="0006670C">
      <w:pPr>
        <w:pStyle w:val="NormalWeb"/>
        <w:ind w:left="1416"/>
        <w:contextualSpacing/>
        <w:jc w:val="both"/>
        <w:rPr>
          <w:rFonts w:ascii="Arial" w:hAnsi="Arial" w:cs="Arial"/>
          <w:sz w:val="18"/>
          <w:szCs w:val="18"/>
          <w:lang w:val="es-ES_tradnl"/>
        </w:rPr>
      </w:pPr>
      <w:r>
        <w:rPr>
          <w:rFonts w:ascii="Arial" w:hAnsi="Arial" w:cs="Arial"/>
          <w:i/>
          <w:iCs/>
          <w:sz w:val="18"/>
          <w:szCs w:val="18"/>
          <w:lang w:val="es-ES_tradnl"/>
        </w:rPr>
        <w:t>Los recursos restantes deben ser destinados a inversión, en desarrollo de las competencias asignadas por la ley</w:t>
      </w:r>
      <w:r>
        <w:rPr>
          <w:rFonts w:ascii="Arial" w:hAnsi="Arial" w:cs="Arial"/>
          <w:sz w:val="18"/>
          <w:szCs w:val="18"/>
          <w:lang w:val="es-ES_tradnl"/>
        </w:rPr>
        <w:t>”. (negrita fuera de texto)</w:t>
      </w:r>
    </w:p>
    <w:p w:rsidR="0006670C" w:rsidRDefault="0006670C" w:rsidP="0006670C">
      <w:pPr>
        <w:tabs>
          <w:tab w:val="left" w:pos="2268"/>
        </w:tabs>
        <w:jc w:val="both"/>
        <w:rPr>
          <w:rFonts w:ascii="Arial" w:eastAsiaTheme="minorHAnsi" w:hAnsi="Arial" w:cs="Arial"/>
          <w:sz w:val="22"/>
          <w:szCs w:val="22"/>
          <w:lang w:val="es-ES_tradnl" w:eastAsia="en-US"/>
        </w:rPr>
      </w:pPr>
    </w:p>
    <w:p w:rsidR="0006670C" w:rsidRDefault="0006670C" w:rsidP="0006670C">
      <w:pPr>
        <w:tabs>
          <w:tab w:val="left" w:pos="2268"/>
        </w:tabs>
        <w:jc w:val="both"/>
        <w:rPr>
          <w:rFonts w:ascii="Arial" w:eastAsiaTheme="minorHAnsi" w:hAnsi="Arial" w:cs="Arial"/>
          <w:sz w:val="22"/>
          <w:szCs w:val="22"/>
          <w:lang w:val="es-ES_tradnl" w:eastAsia="en-US"/>
        </w:rPr>
      </w:pPr>
      <w:r>
        <w:rPr>
          <w:rFonts w:ascii="Arial" w:eastAsiaTheme="minorHAnsi" w:hAnsi="Arial" w:cs="Arial"/>
          <w:sz w:val="22"/>
          <w:szCs w:val="22"/>
          <w:lang w:val="es-ES_tradnl" w:eastAsia="en-US"/>
        </w:rPr>
        <w:t>Por lo tanto, aquellos contratos celebrados con los recursos de Deporte y Cultura deben responder a unas competencias que se encuentran dadas por el artículo 76 de la Ley 715 de 2001. Para la destinación de Cultura, el numeral 8 del mismo artículo define el objetivo de estos recursos:</w:t>
      </w:r>
    </w:p>
    <w:p w:rsidR="0006670C" w:rsidRDefault="0006670C" w:rsidP="0006670C">
      <w:pPr>
        <w:tabs>
          <w:tab w:val="left" w:pos="2268"/>
        </w:tabs>
        <w:jc w:val="both"/>
        <w:rPr>
          <w:rFonts w:ascii="Arial" w:eastAsiaTheme="minorHAnsi" w:hAnsi="Arial" w:cs="Arial"/>
          <w:sz w:val="22"/>
          <w:szCs w:val="22"/>
          <w:lang w:val="es-ES_tradnl" w:eastAsia="en-US"/>
        </w:rPr>
      </w:pPr>
    </w:p>
    <w:p w:rsidR="0006670C" w:rsidRDefault="0006670C" w:rsidP="0006670C">
      <w:pPr>
        <w:ind w:left="1416"/>
        <w:jc w:val="both"/>
        <w:rPr>
          <w:rFonts w:ascii="Arial" w:eastAsiaTheme="minorHAnsi" w:hAnsi="Arial" w:cs="Arial"/>
          <w:i/>
          <w:iCs/>
          <w:sz w:val="18"/>
          <w:szCs w:val="18"/>
          <w:lang w:val="es-ES_tradnl" w:eastAsia="en-US"/>
        </w:rPr>
      </w:pPr>
      <w:r>
        <w:rPr>
          <w:rFonts w:ascii="Arial" w:eastAsiaTheme="minorHAnsi" w:hAnsi="Arial" w:cs="Arial"/>
          <w:sz w:val="18"/>
          <w:szCs w:val="18"/>
          <w:lang w:val="es-ES_tradnl" w:eastAsia="en-US"/>
        </w:rPr>
        <w:t>“</w:t>
      </w:r>
      <w:r>
        <w:rPr>
          <w:rFonts w:ascii="Arial" w:eastAsiaTheme="minorHAnsi" w:hAnsi="Arial" w:cs="Arial"/>
          <w:i/>
          <w:iCs/>
          <w:sz w:val="18"/>
          <w:szCs w:val="18"/>
          <w:lang w:val="es-ES_tradnl" w:eastAsia="en-US"/>
        </w:rPr>
        <w:t>76.8.1. Fomentar el acceso, la innovación, la creación y la producción artística y cultural en el Municipio.</w:t>
      </w:r>
    </w:p>
    <w:p w:rsidR="0006670C" w:rsidRDefault="0006670C" w:rsidP="0006670C">
      <w:pPr>
        <w:ind w:left="1416"/>
        <w:jc w:val="both"/>
        <w:rPr>
          <w:rFonts w:ascii="Arial" w:eastAsiaTheme="minorHAnsi" w:hAnsi="Arial" w:cs="Arial"/>
          <w:i/>
          <w:iCs/>
          <w:sz w:val="18"/>
          <w:szCs w:val="18"/>
          <w:lang w:val="es-ES_tradnl" w:eastAsia="en-US"/>
        </w:rPr>
      </w:pPr>
      <w:r>
        <w:rPr>
          <w:rFonts w:ascii="Arial" w:eastAsiaTheme="minorHAnsi" w:hAnsi="Arial" w:cs="Arial"/>
          <w:i/>
          <w:iCs/>
          <w:sz w:val="18"/>
          <w:szCs w:val="18"/>
          <w:lang w:val="es-ES_tradnl" w:eastAsia="en-US"/>
        </w:rPr>
        <w:t>76.8.2. Apoyar y fortalecer los procesos de información, investigación, comunicación y formación y las expresiones multiculturales del Municipio.</w:t>
      </w:r>
    </w:p>
    <w:p w:rsidR="0006670C" w:rsidRDefault="0006670C" w:rsidP="0006670C">
      <w:pPr>
        <w:ind w:left="1416"/>
        <w:jc w:val="both"/>
        <w:rPr>
          <w:rFonts w:ascii="Arial" w:eastAsiaTheme="minorHAnsi" w:hAnsi="Arial" w:cs="Arial"/>
          <w:i/>
          <w:iCs/>
          <w:sz w:val="18"/>
          <w:szCs w:val="18"/>
          <w:lang w:val="es-ES_tradnl" w:eastAsia="en-US"/>
        </w:rPr>
      </w:pPr>
      <w:r>
        <w:rPr>
          <w:rFonts w:ascii="Arial" w:eastAsiaTheme="minorHAnsi" w:hAnsi="Arial" w:cs="Arial"/>
          <w:i/>
          <w:iCs/>
          <w:sz w:val="18"/>
          <w:szCs w:val="18"/>
          <w:lang w:val="es-ES_tradnl" w:eastAsia="en-US"/>
        </w:rPr>
        <w:t>76.8.3. Apoyar la construcción, dotación, sostenimiento y mantenimiento de la infraestructura cultural del Municipio y su apropiación creativa por parte de las comunidades; y proteger el patrimonio cultural en sus distintas expresiones y su adecuada incorporación al crecimiento económico y a los procesos de construcción ciudadana.</w:t>
      </w:r>
    </w:p>
    <w:p w:rsidR="0006670C" w:rsidRDefault="0006670C" w:rsidP="0006670C">
      <w:pPr>
        <w:ind w:left="1416"/>
        <w:jc w:val="both"/>
        <w:rPr>
          <w:rFonts w:ascii="Arial" w:eastAsiaTheme="minorHAnsi" w:hAnsi="Arial" w:cs="Arial"/>
          <w:i/>
          <w:iCs/>
          <w:sz w:val="18"/>
          <w:szCs w:val="18"/>
          <w:lang w:val="es-ES_tradnl" w:eastAsia="en-US"/>
        </w:rPr>
      </w:pPr>
      <w:r>
        <w:rPr>
          <w:rFonts w:ascii="Arial" w:eastAsiaTheme="minorHAnsi" w:hAnsi="Arial" w:cs="Arial"/>
          <w:i/>
          <w:iCs/>
          <w:sz w:val="18"/>
          <w:szCs w:val="18"/>
          <w:lang w:val="es-ES_tradnl" w:eastAsia="en-US"/>
        </w:rPr>
        <w:t>76.8.4. Apoyar el desarrollo de las redes de información cultural y bienes, servicios e instituciones culturales (museos, bibliotecas, archivos, bandas, orquestas, etc.), así como otras iniciativas de organización del sector cultural.</w:t>
      </w:r>
    </w:p>
    <w:p w:rsidR="0006670C" w:rsidRDefault="0006670C" w:rsidP="0006670C">
      <w:pPr>
        <w:ind w:left="1416"/>
        <w:jc w:val="both"/>
        <w:rPr>
          <w:rFonts w:eastAsiaTheme="minorEastAsia"/>
          <w:lang w:val="es-ES_tradnl" w:eastAsia="en-US"/>
        </w:rPr>
      </w:pPr>
      <w:r>
        <w:rPr>
          <w:rFonts w:ascii="Arial" w:eastAsiaTheme="minorHAnsi" w:hAnsi="Arial" w:cs="Arial"/>
          <w:i/>
          <w:iCs/>
          <w:sz w:val="18"/>
          <w:szCs w:val="18"/>
          <w:lang w:val="es-ES_tradnl" w:eastAsia="en-US"/>
        </w:rPr>
        <w:t>76.8.5. Formular, orientar y ejecutar los planes, programas, proyectos y eventos municipales teniendo como referencia el Plan Decenal de Cultura</w:t>
      </w:r>
      <w:r>
        <w:rPr>
          <w:rFonts w:ascii="Arial" w:eastAsiaTheme="minorEastAsia" w:hAnsi="Arial" w:cs="Arial"/>
          <w:sz w:val="18"/>
          <w:szCs w:val="18"/>
          <w:lang w:val="es-ES_tradnl" w:eastAsia="en-US"/>
        </w:rPr>
        <w:t>”.</w:t>
      </w:r>
    </w:p>
    <w:p w:rsidR="0006670C" w:rsidRDefault="0006670C" w:rsidP="0006670C">
      <w:pPr>
        <w:tabs>
          <w:tab w:val="left" w:pos="2268"/>
        </w:tabs>
        <w:jc w:val="both"/>
        <w:rPr>
          <w:rFonts w:ascii="Arial" w:eastAsiaTheme="minorEastAsia" w:hAnsi="Arial" w:cs="Arial"/>
          <w:color w:val="000000"/>
          <w:sz w:val="22"/>
          <w:szCs w:val="22"/>
          <w:lang w:val="es-ES_tradnl" w:eastAsia="en-US"/>
        </w:rPr>
      </w:pPr>
    </w:p>
    <w:p w:rsidR="0006670C" w:rsidRDefault="0006670C" w:rsidP="0006670C">
      <w:pPr>
        <w:tabs>
          <w:tab w:val="left" w:pos="2268"/>
        </w:tabs>
        <w:jc w:val="both"/>
        <w:rPr>
          <w:rFonts w:ascii="Arial" w:eastAsiaTheme="minorHAnsi" w:hAnsi="Arial" w:cs="Arial"/>
          <w:sz w:val="22"/>
          <w:szCs w:val="22"/>
          <w:lang w:val="es-ES_tradnl" w:eastAsia="en-US"/>
        </w:rPr>
      </w:pPr>
      <w:r>
        <w:rPr>
          <w:rFonts w:ascii="Arial" w:eastAsiaTheme="minorHAnsi" w:hAnsi="Arial" w:cs="Arial"/>
          <w:sz w:val="22"/>
          <w:szCs w:val="22"/>
          <w:lang w:val="es-ES_tradnl" w:eastAsia="en-US"/>
        </w:rPr>
        <w:lastRenderedPageBreak/>
        <w:t>Para la destinación de Deporte, el numeral 7 del mismo artículo define el objetivo de estos recursos:</w:t>
      </w:r>
    </w:p>
    <w:p w:rsidR="0006670C" w:rsidRDefault="0006670C" w:rsidP="0006670C">
      <w:pPr>
        <w:tabs>
          <w:tab w:val="left" w:pos="2268"/>
        </w:tabs>
        <w:jc w:val="both"/>
        <w:rPr>
          <w:rFonts w:ascii="Arial" w:eastAsiaTheme="minorHAnsi" w:hAnsi="Arial" w:cs="Arial"/>
          <w:sz w:val="22"/>
          <w:szCs w:val="22"/>
          <w:lang w:val="es-ES_tradnl" w:eastAsia="en-US"/>
        </w:rPr>
      </w:pPr>
    </w:p>
    <w:p w:rsidR="0006670C" w:rsidRDefault="0006670C" w:rsidP="0006670C">
      <w:pPr>
        <w:pStyle w:val="Sinespaciado"/>
        <w:ind w:left="1418"/>
        <w:contextualSpacing/>
        <w:jc w:val="both"/>
        <w:rPr>
          <w:rFonts w:ascii="Arial" w:hAnsi="Arial" w:cs="Arial"/>
          <w:i/>
          <w:iCs/>
          <w:sz w:val="18"/>
          <w:szCs w:val="18"/>
          <w:lang w:val="es-ES_tradnl"/>
        </w:rPr>
      </w:pPr>
      <w:r>
        <w:rPr>
          <w:rFonts w:ascii="Arial" w:hAnsi="Arial" w:cs="Arial"/>
          <w:sz w:val="18"/>
          <w:szCs w:val="18"/>
          <w:lang w:val="es-ES_tradnl"/>
        </w:rPr>
        <w:t>“</w:t>
      </w:r>
      <w:r>
        <w:rPr>
          <w:rFonts w:ascii="Arial" w:hAnsi="Arial" w:cs="Arial"/>
          <w:i/>
          <w:iCs/>
          <w:sz w:val="18"/>
          <w:szCs w:val="18"/>
          <w:lang w:val="es-ES_tradnl"/>
        </w:rPr>
        <w:t>76.7.1. Planear y desarrollar programas y actividades que permitan fomentar la práctica del deporte, la recreación, el aprovechamiento del tiempo libre y la educación física en su territorio.</w:t>
      </w:r>
    </w:p>
    <w:p w:rsidR="0006670C" w:rsidRDefault="0006670C" w:rsidP="0006670C">
      <w:pPr>
        <w:pStyle w:val="Sinespaciado"/>
        <w:ind w:left="1418"/>
        <w:contextualSpacing/>
        <w:jc w:val="both"/>
        <w:rPr>
          <w:rFonts w:ascii="Arial" w:hAnsi="Arial" w:cs="Arial"/>
          <w:i/>
          <w:iCs/>
          <w:sz w:val="18"/>
          <w:szCs w:val="18"/>
          <w:lang w:val="es-ES_tradnl"/>
        </w:rPr>
      </w:pPr>
      <w:r>
        <w:rPr>
          <w:rFonts w:ascii="Arial" w:hAnsi="Arial" w:cs="Arial"/>
          <w:i/>
          <w:iCs/>
          <w:sz w:val="18"/>
          <w:szCs w:val="18"/>
          <w:lang w:val="es-ES_tradnl"/>
        </w:rPr>
        <w:t>76.7.2. Construir, administrar, mantener y adecuar los respectivos escenarios deportivos.</w:t>
      </w:r>
    </w:p>
    <w:p w:rsidR="0006670C" w:rsidRDefault="0006670C" w:rsidP="0006670C">
      <w:pPr>
        <w:pStyle w:val="Sinespaciado"/>
        <w:ind w:left="1418"/>
        <w:contextualSpacing/>
        <w:jc w:val="both"/>
        <w:rPr>
          <w:rFonts w:ascii="Arial" w:hAnsi="Arial" w:cs="Arial"/>
          <w:i/>
          <w:iCs/>
          <w:sz w:val="18"/>
          <w:szCs w:val="18"/>
          <w:lang w:val="es-ES_tradnl"/>
        </w:rPr>
      </w:pPr>
      <w:r>
        <w:rPr>
          <w:rFonts w:ascii="Arial" w:hAnsi="Arial" w:cs="Arial"/>
          <w:i/>
          <w:iCs/>
          <w:sz w:val="18"/>
          <w:szCs w:val="18"/>
          <w:lang w:val="es-ES_tradnl"/>
        </w:rPr>
        <w:t>76.7.3. Cooperar con otros entes deportivos públicos y privados para el cumplimiento de los objetivos previstos en la ley”.</w:t>
      </w:r>
    </w:p>
    <w:p w:rsidR="0006670C" w:rsidRDefault="0006670C" w:rsidP="0006670C">
      <w:pPr>
        <w:pStyle w:val="Sinespaciado"/>
        <w:jc w:val="both"/>
        <w:rPr>
          <w:rFonts w:ascii="Arial" w:hAnsi="Arial" w:cs="Arial"/>
          <w:i/>
          <w:iCs/>
          <w:lang w:val="es-ES_tradnl"/>
        </w:rPr>
      </w:pPr>
    </w:p>
    <w:p w:rsidR="0006670C" w:rsidRDefault="0006670C" w:rsidP="0006670C">
      <w:pPr>
        <w:pStyle w:val="Sinespaciado"/>
        <w:jc w:val="both"/>
        <w:rPr>
          <w:rFonts w:ascii="Arial" w:hAnsi="Arial" w:cs="Arial"/>
          <w:i/>
          <w:iCs/>
          <w:sz w:val="18"/>
          <w:szCs w:val="18"/>
          <w:lang w:val="es-ES_tradnl"/>
        </w:rPr>
      </w:pPr>
      <w:r>
        <w:rPr>
          <w:rFonts w:ascii="Arial" w:hAnsi="Arial" w:cs="Arial"/>
          <w:lang w:val="es-ES_tradnl"/>
        </w:rPr>
        <w:t>En la revisión realizada por esta Dirección, se encontraron algunos contratos que llaman la atención y a continuación se muestran en el siguiente cuadro:</w:t>
      </w:r>
    </w:p>
    <w:p w:rsidR="0006670C" w:rsidRDefault="0006670C" w:rsidP="0006670C">
      <w:pPr>
        <w:pStyle w:val="Sinespaciado"/>
        <w:jc w:val="both"/>
        <w:rPr>
          <w:rStyle w:val="normaltextrun"/>
          <w:rFonts w:eastAsia="Times New Roman"/>
          <w:lang w:eastAsia="es-CO"/>
        </w:rPr>
      </w:pPr>
    </w:p>
    <w:p w:rsidR="0006670C" w:rsidRDefault="0006670C" w:rsidP="0006670C">
      <w:pPr>
        <w:jc w:val="center"/>
        <w:rPr>
          <w:b/>
          <w:sz w:val="18"/>
          <w:szCs w:val="18"/>
          <w:lang w:val="es-ES_tradnl"/>
        </w:rPr>
      </w:pPr>
      <w:r>
        <w:rPr>
          <w:rFonts w:ascii="Arial" w:hAnsi="Arial" w:cs="Arial"/>
          <w:b/>
          <w:sz w:val="18"/>
          <w:szCs w:val="18"/>
          <w:lang w:val="es-ES_tradnl"/>
        </w:rPr>
        <w:t>Cuadro N° 8.</w:t>
      </w:r>
    </w:p>
    <w:p w:rsidR="0006670C" w:rsidRDefault="0006670C" w:rsidP="0006670C">
      <w:pPr>
        <w:jc w:val="center"/>
        <w:rPr>
          <w:rStyle w:val="normaltextrun"/>
          <w:rFonts w:eastAsia="Calibri"/>
          <w:lang w:eastAsia="en-US"/>
        </w:rPr>
      </w:pPr>
      <w:r>
        <w:rPr>
          <w:rFonts w:ascii="Arial" w:hAnsi="Arial" w:cs="Arial"/>
          <w:sz w:val="18"/>
          <w:szCs w:val="18"/>
          <w:lang w:val="es-ES_tradnl"/>
        </w:rPr>
        <w:t>Contratos PG, Libre Inversión – Municipio de Puerto Escondido, Córdoba. Vigencias 2017 y 2018.</w:t>
      </w:r>
    </w:p>
    <w:tbl>
      <w:tblPr>
        <w:tblW w:w="9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
        <w:gridCol w:w="881"/>
        <w:gridCol w:w="1614"/>
        <w:gridCol w:w="1194"/>
        <w:gridCol w:w="673"/>
        <w:gridCol w:w="1091"/>
        <w:gridCol w:w="2934"/>
      </w:tblGrid>
      <w:tr w:rsidR="0006670C" w:rsidTr="0006670C">
        <w:trPr>
          <w:trHeight w:val="354"/>
        </w:trPr>
        <w:tc>
          <w:tcPr>
            <w:tcW w:w="877"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eastAsia="Times New Roman"/>
                <w:bCs/>
                <w:color w:val="FFFFFF"/>
                <w:lang w:val="es-CO" w:eastAsia="es-CO"/>
              </w:rPr>
            </w:pPr>
            <w:r>
              <w:rPr>
                <w:rFonts w:ascii="Arial" w:eastAsia="Times New Roman" w:hAnsi="Arial" w:cs="Arial"/>
                <w:b/>
                <w:bCs/>
                <w:color w:val="FFFFFF"/>
                <w:sz w:val="18"/>
                <w:szCs w:val="18"/>
                <w:lang w:val="es-ES_tradnl" w:eastAsia="es-CO"/>
              </w:rPr>
              <w:t xml:space="preserve">Contrato   </w:t>
            </w:r>
          </w:p>
        </w:tc>
        <w:tc>
          <w:tcPr>
            <w:tcW w:w="883"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ES_tradnl" w:eastAsia="es-CO"/>
              </w:rPr>
              <w:t>SECOP</w:t>
            </w:r>
          </w:p>
        </w:tc>
        <w:tc>
          <w:tcPr>
            <w:tcW w:w="1616"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ES_tradnl" w:eastAsia="es-CO"/>
              </w:rPr>
              <w:t>Objeto</w:t>
            </w:r>
          </w:p>
        </w:tc>
        <w:tc>
          <w:tcPr>
            <w:tcW w:w="119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ES_tradnl" w:eastAsia="es-CO"/>
              </w:rPr>
              <w:t>Valor</w:t>
            </w:r>
          </w:p>
        </w:tc>
        <w:tc>
          <w:tcPr>
            <w:tcW w:w="673"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ES_tradnl" w:eastAsia="es-CO"/>
              </w:rPr>
              <w:t>Plazo</w:t>
            </w:r>
          </w:p>
        </w:tc>
        <w:tc>
          <w:tcPr>
            <w:tcW w:w="1076"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ES_tradnl" w:eastAsia="es-CO"/>
              </w:rPr>
              <w:t>Contratista</w:t>
            </w:r>
          </w:p>
        </w:tc>
        <w:tc>
          <w:tcPr>
            <w:tcW w:w="2957"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ES_tradnl" w:eastAsia="es-CO"/>
              </w:rPr>
              <w:t>Actividades</w:t>
            </w:r>
          </w:p>
        </w:tc>
      </w:tr>
      <w:tr w:rsidR="0006670C" w:rsidTr="0006670C">
        <w:trPr>
          <w:trHeight w:val="281"/>
        </w:trPr>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ES_tradnl" w:eastAsia="es-CO"/>
              </w:rPr>
              <w:t>002-2017</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eastAsia="es-CO"/>
              </w:rPr>
              <w:t>PSA-002-2017</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sz w:val="18"/>
                <w:szCs w:val="18"/>
                <w:lang w:val="es-CO" w:eastAsia="es-CO"/>
              </w:rPr>
            </w:pPr>
            <w:r>
              <w:rPr>
                <w:rFonts w:ascii="Arial" w:eastAsia="Times New Roman" w:hAnsi="Arial" w:cs="Arial"/>
                <w:i/>
                <w:iCs/>
                <w:sz w:val="18"/>
                <w:szCs w:val="18"/>
                <w:lang w:val="es-CO" w:eastAsia="es-CO"/>
              </w:rPr>
              <w:t>Servicios de apoyo  a la gestión como bibliotecaria, adscrita a la secretaria de desarrollo económico, cultura y turismo del municipio de puerto escondido - córdoba</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ES_tradnl" w:eastAsia="es-CO"/>
              </w:rPr>
              <w:t>$14.400.000</w:t>
            </w:r>
          </w:p>
        </w:tc>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 Meses</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Elianis Isabel Gómez Fuentes</w:t>
            </w: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sz w:val="18"/>
                <w:szCs w:val="18"/>
                <w:lang w:val="es-CO" w:eastAsia="es-CO"/>
              </w:rPr>
            </w:pPr>
            <w:r>
              <w:rPr>
                <w:rFonts w:ascii="Arial" w:eastAsia="Times New Roman" w:hAnsi="Arial" w:cs="Arial"/>
                <w:iCs/>
                <w:sz w:val="18"/>
                <w:szCs w:val="18"/>
                <w:lang w:val="es-ES_tradnl" w:eastAsia="es-CO"/>
              </w:rPr>
              <w:t>Obligaciones específicas:</w:t>
            </w:r>
          </w:p>
        </w:tc>
      </w:tr>
      <w:tr w:rsidR="0006670C" w:rsidTr="0006670C">
        <w:trPr>
          <w:trHeight w:val="9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sz w:val="18"/>
                <w:szCs w:val="18"/>
                <w:lang w:val="es-CO" w:eastAsia="es-CO"/>
              </w:rPr>
            </w:pPr>
            <w:r>
              <w:rPr>
                <w:rFonts w:ascii="Arial" w:eastAsia="Times New Roman" w:hAnsi="Arial" w:cs="Arial"/>
                <w:iCs/>
                <w:sz w:val="18"/>
                <w:szCs w:val="18"/>
                <w:lang w:val="es-ES_tradnl" w:eastAsia="es-CO"/>
              </w:rPr>
              <w:t>1) Apoyar el servicio de consulta que se ofrece a los visitantes de la biblioteca municipal de Puerto Escondido.</w:t>
            </w:r>
          </w:p>
        </w:tc>
      </w:tr>
      <w:tr w:rsidR="0006670C" w:rsidTr="0006670C">
        <w:trPr>
          <w:trHeight w:val="6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sz w:val="18"/>
                <w:szCs w:val="18"/>
                <w:lang w:val="es-CO" w:eastAsia="es-CO"/>
              </w:rPr>
            </w:pPr>
            <w:r>
              <w:rPr>
                <w:rFonts w:ascii="Arial" w:eastAsia="Times New Roman" w:hAnsi="Arial" w:cs="Arial"/>
                <w:iCs/>
                <w:sz w:val="18"/>
                <w:szCs w:val="18"/>
                <w:lang w:val="es-ES_tradnl" w:eastAsia="es-CO"/>
              </w:rPr>
              <w:t>2) Recibir y radicar la correspondencia que llegue a la biblioteca.</w:t>
            </w:r>
          </w:p>
        </w:tc>
      </w:tr>
      <w:tr w:rsidR="0006670C" w:rsidTr="0006670C">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sz w:val="18"/>
                <w:szCs w:val="18"/>
                <w:lang w:val="es-CO" w:eastAsia="es-CO"/>
              </w:rPr>
            </w:pPr>
            <w:r>
              <w:rPr>
                <w:rFonts w:ascii="Arial" w:eastAsia="Times New Roman" w:hAnsi="Arial" w:cs="Arial"/>
                <w:iCs/>
                <w:sz w:val="18"/>
                <w:szCs w:val="18"/>
                <w:lang w:val="es-ES_tradnl" w:eastAsia="es-CO"/>
              </w:rPr>
              <w:t>3) Apoyar la realización y actualización del inventario de los bienes de los bienes de la biblioteca municipal.</w:t>
            </w:r>
          </w:p>
        </w:tc>
      </w:tr>
      <w:tr w:rsidR="0006670C" w:rsidTr="0006670C">
        <w:trPr>
          <w:trHeight w:val="7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sz w:val="18"/>
                <w:szCs w:val="18"/>
                <w:lang w:val="es-CO" w:eastAsia="es-CO"/>
              </w:rPr>
            </w:pPr>
            <w:r>
              <w:rPr>
                <w:rFonts w:ascii="Arial" w:eastAsia="Times New Roman" w:hAnsi="Arial" w:cs="Arial"/>
                <w:iCs/>
                <w:sz w:val="18"/>
                <w:szCs w:val="18"/>
                <w:lang w:val="es-ES_tradnl" w:eastAsia="es-CO"/>
              </w:rPr>
              <w:t>4) Prever las necesidades de dotación tomando en cuenta las solicitudes de los usuarios.</w:t>
            </w:r>
          </w:p>
        </w:tc>
      </w:tr>
      <w:tr w:rsidR="0006670C" w:rsidTr="0006670C">
        <w:trPr>
          <w:trHeight w:val="1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sz w:val="18"/>
                <w:szCs w:val="18"/>
                <w:lang w:val="es-CO" w:eastAsia="es-CO"/>
              </w:rPr>
            </w:pPr>
            <w:r>
              <w:rPr>
                <w:rFonts w:ascii="Arial" w:eastAsia="Times New Roman" w:hAnsi="Arial" w:cs="Arial"/>
                <w:iCs/>
                <w:sz w:val="18"/>
                <w:szCs w:val="18"/>
                <w:lang w:val="es-ES_tradnl" w:eastAsia="es-CO"/>
              </w:rPr>
              <w:t>5). Organizar la biblioteca y los materiales tenidos en cuentas las normas establecidas por el Ministerio de Cultura, mantener relaciones interbibliotecarias e interinstitucionales.</w:t>
            </w:r>
          </w:p>
        </w:tc>
      </w:tr>
      <w:tr w:rsidR="0006670C" w:rsidTr="0006670C">
        <w:trPr>
          <w:trHeight w:val="326"/>
        </w:trPr>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ES_tradnl" w:eastAsia="es-CO"/>
              </w:rPr>
              <w:t>037-2017</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ES_tradnl" w:eastAsia="es-CO"/>
              </w:rPr>
              <w:t>PSA-037-2017</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Prestación de servicios de apoyo a la secretaria de educación como coordinador de deporte y recreación del municipio de puerto escondido - córdoba.</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ES_tradnl" w:eastAsia="es-CO"/>
              </w:rPr>
              <w:t>$13.750.000</w:t>
            </w:r>
          </w:p>
        </w:tc>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ES_tradnl" w:eastAsia="es-CO"/>
              </w:rPr>
              <w:t>11 Meses</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ES_tradnl" w:eastAsia="es-CO"/>
              </w:rPr>
              <w:t>Dagoberto Rhenals Espitia</w:t>
            </w: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CO" w:eastAsia="es-CO"/>
              </w:rPr>
            </w:pPr>
            <w:r>
              <w:rPr>
                <w:rFonts w:ascii="Arial" w:eastAsia="Times New Roman" w:hAnsi="Arial" w:cs="Arial"/>
                <w:iCs/>
                <w:color w:val="000000"/>
                <w:sz w:val="18"/>
                <w:szCs w:val="18"/>
                <w:lang w:val="es-ES_tradnl" w:eastAsia="es-CO"/>
              </w:rPr>
              <w:t>Obligaciones específicas:</w:t>
            </w:r>
          </w:p>
        </w:tc>
      </w:tr>
      <w:tr w:rsidR="0006670C" w:rsidTr="0006670C">
        <w:trPr>
          <w:trHeight w:val="1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i/>
                <w:i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1) Apoyar a la secretaria de Educación en la preparación de informes de gestión con base en los planes locales y el plan Nacional de Deporte, la educación física y la educación.</w:t>
            </w:r>
          </w:p>
        </w:tc>
      </w:tr>
      <w:tr w:rsidR="0006670C" w:rsidTr="0006670C">
        <w:trPr>
          <w:trHeight w:val="1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i/>
                <w:i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2) Apoyar a la Secretaria de Educación en la concertación con la comunidad, los entes oficiales y privados la construcción, adecuación, dotación y uso de los escenarios deportivos y recreativos.</w:t>
            </w:r>
          </w:p>
        </w:tc>
      </w:tr>
      <w:tr w:rsidR="0006670C" w:rsidTr="0006670C">
        <w:trPr>
          <w:trHeight w:val="6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i/>
                <w:i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3) Recepcionar información, y apoyar la proyección de sus respuestas, cuando sea del caso.</w:t>
            </w:r>
          </w:p>
        </w:tc>
      </w:tr>
      <w:tr w:rsidR="0006670C" w:rsidTr="0006670C">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i/>
                <w:i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4)  Rendir informe de las actividades inherentes a las obligaciones contractuales.</w:t>
            </w:r>
          </w:p>
        </w:tc>
      </w:tr>
      <w:tr w:rsidR="0006670C" w:rsidTr="0006670C">
        <w:trPr>
          <w:trHeight w:val="276"/>
        </w:trPr>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PSP-002-2017</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PSP 002-2017</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Prestación de servicios profesionales de apoyo a la gestión para el acompañamiento en el sistema presupuestal, financiero y contable, en el municipio de Puerto Escondido-Córdoba</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ES_tradnl" w:eastAsia="es-CO"/>
              </w:rPr>
              <w:t>$54.000.000</w:t>
            </w:r>
          </w:p>
        </w:tc>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ES_tradnl" w:eastAsia="es-CO"/>
              </w:rPr>
              <w:t>11 Meses y 27 días</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Marielis Marsiglia Barrios</w:t>
            </w: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Obligaciones específicas:</w:t>
            </w:r>
          </w:p>
        </w:tc>
      </w:tr>
      <w:tr w:rsidR="0006670C" w:rsidTr="0006670C">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i/>
                <w:i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1) Preparación de Proyectos de Presupuestos de la Vigencias Fiscal 2017.</w:t>
            </w:r>
          </w:p>
        </w:tc>
      </w:tr>
      <w:tr w:rsidR="0006670C" w:rsidTr="0006670C">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i/>
                <w:i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2) Acompañar la elaboración del proyecto del decreto de liquidación del presupuesto general del Municipio vigencia fiscal 2016.</w:t>
            </w:r>
          </w:p>
        </w:tc>
      </w:tr>
      <w:tr w:rsidR="0006670C" w:rsidTr="0006670C">
        <w:trPr>
          <w:trHeight w:val="1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i/>
                <w:i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3) Orientación en la elaboración del Acto Administrativo de la relación de cuentas por pagar u reserva de apropiación del presupuesto vigencia 2016.</w:t>
            </w:r>
          </w:p>
        </w:tc>
      </w:tr>
      <w:tr w:rsidR="0006670C" w:rsidTr="0006670C">
        <w:trPr>
          <w:trHeight w:val="1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i/>
                <w:i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4) Presentar los siguientes informes de acuerdo a la categoría y periodicidad: Categorías de información que se reportan al Formulario Único Territorial – FUT a través del CHIP.</w:t>
            </w:r>
          </w:p>
        </w:tc>
      </w:tr>
      <w:tr w:rsidR="0006670C" w:rsidTr="0006670C">
        <w:trPr>
          <w:trHeight w:val="1206"/>
        </w:trPr>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011-2018</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PSA-011-2018</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Prestación de servicios de apoyo a la secretaria de educación como coordinador de deporte y recreación del municipio de Puerto Escondido -Córdoba</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$7.458.334</w:t>
            </w:r>
          </w:p>
        </w:tc>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 Meses</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ES_tradnl" w:eastAsia="es-CO"/>
              </w:rPr>
              <w:t>Dagoberto Rhenals Espitia</w:t>
            </w: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1) Apoyar a la secretaria de Educación en la preparación de informes de gestión con base en los planes locales y el plan Nacional de Deporte, la educación física y la educación.</w:t>
            </w:r>
          </w:p>
        </w:tc>
      </w:tr>
      <w:tr w:rsidR="0006670C" w:rsidTr="0006670C">
        <w:trPr>
          <w:trHeight w:val="1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i/>
                <w:i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2) Apoyar a la Secretaria de Educación en la concertación con la comunidad, los entes oficiales y privados la construcción, adecuación, dotación y uso de los escenarios deportivos y recreativos.</w:t>
            </w:r>
          </w:p>
        </w:tc>
      </w:tr>
      <w:tr w:rsidR="0006670C" w:rsidTr="0006670C">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i/>
                <w:i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3) Recepcionar información, y apoyar la proyección de sus respuestas, cuando sea del caso.</w:t>
            </w:r>
          </w:p>
        </w:tc>
      </w:tr>
      <w:tr w:rsidR="0006670C" w:rsidTr="0006670C">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i/>
                <w:i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color w:val="000000"/>
                <w:sz w:val="18"/>
                <w:szCs w:val="18"/>
                <w:lang w:val="es-CO" w:eastAsia="es-CO"/>
              </w:rPr>
            </w:pPr>
          </w:p>
        </w:tc>
        <w:tc>
          <w:tcPr>
            <w:tcW w:w="2957"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Cs/>
                <w:color w:val="000000"/>
                <w:sz w:val="18"/>
                <w:szCs w:val="18"/>
                <w:lang w:val="es-ES_tradnl" w:eastAsia="es-CO"/>
              </w:rPr>
            </w:pPr>
            <w:r>
              <w:rPr>
                <w:rFonts w:ascii="Arial" w:eastAsia="Times New Roman" w:hAnsi="Arial" w:cs="Arial"/>
                <w:iCs/>
                <w:color w:val="000000"/>
                <w:sz w:val="18"/>
                <w:szCs w:val="18"/>
                <w:lang w:val="es-ES_tradnl" w:eastAsia="es-CO"/>
              </w:rPr>
              <w:t>4)  Rendir informe de las actividades inherentes a las obligaciones contractuales.</w:t>
            </w:r>
          </w:p>
        </w:tc>
      </w:tr>
    </w:tbl>
    <w:p w:rsidR="0006670C" w:rsidRDefault="0006670C" w:rsidP="0006670C">
      <w:pPr>
        <w:jc w:val="center"/>
        <w:textAlignment w:val="baseline"/>
        <w:rPr>
          <w:rStyle w:val="normaltextrun"/>
          <w:rFonts w:ascii="Arial" w:eastAsia="Times New Roman" w:hAnsi="Arial" w:cs="Arial"/>
          <w:sz w:val="18"/>
          <w:szCs w:val="18"/>
        </w:rPr>
      </w:pPr>
      <w:r>
        <w:rPr>
          <w:rStyle w:val="normaltextrun"/>
          <w:rFonts w:ascii="Arial" w:eastAsia="Times New Roman" w:hAnsi="Arial" w:cs="Arial"/>
          <w:b/>
          <w:sz w:val="18"/>
          <w:szCs w:val="18"/>
          <w:lang w:eastAsia="es-CO"/>
        </w:rPr>
        <w:t>Fuente:</w:t>
      </w:r>
      <w:r>
        <w:rPr>
          <w:rStyle w:val="normaltextrun"/>
          <w:rFonts w:ascii="Arial" w:eastAsia="Times New Roman" w:hAnsi="Arial" w:cs="Arial"/>
          <w:sz w:val="18"/>
          <w:szCs w:val="18"/>
          <w:lang w:eastAsia="es-CO"/>
        </w:rPr>
        <w:t xml:space="preserve"> Elaboración propia con base en la información contenida en el “Informe de monitoreo de campo, Puerto Escondido, Córdoba. Vigencias 2017 y 2018”.</w:t>
      </w:r>
    </w:p>
    <w:p w:rsidR="0006670C" w:rsidRDefault="0006670C" w:rsidP="0006670C">
      <w:pPr>
        <w:jc w:val="both"/>
        <w:textAlignment w:val="baseline"/>
        <w:rPr>
          <w:rStyle w:val="normaltextrun"/>
          <w:rFonts w:ascii="Arial" w:eastAsia="Times New Roman" w:hAnsi="Arial" w:cs="Arial"/>
          <w:lang w:eastAsia="es-CO"/>
        </w:rPr>
      </w:pPr>
    </w:p>
    <w:p w:rsidR="0006670C" w:rsidRDefault="0006670C" w:rsidP="0006670C">
      <w:pPr>
        <w:tabs>
          <w:tab w:val="left" w:pos="2268"/>
        </w:tabs>
        <w:jc w:val="both"/>
        <w:rPr>
          <w:rFonts w:eastAsiaTheme="minorEastAsia"/>
          <w:sz w:val="22"/>
          <w:szCs w:val="22"/>
          <w:lang w:val="es-ES_tradnl" w:eastAsia="en-US"/>
        </w:rPr>
      </w:pPr>
      <w:r>
        <w:rPr>
          <w:rFonts w:ascii="Arial" w:eastAsiaTheme="minorEastAsia" w:hAnsi="Arial" w:cs="Arial"/>
          <w:sz w:val="22"/>
          <w:szCs w:val="22"/>
          <w:lang w:val="es-ES_tradnl" w:eastAsia="en-US"/>
        </w:rPr>
        <w:t xml:space="preserve">Revisado el Contrato N° PSA-002-2017, específicamente en el acápite de las obligaciones de la contratista, se evidencia que algunas actividades están relacionadas con el funcionamiento de la biblioteca del Municipio. Así mismo ocurre en los Contratos N° PSA-037-2017 y PSA-011-2018, en donde se evidencia que algunas obligaciones específicas a desarrollar por parte del contratista </w:t>
      </w:r>
      <w:r>
        <w:rPr>
          <w:rFonts w:ascii="Arial" w:eastAsiaTheme="minorEastAsia" w:hAnsi="Arial" w:cs="Arial"/>
          <w:sz w:val="22"/>
          <w:szCs w:val="22"/>
          <w:lang w:val="es-ES_tradnl" w:eastAsia="en-US"/>
        </w:rPr>
        <w:lastRenderedPageBreak/>
        <w:t>están más orientadas a ser actividades de funcionamiento y apoyar en algunas gestiones a la Secretaria de Educación.</w:t>
      </w:r>
    </w:p>
    <w:p w:rsidR="0006670C" w:rsidRDefault="0006670C" w:rsidP="0006670C">
      <w:pPr>
        <w:tabs>
          <w:tab w:val="left" w:pos="2268"/>
        </w:tabs>
        <w:jc w:val="both"/>
        <w:rPr>
          <w:rFonts w:ascii="Arial" w:eastAsiaTheme="minorEastAsia" w:hAnsi="Arial" w:cs="Arial"/>
          <w:sz w:val="22"/>
          <w:szCs w:val="22"/>
          <w:lang w:val="es-ES_tradnl" w:eastAsia="en-US"/>
        </w:rPr>
      </w:pPr>
    </w:p>
    <w:p w:rsidR="0006670C" w:rsidRDefault="0006670C" w:rsidP="0006670C">
      <w:pPr>
        <w:tabs>
          <w:tab w:val="left" w:pos="2268"/>
        </w:tabs>
        <w:jc w:val="both"/>
        <w:rPr>
          <w:rFonts w:ascii="Arial" w:eastAsiaTheme="minorEastAsia" w:hAnsi="Arial" w:cs="Arial"/>
          <w:sz w:val="22"/>
          <w:szCs w:val="22"/>
          <w:lang w:val="es-ES_tradnl" w:eastAsia="en-US"/>
        </w:rPr>
      </w:pPr>
      <w:r>
        <w:rPr>
          <w:rFonts w:ascii="Arial" w:eastAsiaTheme="minorEastAsia" w:hAnsi="Arial" w:cs="Arial"/>
          <w:sz w:val="22"/>
          <w:szCs w:val="22"/>
          <w:lang w:val="es-ES_tradnl" w:eastAsia="en-US"/>
        </w:rPr>
        <w:t>Es importante aclarar que los contratos se encuentran financiados con recursos de Propósito General Cultura y Deporte, y dichos recursos no pueden financiar actividades o gastos de funcionamiento de la Entidad Territorial o de la Unidad Administrativa Municipal que ejecute la política y los proyectos tanto deportivos como culturales del Municipio. Es decir, estos recursos deben ir orientados a financiar el gasto social en materia de Cultura y Deporte, lo anterior se da bajo el marco legal mencionado.</w:t>
      </w:r>
    </w:p>
    <w:p w:rsidR="0006670C" w:rsidRDefault="0006670C" w:rsidP="0006670C">
      <w:pPr>
        <w:tabs>
          <w:tab w:val="left" w:pos="2268"/>
        </w:tabs>
        <w:jc w:val="both"/>
        <w:rPr>
          <w:rFonts w:ascii="Arial" w:eastAsiaTheme="minorEastAsia" w:hAnsi="Arial" w:cs="Arial"/>
          <w:sz w:val="22"/>
          <w:szCs w:val="22"/>
          <w:lang w:val="es-ES_tradnl" w:eastAsia="en-US"/>
        </w:rPr>
      </w:pPr>
    </w:p>
    <w:p w:rsidR="0006670C" w:rsidRDefault="0006670C" w:rsidP="0006670C">
      <w:pPr>
        <w:tabs>
          <w:tab w:val="left" w:pos="2268"/>
        </w:tabs>
        <w:jc w:val="both"/>
        <w:rPr>
          <w:rFonts w:ascii="Arial" w:eastAsiaTheme="minorEastAsia" w:hAnsi="Arial" w:cs="Arial"/>
          <w:sz w:val="22"/>
          <w:szCs w:val="22"/>
          <w:lang w:val="es-ES_tradnl" w:eastAsia="en-US"/>
        </w:rPr>
      </w:pPr>
      <w:r>
        <w:rPr>
          <w:rFonts w:ascii="Arial" w:eastAsiaTheme="minorEastAsia" w:hAnsi="Arial" w:cs="Arial"/>
          <w:sz w:val="22"/>
          <w:szCs w:val="22"/>
          <w:lang w:val="es-ES_tradnl" w:eastAsia="en-US"/>
        </w:rPr>
        <w:t>Cabe mencionar que los Contratos PSA-037-2017 y PSA-002-2017 se encuentran celebrados por 11 meses, es decir, con este plazo se garantiza que la persona esté permanentemente en la biblioteca para el funcionamiento de la misma o que esté permanente para apoyar la gestión de la Secretaría de Educación.</w:t>
      </w:r>
    </w:p>
    <w:p w:rsidR="0006670C" w:rsidRDefault="0006670C" w:rsidP="0006670C">
      <w:pPr>
        <w:tabs>
          <w:tab w:val="left" w:pos="2268"/>
        </w:tabs>
        <w:jc w:val="both"/>
        <w:rPr>
          <w:rFonts w:ascii="Arial" w:eastAsiaTheme="minorEastAsia" w:hAnsi="Arial" w:cs="Arial"/>
          <w:sz w:val="22"/>
          <w:szCs w:val="22"/>
          <w:lang w:val="es-ES_tradnl" w:eastAsia="en-US"/>
        </w:rPr>
      </w:pPr>
    </w:p>
    <w:p w:rsidR="0006670C" w:rsidRDefault="0006670C" w:rsidP="0006670C">
      <w:pPr>
        <w:pStyle w:val="paragraph"/>
        <w:spacing w:before="0" w:beforeAutospacing="0" w:after="0" w:afterAutospacing="0"/>
        <w:contextualSpacing/>
        <w:jc w:val="both"/>
        <w:textAlignment w:val="baseline"/>
        <w:rPr>
          <w:rStyle w:val="eop"/>
          <w:rFonts w:eastAsia="MS Mincho"/>
          <w:lang w:val="es-ES" w:eastAsia="es-ES"/>
        </w:rPr>
      </w:pPr>
      <w:r>
        <w:rPr>
          <w:rFonts w:ascii="Arial" w:eastAsiaTheme="minorEastAsia" w:hAnsi="Arial" w:cs="Arial"/>
          <w:sz w:val="22"/>
          <w:szCs w:val="22"/>
          <w:lang w:val="es-ES_tradnl" w:eastAsia="en-US"/>
        </w:rPr>
        <w:t>Lo anterior, implica que el Municipio de Puerto Escondido – Córdoba está vulnerando lo indicado en el artículo 76 – numeral 7 y 8 de la Ley 715 de 2001 y lo estipulado en el artículo 3° de la Ley 617 de 2000, cuando indican que los gastos de funcionamiento deben financiarse con ingresos corrientes de libre destinación y excluye de forma expresa la financiación de estos gastos con transferencias de destinación específica. De igual manera, el artículo 84 de la Ley 715 de 2001 prescribe que los recursos del Sistema General de Participaciones no forman parte de los ingresos corrientes de libre destinación de las entidades territoriales beneficiarias de los mismos.</w:t>
      </w:r>
    </w:p>
    <w:p w:rsidR="0006670C" w:rsidRDefault="0006670C" w:rsidP="0006670C">
      <w:pPr>
        <w:pStyle w:val="paragraph"/>
        <w:spacing w:before="0" w:beforeAutospacing="0" w:after="0" w:afterAutospacing="0"/>
        <w:contextualSpacing/>
        <w:jc w:val="both"/>
        <w:textAlignment w:val="baseline"/>
        <w:rPr>
          <w:rStyle w:val="eop"/>
          <w:rFonts w:ascii="Arial" w:hAnsi="Arial" w:cs="Arial"/>
          <w:sz w:val="22"/>
          <w:szCs w:val="22"/>
        </w:rPr>
      </w:pPr>
    </w:p>
    <w:p w:rsidR="0006670C" w:rsidRDefault="0006670C" w:rsidP="0006670C">
      <w:pPr>
        <w:spacing w:before="120" w:after="120"/>
        <w:contextualSpacing/>
        <w:jc w:val="both"/>
        <w:rPr>
          <w:b/>
          <w:lang w:val="es-ES_tradnl"/>
        </w:rPr>
      </w:pPr>
      <w:r>
        <w:rPr>
          <w:rFonts w:ascii="Arial" w:hAnsi="Arial" w:cs="Arial"/>
          <w:b/>
          <w:sz w:val="22"/>
          <w:szCs w:val="22"/>
          <w:lang w:val="es-ES_tradnl"/>
        </w:rPr>
        <w:t>No publicación de los contratos en el SECOP durante las vigencias 2017 y 2018.</w:t>
      </w:r>
    </w:p>
    <w:p w:rsidR="0006670C" w:rsidRDefault="0006670C" w:rsidP="0006670C">
      <w:pPr>
        <w:spacing w:before="120" w:after="120"/>
        <w:contextualSpacing/>
        <w:jc w:val="both"/>
        <w:rPr>
          <w:rFonts w:ascii="Arial" w:hAnsi="Arial" w:cs="Arial"/>
          <w:color w:val="000000"/>
          <w:sz w:val="22"/>
          <w:szCs w:val="22"/>
          <w:lang w:val="es-ES_tradnl"/>
        </w:rPr>
      </w:pPr>
    </w:p>
    <w:p w:rsidR="0006670C" w:rsidRDefault="0006670C" w:rsidP="0006670C">
      <w:pPr>
        <w:tabs>
          <w:tab w:val="left" w:pos="426"/>
          <w:tab w:val="left" w:pos="2268"/>
        </w:tabs>
        <w:jc w:val="both"/>
        <w:rPr>
          <w:rFonts w:ascii="Arial" w:hAnsi="Arial" w:cs="Arial"/>
          <w:sz w:val="22"/>
          <w:szCs w:val="22"/>
          <w:lang w:val="es-ES_tradnl"/>
        </w:rPr>
      </w:pPr>
      <w:r>
        <w:rPr>
          <w:rFonts w:ascii="Arial" w:hAnsi="Arial" w:cs="Arial"/>
          <w:color w:val="000000" w:themeColor="text1"/>
          <w:sz w:val="22"/>
          <w:szCs w:val="22"/>
          <w:lang w:val="es-ES_tradnl"/>
        </w:rPr>
        <w:t>Esta</w:t>
      </w:r>
      <w:r>
        <w:rPr>
          <w:rFonts w:ascii="Arial" w:hAnsi="Arial" w:cs="Arial"/>
          <w:sz w:val="22"/>
          <w:szCs w:val="22"/>
          <w:lang w:val="es-ES_tradnl"/>
        </w:rPr>
        <w:t xml:space="preserve"> Dirección en desarrollo de las actividades de seguimiento y verificando la información contractual, evidenció la no publicación de la documentación asociada a la ejecución contractual, como las aprobaciones, autorizaciones, requerimientos o informes del supervisor o del interventor que aprueben y den cuenta de la ejecución de los contratos suscritos durante las vigencias 2017 y 2018, como se relaciona a continuación en el cuadro:</w:t>
      </w:r>
    </w:p>
    <w:p w:rsidR="0006670C" w:rsidRDefault="0006670C" w:rsidP="0006670C">
      <w:pPr>
        <w:tabs>
          <w:tab w:val="left" w:pos="426"/>
          <w:tab w:val="left" w:pos="2268"/>
        </w:tabs>
        <w:jc w:val="both"/>
        <w:rPr>
          <w:rFonts w:ascii="Arial" w:hAnsi="Arial" w:cs="Arial"/>
          <w:sz w:val="22"/>
          <w:szCs w:val="22"/>
          <w:lang w:val="es-ES_tradnl"/>
        </w:rPr>
      </w:pPr>
    </w:p>
    <w:p w:rsidR="0006670C" w:rsidRDefault="0006670C" w:rsidP="0006670C">
      <w:pPr>
        <w:jc w:val="center"/>
        <w:rPr>
          <w:rFonts w:ascii="Arial" w:hAnsi="Arial" w:cs="Arial"/>
          <w:b/>
          <w:sz w:val="18"/>
          <w:szCs w:val="18"/>
          <w:lang w:val="es-ES_tradnl"/>
        </w:rPr>
      </w:pPr>
      <w:r>
        <w:rPr>
          <w:rFonts w:ascii="Arial" w:hAnsi="Arial" w:cs="Arial"/>
          <w:b/>
          <w:sz w:val="18"/>
          <w:szCs w:val="18"/>
          <w:lang w:val="es-ES_tradnl"/>
        </w:rPr>
        <w:t>Cuadro N° 9.</w:t>
      </w:r>
    </w:p>
    <w:p w:rsidR="0006670C" w:rsidRDefault="0006670C" w:rsidP="0006670C">
      <w:pPr>
        <w:jc w:val="center"/>
        <w:rPr>
          <w:rFonts w:ascii="Arial" w:hAnsi="Arial" w:cs="Arial"/>
          <w:sz w:val="18"/>
          <w:szCs w:val="18"/>
          <w:lang w:val="es-ES_tradnl"/>
        </w:rPr>
      </w:pPr>
      <w:r>
        <w:rPr>
          <w:rFonts w:ascii="Arial" w:hAnsi="Arial" w:cs="Arial"/>
          <w:sz w:val="18"/>
          <w:szCs w:val="18"/>
          <w:lang w:val="es-ES_tradnl"/>
        </w:rPr>
        <w:t>Procesos contractuales suscritos por el Municipio de Puerto Escondido en las vigencias 2017 y 2018 con omisiones en la publicación en el SECOP de la documentación expedida durante el proceso de contratación.</w:t>
      </w:r>
    </w:p>
    <w:tbl>
      <w:tblPr>
        <w:tblW w:w="5597" w:type="pct"/>
        <w:tblInd w:w="-1003" w:type="dxa"/>
        <w:tblCellMar>
          <w:left w:w="70" w:type="dxa"/>
          <w:right w:w="70" w:type="dxa"/>
        </w:tblCellMar>
        <w:tblLook w:val="04A0" w:firstRow="1" w:lastRow="0" w:firstColumn="1" w:lastColumn="0" w:noHBand="0" w:noVBand="1"/>
      </w:tblPr>
      <w:tblGrid>
        <w:gridCol w:w="912"/>
        <w:gridCol w:w="1525"/>
        <w:gridCol w:w="2446"/>
        <w:gridCol w:w="1311"/>
        <w:gridCol w:w="1500"/>
        <w:gridCol w:w="1158"/>
        <w:gridCol w:w="1654"/>
      </w:tblGrid>
      <w:tr w:rsidR="0006670C" w:rsidTr="0006670C">
        <w:trPr>
          <w:trHeight w:val="369"/>
        </w:trPr>
        <w:tc>
          <w:tcPr>
            <w:tcW w:w="434" w:type="pct"/>
            <w:tcBorders>
              <w:top w:val="single" w:sz="8" w:space="0" w:color="auto"/>
              <w:left w:val="single" w:sz="8" w:space="0" w:color="auto"/>
              <w:bottom w:val="single" w:sz="8" w:space="0" w:color="auto"/>
              <w:right w:val="single" w:sz="8" w:space="0" w:color="auto"/>
            </w:tcBorders>
            <w:shd w:val="clear" w:color="auto" w:fill="5F497A"/>
            <w:noWrap/>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bookmarkStart w:id="1" w:name="RANGE!C12"/>
            <w:r>
              <w:rPr>
                <w:rFonts w:ascii="Arial" w:eastAsia="Times New Roman" w:hAnsi="Arial" w:cs="Arial"/>
                <w:b/>
                <w:bCs/>
                <w:color w:val="FFFFFF"/>
                <w:sz w:val="16"/>
                <w:szCs w:val="16"/>
                <w:lang w:val="es-ES_tradnl" w:eastAsia="es-CO"/>
              </w:rPr>
              <w:t>Vigencia</w:t>
            </w:r>
            <w:bookmarkEnd w:id="1"/>
          </w:p>
        </w:tc>
        <w:tc>
          <w:tcPr>
            <w:tcW w:w="726" w:type="pct"/>
            <w:tcBorders>
              <w:top w:val="single" w:sz="8" w:space="0" w:color="auto"/>
              <w:left w:val="nil"/>
              <w:bottom w:val="single" w:sz="8" w:space="0" w:color="auto"/>
              <w:right w:val="single" w:sz="8" w:space="0" w:color="auto"/>
            </w:tcBorders>
            <w:shd w:val="clear" w:color="auto" w:fill="5F497A"/>
            <w:noWrap/>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ES_tradnl" w:eastAsia="es-CO"/>
              </w:rPr>
              <w:t xml:space="preserve">Contrato SECOP </w:t>
            </w:r>
          </w:p>
        </w:tc>
        <w:tc>
          <w:tcPr>
            <w:tcW w:w="1164" w:type="pct"/>
            <w:tcBorders>
              <w:top w:val="single" w:sz="8" w:space="0" w:color="auto"/>
              <w:left w:val="nil"/>
              <w:bottom w:val="single" w:sz="8" w:space="0" w:color="auto"/>
              <w:right w:val="single" w:sz="8" w:space="0" w:color="auto"/>
            </w:tcBorders>
            <w:shd w:val="clear" w:color="auto" w:fill="5F497A"/>
            <w:noWrap/>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ES_tradnl" w:eastAsia="es-CO"/>
              </w:rPr>
              <w:t>Objeto</w:t>
            </w:r>
          </w:p>
        </w:tc>
        <w:tc>
          <w:tcPr>
            <w:tcW w:w="624" w:type="pct"/>
            <w:tcBorders>
              <w:top w:val="single" w:sz="8" w:space="0" w:color="auto"/>
              <w:left w:val="nil"/>
              <w:bottom w:val="single" w:sz="8" w:space="0" w:color="auto"/>
              <w:right w:val="single" w:sz="8" w:space="0" w:color="auto"/>
            </w:tcBorders>
            <w:shd w:val="clear" w:color="auto" w:fill="5F497A"/>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ES_tradnl" w:eastAsia="es-CO"/>
              </w:rPr>
              <w:t>Valor</w:t>
            </w:r>
          </w:p>
        </w:tc>
        <w:tc>
          <w:tcPr>
            <w:tcW w:w="714" w:type="pct"/>
            <w:tcBorders>
              <w:top w:val="single" w:sz="8" w:space="0" w:color="auto"/>
              <w:left w:val="nil"/>
              <w:bottom w:val="single" w:sz="8" w:space="0" w:color="auto"/>
              <w:right w:val="single" w:sz="8" w:space="0" w:color="auto"/>
            </w:tcBorders>
            <w:shd w:val="clear" w:color="auto" w:fill="5F497A"/>
            <w:noWrap/>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ES_tradnl" w:eastAsia="es-CO"/>
              </w:rPr>
              <w:t>Contratista</w:t>
            </w:r>
          </w:p>
        </w:tc>
        <w:tc>
          <w:tcPr>
            <w:tcW w:w="551" w:type="pct"/>
            <w:tcBorders>
              <w:top w:val="single" w:sz="8" w:space="0" w:color="auto"/>
              <w:left w:val="nil"/>
              <w:bottom w:val="single" w:sz="8" w:space="0" w:color="auto"/>
              <w:right w:val="single" w:sz="8" w:space="0" w:color="auto"/>
            </w:tcBorders>
            <w:shd w:val="clear" w:color="auto" w:fill="5F497A"/>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ES_tradnl" w:eastAsia="es-CO"/>
              </w:rPr>
              <w:t>Destinación</w:t>
            </w:r>
          </w:p>
        </w:tc>
        <w:tc>
          <w:tcPr>
            <w:tcW w:w="788" w:type="pct"/>
            <w:tcBorders>
              <w:top w:val="single" w:sz="8" w:space="0" w:color="auto"/>
              <w:left w:val="nil"/>
              <w:bottom w:val="single" w:sz="8" w:space="0" w:color="auto"/>
              <w:right w:val="single" w:sz="8" w:space="0" w:color="auto"/>
            </w:tcBorders>
            <w:shd w:val="clear" w:color="auto" w:fill="5F497A"/>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ES_tradnl" w:eastAsia="es-CO"/>
              </w:rPr>
              <w:t>Observaciones</w:t>
            </w:r>
          </w:p>
        </w:tc>
      </w:tr>
      <w:tr w:rsidR="0006670C" w:rsidTr="0006670C">
        <w:trPr>
          <w:trHeight w:val="1895"/>
        </w:trPr>
        <w:tc>
          <w:tcPr>
            <w:tcW w:w="434" w:type="pct"/>
            <w:vMerge w:val="restart"/>
            <w:tcBorders>
              <w:top w:val="nil"/>
              <w:left w:val="single" w:sz="8" w:space="0" w:color="auto"/>
              <w:bottom w:val="single" w:sz="8" w:space="0" w:color="000000"/>
              <w:right w:val="single" w:sz="8" w:space="0" w:color="auto"/>
            </w:tcBorders>
            <w:shd w:val="clear" w:color="auto" w:fill="5F497A"/>
            <w:noWrap/>
            <w:textDirection w:val="btLr"/>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ES_tradnl" w:eastAsia="es-CO"/>
              </w:rPr>
              <w:t>2017</w:t>
            </w:r>
          </w:p>
        </w:tc>
        <w:tc>
          <w:tcPr>
            <w:tcW w:w="726"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PSP-002-2017</w:t>
            </w:r>
          </w:p>
        </w:tc>
        <w:tc>
          <w:tcPr>
            <w:tcW w:w="1164" w:type="pct"/>
            <w:tcBorders>
              <w:top w:val="nil"/>
              <w:left w:val="nil"/>
              <w:bottom w:val="single" w:sz="8" w:space="0" w:color="auto"/>
              <w:right w:val="single" w:sz="8" w:space="0" w:color="auto"/>
            </w:tcBorders>
            <w:vAlign w:val="center"/>
            <w:hideMark/>
          </w:tcPr>
          <w:p w:rsidR="0006670C" w:rsidRDefault="0006670C">
            <w:pPr>
              <w:spacing w:line="256" w:lineRule="auto"/>
              <w:jc w:val="both"/>
              <w:rPr>
                <w:rFonts w:ascii="Arial" w:eastAsia="Times New Roman" w:hAnsi="Arial" w:cs="Arial"/>
                <w:i/>
                <w:iCs/>
                <w:color w:val="000000"/>
                <w:sz w:val="16"/>
                <w:szCs w:val="16"/>
                <w:lang w:val="es-CO" w:eastAsia="es-CO"/>
              </w:rPr>
            </w:pPr>
            <w:r>
              <w:rPr>
                <w:rFonts w:ascii="Arial" w:eastAsia="Times New Roman" w:hAnsi="Arial" w:cs="Arial"/>
                <w:i/>
                <w:iCs/>
                <w:color w:val="000000"/>
                <w:sz w:val="16"/>
                <w:szCs w:val="16"/>
                <w:lang w:val="es-CO" w:eastAsia="es-CO"/>
              </w:rPr>
              <w:t>Prestación de servicios profesionales de apoyo a la gestión para el acompañamiento en el sistema presupuestal, financiero y contable, en el municipio de Puerto Escondido - Córdoba</w:t>
            </w:r>
          </w:p>
        </w:tc>
        <w:tc>
          <w:tcPr>
            <w:tcW w:w="624"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$54.000.000</w:t>
            </w:r>
          </w:p>
        </w:tc>
        <w:tc>
          <w:tcPr>
            <w:tcW w:w="714"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Marielis Marsiglia Barrios</w:t>
            </w:r>
          </w:p>
        </w:tc>
        <w:tc>
          <w:tcPr>
            <w:tcW w:w="551"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Libre Inversión</w:t>
            </w:r>
          </w:p>
        </w:tc>
        <w:tc>
          <w:tcPr>
            <w:tcW w:w="788" w:type="pct"/>
            <w:tcBorders>
              <w:top w:val="nil"/>
              <w:left w:val="nil"/>
              <w:bottom w:val="single" w:sz="8" w:space="0" w:color="auto"/>
              <w:right w:val="single" w:sz="8" w:space="0" w:color="auto"/>
            </w:tcBorders>
            <w:vAlign w:val="center"/>
            <w:hideMark/>
          </w:tcPr>
          <w:p w:rsidR="0006670C" w:rsidRDefault="0006670C">
            <w:pPr>
              <w:spacing w:line="256" w:lineRule="auto"/>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En el sistema no se encuentran los estudios previos, acta de inicio, certificado presupuestal, registro presupuesta y acta de liquidación. </w:t>
            </w:r>
          </w:p>
        </w:tc>
      </w:tr>
      <w:tr w:rsidR="0006670C" w:rsidTr="0006670C">
        <w:trPr>
          <w:trHeight w:val="2271"/>
        </w:trPr>
        <w:tc>
          <w:tcPr>
            <w:tcW w:w="0" w:type="auto"/>
            <w:vMerge/>
            <w:tcBorders>
              <w:top w:val="nil"/>
              <w:left w:val="single" w:sz="8" w:space="0" w:color="auto"/>
              <w:bottom w:val="single" w:sz="8" w:space="0" w:color="000000"/>
              <w:right w:val="single" w:sz="8"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726"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CONV-001-2017</w:t>
            </w:r>
          </w:p>
        </w:tc>
        <w:tc>
          <w:tcPr>
            <w:tcW w:w="1164" w:type="pct"/>
            <w:tcBorders>
              <w:top w:val="nil"/>
              <w:left w:val="nil"/>
              <w:bottom w:val="single" w:sz="8" w:space="0" w:color="auto"/>
              <w:right w:val="single" w:sz="8" w:space="0" w:color="auto"/>
            </w:tcBorders>
            <w:vAlign w:val="center"/>
            <w:hideMark/>
          </w:tcPr>
          <w:p w:rsidR="0006670C" w:rsidRDefault="0006670C">
            <w:pPr>
              <w:spacing w:line="256" w:lineRule="auto"/>
              <w:jc w:val="both"/>
              <w:rPr>
                <w:rFonts w:ascii="Arial" w:eastAsia="Times New Roman" w:hAnsi="Arial" w:cs="Arial"/>
                <w:i/>
                <w:iCs/>
                <w:color w:val="000000"/>
                <w:sz w:val="16"/>
                <w:szCs w:val="16"/>
                <w:lang w:val="es-CO" w:eastAsia="es-CO"/>
              </w:rPr>
            </w:pPr>
            <w:r>
              <w:rPr>
                <w:rFonts w:ascii="Arial" w:eastAsia="Times New Roman" w:hAnsi="Arial" w:cs="Arial"/>
                <w:i/>
                <w:iCs/>
                <w:color w:val="000000"/>
                <w:sz w:val="16"/>
                <w:szCs w:val="16"/>
                <w:lang w:val="es-CO" w:eastAsia="es-CO"/>
              </w:rPr>
              <w:t>Aunar esfuerzo para apoyar el ix festival cultural y gastronómico del plátano 2017.</w:t>
            </w:r>
          </w:p>
        </w:tc>
        <w:tc>
          <w:tcPr>
            <w:tcW w:w="624"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$47.250.000</w:t>
            </w:r>
          </w:p>
        </w:tc>
        <w:tc>
          <w:tcPr>
            <w:tcW w:w="714"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Fundación Pa Vende</w:t>
            </w:r>
          </w:p>
        </w:tc>
        <w:tc>
          <w:tcPr>
            <w:tcW w:w="551"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Cultura</w:t>
            </w:r>
          </w:p>
        </w:tc>
        <w:tc>
          <w:tcPr>
            <w:tcW w:w="788" w:type="pct"/>
            <w:tcBorders>
              <w:top w:val="nil"/>
              <w:left w:val="nil"/>
              <w:bottom w:val="single" w:sz="8" w:space="0" w:color="auto"/>
              <w:right w:val="single" w:sz="8" w:space="0" w:color="auto"/>
            </w:tcBorders>
            <w:vAlign w:val="center"/>
            <w:hideMark/>
          </w:tcPr>
          <w:p w:rsidR="0006670C" w:rsidRDefault="0006670C">
            <w:pPr>
              <w:spacing w:line="256" w:lineRule="auto"/>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En el sistema no se encuentra acta de inicio, certificado presupuestal, registro presupuestal, acta de liquidación y el informe del supervisor o certificado de recibido a satisfacción y evaluación al contratista.  </w:t>
            </w:r>
          </w:p>
        </w:tc>
      </w:tr>
      <w:tr w:rsidR="0006670C" w:rsidTr="0006670C">
        <w:trPr>
          <w:trHeight w:val="1878"/>
        </w:trPr>
        <w:tc>
          <w:tcPr>
            <w:tcW w:w="0" w:type="auto"/>
            <w:vMerge/>
            <w:tcBorders>
              <w:top w:val="nil"/>
              <w:left w:val="single" w:sz="8" w:space="0" w:color="auto"/>
              <w:bottom w:val="single" w:sz="8" w:space="0" w:color="000000"/>
              <w:right w:val="single" w:sz="8"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726"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CONV-012-2017</w:t>
            </w:r>
          </w:p>
        </w:tc>
        <w:tc>
          <w:tcPr>
            <w:tcW w:w="1164" w:type="pct"/>
            <w:tcBorders>
              <w:top w:val="nil"/>
              <w:left w:val="nil"/>
              <w:bottom w:val="single" w:sz="8" w:space="0" w:color="auto"/>
              <w:right w:val="single" w:sz="8" w:space="0" w:color="auto"/>
            </w:tcBorders>
            <w:vAlign w:val="center"/>
            <w:hideMark/>
          </w:tcPr>
          <w:p w:rsidR="0006670C" w:rsidRDefault="0006670C">
            <w:pPr>
              <w:spacing w:line="256" w:lineRule="auto"/>
              <w:jc w:val="both"/>
              <w:rPr>
                <w:rFonts w:ascii="Arial" w:eastAsia="Times New Roman" w:hAnsi="Arial" w:cs="Arial"/>
                <w:i/>
                <w:iCs/>
                <w:color w:val="000000"/>
                <w:sz w:val="16"/>
                <w:szCs w:val="16"/>
                <w:lang w:val="es-CO" w:eastAsia="es-CO"/>
              </w:rPr>
            </w:pPr>
            <w:r>
              <w:rPr>
                <w:rFonts w:ascii="Arial" w:eastAsia="Times New Roman" w:hAnsi="Arial" w:cs="Arial"/>
                <w:i/>
                <w:iCs/>
                <w:color w:val="000000"/>
                <w:sz w:val="16"/>
                <w:szCs w:val="16"/>
                <w:lang w:val="es-CO" w:eastAsia="es-CO"/>
              </w:rPr>
              <w:t>Aunar esfuerzos para llevar a cabo la remodelación, reparación de baños, oficinas, cubierta patio interno y manejo de aguas lluvias en la instalaciones del palacio municipal de Puerto Escondido departamento de Córdoba.</w:t>
            </w:r>
          </w:p>
        </w:tc>
        <w:tc>
          <w:tcPr>
            <w:tcW w:w="624"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$170.000.000</w:t>
            </w:r>
          </w:p>
        </w:tc>
        <w:tc>
          <w:tcPr>
            <w:tcW w:w="714"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Asociación De Municipios Del Departamento De Córdoba Y Sucre</w:t>
            </w:r>
          </w:p>
        </w:tc>
        <w:tc>
          <w:tcPr>
            <w:tcW w:w="551"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Libre Destinación</w:t>
            </w:r>
          </w:p>
        </w:tc>
        <w:tc>
          <w:tcPr>
            <w:tcW w:w="788" w:type="pct"/>
            <w:tcBorders>
              <w:top w:val="nil"/>
              <w:left w:val="nil"/>
              <w:bottom w:val="single" w:sz="8" w:space="0" w:color="auto"/>
              <w:right w:val="single" w:sz="8" w:space="0" w:color="auto"/>
            </w:tcBorders>
            <w:vAlign w:val="center"/>
            <w:hideMark/>
          </w:tcPr>
          <w:p w:rsidR="0006670C" w:rsidRDefault="0006670C">
            <w:pPr>
              <w:spacing w:line="256" w:lineRule="auto"/>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En el sistema no se encuentran el certificado presupuestal y registro presupuesta. </w:t>
            </w:r>
          </w:p>
        </w:tc>
      </w:tr>
      <w:tr w:rsidR="0006670C" w:rsidTr="0006670C">
        <w:trPr>
          <w:trHeight w:val="580"/>
        </w:trPr>
        <w:tc>
          <w:tcPr>
            <w:tcW w:w="434" w:type="pct"/>
            <w:vMerge w:val="restart"/>
            <w:tcBorders>
              <w:top w:val="nil"/>
              <w:left w:val="single" w:sz="8" w:space="0" w:color="auto"/>
              <w:bottom w:val="single" w:sz="8" w:space="0" w:color="000000"/>
              <w:right w:val="single" w:sz="8" w:space="0" w:color="auto"/>
            </w:tcBorders>
            <w:shd w:val="clear" w:color="auto" w:fill="5F497A"/>
            <w:noWrap/>
            <w:textDirection w:val="btLr"/>
            <w:vAlign w:val="center"/>
            <w:hideMark/>
          </w:tcPr>
          <w:p w:rsidR="0006670C" w:rsidRDefault="0006670C">
            <w:pPr>
              <w:spacing w:line="256" w:lineRule="auto"/>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ES_tradnl" w:eastAsia="es-CO"/>
              </w:rPr>
              <w:t>2018</w:t>
            </w:r>
          </w:p>
        </w:tc>
        <w:tc>
          <w:tcPr>
            <w:tcW w:w="726"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PSA-011-2018</w:t>
            </w:r>
          </w:p>
        </w:tc>
        <w:tc>
          <w:tcPr>
            <w:tcW w:w="1164" w:type="pct"/>
            <w:tcBorders>
              <w:top w:val="nil"/>
              <w:left w:val="nil"/>
              <w:bottom w:val="single" w:sz="8" w:space="0" w:color="auto"/>
              <w:right w:val="single" w:sz="8" w:space="0" w:color="auto"/>
            </w:tcBorders>
            <w:vAlign w:val="center"/>
            <w:hideMark/>
          </w:tcPr>
          <w:p w:rsidR="0006670C" w:rsidRDefault="0006670C">
            <w:pPr>
              <w:spacing w:line="256" w:lineRule="auto"/>
              <w:jc w:val="both"/>
              <w:rPr>
                <w:rFonts w:ascii="Arial" w:eastAsia="Times New Roman" w:hAnsi="Arial" w:cs="Arial"/>
                <w:i/>
                <w:iCs/>
                <w:color w:val="000000"/>
                <w:sz w:val="16"/>
                <w:szCs w:val="16"/>
                <w:lang w:val="es-CO" w:eastAsia="es-CO"/>
              </w:rPr>
            </w:pPr>
            <w:r>
              <w:rPr>
                <w:rFonts w:ascii="Arial" w:eastAsia="Times New Roman" w:hAnsi="Arial" w:cs="Arial"/>
                <w:i/>
                <w:iCs/>
                <w:color w:val="000000"/>
                <w:sz w:val="16"/>
                <w:szCs w:val="16"/>
                <w:lang w:val="es-CO" w:eastAsia="es-CO"/>
              </w:rPr>
              <w:t>Prestación de servicios de apoyo a la secretaria de educación como coordinador de deporte y recreación del municipio de Puerto Escondido, Córdoba.</w:t>
            </w:r>
          </w:p>
        </w:tc>
        <w:tc>
          <w:tcPr>
            <w:tcW w:w="624"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$7.458.334</w:t>
            </w:r>
          </w:p>
        </w:tc>
        <w:tc>
          <w:tcPr>
            <w:tcW w:w="714"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Dagoberto Rhenals Espitia</w:t>
            </w:r>
          </w:p>
        </w:tc>
        <w:tc>
          <w:tcPr>
            <w:tcW w:w="551"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Deporte</w:t>
            </w:r>
          </w:p>
        </w:tc>
        <w:tc>
          <w:tcPr>
            <w:tcW w:w="788" w:type="pct"/>
            <w:tcBorders>
              <w:top w:val="nil"/>
              <w:left w:val="nil"/>
              <w:bottom w:val="single" w:sz="8" w:space="0" w:color="auto"/>
              <w:right w:val="single" w:sz="8" w:space="0" w:color="auto"/>
            </w:tcBorders>
            <w:vAlign w:val="center"/>
            <w:hideMark/>
          </w:tcPr>
          <w:p w:rsidR="0006670C" w:rsidRDefault="0006670C">
            <w:pPr>
              <w:spacing w:line="256" w:lineRule="auto"/>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En el sistema no se encuentran el acta de inicio, certificado presupuestal, registro presupuesta y acta de liquidación. </w:t>
            </w:r>
          </w:p>
        </w:tc>
      </w:tr>
      <w:tr w:rsidR="0006670C" w:rsidTr="0006670C">
        <w:trPr>
          <w:trHeight w:val="410"/>
        </w:trPr>
        <w:tc>
          <w:tcPr>
            <w:tcW w:w="0" w:type="auto"/>
            <w:vMerge/>
            <w:tcBorders>
              <w:top w:val="nil"/>
              <w:left w:val="single" w:sz="8" w:space="0" w:color="auto"/>
              <w:bottom w:val="single" w:sz="8" w:space="0" w:color="000000"/>
              <w:right w:val="single" w:sz="8"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726"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PSA-013-2018</w:t>
            </w:r>
          </w:p>
        </w:tc>
        <w:tc>
          <w:tcPr>
            <w:tcW w:w="1164" w:type="pct"/>
            <w:tcBorders>
              <w:top w:val="nil"/>
              <w:left w:val="nil"/>
              <w:bottom w:val="nil"/>
              <w:right w:val="single" w:sz="8" w:space="0" w:color="auto"/>
            </w:tcBorders>
            <w:vAlign w:val="center"/>
            <w:hideMark/>
          </w:tcPr>
          <w:p w:rsidR="0006670C" w:rsidRDefault="0006670C">
            <w:pPr>
              <w:spacing w:line="256" w:lineRule="auto"/>
              <w:jc w:val="both"/>
              <w:rPr>
                <w:rFonts w:ascii="Arial" w:eastAsia="Times New Roman" w:hAnsi="Arial" w:cs="Arial"/>
                <w:i/>
                <w:iCs/>
                <w:color w:val="000000"/>
                <w:sz w:val="16"/>
                <w:szCs w:val="16"/>
                <w:lang w:val="es-CO" w:eastAsia="es-CO"/>
              </w:rPr>
            </w:pPr>
            <w:r>
              <w:rPr>
                <w:rFonts w:ascii="Arial" w:eastAsia="Times New Roman" w:hAnsi="Arial" w:cs="Arial"/>
                <w:i/>
                <w:iCs/>
                <w:color w:val="000000"/>
                <w:sz w:val="16"/>
                <w:szCs w:val="16"/>
                <w:lang w:val="es-CO" w:eastAsia="es-CO"/>
              </w:rPr>
              <w:t>Prestación de servicios de apoyo a la gestión para la actualización de la página web institucional y formación a funcionarios sobre el manejo de la plataforma virtual de gobierno en línea del municipio de Puerto Escondido departamento de Córdoba.</w:t>
            </w:r>
          </w:p>
        </w:tc>
        <w:tc>
          <w:tcPr>
            <w:tcW w:w="624"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$6.564.334</w:t>
            </w:r>
          </w:p>
        </w:tc>
        <w:tc>
          <w:tcPr>
            <w:tcW w:w="714"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Carlos Eduardo Diaz Ávila</w:t>
            </w:r>
          </w:p>
        </w:tc>
        <w:tc>
          <w:tcPr>
            <w:tcW w:w="551"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Libre Inversión</w:t>
            </w:r>
          </w:p>
        </w:tc>
        <w:tc>
          <w:tcPr>
            <w:tcW w:w="788" w:type="pct"/>
            <w:tcBorders>
              <w:top w:val="nil"/>
              <w:left w:val="nil"/>
              <w:bottom w:val="single" w:sz="8" w:space="0" w:color="auto"/>
              <w:right w:val="single" w:sz="8" w:space="0" w:color="auto"/>
            </w:tcBorders>
            <w:vAlign w:val="center"/>
            <w:hideMark/>
          </w:tcPr>
          <w:p w:rsidR="0006670C" w:rsidRDefault="0006670C">
            <w:pPr>
              <w:spacing w:line="256" w:lineRule="auto"/>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En el sistema no se encuentran el acta de inicio, certificado presupuestal, registro presupuesta y acta de liquidación. </w:t>
            </w:r>
          </w:p>
        </w:tc>
      </w:tr>
      <w:tr w:rsidR="0006670C" w:rsidTr="0006670C">
        <w:trPr>
          <w:trHeight w:val="1692"/>
        </w:trPr>
        <w:tc>
          <w:tcPr>
            <w:tcW w:w="0" w:type="auto"/>
            <w:vMerge/>
            <w:tcBorders>
              <w:top w:val="nil"/>
              <w:left w:val="single" w:sz="8" w:space="0" w:color="auto"/>
              <w:bottom w:val="single" w:sz="8" w:space="0" w:color="000000"/>
              <w:right w:val="single" w:sz="8" w:space="0" w:color="auto"/>
            </w:tcBorders>
            <w:vAlign w:val="center"/>
            <w:hideMark/>
          </w:tcPr>
          <w:p w:rsidR="0006670C" w:rsidRDefault="0006670C">
            <w:pPr>
              <w:spacing w:line="256" w:lineRule="auto"/>
              <w:rPr>
                <w:rFonts w:ascii="Arial" w:eastAsia="Times New Roman" w:hAnsi="Arial" w:cs="Arial"/>
                <w:b/>
                <w:bCs/>
                <w:color w:val="FFFFFF"/>
                <w:sz w:val="16"/>
                <w:szCs w:val="16"/>
                <w:lang w:val="es-CO" w:eastAsia="es-CO"/>
              </w:rPr>
            </w:pPr>
          </w:p>
        </w:tc>
        <w:tc>
          <w:tcPr>
            <w:tcW w:w="726"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PSA-016-2018</w:t>
            </w:r>
          </w:p>
        </w:tc>
        <w:tc>
          <w:tcPr>
            <w:tcW w:w="1164" w:type="pct"/>
            <w:tcBorders>
              <w:top w:val="single" w:sz="8" w:space="0" w:color="auto"/>
              <w:left w:val="nil"/>
              <w:bottom w:val="single" w:sz="8" w:space="0" w:color="auto"/>
              <w:right w:val="single" w:sz="8" w:space="0" w:color="auto"/>
            </w:tcBorders>
            <w:vAlign w:val="center"/>
            <w:hideMark/>
          </w:tcPr>
          <w:p w:rsidR="0006670C" w:rsidRDefault="0006670C">
            <w:pPr>
              <w:spacing w:line="256" w:lineRule="auto"/>
              <w:jc w:val="both"/>
              <w:rPr>
                <w:rFonts w:ascii="Arial" w:eastAsia="Times New Roman" w:hAnsi="Arial" w:cs="Arial"/>
                <w:i/>
                <w:iCs/>
                <w:color w:val="000000"/>
                <w:sz w:val="16"/>
                <w:szCs w:val="16"/>
                <w:lang w:val="es-CO" w:eastAsia="es-CO"/>
              </w:rPr>
            </w:pPr>
            <w:r>
              <w:rPr>
                <w:rFonts w:ascii="Arial" w:eastAsia="Times New Roman" w:hAnsi="Arial" w:cs="Arial"/>
                <w:i/>
                <w:iCs/>
                <w:color w:val="000000"/>
                <w:sz w:val="16"/>
                <w:szCs w:val="16"/>
                <w:lang w:val="es-CO" w:eastAsia="es-CO"/>
              </w:rPr>
              <w:t>Contrato de prestación de servicios de apoyo a la gestión de un técnico en sistemas para brindar apoyo operativo y asistencial a la oficina del Sisbén iii en el municipio de puerto escondido.</w:t>
            </w:r>
          </w:p>
        </w:tc>
        <w:tc>
          <w:tcPr>
            <w:tcW w:w="624"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$6.600.000</w:t>
            </w:r>
          </w:p>
        </w:tc>
        <w:tc>
          <w:tcPr>
            <w:tcW w:w="714"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Yorledys Jimenez Villalba</w:t>
            </w:r>
          </w:p>
        </w:tc>
        <w:tc>
          <w:tcPr>
            <w:tcW w:w="551" w:type="pct"/>
            <w:tcBorders>
              <w:top w:val="nil"/>
              <w:left w:val="nil"/>
              <w:bottom w:val="single" w:sz="8" w:space="0" w:color="auto"/>
              <w:right w:val="single" w:sz="8" w:space="0" w:color="auto"/>
            </w:tcBorders>
            <w:vAlign w:val="center"/>
            <w:hideMark/>
          </w:tcPr>
          <w:p w:rsidR="0006670C" w:rsidRDefault="0006670C">
            <w:pPr>
              <w:spacing w:line="256" w:lineRule="auto"/>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Libre Inversión</w:t>
            </w:r>
          </w:p>
        </w:tc>
        <w:tc>
          <w:tcPr>
            <w:tcW w:w="788" w:type="pct"/>
            <w:tcBorders>
              <w:top w:val="nil"/>
              <w:left w:val="nil"/>
              <w:bottom w:val="single" w:sz="8" w:space="0" w:color="auto"/>
              <w:right w:val="single" w:sz="8" w:space="0" w:color="auto"/>
            </w:tcBorders>
            <w:vAlign w:val="center"/>
            <w:hideMark/>
          </w:tcPr>
          <w:p w:rsidR="0006670C" w:rsidRDefault="0006670C">
            <w:pPr>
              <w:spacing w:line="256" w:lineRule="auto"/>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eastAsia="es-CO"/>
              </w:rPr>
              <w:t>En el sistema no se encuentran el acta de inicio, certificado presupuestal y registro presupuestal. </w:t>
            </w:r>
          </w:p>
        </w:tc>
      </w:tr>
    </w:tbl>
    <w:p w:rsidR="0006670C" w:rsidRDefault="0006670C" w:rsidP="0006670C">
      <w:pPr>
        <w:tabs>
          <w:tab w:val="left" w:pos="426"/>
          <w:tab w:val="left" w:pos="2268"/>
        </w:tabs>
        <w:jc w:val="both"/>
        <w:rPr>
          <w:rFonts w:ascii="Arial" w:hAnsi="Arial" w:cs="Arial"/>
          <w:sz w:val="18"/>
          <w:szCs w:val="18"/>
          <w:lang w:val="es-ES_tradnl"/>
        </w:rPr>
      </w:pPr>
      <w:r>
        <w:rPr>
          <w:rFonts w:ascii="Arial" w:hAnsi="Arial" w:cs="Arial"/>
          <w:b/>
          <w:sz w:val="18"/>
          <w:szCs w:val="18"/>
          <w:lang w:val="es-ES_tradnl"/>
        </w:rPr>
        <w:t>Fuente:</w:t>
      </w:r>
      <w:r>
        <w:rPr>
          <w:rFonts w:ascii="Arial" w:hAnsi="Arial" w:cs="Arial"/>
          <w:sz w:val="18"/>
          <w:szCs w:val="18"/>
          <w:lang w:val="es-ES_tradnl"/>
        </w:rPr>
        <w:t xml:space="preserve"> Elaboración propia con base en la información contenida en el “</w:t>
      </w:r>
      <w:r>
        <w:rPr>
          <w:rFonts w:ascii="Arial" w:hAnsi="Arial" w:cs="Arial"/>
          <w:i/>
          <w:iCs/>
          <w:sz w:val="18"/>
          <w:szCs w:val="18"/>
          <w:lang w:val="es-ES_tradnl"/>
        </w:rPr>
        <w:t>Informe de monitoreo de campo, Puerto Escondido, Córdoba. Vigencias 2017 y 2018</w:t>
      </w:r>
      <w:r>
        <w:rPr>
          <w:rFonts w:ascii="Arial" w:hAnsi="Arial" w:cs="Arial"/>
          <w:sz w:val="18"/>
          <w:szCs w:val="18"/>
          <w:lang w:val="es-ES_tradnl"/>
        </w:rPr>
        <w:t>” y la información cargada al SECOP con fecha de corte: 4 de marzo de 2021.</w:t>
      </w:r>
    </w:p>
    <w:p w:rsidR="0006670C" w:rsidRDefault="0006670C" w:rsidP="0006670C">
      <w:pPr>
        <w:tabs>
          <w:tab w:val="left" w:pos="426"/>
          <w:tab w:val="left" w:pos="2268"/>
        </w:tabs>
        <w:jc w:val="both"/>
        <w:rPr>
          <w:rFonts w:ascii="Arial" w:hAnsi="Arial" w:cs="Arial"/>
          <w:color w:val="000000"/>
          <w:sz w:val="22"/>
          <w:szCs w:val="22"/>
          <w:lang w:val="es-ES_tradnl"/>
        </w:rPr>
      </w:pPr>
    </w:p>
    <w:p w:rsidR="0006670C" w:rsidRDefault="0006670C" w:rsidP="0006670C">
      <w:pPr>
        <w:tabs>
          <w:tab w:val="left" w:pos="426"/>
          <w:tab w:val="left" w:pos="2268"/>
        </w:tabs>
        <w:jc w:val="both"/>
        <w:rPr>
          <w:rFonts w:ascii="Arial" w:hAnsi="Arial" w:cs="Arial"/>
          <w:sz w:val="22"/>
          <w:szCs w:val="22"/>
          <w:lang w:val="es-ES_tradnl"/>
        </w:rPr>
      </w:pPr>
      <w:r>
        <w:rPr>
          <w:rFonts w:ascii="Arial" w:hAnsi="Arial" w:cs="Arial"/>
          <w:sz w:val="22"/>
          <w:szCs w:val="22"/>
          <w:lang w:val="es-ES_tradnl"/>
        </w:rPr>
        <w:t>Con lo anterior, se soporta que en el SECOP no se cuenta con la documentación pertinente que permita ver la trazabilidad de los contratos celebrados en sus diferentes etapas. Además, se logró verificar que esto ocurre con la mayoría de contratos que fueron ejecutados con los recursos del Sistema General de Participaciones – Propósito General y sus respectivas destinaciones: Libre Inversión, Cultura y Deporte.</w:t>
      </w:r>
    </w:p>
    <w:p w:rsidR="0006670C" w:rsidRDefault="0006670C" w:rsidP="0006670C">
      <w:pPr>
        <w:tabs>
          <w:tab w:val="left" w:pos="426"/>
          <w:tab w:val="left" w:pos="2268"/>
        </w:tabs>
        <w:jc w:val="both"/>
        <w:rPr>
          <w:rFonts w:ascii="Arial" w:hAnsi="Arial" w:cs="Arial"/>
          <w:sz w:val="22"/>
          <w:szCs w:val="22"/>
          <w:lang w:val="es-ES_tradnl"/>
        </w:rPr>
      </w:pPr>
    </w:p>
    <w:p w:rsidR="0006670C" w:rsidRDefault="0006670C" w:rsidP="0006670C">
      <w:pPr>
        <w:tabs>
          <w:tab w:val="left" w:pos="426"/>
          <w:tab w:val="left" w:pos="2268"/>
        </w:tabs>
        <w:jc w:val="both"/>
        <w:rPr>
          <w:rFonts w:ascii="Arial" w:hAnsi="Arial" w:cs="Arial"/>
          <w:color w:val="000000" w:themeColor="text1"/>
          <w:sz w:val="22"/>
          <w:szCs w:val="22"/>
          <w:lang w:val="es-ES_tradnl"/>
        </w:rPr>
      </w:pPr>
      <w:r>
        <w:rPr>
          <w:rFonts w:ascii="Arial" w:hAnsi="Arial" w:cs="Arial"/>
          <w:sz w:val="22"/>
          <w:szCs w:val="22"/>
          <w:lang w:val="es-ES_tradnl"/>
        </w:rPr>
        <w:t xml:space="preserve">También llama la atención que hay tres (3) contratos que no tienen ningún tipo de información o documentación cargada en el Sistema, ellos son: Contrato 165 de 2018, Contrato 73 de 2018 y </w:t>
      </w:r>
      <w:r>
        <w:rPr>
          <w:rFonts w:ascii="Arial" w:hAnsi="Arial" w:cs="Arial"/>
          <w:sz w:val="22"/>
          <w:szCs w:val="22"/>
          <w:lang w:val="es-ES_tradnl"/>
        </w:rPr>
        <w:lastRenderedPageBreak/>
        <w:t xml:space="preserve">Contrato 149 de 2018. </w:t>
      </w:r>
      <w:r>
        <w:rPr>
          <w:rFonts w:ascii="Arial" w:hAnsi="Arial" w:cs="Arial"/>
          <w:color w:val="000000" w:themeColor="text1"/>
          <w:sz w:val="22"/>
          <w:szCs w:val="22"/>
          <w:lang w:val="es-ES_tradnl"/>
        </w:rPr>
        <w:t>En consecuencia, el Municipio de Puerto Escondido - Córdoba no atendió lo preceptuado en los artículos 2.1.1.2.1.7 y 2.1.1.2.1.8 del Decreto 1081 de 2015 y los artículos 2.2.1.1.1.7.1 y 2.2.2.1.8.3 del Decreto 1082 de 2015 en lo relacionado con “</w:t>
      </w:r>
      <w:r>
        <w:rPr>
          <w:rFonts w:ascii="Arial" w:hAnsi="Arial" w:cs="Arial"/>
          <w:i/>
          <w:iCs/>
          <w:color w:val="000000" w:themeColor="text1"/>
          <w:sz w:val="22"/>
          <w:szCs w:val="22"/>
          <w:lang w:val="es-ES_tradnl"/>
        </w:rPr>
        <w:t>la publicidad de los procedimientos, documentos y actos asociados a los procesos de contratación</w:t>
      </w:r>
      <w:r>
        <w:rPr>
          <w:rFonts w:ascii="Arial" w:hAnsi="Arial" w:cs="Arial"/>
          <w:color w:val="000000" w:themeColor="text1"/>
          <w:sz w:val="22"/>
          <w:szCs w:val="22"/>
          <w:lang w:val="es-ES_tradnl"/>
        </w:rPr>
        <w:t>”.</w:t>
      </w:r>
    </w:p>
    <w:p w:rsidR="0006670C" w:rsidRDefault="0006670C" w:rsidP="0006670C">
      <w:pPr>
        <w:tabs>
          <w:tab w:val="left" w:pos="426"/>
          <w:tab w:val="left" w:pos="2268"/>
        </w:tabs>
        <w:jc w:val="both"/>
        <w:rPr>
          <w:rFonts w:ascii="Arial" w:eastAsiaTheme="minorHAnsi" w:hAnsi="Arial" w:cs="Arial"/>
          <w:sz w:val="22"/>
          <w:szCs w:val="22"/>
          <w:lang w:val="es-CO" w:eastAsia="en-US"/>
        </w:rPr>
      </w:pPr>
    </w:p>
    <w:p w:rsidR="0006670C" w:rsidRDefault="0006670C" w:rsidP="0006670C">
      <w:pPr>
        <w:pStyle w:val="Prrafodelista"/>
        <w:numPr>
          <w:ilvl w:val="0"/>
          <w:numId w:val="45"/>
        </w:numPr>
        <w:spacing w:line="240" w:lineRule="auto"/>
        <w:jc w:val="both"/>
        <w:textAlignment w:val="baseline"/>
        <w:rPr>
          <w:rStyle w:val="normaltextrun"/>
          <w:rFonts w:eastAsia="Times New Roman"/>
          <w:sz w:val="24"/>
          <w:szCs w:val="24"/>
          <w:lang w:val="es-ES" w:eastAsia="es-CO"/>
        </w:rPr>
      </w:pPr>
      <w:r>
        <w:rPr>
          <w:rStyle w:val="normaltextrun"/>
          <w:rFonts w:ascii="Arial" w:hAnsi="Arial" w:cs="Arial"/>
          <w:b/>
          <w:bCs/>
          <w:color w:val="000000"/>
          <w:shd w:val="clear" w:color="auto" w:fill="FFFFFF"/>
        </w:rPr>
        <w:t>Institucional.</w:t>
      </w:r>
    </w:p>
    <w:p w:rsidR="0006670C" w:rsidRDefault="0006670C" w:rsidP="0006670C">
      <w:pPr>
        <w:pStyle w:val="Sinespaciado"/>
        <w:jc w:val="both"/>
        <w:rPr>
          <w:rFonts w:ascii="Arial" w:eastAsia="MS Mincho" w:hAnsi="Arial" w:cs="Arial"/>
          <w:color w:val="000000"/>
          <w:lang w:val="es-ES" w:eastAsia="es-ES"/>
        </w:rPr>
      </w:pPr>
    </w:p>
    <w:p w:rsidR="0006670C" w:rsidRDefault="0006670C" w:rsidP="0006670C">
      <w:pPr>
        <w:pStyle w:val="Sinespaciado"/>
        <w:jc w:val="both"/>
        <w:rPr>
          <w:rFonts w:eastAsia="MS Mincho"/>
          <w:color w:val="000000"/>
          <w:lang w:eastAsia="es-ES"/>
        </w:rPr>
      </w:pPr>
      <w:r>
        <w:rPr>
          <w:rFonts w:ascii="Arial" w:eastAsia="MS Mincho" w:hAnsi="Arial" w:cs="Arial"/>
          <w:color w:val="000000"/>
          <w:lang w:val="es-ES" w:eastAsia="es-ES"/>
        </w:rPr>
        <w:t xml:space="preserve">El informe del DNP indica que el </w:t>
      </w:r>
      <w:r>
        <w:rPr>
          <w:rFonts w:ascii="Arial" w:hAnsi="Arial" w:cs="Arial"/>
        </w:rPr>
        <w:t xml:space="preserve">Municipio de Puerto Escondido – Córdoba, no cuenta con su respectivo banco de proyectos, sin embargo, evidenciaron unos proyectos de inversión formulados con </w:t>
      </w:r>
      <w:r>
        <w:rPr>
          <w:rFonts w:ascii="Arial" w:eastAsia="MS Mincho" w:hAnsi="Arial" w:cs="Arial"/>
          <w:color w:val="000000"/>
          <w:lang w:val="es-ES" w:eastAsia="es-ES"/>
        </w:rPr>
        <w:t>la metodología MGA. El DNP también confirma que el Municipio cuenta con su respectivo plan indicativo y el POAI.</w:t>
      </w:r>
    </w:p>
    <w:p w:rsidR="0006670C" w:rsidRDefault="0006670C" w:rsidP="0006670C">
      <w:pPr>
        <w:jc w:val="both"/>
        <w:rPr>
          <w:rFonts w:ascii="Arial" w:hAnsi="Arial" w:cs="Arial"/>
          <w:sz w:val="22"/>
          <w:szCs w:val="22"/>
        </w:rPr>
      </w:pPr>
    </w:p>
    <w:p w:rsidR="0006670C" w:rsidRDefault="0006670C" w:rsidP="0006670C">
      <w:pPr>
        <w:jc w:val="both"/>
        <w:rPr>
          <w:rFonts w:ascii="Arial" w:hAnsi="Arial" w:cs="Arial"/>
          <w:sz w:val="22"/>
          <w:szCs w:val="22"/>
        </w:rPr>
      </w:pPr>
      <w:r>
        <w:rPr>
          <w:rFonts w:ascii="Arial" w:hAnsi="Arial" w:cs="Arial"/>
          <w:sz w:val="22"/>
          <w:szCs w:val="22"/>
        </w:rPr>
        <w:t>El análisis que se presenta a continuación es basado en la información que refleja el Plan de Desarrollo y la información cargada al SIEE. Por lo tanto, es importante mencionar que el Plan de Desarrollo 2016-2019 “</w:t>
      </w:r>
      <w:r>
        <w:rPr>
          <w:rFonts w:ascii="Arial" w:hAnsi="Arial" w:cs="Arial"/>
          <w:i/>
          <w:iCs/>
          <w:sz w:val="22"/>
          <w:szCs w:val="22"/>
        </w:rPr>
        <w:t>Todos Ganamos</w:t>
      </w:r>
      <w:r>
        <w:rPr>
          <w:rFonts w:ascii="Arial" w:hAnsi="Arial" w:cs="Arial"/>
          <w:sz w:val="22"/>
          <w:szCs w:val="22"/>
        </w:rPr>
        <w:t>” establece cuatro ejes estratégicos o dimensiones institucionales y dos ejes trasversales, que se desarrollan en 17 sectores de inversión y 30 programas con sus respectivas metas. Plantea un total de 143 metas de resultado para el cuatrienio distribuidos en los 18 sectores de inversión establecidos en el artículo 76 de la Ley 715 de 2001 como se muestra a continuación:</w:t>
      </w:r>
    </w:p>
    <w:p w:rsidR="0006670C" w:rsidRDefault="0006670C" w:rsidP="0006670C">
      <w:pPr>
        <w:jc w:val="both"/>
        <w:rPr>
          <w:rFonts w:ascii="Arial" w:eastAsiaTheme="minorEastAsia" w:hAnsi="Arial" w:cs="Arial"/>
          <w:sz w:val="22"/>
          <w:szCs w:val="22"/>
          <w:lang w:val="es-ES_tradnl" w:eastAsia="zh-CN"/>
        </w:rPr>
      </w:pPr>
    </w:p>
    <w:p w:rsidR="0006670C" w:rsidRDefault="0006670C" w:rsidP="0006670C">
      <w:pPr>
        <w:pStyle w:val="Prrafodelista"/>
        <w:spacing w:line="240" w:lineRule="auto"/>
        <w:jc w:val="center"/>
        <w:rPr>
          <w:rFonts w:ascii="Arial" w:hAnsi="Arial" w:cs="Arial"/>
          <w:b/>
          <w:bCs/>
          <w:sz w:val="18"/>
          <w:szCs w:val="18"/>
        </w:rPr>
      </w:pPr>
      <w:r>
        <w:rPr>
          <w:rFonts w:ascii="Arial" w:hAnsi="Arial" w:cs="Arial"/>
          <w:b/>
          <w:bCs/>
          <w:sz w:val="18"/>
          <w:szCs w:val="18"/>
        </w:rPr>
        <w:t>Gráfico N° 4.</w:t>
      </w:r>
    </w:p>
    <w:p w:rsidR="0006670C" w:rsidRDefault="0006670C" w:rsidP="0006670C">
      <w:pPr>
        <w:pStyle w:val="Prrafodelista"/>
        <w:spacing w:line="240" w:lineRule="auto"/>
        <w:jc w:val="center"/>
        <w:rPr>
          <w:rFonts w:ascii="Arial" w:hAnsi="Arial" w:cs="Arial"/>
          <w:b/>
          <w:bCs/>
          <w:sz w:val="18"/>
          <w:szCs w:val="18"/>
        </w:rPr>
      </w:pPr>
      <w:r>
        <w:rPr>
          <w:rFonts w:ascii="Arial" w:hAnsi="Arial" w:cs="Arial"/>
          <w:b/>
          <w:bCs/>
          <w:sz w:val="18"/>
          <w:szCs w:val="18"/>
        </w:rPr>
        <w:t>Plan indicativo 2016-2019 – Puerto Escondido, Córdoba</w:t>
      </w:r>
    </w:p>
    <w:p w:rsidR="0006670C" w:rsidRDefault="0006670C" w:rsidP="0006670C">
      <w:pPr>
        <w:pStyle w:val="Prrafodelista"/>
        <w:spacing w:line="240" w:lineRule="auto"/>
        <w:ind w:left="0"/>
        <w:jc w:val="center"/>
        <w:rPr>
          <w:rFonts w:ascii="Arial" w:hAnsi="Arial" w:cs="Arial"/>
          <w:b/>
          <w:bCs/>
          <w:sz w:val="18"/>
          <w:szCs w:val="18"/>
        </w:rPr>
      </w:pPr>
      <w:r>
        <w:rPr>
          <w:noProof/>
          <w:lang w:eastAsia="es-CO"/>
        </w:rPr>
        <w:drawing>
          <wp:inline distT="0" distB="0" distL="0" distR="0">
            <wp:extent cx="6219825" cy="1952625"/>
            <wp:effectExtent l="0" t="19050" r="28575" b="47625"/>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6670C" w:rsidRDefault="0006670C" w:rsidP="0006670C">
      <w:pPr>
        <w:pStyle w:val="Prrafodelista"/>
        <w:spacing w:line="240" w:lineRule="auto"/>
        <w:ind w:left="0"/>
        <w:jc w:val="center"/>
        <w:rPr>
          <w:rFonts w:ascii="Arial" w:hAnsi="Arial" w:cs="Arial"/>
          <w:b/>
          <w:bCs/>
          <w:sz w:val="18"/>
          <w:szCs w:val="18"/>
        </w:rPr>
      </w:pPr>
    </w:p>
    <w:p w:rsidR="0006670C" w:rsidRDefault="0006670C" w:rsidP="0006670C">
      <w:pPr>
        <w:jc w:val="center"/>
        <w:rPr>
          <w:rFonts w:ascii="Arial Narrow" w:hAnsi="Arial Narrow" w:cs="Arial"/>
        </w:rPr>
      </w:pPr>
      <w:r>
        <w:rPr>
          <w:rFonts w:ascii="Arial" w:hAnsi="Arial" w:cs="Arial"/>
          <w:noProof/>
          <w:sz w:val="20"/>
          <w:szCs w:val="20"/>
          <w:lang w:val="es-CO" w:eastAsia="es-CO"/>
        </w:rPr>
        <w:lastRenderedPageBreak/>
        <w:drawing>
          <wp:inline distT="0" distB="0" distL="0" distR="0">
            <wp:extent cx="5972175" cy="3067050"/>
            <wp:effectExtent l="0" t="0" r="9525" b="0"/>
            <wp:docPr id="18" name="Imagen 18"/>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Gráfico 19"/>
                    <pic:cNvPicPr>
                      <a:picLocks noGrp="1" noSelect="1" noRot="1" noChangeAspect="1" noMove="1" noResize="1" noEditPoints="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2175" cy="3067050"/>
                    </a:xfrm>
                    <a:prstGeom prst="rect">
                      <a:avLst/>
                    </a:prstGeom>
                    <a:noFill/>
                    <a:ln>
                      <a:noFill/>
                    </a:ln>
                  </pic:spPr>
                </pic:pic>
              </a:graphicData>
            </a:graphic>
          </wp:inline>
        </w:drawing>
      </w:r>
    </w:p>
    <w:p w:rsidR="0006670C" w:rsidRDefault="0006670C" w:rsidP="0006670C">
      <w:pPr>
        <w:jc w:val="center"/>
        <w:rPr>
          <w:rFonts w:ascii="Arial" w:hAnsi="Arial" w:cs="Arial"/>
          <w:sz w:val="18"/>
          <w:szCs w:val="18"/>
        </w:rPr>
      </w:pPr>
      <w:r>
        <w:rPr>
          <w:rFonts w:ascii="Arial" w:hAnsi="Arial" w:cs="Arial"/>
          <w:b/>
          <w:sz w:val="18"/>
          <w:szCs w:val="18"/>
        </w:rPr>
        <w:t>Fuente:</w:t>
      </w:r>
      <w:r>
        <w:rPr>
          <w:rFonts w:ascii="Arial" w:hAnsi="Arial" w:cs="Arial"/>
          <w:sz w:val="18"/>
          <w:szCs w:val="18"/>
        </w:rPr>
        <w:t xml:space="preserve"> Elaboración propia con base en la información remitida por la Entidad Territorial y la información reportada al Sistema de Información para la Evaluación de la Eficacia – SIEE.</w:t>
      </w:r>
    </w:p>
    <w:p w:rsidR="0006670C" w:rsidRDefault="0006670C" w:rsidP="0006670C">
      <w:pPr>
        <w:jc w:val="both"/>
        <w:textAlignment w:val="baseline"/>
        <w:rPr>
          <w:rFonts w:ascii="Arial" w:hAnsi="Arial" w:cs="Arial"/>
          <w:sz w:val="22"/>
          <w:szCs w:val="22"/>
        </w:rPr>
      </w:pPr>
    </w:p>
    <w:p w:rsidR="0006670C" w:rsidRDefault="0006670C" w:rsidP="0006670C">
      <w:pPr>
        <w:pStyle w:val="Prrafodelista"/>
        <w:spacing w:line="240" w:lineRule="auto"/>
        <w:ind w:left="0"/>
        <w:jc w:val="both"/>
        <w:rPr>
          <w:rFonts w:ascii="Arial" w:hAnsi="Arial" w:cs="Arial"/>
        </w:rPr>
      </w:pPr>
      <w:r>
        <w:rPr>
          <w:rFonts w:ascii="Arial" w:hAnsi="Arial" w:cs="Arial"/>
        </w:rPr>
        <w:t>El gráfico anterior, refleja cuales son los sectores de inversión priorizados por el Municipio en su programación. La Participación de Propósito General tiene una gran importancia en el financiamiento de las metas desde la programación, ya que, del total de 143 metas programadas por el Municipio, se programaron 69 a financiar con los recursos del SGP-PG, es decir, el 48 % de las metas que debía ejecutar el Municipio se respaldaban con los recursos de Propósito General.</w:t>
      </w:r>
    </w:p>
    <w:p w:rsidR="0006670C" w:rsidRDefault="0006670C" w:rsidP="0006670C">
      <w:pPr>
        <w:pStyle w:val="Prrafodelista"/>
        <w:spacing w:line="240" w:lineRule="auto"/>
        <w:ind w:left="0"/>
        <w:jc w:val="both"/>
        <w:rPr>
          <w:rFonts w:ascii="Arial" w:hAnsi="Arial" w:cs="Arial"/>
        </w:rPr>
      </w:pPr>
    </w:p>
    <w:p w:rsidR="0006670C" w:rsidRDefault="0006670C" w:rsidP="0006670C">
      <w:pPr>
        <w:jc w:val="center"/>
        <w:rPr>
          <w:rFonts w:ascii="Arial" w:hAnsi="Arial" w:cs="Arial"/>
          <w:b/>
          <w:bCs/>
          <w:sz w:val="18"/>
          <w:szCs w:val="18"/>
        </w:rPr>
      </w:pPr>
      <w:r>
        <w:rPr>
          <w:rFonts w:ascii="Arial" w:hAnsi="Arial" w:cs="Arial"/>
          <w:b/>
          <w:bCs/>
          <w:sz w:val="18"/>
          <w:szCs w:val="18"/>
        </w:rPr>
        <w:t>Cuadro N° 10</w:t>
      </w:r>
    </w:p>
    <w:p w:rsidR="0006670C" w:rsidRDefault="0006670C" w:rsidP="0006670C">
      <w:pPr>
        <w:jc w:val="center"/>
        <w:rPr>
          <w:rFonts w:ascii="Arial" w:hAnsi="Arial" w:cs="Arial"/>
          <w:bCs/>
          <w:sz w:val="18"/>
          <w:szCs w:val="18"/>
        </w:rPr>
      </w:pPr>
      <w:r>
        <w:rPr>
          <w:rFonts w:ascii="Arial" w:hAnsi="Arial" w:cs="Arial"/>
          <w:bCs/>
          <w:sz w:val="18"/>
          <w:szCs w:val="18"/>
        </w:rPr>
        <w:t>Plan Indicativo, Metas Programadas vs Metas Ejecutadas - PG del Municipio de Puerto Escondido – Córdoba.</w:t>
      </w:r>
    </w:p>
    <w:tbl>
      <w:tblPr>
        <w:tblW w:w="6453" w:type="dxa"/>
        <w:jc w:val="center"/>
        <w:tblCellMar>
          <w:left w:w="70" w:type="dxa"/>
          <w:right w:w="70" w:type="dxa"/>
        </w:tblCellMar>
        <w:tblLook w:val="04A0" w:firstRow="1" w:lastRow="0" w:firstColumn="1" w:lastColumn="0" w:noHBand="0" w:noVBand="1"/>
      </w:tblPr>
      <w:tblGrid>
        <w:gridCol w:w="1560"/>
        <w:gridCol w:w="1480"/>
        <w:gridCol w:w="1592"/>
        <w:gridCol w:w="1821"/>
      </w:tblGrid>
      <w:tr w:rsidR="0006670C" w:rsidTr="0006670C">
        <w:trPr>
          <w:trHeight w:val="579"/>
          <w:jc w:val="center"/>
        </w:trPr>
        <w:tc>
          <w:tcPr>
            <w:tcW w:w="156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eastAsia="es-CO"/>
              </w:rPr>
              <w:t>Propósito General</w:t>
            </w:r>
          </w:p>
        </w:tc>
        <w:tc>
          <w:tcPr>
            <w:tcW w:w="1480"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eastAsia="es-CO"/>
              </w:rPr>
              <w:t>SGP - PG Programado</w:t>
            </w:r>
          </w:p>
        </w:tc>
        <w:tc>
          <w:tcPr>
            <w:tcW w:w="1592"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eastAsia="es-CO"/>
              </w:rPr>
              <w:t>SGP - PG Ejecutado</w:t>
            </w:r>
          </w:p>
        </w:tc>
        <w:tc>
          <w:tcPr>
            <w:tcW w:w="1821"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eastAsia="es-CO"/>
              </w:rPr>
              <w:t>Diferencia</w:t>
            </w:r>
          </w:p>
        </w:tc>
      </w:tr>
      <w:tr w:rsidR="0006670C" w:rsidTr="0006670C">
        <w:trPr>
          <w:trHeight w:val="240"/>
          <w:jc w:val="center"/>
        </w:trPr>
        <w:tc>
          <w:tcPr>
            <w:tcW w:w="15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eastAsia="es-CO"/>
              </w:rPr>
              <w:t>2016</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69</w:t>
            </w:r>
          </w:p>
        </w:tc>
        <w:tc>
          <w:tcPr>
            <w:tcW w:w="159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15</w:t>
            </w:r>
          </w:p>
        </w:tc>
        <w:tc>
          <w:tcPr>
            <w:tcW w:w="1821"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i/>
                <w:color w:val="000000"/>
                <w:sz w:val="18"/>
                <w:szCs w:val="18"/>
                <w:lang w:val="es-CO" w:eastAsia="es-CO"/>
              </w:rPr>
            </w:pPr>
            <w:r>
              <w:rPr>
                <w:rFonts w:ascii="Arial" w:eastAsia="Times New Roman" w:hAnsi="Arial" w:cs="Arial"/>
                <w:i/>
                <w:color w:val="000000"/>
                <w:sz w:val="18"/>
                <w:szCs w:val="18"/>
                <w:lang w:eastAsia="es-CO"/>
              </w:rPr>
              <w:t>54</w:t>
            </w:r>
          </w:p>
        </w:tc>
      </w:tr>
      <w:tr w:rsidR="0006670C" w:rsidTr="0006670C">
        <w:trPr>
          <w:trHeight w:val="240"/>
          <w:jc w:val="center"/>
        </w:trPr>
        <w:tc>
          <w:tcPr>
            <w:tcW w:w="15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eastAsia="es-CO"/>
              </w:rPr>
              <w:t>2017</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69</w:t>
            </w:r>
          </w:p>
        </w:tc>
        <w:tc>
          <w:tcPr>
            <w:tcW w:w="159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0</w:t>
            </w:r>
          </w:p>
        </w:tc>
        <w:tc>
          <w:tcPr>
            <w:tcW w:w="1821"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i/>
                <w:color w:val="000000"/>
                <w:sz w:val="18"/>
                <w:szCs w:val="18"/>
                <w:lang w:val="es-CO" w:eastAsia="es-CO"/>
              </w:rPr>
            </w:pPr>
            <w:r>
              <w:rPr>
                <w:rFonts w:ascii="Arial" w:eastAsia="Times New Roman" w:hAnsi="Arial" w:cs="Arial"/>
                <w:i/>
                <w:color w:val="000000"/>
                <w:sz w:val="18"/>
                <w:szCs w:val="18"/>
                <w:lang w:eastAsia="es-CO"/>
              </w:rPr>
              <w:t>69</w:t>
            </w:r>
          </w:p>
        </w:tc>
      </w:tr>
      <w:tr w:rsidR="0006670C" w:rsidTr="0006670C">
        <w:trPr>
          <w:trHeight w:val="241"/>
          <w:jc w:val="center"/>
        </w:trPr>
        <w:tc>
          <w:tcPr>
            <w:tcW w:w="15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eastAsia="es-CO"/>
              </w:rPr>
              <w:t>2018</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69</w:t>
            </w:r>
          </w:p>
        </w:tc>
        <w:tc>
          <w:tcPr>
            <w:tcW w:w="159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55</w:t>
            </w:r>
          </w:p>
        </w:tc>
        <w:tc>
          <w:tcPr>
            <w:tcW w:w="1821"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i/>
                <w:color w:val="000000"/>
                <w:sz w:val="18"/>
                <w:szCs w:val="18"/>
                <w:lang w:val="es-CO" w:eastAsia="es-CO"/>
              </w:rPr>
            </w:pPr>
            <w:r>
              <w:rPr>
                <w:rFonts w:ascii="Arial" w:eastAsia="Times New Roman" w:hAnsi="Arial" w:cs="Arial"/>
                <w:i/>
                <w:color w:val="000000"/>
                <w:sz w:val="18"/>
                <w:szCs w:val="18"/>
                <w:lang w:eastAsia="es-CO"/>
              </w:rPr>
              <w:t>14</w:t>
            </w:r>
          </w:p>
        </w:tc>
      </w:tr>
      <w:tr w:rsidR="0006670C" w:rsidTr="0006670C">
        <w:trPr>
          <w:trHeight w:val="247"/>
          <w:jc w:val="center"/>
        </w:trPr>
        <w:tc>
          <w:tcPr>
            <w:tcW w:w="15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eastAsia="es-CO"/>
              </w:rPr>
              <w:t>2019</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65</w:t>
            </w:r>
          </w:p>
        </w:tc>
        <w:tc>
          <w:tcPr>
            <w:tcW w:w="159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44</w:t>
            </w:r>
          </w:p>
        </w:tc>
        <w:tc>
          <w:tcPr>
            <w:tcW w:w="1821"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i/>
                <w:color w:val="000000"/>
                <w:sz w:val="18"/>
                <w:szCs w:val="18"/>
                <w:lang w:val="es-CO" w:eastAsia="es-CO"/>
              </w:rPr>
            </w:pPr>
            <w:r>
              <w:rPr>
                <w:rFonts w:ascii="Arial" w:eastAsia="Times New Roman" w:hAnsi="Arial" w:cs="Arial"/>
                <w:i/>
                <w:color w:val="000000"/>
                <w:sz w:val="18"/>
                <w:szCs w:val="18"/>
                <w:lang w:eastAsia="es-CO"/>
              </w:rPr>
              <w:t>21</w:t>
            </w:r>
          </w:p>
        </w:tc>
      </w:tr>
      <w:tr w:rsidR="0006670C" w:rsidTr="0006670C">
        <w:trPr>
          <w:trHeight w:val="240"/>
          <w:jc w:val="center"/>
        </w:trPr>
        <w:tc>
          <w:tcPr>
            <w:tcW w:w="156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i/>
                <w:color w:val="000000"/>
                <w:sz w:val="18"/>
                <w:szCs w:val="18"/>
                <w:lang w:val="es-CO" w:eastAsia="es-CO"/>
              </w:rPr>
            </w:pPr>
            <w:r>
              <w:rPr>
                <w:rFonts w:ascii="Arial" w:eastAsia="Times New Roman" w:hAnsi="Arial" w:cs="Arial"/>
                <w:b/>
                <w:bCs/>
                <w:i/>
                <w:color w:val="000000"/>
                <w:sz w:val="18"/>
                <w:szCs w:val="18"/>
                <w:lang w:eastAsia="es-CO"/>
              </w:rPr>
              <w:t>Total Cuatrienio</w:t>
            </w:r>
          </w:p>
        </w:tc>
        <w:tc>
          <w:tcPr>
            <w:tcW w:w="1480"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b/>
                <w:i/>
                <w:color w:val="000000"/>
                <w:sz w:val="18"/>
                <w:szCs w:val="18"/>
                <w:lang w:val="es-CO" w:eastAsia="es-CO"/>
              </w:rPr>
            </w:pPr>
            <w:r>
              <w:rPr>
                <w:rFonts w:ascii="Arial" w:eastAsia="Times New Roman" w:hAnsi="Arial" w:cs="Arial"/>
                <w:b/>
                <w:i/>
                <w:color w:val="000000"/>
                <w:sz w:val="18"/>
                <w:szCs w:val="18"/>
                <w:lang w:eastAsia="es-CO"/>
              </w:rPr>
              <w:t>272</w:t>
            </w:r>
          </w:p>
        </w:tc>
        <w:tc>
          <w:tcPr>
            <w:tcW w:w="1592"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b/>
                <w:i/>
                <w:color w:val="000000"/>
                <w:sz w:val="18"/>
                <w:szCs w:val="18"/>
                <w:lang w:val="es-CO" w:eastAsia="es-CO"/>
              </w:rPr>
            </w:pPr>
            <w:r>
              <w:rPr>
                <w:rFonts w:ascii="Arial" w:eastAsia="Times New Roman" w:hAnsi="Arial" w:cs="Arial"/>
                <w:b/>
                <w:i/>
                <w:color w:val="000000"/>
                <w:sz w:val="18"/>
                <w:szCs w:val="18"/>
                <w:lang w:eastAsia="es-CO"/>
              </w:rPr>
              <w:t>114</w:t>
            </w:r>
          </w:p>
        </w:tc>
        <w:tc>
          <w:tcPr>
            <w:tcW w:w="1821"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b/>
                <w:i/>
                <w:color w:val="000000"/>
                <w:sz w:val="18"/>
                <w:szCs w:val="18"/>
                <w:lang w:val="es-CO" w:eastAsia="es-CO"/>
              </w:rPr>
            </w:pPr>
            <w:r>
              <w:rPr>
                <w:rFonts w:ascii="Arial" w:eastAsia="Times New Roman" w:hAnsi="Arial" w:cs="Arial"/>
                <w:b/>
                <w:i/>
                <w:color w:val="000000"/>
                <w:sz w:val="18"/>
                <w:szCs w:val="18"/>
                <w:lang w:eastAsia="es-CO"/>
              </w:rPr>
              <w:t>158</w:t>
            </w:r>
          </w:p>
        </w:tc>
      </w:tr>
    </w:tbl>
    <w:p w:rsidR="0006670C" w:rsidRDefault="0006670C" w:rsidP="0006670C">
      <w:pPr>
        <w:jc w:val="center"/>
        <w:rPr>
          <w:rFonts w:ascii="Arial" w:hAnsi="Arial" w:cs="Arial"/>
          <w:sz w:val="18"/>
          <w:szCs w:val="18"/>
        </w:rPr>
      </w:pPr>
      <w:r>
        <w:rPr>
          <w:rFonts w:ascii="Arial" w:hAnsi="Arial" w:cs="Arial"/>
          <w:b/>
          <w:sz w:val="18"/>
          <w:szCs w:val="18"/>
        </w:rPr>
        <w:t>Fuente:</w:t>
      </w:r>
      <w:r>
        <w:rPr>
          <w:rFonts w:ascii="Arial" w:hAnsi="Arial" w:cs="Arial"/>
          <w:sz w:val="18"/>
          <w:szCs w:val="18"/>
        </w:rPr>
        <w:t xml:space="preserve"> Elaboración propia con base en la información reportada al Sistema de Información para la Evaluación de la Eficacia – SIEE.</w:t>
      </w:r>
    </w:p>
    <w:p w:rsidR="0006670C" w:rsidRDefault="0006670C" w:rsidP="0006670C">
      <w:pPr>
        <w:pStyle w:val="Prrafodelista"/>
        <w:spacing w:line="240" w:lineRule="auto"/>
        <w:ind w:left="0"/>
        <w:jc w:val="both"/>
        <w:rPr>
          <w:rFonts w:ascii="Arial" w:hAnsi="Arial" w:cs="Arial"/>
        </w:rPr>
      </w:pPr>
    </w:p>
    <w:p w:rsidR="0006670C" w:rsidRDefault="0006670C" w:rsidP="0006670C">
      <w:pPr>
        <w:pStyle w:val="Prrafodelista"/>
        <w:spacing w:line="240" w:lineRule="auto"/>
        <w:ind w:left="0"/>
        <w:jc w:val="both"/>
        <w:rPr>
          <w:rFonts w:ascii="Arial" w:hAnsi="Arial" w:cs="Arial"/>
        </w:rPr>
      </w:pPr>
      <w:r>
        <w:rPr>
          <w:rFonts w:ascii="Arial" w:hAnsi="Arial" w:cs="Arial"/>
        </w:rPr>
        <w:t>Con el cuadro anterior, se evidencia que para el total del cuatrienio el Municipio solo ejecutó 41 % de sus metas programadas. Lo anterior, llama la atención si se tiene en cuenta que el Municipio a lo largo de las vigencias presentó un incremento en los recursos asignados por concepto del SGP-PG. Por lo tanto, el Municipio tuvo bajos indicadores de cumplimiento como se puede evidenciar a continuación:</w:t>
      </w:r>
    </w:p>
    <w:p w:rsidR="0006670C" w:rsidRDefault="0006670C" w:rsidP="0006670C">
      <w:pPr>
        <w:pStyle w:val="Prrafodelista"/>
        <w:spacing w:line="240" w:lineRule="auto"/>
        <w:ind w:left="0"/>
        <w:jc w:val="both"/>
        <w:rPr>
          <w:rFonts w:ascii="Arial" w:hAnsi="Arial" w:cs="Arial"/>
        </w:rPr>
      </w:pPr>
    </w:p>
    <w:p w:rsidR="0006670C" w:rsidRDefault="0006670C" w:rsidP="0006670C">
      <w:pPr>
        <w:pStyle w:val="Prrafodelista"/>
        <w:spacing w:line="240" w:lineRule="auto"/>
        <w:ind w:left="0"/>
        <w:jc w:val="both"/>
        <w:rPr>
          <w:rFonts w:ascii="Arial" w:hAnsi="Arial" w:cs="Arial"/>
        </w:rPr>
      </w:pPr>
    </w:p>
    <w:p w:rsidR="0006670C" w:rsidRDefault="0006670C" w:rsidP="0006670C">
      <w:pPr>
        <w:jc w:val="center"/>
        <w:rPr>
          <w:rFonts w:ascii="Arial" w:hAnsi="Arial" w:cs="Arial"/>
          <w:b/>
          <w:bCs/>
          <w:sz w:val="18"/>
          <w:szCs w:val="18"/>
        </w:rPr>
      </w:pPr>
      <w:r>
        <w:rPr>
          <w:rFonts w:ascii="Arial" w:hAnsi="Arial" w:cs="Arial"/>
          <w:b/>
          <w:bCs/>
          <w:sz w:val="18"/>
          <w:szCs w:val="18"/>
        </w:rPr>
        <w:lastRenderedPageBreak/>
        <w:t>Gráfico N° 5.</w:t>
      </w:r>
    </w:p>
    <w:p w:rsidR="0006670C" w:rsidRDefault="0006670C" w:rsidP="0006670C">
      <w:pPr>
        <w:jc w:val="center"/>
        <w:rPr>
          <w:rFonts w:ascii="Arial" w:hAnsi="Arial" w:cs="Arial"/>
          <w:bCs/>
          <w:sz w:val="18"/>
          <w:szCs w:val="18"/>
        </w:rPr>
      </w:pPr>
      <w:r>
        <w:rPr>
          <w:rFonts w:ascii="Arial" w:hAnsi="Arial" w:cs="Arial"/>
          <w:bCs/>
          <w:sz w:val="18"/>
          <w:szCs w:val="18"/>
        </w:rPr>
        <w:t>Plan indicativo 2016-2019 – Puerto Escondido – Córdoba.</w:t>
      </w:r>
    </w:p>
    <w:p w:rsidR="0006670C" w:rsidRDefault="0006670C" w:rsidP="0006670C">
      <w:pPr>
        <w:pStyle w:val="Prrafodelista"/>
        <w:spacing w:line="240" w:lineRule="auto"/>
        <w:ind w:left="-426"/>
        <w:jc w:val="center"/>
        <w:rPr>
          <w:rFonts w:ascii="Arial" w:hAnsi="Arial" w:cs="Arial"/>
          <w:sz w:val="18"/>
          <w:szCs w:val="18"/>
        </w:rPr>
      </w:pPr>
      <w:r>
        <w:rPr>
          <w:noProof/>
          <w:lang w:eastAsia="es-CO"/>
        </w:rPr>
        <w:drawing>
          <wp:inline distT="0" distB="0" distL="0" distR="0">
            <wp:extent cx="6257925" cy="2762250"/>
            <wp:effectExtent l="0" t="0" r="9525"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Arial" w:hAnsi="Arial" w:cs="Arial"/>
          <w:b/>
          <w:sz w:val="18"/>
          <w:szCs w:val="18"/>
        </w:rPr>
        <w:t>Fuente:</w:t>
      </w:r>
      <w:r>
        <w:rPr>
          <w:rFonts w:ascii="Arial" w:hAnsi="Arial" w:cs="Arial"/>
          <w:sz w:val="18"/>
          <w:szCs w:val="18"/>
        </w:rPr>
        <w:t xml:space="preserve"> Información reportada por el Municipio al Sistema de Información para la Evaluación de la Eficacia – SIEE. Fecha de consulta: 3 de marzo de 2021</w:t>
      </w:r>
    </w:p>
    <w:p w:rsidR="0006670C" w:rsidRDefault="0006670C" w:rsidP="0006670C">
      <w:pPr>
        <w:pStyle w:val="Prrafodelista"/>
        <w:spacing w:line="240" w:lineRule="auto"/>
        <w:ind w:left="-426"/>
        <w:jc w:val="both"/>
        <w:rPr>
          <w:rFonts w:ascii="Arial" w:hAnsi="Arial" w:cs="Arial"/>
        </w:rPr>
      </w:pPr>
    </w:p>
    <w:p w:rsidR="0006670C" w:rsidRDefault="0006670C" w:rsidP="0006670C">
      <w:pPr>
        <w:pStyle w:val="Prrafodelista"/>
        <w:spacing w:line="240" w:lineRule="auto"/>
        <w:ind w:left="0"/>
        <w:jc w:val="both"/>
        <w:rPr>
          <w:rFonts w:ascii="Arial" w:hAnsi="Arial" w:cs="Arial"/>
        </w:rPr>
      </w:pPr>
      <w:r>
        <w:rPr>
          <w:rFonts w:ascii="Arial" w:hAnsi="Arial" w:cs="Arial"/>
        </w:rPr>
        <w:t>La gráfica anterior confirma las falencias que tuvo el Municipio para ejecutar sus recursos y también permite identificar específicamente en cuales sectores no ejecutó lo programado. Llama la atención que para el Sector Vivienda no ejecuto ningún recurso, a pesar de que este Sector hace parte de uno de sus ejes estratégicos en el Plan de Desarrollo Territorial – PDT de la siguiente forma:</w:t>
      </w:r>
    </w:p>
    <w:p w:rsidR="0006670C" w:rsidRDefault="0006670C" w:rsidP="0006670C">
      <w:pPr>
        <w:ind w:left="1416"/>
        <w:contextualSpacing/>
        <w:jc w:val="both"/>
        <w:rPr>
          <w:rFonts w:ascii="Arial" w:hAnsi="Arial" w:cs="Arial"/>
          <w:sz w:val="18"/>
          <w:szCs w:val="18"/>
        </w:rPr>
      </w:pPr>
      <w:r>
        <w:rPr>
          <w:rFonts w:ascii="Arial" w:hAnsi="Arial" w:cs="Arial"/>
          <w:i/>
          <w:sz w:val="18"/>
          <w:szCs w:val="18"/>
        </w:rPr>
        <w:t>“</w:t>
      </w:r>
      <w:r>
        <w:rPr>
          <w:rFonts w:ascii="Arial" w:eastAsia="Times New Roman" w:hAnsi="Arial" w:cs="Arial"/>
          <w:i/>
          <w:sz w:val="18"/>
          <w:szCs w:val="18"/>
          <w:lang w:val="es-CO" w:eastAsia="es-CO"/>
        </w:rPr>
        <w:t>Promover el acceso a la vivienda digna, cobertura y calidad en servicios públicos y hábitat sostenible, para garantizar el goce efectivo de estos derechos en las familias de Puerto Escondido, especialmente de los hogares de asentamiento humanos urbanos y rurales en situación de pobreza, vulnerabilidad social y precariedad del hábitat</w:t>
      </w:r>
      <w:r>
        <w:rPr>
          <w:rFonts w:ascii="Arial" w:hAnsi="Arial" w:cs="Arial"/>
          <w:i/>
          <w:sz w:val="18"/>
          <w:szCs w:val="18"/>
        </w:rPr>
        <w:t xml:space="preserve">” </w:t>
      </w:r>
      <w:r>
        <w:rPr>
          <w:rFonts w:ascii="Arial" w:hAnsi="Arial" w:cs="Arial"/>
          <w:sz w:val="18"/>
          <w:szCs w:val="18"/>
        </w:rPr>
        <w:t>PDT 2016-2019, Todos Ganamos. Municipio de Puerto Escondido – Córdoba.</w:t>
      </w:r>
    </w:p>
    <w:p w:rsidR="0006670C" w:rsidRDefault="0006670C" w:rsidP="0006670C">
      <w:pPr>
        <w:jc w:val="both"/>
        <w:rPr>
          <w:rFonts w:ascii="Arial" w:eastAsia="Times New Roman" w:hAnsi="Arial" w:cs="Arial"/>
          <w:sz w:val="22"/>
          <w:szCs w:val="22"/>
          <w:lang w:val="es-CO" w:eastAsia="es-CO"/>
        </w:rPr>
      </w:pPr>
    </w:p>
    <w:p w:rsidR="0006670C" w:rsidRDefault="0006670C" w:rsidP="0006670C">
      <w:pPr>
        <w:jc w:val="both"/>
        <w:rPr>
          <w:rFonts w:ascii="Arial" w:eastAsia="Times New Roman" w:hAnsi="Arial" w:cs="Arial"/>
          <w:sz w:val="21"/>
          <w:szCs w:val="21"/>
          <w:lang w:val="es-CO" w:eastAsia="es-CO"/>
        </w:rPr>
      </w:pPr>
      <w:r>
        <w:rPr>
          <w:rFonts w:ascii="Arial" w:hAnsi="Arial" w:cs="Arial"/>
          <w:sz w:val="22"/>
          <w:szCs w:val="22"/>
        </w:rPr>
        <w:t>El Municipio en su PDT indica que, para lograr cumplir la meta en este Sector, lo hará a través del Programa “</w:t>
      </w:r>
      <w:r>
        <w:rPr>
          <w:rFonts w:ascii="Arial" w:hAnsi="Arial" w:cs="Arial"/>
          <w:i/>
          <w:sz w:val="22"/>
          <w:szCs w:val="22"/>
        </w:rPr>
        <w:t>Soluciones Habitacionales</w:t>
      </w:r>
      <w:r>
        <w:rPr>
          <w:rFonts w:ascii="Arial" w:hAnsi="Arial" w:cs="Arial"/>
          <w:iCs/>
          <w:sz w:val="22"/>
          <w:szCs w:val="22"/>
        </w:rPr>
        <w:t>”</w:t>
      </w:r>
      <w:r>
        <w:rPr>
          <w:rFonts w:ascii="Arial" w:hAnsi="Arial" w:cs="Arial"/>
          <w:i/>
          <w:sz w:val="22"/>
          <w:szCs w:val="22"/>
        </w:rPr>
        <w:t>,</w:t>
      </w:r>
      <w:r>
        <w:rPr>
          <w:rFonts w:ascii="Arial" w:hAnsi="Arial" w:cs="Arial"/>
          <w:sz w:val="22"/>
          <w:szCs w:val="22"/>
        </w:rPr>
        <w:t xml:space="preserve"> con el objetivo de: “</w:t>
      </w:r>
      <w:r>
        <w:rPr>
          <w:rFonts w:ascii="Arial" w:hAnsi="Arial" w:cs="Arial"/>
          <w:i/>
          <w:iCs/>
          <w:sz w:val="22"/>
          <w:szCs w:val="22"/>
        </w:rPr>
        <w:t>reducir un 5 % el déficit tanto cualitativo como cuantitativo”</w:t>
      </w:r>
      <w:r>
        <w:rPr>
          <w:rFonts w:ascii="Arial" w:hAnsi="Arial" w:cs="Arial"/>
          <w:sz w:val="22"/>
          <w:szCs w:val="22"/>
        </w:rPr>
        <w:t>. Sin embargo, lo anterior no se llevó a cabo, afectando la consecución de metas para este Sector.</w:t>
      </w:r>
    </w:p>
    <w:p w:rsidR="0006670C" w:rsidRDefault="0006670C" w:rsidP="0006670C">
      <w:pPr>
        <w:rPr>
          <w:rFonts w:ascii="Arial" w:eastAsia="Times New Roman" w:hAnsi="Arial" w:cs="Arial"/>
          <w:sz w:val="22"/>
          <w:szCs w:val="22"/>
          <w:lang w:val="es-CO" w:eastAsia="es-CO"/>
        </w:rPr>
      </w:pPr>
    </w:p>
    <w:p w:rsidR="0006670C" w:rsidRDefault="0006670C" w:rsidP="0006670C">
      <w:pPr>
        <w:jc w:val="both"/>
        <w:rPr>
          <w:rFonts w:ascii="Arial" w:hAnsi="Arial" w:cs="Arial"/>
          <w:sz w:val="22"/>
          <w:szCs w:val="22"/>
        </w:rPr>
      </w:pPr>
      <w:r>
        <w:rPr>
          <w:rFonts w:ascii="Arial" w:hAnsi="Arial" w:cs="Arial"/>
          <w:sz w:val="22"/>
          <w:szCs w:val="22"/>
        </w:rPr>
        <w:t>A pesar de no cumplir las metas programadas y tener bajos niveles de ejecución, se destaca que el Municipio en su Plan Indicativo confirma que en todas las vigencias analizadas ha venido ejecutado una buena parte de los recursos asignados por SGP – PG. A continuación, se muestran dichas diferencias para las vigencias 2018 y 2019:</w:t>
      </w:r>
    </w:p>
    <w:p w:rsidR="0006670C" w:rsidRDefault="0006670C" w:rsidP="0006670C">
      <w:pPr>
        <w:jc w:val="both"/>
        <w:rPr>
          <w:rFonts w:ascii="Arial" w:hAnsi="Arial" w:cs="Arial"/>
          <w:sz w:val="22"/>
          <w:szCs w:val="22"/>
        </w:rPr>
      </w:pPr>
    </w:p>
    <w:p w:rsidR="0006670C" w:rsidRDefault="0006670C" w:rsidP="0006670C">
      <w:pPr>
        <w:jc w:val="center"/>
        <w:rPr>
          <w:rFonts w:ascii="Arial" w:hAnsi="Arial" w:cs="Arial"/>
          <w:b/>
          <w:bCs/>
          <w:sz w:val="18"/>
          <w:szCs w:val="18"/>
        </w:rPr>
      </w:pPr>
      <w:r>
        <w:rPr>
          <w:rFonts w:ascii="Arial" w:hAnsi="Arial" w:cs="Arial"/>
          <w:b/>
          <w:bCs/>
          <w:sz w:val="18"/>
          <w:szCs w:val="18"/>
        </w:rPr>
        <w:t>Cuadro N° 11.</w:t>
      </w:r>
    </w:p>
    <w:p w:rsidR="0006670C" w:rsidRDefault="0006670C" w:rsidP="0006670C">
      <w:pPr>
        <w:jc w:val="center"/>
        <w:rPr>
          <w:rFonts w:ascii="Arial" w:hAnsi="Arial" w:cs="Arial"/>
          <w:bCs/>
          <w:i/>
          <w:sz w:val="18"/>
          <w:szCs w:val="18"/>
        </w:rPr>
      </w:pPr>
      <w:r>
        <w:rPr>
          <w:rFonts w:ascii="Arial" w:hAnsi="Arial" w:cs="Arial"/>
          <w:bCs/>
          <w:sz w:val="18"/>
          <w:szCs w:val="18"/>
        </w:rPr>
        <w:t>Plan Indicativo 2018 - PG del Municipio de Puerto Escondido – Córdoba</w:t>
      </w:r>
    </w:p>
    <w:p w:rsidR="0006670C" w:rsidRDefault="0006670C" w:rsidP="0006670C">
      <w:pPr>
        <w:jc w:val="center"/>
        <w:rPr>
          <w:rFonts w:ascii="Arial" w:hAnsi="Arial" w:cs="Arial"/>
          <w:bCs/>
          <w:i/>
          <w:sz w:val="18"/>
          <w:szCs w:val="18"/>
        </w:rPr>
      </w:pPr>
      <w:r>
        <w:rPr>
          <w:rFonts w:ascii="Arial" w:hAnsi="Arial" w:cs="Arial"/>
          <w:bCs/>
          <w:i/>
          <w:sz w:val="18"/>
          <w:szCs w:val="18"/>
        </w:rPr>
        <w:t>- cifra en pesos-</w:t>
      </w:r>
    </w:p>
    <w:tbl>
      <w:tblPr>
        <w:tblW w:w="6253" w:type="dxa"/>
        <w:jc w:val="center"/>
        <w:tblCellMar>
          <w:left w:w="70" w:type="dxa"/>
          <w:right w:w="70" w:type="dxa"/>
        </w:tblCellMar>
        <w:tblLook w:val="04A0" w:firstRow="1" w:lastRow="0" w:firstColumn="1" w:lastColumn="0" w:noHBand="0" w:noVBand="1"/>
      </w:tblPr>
      <w:tblGrid>
        <w:gridCol w:w="1870"/>
        <w:gridCol w:w="1461"/>
        <w:gridCol w:w="1461"/>
        <w:gridCol w:w="1461"/>
      </w:tblGrid>
      <w:tr w:rsidR="0006670C" w:rsidTr="0006670C">
        <w:trPr>
          <w:trHeight w:val="570"/>
          <w:jc w:val="center"/>
        </w:trPr>
        <w:tc>
          <w:tcPr>
            <w:tcW w:w="187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PI 2018</w:t>
            </w:r>
          </w:p>
        </w:tc>
        <w:tc>
          <w:tcPr>
            <w:tcW w:w="1461"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SGP - PG Programado</w:t>
            </w:r>
          </w:p>
        </w:tc>
        <w:tc>
          <w:tcPr>
            <w:tcW w:w="1461"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SGP - PG Ejecutado</w:t>
            </w:r>
          </w:p>
        </w:tc>
        <w:tc>
          <w:tcPr>
            <w:tcW w:w="1461"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Diferencia</w:t>
            </w:r>
          </w:p>
        </w:tc>
      </w:tr>
      <w:tr w:rsidR="0006670C" w:rsidTr="0006670C">
        <w:trPr>
          <w:trHeight w:val="356"/>
          <w:jc w:val="center"/>
        </w:trPr>
        <w:tc>
          <w:tcPr>
            <w:tcW w:w="187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CULTURA</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45.000.000</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140.949.965</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-95.949.965</w:t>
            </w:r>
          </w:p>
        </w:tc>
      </w:tr>
      <w:tr w:rsidR="0006670C" w:rsidTr="0006670C">
        <w:trPr>
          <w:trHeight w:val="356"/>
          <w:jc w:val="center"/>
        </w:trPr>
        <w:tc>
          <w:tcPr>
            <w:tcW w:w="187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lastRenderedPageBreak/>
              <w:t>DEPORTE</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130.000.000</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189.444.626</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-59.444.626</w:t>
            </w:r>
          </w:p>
        </w:tc>
      </w:tr>
      <w:tr w:rsidR="0006670C" w:rsidTr="0006670C">
        <w:trPr>
          <w:trHeight w:val="356"/>
          <w:jc w:val="center"/>
        </w:trPr>
        <w:tc>
          <w:tcPr>
            <w:tcW w:w="187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LIBRE DESTINACIÓN</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544.100.991</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-544.100.991</w:t>
            </w:r>
          </w:p>
        </w:tc>
      </w:tr>
      <w:tr w:rsidR="0006670C" w:rsidTr="0006670C">
        <w:trPr>
          <w:trHeight w:val="356"/>
          <w:jc w:val="center"/>
        </w:trPr>
        <w:tc>
          <w:tcPr>
            <w:tcW w:w="187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LIBRE INVERSIÓN</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2.454.720.000</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1.250.575.646</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1.204.144.354</w:t>
            </w:r>
          </w:p>
        </w:tc>
      </w:tr>
      <w:tr w:rsidR="0006670C" w:rsidTr="0006670C">
        <w:trPr>
          <w:trHeight w:val="356"/>
          <w:jc w:val="center"/>
        </w:trPr>
        <w:tc>
          <w:tcPr>
            <w:tcW w:w="1870"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TOTAL</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2.629.720.000</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2.125.071.228</w:t>
            </w:r>
          </w:p>
        </w:tc>
        <w:tc>
          <w:tcPr>
            <w:tcW w:w="1461"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504.648.772</w:t>
            </w:r>
          </w:p>
        </w:tc>
      </w:tr>
    </w:tbl>
    <w:p w:rsidR="0006670C" w:rsidRDefault="0006670C" w:rsidP="0006670C">
      <w:pPr>
        <w:jc w:val="center"/>
        <w:rPr>
          <w:rFonts w:ascii="Arial" w:hAnsi="Arial" w:cs="Arial"/>
          <w:sz w:val="18"/>
          <w:szCs w:val="18"/>
        </w:rPr>
      </w:pPr>
      <w:r>
        <w:rPr>
          <w:rFonts w:ascii="Arial" w:hAnsi="Arial" w:cs="Arial"/>
          <w:b/>
          <w:sz w:val="18"/>
          <w:szCs w:val="18"/>
        </w:rPr>
        <w:t>Fuente:</w:t>
      </w:r>
      <w:r>
        <w:rPr>
          <w:rFonts w:ascii="Arial" w:hAnsi="Arial" w:cs="Arial"/>
          <w:sz w:val="18"/>
          <w:szCs w:val="18"/>
        </w:rPr>
        <w:t xml:space="preserve"> Elaboración propia con base en la información reportada al Sistema de Información para la Evaluación de la Eficacia – SIEE.</w:t>
      </w:r>
    </w:p>
    <w:p w:rsidR="0006670C" w:rsidRPr="0006670C" w:rsidRDefault="0006670C" w:rsidP="0006670C">
      <w:pPr>
        <w:jc w:val="center"/>
        <w:rPr>
          <w:rFonts w:ascii="Arial" w:hAnsi="Arial" w:cs="Arial"/>
          <w:b/>
          <w:bCs/>
          <w:sz w:val="22"/>
          <w:szCs w:val="22"/>
        </w:rPr>
      </w:pPr>
    </w:p>
    <w:p w:rsidR="0006670C" w:rsidRDefault="0006670C" w:rsidP="0006670C">
      <w:pPr>
        <w:jc w:val="center"/>
        <w:rPr>
          <w:rFonts w:ascii="Arial" w:hAnsi="Arial" w:cs="Arial"/>
          <w:b/>
          <w:bCs/>
          <w:sz w:val="18"/>
          <w:szCs w:val="18"/>
        </w:rPr>
      </w:pPr>
      <w:r>
        <w:rPr>
          <w:rFonts w:ascii="Arial" w:hAnsi="Arial" w:cs="Arial"/>
          <w:b/>
          <w:bCs/>
          <w:sz w:val="18"/>
          <w:szCs w:val="18"/>
        </w:rPr>
        <w:t>Cuadro N° 12.</w:t>
      </w:r>
    </w:p>
    <w:p w:rsidR="0006670C" w:rsidRDefault="0006670C" w:rsidP="0006670C">
      <w:pPr>
        <w:jc w:val="center"/>
        <w:rPr>
          <w:rFonts w:ascii="Arial" w:hAnsi="Arial" w:cs="Arial"/>
          <w:bCs/>
          <w:i/>
          <w:sz w:val="18"/>
          <w:szCs w:val="18"/>
        </w:rPr>
      </w:pPr>
      <w:r>
        <w:rPr>
          <w:rFonts w:ascii="Arial" w:hAnsi="Arial" w:cs="Arial"/>
          <w:bCs/>
          <w:sz w:val="18"/>
          <w:szCs w:val="18"/>
        </w:rPr>
        <w:t>Plan Indicativo 2019 - PG del Municipio de Puerto Escondido – Córdoba</w:t>
      </w:r>
    </w:p>
    <w:p w:rsidR="0006670C" w:rsidRDefault="0006670C" w:rsidP="0006670C">
      <w:pPr>
        <w:jc w:val="center"/>
        <w:rPr>
          <w:rFonts w:ascii="Arial" w:hAnsi="Arial" w:cs="Arial"/>
          <w:bCs/>
          <w:i/>
          <w:sz w:val="18"/>
          <w:szCs w:val="18"/>
        </w:rPr>
      </w:pPr>
      <w:r>
        <w:rPr>
          <w:rFonts w:ascii="Arial" w:hAnsi="Arial" w:cs="Arial"/>
          <w:bCs/>
          <w:i/>
          <w:sz w:val="18"/>
          <w:szCs w:val="18"/>
        </w:rPr>
        <w:t>- cifra en pesos-</w:t>
      </w:r>
    </w:p>
    <w:tbl>
      <w:tblPr>
        <w:tblW w:w="5534" w:type="dxa"/>
        <w:jc w:val="center"/>
        <w:tblCellMar>
          <w:left w:w="70" w:type="dxa"/>
          <w:right w:w="70" w:type="dxa"/>
        </w:tblCellMar>
        <w:tblLook w:val="04A0" w:firstRow="1" w:lastRow="0" w:firstColumn="1" w:lastColumn="0" w:noHBand="0" w:noVBand="1"/>
      </w:tblPr>
      <w:tblGrid>
        <w:gridCol w:w="1655"/>
        <w:gridCol w:w="1293"/>
        <w:gridCol w:w="1293"/>
        <w:gridCol w:w="1293"/>
      </w:tblGrid>
      <w:tr w:rsidR="0006670C" w:rsidTr="0006670C">
        <w:trPr>
          <w:trHeight w:val="587"/>
          <w:jc w:val="center"/>
        </w:trPr>
        <w:tc>
          <w:tcPr>
            <w:tcW w:w="165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PI 2019</w:t>
            </w:r>
          </w:p>
        </w:tc>
        <w:tc>
          <w:tcPr>
            <w:tcW w:w="1293"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SGP - PG Programado</w:t>
            </w:r>
          </w:p>
        </w:tc>
        <w:tc>
          <w:tcPr>
            <w:tcW w:w="1293"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SGP - PG Ejecutado</w:t>
            </w:r>
          </w:p>
        </w:tc>
        <w:tc>
          <w:tcPr>
            <w:tcW w:w="1293" w:type="dxa"/>
            <w:tcBorders>
              <w:top w:val="single" w:sz="4" w:space="0" w:color="auto"/>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Diferencia</w:t>
            </w:r>
          </w:p>
        </w:tc>
      </w:tr>
      <w:tr w:rsidR="0006670C" w:rsidTr="0006670C">
        <w:trPr>
          <w:trHeight w:val="367"/>
          <w:jc w:val="center"/>
        </w:trPr>
        <w:tc>
          <w:tcPr>
            <w:tcW w:w="1655"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CULTURA</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45.000.000</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166.803.993</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-121.803.993</w:t>
            </w:r>
          </w:p>
        </w:tc>
      </w:tr>
      <w:tr w:rsidR="0006670C" w:rsidTr="0006670C">
        <w:trPr>
          <w:trHeight w:val="367"/>
          <w:jc w:val="center"/>
        </w:trPr>
        <w:tc>
          <w:tcPr>
            <w:tcW w:w="1655"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DEPORTE</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220.000.000</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220.511.014</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-511.014</w:t>
            </w:r>
          </w:p>
        </w:tc>
      </w:tr>
      <w:tr w:rsidR="0006670C" w:rsidTr="0006670C">
        <w:trPr>
          <w:trHeight w:val="367"/>
          <w:jc w:val="center"/>
        </w:trPr>
        <w:tc>
          <w:tcPr>
            <w:tcW w:w="1655"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LIBRE DESTINACIÓN</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504.799.418</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-504.799.418</w:t>
            </w:r>
          </w:p>
        </w:tc>
      </w:tr>
      <w:tr w:rsidR="0006670C" w:rsidTr="0006670C">
        <w:trPr>
          <w:trHeight w:val="367"/>
          <w:jc w:val="center"/>
        </w:trPr>
        <w:tc>
          <w:tcPr>
            <w:tcW w:w="1655"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LIBRE INVERSIÓN</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2.420.970.000</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1.440.183.919</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980.786.082</w:t>
            </w:r>
          </w:p>
        </w:tc>
      </w:tr>
      <w:tr w:rsidR="0006670C" w:rsidTr="0006670C">
        <w:trPr>
          <w:trHeight w:val="367"/>
          <w:jc w:val="center"/>
        </w:trPr>
        <w:tc>
          <w:tcPr>
            <w:tcW w:w="1655" w:type="dxa"/>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TOTAL</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2.685.970.000</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2.332.298.344</w:t>
            </w:r>
          </w:p>
        </w:tc>
        <w:tc>
          <w:tcPr>
            <w:tcW w:w="1293"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353.671.657</w:t>
            </w:r>
          </w:p>
        </w:tc>
      </w:tr>
    </w:tbl>
    <w:p w:rsidR="0006670C" w:rsidRDefault="0006670C" w:rsidP="0006670C">
      <w:pPr>
        <w:jc w:val="center"/>
        <w:rPr>
          <w:rFonts w:ascii="Arial" w:hAnsi="Arial" w:cs="Arial"/>
          <w:sz w:val="18"/>
          <w:szCs w:val="18"/>
        </w:rPr>
      </w:pPr>
      <w:r>
        <w:rPr>
          <w:rFonts w:ascii="Arial" w:hAnsi="Arial" w:cs="Arial"/>
          <w:b/>
          <w:sz w:val="18"/>
          <w:szCs w:val="18"/>
        </w:rPr>
        <w:t>Fuente:</w:t>
      </w:r>
      <w:r>
        <w:rPr>
          <w:rFonts w:ascii="Arial" w:hAnsi="Arial" w:cs="Arial"/>
          <w:sz w:val="18"/>
          <w:szCs w:val="18"/>
        </w:rPr>
        <w:t xml:space="preserve"> Elaboración propia con base en la información reportada al Sistema de Información para la Evaluación de la Eficacia – SIEE.</w:t>
      </w:r>
    </w:p>
    <w:p w:rsidR="0006670C" w:rsidRDefault="0006670C" w:rsidP="0006670C">
      <w:pPr>
        <w:rPr>
          <w:rFonts w:ascii="Arial" w:hAnsi="Arial" w:cs="Arial"/>
          <w:sz w:val="22"/>
          <w:szCs w:val="22"/>
        </w:rPr>
      </w:pPr>
    </w:p>
    <w:p w:rsidR="0006670C" w:rsidRDefault="0006670C" w:rsidP="0006670C">
      <w:pPr>
        <w:jc w:val="both"/>
        <w:rPr>
          <w:rFonts w:ascii="Arial" w:hAnsi="Arial" w:cs="Arial"/>
          <w:sz w:val="22"/>
          <w:szCs w:val="22"/>
        </w:rPr>
      </w:pPr>
      <w:r>
        <w:rPr>
          <w:rFonts w:ascii="Arial" w:hAnsi="Arial" w:cs="Arial"/>
          <w:sz w:val="22"/>
          <w:szCs w:val="22"/>
        </w:rPr>
        <w:t>En promedio para ambas vigencias el Municipio de Puerto Escondido ha ejecutado el 83 % de sus recursos programados, sin embargo, dicha ejecución no se ve reflejada en la consecución de metas por parte de la Entidad Territorial. Frente a los recursos programados, llama la atención que, para la destinación de Cultura, el Municipio solo programa el 26 % de los recursos asignados, aunque logra ejecutar el 98 % de los mismos.</w:t>
      </w:r>
    </w:p>
    <w:p w:rsidR="0006670C" w:rsidRDefault="0006670C" w:rsidP="0006670C">
      <w:pPr>
        <w:jc w:val="both"/>
        <w:rPr>
          <w:rFonts w:ascii="Arial" w:hAnsi="Arial" w:cs="Arial"/>
          <w:sz w:val="22"/>
          <w:szCs w:val="22"/>
        </w:rPr>
      </w:pPr>
    </w:p>
    <w:p w:rsidR="0006670C" w:rsidRDefault="0006670C" w:rsidP="0006670C">
      <w:pPr>
        <w:jc w:val="both"/>
        <w:rPr>
          <w:rFonts w:ascii="Arial" w:hAnsi="Arial" w:cs="Arial"/>
          <w:sz w:val="22"/>
          <w:szCs w:val="22"/>
        </w:rPr>
      </w:pPr>
      <w:r>
        <w:rPr>
          <w:rFonts w:ascii="Arial" w:hAnsi="Arial" w:cs="Arial"/>
          <w:sz w:val="22"/>
          <w:szCs w:val="22"/>
        </w:rPr>
        <w:t>Cabe mencionar, que para la Libre Destinación no programa ningún recurso, pero al final ejecuta recursos con cargo a esta fuente, lo anterior, se evidenció para las cuatro vigencias. Para la destinación de Libre Inversión se identifica que el Municipio programa por encima de los recursos asignados y al final ejecuta por debajo de ellos en un 67 %. Por lo tanto, la información que el Municipio a cargado al SIEE demuestra inconsistencias con respecto a la Participación de Propósito General.</w:t>
      </w:r>
    </w:p>
    <w:p w:rsidR="0006670C" w:rsidRDefault="0006670C" w:rsidP="0006670C">
      <w:pPr>
        <w:rPr>
          <w:rFonts w:ascii="Arial" w:eastAsia="Times New Roman" w:hAnsi="Arial" w:cs="Arial"/>
          <w:sz w:val="22"/>
          <w:szCs w:val="22"/>
          <w:lang w:val="es-CO" w:eastAsia="es-CO"/>
        </w:rPr>
      </w:pPr>
    </w:p>
    <w:p w:rsidR="0006670C" w:rsidRDefault="0006670C" w:rsidP="0006670C">
      <w:pPr>
        <w:jc w:val="both"/>
        <w:textAlignment w:val="baseline"/>
        <w:rPr>
          <w:rFonts w:ascii="Arial" w:hAnsi="Arial" w:cs="Arial"/>
          <w:sz w:val="22"/>
          <w:szCs w:val="22"/>
        </w:rPr>
      </w:pPr>
      <w:r>
        <w:rPr>
          <w:rFonts w:ascii="Arial" w:hAnsi="Arial" w:cs="Arial"/>
          <w:sz w:val="22"/>
          <w:szCs w:val="22"/>
        </w:rPr>
        <w:t>A continuación, se relacionan las diferentes situaciones de riesgo en el marco del análisis institucional, evidenciadas durante la visita de campo realizada por el DNP y con la información cargada al sistema SIEE por el Municipio:</w:t>
      </w:r>
    </w:p>
    <w:p w:rsidR="0006670C" w:rsidRDefault="0006670C" w:rsidP="0006670C">
      <w:pPr>
        <w:jc w:val="both"/>
        <w:rPr>
          <w:rStyle w:val="normaltextrun"/>
          <w:rFonts w:eastAsiaTheme="minorHAnsi"/>
          <w:b/>
          <w:bCs/>
          <w:color w:val="000000"/>
          <w:shd w:val="clear" w:color="auto" w:fill="FFFFFF"/>
          <w:lang w:val="es-CO" w:eastAsia="en-US"/>
        </w:rPr>
      </w:pPr>
    </w:p>
    <w:p w:rsidR="0006670C" w:rsidRDefault="0006670C" w:rsidP="0006670C">
      <w:pPr>
        <w:tabs>
          <w:tab w:val="left" w:pos="426"/>
        </w:tabs>
        <w:jc w:val="both"/>
        <w:rPr>
          <w:lang w:val="es-ES_tradnl"/>
        </w:rPr>
      </w:pPr>
      <w:r>
        <w:rPr>
          <w:rFonts w:ascii="Arial" w:hAnsi="Arial" w:cs="Arial"/>
          <w:b/>
          <w:sz w:val="22"/>
          <w:szCs w:val="22"/>
          <w:lang w:val="es-ES_tradnl"/>
        </w:rPr>
        <w:t>Deficiencias en la armonización del proceso de planeación y ejecución presupuestal</w:t>
      </w:r>
      <w:r>
        <w:rPr>
          <w:rFonts w:ascii="Arial" w:hAnsi="Arial" w:cs="Arial"/>
          <w:b/>
          <w:bCs/>
          <w:sz w:val="22"/>
          <w:szCs w:val="22"/>
          <w:lang w:val="es-ES_tradnl"/>
        </w:rPr>
        <w:t>.</w:t>
      </w:r>
    </w:p>
    <w:p w:rsidR="0006670C" w:rsidRDefault="0006670C" w:rsidP="0006670C">
      <w:pPr>
        <w:tabs>
          <w:tab w:val="left" w:pos="426"/>
        </w:tabs>
        <w:jc w:val="both"/>
        <w:rPr>
          <w:rFonts w:ascii="Arial" w:hAnsi="Arial" w:cs="Arial"/>
          <w:b/>
          <w:bCs/>
          <w:sz w:val="22"/>
          <w:szCs w:val="22"/>
          <w:lang w:val="es-ES_tradnl"/>
        </w:rPr>
      </w:pPr>
    </w:p>
    <w:p w:rsidR="0006670C" w:rsidRDefault="0006670C" w:rsidP="0006670C">
      <w:pPr>
        <w:tabs>
          <w:tab w:val="left" w:pos="2268"/>
        </w:tabs>
        <w:jc w:val="both"/>
        <w:rPr>
          <w:rFonts w:ascii="Arial" w:hAnsi="Arial" w:cs="Arial"/>
          <w:iCs/>
          <w:color w:val="000000" w:themeColor="text1"/>
          <w:sz w:val="22"/>
          <w:szCs w:val="22"/>
          <w:lang w:val="es-ES_tradnl"/>
        </w:rPr>
      </w:pPr>
      <w:r>
        <w:rPr>
          <w:rFonts w:ascii="Arial" w:eastAsiaTheme="minorEastAsia" w:hAnsi="Arial" w:cs="Arial"/>
          <w:sz w:val="22"/>
          <w:szCs w:val="22"/>
          <w:lang w:val="es-ES_tradnl" w:eastAsia="en-US"/>
        </w:rPr>
        <w:t>Según el “</w:t>
      </w:r>
      <w:r>
        <w:rPr>
          <w:rFonts w:ascii="Arial" w:hAnsi="Arial" w:cs="Arial"/>
          <w:i/>
          <w:iCs/>
          <w:color w:val="000000" w:themeColor="text1"/>
          <w:sz w:val="22"/>
          <w:szCs w:val="22"/>
          <w:lang w:val="es-ES_tradnl"/>
        </w:rPr>
        <w:t>Informe de monitoreo de campo, Puerto Escondido, Córdoba Vigencias 2017 y 2018</w:t>
      </w:r>
      <w:r>
        <w:rPr>
          <w:rFonts w:ascii="Arial" w:hAnsi="Arial" w:cs="Arial"/>
          <w:color w:val="000000" w:themeColor="text1"/>
          <w:sz w:val="22"/>
          <w:szCs w:val="22"/>
          <w:lang w:val="es-ES_tradnl"/>
        </w:rPr>
        <w:t>”</w:t>
      </w:r>
      <w:r>
        <w:rPr>
          <w:rFonts w:ascii="Arial" w:hAnsi="Arial" w:cs="Arial"/>
          <w:i/>
          <w:iCs/>
          <w:color w:val="000000" w:themeColor="text1"/>
          <w:sz w:val="22"/>
          <w:szCs w:val="22"/>
          <w:lang w:val="es-ES_tradnl"/>
        </w:rPr>
        <w:t xml:space="preserve">, </w:t>
      </w:r>
      <w:r>
        <w:rPr>
          <w:rFonts w:ascii="Arial" w:hAnsi="Arial" w:cs="Arial"/>
          <w:iCs/>
          <w:color w:val="000000" w:themeColor="text1"/>
          <w:sz w:val="22"/>
          <w:szCs w:val="22"/>
          <w:lang w:val="es-ES_tradnl"/>
        </w:rPr>
        <w:t>realizado por el DNP, el Municipio informa que no cuenta con un banco de programas y proyectos, además tampoco cuenta con un listado consolidado de los proyectos que ejecuta.</w:t>
      </w:r>
    </w:p>
    <w:p w:rsidR="0006670C" w:rsidRDefault="0006670C" w:rsidP="0006670C">
      <w:pPr>
        <w:tabs>
          <w:tab w:val="left" w:pos="2268"/>
        </w:tabs>
        <w:jc w:val="both"/>
        <w:rPr>
          <w:rFonts w:ascii="Arial" w:hAnsi="Arial" w:cs="Arial"/>
          <w:iCs/>
          <w:color w:val="000000" w:themeColor="text1"/>
          <w:sz w:val="22"/>
          <w:szCs w:val="22"/>
          <w:lang w:val="es-ES_tradnl"/>
        </w:rPr>
      </w:pPr>
    </w:p>
    <w:p w:rsidR="0006670C" w:rsidRDefault="0006670C" w:rsidP="0006670C">
      <w:pPr>
        <w:tabs>
          <w:tab w:val="left" w:pos="2268"/>
        </w:tabs>
        <w:jc w:val="both"/>
        <w:rPr>
          <w:rFonts w:ascii="Arial" w:hAnsi="Arial" w:cs="Arial"/>
          <w:iCs/>
          <w:color w:val="000000" w:themeColor="text1"/>
          <w:sz w:val="22"/>
          <w:szCs w:val="22"/>
          <w:lang w:val="es-ES_tradnl"/>
        </w:rPr>
      </w:pPr>
      <w:r>
        <w:rPr>
          <w:rFonts w:ascii="Arial" w:hAnsi="Arial" w:cs="Arial"/>
          <w:iCs/>
          <w:color w:val="000000" w:themeColor="text1"/>
          <w:sz w:val="22"/>
          <w:szCs w:val="22"/>
          <w:lang w:val="es-ES_tradnl"/>
        </w:rPr>
        <w:lastRenderedPageBreak/>
        <w:t xml:space="preserve">Es importante destacar que el Banco de Programas y Proyectos es un instrumento de planeación fundamental en el ciclo de la inversión pública, que permite el registro y la sistematización de aquellos programas y proyectos viables para su ejecución. Lo anterior, como lo indica el Decreto 1082 de 2015, en su artículo </w:t>
      </w:r>
      <w:r>
        <w:rPr>
          <w:rFonts w:ascii="Arial" w:hAnsi="Arial" w:cs="Arial"/>
          <w:bCs/>
          <w:iCs/>
          <w:color w:val="000000" w:themeColor="text1"/>
          <w:sz w:val="22"/>
          <w:szCs w:val="22"/>
          <w:lang w:val="es-ES_tradnl"/>
        </w:rPr>
        <w:t>2.2.6.3.1. “</w:t>
      </w:r>
      <w:r>
        <w:rPr>
          <w:rFonts w:ascii="Arial" w:hAnsi="Arial" w:cs="Arial"/>
          <w:i/>
          <w:color w:val="000000" w:themeColor="text1"/>
          <w:sz w:val="22"/>
          <w:szCs w:val="22"/>
          <w:lang w:val="es-ES_tradnl"/>
        </w:rPr>
        <w:t>Banco Nacional de Programas y Proyectos</w:t>
      </w:r>
      <w:r>
        <w:rPr>
          <w:rFonts w:ascii="Arial" w:hAnsi="Arial" w:cs="Arial"/>
          <w:i/>
          <w:iCs/>
          <w:color w:val="000000" w:themeColor="text1"/>
          <w:sz w:val="22"/>
          <w:szCs w:val="22"/>
          <w:lang w:val="es-ES_tradnl"/>
        </w:rPr>
        <w:t xml:space="preserve">. El Banco Nacional de Programas y Proyectos (BPIN), </w:t>
      </w:r>
      <w:r>
        <w:rPr>
          <w:rFonts w:ascii="Arial" w:hAnsi="Arial" w:cs="Arial"/>
          <w:b/>
          <w:i/>
          <w:iCs/>
          <w:color w:val="000000" w:themeColor="text1"/>
          <w:sz w:val="22"/>
          <w:szCs w:val="22"/>
          <w:lang w:val="es-ES_tradnl"/>
        </w:rPr>
        <w:t>es un instrumento para la planeación que registra los programas y proyectos de inversión pública viables</w:t>
      </w:r>
      <w:r>
        <w:rPr>
          <w:rFonts w:ascii="Arial" w:hAnsi="Arial" w:cs="Arial"/>
          <w:i/>
          <w:iCs/>
          <w:color w:val="000000" w:themeColor="text1"/>
          <w:sz w:val="22"/>
          <w:szCs w:val="22"/>
          <w:lang w:val="es-ES_tradnl"/>
        </w:rPr>
        <w:t xml:space="preserve">, previamente evaluados social, técnica, ambiental y económicamente, </w:t>
      </w:r>
      <w:r>
        <w:rPr>
          <w:rFonts w:ascii="Arial" w:hAnsi="Arial" w:cs="Arial"/>
          <w:b/>
          <w:i/>
          <w:iCs/>
          <w:color w:val="000000" w:themeColor="text1"/>
          <w:sz w:val="22"/>
          <w:szCs w:val="22"/>
          <w:lang w:val="es-ES_tradnl"/>
        </w:rPr>
        <w:t>susceptibles de ser financiados con recursos del Presupuesto General de la Nación</w:t>
      </w:r>
      <w:r>
        <w:rPr>
          <w:rFonts w:ascii="Arial" w:hAnsi="Arial" w:cs="Arial"/>
          <w:i/>
          <w:iCs/>
          <w:color w:val="000000" w:themeColor="text1"/>
          <w:sz w:val="22"/>
          <w:szCs w:val="22"/>
          <w:lang w:val="es-ES_tradnl"/>
        </w:rPr>
        <w:t xml:space="preserve">. […]” </w:t>
      </w:r>
      <w:r>
        <w:rPr>
          <w:rFonts w:ascii="Arial" w:hAnsi="Arial" w:cs="Arial"/>
          <w:iCs/>
          <w:color w:val="000000" w:themeColor="text1"/>
          <w:sz w:val="22"/>
          <w:szCs w:val="22"/>
          <w:lang w:val="es-ES_tradnl"/>
        </w:rPr>
        <w:t>(negrita fuera de texto).</w:t>
      </w:r>
    </w:p>
    <w:p w:rsidR="0006670C" w:rsidRDefault="0006670C" w:rsidP="0006670C">
      <w:pPr>
        <w:tabs>
          <w:tab w:val="left" w:pos="2268"/>
        </w:tabs>
        <w:jc w:val="both"/>
        <w:rPr>
          <w:rFonts w:ascii="Arial" w:hAnsi="Arial" w:cs="Arial"/>
          <w:iCs/>
          <w:color w:val="000000" w:themeColor="text1"/>
          <w:sz w:val="22"/>
          <w:szCs w:val="22"/>
          <w:lang w:val="es-ES_tradnl"/>
        </w:rPr>
      </w:pPr>
    </w:p>
    <w:p w:rsidR="0006670C" w:rsidRDefault="0006670C" w:rsidP="0006670C">
      <w:pPr>
        <w:tabs>
          <w:tab w:val="left" w:pos="2268"/>
        </w:tabs>
        <w:jc w:val="both"/>
        <w:rPr>
          <w:rFonts w:ascii="Arial" w:hAnsi="Arial" w:cs="Arial"/>
          <w:iCs/>
          <w:color w:val="000000" w:themeColor="text1"/>
          <w:sz w:val="22"/>
          <w:szCs w:val="22"/>
          <w:lang w:val="es-ES_tradnl"/>
        </w:rPr>
      </w:pPr>
      <w:r>
        <w:rPr>
          <w:rFonts w:ascii="Arial" w:hAnsi="Arial" w:cs="Arial"/>
          <w:iCs/>
          <w:color w:val="000000" w:themeColor="text1"/>
          <w:sz w:val="22"/>
          <w:szCs w:val="22"/>
          <w:lang w:val="es-ES_tradnl"/>
        </w:rPr>
        <w:t>A su vez, es importante mencionar que aquellos programas o proyectos que el Municipio de Puerto Escondido – Córdoba desee ejecutar deben estar previamente registrados en el Banco de programas y proyectos una vez cumplan con todo el proceso de viabilidad. Tal y como lo informa el artículo 2.2.6.3.9 del Decreto 1082 de 2015 “</w:t>
      </w:r>
      <w:r>
        <w:rPr>
          <w:rFonts w:ascii="Arial" w:hAnsi="Arial" w:cs="Arial"/>
          <w:i/>
          <w:color w:val="000000" w:themeColor="text1"/>
          <w:sz w:val="22"/>
          <w:szCs w:val="22"/>
          <w:lang w:val="es-ES_tradnl"/>
        </w:rPr>
        <w:t xml:space="preserve">[…] </w:t>
      </w:r>
      <w:r>
        <w:rPr>
          <w:rFonts w:ascii="Arial" w:hAnsi="Arial" w:cs="Arial"/>
          <w:b/>
          <w:i/>
          <w:iCs/>
          <w:color w:val="000000" w:themeColor="text1"/>
          <w:sz w:val="22"/>
          <w:szCs w:val="22"/>
          <w:lang w:val="es-ES_tradnl"/>
        </w:rPr>
        <w:t>Una vez se cumpla dicho registro, los proyectos de inversión serán susceptibles de ser financiados con recursos del Presupuesto General de la Nación</w:t>
      </w:r>
      <w:r>
        <w:rPr>
          <w:rFonts w:ascii="Arial" w:hAnsi="Arial" w:cs="Arial"/>
          <w:i/>
          <w:iCs/>
          <w:color w:val="000000" w:themeColor="text1"/>
          <w:sz w:val="22"/>
          <w:szCs w:val="22"/>
          <w:lang w:val="es-ES_tradnl"/>
        </w:rPr>
        <w:t xml:space="preserve">, e incorporados al Plan Operativo Anual de Inversiones y al respectivo proyecto de ley anual.” </w:t>
      </w:r>
      <w:r>
        <w:rPr>
          <w:rFonts w:ascii="Arial" w:hAnsi="Arial" w:cs="Arial"/>
          <w:iCs/>
          <w:color w:val="000000" w:themeColor="text1"/>
          <w:sz w:val="22"/>
          <w:szCs w:val="22"/>
          <w:lang w:val="es-ES_tradnl"/>
        </w:rPr>
        <w:t>(negrita fuera de texto).</w:t>
      </w:r>
    </w:p>
    <w:p w:rsidR="0006670C" w:rsidRDefault="0006670C" w:rsidP="0006670C">
      <w:pPr>
        <w:tabs>
          <w:tab w:val="left" w:pos="2268"/>
        </w:tabs>
        <w:jc w:val="both"/>
        <w:rPr>
          <w:rFonts w:ascii="Arial" w:hAnsi="Arial" w:cs="Arial"/>
          <w:iCs/>
          <w:color w:val="000000" w:themeColor="text1"/>
          <w:sz w:val="22"/>
          <w:szCs w:val="22"/>
          <w:lang w:val="es-ES_tradnl"/>
        </w:rPr>
      </w:pPr>
    </w:p>
    <w:p w:rsidR="0006670C" w:rsidRDefault="0006670C" w:rsidP="0006670C">
      <w:pPr>
        <w:tabs>
          <w:tab w:val="left" w:pos="2268"/>
        </w:tabs>
        <w:jc w:val="both"/>
        <w:rPr>
          <w:rStyle w:val="normaltextrun"/>
          <w:color w:val="000000"/>
          <w:shd w:val="clear" w:color="auto" w:fill="FFFFFF"/>
        </w:rPr>
      </w:pPr>
      <w:r>
        <w:rPr>
          <w:rStyle w:val="normaltextrun"/>
          <w:rFonts w:ascii="Arial" w:hAnsi="Arial" w:cs="Arial"/>
          <w:color w:val="000000"/>
          <w:sz w:val="22"/>
          <w:szCs w:val="22"/>
          <w:shd w:val="clear" w:color="auto" w:fill="FFFFFF"/>
        </w:rPr>
        <w:t>Durante el ciclo de inversión pública, la viabilidad de los proyectos es importante, ya que es “</w:t>
      </w:r>
      <w:r>
        <w:rPr>
          <w:rStyle w:val="normaltextrun"/>
          <w:rFonts w:ascii="Arial" w:hAnsi="Arial" w:cs="Arial"/>
          <w:i/>
          <w:iCs/>
          <w:color w:val="000000"/>
          <w:sz w:val="22"/>
          <w:szCs w:val="22"/>
          <w:shd w:val="clear" w:color="auto" w:fill="FFFFFF"/>
        </w:rPr>
        <w:t>un proceso integral de análisis de la información que busca determinar si el proyecto cumple con los criterios metodológicos de formulación y los aspectos técnicos de su estructuración, si está articulado con los desafíos del desarrollo plasmados en planes y políticas públicas del territorio, si es sostenible en el tiempo y si es rentable económicamente</w:t>
      </w:r>
      <w:r>
        <w:rPr>
          <w:rStyle w:val="normaltextrun"/>
          <w:rFonts w:ascii="Arial" w:hAnsi="Arial" w:cs="Arial"/>
          <w:color w:val="000000"/>
          <w:sz w:val="22"/>
          <w:szCs w:val="22"/>
          <w:shd w:val="clear" w:color="auto" w:fill="FFFFFF"/>
        </w:rPr>
        <w:t>”</w:t>
      </w:r>
      <w:r>
        <w:rPr>
          <w:rStyle w:val="Refdenotaalpie"/>
          <w:rFonts w:ascii="Arial" w:hAnsi="Arial" w:cs="Arial"/>
          <w:color w:val="000000"/>
          <w:sz w:val="22"/>
          <w:szCs w:val="22"/>
          <w:shd w:val="clear" w:color="auto" w:fill="FFFFFF"/>
        </w:rPr>
        <w:footnoteReference w:id="5"/>
      </w:r>
      <w:r>
        <w:rPr>
          <w:rStyle w:val="normaltextrun"/>
          <w:rFonts w:ascii="Arial" w:hAnsi="Arial" w:cs="Arial"/>
          <w:color w:val="000000"/>
          <w:sz w:val="22"/>
          <w:szCs w:val="22"/>
          <w:shd w:val="clear" w:color="auto" w:fill="FFFFFF"/>
        </w:rPr>
        <w:t xml:space="preserve"> (Departamento Nacional de Planeación, 2017).</w:t>
      </w:r>
    </w:p>
    <w:p w:rsidR="0006670C" w:rsidRDefault="0006670C" w:rsidP="0006670C">
      <w:pPr>
        <w:tabs>
          <w:tab w:val="left" w:pos="2268"/>
        </w:tabs>
        <w:jc w:val="both"/>
        <w:rPr>
          <w:rStyle w:val="normaltextrun"/>
          <w:rFonts w:ascii="Arial" w:hAnsi="Arial" w:cs="Arial"/>
          <w:color w:val="000000"/>
          <w:sz w:val="22"/>
          <w:szCs w:val="22"/>
          <w:shd w:val="clear" w:color="auto" w:fill="FFFFFF"/>
        </w:rPr>
      </w:pPr>
    </w:p>
    <w:p w:rsidR="0006670C" w:rsidRDefault="0006670C" w:rsidP="0006670C">
      <w:pPr>
        <w:tabs>
          <w:tab w:val="left" w:pos="2268"/>
        </w:tabs>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Es decir, una vez los proyectos sean viabilizados </w:t>
      </w:r>
      <w:r>
        <w:rPr>
          <w:rStyle w:val="normaltextrun"/>
          <w:rFonts w:ascii="Arial" w:hAnsi="Arial" w:cs="Arial"/>
          <w:color w:val="000000"/>
          <w:sz w:val="22"/>
          <w:szCs w:val="22"/>
          <w:bdr w:val="none" w:sz="0" w:space="0" w:color="auto" w:frame="1"/>
        </w:rPr>
        <w:t>pueden ser registrados en el BPI</w:t>
      </w:r>
      <w:r>
        <w:rPr>
          <w:rStyle w:val="normaltextrun"/>
          <w:rFonts w:ascii="Arial" w:hAnsi="Arial" w:cs="Arial"/>
          <w:color w:val="000000"/>
          <w:sz w:val="22"/>
          <w:szCs w:val="22"/>
          <w:shd w:val="clear" w:color="auto" w:fill="FFFFFF"/>
        </w:rPr>
        <w:t xml:space="preserve"> y obtienen el atributo de ser un proyecto registrado actualizado, por lo cual ya pueden ser programados presupuestalmente. Por lo tanto, antes de que la Entidad Territorial ejecute algún recurso, este debe estar en el marco de un proyecto de inversión al hacer parte de los recursos del Presupuesto General.</w:t>
      </w:r>
    </w:p>
    <w:p w:rsidR="0006670C" w:rsidRDefault="0006670C" w:rsidP="0006670C">
      <w:pPr>
        <w:tabs>
          <w:tab w:val="left" w:pos="2268"/>
        </w:tabs>
        <w:jc w:val="both"/>
        <w:rPr>
          <w:rStyle w:val="normaltextrun"/>
          <w:rFonts w:ascii="Arial" w:hAnsi="Arial" w:cs="Arial"/>
          <w:color w:val="000000"/>
          <w:sz w:val="22"/>
          <w:szCs w:val="22"/>
          <w:shd w:val="clear" w:color="auto" w:fill="FFFFFF"/>
        </w:rPr>
      </w:pPr>
    </w:p>
    <w:p w:rsidR="0006670C" w:rsidRDefault="0006670C" w:rsidP="0006670C">
      <w:pPr>
        <w:tabs>
          <w:tab w:val="left" w:pos="2268"/>
        </w:tabs>
        <w:jc w:val="both"/>
        <w:rPr>
          <w:rStyle w:val="normaltextrun"/>
          <w:rFonts w:ascii="Arial" w:hAnsi="Arial" w:cs="Arial"/>
          <w:color w:val="000000"/>
          <w:sz w:val="22"/>
          <w:szCs w:val="22"/>
          <w:shd w:val="clear" w:color="auto" w:fill="FFFFFF"/>
        </w:rPr>
      </w:pPr>
      <w:r>
        <w:rPr>
          <w:rFonts w:ascii="Arial" w:hAnsi="Arial" w:cs="Arial"/>
          <w:iCs/>
          <w:color w:val="000000" w:themeColor="text1"/>
          <w:sz w:val="22"/>
          <w:szCs w:val="22"/>
          <w:lang w:val="es-ES_tradnl"/>
        </w:rPr>
        <w:t>Como se informó en el apartado de análisis de gastos, el promedio de los recursos comprometidos por parte del Municipio es del 98 % para el período analizado. Es decir, se evidencia la ejecución de los recursos de Propósito General, en proyectos de inversión que no se encuentran registrados en el BPI, ya que e</w:t>
      </w:r>
      <w:r>
        <w:rPr>
          <w:rFonts w:ascii="Arial" w:eastAsiaTheme="minorEastAsia" w:hAnsi="Arial" w:cs="Arial"/>
          <w:sz w:val="22"/>
          <w:szCs w:val="22"/>
          <w:lang w:val="es-ES_tradnl" w:eastAsia="en-US"/>
        </w:rPr>
        <w:t>l DNP en el “</w:t>
      </w:r>
      <w:r>
        <w:rPr>
          <w:rFonts w:ascii="Arial" w:hAnsi="Arial" w:cs="Arial"/>
          <w:i/>
          <w:iCs/>
          <w:color w:val="000000" w:themeColor="text1"/>
          <w:sz w:val="22"/>
          <w:szCs w:val="22"/>
          <w:lang w:val="es-ES_tradnl"/>
        </w:rPr>
        <w:t>Informe de monitoreo de campo, Puerto Escondido, Córdoba Vigencias 2017 y 2018</w:t>
      </w:r>
      <w:r>
        <w:rPr>
          <w:rFonts w:ascii="Arial" w:hAnsi="Arial" w:cs="Arial"/>
          <w:color w:val="000000" w:themeColor="text1"/>
          <w:sz w:val="22"/>
          <w:szCs w:val="22"/>
          <w:lang w:val="es-ES_tradnl"/>
        </w:rPr>
        <w:t>”</w:t>
      </w:r>
      <w:r>
        <w:rPr>
          <w:rFonts w:ascii="Arial" w:hAnsi="Arial" w:cs="Arial"/>
          <w:i/>
          <w:iCs/>
          <w:color w:val="000000" w:themeColor="text1"/>
          <w:sz w:val="22"/>
          <w:szCs w:val="22"/>
          <w:lang w:val="es-ES_tradnl"/>
        </w:rPr>
        <w:t xml:space="preserve">, </w:t>
      </w:r>
      <w:r>
        <w:rPr>
          <w:rFonts w:ascii="Arial" w:hAnsi="Arial" w:cs="Arial"/>
          <w:iCs/>
          <w:color w:val="000000" w:themeColor="text1"/>
          <w:sz w:val="22"/>
          <w:szCs w:val="22"/>
          <w:lang w:val="es-ES_tradnl"/>
        </w:rPr>
        <w:t>destacó que “</w:t>
      </w:r>
      <w:r>
        <w:rPr>
          <w:rFonts w:ascii="Arial" w:hAnsi="Arial" w:cs="Arial"/>
          <w:i/>
          <w:iCs/>
          <w:color w:val="000000" w:themeColor="text1"/>
          <w:sz w:val="22"/>
          <w:szCs w:val="22"/>
          <w:lang w:val="es-ES_tradnl"/>
        </w:rPr>
        <w:t>en los contratos revisados se encontró relación con unos proyectos de inversión</w:t>
      </w:r>
      <w:r>
        <w:rPr>
          <w:rFonts w:ascii="Arial" w:hAnsi="Arial" w:cs="Arial"/>
          <w:iCs/>
          <w:color w:val="000000" w:themeColor="text1"/>
          <w:sz w:val="22"/>
          <w:szCs w:val="22"/>
          <w:lang w:val="es-ES_tradnl"/>
        </w:rPr>
        <w:t xml:space="preserve">”. Sin embargo, llama la atención esta apreciación, debido a que el mismo Municipio informó que no cuenta con un Banco de Programas y Proyectos. Al final, el Municipio de Puerto Escondido – Córdoba soporta su actividad contractual relacionando proyectos de inversión y </w:t>
      </w:r>
      <w:r>
        <w:rPr>
          <w:rStyle w:val="normaltextrun"/>
          <w:rFonts w:ascii="Arial" w:hAnsi="Arial" w:cs="Arial"/>
          <w:bCs/>
          <w:color w:val="000000"/>
          <w:sz w:val="22"/>
          <w:szCs w:val="22"/>
        </w:rPr>
        <w:t>omitiendo el debido ciclo de la inversión pública</w:t>
      </w:r>
      <w:r>
        <w:rPr>
          <w:rStyle w:val="normaltextrun"/>
          <w:rFonts w:ascii="Arial" w:hAnsi="Arial" w:cs="Arial"/>
          <w:color w:val="000000"/>
          <w:sz w:val="22"/>
          <w:szCs w:val="22"/>
          <w:shd w:val="clear" w:color="auto" w:fill="FFFFFF"/>
        </w:rPr>
        <w:t>.</w:t>
      </w:r>
    </w:p>
    <w:p w:rsidR="0006670C" w:rsidRDefault="0006670C" w:rsidP="0006670C">
      <w:pPr>
        <w:tabs>
          <w:tab w:val="left" w:pos="2268"/>
        </w:tabs>
        <w:jc w:val="both"/>
        <w:rPr>
          <w:rStyle w:val="normaltextrun"/>
          <w:rFonts w:ascii="Arial" w:hAnsi="Arial" w:cs="Arial"/>
          <w:color w:val="000000"/>
          <w:sz w:val="22"/>
          <w:szCs w:val="22"/>
          <w:shd w:val="clear" w:color="auto" w:fill="FFFFFF"/>
        </w:rPr>
      </w:pPr>
    </w:p>
    <w:p w:rsidR="0006670C" w:rsidRDefault="0006670C" w:rsidP="0006670C">
      <w:pPr>
        <w:tabs>
          <w:tab w:val="left" w:pos="2268"/>
        </w:tabs>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Esta Dirección evidenció contratos celebrados con los recursos del SGP – PG y según informan en sus estudios previos se encuentra asociados a un proyecto de inversión. Sin embargo, como se informó anteriormente, el Municipio no ha realizado el adecuado registro de dichos proyectos en un Banco ya que este no ha sido constituido. A continuación, se muestra los contratos:</w:t>
      </w:r>
    </w:p>
    <w:p w:rsidR="0006670C" w:rsidRDefault="0006670C" w:rsidP="0006670C">
      <w:pPr>
        <w:tabs>
          <w:tab w:val="left" w:pos="2268"/>
        </w:tabs>
        <w:jc w:val="both"/>
        <w:rPr>
          <w:rStyle w:val="normaltextrun"/>
          <w:rFonts w:ascii="Arial" w:hAnsi="Arial" w:cs="Arial"/>
          <w:color w:val="000000"/>
          <w:sz w:val="22"/>
          <w:szCs w:val="22"/>
          <w:shd w:val="clear" w:color="auto" w:fill="FFFFFF"/>
        </w:rPr>
      </w:pPr>
    </w:p>
    <w:p w:rsidR="0006670C" w:rsidRDefault="0006670C" w:rsidP="0006670C">
      <w:pPr>
        <w:jc w:val="center"/>
        <w:rPr>
          <w:b/>
          <w:sz w:val="18"/>
          <w:szCs w:val="18"/>
          <w:lang w:val="es-ES_tradnl"/>
        </w:rPr>
      </w:pPr>
      <w:r>
        <w:rPr>
          <w:rFonts w:ascii="Arial" w:hAnsi="Arial" w:cs="Arial"/>
          <w:b/>
          <w:sz w:val="18"/>
          <w:szCs w:val="18"/>
          <w:lang w:val="es-ES_tradnl"/>
        </w:rPr>
        <w:t>Cuadro N° 13.</w:t>
      </w:r>
    </w:p>
    <w:p w:rsidR="0006670C" w:rsidRDefault="0006670C" w:rsidP="0006670C">
      <w:pPr>
        <w:jc w:val="center"/>
        <w:rPr>
          <w:rStyle w:val="normaltextrun"/>
          <w:rFonts w:eastAsia="Calibri"/>
          <w:lang w:eastAsia="en-US"/>
        </w:rPr>
      </w:pPr>
      <w:r>
        <w:rPr>
          <w:rFonts w:ascii="Arial" w:hAnsi="Arial" w:cs="Arial"/>
          <w:sz w:val="18"/>
          <w:szCs w:val="18"/>
          <w:lang w:val="es-ES_tradnl"/>
        </w:rPr>
        <w:t>Contratos PG – Municipio de Puerto Escondido, Córdoba.</w:t>
      </w:r>
    </w:p>
    <w:tbl>
      <w:tblPr>
        <w:tblW w:w="9801" w:type="dxa"/>
        <w:jc w:val="center"/>
        <w:tblCellMar>
          <w:left w:w="70" w:type="dxa"/>
          <w:right w:w="70" w:type="dxa"/>
        </w:tblCellMar>
        <w:tblLook w:val="04A0" w:firstRow="1" w:lastRow="0" w:firstColumn="1" w:lastColumn="0" w:noHBand="0" w:noVBand="1"/>
      </w:tblPr>
      <w:tblGrid>
        <w:gridCol w:w="1025"/>
        <w:gridCol w:w="2654"/>
        <w:gridCol w:w="1328"/>
        <w:gridCol w:w="900"/>
        <w:gridCol w:w="1284"/>
        <w:gridCol w:w="1446"/>
        <w:gridCol w:w="1164"/>
      </w:tblGrid>
      <w:tr w:rsidR="0006670C" w:rsidTr="0006670C">
        <w:trPr>
          <w:trHeight w:val="472"/>
          <w:jc w:val="center"/>
        </w:trPr>
        <w:tc>
          <w:tcPr>
            <w:tcW w:w="1025" w:type="dxa"/>
            <w:tcBorders>
              <w:top w:val="single" w:sz="8" w:space="0" w:color="auto"/>
              <w:left w:val="single" w:sz="8" w:space="0" w:color="auto"/>
              <w:bottom w:val="nil"/>
              <w:right w:val="single" w:sz="8" w:space="0" w:color="auto"/>
            </w:tcBorders>
            <w:shd w:val="clear" w:color="auto" w:fill="666699"/>
            <w:vAlign w:val="center"/>
            <w:hideMark/>
          </w:tcPr>
          <w:p w:rsidR="0006670C" w:rsidRDefault="0006670C">
            <w:pPr>
              <w:spacing w:line="256" w:lineRule="auto"/>
              <w:jc w:val="center"/>
              <w:rPr>
                <w:rFonts w:eastAsia="Times New Roman"/>
                <w:bCs/>
                <w:color w:val="FFFFFF"/>
                <w:lang w:val="es-CO" w:eastAsia="es-CO"/>
              </w:rPr>
            </w:pPr>
            <w:r>
              <w:rPr>
                <w:rFonts w:ascii="Arial" w:eastAsia="Times New Roman" w:hAnsi="Arial" w:cs="Arial"/>
                <w:b/>
                <w:bCs/>
                <w:color w:val="FFFFFF"/>
                <w:sz w:val="18"/>
                <w:szCs w:val="18"/>
                <w:lang w:val="es-ES_tradnl" w:eastAsia="es-CO"/>
              </w:rPr>
              <w:t xml:space="preserve">Contrato   </w:t>
            </w:r>
          </w:p>
        </w:tc>
        <w:tc>
          <w:tcPr>
            <w:tcW w:w="2654" w:type="dxa"/>
            <w:tcBorders>
              <w:top w:val="single" w:sz="8" w:space="0" w:color="auto"/>
              <w:left w:val="nil"/>
              <w:bottom w:val="nil"/>
              <w:right w:val="single" w:sz="8"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ES_tradnl" w:eastAsia="es-CO"/>
              </w:rPr>
              <w:t>Objeto</w:t>
            </w:r>
          </w:p>
        </w:tc>
        <w:tc>
          <w:tcPr>
            <w:tcW w:w="1328" w:type="dxa"/>
            <w:tcBorders>
              <w:top w:val="single" w:sz="8" w:space="0" w:color="auto"/>
              <w:left w:val="nil"/>
              <w:bottom w:val="nil"/>
              <w:right w:val="single" w:sz="8"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ES_tradnl" w:eastAsia="es-CO"/>
              </w:rPr>
              <w:t>Valor</w:t>
            </w:r>
          </w:p>
        </w:tc>
        <w:tc>
          <w:tcPr>
            <w:tcW w:w="900" w:type="dxa"/>
            <w:tcBorders>
              <w:top w:val="single" w:sz="8" w:space="0" w:color="auto"/>
              <w:left w:val="nil"/>
              <w:bottom w:val="nil"/>
              <w:right w:val="single" w:sz="8"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ES_tradnl" w:eastAsia="es-CO"/>
              </w:rPr>
              <w:t>Plazo</w:t>
            </w:r>
          </w:p>
        </w:tc>
        <w:tc>
          <w:tcPr>
            <w:tcW w:w="1284" w:type="dxa"/>
            <w:tcBorders>
              <w:top w:val="single" w:sz="8" w:space="0" w:color="auto"/>
              <w:left w:val="nil"/>
              <w:bottom w:val="nil"/>
              <w:right w:val="single" w:sz="8"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ES_tradnl" w:eastAsia="es-CO"/>
              </w:rPr>
              <w:t>Contratista</w:t>
            </w:r>
          </w:p>
        </w:tc>
        <w:tc>
          <w:tcPr>
            <w:tcW w:w="1446" w:type="dxa"/>
            <w:tcBorders>
              <w:top w:val="single" w:sz="8" w:space="0" w:color="auto"/>
              <w:left w:val="nil"/>
              <w:bottom w:val="nil"/>
              <w:right w:val="single" w:sz="8"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ES_tradnl" w:eastAsia="es-CO"/>
              </w:rPr>
              <w:t>Código de Proyecto de inversión</w:t>
            </w:r>
          </w:p>
        </w:tc>
        <w:tc>
          <w:tcPr>
            <w:tcW w:w="1164" w:type="dxa"/>
            <w:tcBorders>
              <w:top w:val="single" w:sz="8" w:space="0" w:color="auto"/>
              <w:left w:val="nil"/>
              <w:bottom w:val="nil"/>
              <w:right w:val="single" w:sz="8"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ES_tradnl" w:eastAsia="es-CO"/>
              </w:rPr>
              <w:t>Destinación</w:t>
            </w:r>
          </w:p>
        </w:tc>
      </w:tr>
      <w:tr w:rsidR="0006670C" w:rsidTr="0006670C">
        <w:trPr>
          <w:trHeight w:val="729"/>
          <w:jc w:val="center"/>
        </w:trPr>
        <w:tc>
          <w:tcPr>
            <w:tcW w:w="1025"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CONV-010-2017</w:t>
            </w:r>
          </w:p>
        </w:tc>
        <w:tc>
          <w:tcPr>
            <w:tcW w:w="2654" w:type="dxa"/>
            <w:tcBorders>
              <w:top w:val="single" w:sz="4" w:space="0" w:color="auto"/>
              <w:left w:val="nil"/>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Aunar esfuerzos para el mantenimiento y rehabilitación de las vías el prieto - cerro arriba y el planchón - san José – arizal, zona rural del municipio de Puerto Escondido departamento de Córdoba</w:t>
            </w:r>
          </w:p>
        </w:tc>
        <w:tc>
          <w:tcPr>
            <w:tcW w:w="1328" w:type="dxa"/>
            <w:tcBorders>
              <w:top w:val="single" w:sz="4" w:space="0" w:color="auto"/>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$324.934.417</w:t>
            </w:r>
          </w:p>
        </w:tc>
        <w:tc>
          <w:tcPr>
            <w:tcW w:w="900" w:type="dxa"/>
            <w:tcBorders>
              <w:top w:val="single" w:sz="4" w:space="0" w:color="auto"/>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 Meses</w:t>
            </w:r>
          </w:p>
        </w:tc>
        <w:tc>
          <w:tcPr>
            <w:tcW w:w="1284" w:type="dxa"/>
            <w:tcBorders>
              <w:top w:val="single" w:sz="4" w:space="0" w:color="auto"/>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Asociación De Municipios Del Departamento De Córdoba Y Sucre</w:t>
            </w:r>
          </w:p>
        </w:tc>
        <w:tc>
          <w:tcPr>
            <w:tcW w:w="1446" w:type="dxa"/>
            <w:tcBorders>
              <w:top w:val="single" w:sz="4" w:space="0" w:color="auto"/>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2017235740027</w:t>
            </w:r>
          </w:p>
        </w:tc>
        <w:tc>
          <w:tcPr>
            <w:tcW w:w="1164" w:type="dxa"/>
            <w:tcBorders>
              <w:top w:val="single" w:sz="4" w:space="0" w:color="auto"/>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Libre Destinación </w:t>
            </w:r>
          </w:p>
        </w:tc>
      </w:tr>
      <w:tr w:rsidR="0006670C" w:rsidTr="0006670C">
        <w:trPr>
          <w:trHeight w:val="45"/>
          <w:jc w:val="center"/>
        </w:trPr>
        <w:tc>
          <w:tcPr>
            <w:tcW w:w="1025"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CONV-001-2017</w:t>
            </w:r>
          </w:p>
        </w:tc>
        <w:tc>
          <w:tcPr>
            <w:tcW w:w="2654" w:type="dxa"/>
            <w:tcBorders>
              <w:top w:val="nil"/>
              <w:left w:val="nil"/>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Aunar esfuerzo para apoyar el ix festival cultural y gastronómico del plátano 2017.</w:t>
            </w:r>
          </w:p>
        </w:tc>
        <w:tc>
          <w:tcPr>
            <w:tcW w:w="1328"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$47.250.000</w:t>
            </w:r>
          </w:p>
        </w:tc>
        <w:tc>
          <w:tcPr>
            <w:tcW w:w="900"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 días</w:t>
            </w:r>
          </w:p>
        </w:tc>
        <w:tc>
          <w:tcPr>
            <w:tcW w:w="1284"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Fundación Pa’ Vende</w:t>
            </w:r>
          </w:p>
        </w:tc>
        <w:tc>
          <w:tcPr>
            <w:tcW w:w="144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2017235740012</w:t>
            </w:r>
          </w:p>
        </w:tc>
        <w:tc>
          <w:tcPr>
            <w:tcW w:w="11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Cultura</w:t>
            </w:r>
          </w:p>
        </w:tc>
      </w:tr>
      <w:tr w:rsidR="0006670C" w:rsidTr="0006670C">
        <w:trPr>
          <w:trHeight w:val="315"/>
          <w:jc w:val="center"/>
        </w:trPr>
        <w:tc>
          <w:tcPr>
            <w:tcW w:w="1025" w:type="dxa"/>
            <w:tcBorders>
              <w:top w:val="nil"/>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PSA-068-2017</w:t>
            </w:r>
          </w:p>
        </w:tc>
        <w:tc>
          <w:tcPr>
            <w:tcW w:w="2654" w:type="dxa"/>
            <w:tcBorders>
              <w:top w:val="nil"/>
              <w:left w:val="nil"/>
              <w:bottom w:val="single" w:sz="4" w:space="0" w:color="auto"/>
              <w:right w:val="single" w:sz="4" w:space="0" w:color="auto"/>
            </w:tcBorders>
            <w:vAlign w:val="center"/>
            <w:hideMark/>
          </w:tcPr>
          <w:p w:rsidR="0006670C" w:rsidRDefault="0006670C">
            <w:pPr>
              <w:spacing w:line="256" w:lineRule="auto"/>
              <w:jc w:val="both"/>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Prestación de servicios profesionales para realizar el levantamiento de información del inventario físico y avalúo de los bienes inmuebles de propiedad del municipio de puerto escondido.</w:t>
            </w:r>
          </w:p>
        </w:tc>
        <w:tc>
          <w:tcPr>
            <w:tcW w:w="1328"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$60.000.000</w:t>
            </w:r>
          </w:p>
        </w:tc>
        <w:tc>
          <w:tcPr>
            <w:tcW w:w="900"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 Meses</w:t>
            </w:r>
          </w:p>
        </w:tc>
        <w:tc>
          <w:tcPr>
            <w:tcW w:w="1284" w:type="dxa"/>
            <w:tcBorders>
              <w:top w:val="nil"/>
              <w:left w:val="nil"/>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German Ortiz Cala</w:t>
            </w:r>
          </w:p>
        </w:tc>
        <w:tc>
          <w:tcPr>
            <w:tcW w:w="1446"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2017235740023</w:t>
            </w:r>
          </w:p>
        </w:tc>
        <w:tc>
          <w:tcPr>
            <w:tcW w:w="1164" w:type="dxa"/>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Libre Inversión</w:t>
            </w:r>
          </w:p>
        </w:tc>
      </w:tr>
    </w:tbl>
    <w:p w:rsidR="0006670C" w:rsidRDefault="0006670C" w:rsidP="0006670C">
      <w:pPr>
        <w:jc w:val="center"/>
        <w:textAlignment w:val="baseline"/>
        <w:rPr>
          <w:rStyle w:val="normaltextrun"/>
          <w:rFonts w:ascii="Arial" w:eastAsia="Times New Roman" w:hAnsi="Arial" w:cs="Arial"/>
          <w:sz w:val="18"/>
          <w:szCs w:val="18"/>
        </w:rPr>
      </w:pPr>
      <w:r>
        <w:rPr>
          <w:rStyle w:val="normaltextrun"/>
          <w:rFonts w:ascii="Arial" w:eastAsia="Times New Roman" w:hAnsi="Arial" w:cs="Arial"/>
          <w:b/>
          <w:sz w:val="18"/>
          <w:szCs w:val="18"/>
          <w:lang w:eastAsia="es-CO"/>
        </w:rPr>
        <w:t>Fuente:</w:t>
      </w:r>
      <w:r>
        <w:rPr>
          <w:rStyle w:val="normaltextrun"/>
          <w:rFonts w:ascii="Arial" w:eastAsia="Times New Roman" w:hAnsi="Arial" w:cs="Arial"/>
          <w:sz w:val="18"/>
          <w:szCs w:val="18"/>
          <w:lang w:eastAsia="es-CO"/>
        </w:rPr>
        <w:t xml:space="preserve"> Elaboración propia con base en la información contenida en el “</w:t>
      </w:r>
      <w:r>
        <w:rPr>
          <w:rStyle w:val="normaltextrun"/>
          <w:rFonts w:ascii="Arial" w:eastAsia="Times New Roman" w:hAnsi="Arial" w:cs="Arial"/>
          <w:i/>
          <w:iCs/>
          <w:sz w:val="18"/>
          <w:szCs w:val="18"/>
          <w:lang w:eastAsia="es-CO"/>
        </w:rPr>
        <w:t>Informe de monitoreo de campo, Puerto Escondido, Córdoba. Vigencias 2017 y 2018</w:t>
      </w:r>
      <w:r>
        <w:rPr>
          <w:rStyle w:val="normaltextrun"/>
          <w:rFonts w:ascii="Arial" w:eastAsia="Times New Roman" w:hAnsi="Arial" w:cs="Arial"/>
          <w:sz w:val="18"/>
          <w:szCs w:val="18"/>
          <w:lang w:eastAsia="es-CO"/>
        </w:rPr>
        <w:t>”.</w:t>
      </w:r>
    </w:p>
    <w:p w:rsidR="0006670C" w:rsidRDefault="0006670C" w:rsidP="0006670C">
      <w:pPr>
        <w:tabs>
          <w:tab w:val="left" w:pos="2268"/>
        </w:tabs>
        <w:jc w:val="both"/>
        <w:rPr>
          <w:rStyle w:val="normaltextrun"/>
          <w:rFonts w:ascii="Arial" w:hAnsi="Arial" w:cs="Arial"/>
          <w:color w:val="000000"/>
          <w:sz w:val="22"/>
          <w:szCs w:val="22"/>
          <w:shd w:val="clear" w:color="auto" w:fill="FFFFFF"/>
        </w:rPr>
      </w:pPr>
    </w:p>
    <w:p w:rsidR="0006670C" w:rsidRDefault="0006670C" w:rsidP="0006670C">
      <w:pPr>
        <w:tabs>
          <w:tab w:val="left" w:pos="2268"/>
        </w:tabs>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En ese orden, los contratos relacionados informan y muestran un código de un proyecto, que al final, no se encuentra debidamente registrado como lo exige la Ley Orgánica del Plan de Desarrollo. Se resalta que todos los contratos remitidos por el Municipio deben estar asociados a un proyecto de inversión, sin embargo, estos no han adquirido la característica de ser proyectos registrados actualizados debido a que el Municipio no cuenta con un Banco de Programas y Proyectos para su debido registro.</w:t>
      </w:r>
    </w:p>
    <w:p w:rsidR="0006670C" w:rsidRDefault="0006670C" w:rsidP="0006670C">
      <w:pPr>
        <w:tabs>
          <w:tab w:val="left" w:pos="2268"/>
        </w:tabs>
        <w:jc w:val="both"/>
        <w:rPr>
          <w:rStyle w:val="normaltextrun"/>
          <w:rFonts w:ascii="Arial" w:hAnsi="Arial" w:cs="Arial"/>
          <w:color w:val="000000"/>
          <w:sz w:val="22"/>
          <w:szCs w:val="22"/>
          <w:shd w:val="clear" w:color="auto" w:fill="FFFFFF"/>
        </w:rPr>
      </w:pPr>
    </w:p>
    <w:p w:rsidR="0006670C" w:rsidRDefault="0006670C" w:rsidP="0006670C">
      <w:pPr>
        <w:tabs>
          <w:tab w:val="left" w:pos="2268"/>
        </w:tabs>
        <w:jc w:val="both"/>
      </w:pPr>
      <w:r>
        <w:rPr>
          <w:rStyle w:val="normaltextrun"/>
          <w:rFonts w:ascii="Arial" w:hAnsi="Arial" w:cs="Arial"/>
          <w:color w:val="000000"/>
          <w:sz w:val="22"/>
          <w:szCs w:val="22"/>
          <w:shd w:val="clear" w:color="auto" w:fill="FFFFFF"/>
        </w:rPr>
        <w:t xml:space="preserve">Lo anterior implica que el Municipio de Puerto Escondido – Córdoba, </w:t>
      </w:r>
      <w:r>
        <w:rPr>
          <w:rFonts w:ascii="Arial" w:hAnsi="Arial" w:cs="Arial"/>
          <w:iCs/>
          <w:color w:val="000000" w:themeColor="text1"/>
          <w:sz w:val="22"/>
          <w:szCs w:val="22"/>
          <w:lang w:val="es-ES_tradnl"/>
        </w:rPr>
        <w:t>ha ejecutado recursos en el marco de proyectos que, por la inexistencia del Banco de Proyectos municipal, se encuentran sin su debido registro, de manera que la Administración Municipal no acata</w:t>
      </w:r>
      <w:r>
        <w:rPr>
          <w:rStyle w:val="normaltextrun"/>
          <w:rFonts w:ascii="Arial" w:hAnsi="Arial" w:cs="Arial"/>
          <w:color w:val="000000"/>
          <w:sz w:val="22"/>
          <w:szCs w:val="22"/>
          <w:shd w:val="clear" w:color="auto" w:fill="FFFFFF"/>
          <w:lang w:val="es-ES_tradnl"/>
        </w:rPr>
        <w:t xml:space="preserve"> </w:t>
      </w:r>
      <w:r>
        <w:rPr>
          <w:rStyle w:val="normaltextrun"/>
          <w:rFonts w:ascii="Arial" w:hAnsi="Arial" w:cs="Arial"/>
          <w:color w:val="000000"/>
          <w:sz w:val="22"/>
          <w:szCs w:val="22"/>
          <w:shd w:val="clear" w:color="auto" w:fill="FFFFFF"/>
        </w:rPr>
        <w:t>lo señalado en el ar</w:t>
      </w:r>
      <w:r>
        <w:rPr>
          <w:rStyle w:val="normaltextrun"/>
          <w:rFonts w:ascii="Arial" w:hAnsi="Arial" w:cs="Arial"/>
          <w:bCs/>
          <w:color w:val="000000"/>
          <w:sz w:val="22"/>
          <w:szCs w:val="22"/>
        </w:rPr>
        <w:t>tículo 2.2.6.3.8 del Decreto 1082 de 2015.</w:t>
      </w:r>
      <w:r>
        <w:rPr>
          <w:rFonts w:ascii="Arial" w:hAnsi="Arial" w:cs="Arial"/>
          <w:iCs/>
          <w:color w:val="000000" w:themeColor="text1"/>
          <w:sz w:val="22"/>
          <w:szCs w:val="22"/>
          <w:lang w:val="es-ES_tradnl"/>
        </w:rPr>
        <w:t xml:space="preserve"> </w:t>
      </w:r>
    </w:p>
    <w:p w:rsidR="0006670C" w:rsidRDefault="0006670C" w:rsidP="0006670C">
      <w:pPr>
        <w:tabs>
          <w:tab w:val="left" w:pos="2268"/>
        </w:tabs>
        <w:jc w:val="both"/>
        <w:rPr>
          <w:rFonts w:ascii="Arial" w:eastAsiaTheme="minorEastAsia" w:hAnsi="Arial" w:cs="Arial"/>
          <w:sz w:val="22"/>
          <w:szCs w:val="22"/>
          <w:lang w:val="es-ES_tradnl" w:eastAsia="en-US"/>
        </w:rPr>
      </w:pPr>
    </w:p>
    <w:p w:rsidR="0006670C" w:rsidRDefault="0006670C" w:rsidP="0006670C">
      <w:pPr>
        <w:tabs>
          <w:tab w:val="left" w:pos="2268"/>
        </w:tabs>
        <w:jc w:val="both"/>
        <w:rPr>
          <w:rFonts w:ascii="Arial" w:eastAsiaTheme="minorEastAsia" w:hAnsi="Arial" w:cs="Arial"/>
          <w:sz w:val="22"/>
          <w:szCs w:val="22"/>
          <w:lang w:val="es-ES_tradnl"/>
        </w:rPr>
      </w:pPr>
      <w:r>
        <w:rPr>
          <w:rFonts w:ascii="Arial" w:hAnsi="Arial" w:cs="Arial"/>
          <w:b/>
          <w:sz w:val="22"/>
          <w:szCs w:val="22"/>
          <w:lang w:val="es-ES_tradnl"/>
        </w:rPr>
        <w:t>Inconsistencias en el reporte en el Sistema de Evaluación para la Evaluación de la Eficacia - SIEE.</w:t>
      </w:r>
    </w:p>
    <w:p w:rsidR="0006670C" w:rsidRDefault="0006670C" w:rsidP="0006670C">
      <w:pPr>
        <w:tabs>
          <w:tab w:val="left" w:pos="426"/>
          <w:tab w:val="left" w:pos="2268"/>
        </w:tabs>
        <w:spacing w:after="200"/>
        <w:contextualSpacing/>
        <w:jc w:val="both"/>
        <w:rPr>
          <w:rFonts w:ascii="Arial" w:hAnsi="Arial" w:cs="Arial"/>
          <w:color w:val="000000" w:themeColor="text1"/>
          <w:sz w:val="22"/>
          <w:szCs w:val="22"/>
          <w:lang w:val="es-ES_tradnl"/>
        </w:rPr>
      </w:pPr>
    </w:p>
    <w:p w:rsidR="0006670C" w:rsidRDefault="0006670C" w:rsidP="0006670C">
      <w:pPr>
        <w:jc w:val="both"/>
        <w:rPr>
          <w:rFonts w:ascii="Arial" w:eastAsiaTheme="minorEastAsia" w:hAnsi="Arial" w:cs="Arial"/>
          <w:sz w:val="22"/>
          <w:szCs w:val="22"/>
          <w:lang w:val="es-ES_tradnl" w:eastAsia="en-US"/>
        </w:rPr>
      </w:pPr>
      <w:r>
        <w:rPr>
          <w:rFonts w:ascii="Arial" w:eastAsiaTheme="minorEastAsia" w:hAnsi="Arial" w:cs="Arial"/>
          <w:sz w:val="22"/>
          <w:szCs w:val="22"/>
          <w:lang w:val="es-ES_tradnl" w:eastAsia="en-US"/>
        </w:rPr>
        <w:t>La Dirección General de Apoyo Fiscal identificó algunos problemas de reporte de la información cargada al SIEE por parte del Municipio de Puerto Escondido - Córdoba. Por lo tanto, se procedió a verificar la información reportada para las vigencias 2018 y 2019, en donde se identificaron varias inconsistencias. Entre ellas resaltan que no todo lo que se programó luego se reportó o, por el contrario, se evidencia recursos que no se programaron, pero se ejecutaron, también se reportan valores mayores en ejecución a los programados.</w:t>
      </w:r>
    </w:p>
    <w:p w:rsidR="0006670C" w:rsidRDefault="0006670C" w:rsidP="0006670C">
      <w:pPr>
        <w:rPr>
          <w:rFonts w:ascii="Arial" w:hAnsi="Arial" w:cs="Arial"/>
          <w:b/>
          <w:sz w:val="22"/>
          <w:szCs w:val="22"/>
          <w:lang w:val="es-ES_tradnl"/>
        </w:rPr>
      </w:pPr>
    </w:p>
    <w:p w:rsidR="0006670C" w:rsidRDefault="0006670C" w:rsidP="0006670C">
      <w:pPr>
        <w:rPr>
          <w:rFonts w:ascii="Arial" w:hAnsi="Arial" w:cs="Arial"/>
          <w:b/>
          <w:sz w:val="22"/>
          <w:szCs w:val="22"/>
          <w:lang w:val="es-ES_tradnl"/>
        </w:rPr>
      </w:pPr>
    </w:p>
    <w:p w:rsidR="0006670C" w:rsidRDefault="0006670C" w:rsidP="0006670C">
      <w:pPr>
        <w:rPr>
          <w:rFonts w:ascii="Arial" w:hAnsi="Arial" w:cs="Arial"/>
          <w:b/>
          <w:sz w:val="22"/>
          <w:szCs w:val="22"/>
          <w:lang w:val="es-ES_tradnl"/>
        </w:rPr>
      </w:pPr>
    </w:p>
    <w:p w:rsidR="0006670C" w:rsidRDefault="0006670C" w:rsidP="0006670C">
      <w:pPr>
        <w:rPr>
          <w:rFonts w:ascii="Arial" w:hAnsi="Arial" w:cs="Arial"/>
          <w:b/>
          <w:sz w:val="22"/>
          <w:szCs w:val="22"/>
          <w:lang w:val="es-ES_tradnl"/>
        </w:rPr>
      </w:pPr>
    </w:p>
    <w:p w:rsidR="0006670C" w:rsidRDefault="0006670C" w:rsidP="0006670C">
      <w:pPr>
        <w:jc w:val="center"/>
        <w:rPr>
          <w:rFonts w:ascii="Arial" w:hAnsi="Arial" w:cs="Arial"/>
          <w:b/>
          <w:sz w:val="18"/>
          <w:szCs w:val="18"/>
          <w:lang w:val="es-ES_tradnl"/>
        </w:rPr>
      </w:pPr>
      <w:r>
        <w:rPr>
          <w:rFonts w:ascii="Arial" w:hAnsi="Arial" w:cs="Arial"/>
          <w:b/>
          <w:sz w:val="18"/>
          <w:szCs w:val="18"/>
          <w:lang w:val="es-ES_tradnl"/>
        </w:rPr>
        <w:lastRenderedPageBreak/>
        <w:t>Cuadro N° 14.</w:t>
      </w:r>
    </w:p>
    <w:p w:rsidR="0006670C" w:rsidRDefault="0006670C" w:rsidP="0006670C">
      <w:pPr>
        <w:jc w:val="center"/>
        <w:rPr>
          <w:rFonts w:ascii="Arial" w:eastAsia="Calibri" w:hAnsi="Arial" w:cs="Arial"/>
          <w:b/>
          <w:sz w:val="18"/>
          <w:szCs w:val="18"/>
          <w:lang w:val="es-ES_tradnl" w:eastAsia="en-US"/>
        </w:rPr>
      </w:pPr>
      <w:r>
        <w:rPr>
          <w:rFonts w:ascii="Arial" w:hAnsi="Arial" w:cs="Arial"/>
          <w:sz w:val="18"/>
          <w:szCs w:val="18"/>
          <w:lang w:val="es-ES_tradnl"/>
        </w:rPr>
        <w:t>Reporte SIEE – Recursos de Libre Inversión programados y ejecutados, vigencia 2019. Puerto Escondido – Córdoba.</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332"/>
        <w:gridCol w:w="1426"/>
      </w:tblGrid>
      <w:tr w:rsidR="0006670C" w:rsidTr="0006670C">
        <w:trPr>
          <w:trHeight w:val="639"/>
          <w:jc w:val="center"/>
        </w:trPr>
        <w:tc>
          <w:tcPr>
            <w:tcW w:w="4661"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themeColor="background1"/>
                <w:sz w:val="18"/>
                <w:szCs w:val="18"/>
                <w:lang w:val="es-ES_tradnl" w:eastAsia="es-CO"/>
              </w:rPr>
            </w:pPr>
            <w:r>
              <w:rPr>
                <w:rFonts w:ascii="Arial" w:hAnsi="Arial" w:cs="Arial"/>
                <w:b/>
                <w:color w:val="FFFFFF" w:themeColor="background1"/>
                <w:sz w:val="18"/>
                <w:szCs w:val="18"/>
                <w:lang w:val="es-ES_tradnl"/>
              </w:rPr>
              <w:t>Productos</w:t>
            </w:r>
          </w:p>
        </w:tc>
        <w:tc>
          <w:tcPr>
            <w:tcW w:w="1332" w:type="dxa"/>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06670C" w:rsidRDefault="0006670C">
            <w:pPr>
              <w:spacing w:line="256" w:lineRule="auto"/>
              <w:jc w:val="center"/>
              <w:rPr>
                <w:rFonts w:ascii="Arial" w:eastAsia="Times New Roman" w:hAnsi="Arial" w:cs="Arial"/>
                <w:b/>
                <w:bCs/>
                <w:color w:val="FFFFFF" w:themeColor="background1"/>
                <w:sz w:val="18"/>
                <w:szCs w:val="18"/>
                <w:lang w:val="es-ES_tradnl" w:eastAsia="es-CO"/>
              </w:rPr>
            </w:pPr>
            <w:r>
              <w:rPr>
                <w:rFonts w:ascii="Arial" w:hAnsi="Arial" w:cs="Arial"/>
                <w:b/>
                <w:color w:val="FFFFFF" w:themeColor="background1"/>
                <w:sz w:val="18"/>
                <w:szCs w:val="18"/>
                <w:lang w:val="es-ES_tradnl"/>
              </w:rPr>
              <w:t>Prog SGP Libre Inv. 2019</w:t>
            </w:r>
          </w:p>
        </w:tc>
        <w:tc>
          <w:tcPr>
            <w:tcW w:w="1426"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themeColor="background1"/>
                <w:sz w:val="18"/>
                <w:szCs w:val="18"/>
                <w:lang w:val="es-ES_tradnl" w:eastAsia="es-CO"/>
              </w:rPr>
            </w:pPr>
            <w:r>
              <w:rPr>
                <w:rFonts w:ascii="Arial" w:hAnsi="Arial" w:cs="Arial"/>
                <w:b/>
                <w:color w:val="FFFFFF" w:themeColor="background1"/>
                <w:sz w:val="18"/>
                <w:szCs w:val="18"/>
                <w:lang w:val="es-ES_tradnl"/>
              </w:rPr>
              <w:t>Ejec SGP Libre Inv. 2019</w:t>
            </w:r>
          </w:p>
        </w:tc>
      </w:tr>
      <w:tr w:rsidR="0006670C" w:rsidTr="0006670C">
        <w:trPr>
          <w:trHeight w:val="374"/>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6670C" w:rsidRDefault="0006670C">
            <w:pPr>
              <w:spacing w:line="256" w:lineRule="auto"/>
              <w:jc w:val="both"/>
              <w:rPr>
                <w:rFonts w:ascii="Arial" w:eastAsia="Times New Roman" w:hAnsi="Arial" w:cs="Arial"/>
                <w:bCs/>
                <w:sz w:val="18"/>
                <w:szCs w:val="18"/>
                <w:lang w:val="es-ES_tradnl" w:eastAsia="es-CO"/>
              </w:rPr>
            </w:pPr>
            <w:r>
              <w:rPr>
                <w:rFonts w:ascii="Arial" w:hAnsi="Arial" w:cs="Arial"/>
                <w:sz w:val="18"/>
                <w:szCs w:val="18"/>
              </w:rPr>
              <w:t>Banco de tierra entregados para el desarrollo rural</w:t>
            </w:r>
          </w:p>
        </w:tc>
        <w:tc>
          <w:tcPr>
            <w:tcW w:w="1332" w:type="dxa"/>
            <w:tcBorders>
              <w:top w:val="single" w:sz="4" w:space="0" w:color="auto"/>
              <w:left w:val="single" w:sz="4" w:space="0" w:color="auto"/>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bCs/>
                <w:sz w:val="18"/>
                <w:szCs w:val="18"/>
                <w:lang w:val="es-ES_tradnl" w:eastAsia="es-CO"/>
              </w:rPr>
            </w:pPr>
            <w:r>
              <w:rPr>
                <w:rFonts w:ascii="Arial" w:hAnsi="Arial" w:cs="Arial"/>
                <w:sz w:val="18"/>
                <w:szCs w:val="18"/>
              </w:rPr>
              <w:t>$5.000</w:t>
            </w:r>
          </w:p>
        </w:tc>
        <w:tc>
          <w:tcPr>
            <w:tcW w:w="1426"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bCs/>
                <w:sz w:val="18"/>
                <w:szCs w:val="18"/>
                <w:lang w:val="es-ES_tradnl" w:eastAsia="es-CO"/>
              </w:rPr>
            </w:pPr>
            <w:r>
              <w:rPr>
                <w:rFonts w:ascii="Arial" w:hAnsi="Arial" w:cs="Arial"/>
                <w:sz w:val="18"/>
                <w:szCs w:val="18"/>
              </w:rPr>
              <w:t>$0</w:t>
            </w:r>
          </w:p>
        </w:tc>
      </w:tr>
      <w:tr w:rsidR="0006670C" w:rsidTr="0006670C">
        <w:trPr>
          <w:trHeight w:val="374"/>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6670C" w:rsidRDefault="0006670C">
            <w:pPr>
              <w:spacing w:line="256" w:lineRule="auto"/>
              <w:jc w:val="both"/>
              <w:rPr>
                <w:rFonts w:ascii="Arial" w:eastAsia="Times New Roman" w:hAnsi="Arial" w:cs="Arial"/>
                <w:bCs/>
                <w:sz w:val="18"/>
                <w:szCs w:val="18"/>
                <w:lang w:val="es-ES_tradnl" w:eastAsia="es-CO"/>
              </w:rPr>
            </w:pPr>
            <w:r>
              <w:rPr>
                <w:rFonts w:ascii="Arial" w:hAnsi="Arial" w:cs="Arial"/>
                <w:sz w:val="18"/>
                <w:szCs w:val="18"/>
              </w:rPr>
              <w:t>Beneficiar a niños y niñas con la dotación de textos literarios en Bibliotecas</w:t>
            </w:r>
          </w:p>
        </w:tc>
        <w:tc>
          <w:tcPr>
            <w:tcW w:w="1332" w:type="dxa"/>
            <w:tcBorders>
              <w:top w:val="single" w:sz="4" w:space="0" w:color="auto"/>
              <w:left w:val="single" w:sz="4" w:space="0" w:color="auto"/>
              <w:bottom w:val="single" w:sz="4" w:space="0" w:color="auto"/>
              <w:right w:val="single" w:sz="4" w:space="0" w:color="auto"/>
            </w:tcBorders>
            <w:noWrap/>
            <w:vAlign w:val="center"/>
            <w:hideMark/>
          </w:tcPr>
          <w:p w:rsidR="0006670C" w:rsidRDefault="0006670C">
            <w:pPr>
              <w:spacing w:line="256" w:lineRule="auto"/>
              <w:jc w:val="center"/>
              <w:rPr>
                <w:rFonts w:ascii="Arial" w:hAnsi="Arial" w:cs="Arial"/>
                <w:sz w:val="18"/>
                <w:szCs w:val="18"/>
                <w:lang w:val="es-ES_tradnl"/>
              </w:rPr>
            </w:pPr>
            <w:r>
              <w:rPr>
                <w:rFonts w:ascii="Arial" w:hAnsi="Arial" w:cs="Arial"/>
                <w:sz w:val="18"/>
                <w:szCs w:val="18"/>
              </w:rPr>
              <w:t>$0</w:t>
            </w:r>
          </w:p>
        </w:tc>
        <w:tc>
          <w:tcPr>
            <w:tcW w:w="1426"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eastAsia="Times New Roman" w:hAnsi="Arial" w:cs="Arial"/>
                <w:bCs/>
                <w:sz w:val="18"/>
                <w:szCs w:val="18"/>
                <w:lang w:val="es-ES_tradnl" w:eastAsia="es-CO"/>
              </w:rPr>
            </w:pPr>
            <w:r>
              <w:rPr>
                <w:rFonts w:ascii="Arial" w:hAnsi="Arial" w:cs="Arial"/>
                <w:sz w:val="18"/>
                <w:szCs w:val="18"/>
              </w:rPr>
              <w:t>$51.753.578</w:t>
            </w:r>
          </w:p>
        </w:tc>
      </w:tr>
      <w:tr w:rsidR="0006670C" w:rsidTr="0006670C">
        <w:trPr>
          <w:trHeight w:val="374"/>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6670C" w:rsidRDefault="0006670C">
            <w:pPr>
              <w:spacing w:line="256" w:lineRule="auto"/>
              <w:jc w:val="both"/>
              <w:rPr>
                <w:rFonts w:ascii="Arial" w:eastAsia="Times New Roman" w:hAnsi="Arial" w:cs="Arial"/>
                <w:bCs/>
                <w:sz w:val="18"/>
                <w:szCs w:val="18"/>
                <w:lang w:val="es-ES_tradnl" w:eastAsia="es-CO"/>
              </w:rPr>
            </w:pPr>
            <w:r>
              <w:rPr>
                <w:rFonts w:ascii="Arial" w:hAnsi="Arial" w:cs="Arial"/>
                <w:sz w:val="18"/>
                <w:szCs w:val="18"/>
              </w:rPr>
              <w:t>Número de acciones/proyectos/intervenciones para de asesoría realizadas dirigidas a la población LGBTI, Afro e Indígena</w:t>
            </w:r>
          </w:p>
        </w:tc>
        <w:tc>
          <w:tcPr>
            <w:tcW w:w="1332" w:type="dxa"/>
            <w:tcBorders>
              <w:top w:val="single" w:sz="4" w:space="0" w:color="auto"/>
              <w:left w:val="single" w:sz="4" w:space="0" w:color="auto"/>
              <w:bottom w:val="single" w:sz="4" w:space="0" w:color="auto"/>
              <w:right w:val="single" w:sz="4" w:space="0" w:color="auto"/>
            </w:tcBorders>
            <w:noWrap/>
            <w:vAlign w:val="center"/>
            <w:hideMark/>
          </w:tcPr>
          <w:p w:rsidR="0006670C" w:rsidRDefault="0006670C">
            <w:pPr>
              <w:spacing w:line="256" w:lineRule="auto"/>
              <w:jc w:val="center"/>
              <w:rPr>
                <w:rFonts w:ascii="Arial" w:hAnsi="Arial" w:cs="Arial"/>
                <w:sz w:val="18"/>
                <w:szCs w:val="18"/>
                <w:lang w:val="es-ES_tradnl"/>
              </w:rPr>
            </w:pPr>
            <w:r>
              <w:rPr>
                <w:rFonts w:ascii="Arial" w:hAnsi="Arial" w:cs="Arial"/>
                <w:sz w:val="18"/>
                <w:szCs w:val="18"/>
              </w:rPr>
              <w:t>$4.000</w:t>
            </w:r>
          </w:p>
        </w:tc>
        <w:tc>
          <w:tcPr>
            <w:tcW w:w="1426"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hAnsi="Arial" w:cs="Arial"/>
                <w:sz w:val="18"/>
                <w:szCs w:val="18"/>
                <w:lang w:val="es-ES_tradnl"/>
              </w:rPr>
            </w:pPr>
            <w:r>
              <w:rPr>
                <w:rFonts w:ascii="Arial" w:hAnsi="Arial" w:cs="Arial"/>
                <w:sz w:val="18"/>
                <w:szCs w:val="18"/>
              </w:rPr>
              <w:t>$24.558.775</w:t>
            </w:r>
          </w:p>
        </w:tc>
      </w:tr>
      <w:tr w:rsidR="0006670C" w:rsidTr="0006670C">
        <w:trPr>
          <w:trHeight w:val="374"/>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6670C" w:rsidRDefault="0006670C">
            <w:pPr>
              <w:spacing w:line="256" w:lineRule="auto"/>
              <w:jc w:val="both"/>
              <w:rPr>
                <w:rFonts w:ascii="Arial" w:eastAsia="Times New Roman" w:hAnsi="Arial" w:cs="Arial"/>
                <w:bCs/>
                <w:sz w:val="18"/>
                <w:szCs w:val="18"/>
                <w:lang w:val="es-ES_tradnl" w:eastAsia="es-CO"/>
              </w:rPr>
            </w:pPr>
            <w:r>
              <w:rPr>
                <w:rFonts w:ascii="Arial" w:hAnsi="Arial" w:cs="Arial"/>
                <w:sz w:val="18"/>
                <w:szCs w:val="18"/>
              </w:rPr>
              <w:t>Número de capacitaciones orientadas al fortalecimiento institucional de la entidad</w:t>
            </w:r>
          </w:p>
        </w:tc>
        <w:tc>
          <w:tcPr>
            <w:tcW w:w="1332" w:type="dxa"/>
            <w:tcBorders>
              <w:top w:val="single" w:sz="4" w:space="0" w:color="auto"/>
              <w:left w:val="single" w:sz="4" w:space="0" w:color="auto"/>
              <w:bottom w:val="single" w:sz="4" w:space="0" w:color="auto"/>
              <w:right w:val="single" w:sz="4" w:space="0" w:color="auto"/>
            </w:tcBorders>
            <w:noWrap/>
            <w:vAlign w:val="center"/>
            <w:hideMark/>
          </w:tcPr>
          <w:p w:rsidR="0006670C" w:rsidRDefault="0006670C">
            <w:pPr>
              <w:spacing w:line="256" w:lineRule="auto"/>
              <w:jc w:val="center"/>
              <w:rPr>
                <w:rFonts w:ascii="Arial" w:hAnsi="Arial" w:cs="Arial"/>
                <w:sz w:val="18"/>
                <w:szCs w:val="18"/>
                <w:lang w:val="es-ES_tradnl"/>
              </w:rPr>
            </w:pPr>
            <w:r>
              <w:rPr>
                <w:rFonts w:ascii="Arial" w:hAnsi="Arial" w:cs="Arial"/>
                <w:sz w:val="18"/>
                <w:szCs w:val="18"/>
              </w:rPr>
              <w:t>$13.000</w:t>
            </w:r>
          </w:p>
        </w:tc>
        <w:tc>
          <w:tcPr>
            <w:tcW w:w="1426"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hAnsi="Arial" w:cs="Arial"/>
                <w:sz w:val="18"/>
                <w:szCs w:val="18"/>
                <w:lang w:val="es-ES_tradnl"/>
              </w:rPr>
            </w:pPr>
            <w:r>
              <w:rPr>
                <w:rFonts w:ascii="Arial" w:hAnsi="Arial" w:cs="Arial"/>
                <w:sz w:val="18"/>
                <w:szCs w:val="18"/>
              </w:rPr>
              <w:t>$100.871.360</w:t>
            </w:r>
          </w:p>
        </w:tc>
      </w:tr>
      <w:tr w:rsidR="0006670C" w:rsidTr="0006670C">
        <w:trPr>
          <w:trHeight w:val="374"/>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6670C" w:rsidRDefault="0006670C">
            <w:pPr>
              <w:spacing w:line="256" w:lineRule="auto"/>
              <w:jc w:val="both"/>
              <w:rPr>
                <w:rFonts w:ascii="Arial" w:eastAsia="Times New Roman" w:hAnsi="Arial" w:cs="Arial"/>
                <w:bCs/>
                <w:sz w:val="18"/>
                <w:szCs w:val="18"/>
                <w:lang w:val="es-ES_tradnl" w:eastAsia="es-CO"/>
              </w:rPr>
            </w:pPr>
            <w:r>
              <w:rPr>
                <w:rFonts w:ascii="Arial" w:hAnsi="Arial" w:cs="Arial"/>
                <w:sz w:val="18"/>
                <w:szCs w:val="18"/>
              </w:rPr>
              <w:t>Número de km con mantenimiento de vías urbanas</w:t>
            </w:r>
          </w:p>
        </w:tc>
        <w:tc>
          <w:tcPr>
            <w:tcW w:w="1332" w:type="dxa"/>
            <w:tcBorders>
              <w:top w:val="single" w:sz="4" w:space="0" w:color="auto"/>
              <w:left w:val="single" w:sz="4" w:space="0" w:color="auto"/>
              <w:bottom w:val="single" w:sz="4" w:space="0" w:color="auto"/>
              <w:right w:val="single" w:sz="4" w:space="0" w:color="auto"/>
            </w:tcBorders>
            <w:noWrap/>
            <w:vAlign w:val="center"/>
            <w:hideMark/>
          </w:tcPr>
          <w:p w:rsidR="0006670C" w:rsidRDefault="0006670C">
            <w:pPr>
              <w:spacing w:line="256" w:lineRule="auto"/>
              <w:jc w:val="center"/>
              <w:rPr>
                <w:rFonts w:ascii="Arial" w:hAnsi="Arial" w:cs="Arial"/>
                <w:sz w:val="18"/>
                <w:szCs w:val="18"/>
                <w:lang w:val="es-ES_tradnl"/>
              </w:rPr>
            </w:pPr>
            <w:r>
              <w:rPr>
                <w:rFonts w:ascii="Arial" w:hAnsi="Arial" w:cs="Arial"/>
                <w:sz w:val="18"/>
                <w:szCs w:val="18"/>
              </w:rPr>
              <w:t>$0</w:t>
            </w:r>
          </w:p>
        </w:tc>
        <w:tc>
          <w:tcPr>
            <w:tcW w:w="1426"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hAnsi="Arial" w:cs="Arial"/>
                <w:sz w:val="18"/>
                <w:szCs w:val="18"/>
                <w:lang w:val="es-ES_tradnl"/>
              </w:rPr>
            </w:pPr>
            <w:r>
              <w:rPr>
                <w:rFonts w:ascii="Arial" w:hAnsi="Arial" w:cs="Arial"/>
                <w:sz w:val="18"/>
                <w:szCs w:val="18"/>
              </w:rPr>
              <w:t>$499.758.464</w:t>
            </w:r>
          </w:p>
        </w:tc>
      </w:tr>
      <w:tr w:rsidR="0006670C" w:rsidTr="0006670C">
        <w:trPr>
          <w:trHeight w:val="374"/>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06670C" w:rsidRDefault="0006670C">
            <w:pPr>
              <w:spacing w:line="256" w:lineRule="auto"/>
              <w:jc w:val="both"/>
              <w:rPr>
                <w:rFonts w:ascii="Arial" w:eastAsia="Times New Roman" w:hAnsi="Arial" w:cs="Arial"/>
                <w:bCs/>
                <w:sz w:val="18"/>
                <w:szCs w:val="18"/>
                <w:lang w:val="es-ES_tradnl" w:eastAsia="es-CO"/>
              </w:rPr>
            </w:pPr>
            <w:r>
              <w:rPr>
                <w:rFonts w:ascii="Arial" w:hAnsi="Arial" w:cs="Arial"/>
                <w:sz w:val="18"/>
                <w:szCs w:val="18"/>
              </w:rPr>
              <w:t>Banco de tierra entregados para el desarrollo rural</w:t>
            </w:r>
          </w:p>
        </w:tc>
        <w:tc>
          <w:tcPr>
            <w:tcW w:w="1332" w:type="dxa"/>
            <w:tcBorders>
              <w:top w:val="single" w:sz="4" w:space="0" w:color="auto"/>
              <w:left w:val="single" w:sz="4" w:space="0" w:color="auto"/>
              <w:bottom w:val="single" w:sz="4" w:space="0" w:color="auto"/>
              <w:right w:val="single" w:sz="4" w:space="0" w:color="auto"/>
            </w:tcBorders>
            <w:noWrap/>
            <w:vAlign w:val="center"/>
            <w:hideMark/>
          </w:tcPr>
          <w:p w:rsidR="0006670C" w:rsidRDefault="0006670C">
            <w:pPr>
              <w:spacing w:line="256" w:lineRule="auto"/>
              <w:jc w:val="center"/>
              <w:rPr>
                <w:rFonts w:ascii="Arial" w:hAnsi="Arial" w:cs="Arial"/>
                <w:sz w:val="18"/>
                <w:szCs w:val="18"/>
                <w:lang w:val="es-ES_tradnl"/>
              </w:rPr>
            </w:pPr>
            <w:r>
              <w:rPr>
                <w:rFonts w:ascii="Arial" w:hAnsi="Arial" w:cs="Arial"/>
                <w:sz w:val="18"/>
                <w:szCs w:val="18"/>
              </w:rPr>
              <w:t>$5.000</w:t>
            </w:r>
          </w:p>
        </w:tc>
        <w:tc>
          <w:tcPr>
            <w:tcW w:w="1426" w:type="dxa"/>
            <w:tcBorders>
              <w:top w:val="single" w:sz="4" w:space="0" w:color="auto"/>
              <w:left w:val="single" w:sz="4" w:space="0" w:color="auto"/>
              <w:bottom w:val="single" w:sz="4" w:space="0" w:color="auto"/>
              <w:right w:val="single" w:sz="4" w:space="0" w:color="auto"/>
            </w:tcBorders>
            <w:vAlign w:val="center"/>
            <w:hideMark/>
          </w:tcPr>
          <w:p w:rsidR="0006670C" w:rsidRDefault="0006670C">
            <w:pPr>
              <w:spacing w:line="256" w:lineRule="auto"/>
              <w:jc w:val="center"/>
              <w:rPr>
                <w:rFonts w:ascii="Arial" w:hAnsi="Arial" w:cs="Arial"/>
                <w:sz w:val="18"/>
                <w:szCs w:val="18"/>
                <w:lang w:val="es-ES_tradnl"/>
              </w:rPr>
            </w:pPr>
            <w:r>
              <w:rPr>
                <w:rFonts w:ascii="Arial" w:hAnsi="Arial" w:cs="Arial"/>
                <w:sz w:val="18"/>
                <w:szCs w:val="18"/>
              </w:rPr>
              <w:t>$0</w:t>
            </w:r>
          </w:p>
        </w:tc>
      </w:tr>
    </w:tbl>
    <w:p w:rsidR="0006670C" w:rsidRDefault="0006670C" w:rsidP="0006670C">
      <w:pPr>
        <w:tabs>
          <w:tab w:val="left" w:pos="2268"/>
        </w:tabs>
        <w:jc w:val="center"/>
        <w:rPr>
          <w:rFonts w:ascii="Arial" w:eastAsiaTheme="minorEastAsia" w:hAnsi="Arial" w:cs="Arial"/>
          <w:sz w:val="18"/>
          <w:szCs w:val="18"/>
          <w:lang w:val="es-ES_tradnl" w:eastAsia="en-US"/>
        </w:rPr>
      </w:pPr>
      <w:r>
        <w:rPr>
          <w:rFonts w:ascii="Arial" w:hAnsi="Arial" w:cs="Arial"/>
          <w:b/>
          <w:sz w:val="18"/>
          <w:szCs w:val="18"/>
          <w:lang w:val="es-ES_tradnl"/>
        </w:rPr>
        <w:t xml:space="preserve">Fuente: </w:t>
      </w:r>
      <w:r>
        <w:rPr>
          <w:rFonts w:ascii="Arial" w:hAnsi="Arial" w:cs="Arial"/>
          <w:sz w:val="18"/>
          <w:szCs w:val="18"/>
        </w:rPr>
        <w:t>Información reportada por el Municipio al Sistema de Información para la Evaluación de la Eficacia – SIEE.</w:t>
      </w:r>
    </w:p>
    <w:p w:rsidR="0006670C" w:rsidRDefault="0006670C" w:rsidP="0006670C">
      <w:pPr>
        <w:tabs>
          <w:tab w:val="left" w:pos="2268"/>
        </w:tabs>
        <w:jc w:val="both"/>
        <w:rPr>
          <w:rFonts w:ascii="Arial" w:eastAsiaTheme="minorEastAsia" w:hAnsi="Arial" w:cs="Arial"/>
          <w:sz w:val="22"/>
          <w:szCs w:val="22"/>
          <w:lang w:val="es-ES_tradnl" w:eastAsia="en-US"/>
        </w:rPr>
      </w:pPr>
    </w:p>
    <w:p w:rsidR="0006670C" w:rsidRDefault="0006670C" w:rsidP="0006670C">
      <w:pPr>
        <w:tabs>
          <w:tab w:val="left" w:pos="2268"/>
        </w:tabs>
        <w:jc w:val="both"/>
        <w:rPr>
          <w:rFonts w:ascii="Arial" w:hAnsi="Arial" w:cs="Arial"/>
          <w:iCs/>
          <w:color w:val="000000" w:themeColor="text1"/>
          <w:sz w:val="22"/>
          <w:szCs w:val="22"/>
          <w:lang w:val="es-ES_tradnl"/>
        </w:rPr>
      </w:pPr>
      <w:r>
        <w:rPr>
          <w:rFonts w:ascii="Arial" w:eastAsiaTheme="minorEastAsia" w:hAnsi="Arial" w:cs="Arial"/>
          <w:sz w:val="22"/>
          <w:szCs w:val="22"/>
          <w:lang w:val="es-ES_tradnl" w:eastAsia="en-US"/>
        </w:rPr>
        <w:t>Con el cuadro anterior</w:t>
      </w:r>
      <w:r>
        <w:rPr>
          <w:rFonts w:ascii="Arial" w:hAnsi="Arial" w:cs="Arial"/>
          <w:iCs/>
          <w:color w:val="000000" w:themeColor="text1"/>
          <w:sz w:val="22"/>
          <w:szCs w:val="22"/>
          <w:lang w:val="es-ES_tradnl"/>
        </w:rPr>
        <w:t>, se confirman las inconsistencias mencionadas. Una de ellas, es la diferencia en el formato de cifras, ya que, en la columna “</w:t>
      </w:r>
      <w:r>
        <w:rPr>
          <w:rFonts w:ascii="Arial" w:hAnsi="Arial" w:cs="Arial"/>
          <w:i/>
          <w:iCs/>
          <w:color w:val="000000" w:themeColor="text1"/>
          <w:sz w:val="22"/>
          <w:szCs w:val="22"/>
          <w:lang w:val="es-ES_tradnl"/>
        </w:rPr>
        <w:t>Prog SGP Libr Inv 2019</w:t>
      </w:r>
      <w:r>
        <w:rPr>
          <w:rFonts w:ascii="Arial" w:hAnsi="Arial" w:cs="Arial"/>
          <w:color w:val="000000" w:themeColor="text1"/>
          <w:sz w:val="22"/>
          <w:szCs w:val="22"/>
          <w:lang w:val="es-ES_tradnl"/>
        </w:rPr>
        <w:t>”</w:t>
      </w:r>
      <w:r>
        <w:rPr>
          <w:rFonts w:ascii="Arial" w:hAnsi="Arial" w:cs="Arial"/>
          <w:iCs/>
          <w:color w:val="000000" w:themeColor="text1"/>
          <w:sz w:val="22"/>
          <w:szCs w:val="22"/>
          <w:lang w:val="es-ES_tradnl"/>
        </w:rPr>
        <w:t xml:space="preserve"> el Municipio al parecer estaría reportando en miles, mientras que en la columna “</w:t>
      </w:r>
      <w:r>
        <w:rPr>
          <w:rFonts w:ascii="Arial" w:hAnsi="Arial" w:cs="Arial"/>
          <w:i/>
          <w:iCs/>
          <w:color w:val="000000" w:themeColor="text1"/>
          <w:sz w:val="22"/>
          <w:szCs w:val="22"/>
          <w:lang w:val="es-ES_tradnl"/>
        </w:rPr>
        <w:t>Ejec SGP Lbr Inv 2019</w:t>
      </w:r>
      <w:r>
        <w:rPr>
          <w:rFonts w:ascii="Arial" w:hAnsi="Arial" w:cs="Arial"/>
          <w:color w:val="000000" w:themeColor="text1"/>
          <w:sz w:val="22"/>
          <w:szCs w:val="22"/>
          <w:lang w:val="es-ES_tradnl"/>
        </w:rPr>
        <w:t>”</w:t>
      </w:r>
      <w:r>
        <w:rPr>
          <w:rFonts w:ascii="Arial" w:hAnsi="Arial" w:cs="Arial"/>
          <w:iCs/>
          <w:color w:val="000000" w:themeColor="text1"/>
          <w:sz w:val="22"/>
          <w:szCs w:val="22"/>
          <w:lang w:val="es-ES_tradnl"/>
        </w:rPr>
        <w:t xml:space="preserve"> estaría reportando en pesos.</w:t>
      </w:r>
    </w:p>
    <w:p w:rsidR="0006670C" w:rsidRDefault="0006670C" w:rsidP="0006670C">
      <w:pPr>
        <w:tabs>
          <w:tab w:val="left" w:pos="2268"/>
        </w:tabs>
        <w:jc w:val="both"/>
        <w:rPr>
          <w:rFonts w:ascii="Arial" w:hAnsi="Arial" w:cs="Arial"/>
          <w:iCs/>
          <w:color w:val="000000" w:themeColor="text1"/>
          <w:sz w:val="22"/>
          <w:szCs w:val="22"/>
          <w:lang w:val="es-ES_tradnl"/>
        </w:rPr>
      </w:pPr>
    </w:p>
    <w:p w:rsidR="0006670C" w:rsidRDefault="0006670C" w:rsidP="0006670C">
      <w:pPr>
        <w:tabs>
          <w:tab w:val="left" w:pos="2268"/>
        </w:tabs>
        <w:jc w:val="both"/>
        <w:rPr>
          <w:rFonts w:ascii="Arial" w:hAnsi="Arial" w:cs="Arial"/>
          <w:iCs/>
          <w:color w:val="000000" w:themeColor="text1"/>
          <w:sz w:val="22"/>
          <w:szCs w:val="22"/>
          <w:lang w:val="es-ES_tradnl"/>
        </w:rPr>
      </w:pPr>
      <w:r>
        <w:rPr>
          <w:rFonts w:ascii="Arial" w:hAnsi="Arial" w:cs="Arial"/>
          <w:iCs/>
          <w:color w:val="000000" w:themeColor="text1"/>
          <w:sz w:val="22"/>
          <w:szCs w:val="22"/>
          <w:lang w:val="es-ES_tradnl"/>
        </w:rPr>
        <w:t>También cabe resaltar que existen diferencias considerables entre lo programado y lo ejecutado, que es importante que el Municipio tenga en cuenta, ya que evidencia inconsistencias en el reporte que realiza.</w:t>
      </w:r>
    </w:p>
    <w:p w:rsidR="0006670C" w:rsidRDefault="0006670C" w:rsidP="0006670C">
      <w:pPr>
        <w:tabs>
          <w:tab w:val="left" w:pos="2268"/>
        </w:tabs>
        <w:jc w:val="both"/>
        <w:rPr>
          <w:rFonts w:ascii="Arial" w:hAnsi="Arial" w:cs="Arial"/>
          <w:iCs/>
          <w:color w:val="000000" w:themeColor="text1"/>
          <w:sz w:val="22"/>
          <w:szCs w:val="22"/>
          <w:lang w:val="es-ES_tradnl"/>
        </w:rPr>
      </w:pPr>
    </w:p>
    <w:p w:rsidR="0006670C" w:rsidRDefault="0006670C" w:rsidP="0006670C">
      <w:pPr>
        <w:tabs>
          <w:tab w:val="left" w:pos="2268"/>
        </w:tabs>
        <w:jc w:val="both"/>
        <w:rPr>
          <w:rFonts w:ascii="Arial" w:hAnsi="Arial" w:cs="Arial"/>
          <w:iCs/>
          <w:color w:val="000000" w:themeColor="text1"/>
          <w:sz w:val="22"/>
          <w:szCs w:val="22"/>
          <w:lang w:val="es-ES_tradnl"/>
        </w:rPr>
      </w:pPr>
      <w:r>
        <w:rPr>
          <w:rFonts w:ascii="Arial" w:hAnsi="Arial" w:cs="Arial"/>
          <w:iCs/>
          <w:color w:val="000000" w:themeColor="text1"/>
          <w:sz w:val="22"/>
          <w:szCs w:val="22"/>
          <w:lang w:val="es-ES_tradnl"/>
        </w:rPr>
        <w:t>La situación anterior confirma que el Municipio no atiende lo dispuesto en el numeral 6 de la Circular 14-4 del 29 de mayo de 2019, la cual brinda los lineamientos para el reporte al SIEE y en donde se indica que “</w:t>
      </w:r>
      <w:r>
        <w:rPr>
          <w:rFonts w:ascii="Arial" w:hAnsi="Arial" w:cs="Arial"/>
          <w:i/>
          <w:color w:val="000000" w:themeColor="text1"/>
          <w:sz w:val="22"/>
          <w:szCs w:val="22"/>
          <w:lang w:val="es-ES_tradnl"/>
        </w:rPr>
        <w:t xml:space="preserve">Para el reporte en </w:t>
      </w:r>
      <w:r>
        <w:rPr>
          <w:rFonts w:ascii="Arial" w:hAnsi="Arial" w:cs="Arial"/>
          <w:b/>
          <w:i/>
          <w:color w:val="000000" w:themeColor="text1"/>
          <w:sz w:val="22"/>
          <w:szCs w:val="22"/>
          <w:lang w:val="es-ES_tradnl"/>
        </w:rPr>
        <w:t>GESTIONWEB, la información financiera debe reportarse en pesos</w:t>
      </w:r>
      <w:r>
        <w:rPr>
          <w:rFonts w:ascii="Arial" w:hAnsi="Arial" w:cs="Arial"/>
          <w:iCs/>
          <w:color w:val="000000" w:themeColor="text1"/>
          <w:sz w:val="22"/>
          <w:szCs w:val="22"/>
          <w:lang w:val="es-ES_tradnl"/>
        </w:rPr>
        <w:t>”.</w:t>
      </w:r>
    </w:p>
    <w:p w:rsidR="0006670C" w:rsidRDefault="0006670C" w:rsidP="0006670C">
      <w:pPr>
        <w:tabs>
          <w:tab w:val="left" w:pos="2268"/>
        </w:tabs>
        <w:jc w:val="both"/>
        <w:rPr>
          <w:rFonts w:ascii="Arial" w:hAnsi="Arial" w:cs="Arial"/>
          <w:iCs/>
          <w:color w:val="000000" w:themeColor="text1"/>
          <w:sz w:val="22"/>
          <w:szCs w:val="22"/>
          <w:lang w:val="es-ES_tradnl"/>
        </w:rPr>
      </w:pPr>
    </w:p>
    <w:p w:rsidR="0006670C" w:rsidRDefault="0006670C" w:rsidP="0006670C">
      <w:pPr>
        <w:tabs>
          <w:tab w:val="left" w:pos="2268"/>
        </w:tabs>
        <w:jc w:val="both"/>
        <w:rPr>
          <w:rFonts w:ascii="Arial" w:hAnsi="Arial" w:cs="Arial"/>
          <w:iCs/>
          <w:color w:val="000000" w:themeColor="text1"/>
          <w:sz w:val="22"/>
          <w:szCs w:val="22"/>
          <w:lang w:val="es-ES_tradnl"/>
        </w:rPr>
      </w:pPr>
      <w:r>
        <w:rPr>
          <w:rFonts w:ascii="Arial" w:hAnsi="Arial" w:cs="Arial"/>
          <w:iCs/>
          <w:color w:val="000000" w:themeColor="text1"/>
          <w:sz w:val="22"/>
          <w:szCs w:val="22"/>
          <w:lang w:val="es-ES_tradnl"/>
        </w:rPr>
        <w:t>Es decir, que la información cargada al SIEE por parte del Puerto Escondido - Córdoba no permite una adecuada evaluación del logró de metas y su ejecución, tal y como lo plantea el artículo 29 de la Ley 152 de 1994, en donde señala:</w:t>
      </w:r>
    </w:p>
    <w:p w:rsidR="0006670C" w:rsidRDefault="0006670C" w:rsidP="0006670C">
      <w:pPr>
        <w:tabs>
          <w:tab w:val="left" w:pos="2268"/>
        </w:tabs>
        <w:jc w:val="both"/>
        <w:rPr>
          <w:rFonts w:ascii="Arial" w:hAnsi="Arial" w:cs="Arial"/>
          <w:iCs/>
          <w:color w:val="000000" w:themeColor="text1"/>
          <w:sz w:val="22"/>
          <w:szCs w:val="22"/>
          <w:lang w:val="es-ES_tradnl"/>
        </w:rPr>
      </w:pPr>
    </w:p>
    <w:p w:rsidR="0006670C" w:rsidRDefault="0006670C" w:rsidP="0006670C">
      <w:pPr>
        <w:tabs>
          <w:tab w:val="left" w:pos="2268"/>
        </w:tabs>
        <w:ind w:left="1416"/>
        <w:contextualSpacing/>
        <w:jc w:val="both"/>
        <w:rPr>
          <w:rFonts w:ascii="Arial" w:hAnsi="Arial" w:cs="Arial"/>
          <w:b/>
          <w:i/>
          <w:color w:val="000000" w:themeColor="text1"/>
          <w:sz w:val="18"/>
          <w:szCs w:val="18"/>
          <w:lang w:val="es-ES_tradnl"/>
        </w:rPr>
      </w:pPr>
      <w:r>
        <w:rPr>
          <w:rFonts w:ascii="Arial" w:hAnsi="Arial" w:cs="Arial"/>
          <w:iCs/>
          <w:color w:val="000000" w:themeColor="text1"/>
          <w:sz w:val="18"/>
          <w:szCs w:val="18"/>
          <w:lang w:val="es-ES_tradnl"/>
        </w:rPr>
        <w:t>“</w:t>
      </w:r>
      <w:r>
        <w:rPr>
          <w:rFonts w:ascii="Arial" w:hAnsi="Arial" w:cs="Arial"/>
          <w:i/>
          <w:color w:val="000000" w:themeColor="text1"/>
          <w:sz w:val="18"/>
          <w:szCs w:val="18"/>
          <w:lang w:val="es-ES_tradnl"/>
        </w:rPr>
        <w:t xml:space="preserve">De acuerdo con la organización del sistema las principales entidades ejecutoras desarrollarán sus propios sistemas de evaluación y el </w:t>
      </w:r>
      <w:r>
        <w:rPr>
          <w:rFonts w:ascii="Arial" w:hAnsi="Arial" w:cs="Arial"/>
          <w:b/>
          <w:i/>
          <w:color w:val="000000" w:themeColor="text1"/>
          <w:sz w:val="18"/>
          <w:szCs w:val="18"/>
          <w:lang w:val="es-ES_tradnl"/>
        </w:rPr>
        <w:t>DNP podrá efectuar de manera selectiva directa o indirectamente la evaluación de programas y proyectos de cualquier entidad nacional, regional o territorial responsable. La organización del sistema de evaluación se establecerá mediante decreto.</w:t>
      </w:r>
    </w:p>
    <w:p w:rsidR="0006670C" w:rsidRDefault="0006670C" w:rsidP="0006670C">
      <w:pPr>
        <w:tabs>
          <w:tab w:val="left" w:pos="2268"/>
        </w:tabs>
        <w:ind w:left="1416"/>
        <w:contextualSpacing/>
        <w:jc w:val="both"/>
        <w:rPr>
          <w:rFonts w:ascii="Arial" w:hAnsi="Arial" w:cs="Arial"/>
          <w:b/>
          <w:i/>
          <w:color w:val="000000" w:themeColor="text1"/>
          <w:sz w:val="18"/>
          <w:szCs w:val="18"/>
          <w:lang w:val="es-ES_tradnl"/>
        </w:rPr>
      </w:pPr>
    </w:p>
    <w:p w:rsidR="0006670C" w:rsidRDefault="0006670C" w:rsidP="0006670C">
      <w:pPr>
        <w:tabs>
          <w:tab w:val="left" w:pos="2268"/>
        </w:tabs>
        <w:ind w:left="1416"/>
        <w:contextualSpacing/>
        <w:jc w:val="both"/>
        <w:rPr>
          <w:rFonts w:ascii="Arial" w:hAnsi="Arial" w:cs="Arial"/>
          <w:iCs/>
          <w:color w:val="000000" w:themeColor="text1"/>
          <w:sz w:val="18"/>
          <w:szCs w:val="18"/>
          <w:lang w:val="es-ES_tradnl"/>
        </w:rPr>
      </w:pPr>
      <w:r>
        <w:rPr>
          <w:rFonts w:ascii="Arial" w:hAnsi="Arial" w:cs="Arial"/>
          <w:b/>
          <w:i/>
          <w:color w:val="000000" w:themeColor="text1"/>
          <w:sz w:val="18"/>
          <w:szCs w:val="18"/>
          <w:lang w:val="es-ES_tradnl"/>
        </w:rPr>
        <w:t>Parágrafo 1.- Para efectos de este artículo, se aplicarán los principios de eficiencia, de eficacia y responsabilidad, conforme lo disponga la Ley Orgánica de Ordenamiento Territorial, en lo pertinente</w:t>
      </w:r>
      <w:r>
        <w:rPr>
          <w:rFonts w:ascii="Arial" w:hAnsi="Arial" w:cs="Arial"/>
          <w:iCs/>
          <w:color w:val="000000" w:themeColor="text1"/>
          <w:sz w:val="18"/>
          <w:szCs w:val="18"/>
          <w:lang w:val="es-ES_tradnl"/>
        </w:rPr>
        <w:t>” (negrita fuera de texto).</w:t>
      </w:r>
    </w:p>
    <w:p w:rsidR="0006670C" w:rsidRDefault="0006670C" w:rsidP="0006670C">
      <w:pPr>
        <w:pStyle w:val="Prrafodelista"/>
        <w:spacing w:line="240" w:lineRule="auto"/>
        <w:ind w:left="0"/>
        <w:rPr>
          <w:rFonts w:ascii="Arial" w:hAnsi="Arial" w:cs="Arial"/>
        </w:rPr>
      </w:pPr>
    </w:p>
    <w:p w:rsidR="0006670C" w:rsidRDefault="0006670C" w:rsidP="0006670C">
      <w:pPr>
        <w:pStyle w:val="Prrafodelista"/>
        <w:numPr>
          <w:ilvl w:val="0"/>
          <w:numId w:val="45"/>
        </w:numPr>
        <w:spacing w:line="240" w:lineRule="auto"/>
        <w:jc w:val="both"/>
        <w:rPr>
          <w:rStyle w:val="normaltextrun"/>
          <w:rFonts w:eastAsia="MS Mincho"/>
          <w:b/>
          <w:bCs/>
          <w:color w:val="000000"/>
          <w:sz w:val="24"/>
          <w:szCs w:val="24"/>
          <w:shd w:val="clear" w:color="auto" w:fill="FFFFFF"/>
          <w:lang w:val="es-ES" w:eastAsia="es-ES"/>
        </w:rPr>
      </w:pPr>
      <w:r>
        <w:rPr>
          <w:rStyle w:val="normaltextrun"/>
          <w:rFonts w:ascii="Arial" w:hAnsi="Arial" w:cs="Arial"/>
          <w:b/>
          <w:bCs/>
          <w:color w:val="000000"/>
          <w:shd w:val="clear" w:color="auto" w:fill="FFFFFF"/>
        </w:rPr>
        <w:t>Conclusiones y Recomendaciones.</w:t>
      </w:r>
    </w:p>
    <w:p w:rsidR="0006670C" w:rsidRDefault="0006670C" w:rsidP="0006670C">
      <w:pPr>
        <w:jc w:val="both"/>
        <w:rPr>
          <w:rStyle w:val="eop"/>
          <w:rFonts w:eastAsiaTheme="minorHAnsi"/>
          <w:sz w:val="22"/>
          <w:szCs w:val="22"/>
          <w:lang w:val="es-CO" w:eastAsia="en-US"/>
        </w:rPr>
      </w:pPr>
      <w:r>
        <w:rPr>
          <w:rStyle w:val="eop"/>
          <w:rFonts w:ascii="Arial" w:hAnsi="Arial" w:cs="Arial"/>
          <w:sz w:val="22"/>
          <w:szCs w:val="22"/>
        </w:rPr>
        <w:t xml:space="preserve">El objetivo de este informe es el de fortalecer los procesos de la administración Municipal, permitiendo el mejoramiento de su gestión en distintas áreas y optimizando herramientas que le </w:t>
      </w:r>
      <w:r>
        <w:rPr>
          <w:rStyle w:val="eop"/>
          <w:rFonts w:ascii="Arial" w:hAnsi="Arial" w:cs="Arial"/>
          <w:sz w:val="22"/>
          <w:szCs w:val="22"/>
        </w:rPr>
        <w:lastRenderedPageBreak/>
        <w:t>permitan una adecuada administración de los recursos a nivel presupuestal, tesoral, contractual e institucional.</w:t>
      </w:r>
    </w:p>
    <w:p w:rsidR="0006670C" w:rsidRDefault="0006670C" w:rsidP="0006670C">
      <w:pPr>
        <w:pStyle w:val="paragraph"/>
        <w:spacing w:before="0" w:beforeAutospacing="0" w:after="0" w:afterAutospacing="0"/>
        <w:contextualSpacing/>
        <w:jc w:val="both"/>
        <w:textAlignment w:val="baseline"/>
        <w:rPr>
          <w:rStyle w:val="normaltextrun"/>
          <w:rFonts w:eastAsia="MS Mincho"/>
          <w:lang w:val="es-ES" w:eastAsia="es-ES"/>
        </w:rPr>
      </w:pP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 xml:space="preserve">Y como se evidenció anteriormente, el Municipio de </w:t>
      </w:r>
      <w:r>
        <w:rPr>
          <w:rFonts w:ascii="Arial" w:hAnsi="Arial" w:cs="Arial"/>
          <w:iCs/>
          <w:color w:val="000000" w:themeColor="text1"/>
          <w:sz w:val="22"/>
          <w:szCs w:val="22"/>
          <w:lang w:val="es-ES_tradnl"/>
        </w:rPr>
        <w:t xml:space="preserve">Puerto Escondido - Córdoba </w:t>
      </w:r>
      <w:r>
        <w:rPr>
          <w:rStyle w:val="normaltextrun"/>
          <w:rFonts w:ascii="Arial" w:hAnsi="Arial" w:cs="Arial"/>
          <w:sz w:val="22"/>
          <w:szCs w:val="22"/>
          <w:lang w:val="es-ES"/>
        </w:rPr>
        <w:t xml:space="preserve">presenta varias situaciones de riesgo que debe ser atendidas. Sin embargo, es importante informar que el Municipio presenta un nivel de riesgo </w:t>
      </w:r>
      <w:r>
        <w:rPr>
          <w:rStyle w:val="normaltextrun"/>
          <w:rFonts w:ascii="Arial" w:hAnsi="Arial" w:cs="Arial"/>
          <w:sz w:val="22"/>
          <w:szCs w:val="22"/>
          <w:u w:val="single"/>
          <w:lang w:val="es-ES"/>
        </w:rPr>
        <w:t>Critico Bajo</w:t>
      </w:r>
      <w:r>
        <w:rPr>
          <w:rStyle w:val="normaltextrun"/>
          <w:rFonts w:ascii="Arial" w:hAnsi="Arial" w:cs="Arial"/>
          <w:sz w:val="22"/>
          <w:szCs w:val="22"/>
          <w:lang w:val="es-ES"/>
        </w:rPr>
        <w:t>, en los Informes de Monitoreo General SGP de Propósito General y Asignaciones Especiales – vigencias 2019 y 2020.</w:t>
      </w: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sz w:val="22"/>
          <w:szCs w:val="22"/>
          <w:lang w:val="es-ES"/>
        </w:rPr>
      </w:pPr>
    </w:p>
    <w:p w:rsidR="0006670C" w:rsidRDefault="0006670C" w:rsidP="0006670C">
      <w:pPr>
        <w:pStyle w:val="paragraph"/>
        <w:spacing w:before="0" w:beforeAutospacing="0" w:after="0" w:afterAutospacing="0"/>
        <w:contextualSpacing/>
        <w:jc w:val="both"/>
        <w:textAlignment w:val="baseline"/>
        <w:rPr>
          <w:rStyle w:val="eop"/>
        </w:rPr>
      </w:pPr>
      <w:r>
        <w:rPr>
          <w:rStyle w:val="normaltextrun"/>
          <w:rFonts w:ascii="Arial" w:hAnsi="Arial" w:cs="Arial"/>
          <w:sz w:val="22"/>
          <w:szCs w:val="22"/>
          <w:lang w:val="es-ES"/>
        </w:rPr>
        <w:t>Por esta razón se ha considerado no tomar ninguna medida de las cuales trata el Capítulo V del Decreto 028 de 2008. Sin perjuicio de ello, por las diferentes situaciones expuestas se presentan los lineamientos que orientarán al Municipio a superar las situaciones descritas anteriormente y que son acciones tendientes a:</w:t>
      </w:r>
    </w:p>
    <w:p w:rsidR="0006670C" w:rsidRDefault="0006670C" w:rsidP="0006670C">
      <w:pPr>
        <w:pStyle w:val="paragraph"/>
        <w:spacing w:before="0" w:beforeAutospacing="0" w:after="0" w:afterAutospacing="0"/>
        <w:contextualSpacing/>
        <w:jc w:val="both"/>
        <w:textAlignment w:val="baseline"/>
        <w:rPr>
          <w:rStyle w:val="eop"/>
          <w:rFonts w:ascii="Arial" w:hAnsi="Arial" w:cs="Arial"/>
          <w:sz w:val="22"/>
          <w:szCs w:val="22"/>
          <w:lang w:val="es-ES"/>
        </w:rPr>
      </w:pPr>
    </w:p>
    <w:p w:rsidR="0006670C" w:rsidRDefault="0006670C" w:rsidP="0006670C">
      <w:pPr>
        <w:pStyle w:val="paragraph"/>
        <w:spacing w:before="0" w:beforeAutospacing="0" w:after="0" w:afterAutospacing="0"/>
        <w:contextualSpacing/>
        <w:jc w:val="both"/>
        <w:textAlignment w:val="baseline"/>
        <w:rPr>
          <w:rStyle w:val="normaltextrun"/>
          <w:b/>
        </w:rPr>
      </w:pPr>
      <w:r>
        <w:rPr>
          <w:rStyle w:val="normaltextrun"/>
          <w:rFonts w:ascii="Arial" w:hAnsi="Arial" w:cs="Arial"/>
          <w:b/>
          <w:sz w:val="22"/>
          <w:szCs w:val="22"/>
          <w:lang w:val="es-ES"/>
        </w:rPr>
        <w:t>Presupuestal y Contable.</w:t>
      </w: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b/>
          <w:sz w:val="22"/>
          <w:szCs w:val="22"/>
          <w:lang w:val="es-ES"/>
        </w:rPr>
      </w:pP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b/>
          <w:iCs/>
          <w:sz w:val="22"/>
          <w:szCs w:val="22"/>
          <w:lang w:val="es-ES"/>
        </w:rPr>
      </w:pPr>
      <w:r>
        <w:rPr>
          <w:rStyle w:val="normaltextrun"/>
          <w:rFonts w:ascii="Arial" w:hAnsi="Arial" w:cs="Arial"/>
          <w:b/>
          <w:iCs/>
          <w:sz w:val="22"/>
          <w:szCs w:val="22"/>
          <w:lang w:val="es-ES"/>
        </w:rPr>
        <w:t>Objetivos:</w:t>
      </w:r>
    </w:p>
    <w:p w:rsidR="0006670C" w:rsidRDefault="0006670C" w:rsidP="0006670C">
      <w:pPr>
        <w:pStyle w:val="paragraph"/>
        <w:spacing w:before="0" w:beforeAutospacing="0" w:after="0" w:afterAutospacing="0"/>
        <w:ind w:left="142"/>
        <w:contextualSpacing/>
        <w:jc w:val="both"/>
        <w:textAlignment w:val="baseline"/>
        <w:rPr>
          <w:rStyle w:val="normaltextrun"/>
          <w:rFonts w:ascii="Arial" w:hAnsi="Arial" w:cs="Arial"/>
          <w:sz w:val="22"/>
          <w:szCs w:val="22"/>
          <w:lang w:val="es-ES"/>
        </w:rPr>
      </w:pPr>
    </w:p>
    <w:p w:rsidR="0006670C" w:rsidRDefault="0006670C" w:rsidP="0006670C">
      <w:pPr>
        <w:pStyle w:val="paragraph"/>
        <w:numPr>
          <w:ilvl w:val="0"/>
          <w:numId w:val="37"/>
        </w:numPr>
        <w:spacing w:before="0" w:beforeAutospacing="0" w:after="0" w:afterAutospacing="0"/>
        <w:contextualSpacing/>
        <w:jc w:val="both"/>
        <w:textAlignment w:val="baseline"/>
        <w:rPr>
          <w:rStyle w:val="normaltextrun"/>
          <w:rFonts w:ascii="Arial" w:hAnsi="Arial" w:cs="Arial"/>
          <w:sz w:val="22"/>
          <w:szCs w:val="22"/>
          <w:lang w:val="es-ES_tradnl"/>
        </w:rPr>
      </w:pPr>
      <w:r>
        <w:rPr>
          <w:rStyle w:val="normaltextrun"/>
          <w:rFonts w:ascii="Arial" w:hAnsi="Arial" w:cs="Arial"/>
          <w:sz w:val="22"/>
          <w:szCs w:val="22"/>
          <w:lang w:val="es-ES_tradnl"/>
        </w:rPr>
        <w:t>Garantizar el adecuado manejo presupuestal, lo que implica un correcto registro de los recursos de SGP Participación de Propósito General de conformidad con la ejecución real de los mismos, tanto en su incorporación como en su apropiación.</w:t>
      </w:r>
    </w:p>
    <w:p w:rsidR="0006670C" w:rsidRDefault="0006670C" w:rsidP="0006670C">
      <w:pPr>
        <w:pStyle w:val="paragraph"/>
        <w:numPr>
          <w:ilvl w:val="0"/>
          <w:numId w:val="37"/>
        </w:numPr>
        <w:spacing w:before="0" w:beforeAutospacing="0" w:after="0" w:afterAutospacing="0"/>
        <w:contextualSpacing/>
        <w:jc w:val="both"/>
        <w:textAlignment w:val="baseline"/>
        <w:rPr>
          <w:rStyle w:val="normaltextrun"/>
          <w:rFonts w:ascii="Arial" w:hAnsi="Arial" w:cs="Arial"/>
          <w:sz w:val="22"/>
          <w:szCs w:val="22"/>
          <w:lang w:val="es-ES_tradnl"/>
        </w:rPr>
      </w:pPr>
      <w:r>
        <w:rPr>
          <w:rStyle w:val="normaltextrun"/>
          <w:rFonts w:ascii="Arial" w:hAnsi="Arial" w:cs="Arial"/>
          <w:sz w:val="22"/>
          <w:szCs w:val="22"/>
          <w:lang w:val="es-ES_tradnl"/>
        </w:rPr>
        <w:t>Establecer una adecuada discriminación por fuente y por momentos presupuestales, tanto en ingresos como en gastos.</w:t>
      </w:r>
    </w:p>
    <w:p w:rsidR="0006670C" w:rsidRDefault="0006670C" w:rsidP="0006670C">
      <w:pPr>
        <w:pStyle w:val="paragraph"/>
        <w:numPr>
          <w:ilvl w:val="0"/>
          <w:numId w:val="37"/>
        </w:numPr>
        <w:spacing w:before="0" w:beforeAutospacing="0" w:after="0" w:afterAutospacing="0"/>
        <w:contextualSpacing/>
        <w:jc w:val="both"/>
        <w:textAlignment w:val="baseline"/>
        <w:rPr>
          <w:rStyle w:val="eop"/>
        </w:rPr>
      </w:pPr>
      <w:r>
        <w:rPr>
          <w:rStyle w:val="eop"/>
          <w:rFonts w:ascii="Arial" w:eastAsia="MS Mincho" w:hAnsi="Arial" w:cs="Arial"/>
          <w:sz w:val="22"/>
          <w:szCs w:val="22"/>
          <w:lang w:val="es-ES_tradnl"/>
        </w:rPr>
        <w:t>Procurar por el fortalecimiento de los procesos de verificación previa al cargue de la información a los sistemas propios de gestión financiera, constatando que la información final sea consistente.</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rPr>
      </w:pP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rPr>
      </w:pPr>
      <w:r>
        <w:rPr>
          <w:rStyle w:val="normaltextrun"/>
          <w:rFonts w:ascii="Arial" w:hAnsi="Arial" w:cs="Arial"/>
          <w:b/>
          <w:iCs/>
          <w:sz w:val="22"/>
          <w:szCs w:val="22"/>
          <w:lang w:val="es-ES"/>
        </w:rPr>
        <w:t>Problemática:</w:t>
      </w:r>
      <w:r>
        <w:rPr>
          <w:rStyle w:val="normaltextrun"/>
          <w:rFonts w:ascii="Arial" w:hAnsi="Arial" w:cs="Arial"/>
          <w:b/>
          <w:i/>
          <w:sz w:val="22"/>
          <w:szCs w:val="22"/>
          <w:lang w:val="es-ES"/>
        </w:rPr>
        <w:t xml:space="preserve"> </w:t>
      </w:r>
      <w:r>
        <w:rPr>
          <w:rStyle w:val="eop"/>
          <w:rFonts w:ascii="Arial" w:eastAsia="MS Mincho" w:hAnsi="Arial" w:cs="Arial"/>
          <w:sz w:val="22"/>
          <w:szCs w:val="22"/>
          <w:lang w:val="es-ES_tradnl"/>
        </w:rPr>
        <w:t>Lo anterior, teniendo en cuenta que el Municipio no está discriminando de manera correcta algunos conceptos de ingreso que permitan identificar de manera clara las fuentes de ingreso o los objetos de gasto que está financiando con las mismas.</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rPr>
      </w:pP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rPr>
      </w:pPr>
      <w:r>
        <w:rPr>
          <w:rStyle w:val="normaltextrun"/>
          <w:rFonts w:ascii="Arial" w:hAnsi="Arial" w:cs="Arial"/>
          <w:b/>
          <w:iCs/>
          <w:sz w:val="22"/>
          <w:szCs w:val="22"/>
          <w:lang w:val="es-ES"/>
        </w:rPr>
        <w:t>Recomendación:</w:t>
      </w:r>
      <w:r>
        <w:rPr>
          <w:rStyle w:val="normaltextrun"/>
          <w:rFonts w:ascii="Arial" w:hAnsi="Arial" w:cs="Arial"/>
          <w:b/>
          <w:i/>
          <w:sz w:val="22"/>
          <w:szCs w:val="22"/>
          <w:lang w:val="es-ES"/>
        </w:rPr>
        <w:t xml:space="preserve"> </w:t>
      </w:r>
      <w:r>
        <w:rPr>
          <w:rStyle w:val="eop"/>
          <w:rFonts w:ascii="Arial" w:eastAsia="MS Mincho" w:hAnsi="Arial" w:cs="Arial"/>
          <w:sz w:val="22"/>
          <w:szCs w:val="22"/>
          <w:lang w:val="es-ES_tradnl"/>
        </w:rPr>
        <w:t xml:space="preserve">Para asegurar los anteriores objetivos, se recomienda al </w:t>
      </w:r>
      <w:r>
        <w:rPr>
          <w:rStyle w:val="normaltextrun"/>
          <w:rFonts w:ascii="Arial" w:hAnsi="Arial" w:cs="Arial"/>
          <w:sz w:val="22"/>
          <w:szCs w:val="22"/>
          <w:lang w:val="es-ES"/>
        </w:rPr>
        <w:t>Municipio de Puerto Escondido - Córdoba</w:t>
      </w:r>
      <w:r>
        <w:rPr>
          <w:rStyle w:val="eop"/>
          <w:rFonts w:ascii="Arial" w:eastAsia="MS Mincho" w:hAnsi="Arial" w:cs="Arial"/>
          <w:sz w:val="22"/>
          <w:szCs w:val="22"/>
          <w:lang w:val="es-ES_tradnl"/>
        </w:rPr>
        <w:t xml:space="preserve"> ajustar el presupuesto de ingresos y gastos, de acuerdo con la asignación por fuente: Libre Destinación, Libre Inversión, Cultura, y Deporte, de la Participación de Propósito General del Sistema General de Participaciones. Además, verificar los montos de recursos incorporados en los conceptos de ingreso y en los momentos presupuestales del gasto.</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rPr>
      </w:pP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rPr>
      </w:pPr>
      <w:r>
        <w:rPr>
          <w:rStyle w:val="eop"/>
          <w:rFonts w:ascii="Arial" w:eastAsia="MS Mincho" w:hAnsi="Arial" w:cs="Arial"/>
          <w:sz w:val="22"/>
          <w:szCs w:val="22"/>
          <w:lang w:val="es-ES_tradnl"/>
        </w:rPr>
        <w:t>Para que el Municipio pueda realizar una adecuada incorporación y apropiación, se recomienda, previo a cargar la información definitiva, contrastar la información con herramientas y documentos –fuentes de información- que permiten verificar la consistencia de la información. A continuación, se invita a revisar previamente:</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rPr>
      </w:pPr>
    </w:p>
    <w:p w:rsidR="0006670C" w:rsidRDefault="0006670C" w:rsidP="0006670C">
      <w:pPr>
        <w:shd w:val="clear" w:color="auto" w:fill="FFFFFF"/>
        <w:jc w:val="both"/>
        <w:rPr>
          <w:rStyle w:val="eop"/>
          <w:rFonts w:ascii="Arial" w:hAnsi="Arial" w:cs="Arial"/>
          <w:sz w:val="22"/>
          <w:szCs w:val="22"/>
          <w:lang w:val="es-ES_tradnl" w:eastAsia="es-CO"/>
        </w:rPr>
      </w:pPr>
      <w:r>
        <w:rPr>
          <w:rStyle w:val="eop"/>
          <w:rFonts w:ascii="Arial" w:hAnsi="Arial" w:cs="Arial"/>
          <w:sz w:val="22"/>
          <w:szCs w:val="22"/>
          <w:lang w:val="es-ES_tradnl" w:eastAsia="es-CO"/>
        </w:rPr>
        <w:t>INGRESOS:</w:t>
      </w:r>
    </w:p>
    <w:p w:rsidR="0006670C" w:rsidRDefault="0006670C" w:rsidP="0006670C">
      <w:pPr>
        <w:shd w:val="clear" w:color="auto" w:fill="FFFFFF"/>
        <w:jc w:val="both"/>
        <w:rPr>
          <w:rStyle w:val="eop"/>
          <w:rFonts w:ascii="Arial" w:hAnsi="Arial" w:cs="Arial"/>
          <w:sz w:val="22"/>
          <w:szCs w:val="22"/>
          <w:lang w:val="es-ES_tradnl" w:eastAsia="es-CO"/>
        </w:rPr>
      </w:pPr>
    </w:p>
    <w:p w:rsidR="0006670C" w:rsidRDefault="0006670C" w:rsidP="0006670C">
      <w:pPr>
        <w:numPr>
          <w:ilvl w:val="0"/>
          <w:numId w:val="38"/>
        </w:numPr>
        <w:shd w:val="clear" w:color="auto" w:fill="FFFFFF"/>
        <w:spacing w:before="100" w:beforeAutospacing="1" w:after="100" w:afterAutospacing="1"/>
        <w:contextualSpacing/>
        <w:jc w:val="both"/>
        <w:rPr>
          <w:rStyle w:val="eop"/>
          <w:rFonts w:ascii="Arial" w:hAnsi="Arial" w:cs="Arial"/>
          <w:sz w:val="22"/>
          <w:szCs w:val="22"/>
          <w:lang w:val="es-ES_tradnl" w:eastAsia="es-CO"/>
        </w:rPr>
      </w:pPr>
      <w:r>
        <w:rPr>
          <w:rStyle w:val="eop"/>
          <w:rFonts w:ascii="Arial" w:hAnsi="Arial" w:cs="Arial"/>
          <w:sz w:val="22"/>
          <w:szCs w:val="22"/>
          <w:lang w:val="es-ES_tradnl" w:eastAsia="es-CO"/>
        </w:rPr>
        <w:t>Documentos de Distribución, para revisar la asignación de los ingresos corrientes de PG.</w:t>
      </w:r>
    </w:p>
    <w:p w:rsidR="0006670C" w:rsidRDefault="0006670C" w:rsidP="0006670C">
      <w:pPr>
        <w:numPr>
          <w:ilvl w:val="0"/>
          <w:numId w:val="38"/>
        </w:numPr>
        <w:shd w:val="clear" w:color="auto" w:fill="FFFFFF"/>
        <w:spacing w:before="100" w:beforeAutospacing="1" w:after="100" w:afterAutospacing="1"/>
        <w:contextualSpacing/>
        <w:jc w:val="both"/>
        <w:rPr>
          <w:rStyle w:val="eop"/>
          <w:rFonts w:ascii="Arial" w:hAnsi="Arial" w:cs="Arial"/>
          <w:sz w:val="22"/>
          <w:szCs w:val="22"/>
          <w:lang w:val="es-ES_tradnl" w:eastAsia="es-CO"/>
        </w:rPr>
      </w:pPr>
      <w:r>
        <w:rPr>
          <w:rStyle w:val="eop"/>
          <w:rFonts w:ascii="Arial" w:hAnsi="Arial" w:cs="Arial"/>
          <w:sz w:val="22"/>
          <w:szCs w:val="22"/>
          <w:lang w:val="es-ES_tradnl" w:eastAsia="es-CO"/>
        </w:rPr>
        <w:t>Para los rendimientos financieros debe verificar los extractos bancarios.</w:t>
      </w:r>
    </w:p>
    <w:p w:rsidR="0006670C" w:rsidRDefault="0006670C" w:rsidP="0006670C">
      <w:pPr>
        <w:numPr>
          <w:ilvl w:val="0"/>
          <w:numId w:val="38"/>
        </w:numPr>
        <w:shd w:val="clear" w:color="auto" w:fill="FFFFFF"/>
        <w:spacing w:before="100" w:beforeAutospacing="1" w:after="100" w:afterAutospacing="1"/>
        <w:contextualSpacing/>
        <w:jc w:val="both"/>
        <w:rPr>
          <w:rStyle w:val="eop"/>
          <w:rFonts w:ascii="Arial" w:hAnsi="Arial" w:cs="Arial"/>
          <w:sz w:val="22"/>
          <w:szCs w:val="22"/>
          <w:lang w:val="es-ES_tradnl" w:eastAsia="es-CO"/>
        </w:rPr>
      </w:pPr>
      <w:r>
        <w:rPr>
          <w:rStyle w:val="eop"/>
          <w:rFonts w:ascii="Arial" w:hAnsi="Arial" w:cs="Arial"/>
          <w:sz w:val="22"/>
          <w:szCs w:val="22"/>
          <w:lang w:val="es-ES_tradnl" w:eastAsia="es-CO"/>
        </w:rPr>
        <w:t>Para el superávit/déficit debe contrastar el cierre fiscal de la vigencia anterior por fuente.</w:t>
      </w:r>
    </w:p>
    <w:p w:rsidR="0006670C" w:rsidRDefault="0006670C" w:rsidP="0006670C">
      <w:pPr>
        <w:shd w:val="clear" w:color="auto" w:fill="FFFFFF"/>
        <w:jc w:val="both"/>
        <w:rPr>
          <w:rStyle w:val="eop"/>
          <w:rFonts w:ascii="Arial" w:hAnsi="Arial" w:cs="Arial"/>
          <w:sz w:val="22"/>
          <w:szCs w:val="22"/>
          <w:lang w:val="es-ES_tradnl" w:eastAsia="es-CO"/>
        </w:rPr>
      </w:pPr>
    </w:p>
    <w:p w:rsidR="0006670C" w:rsidRDefault="0006670C" w:rsidP="0006670C">
      <w:pPr>
        <w:shd w:val="clear" w:color="auto" w:fill="FFFFFF"/>
        <w:jc w:val="both"/>
        <w:rPr>
          <w:rStyle w:val="eop"/>
          <w:rFonts w:ascii="Arial" w:hAnsi="Arial" w:cs="Arial"/>
          <w:sz w:val="22"/>
          <w:szCs w:val="22"/>
          <w:lang w:val="es-ES_tradnl" w:eastAsia="es-CO"/>
        </w:rPr>
      </w:pPr>
      <w:r>
        <w:rPr>
          <w:rStyle w:val="eop"/>
          <w:rFonts w:ascii="Arial" w:hAnsi="Arial" w:cs="Arial"/>
          <w:sz w:val="22"/>
          <w:szCs w:val="22"/>
          <w:lang w:val="es-ES_tradnl" w:eastAsia="es-CO"/>
        </w:rPr>
        <w:t>GASTOS:</w:t>
      </w:r>
    </w:p>
    <w:p w:rsidR="0006670C" w:rsidRDefault="0006670C" w:rsidP="0006670C">
      <w:pPr>
        <w:shd w:val="clear" w:color="auto" w:fill="FFFFFF"/>
        <w:jc w:val="both"/>
        <w:rPr>
          <w:rStyle w:val="eop"/>
          <w:rFonts w:ascii="Arial" w:hAnsi="Arial" w:cs="Arial"/>
          <w:sz w:val="22"/>
          <w:szCs w:val="22"/>
          <w:lang w:val="es-ES_tradnl" w:eastAsia="es-CO"/>
        </w:rPr>
      </w:pPr>
    </w:p>
    <w:p w:rsidR="0006670C" w:rsidRDefault="0006670C" w:rsidP="0006670C">
      <w:pPr>
        <w:numPr>
          <w:ilvl w:val="0"/>
          <w:numId w:val="39"/>
        </w:numPr>
        <w:shd w:val="clear" w:color="auto" w:fill="FFFFFF"/>
        <w:spacing w:before="100" w:beforeAutospacing="1" w:after="100" w:afterAutospacing="1"/>
        <w:contextualSpacing/>
        <w:jc w:val="both"/>
        <w:rPr>
          <w:rStyle w:val="eop"/>
          <w:rFonts w:ascii="Arial" w:hAnsi="Arial" w:cs="Arial"/>
          <w:sz w:val="22"/>
          <w:szCs w:val="22"/>
          <w:lang w:val="es-ES_tradnl" w:eastAsia="es-CO"/>
        </w:rPr>
      </w:pPr>
      <w:r>
        <w:rPr>
          <w:rStyle w:val="eop"/>
          <w:rFonts w:ascii="Arial" w:hAnsi="Arial" w:cs="Arial"/>
          <w:sz w:val="22"/>
          <w:szCs w:val="22"/>
          <w:lang w:val="es-ES_tradnl" w:eastAsia="es-CO"/>
        </w:rPr>
        <w:t>Certificados de disponibilidad presupuestal con cargo a la fuente SGP-PG.</w:t>
      </w:r>
    </w:p>
    <w:p w:rsidR="0006670C" w:rsidRDefault="0006670C" w:rsidP="0006670C">
      <w:pPr>
        <w:numPr>
          <w:ilvl w:val="0"/>
          <w:numId w:val="39"/>
        </w:numPr>
        <w:shd w:val="clear" w:color="auto" w:fill="FFFFFF"/>
        <w:spacing w:before="100" w:beforeAutospacing="1" w:after="100" w:afterAutospacing="1"/>
        <w:contextualSpacing/>
        <w:jc w:val="both"/>
        <w:rPr>
          <w:rStyle w:val="eop"/>
          <w:rFonts w:ascii="Arial" w:hAnsi="Arial" w:cs="Arial"/>
          <w:sz w:val="22"/>
          <w:szCs w:val="22"/>
          <w:lang w:val="es-ES_tradnl" w:eastAsia="es-CO"/>
        </w:rPr>
      </w:pPr>
      <w:r>
        <w:rPr>
          <w:rStyle w:val="eop"/>
          <w:rFonts w:ascii="Arial" w:hAnsi="Arial" w:cs="Arial"/>
          <w:sz w:val="22"/>
          <w:szCs w:val="22"/>
          <w:lang w:val="es-ES_tradnl" w:eastAsia="es-CO"/>
        </w:rPr>
        <w:t>Registros presupuestales con cargo a la fuente SGP-PG.</w:t>
      </w:r>
    </w:p>
    <w:p w:rsidR="0006670C" w:rsidRDefault="0006670C" w:rsidP="0006670C">
      <w:pPr>
        <w:numPr>
          <w:ilvl w:val="0"/>
          <w:numId w:val="39"/>
        </w:numPr>
        <w:shd w:val="clear" w:color="auto" w:fill="FFFFFF"/>
        <w:spacing w:before="100" w:beforeAutospacing="1" w:after="100" w:afterAutospacing="1"/>
        <w:contextualSpacing/>
        <w:jc w:val="both"/>
        <w:rPr>
          <w:rStyle w:val="eop"/>
          <w:rFonts w:ascii="Arial" w:hAnsi="Arial" w:cs="Arial"/>
          <w:sz w:val="22"/>
          <w:szCs w:val="22"/>
          <w:lang w:val="es-ES_tradnl" w:eastAsia="es-CO"/>
        </w:rPr>
      </w:pPr>
      <w:r>
        <w:rPr>
          <w:rStyle w:val="eop"/>
          <w:rFonts w:ascii="Arial" w:hAnsi="Arial" w:cs="Arial"/>
          <w:sz w:val="22"/>
          <w:szCs w:val="22"/>
          <w:lang w:val="es-ES_tradnl" w:eastAsia="es-CO"/>
        </w:rPr>
        <w:t>Contratos ejecutados con cargo a la fuente SGP-PG (discriminados por destinación y totalizados para realizar el control).</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rPr>
      </w:pP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eastAsia="es-ES"/>
        </w:rPr>
      </w:pPr>
      <w:r>
        <w:rPr>
          <w:rStyle w:val="eop"/>
          <w:rFonts w:ascii="Arial" w:eastAsia="MS Mincho" w:hAnsi="Arial" w:cs="Arial"/>
          <w:sz w:val="22"/>
          <w:szCs w:val="22"/>
          <w:lang w:val="es-ES_tradnl"/>
        </w:rPr>
        <w:t>Como recomendación general, es importante recordarle al Municipio la aplicación del Catálogo de Clasificación Presupuestal para Entidades Territoriales y sus Descentralizadas – CCPET, en el cual se detallan los ingresos y los gastos en armonía con estándares internacionales y con el nivel nacional.</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rPr>
      </w:pP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rPr>
      </w:pPr>
      <w:r>
        <w:rPr>
          <w:rStyle w:val="eop"/>
          <w:rFonts w:ascii="Arial" w:eastAsia="MS Mincho" w:hAnsi="Arial" w:cs="Arial"/>
          <w:sz w:val="22"/>
          <w:szCs w:val="22"/>
          <w:lang w:val="es-ES_tradnl"/>
        </w:rPr>
        <w:t xml:space="preserve">Este Catálogo deberá aplicarse en todas las etapas del ciclo presupuestal a partir de la vigencia 2022, según la Resolución 2323 del 24 de noviembre de 2020. Recuerde que toda la información relacionada con el CCPET, resoluciones, capacitaciones e información adicional la podrán encontrar en la página del Ministerio de Hacienda: </w:t>
      </w:r>
      <w:hyperlink r:id="rId24" w:history="1">
        <w:r>
          <w:rPr>
            <w:rStyle w:val="Hipervnculo"/>
            <w:rFonts w:ascii="Arial" w:eastAsia="MS Mincho" w:hAnsi="Arial" w:cs="Arial"/>
            <w:sz w:val="22"/>
            <w:szCs w:val="22"/>
            <w:lang w:val="es-ES_tradnl"/>
          </w:rPr>
          <w:t>https://www.minhacienda.gov.co/webcenter/portal/EntidadesdeOrdenTerritorial/pages_catalogoclasificacionpresupuestalCCPET</w:t>
        </w:r>
      </w:hyperlink>
      <w:r>
        <w:rPr>
          <w:rStyle w:val="eop"/>
          <w:rFonts w:ascii="Arial" w:eastAsia="MS Mincho" w:hAnsi="Arial" w:cs="Arial"/>
          <w:sz w:val="22"/>
          <w:szCs w:val="22"/>
          <w:lang w:val="es-ES_tradnl"/>
        </w:rPr>
        <w:t xml:space="preserve">. </w:t>
      </w:r>
    </w:p>
    <w:p w:rsidR="0006670C" w:rsidRDefault="0006670C" w:rsidP="0006670C">
      <w:pPr>
        <w:pStyle w:val="paragraph"/>
        <w:spacing w:before="0" w:beforeAutospacing="0" w:after="0" w:afterAutospacing="0"/>
        <w:contextualSpacing/>
        <w:jc w:val="both"/>
        <w:textAlignment w:val="baseline"/>
        <w:rPr>
          <w:rStyle w:val="normaltextrun"/>
          <w:i/>
        </w:rPr>
      </w:pP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b/>
          <w:sz w:val="22"/>
          <w:szCs w:val="22"/>
          <w:lang w:val="es-ES"/>
        </w:rPr>
      </w:pPr>
      <w:r>
        <w:rPr>
          <w:rStyle w:val="normaltextrun"/>
          <w:rFonts w:ascii="Arial" w:hAnsi="Arial" w:cs="Arial"/>
          <w:b/>
          <w:sz w:val="22"/>
          <w:szCs w:val="22"/>
          <w:lang w:val="es-ES"/>
        </w:rPr>
        <w:t>Cuentas Maestras</w:t>
      </w: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b/>
          <w:sz w:val="22"/>
          <w:szCs w:val="22"/>
          <w:lang w:val="es-ES"/>
        </w:rPr>
      </w:pP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b/>
          <w:iCs/>
          <w:sz w:val="22"/>
          <w:szCs w:val="22"/>
          <w:lang w:val="es-ES"/>
        </w:rPr>
      </w:pPr>
      <w:r>
        <w:rPr>
          <w:rStyle w:val="normaltextrun"/>
          <w:rFonts w:ascii="Arial" w:hAnsi="Arial" w:cs="Arial"/>
          <w:b/>
          <w:iCs/>
          <w:sz w:val="22"/>
          <w:szCs w:val="22"/>
          <w:lang w:val="es-ES"/>
        </w:rPr>
        <w:t>Objetivo:</w:t>
      </w:r>
    </w:p>
    <w:p w:rsidR="0006670C" w:rsidRDefault="0006670C" w:rsidP="0006670C">
      <w:pPr>
        <w:pStyle w:val="paragraph"/>
        <w:spacing w:before="0" w:beforeAutospacing="0" w:after="0" w:afterAutospacing="0"/>
        <w:contextualSpacing/>
        <w:jc w:val="both"/>
        <w:textAlignment w:val="baseline"/>
      </w:pPr>
    </w:p>
    <w:p w:rsidR="0006670C" w:rsidRDefault="0006670C" w:rsidP="0006670C">
      <w:pPr>
        <w:pStyle w:val="paragraph"/>
        <w:numPr>
          <w:ilvl w:val="0"/>
          <w:numId w:val="41"/>
        </w:numPr>
        <w:spacing w:before="0" w:beforeAutospacing="0" w:after="0" w:afterAutospacing="0"/>
        <w:contextualSpacing/>
        <w:jc w:val="both"/>
        <w:textAlignment w:val="baseline"/>
        <w:rPr>
          <w:rStyle w:val="normaltextrun"/>
        </w:rPr>
      </w:pPr>
      <w:r>
        <w:rPr>
          <w:rStyle w:val="normaltextrun"/>
          <w:rFonts w:ascii="Arial" w:hAnsi="Arial" w:cs="Arial"/>
          <w:sz w:val="22"/>
          <w:szCs w:val="22"/>
          <w:lang w:val="es-ES_tradnl"/>
        </w:rPr>
        <w:t>Velar por la correcta nomenclatura - denominación de las cuentas beneficiarias inscritas.</w:t>
      </w:r>
    </w:p>
    <w:p w:rsidR="0006670C" w:rsidRDefault="0006670C" w:rsidP="0006670C">
      <w:pPr>
        <w:pStyle w:val="paragraph"/>
        <w:numPr>
          <w:ilvl w:val="0"/>
          <w:numId w:val="41"/>
        </w:numPr>
        <w:spacing w:before="0" w:beforeAutospacing="0" w:after="0" w:afterAutospacing="0"/>
        <w:contextualSpacing/>
        <w:jc w:val="both"/>
        <w:textAlignment w:val="baseline"/>
        <w:rPr>
          <w:rStyle w:val="normaltextrun"/>
          <w:rFonts w:ascii="Arial" w:hAnsi="Arial" w:cs="Arial"/>
          <w:sz w:val="22"/>
          <w:szCs w:val="22"/>
          <w:lang w:val="es-ES_tradnl"/>
        </w:rPr>
      </w:pPr>
      <w:r>
        <w:rPr>
          <w:rStyle w:val="normaltextrun"/>
          <w:rFonts w:ascii="Arial" w:hAnsi="Arial" w:cs="Arial"/>
          <w:sz w:val="22"/>
          <w:szCs w:val="22"/>
          <w:lang w:val="es-ES_tradnl"/>
        </w:rPr>
        <w:t>Garantizar que las cuentas a titularidad del Municipio y a la cuales se deban realizar traslados específicos, tengan su correspondiente soporte normativo que permita identificar a quién se cobra, su monto y a quién o qué se destina su recaudo y que permita enmarcar la trasferencia en las operaciones débito autorizadas para las Cuentas Maestras.</w:t>
      </w:r>
    </w:p>
    <w:p w:rsidR="0006670C" w:rsidRDefault="0006670C" w:rsidP="0006670C">
      <w:pPr>
        <w:pStyle w:val="paragraph"/>
        <w:numPr>
          <w:ilvl w:val="0"/>
          <w:numId w:val="41"/>
        </w:numPr>
        <w:spacing w:before="0" w:beforeAutospacing="0" w:after="0" w:afterAutospacing="0"/>
        <w:contextualSpacing/>
        <w:jc w:val="both"/>
        <w:textAlignment w:val="baseline"/>
        <w:rPr>
          <w:rStyle w:val="normaltextrun"/>
          <w:rFonts w:ascii="Arial" w:eastAsiaTheme="minorEastAsia" w:hAnsi="Arial" w:cs="Arial"/>
          <w:sz w:val="22"/>
          <w:szCs w:val="22"/>
          <w:lang w:val="es-ES_tradnl"/>
        </w:rPr>
      </w:pPr>
      <w:r>
        <w:rPr>
          <w:rStyle w:val="normaltextrun"/>
          <w:rFonts w:ascii="Arial" w:hAnsi="Arial" w:cs="Arial"/>
          <w:sz w:val="22"/>
          <w:szCs w:val="22"/>
          <w:lang w:val="es-ES_tradnl"/>
        </w:rPr>
        <w:t xml:space="preserve">Asegurar que cada Sector y asignación especial del Sistema General de Participaciones que administra el Municipio tenga sus Cuentas Maestras y sus respectivas Cuentas Maestras Pagadoras </w:t>
      </w:r>
      <w:r>
        <w:rPr>
          <w:rFonts w:ascii="Arial" w:eastAsiaTheme="minorEastAsia" w:hAnsi="Arial" w:cs="Arial"/>
          <w:sz w:val="22"/>
          <w:szCs w:val="22"/>
          <w:lang w:val="es-ES_tradnl" w:eastAsia="en-US"/>
        </w:rPr>
        <w:t>-Resoluciones 4835 de 2015 y 0660 de 2018-</w:t>
      </w:r>
      <w:r>
        <w:rPr>
          <w:rStyle w:val="normaltextrun"/>
          <w:rFonts w:ascii="Arial" w:hAnsi="Arial" w:cs="Arial"/>
          <w:sz w:val="22"/>
          <w:szCs w:val="22"/>
          <w:lang w:val="es-ES_tradnl"/>
        </w:rPr>
        <w:t>.</w:t>
      </w:r>
    </w:p>
    <w:p w:rsidR="0006670C" w:rsidRDefault="0006670C" w:rsidP="0006670C">
      <w:pPr>
        <w:pStyle w:val="paragraph"/>
        <w:numPr>
          <w:ilvl w:val="0"/>
          <w:numId w:val="41"/>
        </w:numPr>
        <w:spacing w:before="0" w:beforeAutospacing="0" w:after="0" w:afterAutospacing="0"/>
        <w:contextualSpacing/>
        <w:jc w:val="both"/>
        <w:textAlignment w:val="baseline"/>
        <w:rPr>
          <w:rStyle w:val="normaltextrun"/>
          <w:rFonts w:ascii="Arial" w:eastAsiaTheme="minorEastAsia" w:hAnsi="Arial" w:cs="Arial"/>
          <w:sz w:val="22"/>
          <w:szCs w:val="22"/>
          <w:lang w:val="es-ES_tradnl"/>
        </w:rPr>
      </w:pPr>
      <w:r>
        <w:rPr>
          <w:rStyle w:val="normaltextrun"/>
          <w:rFonts w:ascii="Arial" w:hAnsi="Arial" w:cs="Arial"/>
          <w:sz w:val="22"/>
          <w:szCs w:val="22"/>
          <w:lang w:val="es-ES_tradnl"/>
        </w:rPr>
        <w:t>Realizar las transferencias electrónicas, por la totalidad de los recursos que se encuentren en la(s) cuenta(s) no autorizadas hacía la Cuenta Maestra de Propósito General.</w:t>
      </w:r>
    </w:p>
    <w:p w:rsidR="0006670C" w:rsidRDefault="0006670C" w:rsidP="0006670C">
      <w:pPr>
        <w:pStyle w:val="Prrafodelista"/>
        <w:spacing w:line="240" w:lineRule="auto"/>
        <w:rPr>
          <w:rStyle w:val="normaltextrun"/>
          <w:rFonts w:ascii="Arial" w:eastAsiaTheme="minorEastAsia" w:hAnsi="Arial" w:cs="Arial"/>
          <w:sz w:val="24"/>
          <w:szCs w:val="24"/>
          <w:lang w:val="es-ES_tradnl" w:eastAsia="es-CO"/>
        </w:rPr>
      </w:pPr>
    </w:p>
    <w:p w:rsidR="0006670C" w:rsidRDefault="0006670C" w:rsidP="0006670C">
      <w:pPr>
        <w:pStyle w:val="paragraph"/>
        <w:spacing w:before="0" w:beforeAutospacing="0" w:after="0" w:afterAutospacing="0"/>
        <w:contextualSpacing/>
        <w:jc w:val="both"/>
        <w:textAlignment w:val="baseline"/>
        <w:rPr>
          <w:rStyle w:val="eop"/>
          <w:rFonts w:eastAsia="MS Mincho"/>
          <w:sz w:val="22"/>
          <w:szCs w:val="22"/>
          <w:lang w:eastAsia="en-US"/>
        </w:rPr>
      </w:pPr>
      <w:r>
        <w:rPr>
          <w:rStyle w:val="normaltextrun"/>
          <w:rFonts w:ascii="Arial" w:hAnsi="Arial" w:cs="Arial"/>
          <w:b/>
          <w:iCs/>
          <w:sz w:val="22"/>
          <w:szCs w:val="22"/>
          <w:lang w:val="es-ES"/>
        </w:rPr>
        <w:t>Problemática:</w:t>
      </w:r>
      <w:r>
        <w:rPr>
          <w:rStyle w:val="eop"/>
          <w:rFonts w:ascii="Arial" w:eastAsia="MS Mincho" w:hAnsi="Arial" w:cs="Arial"/>
          <w:sz w:val="22"/>
          <w:szCs w:val="22"/>
          <w:lang w:val="es-ES_tradnl"/>
        </w:rPr>
        <w:t xml:space="preserve"> En el análisis se identificó el manejo inadecuado de los recursos de PG en la Cuenta Maestra del Municipio, en las cuales se evidenciaron traslados a cuentas no autorizadas y la no adecuada utilización de los conceptos de egreso.</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rPr>
      </w:pPr>
    </w:p>
    <w:p w:rsidR="0006670C" w:rsidRDefault="0006670C" w:rsidP="0006670C">
      <w:pPr>
        <w:autoSpaceDE w:val="0"/>
        <w:autoSpaceDN w:val="0"/>
        <w:adjustRightInd w:val="0"/>
        <w:jc w:val="both"/>
        <w:rPr>
          <w:rStyle w:val="normaltextrun"/>
          <w:rFonts w:eastAsia="Times New Roman"/>
          <w:lang w:val="es-CO" w:eastAsia="es-CO"/>
        </w:rPr>
      </w:pPr>
      <w:r>
        <w:rPr>
          <w:rStyle w:val="normaltextrun"/>
          <w:rFonts w:ascii="Arial" w:hAnsi="Arial" w:cs="Arial"/>
          <w:b/>
          <w:iCs/>
          <w:sz w:val="22"/>
          <w:szCs w:val="22"/>
        </w:rPr>
        <w:t>Recomendación:</w:t>
      </w:r>
      <w:r>
        <w:rPr>
          <w:rFonts w:ascii="Arial" w:eastAsia="Arial" w:hAnsi="Arial" w:cs="Arial"/>
          <w:color w:val="000000" w:themeColor="text1"/>
          <w:sz w:val="22"/>
          <w:szCs w:val="22"/>
          <w:lang w:val="es-ES_tradnl"/>
        </w:rPr>
        <w:t xml:space="preserve"> Se recomienda solicitar capacitación al Ministerio de Hacienda y Crédito Público </w:t>
      </w:r>
      <w:r>
        <w:rPr>
          <w:rStyle w:val="normaltextrun"/>
          <w:rFonts w:ascii="Arial" w:eastAsia="Times New Roman" w:hAnsi="Arial" w:cs="Arial"/>
          <w:sz w:val="22"/>
          <w:szCs w:val="22"/>
          <w:lang w:val="es-ES_tradnl" w:eastAsia="es-CO"/>
        </w:rPr>
        <w:t xml:space="preserve">remitiendo un correo electrónico al buzón de </w:t>
      </w:r>
      <w:hyperlink r:id="rId25" w:history="1">
        <w:r>
          <w:rPr>
            <w:rStyle w:val="Hipervnculo"/>
            <w:rFonts w:ascii="Arial" w:eastAsia="Times New Roman" w:hAnsi="Arial" w:cs="Arial"/>
            <w:sz w:val="22"/>
            <w:szCs w:val="22"/>
            <w:lang w:val="es-ES_tradnl" w:eastAsia="es-CO"/>
          </w:rPr>
          <w:t>cuentasmaestras@minhacienda.gov.co</w:t>
        </w:r>
      </w:hyperlink>
      <w:r>
        <w:rPr>
          <w:rStyle w:val="normaltextrun"/>
          <w:rFonts w:ascii="Arial" w:eastAsia="Times New Roman" w:hAnsi="Arial" w:cs="Arial"/>
          <w:sz w:val="22"/>
          <w:szCs w:val="22"/>
          <w:u w:val="single"/>
          <w:lang w:val="es-ES_tradnl" w:eastAsia="es-CO"/>
        </w:rPr>
        <w:t xml:space="preserve"> </w:t>
      </w:r>
      <w:r>
        <w:rPr>
          <w:rStyle w:val="normaltextrun"/>
          <w:rFonts w:ascii="Arial" w:eastAsia="Times New Roman" w:hAnsi="Arial" w:cs="Arial"/>
          <w:sz w:val="22"/>
          <w:szCs w:val="22"/>
          <w:lang w:val="es-ES_tradnl" w:eastAsia="es-CO"/>
        </w:rPr>
        <w:t>realizando la solicitud para participar en la capacitación virtual ofrecida por el Ministerio de Hacienda y Crédito Público.</w:t>
      </w:r>
    </w:p>
    <w:p w:rsidR="0006670C" w:rsidRDefault="0006670C" w:rsidP="0006670C">
      <w:pPr>
        <w:autoSpaceDE w:val="0"/>
        <w:autoSpaceDN w:val="0"/>
        <w:adjustRightInd w:val="0"/>
        <w:jc w:val="both"/>
        <w:rPr>
          <w:rStyle w:val="normaltextrun"/>
          <w:rFonts w:ascii="Arial" w:eastAsia="Times New Roman" w:hAnsi="Arial" w:cs="Arial"/>
          <w:sz w:val="22"/>
          <w:szCs w:val="22"/>
          <w:lang w:val="es-ES_tradnl" w:eastAsia="es-CO"/>
        </w:rPr>
      </w:pPr>
    </w:p>
    <w:p w:rsidR="0006670C" w:rsidRDefault="0006670C" w:rsidP="0006670C">
      <w:pPr>
        <w:autoSpaceDE w:val="0"/>
        <w:autoSpaceDN w:val="0"/>
        <w:adjustRightInd w:val="0"/>
        <w:jc w:val="both"/>
        <w:rPr>
          <w:rStyle w:val="normaltextrun"/>
          <w:rFonts w:ascii="Arial" w:eastAsiaTheme="minorEastAsia" w:hAnsi="Arial" w:cs="Arial"/>
          <w:sz w:val="22"/>
          <w:szCs w:val="22"/>
          <w:lang w:val="es-ES_tradnl" w:eastAsia="en-US"/>
        </w:rPr>
      </w:pPr>
      <w:r>
        <w:rPr>
          <w:rStyle w:val="normaltextrun"/>
          <w:rFonts w:ascii="Arial" w:eastAsia="Times New Roman" w:hAnsi="Arial" w:cs="Arial"/>
          <w:sz w:val="22"/>
          <w:szCs w:val="22"/>
          <w:lang w:val="es-ES_tradnl" w:eastAsia="es-CO"/>
        </w:rPr>
        <w:t xml:space="preserve">Recuerde que dicha capacitación tiene el propósito de conocer lo </w:t>
      </w:r>
      <w:r>
        <w:rPr>
          <w:rFonts w:ascii="Arial" w:eastAsiaTheme="minorEastAsia" w:hAnsi="Arial" w:cs="Arial"/>
          <w:sz w:val="22"/>
          <w:szCs w:val="22"/>
          <w:lang w:val="es-ES_tradnl" w:eastAsia="en-US"/>
        </w:rPr>
        <w:t>referente al manejo de las Cuentas Maestras para la administración de los recursos del Sistema General de Participaciones -Resoluciones 4835 de 2015 y 0660 de 2018-. E</w:t>
      </w:r>
      <w:r>
        <w:rPr>
          <w:rStyle w:val="normaltextrun"/>
          <w:rFonts w:ascii="Arial" w:eastAsia="Times New Roman" w:hAnsi="Arial" w:cs="Arial"/>
          <w:sz w:val="22"/>
          <w:szCs w:val="22"/>
          <w:lang w:val="es-ES_tradnl" w:eastAsia="es-CO"/>
        </w:rPr>
        <w:t xml:space="preserve">s importante que en dicho espacio participen las </w:t>
      </w:r>
      <w:r>
        <w:rPr>
          <w:rStyle w:val="normaltextrun"/>
          <w:rFonts w:ascii="Arial" w:eastAsia="Times New Roman" w:hAnsi="Arial" w:cs="Arial"/>
          <w:sz w:val="22"/>
          <w:szCs w:val="22"/>
          <w:lang w:val="es-ES_tradnl" w:eastAsia="es-CO"/>
        </w:rPr>
        <w:lastRenderedPageBreak/>
        <w:t xml:space="preserve">diferentes áreas que estén relacionada con el manejo y administración de dichas cuentas, preferiblemente el equipo administrativo de la Secretaria de Hacienda y Tesorería del </w:t>
      </w:r>
      <w:r>
        <w:rPr>
          <w:rStyle w:val="normaltextrun"/>
          <w:rFonts w:ascii="Arial" w:hAnsi="Arial" w:cs="Arial"/>
          <w:sz w:val="22"/>
          <w:szCs w:val="22"/>
          <w:lang w:val="es-ES_tradnl"/>
        </w:rPr>
        <w:t>Municipio</w:t>
      </w:r>
      <w:r>
        <w:rPr>
          <w:rStyle w:val="normaltextrun"/>
          <w:rFonts w:ascii="Arial" w:eastAsia="Times New Roman" w:hAnsi="Arial" w:cs="Arial"/>
          <w:sz w:val="22"/>
          <w:szCs w:val="22"/>
          <w:lang w:val="es-ES_tradnl" w:eastAsia="es-CO"/>
        </w:rPr>
        <w:t xml:space="preserve">. </w:t>
      </w:r>
    </w:p>
    <w:p w:rsidR="0006670C" w:rsidRDefault="0006670C" w:rsidP="0006670C">
      <w:pPr>
        <w:pStyle w:val="paragraph"/>
        <w:spacing w:before="0" w:beforeAutospacing="0" w:after="0" w:afterAutospacing="0"/>
        <w:contextualSpacing/>
        <w:jc w:val="both"/>
        <w:textAlignment w:val="baseline"/>
        <w:rPr>
          <w:rStyle w:val="eop"/>
          <w:rFonts w:eastAsia="MS Mincho"/>
          <w:lang w:eastAsia="es-ES"/>
        </w:rPr>
      </w:pPr>
    </w:p>
    <w:p w:rsidR="0006670C" w:rsidRDefault="0006670C" w:rsidP="0006670C">
      <w:pPr>
        <w:pStyle w:val="paragraph"/>
        <w:spacing w:before="0" w:beforeAutospacing="0" w:after="0" w:afterAutospacing="0"/>
        <w:contextualSpacing/>
        <w:jc w:val="both"/>
        <w:textAlignment w:val="baseline"/>
        <w:rPr>
          <w:rStyle w:val="normaltextrun"/>
          <w:rFonts w:eastAsia="Calibri"/>
          <w:b/>
          <w:lang w:val="es-ES"/>
        </w:rPr>
      </w:pPr>
      <w:r>
        <w:rPr>
          <w:rStyle w:val="normaltextrun"/>
          <w:rFonts w:ascii="Arial" w:eastAsia="Calibri" w:hAnsi="Arial" w:cs="Arial"/>
          <w:b/>
          <w:sz w:val="22"/>
          <w:szCs w:val="22"/>
          <w:lang w:val="es-ES"/>
        </w:rPr>
        <w:t>Formulario Único Territorial – FUT.</w:t>
      </w:r>
    </w:p>
    <w:p w:rsidR="0006670C" w:rsidRDefault="0006670C" w:rsidP="0006670C">
      <w:pPr>
        <w:pStyle w:val="paragraph"/>
        <w:spacing w:before="0" w:beforeAutospacing="0" w:after="0" w:afterAutospacing="0"/>
        <w:contextualSpacing/>
        <w:jc w:val="both"/>
        <w:textAlignment w:val="baseline"/>
        <w:rPr>
          <w:rStyle w:val="normaltextrun"/>
          <w:rFonts w:ascii="Arial" w:eastAsia="Calibri" w:hAnsi="Arial" w:cs="Arial"/>
          <w:i/>
          <w:sz w:val="22"/>
          <w:szCs w:val="22"/>
          <w:lang w:val="es-ES"/>
        </w:rPr>
      </w:pPr>
    </w:p>
    <w:p w:rsidR="0006670C" w:rsidRDefault="0006670C" w:rsidP="0006670C">
      <w:pPr>
        <w:pStyle w:val="paragraph"/>
        <w:spacing w:before="0" w:beforeAutospacing="0" w:after="0" w:afterAutospacing="0"/>
        <w:contextualSpacing/>
        <w:jc w:val="both"/>
        <w:textAlignment w:val="baseline"/>
        <w:rPr>
          <w:rStyle w:val="normaltextrun"/>
          <w:rFonts w:ascii="Arial" w:eastAsia="Calibri" w:hAnsi="Arial" w:cs="Arial"/>
          <w:b/>
          <w:iCs/>
          <w:sz w:val="22"/>
          <w:szCs w:val="22"/>
          <w:lang w:val="es-ES"/>
        </w:rPr>
      </w:pPr>
      <w:r>
        <w:rPr>
          <w:rStyle w:val="normaltextrun"/>
          <w:rFonts w:ascii="Arial" w:eastAsia="Calibri" w:hAnsi="Arial" w:cs="Arial"/>
          <w:b/>
          <w:iCs/>
          <w:sz w:val="22"/>
          <w:szCs w:val="22"/>
          <w:lang w:val="es-ES"/>
        </w:rPr>
        <w:t>Objetivo:</w:t>
      </w:r>
    </w:p>
    <w:p w:rsidR="0006670C" w:rsidRDefault="0006670C" w:rsidP="0006670C">
      <w:pPr>
        <w:pStyle w:val="paragraph"/>
        <w:spacing w:before="0" w:beforeAutospacing="0" w:after="0" w:afterAutospacing="0"/>
        <w:ind w:left="142"/>
        <w:contextualSpacing/>
        <w:jc w:val="both"/>
        <w:textAlignment w:val="baseline"/>
        <w:rPr>
          <w:rStyle w:val="normaltextrun"/>
          <w:rFonts w:ascii="Arial" w:eastAsia="Calibri" w:hAnsi="Arial" w:cs="Arial"/>
          <w:sz w:val="22"/>
          <w:szCs w:val="22"/>
          <w:lang w:val="es-ES"/>
        </w:rPr>
      </w:pPr>
    </w:p>
    <w:p w:rsidR="0006670C" w:rsidRDefault="0006670C" w:rsidP="0006670C">
      <w:pPr>
        <w:pStyle w:val="paragraph"/>
        <w:numPr>
          <w:ilvl w:val="0"/>
          <w:numId w:val="42"/>
        </w:numPr>
        <w:spacing w:before="0" w:beforeAutospacing="0" w:after="0" w:afterAutospacing="0"/>
        <w:contextualSpacing/>
        <w:jc w:val="both"/>
        <w:textAlignment w:val="baseline"/>
        <w:rPr>
          <w:rStyle w:val="eop"/>
          <w:rFonts w:eastAsia="MS Mincho"/>
        </w:rPr>
      </w:pPr>
      <w:r>
        <w:rPr>
          <w:rStyle w:val="normaltextrun"/>
          <w:rFonts w:ascii="Arial" w:eastAsia="Calibri" w:hAnsi="Arial" w:cs="Arial"/>
          <w:sz w:val="22"/>
          <w:szCs w:val="22"/>
          <w:lang w:val="es-ES"/>
        </w:rPr>
        <w:t>Frente a los reportes de información financiera de los recursos de la Participación de Propósito General, implementar acciones que garanticen que la información presupuestal y de tesorería sea reportada en el Formulario Único Territorial del Sistema Consolidador de Hacienda e Información Pública – CHIP FUT de acuerdo con los criterios de consistencia, calidad, oportunidad, formalidad y suficiencia solicitados por la Nación.</w:t>
      </w:r>
    </w:p>
    <w:p w:rsidR="0006670C" w:rsidRDefault="0006670C" w:rsidP="0006670C">
      <w:pPr>
        <w:pStyle w:val="paragraph"/>
        <w:spacing w:before="0" w:beforeAutospacing="0" w:after="0" w:afterAutospacing="0"/>
        <w:contextualSpacing/>
        <w:jc w:val="both"/>
        <w:textAlignment w:val="baseline"/>
        <w:rPr>
          <w:rStyle w:val="normaltextrun"/>
          <w:b/>
          <w:i/>
          <w:lang w:val="es-ES"/>
        </w:rPr>
      </w:pP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iCs/>
          <w:sz w:val="22"/>
          <w:szCs w:val="22"/>
          <w:lang w:val="es-ES_tradnl"/>
        </w:rPr>
      </w:pPr>
      <w:r>
        <w:rPr>
          <w:rStyle w:val="normaltextrun"/>
          <w:rFonts w:ascii="Arial" w:eastAsia="Calibri" w:hAnsi="Arial" w:cs="Arial"/>
          <w:b/>
          <w:iCs/>
          <w:sz w:val="22"/>
          <w:szCs w:val="22"/>
          <w:lang w:val="es-ES"/>
        </w:rPr>
        <w:t>Problemática:</w:t>
      </w:r>
      <w:r>
        <w:rPr>
          <w:rStyle w:val="eop"/>
          <w:rFonts w:ascii="Arial" w:eastAsia="MS Mincho" w:hAnsi="Arial" w:cs="Arial"/>
          <w:iCs/>
          <w:sz w:val="22"/>
          <w:szCs w:val="22"/>
          <w:lang w:val="es-ES_tradnl"/>
        </w:rPr>
        <w:t xml:space="preserve"> Durante todas las vigencias analizadas se identificaron problemas de reporte por parte del Municipio, especialmente en la información reportada para ingresos y gastos – Libre Inversión. Es decir, el problema del Municipio en su reporte es más de calidad que de oportunidad.</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iCs/>
          <w:sz w:val="22"/>
          <w:szCs w:val="22"/>
          <w:lang w:val="es-ES_tradnl"/>
        </w:rPr>
      </w:pPr>
    </w:p>
    <w:p w:rsidR="0006670C" w:rsidRDefault="0006670C" w:rsidP="0006670C">
      <w:pPr>
        <w:pStyle w:val="paragraph"/>
        <w:spacing w:before="0" w:beforeAutospacing="0" w:after="0" w:afterAutospacing="0"/>
        <w:contextualSpacing/>
        <w:jc w:val="both"/>
        <w:textAlignment w:val="baseline"/>
        <w:rPr>
          <w:rFonts w:eastAsia="Arial"/>
          <w:color w:val="000000" w:themeColor="text1"/>
        </w:rPr>
      </w:pPr>
      <w:r>
        <w:rPr>
          <w:rStyle w:val="normaltextrun"/>
          <w:rFonts w:ascii="Arial" w:eastAsia="Calibri" w:hAnsi="Arial" w:cs="Arial"/>
          <w:b/>
          <w:iCs/>
          <w:sz w:val="22"/>
          <w:szCs w:val="22"/>
          <w:lang w:val="es-ES"/>
        </w:rPr>
        <w:t>Recomendación:</w:t>
      </w:r>
      <w:r>
        <w:rPr>
          <w:rFonts w:ascii="Arial" w:eastAsia="Arial" w:hAnsi="Arial" w:cs="Arial"/>
          <w:color w:val="000000" w:themeColor="text1"/>
          <w:sz w:val="22"/>
          <w:szCs w:val="22"/>
          <w:lang w:val="es-ES_tradnl"/>
        </w:rPr>
        <w:t xml:space="preserve"> Por lo anterior, se invita a la persona asignada para este tema a verificar previamente la información reportada con las ejecuciones presupuestales. Para ello puede crea un punto de control para contrastar las ejecuciones presupuestales y la información que tiene por reportar, garantizando consistencia y calidad en la información cargada al FUT. Se propone el siguiente Modelo para garantizar dicho control:</w:t>
      </w:r>
    </w:p>
    <w:p w:rsidR="0006670C" w:rsidRDefault="0006670C" w:rsidP="0006670C">
      <w:pPr>
        <w:pStyle w:val="paragraph"/>
        <w:spacing w:before="0" w:beforeAutospacing="0" w:after="0" w:afterAutospacing="0"/>
        <w:contextualSpacing/>
        <w:jc w:val="both"/>
        <w:textAlignment w:val="baseline"/>
        <w:rPr>
          <w:rFonts w:ascii="Arial" w:eastAsia="Arial" w:hAnsi="Arial" w:cs="Arial"/>
          <w:color w:val="000000" w:themeColor="text1"/>
          <w:sz w:val="22"/>
          <w:szCs w:val="22"/>
          <w:lang w:val="es-ES_tradnl"/>
        </w:rPr>
      </w:pPr>
    </w:p>
    <w:tbl>
      <w:tblPr>
        <w:tblStyle w:val="Tablaconcuadrcula"/>
        <w:tblW w:w="8889" w:type="dxa"/>
        <w:tblLook w:val="04A0" w:firstRow="1" w:lastRow="0" w:firstColumn="1" w:lastColumn="0" w:noHBand="0" w:noVBand="1"/>
      </w:tblPr>
      <w:tblGrid>
        <w:gridCol w:w="4444"/>
        <w:gridCol w:w="4445"/>
      </w:tblGrid>
      <w:tr w:rsidR="0006670C" w:rsidTr="0006670C">
        <w:trPr>
          <w:trHeight w:val="1601"/>
        </w:trPr>
        <w:tc>
          <w:tcPr>
            <w:tcW w:w="8889" w:type="dxa"/>
            <w:gridSpan w:val="2"/>
            <w:tcBorders>
              <w:top w:val="single" w:sz="4" w:space="0" w:color="auto"/>
              <w:left w:val="single" w:sz="4" w:space="0" w:color="auto"/>
              <w:bottom w:val="single" w:sz="4" w:space="0" w:color="auto"/>
              <w:right w:val="single" w:sz="4" w:space="0" w:color="auto"/>
            </w:tcBorders>
            <w:hideMark/>
          </w:tcPr>
          <w:p w:rsidR="0006670C" w:rsidRDefault="0006670C">
            <w:pPr>
              <w:jc w:val="center"/>
              <w:rPr>
                <w:rFonts w:ascii="Arial" w:hAnsi="Arial" w:cs="Arial"/>
                <w:sz w:val="20"/>
                <w:szCs w:val="20"/>
              </w:rPr>
            </w:pPr>
            <w:r>
              <w:rPr>
                <w:rFonts w:ascii="Arial" w:hAnsi="Arial" w:cs="Arial"/>
                <w:b/>
                <w:sz w:val="20"/>
                <w:szCs w:val="20"/>
              </w:rPr>
              <w:t>Punto de Control: Información para cargar al FUT.</w:t>
            </w:r>
            <w:r>
              <w:rPr>
                <w:rFonts w:ascii="Arial" w:hAnsi="Arial" w:cs="Arial"/>
                <w:b/>
                <w:sz w:val="20"/>
                <w:szCs w:val="20"/>
              </w:rPr>
              <w:br/>
              <w:t>Trimestre N° #</w:t>
            </w:r>
            <w:r>
              <w:rPr>
                <w:rFonts w:ascii="Arial" w:hAnsi="Arial" w:cs="Arial"/>
                <w:sz w:val="20"/>
                <w:szCs w:val="20"/>
              </w:rPr>
              <w:br/>
              <w:t xml:space="preserve">Municipio de Puerto Escondido - Córdoba </w:t>
            </w:r>
          </w:p>
          <w:p w:rsidR="0006670C" w:rsidRDefault="0006670C">
            <w:pPr>
              <w:jc w:val="center"/>
              <w:rPr>
                <w:rFonts w:ascii="Arial" w:hAnsi="Arial" w:cs="Arial"/>
                <w:sz w:val="20"/>
                <w:szCs w:val="20"/>
              </w:rPr>
            </w:pPr>
            <w:r>
              <w:rPr>
                <w:rFonts w:ascii="Arial" w:hAnsi="Arial" w:cs="Arial"/>
                <w:sz w:val="20"/>
                <w:szCs w:val="20"/>
              </w:rPr>
              <w:t>Vigencia xxxx</w:t>
            </w:r>
            <w:r>
              <w:rPr>
                <w:rFonts w:ascii="Arial" w:hAnsi="Arial" w:cs="Arial"/>
                <w:sz w:val="20"/>
                <w:szCs w:val="20"/>
              </w:rPr>
              <w:br/>
              <w:t>Fecha xx</w:t>
            </w:r>
          </w:p>
        </w:tc>
      </w:tr>
      <w:tr w:rsidR="0006670C" w:rsidTr="0006670C">
        <w:trPr>
          <w:trHeight w:val="525"/>
        </w:trPr>
        <w:tc>
          <w:tcPr>
            <w:tcW w:w="4444" w:type="dxa"/>
            <w:tcBorders>
              <w:top w:val="single" w:sz="4" w:space="0" w:color="auto"/>
              <w:left w:val="single" w:sz="4" w:space="0" w:color="auto"/>
              <w:bottom w:val="single" w:sz="4" w:space="0" w:color="auto"/>
              <w:right w:val="single" w:sz="4" w:space="0" w:color="auto"/>
            </w:tcBorders>
            <w:hideMark/>
          </w:tcPr>
          <w:p w:rsidR="0006670C" w:rsidRDefault="0006670C">
            <w:pPr>
              <w:rPr>
                <w:rFonts w:ascii="Arial" w:hAnsi="Arial" w:cs="Arial"/>
                <w:sz w:val="20"/>
                <w:szCs w:val="20"/>
              </w:rPr>
            </w:pPr>
            <w:r>
              <w:rPr>
                <w:rFonts w:ascii="Arial" w:hAnsi="Arial" w:cs="Arial"/>
                <w:sz w:val="20"/>
                <w:szCs w:val="20"/>
              </w:rPr>
              <w:t>¿Se contrastó la información con las ejecuciones presupuestales?</w:t>
            </w:r>
          </w:p>
        </w:tc>
        <w:tc>
          <w:tcPr>
            <w:tcW w:w="4444" w:type="dxa"/>
            <w:tcBorders>
              <w:top w:val="single" w:sz="4" w:space="0" w:color="auto"/>
              <w:left w:val="single" w:sz="4" w:space="0" w:color="auto"/>
              <w:bottom w:val="single" w:sz="4" w:space="0" w:color="auto"/>
              <w:right w:val="single" w:sz="4" w:space="0" w:color="auto"/>
            </w:tcBorders>
            <w:hideMark/>
          </w:tcPr>
          <w:p w:rsidR="0006670C" w:rsidRDefault="0006670C">
            <w:pPr>
              <w:rPr>
                <w:rFonts w:ascii="Arial" w:hAnsi="Arial" w:cs="Arial"/>
                <w:sz w:val="20"/>
                <w:szCs w:val="20"/>
              </w:rPr>
            </w:pPr>
            <w:r>
              <w:rPr>
                <w:rFonts w:ascii="Arial" w:hAnsi="Arial" w:cs="Arial"/>
                <w:sz w:val="20"/>
                <w:szCs w:val="20"/>
              </w:rPr>
              <w:t>Sí____     No____</w:t>
            </w:r>
          </w:p>
        </w:tc>
      </w:tr>
      <w:tr w:rsidR="0006670C" w:rsidTr="0006670C">
        <w:trPr>
          <w:trHeight w:val="339"/>
        </w:trPr>
        <w:tc>
          <w:tcPr>
            <w:tcW w:w="4444" w:type="dxa"/>
            <w:tcBorders>
              <w:top w:val="single" w:sz="4" w:space="0" w:color="auto"/>
              <w:left w:val="single" w:sz="4" w:space="0" w:color="auto"/>
              <w:bottom w:val="single" w:sz="4" w:space="0" w:color="auto"/>
              <w:right w:val="single" w:sz="4" w:space="0" w:color="auto"/>
            </w:tcBorders>
            <w:hideMark/>
          </w:tcPr>
          <w:p w:rsidR="0006670C" w:rsidRDefault="0006670C">
            <w:pPr>
              <w:rPr>
                <w:rFonts w:ascii="Arial" w:hAnsi="Arial" w:cs="Arial"/>
                <w:sz w:val="20"/>
                <w:szCs w:val="20"/>
              </w:rPr>
            </w:pPr>
            <w:r>
              <w:rPr>
                <w:rFonts w:ascii="Arial" w:hAnsi="Arial" w:cs="Arial"/>
                <w:sz w:val="20"/>
                <w:szCs w:val="20"/>
              </w:rPr>
              <w:t>¿Se encontraron diferencias?</w:t>
            </w:r>
          </w:p>
        </w:tc>
        <w:tc>
          <w:tcPr>
            <w:tcW w:w="4444" w:type="dxa"/>
            <w:tcBorders>
              <w:top w:val="single" w:sz="4" w:space="0" w:color="auto"/>
              <w:left w:val="single" w:sz="4" w:space="0" w:color="auto"/>
              <w:bottom w:val="single" w:sz="4" w:space="0" w:color="auto"/>
              <w:right w:val="single" w:sz="4" w:space="0" w:color="auto"/>
            </w:tcBorders>
            <w:hideMark/>
          </w:tcPr>
          <w:p w:rsidR="0006670C" w:rsidRDefault="0006670C">
            <w:pPr>
              <w:rPr>
                <w:rFonts w:ascii="Arial" w:hAnsi="Arial" w:cs="Arial"/>
                <w:sz w:val="20"/>
                <w:szCs w:val="20"/>
              </w:rPr>
            </w:pPr>
            <w:r>
              <w:rPr>
                <w:rFonts w:ascii="Arial" w:hAnsi="Arial" w:cs="Arial"/>
                <w:sz w:val="20"/>
                <w:szCs w:val="20"/>
              </w:rPr>
              <w:t>Sí____     No____</w:t>
            </w:r>
          </w:p>
        </w:tc>
      </w:tr>
      <w:tr w:rsidR="0006670C" w:rsidTr="0006670C">
        <w:trPr>
          <w:trHeight w:val="329"/>
        </w:trPr>
        <w:tc>
          <w:tcPr>
            <w:tcW w:w="4444" w:type="dxa"/>
            <w:tcBorders>
              <w:top w:val="single" w:sz="4" w:space="0" w:color="auto"/>
              <w:left w:val="single" w:sz="4" w:space="0" w:color="auto"/>
              <w:bottom w:val="single" w:sz="4" w:space="0" w:color="auto"/>
              <w:right w:val="single" w:sz="4" w:space="0" w:color="auto"/>
            </w:tcBorders>
          </w:tcPr>
          <w:p w:rsidR="0006670C" w:rsidRDefault="0006670C">
            <w:pPr>
              <w:rPr>
                <w:rFonts w:ascii="Arial" w:hAnsi="Arial" w:cs="Arial"/>
                <w:sz w:val="20"/>
                <w:szCs w:val="20"/>
              </w:rPr>
            </w:pPr>
            <w:r>
              <w:rPr>
                <w:rFonts w:ascii="Arial" w:hAnsi="Arial" w:cs="Arial"/>
                <w:sz w:val="20"/>
                <w:szCs w:val="20"/>
              </w:rPr>
              <w:t>¿Cuáles?</w:t>
            </w:r>
          </w:p>
          <w:p w:rsidR="0006670C" w:rsidRDefault="0006670C">
            <w:pPr>
              <w:rPr>
                <w:rFonts w:ascii="Arial" w:hAnsi="Arial" w:cs="Arial"/>
                <w:sz w:val="20"/>
                <w:szCs w:val="20"/>
              </w:rPr>
            </w:pPr>
          </w:p>
          <w:p w:rsidR="0006670C" w:rsidRDefault="0006670C">
            <w:pPr>
              <w:jc w:val="both"/>
              <w:rPr>
                <w:rFonts w:ascii="Arial" w:hAnsi="Arial" w:cs="Arial"/>
                <w:sz w:val="20"/>
                <w:szCs w:val="20"/>
              </w:rPr>
            </w:pPr>
            <w:r>
              <w:rPr>
                <w:rFonts w:ascii="Arial" w:hAnsi="Arial" w:cs="Arial"/>
                <w:sz w:val="20"/>
                <w:szCs w:val="20"/>
              </w:rPr>
              <w:t xml:space="preserve"> (Es el momento de informar, sí se evidencian diferencias para reportar a las diferentes áreas encargadas, para que se proceda a verificar y ajustar la información)</w:t>
            </w:r>
          </w:p>
        </w:tc>
        <w:tc>
          <w:tcPr>
            <w:tcW w:w="4444" w:type="dxa"/>
            <w:tcBorders>
              <w:top w:val="single" w:sz="4" w:space="0" w:color="auto"/>
              <w:left w:val="single" w:sz="4" w:space="0" w:color="auto"/>
              <w:bottom w:val="single" w:sz="4" w:space="0" w:color="auto"/>
              <w:right w:val="single" w:sz="4" w:space="0" w:color="auto"/>
            </w:tcBorders>
          </w:tcPr>
          <w:p w:rsidR="0006670C" w:rsidRDefault="0006670C">
            <w:pPr>
              <w:rPr>
                <w:rFonts w:ascii="Arial" w:hAnsi="Arial" w:cs="Arial"/>
                <w:sz w:val="20"/>
                <w:szCs w:val="20"/>
              </w:rPr>
            </w:pPr>
          </w:p>
        </w:tc>
      </w:tr>
      <w:tr w:rsidR="0006670C" w:rsidTr="0006670C">
        <w:trPr>
          <w:trHeight w:val="883"/>
        </w:trPr>
        <w:tc>
          <w:tcPr>
            <w:tcW w:w="4444" w:type="dxa"/>
            <w:tcBorders>
              <w:top w:val="single" w:sz="4" w:space="0" w:color="auto"/>
              <w:left w:val="single" w:sz="4" w:space="0" w:color="auto"/>
              <w:bottom w:val="single" w:sz="4" w:space="0" w:color="auto"/>
              <w:right w:val="single" w:sz="4" w:space="0" w:color="auto"/>
            </w:tcBorders>
          </w:tcPr>
          <w:p w:rsidR="0006670C" w:rsidRDefault="0006670C">
            <w:pPr>
              <w:jc w:val="both"/>
              <w:rPr>
                <w:rFonts w:ascii="Arial" w:hAnsi="Arial" w:cs="Arial"/>
                <w:sz w:val="20"/>
                <w:szCs w:val="20"/>
              </w:rPr>
            </w:pPr>
            <w:r>
              <w:rPr>
                <w:rFonts w:ascii="Arial" w:hAnsi="Arial" w:cs="Arial"/>
                <w:sz w:val="20"/>
                <w:szCs w:val="20"/>
              </w:rPr>
              <w:t xml:space="preserve">¿Se realizaron ajustes? </w:t>
            </w:r>
          </w:p>
          <w:p w:rsidR="0006670C" w:rsidRDefault="0006670C">
            <w:pPr>
              <w:jc w:val="both"/>
              <w:rPr>
                <w:rFonts w:ascii="Arial" w:hAnsi="Arial" w:cs="Arial"/>
                <w:sz w:val="20"/>
                <w:szCs w:val="20"/>
              </w:rPr>
            </w:pPr>
          </w:p>
          <w:p w:rsidR="0006670C" w:rsidRDefault="0006670C">
            <w:pPr>
              <w:jc w:val="both"/>
              <w:rPr>
                <w:rFonts w:ascii="Arial" w:hAnsi="Arial" w:cs="Arial"/>
                <w:sz w:val="20"/>
                <w:szCs w:val="20"/>
              </w:rPr>
            </w:pPr>
            <w:r>
              <w:rPr>
                <w:rFonts w:ascii="Arial" w:hAnsi="Arial" w:cs="Arial"/>
                <w:sz w:val="20"/>
                <w:szCs w:val="20"/>
              </w:rPr>
              <w:t xml:space="preserve">(Si la información fue ajustada, es necesario realizar nuevamente la verificación, para ello se recomienda, realizar nuevamente este punto de control, evidenciando lo anterior) </w:t>
            </w:r>
          </w:p>
          <w:p w:rsidR="0006670C" w:rsidRDefault="0006670C">
            <w:pPr>
              <w:rPr>
                <w:rFonts w:ascii="Arial" w:hAnsi="Arial" w:cs="Arial"/>
                <w:sz w:val="20"/>
                <w:szCs w:val="20"/>
              </w:rPr>
            </w:pPr>
          </w:p>
        </w:tc>
        <w:tc>
          <w:tcPr>
            <w:tcW w:w="4444" w:type="dxa"/>
            <w:tcBorders>
              <w:top w:val="single" w:sz="4" w:space="0" w:color="auto"/>
              <w:left w:val="single" w:sz="4" w:space="0" w:color="auto"/>
              <w:bottom w:val="single" w:sz="4" w:space="0" w:color="auto"/>
              <w:right w:val="single" w:sz="4" w:space="0" w:color="auto"/>
            </w:tcBorders>
            <w:hideMark/>
          </w:tcPr>
          <w:p w:rsidR="0006670C" w:rsidRDefault="0006670C">
            <w:pPr>
              <w:rPr>
                <w:rFonts w:ascii="Arial" w:hAnsi="Arial" w:cs="Arial"/>
                <w:sz w:val="20"/>
                <w:szCs w:val="20"/>
              </w:rPr>
            </w:pPr>
            <w:r>
              <w:rPr>
                <w:rFonts w:ascii="Arial" w:hAnsi="Arial" w:cs="Arial"/>
                <w:sz w:val="20"/>
                <w:szCs w:val="20"/>
              </w:rPr>
              <w:t>Sí____     No____</w:t>
            </w:r>
          </w:p>
        </w:tc>
      </w:tr>
      <w:tr w:rsidR="0006670C" w:rsidTr="0006670C">
        <w:trPr>
          <w:trHeight w:val="883"/>
        </w:trPr>
        <w:tc>
          <w:tcPr>
            <w:tcW w:w="4444" w:type="dxa"/>
            <w:tcBorders>
              <w:top w:val="single" w:sz="4" w:space="0" w:color="auto"/>
              <w:left w:val="single" w:sz="4" w:space="0" w:color="auto"/>
              <w:bottom w:val="single" w:sz="4" w:space="0" w:color="auto"/>
              <w:right w:val="single" w:sz="4" w:space="0" w:color="auto"/>
            </w:tcBorders>
            <w:hideMark/>
          </w:tcPr>
          <w:p w:rsidR="0006670C" w:rsidRDefault="0006670C">
            <w:pPr>
              <w:jc w:val="both"/>
              <w:rPr>
                <w:rFonts w:ascii="Arial" w:hAnsi="Arial" w:cs="Arial"/>
                <w:sz w:val="20"/>
                <w:szCs w:val="20"/>
              </w:rPr>
            </w:pPr>
            <w:r>
              <w:rPr>
                <w:rFonts w:ascii="Arial" w:hAnsi="Arial" w:cs="Arial"/>
                <w:sz w:val="20"/>
                <w:szCs w:val="20"/>
              </w:rPr>
              <w:lastRenderedPageBreak/>
              <w:t>¿Se puede cargar la información?</w:t>
            </w:r>
          </w:p>
        </w:tc>
        <w:tc>
          <w:tcPr>
            <w:tcW w:w="4444" w:type="dxa"/>
            <w:tcBorders>
              <w:top w:val="single" w:sz="4" w:space="0" w:color="auto"/>
              <w:left w:val="single" w:sz="4" w:space="0" w:color="auto"/>
              <w:bottom w:val="single" w:sz="4" w:space="0" w:color="auto"/>
              <w:right w:val="single" w:sz="4" w:space="0" w:color="auto"/>
            </w:tcBorders>
            <w:hideMark/>
          </w:tcPr>
          <w:p w:rsidR="0006670C" w:rsidRDefault="0006670C">
            <w:pPr>
              <w:rPr>
                <w:rFonts w:ascii="Arial" w:hAnsi="Arial" w:cs="Arial"/>
                <w:sz w:val="20"/>
                <w:szCs w:val="20"/>
              </w:rPr>
            </w:pPr>
            <w:r>
              <w:rPr>
                <w:rFonts w:ascii="Arial" w:hAnsi="Arial" w:cs="Arial"/>
                <w:sz w:val="20"/>
                <w:szCs w:val="20"/>
              </w:rPr>
              <w:t>Sí____     No____  Responsable______ Cargo______</w:t>
            </w:r>
          </w:p>
        </w:tc>
      </w:tr>
      <w:tr w:rsidR="0006670C" w:rsidTr="0006670C">
        <w:trPr>
          <w:trHeight w:val="445"/>
        </w:trPr>
        <w:tc>
          <w:tcPr>
            <w:tcW w:w="4444" w:type="dxa"/>
            <w:tcBorders>
              <w:top w:val="single" w:sz="4" w:space="0" w:color="auto"/>
              <w:left w:val="single" w:sz="4" w:space="0" w:color="auto"/>
              <w:bottom w:val="single" w:sz="4" w:space="0" w:color="auto"/>
              <w:right w:val="single" w:sz="4" w:space="0" w:color="auto"/>
            </w:tcBorders>
            <w:hideMark/>
          </w:tcPr>
          <w:p w:rsidR="0006670C" w:rsidRDefault="0006670C">
            <w:pPr>
              <w:jc w:val="both"/>
              <w:rPr>
                <w:rFonts w:ascii="Arial" w:hAnsi="Arial" w:cs="Arial"/>
                <w:sz w:val="20"/>
                <w:szCs w:val="20"/>
              </w:rPr>
            </w:pPr>
            <w:r>
              <w:rPr>
                <w:rFonts w:ascii="Arial" w:hAnsi="Arial" w:cs="Arial"/>
                <w:sz w:val="20"/>
                <w:szCs w:val="20"/>
              </w:rPr>
              <w:t>Observaciones:</w:t>
            </w:r>
          </w:p>
        </w:tc>
        <w:tc>
          <w:tcPr>
            <w:tcW w:w="4444" w:type="dxa"/>
            <w:tcBorders>
              <w:top w:val="single" w:sz="4" w:space="0" w:color="auto"/>
              <w:left w:val="single" w:sz="4" w:space="0" w:color="auto"/>
              <w:bottom w:val="single" w:sz="4" w:space="0" w:color="auto"/>
              <w:right w:val="single" w:sz="4" w:space="0" w:color="auto"/>
            </w:tcBorders>
          </w:tcPr>
          <w:p w:rsidR="0006670C" w:rsidRDefault="0006670C">
            <w:pPr>
              <w:rPr>
                <w:rFonts w:ascii="Arial" w:hAnsi="Arial" w:cs="Arial"/>
                <w:sz w:val="20"/>
                <w:szCs w:val="20"/>
              </w:rPr>
            </w:pPr>
          </w:p>
        </w:tc>
      </w:tr>
      <w:tr w:rsidR="0006670C" w:rsidTr="0006670C">
        <w:trPr>
          <w:trHeight w:val="721"/>
        </w:trPr>
        <w:tc>
          <w:tcPr>
            <w:tcW w:w="8889" w:type="dxa"/>
            <w:gridSpan w:val="2"/>
            <w:tcBorders>
              <w:top w:val="single" w:sz="4" w:space="0" w:color="auto"/>
              <w:left w:val="single" w:sz="4" w:space="0" w:color="auto"/>
              <w:bottom w:val="single" w:sz="4" w:space="0" w:color="auto"/>
              <w:right w:val="single" w:sz="4" w:space="0" w:color="auto"/>
            </w:tcBorders>
          </w:tcPr>
          <w:p w:rsidR="0006670C" w:rsidRDefault="0006670C">
            <w:pPr>
              <w:rPr>
                <w:rFonts w:ascii="Arial" w:hAnsi="Arial" w:cs="Arial"/>
                <w:sz w:val="20"/>
                <w:szCs w:val="20"/>
              </w:rPr>
            </w:pPr>
          </w:p>
          <w:p w:rsidR="0006670C" w:rsidRDefault="0006670C">
            <w:pPr>
              <w:rPr>
                <w:rFonts w:ascii="Arial" w:hAnsi="Arial" w:cs="Arial"/>
                <w:sz w:val="20"/>
                <w:szCs w:val="20"/>
              </w:rPr>
            </w:pPr>
            <w:r>
              <w:rPr>
                <w:rFonts w:ascii="Arial" w:hAnsi="Arial" w:cs="Arial"/>
                <w:sz w:val="20"/>
                <w:szCs w:val="20"/>
              </w:rPr>
              <w:t>Elaboró:</w:t>
            </w:r>
            <w:r>
              <w:rPr>
                <w:rFonts w:ascii="Arial" w:hAnsi="Arial" w:cs="Arial"/>
                <w:sz w:val="20"/>
                <w:szCs w:val="20"/>
              </w:rPr>
              <w:br/>
              <w:t>Revisó</w:t>
            </w:r>
          </w:p>
        </w:tc>
      </w:tr>
    </w:tbl>
    <w:p w:rsidR="0006670C" w:rsidRDefault="0006670C" w:rsidP="0006670C">
      <w:pPr>
        <w:pStyle w:val="paragraph"/>
        <w:spacing w:before="0" w:beforeAutospacing="0" w:after="0" w:afterAutospacing="0"/>
        <w:ind w:left="142"/>
        <w:contextualSpacing/>
        <w:jc w:val="both"/>
        <w:textAlignment w:val="baseline"/>
        <w:rPr>
          <w:rStyle w:val="eop"/>
          <w:rFonts w:ascii="Arial" w:eastAsia="MS Mincho" w:hAnsi="Arial" w:cs="Arial"/>
          <w:sz w:val="22"/>
          <w:szCs w:val="22"/>
          <w:lang w:val="es-ES_tradnl" w:eastAsia="es-ES"/>
        </w:rPr>
      </w:pPr>
    </w:p>
    <w:p w:rsidR="0006670C" w:rsidRDefault="0006670C" w:rsidP="0006670C">
      <w:pPr>
        <w:pStyle w:val="paragraph"/>
        <w:ind w:left="142" w:hanging="142"/>
        <w:contextualSpacing/>
        <w:jc w:val="both"/>
        <w:textAlignment w:val="baseline"/>
        <w:rPr>
          <w:rStyle w:val="normaltextrun"/>
          <w:b/>
          <w:lang w:val="es-ES"/>
        </w:rPr>
      </w:pPr>
      <w:r>
        <w:rPr>
          <w:rStyle w:val="normaltextrun"/>
          <w:rFonts w:ascii="Arial" w:hAnsi="Arial" w:cs="Arial"/>
          <w:b/>
          <w:sz w:val="22"/>
          <w:szCs w:val="22"/>
          <w:lang w:val="es-ES"/>
        </w:rPr>
        <w:t>Contractual.</w:t>
      </w:r>
    </w:p>
    <w:p w:rsidR="0006670C" w:rsidRDefault="0006670C" w:rsidP="0006670C">
      <w:pPr>
        <w:pStyle w:val="paragraph"/>
        <w:ind w:left="142" w:hanging="142"/>
        <w:contextualSpacing/>
        <w:jc w:val="both"/>
        <w:textAlignment w:val="baseline"/>
        <w:rPr>
          <w:rStyle w:val="eop"/>
        </w:rPr>
      </w:pPr>
    </w:p>
    <w:p w:rsidR="0006670C" w:rsidRDefault="0006670C" w:rsidP="0006670C">
      <w:pPr>
        <w:pStyle w:val="paragraph"/>
        <w:spacing w:before="0" w:beforeAutospacing="0" w:after="0" w:afterAutospacing="0"/>
        <w:contextualSpacing/>
        <w:jc w:val="both"/>
        <w:textAlignment w:val="baseline"/>
        <w:rPr>
          <w:rStyle w:val="normaltextrun"/>
          <w:iCs/>
        </w:rPr>
      </w:pPr>
      <w:r>
        <w:rPr>
          <w:rStyle w:val="normaltextrun"/>
          <w:rFonts w:ascii="Arial" w:hAnsi="Arial" w:cs="Arial"/>
          <w:b/>
          <w:iCs/>
          <w:sz w:val="22"/>
          <w:szCs w:val="22"/>
          <w:lang w:val="es-ES"/>
        </w:rPr>
        <w:t>Publicación en el SECOP.</w:t>
      </w: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b/>
          <w:iCs/>
          <w:sz w:val="22"/>
          <w:szCs w:val="22"/>
          <w:lang w:val="es-ES"/>
        </w:rPr>
      </w:pPr>
    </w:p>
    <w:p w:rsidR="0006670C" w:rsidRDefault="0006670C" w:rsidP="0006670C">
      <w:pPr>
        <w:pStyle w:val="paragraph"/>
        <w:spacing w:before="0" w:beforeAutospacing="0" w:after="0" w:afterAutospacing="0"/>
        <w:contextualSpacing/>
        <w:jc w:val="both"/>
        <w:textAlignment w:val="baseline"/>
        <w:rPr>
          <w:rStyle w:val="normaltextrun"/>
          <w:b/>
          <w:iCs/>
          <w:lang w:val="es-ES"/>
        </w:rPr>
      </w:pPr>
      <w:r>
        <w:rPr>
          <w:rStyle w:val="normaltextrun"/>
          <w:rFonts w:ascii="Arial" w:hAnsi="Arial" w:cs="Arial"/>
          <w:b/>
          <w:iCs/>
          <w:sz w:val="22"/>
          <w:szCs w:val="22"/>
          <w:lang w:val="es-ES"/>
        </w:rPr>
        <w:t>Objetivo:</w:t>
      </w:r>
    </w:p>
    <w:p w:rsidR="0006670C" w:rsidRDefault="0006670C" w:rsidP="0006670C">
      <w:pPr>
        <w:rPr>
          <w:rStyle w:val="normaltextrun"/>
          <w:rFonts w:ascii="Arial" w:hAnsi="Arial" w:cs="Arial"/>
          <w:iCs/>
          <w:sz w:val="22"/>
          <w:szCs w:val="22"/>
          <w:lang w:val="es-ES_tradnl" w:eastAsia="es-CO"/>
        </w:rPr>
      </w:pPr>
    </w:p>
    <w:p w:rsidR="0006670C" w:rsidRDefault="0006670C" w:rsidP="0006670C">
      <w:pPr>
        <w:pStyle w:val="paragraph"/>
        <w:spacing w:before="0" w:beforeAutospacing="0" w:after="0" w:afterAutospacing="0"/>
        <w:contextualSpacing/>
        <w:jc w:val="both"/>
        <w:textAlignment w:val="baseline"/>
        <w:rPr>
          <w:rStyle w:val="normaltextrun"/>
          <w:rFonts w:ascii="Arial" w:eastAsia="MS Mincho" w:hAnsi="Arial" w:cs="Arial"/>
          <w:sz w:val="22"/>
          <w:szCs w:val="22"/>
          <w:lang w:val="es-ES_tradnl" w:eastAsia="es-ES"/>
        </w:rPr>
      </w:pPr>
      <w:r>
        <w:rPr>
          <w:rStyle w:val="normaltextrun"/>
          <w:rFonts w:ascii="Arial" w:hAnsi="Arial" w:cs="Arial"/>
          <w:sz w:val="22"/>
          <w:szCs w:val="22"/>
          <w:lang w:val="es-ES_tradnl"/>
        </w:rPr>
        <w:t>Garantizar la publicación de los actos administrativos, contratos, convenios e informes, cuando la ley lo exija.</w:t>
      </w: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sz w:val="22"/>
          <w:szCs w:val="22"/>
          <w:lang w:val="es-ES_tradnl"/>
        </w:rPr>
      </w:pPr>
    </w:p>
    <w:p w:rsidR="0006670C" w:rsidRDefault="0006670C" w:rsidP="0006670C">
      <w:pPr>
        <w:pStyle w:val="paragraph"/>
        <w:spacing w:before="0" w:beforeAutospacing="0" w:after="0" w:afterAutospacing="0"/>
        <w:contextualSpacing/>
        <w:jc w:val="both"/>
        <w:textAlignment w:val="baseline"/>
        <w:rPr>
          <w:rStyle w:val="eop"/>
          <w:rFonts w:eastAsia="MS Mincho"/>
          <w:iCs/>
        </w:rPr>
      </w:pPr>
      <w:r>
        <w:rPr>
          <w:rStyle w:val="normaltextrun"/>
          <w:rFonts w:ascii="Arial" w:hAnsi="Arial" w:cs="Arial"/>
          <w:b/>
          <w:iCs/>
          <w:sz w:val="22"/>
          <w:szCs w:val="22"/>
          <w:lang w:val="es-ES"/>
        </w:rPr>
        <w:t>Problemática:</w:t>
      </w:r>
      <w:r>
        <w:rPr>
          <w:rStyle w:val="eop"/>
          <w:rFonts w:ascii="Arial" w:eastAsia="MS Mincho" w:hAnsi="Arial" w:cs="Arial"/>
          <w:iCs/>
          <w:sz w:val="22"/>
          <w:szCs w:val="22"/>
          <w:lang w:val="es-ES_tradnl"/>
        </w:rPr>
        <w:t xml:space="preserve"> En este informe de estado se identificaron las falencias que tiene el Municipio en la publicación de los expedientes contractuales al Sistema Electrónico para la Contratación Pública – SECOP durante las vigencias analizadas. Se evidenció que algunos contratos celebrados y con cargo a los recursos del SGP-PG no cumplen con las obligaciones de publicidad.</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iCs/>
          <w:sz w:val="22"/>
          <w:szCs w:val="22"/>
          <w:lang w:val="es-ES_tradnl"/>
        </w:rPr>
      </w:pPr>
    </w:p>
    <w:p w:rsidR="0006670C" w:rsidRDefault="0006670C" w:rsidP="0006670C">
      <w:pPr>
        <w:pStyle w:val="paragraph"/>
        <w:spacing w:before="0" w:beforeAutospacing="0" w:after="0" w:afterAutospacing="0"/>
        <w:contextualSpacing/>
        <w:jc w:val="both"/>
        <w:textAlignment w:val="baseline"/>
        <w:rPr>
          <w:rFonts w:eastAsia="Arial"/>
          <w:color w:val="000000" w:themeColor="text1"/>
        </w:rPr>
      </w:pPr>
      <w:r>
        <w:rPr>
          <w:rStyle w:val="normaltextrun"/>
          <w:rFonts w:ascii="Arial" w:hAnsi="Arial" w:cs="Arial"/>
          <w:b/>
          <w:iCs/>
          <w:sz w:val="22"/>
          <w:szCs w:val="22"/>
          <w:lang w:val="es-ES"/>
        </w:rPr>
        <w:t>Recomendación:</w:t>
      </w:r>
      <w:r>
        <w:rPr>
          <w:rStyle w:val="normaltextrun"/>
          <w:rFonts w:ascii="Arial" w:eastAsiaTheme="minorEastAsia" w:hAnsi="Arial" w:cs="Arial"/>
          <w:sz w:val="22"/>
          <w:szCs w:val="22"/>
          <w:lang w:val="es-ES_tradnl"/>
        </w:rPr>
        <w:t xml:space="preserve"> </w:t>
      </w:r>
      <w:r>
        <w:rPr>
          <w:rFonts w:ascii="Arial" w:eastAsia="Arial" w:hAnsi="Arial" w:cs="Arial"/>
          <w:color w:val="000000" w:themeColor="text1"/>
          <w:sz w:val="22"/>
          <w:szCs w:val="22"/>
          <w:lang w:val="es-ES_tradnl"/>
        </w:rPr>
        <w:t>Es importante destacar que el Municipio de Puerto Escondido - Córdoba debe garantizar la publicidad de todos los contratos que desarrolla en cada una de sus etapas contractuales. Para ello, se sugiere al Municipio realizar una lista de chequeo que refleje la fecha de la expedición de cualquier acto administrativo y la fecha de su debido cargue. Lo anterior, con el fin de controlar quién y cuándo está cargando la información, para cumplir con la debida publicación y a su vez, que esta se realice en tiempos oportunos; a continuación, se propone el siguiente modelo:</w:t>
      </w:r>
    </w:p>
    <w:p w:rsidR="0006670C" w:rsidRDefault="0006670C" w:rsidP="0006670C">
      <w:pPr>
        <w:pStyle w:val="paragraph"/>
        <w:spacing w:before="0" w:beforeAutospacing="0" w:after="0" w:afterAutospacing="0"/>
        <w:contextualSpacing/>
        <w:jc w:val="both"/>
        <w:textAlignment w:val="baseline"/>
        <w:rPr>
          <w:rStyle w:val="normaltextrun"/>
        </w:rPr>
      </w:pPr>
      <w:r>
        <w:rPr>
          <w:noProof/>
        </w:rPr>
        <w:lastRenderedPageBreak/>
        <w:drawing>
          <wp:inline distT="0" distB="0" distL="0" distR="0">
            <wp:extent cx="5610225" cy="39147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sz w:val="22"/>
          <w:szCs w:val="22"/>
          <w:lang w:val="es-ES_tradnl"/>
        </w:rPr>
      </w:pP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b/>
          <w:iCs/>
          <w:sz w:val="22"/>
          <w:szCs w:val="22"/>
          <w:lang w:val="es-ES"/>
        </w:rPr>
      </w:pPr>
      <w:r>
        <w:rPr>
          <w:rStyle w:val="normaltextrun"/>
          <w:rFonts w:ascii="Arial" w:hAnsi="Arial" w:cs="Arial"/>
          <w:b/>
          <w:iCs/>
          <w:sz w:val="22"/>
          <w:szCs w:val="22"/>
          <w:lang w:val="es-ES"/>
        </w:rPr>
        <w:t>Objetos de gasto financiables con recursos SGP Propósito General.</w:t>
      </w: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b/>
          <w:iCs/>
          <w:sz w:val="22"/>
          <w:szCs w:val="22"/>
          <w:lang w:val="es-ES"/>
        </w:rPr>
      </w:pP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b/>
          <w:iCs/>
          <w:sz w:val="22"/>
          <w:szCs w:val="22"/>
          <w:lang w:val="es-ES"/>
        </w:rPr>
      </w:pPr>
      <w:r>
        <w:rPr>
          <w:rStyle w:val="normaltextrun"/>
          <w:rFonts w:ascii="Arial" w:hAnsi="Arial" w:cs="Arial"/>
          <w:b/>
          <w:iCs/>
          <w:sz w:val="22"/>
          <w:szCs w:val="22"/>
          <w:lang w:val="es-ES"/>
        </w:rPr>
        <w:t>Objetivo:</w:t>
      </w:r>
    </w:p>
    <w:p w:rsidR="0006670C" w:rsidRDefault="0006670C" w:rsidP="0006670C">
      <w:pPr>
        <w:rPr>
          <w:rStyle w:val="normaltextrun"/>
          <w:rFonts w:ascii="Arial" w:hAnsi="Arial" w:cs="Arial"/>
          <w:sz w:val="22"/>
          <w:szCs w:val="22"/>
          <w:lang w:val="es-ES_tradnl" w:eastAsia="es-CO"/>
        </w:rPr>
      </w:pPr>
    </w:p>
    <w:p w:rsidR="0006670C" w:rsidRDefault="0006670C" w:rsidP="0006670C">
      <w:pPr>
        <w:pStyle w:val="paragraph"/>
        <w:spacing w:before="0" w:beforeAutospacing="0" w:after="0" w:afterAutospacing="0"/>
        <w:contextualSpacing/>
        <w:jc w:val="both"/>
        <w:textAlignment w:val="baseline"/>
        <w:rPr>
          <w:rStyle w:val="normaltextrun"/>
          <w:rFonts w:ascii="Arial" w:eastAsia="MS Mincho" w:hAnsi="Arial" w:cs="Arial"/>
          <w:sz w:val="22"/>
          <w:szCs w:val="22"/>
          <w:lang w:val="es-ES_tradnl" w:eastAsia="es-ES"/>
        </w:rPr>
      </w:pPr>
      <w:r>
        <w:rPr>
          <w:rStyle w:val="normaltextrun"/>
          <w:rFonts w:ascii="Arial" w:hAnsi="Arial" w:cs="Arial"/>
          <w:sz w:val="22"/>
          <w:szCs w:val="22"/>
          <w:lang w:val="es-ES_tradnl"/>
        </w:rPr>
        <w:t>Comprobar que los objetos de gasto de los contratos celebrados por Municipio con cargo a los recursos de SGP-PG, cumplan con las disposiciones de ley enmarcadas en el artículo 76 de la Ley 715 de 2001.</w:t>
      </w:r>
    </w:p>
    <w:p w:rsidR="0006670C" w:rsidRDefault="0006670C" w:rsidP="0006670C">
      <w:pPr>
        <w:pStyle w:val="paragraph"/>
        <w:spacing w:before="0" w:beforeAutospacing="0" w:after="0" w:afterAutospacing="0"/>
        <w:contextualSpacing/>
        <w:jc w:val="both"/>
        <w:textAlignment w:val="baseline"/>
        <w:rPr>
          <w:rStyle w:val="eop"/>
          <w:rFonts w:eastAsia="MS Mincho"/>
        </w:rPr>
      </w:pP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iCs/>
          <w:sz w:val="22"/>
          <w:szCs w:val="22"/>
          <w:lang w:val="es-ES_tradnl"/>
        </w:rPr>
      </w:pPr>
      <w:r>
        <w:rPr>
          <w:rStyle w:val="normaltextrun"/>
          <w:rFonts w:ascii="Arial" w:hAnsi="Arial" w:cs="Arial"/>
          <w:b/>
          <w:iCs/>
          <w:sz w:val="22"/>
          <w:szCs w:val="22"/>
          <w:lang w:val="es-ES"/>
        </w:rPr>
        <w:t>Problemática:</w:t>
      </w:r>
      <w:r>
        <w:rPr>
          <w:rStyle w:val="eop"/>
          <w:rFonts w:ascii="Arial" w:eastAsia="MS Mincho" w:hAnsi="Arial" w:cs="Arial"/>
          <w:iCs/>
          <w:sz w:val="22"/>
          <w:szCs w:val="22"/>
          <w:lang w:val="es-ES_tradnl"/>
        </w:rPr>
        <w:t xml:space="preserve"> Se evidenció la utilización de recursos de la participación de Propósito General – Cultura, Deporte y Libre Inversión en contratos cuyos objetos u obligaciones específicas no están acorde con las destinaciones definidas por la ley.</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iCs/>
          <w:sz w:val="22"/>
          <w:szCs w:val="22"/>
          <w:lang w:val="es-ES_tradnl"/>
        </w:rPr>
      </w:pPr>
    </w:p>
    <w:p w:rsidR="0006670C" w:rsidRDefault="0006670C" w:rsidP="0006670C">
      <w:pPr>
        <w:pStyle w:val="paragraph"/>
        <w:spacing w:before="0" w:beforeAutospacing="0" w:after="0" w:afterAutospacing="0"/>
        <w:contextualSpacing/>
        <w:jc w:val="both"/>
        <w:textAlignment w:val="baseline"/>
        <w:rPr>
          <w:rStyle w:val="eop"/>
          <w:rFonts w:eastAsia="MS Mincho"/>
        </w:rPr>
      </w:pPr>
      <w:r>
        <w:rPr>
          <w:rStyle w:val="normaltextrun"/>
          <w:rFonts w:ascii="Arial" w:hAnsi="Arial" w:cs="Arial"/>
          <w:b/>
          <w:iCs/>
          <w:sz w:val="22"/>
          <w:szCs w:val="22"/>
          <w:lang w:val="es-ES"/>
        </w:rPr>
        <w:t>Recomendación:</w:t>
      </w:r>
      <w:r>
        <w:rPr>
          <w:rStyle w:val="eop"/>
          <w:rFonts w:ascii="Arial" w:eastAsia="MS Mincho" w:hAnsi="Arial" w:cs="Arial"/>
          <w:sz w:val="22"/>
          <w:szCs w:val="22"/>
          <w:lang w:val="es-ES_tradnl"/>
        </w:rPr>
        <w:t xml:space="preserve"> Es primordial que el Municipio verifique los gastos que se pueden financiar con los recursos PG: Libre Inversión, Cultura y Deporte, evitando financiar objetos contractuales que soporten actividades de funcionamiento o mantenimiento frecuentes en los cuales la Entidad Territorial deba incurrir para su adecuado funcionamiento. Por lo tanto, se invita a realizar una revisión del documento elaborado por el DNP “</w:t>
      </w:r>
      <w:r>
        <w:rPr>
          <w:rStyle w:val="eop"/>
          <w:rFonts w:ascii="Arial" w:eastAsia="MS Mincho" w:hAnsi="Arial" w:cs="Arial"/>
          <w:i/>
          <w:iCs/>
          <w:sz w:val="22"/>
          <w:szCs w:val="22"/>
          <w:lang w:val="es-ES_tradnl"/>
        </w:rPr>
        <w:t>Orientaciones para la programación y ejecución de los recursos del Sistema General de Participaciones</w:t>
      </w:r>
      <w:r>
        <w:rPr>
          <w:rStyle w:val="eop"/>
          <w:rFonts w:ascii="Arial" w:eastAsia="MS Mincho" w:hAnsi="Arial" w:cs="Arial"/>
          <w:sz w:val="22"/>
          <w:szCs w:val="22"/>
          <w:lang w:val="es-ES_tradnl"/>
        </w:rPr>
        <w:t>” en el cual encontrará de manera específica las actividades que se pueden financiar en cada uno de los sectores de inversión –capítulo 6- y como se informó previamente, se encuentran en el marco de la Ley 715.</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lang w:val="es-ES_tradnl"/>
        </w:rPr>
      </w:pPr>
    </w:p>
    <w:p w:rsidR="0006670C" w:rsidRDefault="0006670C" w:rsidP="0006670C">
      <w:pPr>
        <w:pStyle w:val="paragraph"/>
        <w:spacing w:before="0" w:beforeAutospacing="0" w:after="0" w:afterAutospacing="0"/>
        <w:contextualSpacing/>
        <w:jc w:val="both"/>
        <w:textAlignment w:val="baseline"/>
        <w:rPr>
          <w:rStyle w:val="eop"/>
          <w:rFonts w:ascii="Arial" w:eastAsia="Arial" w:hAnsi="Arial" w:cs="Arial"/>
          <w:color w:val="000000" w:themeColor="text1"/>
          <w:sz w:val="22"/>
          <w:szCs w:val="22"/>
          <w:lang w:val="es-ES_tradnl"/>
        </w:rPr>
      </w:pPr>
      <w:r>
        <w:rPr>
          <w:rStyle w:val="eop"/>
          <w:rFonts w:ascii="Arial" w:eastAsia="MS Mincho" w:hAnsi="Arial" w:cs="Arial"/>
          <w:sz w:val="22"/>
          <w:szCs w:val="22"/>
          <w:lang w:val="es-ES_tradnl"/>
        </w:rPr>
        <w:lastRenderedPageBreak/>
        <w:t xml:space="preserve">El documento se encuentra en el siguiente enlace: </w:t>
      </w:r>
      <w:hyperlink r:id="rId27" w:history="1">
        <w:r>
          <w:rPr>
            <w:rStyle w:val="Hipervnculo"/>
            <w:rFonts w:ascii="Arial" w:eastAsia="MS Mincho" w:hAnsi="Arial" w:cs="Arial"/>
            <w:sz w:val="22"/>
            <w:szCs w:val="22"/>
            <w:lang w:val="es-ES_tradnl"/>
          </w:rPr>
          <w:t>https://colaboracion.dnp.gov.co/CDT/Inversiones%20y%20finanzas%20pblicas/Documentos%20GFT/3.%20Orientaciones%20SGP.pdf</w:t>
        </w:r>
      </w:hyperlink>
      <w:r>
        <w:rPr>
          <w:rStyle w:val="eop"/>
          <w:rFonts w:ascii="Arial" w:eastAsia="MS Mincho" w:hAnsi="Arial" w:cs="Arial"/>
          <w:sz w:val="22"/>
          <w:szCs w:val="22"/>
          <w:lang w:val="es-ES_tradnl"/>
        </w:rPr>
        <w:t xml:space="preserve">.  </w:t>
      </w:r>
    </w:p>
    <w:p w:rsidR="0006670C" w:rsidRDefault="0006670C" w:rsidP="0006670C">
      <w:pPr>
        <w:pStyle w:val="paragraph"/>
        <w:spacing w:before="0" w:beforeAutospacing="0" w:after="0" w:afterAutospacing="0"/>
        <w:contextualSpacing/>
        <w:jc w:val="both"/>
        <w:textAlignment w:val="baseline"/>
        <w:rPr>
          <w:lang w:val="es-ES"/>
        </w:rPr>
      </w:pPr>
    </w:p>
    <w:p w:rsidR="0006670C" w:rsidRDefault="0006670C" w:rsidP="0006670C">
      <w:pPr>
        <w:pStyle w:val="paragraph"/>
        <w:spacing w:before="0" w:beforeAutospacing="0" w:after="0" w:afterAutospacing="0"/>
        <w:contextualSpacing/>
        <w:jc w:val="both"/>
        <w:textAlignment w:val="baseline"/>
        <w:rPr>
          <w:rStyle w:val="normaltextrun"/>
          <w:b/>
          <w:iCs/>
        </w:rPr>
      </w:pPr>
      <w:r>
        <w:rPr>
          <w:rStyle w:val="normaltextrun"/>
          <w:rFonts w:ascii="Arial" w:hAnsi="Arial" w:cs="Arial"/>
          <w:b/>
          <w:iCs/>
          <w:sz w:val="22"/>
          <w:szCs w:val="22"/>
          <w:lang w:val="es-ES"/>
        </w:rPr>
        <w:t>Institucional.</w:t>
      </w: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i/>
          <w:iCs/>
          <w:sz w:val="22"/>
          <w:szCs w:val="22"/>
          <w:lang w:val="es-ES"/>
        </w:rPr>
      </w:pPr>
    </w:p>
    <w:p w:rsidR="0006670C" w:rsidRDefault="0006670C" w:rsidP="0006670C">
      <w:pPr>
        <w:pStyle w:val="paragraph"/>
        <w:spacing w:before="0" w:beforeAutospacing="0" w:after="0" w:afterAutospacing="0"/>
        <w:contextualSpacing/>
        <w:jc w:val="both"/>
        <w:textAlignment w:val="baseline"/>
        <w:rPr>
          <w:rStyle w:val="normaltextrun"/>
          <w:rFonts w:ascii="Arial" w:hAnsi="Arial" w:cs="Arial"/>
          <w:b/>
          <w:iCs/>
          <w:sz w:val="22"/>
          <w:szCs w:val="22"/>
          <w:lang w:val="es-ES"/>
        </w:rPr>
      </w:pPr>
      <w:r>
        <w:rPr>
          <w:rStyle w:val="normaltextrun"/>
          <w:rFonts w:ascii="Arial" w:hAnsi="Arial" w:cs="Arial"/>
          <w:b/>
          <w:iCs/>
          <w:sz w:val="22"/>
          <w:szCs w:val="22"/>
          <w:lang w:val="es-ES"/>
        </w:rPr>
        <w:t>Objetivo:</w:t>
      </w:r>
    </w:p>
    <w:p w:rsidR="0006670C" w:rsidRDefault="0006670C" w:rsidP="0006670C">
      <w:pPr>
        <w:pStyle w:val="paragraph"/>
        <w:spacing w:before="0" w:beforeAutospacing="0" w:after="0" w:afterAutospacing="0"/>
        <w:ind w:left="142"/>
        <w:contextualSpacing/>
        <w:jc w:val="both"/>
        <w:textAlignment w:val="baseline"/>
        <w:rPr>
          <w:rStyle w:val="normaltextrun"/>
          <w:rFonts w:ascii="Arial" w:hAnsi="Arial" w:cs="Arial"/>
          <w:sz w:val="22"/>
          <w:szCs w:val="22"/>
          <w:lang w:val="es-ES"/>
        </w:rPr>
      </w:pPr>
    </w:p>
    <w:p w:rsidR="0006670C" w:rsidRDefault="0006670C" w:rsidP="0006670C">
      <w:pPr>
        <w:pStyle w:val="paragraph"/>
        <w:numPr>
          <w:ilvl w:val="0"/>
          <w:numId w:val="44"/>
        </w:numPr>
        <w:spacing w:before="0" w:beforeAutospacing="0" w:after="0" w:afterAutospacing="0"/>
        <w:contextualSpacing/>
        <w:jc w:val="both"/>
        <w:textAlignment w:val="baseline"/>
        <w:rPr>
          <w:rStyle w:val="normaltextrun"/>
          <w:rFonts w:eastAsia="MS Mincho"/>
        </w:rPr>
      </w:pPr>
      <w:r>
        <w:rPr>
          <w:rStyle w:val="normaltextrun"/>
          <w:rFonts w:ascii="Arial" w:hAnsi="Arial" w:cs="Arial"/>
          <w:sz w:val="22"/>
          <w:szCs w:val="22"/>
          <w:lang w:val="es-ES"/>
        </w:rPr>
        <w:t xml:space="preserve">Robustecer la articulación de las herramientas de planificación, seguimiento y evaluación del ciclo de la inversión pública del Municipio – PDT, Plan Indicativo, POAI, Banco de Programas y Proyectos- con el fin de asegurar una consistencia entre lo planeado, programado y ejecutado. </w:t>
      </w:r>
    </w:p>
    <w:p w:rsidR="0006670C" w:rsidRDefault="0006670C" w:rsidP="0006670C">
      <w:pPr>
        <w:pStyle w:val="paragraph"/>
        <w:numPr>
          <w:ilvl w:val="0"/>
          <w:numId w:val="44"/>
        </w:numPr>
        <w:spacing w:before="0" w:beforeAutospacing="0" w:after="0" w:afterAutospacing="0"/>
        <w:contextualSpacing/>
        <w:jc w:val="both"/>
        <w:textAlignment w:val="baseline"/>
        <w:rPr>
          <w:rStyle w:val="eop"/>
          <w:rFonts w:eastAsia="MS Mincho"/>
        </w:rPr>
      </w:pPr>
      <w:r>
        <w:rPr>
          <w:rStyle w:val="normaltextrun"/>
          <w:rFonts w:ascii="Arial" w:hAnsi="Arial" w:cs="Arial"/>
          <w:sz w:val="22"/>
          <w:szCs w:val="22"/>
          <w:lang w:val="es-ES"/>
        </w:rPr>
        <w:t>Fortalecer el desarrollo de los proyectos de inversión en todas las operaciones y procesos del ciclo del proyecto: formulación, presentación, transferencia, viabilidad, programación presupuestal, ejecución, operación y evaluación posterior, particularmente de los recursos de la Participación de Propósito General y sus destinaciones.</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rPr>
      </w:pPr>
    </w:p>
    <w:p w:rsidR="0006670C" w:rsidRDefault="0006670C" w:rsidP="0006670C">
      <w:pPr>
        <w:pStyle w:val="paragraph"/>
        <w:spacing w:before="0" w:beforeAutospacing="0" w:after="0" w:afterAutospacing="0"/>
        <w:contextualSpacing/>
        <w:jc w:val="both"/>
        <w:textAlignment w:val="baseline"/>
        <w:rPr>
          <w:iCs/>
        </w:rPr>
      </w:pPr>
      <w:r>
        <w:rPr>
          <w:rStyle w:val="normaltextrun"/>
          <w:rFonts w:ascii="Arial" w:hAnsi="Arial" w:cs="Arial"/>
          <w:b/>
          <w:iCs/>
          <w:sz w:val="22"/>
          <w:szCs w:val="22"/>
          <w:lang w:val="es-ES"/>
        </w:rPr>
        <w:t>Problemática:</w:t>
      </w:r>
      <w:r>
        <w:rPr>
          <w:rStyle w:val="eop"/>
          <w:rFonts w:ascii="Arial" w:eastAsia="MS Mincho" w:hAnsi="Arial" w:cs="Arial"/>
          <w:iCs/>
          <w:sz w:val="22"/>
          <w:szCs w:val="22"/>
          <w:lang w:val="es-ES_tradnl"/>
        </w:rPr>
        <w:t xml:space="preserve"> Se identificó </w:t>
      </w:r>
      <w:r>
        <w:rPr>
          <w:rFonts w:ascii="Arial" w:hAnsi="Arial" w:cs="Arial"/>
          <w:iCs/>
          <w:sz w:val="22"/>
          <w:szCs w:val="22"/>
        </w:rPr>
        <w:t>el incumplimiento de metas por año, lo que llevo a reprogramar las metas y la cantidad de recursos asociados. En el Plan Indicativo cargado a SIEE se encontraron ciertas irregularidades y falencias entre lo programado y lo ejecutado.</w:t>
      </w:r>
    </w:p>
    <w:p w:rsidR="0006670C" w:rsidRDefault="0006670C" w:rsidP="0006670C">
      <w:pPr>
        <w:pStyle w:val="paragraph"/>
        <w:spacing w:before="0" w:beforeAutospacing="0" w:after="0" w:afterAutospacing="0"/>
        <w:contextualSpacing/>
        <w:jc w:val="both"/>
        <w:textAlignment w:val="baseline"/>
        <w:rPr>
          <w:rFonts w:ascii="Arial" w:hAnsi="Arial" w:cs="Arial"/>
          <w:iCs/>
          <w:sz w:val="22"/>
          <w:szCs w:val="22"/>
        </w:rPr>
      </w:pPr>
    </w:p>
    <w:p w:rsidR="0006670C" w:rsidRDefault="0006670C" w:rsidP="0006670C">
      <w:pPr>
        <w:pStyle w:val="paragraph"/>
        <w:spacing w:before="0" w:beforeAutospacing="0" w:after="0" w:afterAutospacing="0"/>
        <w:contextualSpacing/>
        <w:jc w:val="both"/>
        <w:textAlignment w:val="baseline"/>
        <w:rPr>
          <w:rStyle w:val="eop"/>
          <w:rFonts w:eastAsia="MS Mincho"/>
          <w:lang w:val="es-ES_tradnl"/>
        </w:rPr>
      </w:pPr>
      <w:r>
        <w:rPr>
          <w:rFonts w:ascii="Arial" w:hAnsi="Arial" w:cs="Arial"/>
          <w:iCs/>
          <w:sz w:val="22"/>
          <w:szCs w:val="22"/>
        </w:rPr>
        <w:t>También se mencionó que existen proyectos que no están asociados a un código BPIN. Lo anterior, debido a que no existe el respectivo Banco de Programas y Proyectos de Inversión según lo informa el DNP. Se resaltaron los errores en la información cargada al SIEE por medio del Plan Indicativo.</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iCs/>
          <w:sz w:val="22"/>
          <w:szCs w:val="22"/>
          <w:lang w:val="es-ES_tradnl"/>
        </w:rPr>
      </w:pPr>
    </w:p>
    <w:p w:rsidR="0006670C" w:rsidRDefault="0006670C" w:rsidP="0006670C">
      <w:pPr>
        <w:pStyle w:val="paragraph"/>
        <w:spacing w:before="0" w:beforeAutospacing="0" w:after="0" w:afterAutospacing="0"/>
        <w:contextualSpacing/>
        <w:jc w:val="both"/>
        <w:textAlignment w:val="baseline"/>
        <w:rPr>
          <w:rStyle w:val="eop"/>
          <w:rFonts w:eastAsia="MS Mincho"/>
        </w:rPr>
      </w:pPr>
      <w:r>
        <w:rPr>
          <w:rStyle w:val="normaltextrun"/>
          <w:rFonts w:ascii="Arial" w:hAnsi="Arial" w:cs="Arial"/>
          <w:b/>
          <w:iCs/>
          <w:sz w:val="22"/>
          <w:szCs w:val="22"/>
          <w:lang w:val="es-ES"/>
        </w:rPr>
        <w:t>Recomendación:</w:t>
      </w:r>
      <w:r>
        <w:rPr>
          <w:rStyle w:val="eop"/>
          <w:rFonts w:ascii="Arial" w:eastAsia="MS Mincho" w:hAnsi="Arial" w:cs="Arial"/>
          <w:sz w:val="22"/>
          <w:szCs w:val="22"/>
          <w:lang w:val="es-ES"/>
        </w:rPr>
        <w:t xml:space="preserve"> </w:t>
      </w:r>
      <w:r>
        <w:rPr>
          <w:rStyle w:val="eop"/>
          <w:rFonts w:ascii="Arial" w:eastAsia="MS Mincho" w:hAnsi="Arial" w:cs="Arial"/>
          <w:sz w:val="22"/>
          <w:szCs w:val="22"/>
        </w:rPr>
        <w:t>El proceso de Fortalecimiento y articulación de las herramientas de planificación debe verse reflejado en un adecuado y oportuno reporte al Sistema de Información para la Evaluación de la Eficacia - SIEE. Es importante recordar, que los lineamientos, plazos y procedimientos para realizar dicho reporte se encuentran ubicados en la página del portal territorial del DNP (</w:t>
      </w:r>
      <w:hyperlink r:id="rId28" w:history="1">
        <w:r>
          <w:rPr>
            <w:rStyle w:val="Hipervnculo"/>
            <w:rFonts w:ascii="Arial" w:eastAsia="MS Mincho" w:hAnsi="Arial" w:cs="Arial"/>
            <w:sz w:val="22"/>
            <w:szCs w:val="22"/>
          </w:rPr>
          <w:t>https://portalterritorial.dnp.gov.co/PDT/</w:t>
        </w:r>
      </w:hyperlink>
      <w:r>
        <w:rPr>
          <w:rStyle w:val="eop"/>
          <w:rFonts w:ascii="Arial" w:eastAsia="MS Mincho" w:hAnsi="Arial" w:cs="Arial"/>
          <w:sz w:val="22"/>
          <w:szCs w:val="22"/>
        </w:rPr>
        <w:t>); dicha herramienta permite hacer seguimiento a los planes de desarrollo territorial y a su vez refleja el trabajo institucional realizado por el Municipio.</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rPr>
      </w:pP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rPr>
      </w:pPr>
      <w:r>
        <w:rPr>
          <w:rStyle w:val="eop"/>
          <w:rFonts w:ascii="Arial" w:eastAsia="MS Mincho" w:hAnsi="Arial" w:cs="Arial"/>
          <w:sz w:val="22"/>
          <w:szCs w:val="22"/>
        </w:rPr>
        <w:t>Es fundamental que el Municipio tenga muy clara la articulación entre la planificación de la inversión pública y la programación presupuestal, por lo tanto, a continuación, se presenta un esquema que refleja la estructuración que existe entre dichos procesos y que es importante que el Municipio lo tenga en cuenta al momento de planificar y ejecutar los recursos de SGP-PG:</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rPr>
      </w:pPr>
    </w:p>
    <w:p w:rsidR="0006670C" w:rsidRDefault="0006670C" w:rsidP="0006670C">
      <w:pPr>
        <w:pStyle w:val="paragraph"/>
        <w:spacing w:before="0" w:beforeAutospacing="0" w:after="0" w:afterAutospacing="0"/>
        <w:contextualSpacing/>
        <w:jc w:val="center"/>
        <w:textAlignment w:val="baseline"/>
        <w:rPr>
          <w:rStyle w:val="eop"/>
          <w:rFonts w:ascii="Arial" w:eastAsia="MS Mincho" w:hAnsi="Arial" w:cs="Arial"/>
          <w:sz w:val="22"/>
          <w:szCs w:val="22"/>
        </w:rPr>
      </w:pPr>
      <w:r>
        <w:rPr>
          <w:noProof/>
        </w:rPr>
        <w:lastRenderedPageBreak/>
        <w:drawing>
          <wp:inline distT="0" distB="0" distL="0" distR="0">
            <wp:extent cx="5038725" cy="71437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38725" cy="7143750"/>
                    </a:xfrm>
                    <a:prstGeom prst="rect">
                      <a:avLst/>
                    </a:prstGeom>
                    <a:noFill/>
                    <a:ln>
                      <a:noFill/>
                    </a:ln>
                  </pic:spPr>
                </pic:pic>
              </a:graphicData>
            </a:graphic>
          </wp:inline>
        </w:drawing>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rPr>
      </w:pP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rPr>
      </w:pPr>
      <w:r>
        <w:rPr>
          <w:rStyle w:val="eop"/>
          <w:rFonts w:ascii="Arial" w:eastAsia="MS Mincho" w:hAnsi="Arial" w:cs="Arial"/>
          <w:sz w:val="22"/>
          <w:szCs w:val="22"/>
        </w:rPr>
        <w:t xml:space="preserve">Como bien se muestra en la imagen anterior, el Municipio debe propender por cumplir a cabalidad todo el ciclo de la inversión pública. Lo anterior, implica disponer de los instrumentos de planeación necesarios, entre ellos, el Banco de Programas y Proyectos municipal. Para ello, </w:t>
      </w:r>
      <w:r>
        <w:rPr>
          <w:rStyle w:val="eop"/>
          <w:rFonts w:ascii="Arial" w:eastAsia="MS Mincho" w:hAnsi="Arial" w:cs="Arial"/>
          <w:sz w:val="22"/>
          <w:szCs w:val="22"/>
        </w:rPr>
        <w:lastRenderedPageBreak/>
        <w:t>recuerde que el DNP dispone de un Portal Territorial que es una plataforma que promueve la gestión de conocimiento, brindando diferentes herramientas y guías metodológicas que le permiten robustecer su proceso de planificación y programación.</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rPr>
      </w:pPr>
    </w:p>
    <w:p w:rsidR="0006670C" w:rsidRDefault="0006670C" w:rsidP="0006670C">
      <w:pPr>
        <w:jc w:val="both"/>
        <w:rPr>
          <w:rFonts w:eastAsia="Times New Roman"/>
          <w:lang w:val="es-CO" w:eastAsia="es-CO"/>
        </w:rPr>
      </w:pPr>
      <w:r>
        <w:rPr>
          <w:rStyle w:val="eop"/>
          <w:rFonts w:ascii="Arial" w:hAnsi="Arial" w:cs="Arial"/>
          <w:sz w:val="22"/>
          <w:szCs w:val="22"/>
        </w:rPr>
        <w:t xml:space="preserve">Acceda al Portal Territorial a través del siguiente enlace: </w:t>
      </w:r>
      <w:hyperlink r:id="rId30" w:tgtFrame="_blank" w:tooltip="https://portalterritorial.dnp.gov.co/kpt/" w:history="1">
        <w:r>
          <w:rPr>
            <w:rStyle w:val="Hipervnculo"/>
            <w:rFonts w:ascii="Arial" w:eastAsia="Times New Roman" w:hAnsi="Arial" w:cs="Arial"/>
            <w:sz w:val="22"/>
            <w:szCs w:val="22"/>
            <w:lang w:val="es-CO" w:eastAsia="es-CO"/>
          </w:rPr>
          <w:t>https://portalterritorial.dnp.gov.co/kpt/</w:t>
        </w:r>
      </w:hyperlink>
    </w:p>
    <w:p w:rsidR="0006670C" w:rsidRDefault="0006670C" w:rsidP="0006670C">
      <w:pPr>
        <w:jc w:val="both"/>
        <w:rPr>
          <w:rFonts w:ascii="Arial" w:eastAsia="Times New Roman" w:hAnsi="Arial" w:cs="Arial"/>
          <w:sz w:val="22"/>
          <w:szCs w:val="22"/>
          <w:lang w:val="es-CO" w:eastAsia="es-CO"/>
        </w:rPr>
      </w:pPr>
    </w:p>
    <w:p w:rsidR="0006670C" w:rsidRDefault="0006670C" w:rsidP="0006670C">
      <w:pPr>
        <w:jc w:val="both"/>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Acceda a la Biblioteca del Portal Territorial a través del siguiente enlace: </w:t>
      </w:r>
      <w:hyperlink r:id="rId31" w:tgtFrame="_blank" w:tooltip="https://portalterritorial.dnp.gov.co/admbiblioteca/bibliotecalista?grupoid=4" w:history="1">
        <w:r>
          <w:rPr>
            <w:rStyle w:val="Hipervnculo"/>
            <w:rFonts w:ascii="Arial" w:eastAsia="Times New Roman" w:hAnsi="Arial" w:cs="Arial"/>
            <w:sz w:val="22"/>
            <w:szCs w:val="22"/>
            <w:lang w:val="es-CO" w:eastAsia="es-CO"/>
          </w:rPr>
          <w:t>https://portalterritorial.dnp.gov.co/AdmBiblioteca/BibliotecaLista?grupoId=4</w:t>
        </w:r>
      </w:hyperlink>
    </w:p>
    <w:p w:rsidR="0006670C" w:rsidRDefault="0006670C" w:rsidP="0006670C">
      <w:pPr>
        <w:jc w:val="both"/>
        <w:rPr>
          <w:rFonts w:ascii="Arial" w:eastAsia="Times New Roman" w:hAnsi="Arial" w:cs="Arial"/>
          <w:sz w:val="22"/>
          <w:szCs w:val="22"/>
          <w:lang w:val="es-CO" w:eastAsia="es-CO"/>
        </w:rPr>
      </w:pPr>
    </w:p>
    <w:p w:rsidR="0006670C" w:rsidRDefault="0006670C" w:rsidP="0006670C">
      <w:pPr>
        <w:jc w:val="both"/>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Acceda al Kit Territorial a través del siguiente enlace: </w:t>
      </w:r>
      <w:hyperlink r:id="rId32" w:tgtFrame="_blank" w:tooltip="https://portalterritorial.dnp.gov.co/kpt/" w:history="1">
        <w:r>
          <w:rPr>
            <w:rStyle w:val="Hipervnculo"/>
            <w:rFonts w:ascii="Arial" w:eastAsia="Times New Roman" w:hAnsi="Arial" w:cs="Arial"/>
            <w:sz w:val="22"/>
            <w:szCs w:val="22"/>
            <w:lang w:val="es-CO" w:eastAsia="es-CO"/>
          </w:rPr>
          <w:t>https://portalterritorial.dnp.gov.co/kpt/</w:t>
        </w:r>
      </w:hyperlink>
    </w:p>
    <w:p w:rsidR="0006670C" w:rsidRDefault="0006670C" w:rsidP="0006670C">
      <w:pPr>
        <w:jc w:val="both"/>
        <w:rPr>
          <w:rFonts w:ascii="Arial" w:eastAsia="Times New Roman" w:hAnsi="Arial" w:cs="Arial"/>
          <w:sz w:val="22"/>
          <w:szCs w:val="22"/>
          <w:lang w:val="es-CO" w:eastAsia="es-CO"/>
        </w:rPr>
      </w:pPr>
    </w:p>
    <w:p w:rsidR="0006670C" w:rsidRDefault="0006670C" w:rsidP="0006670C">
      <w:pPr>
        <w:jc w:val="both"/>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Acceda al Manual De Usuario SIEE a través del siguiente enlace: </w:t>
      </w:r>
      <w:hyperlink r:id="rId33" w:tgtFrame="_blank" w:tooltip="https://colaboracion.dnp.gov.co/cdt/desarrollo%20territorial/pdt/siee%20-%20manual%20de%20usuario.pdf" w:history="1">
        <w:r>
          <w:rPr>
            <w:rStyle w:val="Hipervnculo"/>
            <w:rFonts w:ascii="Arial" w:eastAsia="Times New Roman" w:hAnsi="Arial" w:cs="Arial"/>
            <w:sz w:val="22"/>
            <w:szCs w:val="22"/>
            <w:lang w:val="es-CO" w:eastAsia="es-CO"/>
          </w:rPr>
          <w:t>https://colaboracion.dnp.gov.co/CDT/Desarrollo%20Territorial/PDT/SIEE%20-%20Manual%20de%20Usuario.pdf</w:t>
        </w:r>
      </w:hyperlink>
    </w:p>
    <w:p w:rsidR="0006670C" w:rsidRDefault="0006670C" w:rsidP="0006670C">
      <w:pPr>
        <w:pStyle w:val="paragraph"/>
        <w:spacing w:before="0" w:beforeAutospacing="0" w:after="0" w:afterAutospacing="0"/>
        <w:contextualSpacing/>
        <w:jc w:val="both"/>
        <w:textAlignment w:val="baseline"/>
        <w:rPr>
          <w:rStyle w:val="eop"/>
          <w:rFonts w:eastAsia="MS Mincho"/>
          <w:lang w:val="es-ES" w:eastAsia="es-ES"/>
        </w:rPr>
      </w:pP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rPr>
      </w:pPr>
      <w:r>
        <w:rPr>
          <w:rStyle w:val="eop"/>
          <w:rFonts w:ascii="Arial" w:eastAsia="MS Mincho" w:hAnsi="Arial" w:cs="Arial"/>
          <w:sz w:val="22"/>
          <w:szCs w:val="22"/>
        </w:rPr>
        <w:t>En importante resaltar, que las recomendaciones y productos brindados anteriormente pretenden ser un apoyo para la Alcaldía Municipal y reforzar los procesos y superar las debilidades que se identificaron.</w:t>
      </w:r>
    </w:p>
    <w:p w:rsidR="0006670C" w:rsidRDefault="0006670C" w:rsidP="0006670C">
      <w:pPr>
        <w:pStyle w:val="paragraph"/>
        <w:spacing w:before="0" w:beforeAutospacing="0" w:after="0" w:afterAutospacing="0"/>
        <w:contextualSpacing/>
        <w:jc w:val="both"/>
        <w:textAlignment w:val="baseline"/>
        <w:rPr>
          <w:rStyle w:val="eop"/>
          <w:rFonts w:ascii="Arial" w:eastAsia="MS Mincho" w:hAnsi="Arial" w:cs="Arial"/>
          <w:sz w:val="22"/>
          <w:szCs w:val="22"/>
        </w:rPr>
      </w:pPr>
    </w:p>
    <w:p w:rsidR="0006670C" w:rsidRDefault="0006670C" w:rsidP="0006670C">
      <w:pPr>
        <w:jc w:val="both"/>
        <w:rPr>
          <w:rFonts w:eastAsiaTheme="minorHAnsi"/>
          <w:lang w:val="es-CO" w:eastAsia="es-CO"/>
        </w:rPr>
      </w:pPr>
      <w:r>
        <w:rPr>
          <w:rStyle w:val="eop"/>
          <w:rFonts w:ascii="Arial" w:hAnsi="Arial" w:cs="Arial"/>
          <w:sz w:val="22"/>
          <w:szCs w:val="22"/>
        </w:rPr>
        <w:t>Sin embargo, debe tenerse presente que esta Dirección en cualquier momento podrá desarrollar sus actividades de seguimiento enmarcadas en el Decreto 028 de 2008; lo anterior, sobre situaciones de riesgo evidenciadas en este informe o cualquier otra situación que evidencie un riesgo en la</w:t>
      </w:r>
      <w:r>
        <w:rPr>
          <w:rFonts w:ascii="Arial" w:hAnsi="Arial" w:cs="Arial"/>
          <w:sz w:val="22"/>
          <w:szCs w:val="22"/>
        </w:rPr>
        <w:t xml:space="preserve"> calidad del gasto, la administración y uso de los recursos de la Participación de Propósito General del Sistema General de Participaciones.</w:t>
      </w:r>
    </w:p>
    <w:p w:rsidR="0006670C" w:rsidRDefault="0006670C" w:rsidP="0006670C">
      <w:pPr>
        <w:jc w:val="both"/>
        <w:rPr>
          <w:rFonts w:eastAsiaTheme="minorHAnsi"/>
          <w:lang w:val="es-CO" w:eastAsia="es-CO"/>
        </w:rPr>
      </w:pPr>
    </w:p>
    <w:p w:rsidR="0006670C" w:rsidRDefault="0006670C" w:rsidP="0006670C">
      <w:pPr>
        <w:jc w:val="both"/>
        <w:rPr>
          <w:rFonts w:eastAsiaTheme="minorHAnsi"/>
          <w:lang w:val="es-CO" w:eastAsia="es-CO"/>
        </w:rPr>
      </w:pPr>
    </w:p>
    <w:p w:rsidR="0006670C" w:rsidRDefault="0006670C" w:rsidP="0006670C">
      <w:pPr>
        <w:pStyle w:val="paragraph"/>
        <w:spacing w:before="0" w:beforeAutospacing="0" w:after="0" w:afterAutospacing="0"/>
        <w:contextualSpacing/>
        <w:jc w:val="both"/>
        <w:textAlignment w:val="baseline"/>
        <w:rPr>
          <w:rFonts w:ascii="Arial" w:hAnsi="Arial" w:cs="Arial"/>
          <w:sz w:val="22"/>
          <w:szCs w:val="22"/>
          <w:lang w:val="es-ES"/>
        </w:rPr>
      </w:pPr>
    </w:p>
    <w:p w:rsidR="0006670C" w:rsidRDefault="0006670C" w:rsidP="0006670C">
      <w:pPr>
        <w:pStyle w:val="paragraph"/>
        <w:spacing w:before="0" w:beforeAutospacing="0" w:after="0" w:afterAutospacing="0"/>
        <w:contextualSpacing/>
        <w:jc w:val="both"/>
        <w:textAlignment w:val="baseline"/>
        <w:rPr>
          <w:rFonts w:ascii="Arial" w:hAnsi="Arial" w:cs="Arial"/>
          <w:sz w:val="22"/>
          <w:szCs w:val="22"/>
          <w:lang w:val="es-ES"/>
        </w:rPr>
      </w:pPr>
    </w:p>
    <w:p w:rsidR="0006670C" w:rsidRDefault="0006670C" w:rsidP="0006670C">
      <w:pPr>
        <w:jc w:val="both"/>
        <w:rPr>
          <w:rFonts w:ascii="Arial" w:hAnsi="Arial" w:cs="Arial"/>
          <w:b/>
          <w:sz w:val="16"/>
          <w:szCs w:val="16"/>
        </w:rPr>
      </w:pPr>
      <w:r>
        <w:rPr>
          <w:rFonts w:ascii="Arial" w:hAnsi="Arial" w:cs="Arial"/>
          <w:b/>
          <w:sz w:val="16"/>
          <w:szCs w:val="16"/>
        </w:rPr>
        <w:t xml:space="preserve">APROBÓ: </w:t>
      </w:r>
      <w:r>
        <w:rPr>
          <w:rFonts w:ascii="Arial" w:hAnsi="Arial" w:cs="Arial"/>
          <w:sz w:val="16"/>
          <w:szCs w:val="16"/>
        </w:rPr>
        <w:t>Fernando Olivera</w:t>
      </w:r>
      <w:r>
        <w:rPr>
          <w:rFonts w:ascii="Arial" w:hAnsi="Arial" w:cs="Arial"/>
          <w:b/>
          <w:sz w:val="16"/>
          <w:szCs w:val="16"/>
        </w:rPr>
        <w:t xml:space="preserve"> </w:t>
      </w:r>
    </w:p>
    <w:p w:rsidR="0006670C" w:rsidRDefault="0006670C" w:rsidP="0006670C">
      <w:pPr>
        <w:jc w:val="both"/>
        <w:rPr>
          <w:rFonts w:ascii="Arial" w:hAnsi="Arial" w:cs="Arial"/>
          <w:b/>
          <w:sz w:val="16"/>
          <w:szCs w:val="16"/>
        </w:rPr>
      </w:pPr>
      <w:r>
        <w:rPr>
          <w:rFonts w:ascii="Arial" w:hAnsi="Arial" w:cs="Arial"/>
          <w:b/>
          <w:sz w:val="16"/>
          <w:szCs w:val="16"/>
        </w:rPr>
        <w:t xml:space="preserve">REVISIÓN JURÍDICA: </w:t>
      </w:r>
      <w:r>
        <w:rPr>
          <w:rFonts w:ascii="Arial" w:hAnsi="Arial" w:cs="Arial"/>
          <w:sz w:val="16"/>
          <w:szCs w:val="16"/>
        </w:rPr>
        <w:t>Carlos Barona</w:t>
      </w:r>
      <w:r>
        <w:rPr>
          <w:rFonts w:ascii="Arial" w:hAnsi="Arial" w:cs="Arial"/>
          <w:b/>
          <w:sz w:val="16"/>
          <w:szCs w:val="16"/>
        </w:rPr>
        <w:t xml:space="preserve"> </w:t>
      </w:r>
    </w:p>
    <w:p w:rsidR="0006670C" w:rsidRDefault="0006670C" w:rsidP="0006670C">
      <w:pPr>
        <w:jc w:val="both"/>
        <w:rPr>
          <w:rFonts w:ascii="Arial" w:hAnsi="Arial" w:cs="Arial"/>
          <w:b/>
          <w:sz w:val="16"/>
          <w:szCs w:val="16"/>
        </w:rPr>
      </w:pPr>
      <w:r>
        <w:rPr>
          <w:rFonts w:ascii="Arial" w:hAnsi="Arial" w:cs="Arial"/>
          <w:b/>
          <w:sz w:val="16"/>
          <w:szCs w:val="16"/>
        </w:rPr>
        <w:t xml:space="preserve">REVISIÓN TÉCNICA: </w:t>
      </w:r>
      <w:r>
        <w:rPr>
          <w:rFonts w:ascii="Arial" w:hAnsi="Arial" w:cs="Arial"/>
          <w:sz w:val="16"/>
          <w:szCs w:val="16"/>
        </w:rPr>
        <w:t>Carlos Mendoza</w:t>
      </w:r>
      <w:r>
        <w:rPr>
          <w:rFonts w:ascii="Arial" w:hAnsi="Arial" w:cs="Arial"/>
          <w:b/>
          <w:color w:val="FF0000"/>
          <w:sz w:val="16"/>
          <w:szCs w:val="16"/>
        </w:rPr>
        <w:t xml:space="preserve"> </w:t>
      </w:r>
    </w:p>
    <w:p w:rsidR="0006670C" w:rsidRDefault="0006670C" w:rsidP="0006670C">
      <w:pPr>
        <w:jc w:val="both"/>
        <w:rPr>
          <w:rFonts w:ascii="Arial" w:hAnsi="Arial" w:cs="Arial"/>
          <w:sz w:val="16"/>
          <w:szCs w:val="16"/>
        </w:rPr>
      </w:pPr>
      <w:r>
        <w:rPr>
          <w:rFonts w:ascii="Arial" w:hAnsi="Arial" w:cs="Arial"/>
          <w:b/>
          <w:sz w:val="16"/>
          <w:szCs w:val="16"/>
        </w:rPr>
        <w:t xml:space="preserve">ELABORÓ: </w:t>
      </w:r>
      <w:r>
        <w:rPr>
          <w:rFonts w:ascii="Arial" w:hAnsi="Arial" w:cs="Arial"/>
          <w:sz w:val="16"/>
          <w:szCs w:val="16"/>
        </w:rPr>
        <w:t>Luisa Corredor</w:t>
      </w:r>
    </w:p>
    <w:p w:rsidR="0006670C" w:rsidRDefault="0006670C" w:rsidP="0006670C">
      <w:pPr>
        <w:spacing w:after="160" w:line="256" w:lineRule="auto"/>
        <w:rPr>
          <w:rFonts w:ascii="Arial" w:hAnsi="Arial" w:cs="Arial"/>
          <w:sz w:val="22"/>
          <w:szCs w:val="22"/>
        </w:rPr>
      </w:pPr>
      <w:r>
        <w:rPr>
          <w:rFonts w:ascii="Arial" w:hAnsi="Arial" w:cs="Arial"/>
          <w:sz w:val="22"/>
          <w:szCs w:val="22"/>
        </w:rPr>
        <w:br w:type="page"/>
      </w:r>
    </w:p>
    <w:p w:rsidR="0006670C" w:rsidRDefault="0006670C" w:rsidP="0006670C">
      <w:pPr>
        <w:rPr>
          <w:rFonts w:ascii="Arial" w:hAnsi="Arial" w:cs="Arial"/>
          <w:sz w:val="22"/>
          <w:szCs w:val="22"/>
        </w:rPr>
      </w:pPr>
    </w:p>
    <w:p w:rsidR="0006670C" w:rsidRDefault="0006670C" w:rsidP="0006670C">
      <w:pPr>
        <w:rPr>
          <w:rFonts w:ascii="Arial" w:hAnsi="Arial" w:cs="Arial"/>
          <w:b/>
          <w:sz w:val="22"/>
          <w:szCs w:val="22"/>
        </w:rPr>
      </w:pPr>
      <w:r>
        <w:rPr>
          <w:rFonts w:ascii="Arial" w:hAnsi="Arial" w:cs="Arial"/>
          <w:b/>
          <w:sz w:val="22"/>
          <w:szCs w:val="22"/>
        </w:rPr>
        <w:t>Anexo 1</w:t>
      </w:r>
    </w:p>
    <w:p w:rsidR="0006670C" w:rsidRDefault="0006670C" w:rsidP="0006670C">
      <w:pPr>
        <w:rPr>
          <w:rFonts w:ascii="Arial" w:hAnsi="Arial" w:cs="Arial"/>
          <w:sz w:val="22"/>
          <w:szCs w:val="22"/>
        </w:rPr>
      </w:pPr>
    </w:p>
    <w:p w:rsidR="0006670C" w:rsidRDefault="0006670C" w:rsidP="0006670C">
      <w:pPr>
        <w:rPr>
          <w:rFonts w:ascii="Arial" w:hAnsi="Arial" w:cs="Arial"/>
          <w:sz w:val="22"/>
          <w:szCs w:val="22"/>
        </w:rPr>
      </w:pPr>
    </w:p>
    <w:p w:rsidR="0006670C" w:rsidRDefault="0006670C" w:rsidP="0006670C">
      <w:pPr>
        <w:rPr>
          <w:rFonts w:ascii="Arial" w:hAnsi="Arial" w:cs="Arial"/>
          <w:sz w:val="22"/>
          <w:szCs w:val="22"/>
        </w:rPr>
      </w:pPr>
      <w:r>
        <w:rPr>
          <w:rFonts w:ascii="Arial" w:hAnsi="Arial" w:cs="Arial"/>
          <w:b/>
          <w:sz w:val="22"/>
          <w:szCs w:val="22"/>
        </w:rPr>
        <w:t>Tendencias del Gasto financiado con recursos de SGP-Propósito General</w:t>
      </w:r>
    </w:p>
    <w:p w:rsidR="0006670C" w:rsidRDefault="0006670C" w:rsidP="0006670C">
      <w:pPr>
        <w:jc w:val="center"/>
        <w:rPr>
          <w:rFonts w:ascii="Arial" w:hAnsi="Arial" w:cs="Arial"/>
          <w:b/>
          <w:sz w:val="18"/>
          <w:szCs w:val="18"/>
          <w:lang w:val="es-CO"/>
        </w:rPr>
      </w:pPr>
    </w:p>
    <w:p w:rsidR="0006670C" w:rsidRDefault="0006670C" w:rsidP="0006670C">
      <w:pPr>
        <w:jc w:val="center"/>
        <w:rPr>
          <w:rFonts w:ascii="Arial" w:hAnsi="Arial" w:cs="Arial"/>
          <w:sz w:val="18"/>
          <w:szCs w:val="18"/>
          <w:lang w:val="es-CO"/>
        </w:rPr>
      </w:pPr>
      <w:r>
        <w:rPr>
          <w:rFonts w:ascii="Arial" w:hAnsi="Arial" w:cs="Arial"/>
          <w:sz w:val="18"/>
          <w:szCs w:val="18"/>
          <w:lang w:val="es-CO"/>
        </w:rPr>
        <w:t xml:space="preserve">Análisis de la ejecución de Gastos de Libre Inversión, Propósito General. Vigencias 2018 - 2020, </w:t>
      </w:r>
      <w:r>
        <w:rPr>
          <w:rFonts w:ascii="Arial" w:hAnsi="Arial" w:cs="Arial"/>
          <w:sz w:val="18"/>
          <w:szCs w:val="18"/>
        </w:rPr>
        <w:t>Municipio de Puerto Escondido – Córdoba.</w:t>
      </w:r>
    </w:p>
    <w:p w:rsidR="0006670C" w:rsidRDefault="0006670C" w:rsidP="0006670C">
      <w:pPr>
        <w:jc w:val="center"/>
        <w:rPr>
          <w:rFonts w:ascii="Arial" w:hAnsi="Arial" w:cs="Arial"/>
        </w:rPr>
      </w:pPr>
      <w:r>
        <w:rPr>
          <w:rFonts w:ascii="Arial" w:hAnsi="Arial" w:cs="Arial"/>
          <w:sz w:val="18"/>
          <w:szCs w:val="18"/>
          <w:lang w:val="es-CO"/>
        </w:rPr>
        <w:t>-</w:t>
      </w:r>
      <w:r>
        <w:rPr>
          <w:rFonts w:ascii="Arial" w:hAnsi="Arial" w:cs="Arial"/>
          <w:i/>
          <w:iCs/>
          <w:sz w:val="18"/>
          <w:szCs w:val="18"/>
          <w:lang w:val="es-CO"/>
        </w:rPr>
        <w:t>Cifras en pesos-</w:t>
      </w:r>
      <w:r>
        <w:rPr>
          <w:rFonts w:ascii="Arial" w:hAnsi="Arial" w:cs="Arial"/>
          <w:sz w:val="18"/>
          <w:szCs w:val="18"/>
          <w:lang w:val="es-CO"/>
        </w:rPr>
        <w:t xml:space="preserve"> </w:t>
      </w:r>
    </w:p>
    <w:tbl>
      <w:tblPr>
        <w:tblW w:w="5191" w:type="pct"/>
        <w:tblCellMar>
          <w:left w:w="70" w:type="dxa"/>
          <w:right w:w="70" w:type="dxa"/>
        </w:tblCellMar>
        <w:tblLook w:val="04A0" w:firstRow="1" w:lastRow="0" w:firstColumn="1" w:lastColumn="0" w:noHBand="0" w:noVBand="1"/>
      </w:tblPr>
      <w:tblGrid>
        <w:gridCol w:w="1412"/>
        <w:gridCol w:w="1391"/>
        <w:gridCol w:w="1391"/>
        <w:gridCol w:w="1391"/>
        <w:gridCol w:w="1391"/>
        <w:gridCol w:w="1391"/>
        <w:gridCol w:w="1387"/>
      </w:tblGrid>
      <w:tr w:rsidR="0006670C" w:rsidTr="0006670C">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Uso de los Recursos de la participación de Libre Inversión </w:t>
            </w:r>
          </w:p>
        </w:tc>
      </w:tr>
      <w:tr w:rsidR="0006670C" w:rsidTr="0006670C">
        <w:trPr>
          <w:trHeight w:val="1166"/>
        </w:trPr>
        <w:tc>
          <w:tcPr>
            <w:tcW w:w="724" w:type="pct"/>
            <w:tcBorders>
              <w:top w:val="nil"/>
              <w:left w:val="single" w:sz="4" w:space="0" w:color="auto"/>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Gastos Totales por Sector</w:t>
            </w:r>
          </w:p>
        </w:tc>
        <w:tc>
          <w:tcPr>
            <w:tcW w:w="713"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Compromisos 2018</w:t>
            </w:r>
          </w:p>
        </w:tc>
        <w:tc>
          <w:tcPr>
            <w:tcW w:w="713"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Participación por Compromisos 2018</w:t>
            </w:r>
          </w:p>
        </w:tc>
        <w:tc>
          <w:tcPr>
            <w:tcW w:w="713"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Compromisos 2019</w:t>
            </w:r>
          </w:p>
        </w:tc>
        <w:tc>
          <w:tcPr>
            <w:tcW w:w="713"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Participación por Compromisos 2019</w:t>
            </w:r>
          </w:p>
        </w:tc>
        <w:tc>
          <w:tcPr>
            <w:tcW w:w="713"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Compromisos 2020</w:t>
            </w:r>
          </w:p>
        </w:tc>
        <w:tc>
          <w:tcPr>
            <w:tcW w:w="711" w:type="pct"/>
            <w:tcBorders>
              <w:top w:val="nil"/>
              <w:left w:val="nil"/>
              <w:bottom w:val="single" w:sz="4" w:space="0" w:color="auto"/>
              <w:right w:val="single" w:sz="4" w:space="0" w:color="auto"/>
            </w:tcBorders>
            <w:shd w:val="clear" w:color="auto" w:fill="CCCCFF"/>
            <w:vAlign w:val="center"/>
            <w:hideMark/>
          </w:tcPr>
          <w:p w:rsidR="0006670C" w:rsidRDefault="0006670C">
            <w:pPr>
              <w:spacing w:line="256"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Participación por Compromisos 2020</w:t>
            </w:r>
          </w:p>
        </w:tc>
      </w:tr>
      <w:tr w:rsidR="0006670C" w:rsidTr="0006670C">
        <w:trPr>
          <w:trHeight w:val="274"/>
        </w:trPr>
        <w:tc>
          <w:tcPr>
            <w:tcW w:w="724"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 Servicios Públicos</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20.980.570</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1,7 %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0,0 %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22.610.000</w:t>
            </w:r>
          </w:p>
        </w:tc>
        <w:tc>
          <w:tcPr>
            <w:tcW w:w="71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0,6 %</w:t>
            </w:r>
          </w:p>
        </w:tc>
      </w:tr>
      <w:tr w:rsidR="0006670C" w:rsidTr="0006670C">
        <w:trPr>
          <w:trHeight w:val="274"/>
        </w:trPr>
        <w:tc>
          <w:tcPr>
            <w:tcW w:w="724"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3. Agropecuario</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143.502.166</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11,5 %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76.748.266</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5,2 %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110.115.000</w:t>
            </w:r>
          </w:p>
        </w:tc>
        <w:tc>
          <w:tcPr>
            <w:tcW w:w="71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3,0 %</w:t>
            </w:r>
          </w:p>
        </w:tc>
      </w:tr>
      <w:tr w:rsidR="0006670C" w:rsidTr="0006670C">
        <w:trPr>
          <w:trHeight w:val="274"/>
        </w:trPr>
        <w:tc>
          <w:tcPr>
            <w:tcW w:w="724"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4. Transporte</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40.867.858</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3,3 %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499.758.464</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33,6 %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3.216.791.071</w:t>
            </w:r>
          </w:p>
        </w:tc>
        <w:tc>
          <w:tcPr>
            <w:tcW w:w="71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88,4 %</w:t>
            </w:r>
          </w:p>
        </w:tc>
      </w:tr>
      <w:tr w:rsidR="0006670C" w:rsidTr="0006670C">
        <w:trPr>
          <w:trHeight w:val="274"/>
        </w:trPr>
        <w:tc>
          <w:tcPr>
            <w:tcW w:w="724"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5. Medio Ambiente</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236.707.243</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18,9 %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212.924.760</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14,3 %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 </w:t>
            </w:r>
          </w:p>
        </w:tc>
        <w:tc>
          <w:tcPr>
            <w:tcW w:w="71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0 %</w:t>
            </w:r>
          </w:p>
        </w:tc>
      </w:tr>
      <w:tr w:rsidR="0006670C" w:rsidTr="0006670C">
        <w:trPr>
          <w:trHeight w:val="466"/>
        </w:trPr>
        <w:tc>
          <w:tcPr>
            <w:tcW w:w="724"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7. Prevención y atención de desastres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21.300.000</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1,7 %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14.500.000</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1,0 %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3.838.600</w:t>
            </w:r>
          </w:p>
        </w:tc>
        <w:tc>
          <w:tcPr>
            <w:tcW w:w="71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0,1 %</w:t>
            </w:r>
          </w:p>
        </w:tc>
      </w:tr>
      <w:tr w:rsidR="0006670C" w:rsidTr="0006670C">
        <w:trPr>
          <w:trHeight w:val="274"/>
        </w:trPr>
        <w:tc>
          <w:tcPr>
            <w:tcW w:w="724"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8. Promoción al desarrollo</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29.617.500</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2,4 %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30.345.150</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 </w:t>
            </w:r>
          </w:p>
        </w:tc>
        <w:tc>
          <w:tcPr>
            <w:tcW w:w="71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0 %</w:t>
            </w:r>
          </w:p>
        </w:tc>
      </w:tr>
      <w:tr w:rsidR="0006670C" w:rsidTr="0006670C">
        <w:trPr>
          <w:trHeight w:val="466"/>
        </w:trPr>
        <w:tc>
          <w:tcPr>
            <w:tcW w:w="724"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9. Atención a grupos vulnerables</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257.084.936</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20,6 %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281.234.645</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18,9 %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14.350.069</w:t>
            </w:r>
          </w:p>
        </w:tc>
        <w:tc>
          <w:tcPr>
            <w:tcW w:w="71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0,4 %</w:t>
            </w:r>
          </w:p>
        </w:tc>
      </w:tr>
      <w:tr w:rsidR="0006670C" w:rsidTr="0006670C">
        <w:trPr>
          <w:trHeight w:val="274"/>
        </w:trPr>
        <w:tc>
          <w:tcPr>
            <w:tcW w:w="724"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10. Equipamiento Municipal</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20.212.686</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1,6 %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35.000.000</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2,4 %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 </w:t>
            </w:r>
          </w:p>
        </w:tc>
        <w:tc>
          <w:tcPr>
            <w:tcW w:w="71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0 %</w:t>
            </w:r>
          </w:p>
        </w:tc>
      </w:tr>
      <w:tr w:rsidR="0006670C" w:rsidTr="0006670C">
        <w:trPr>
          <w:trHeight w:val="274"/>
        </w:trPr>
        <w:tc>
          <w:tcPr>
            <w:tcW w:w="724"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11. Desarrollo Comunitario</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12.000.000</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1,0 %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17.000.000</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1,1 %</w:t>
            </w:r>
          </w:p>
        </w:tc>
        <w:tc>
          <w:tcPr>
            <w:tcW w:w="713" w:type="pct"/>
            <w:tcBorders>
              <w:top w:val="nil"/>
              <w:left w:val="nil"/>
              <w:bottom w:val="single" w:sz="4" w:space="0" w:color="auto"/>
              <w:right w:val="single" w:sz="4" w:space="0" w:color="auto"/>
            </w:tcBorders>
            <w:noWrap/>
            <w:vAlign w:val="center"/>
            <w:hideMark/>
          </w:tcPr>
          <w:p w:rsidR="0006670C" w:rsidRDefault="0006670C">
            <w:pPr>
              <w:rPr>
                <w:rFonts w:ascii="Arial" w:eastAsia="Times New Roman" w:hAnsi="Arial" w:cs="Arial"/>
                <w:sz w:val="18"/>
                <w:szCs w:val="18"/>
                <w:lang w:val="es-CO" w:eastAsia="es-CO"/>
              </w:rPr>
            </w:pPr>
          </w:p>
        </w:tc>
        <w:tc>
          <w:tcPr>
            <w:tcW w:w="71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0 %</w:t>
            </w:r>
          </w:p>
        </w:tc>
      </w:tr>
      <w:tr w:rsidR="0006670C" w:rsidTr="0006670C">
        <w:trPr>
          <w:trHeight w:val="466"/>
        </w:trPr>
        <w:tc>
          <w:tcPr>
            <w:tcW w:w="724"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12. Fortalecimiento Institucional</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177.603.668</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14,2 %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165.460.799</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11,1 %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187.417.500</w:t>
            </w:r>
          </w:p>
        </w:tc>
        <w:tc>
          <w:tcPr>
            <w:tcW w:w="71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5,2 %</w:t>
            </w:r>
          </w:p>
        </w:tc>
      </w:tr>
      <w:tr w:rsidR="0006670C" w:rsidTr="0006670C">
        <w:trPr>
          <w:trHeight w:val="274"/>
        </w:trPr>
        <w:tc>
          <w:tcPr>
            <w:tcW w:w="724"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13. Justicia</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102.001.140</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8,2 %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85.121.675</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5,7 %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83.019.451</w:t>
            </w:r>
          </w:p>
        </w:tc>
        <w:tc>
          <w:tcPr>
            <w:tcW w:w="71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2,3 %</w:t>
            </w:r>
          </w:p>
        </w:tc>
      </w:tr>
      <w:tr w:rsidR="0006670C" w:rsidTr="0006670C">
        <w:trPr>
          <w:trHeight w:val="466"/>
        </w:trPr>
        <w:tc>
          <w:tcPr>
            <w:tcW w:w="724" w:type="pct"/>
            <w:tcBorders>
              <w:top w:val="nil"/>
              <w:left w:val="single" w:sz="4" w:space="0" w:color="auto"/>
              <w:bottom w:val="single" w:sz="4" w:space="0" w:color="auto"/>
              <w:right w:val="single" w:sz="4" w:space="0" w:color="auto"/>
            </w:tcBorders>
            <w:vAlign w:val="center"/>
            <w:hideMark/>
          </w:tcPr>
          <w:p w:rsidR="0006670C" w:rsidRDefault="0006670C">
            <w:pPr>
              <w:spacing w:line="256" w:lineRule="auto"/>
              <w:rPr>
                <w:rFonts w:ascii="Arial" w:eastAsia="Times New Roman" w:hAnsi="Arial" w:cs="Arial"/>
                <w:sz w:val="18"/>
                <w:szCs w:val="18"/>
                <w:lang w:val="es-CO" w:eastAsia="es-CO"/>
              </w:rPr>
            </w:pPr>
            <w:r>
              <w:rPr>
                <w:rFonts w:ascii="Arial" w:eastAsia="Times New Roman" w:hAnsi="Arial" w:cs="Arial"/>
                <w:sz w:val="18"/>
                <w:szCs w:val="18"/>
                <w:lang w:val="es-CO" w:eastAsia="es-CO"/>
              </w:rPr>
              <w:t>16. Otros (Educación, Salud y Cultura)</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188.697.879</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15,1 %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67.764.782</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4,6 %</w:t>
            </w:r>
          </w:p>
        </w:tc>
        <w:tc>
          <w:tcPr>
            <w:tcW w:w="713"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w:t>
            </w:r>
          </w:p>
        </w:tc>
        <w:tc>
          <w:tcPr>
            <w:tcW w:w="711" w:type="pct"/>
            <w:tcBorders>
              <w:top w:val="nil"/>
              <w:left w:val="nil"/>
              <w:bottom w:val="single" w:sz="4" w:space="0" w:color="auto"/>
              <w:right w:val="single" w:sz="4" w:space="0" w:color="auto"/>
            </w:tcBorders>
            <w:noWrap/>
            <w:vAlign w:val="center"/>
            <w:hideMark/>
          </w:tcPr>
          <w:p w:rsidR="0006670C" w:rsidRDefault="0006670C">
            <w:pPr>
              <w:spacing w:line="256" w:lineRule="auto"/>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0 %</w:t>
            </w:r>
          </w:p>
        </w:tc>
      </w:tr>
      <w:tr w:rsidR="0006670C" w:rsidTr="0006670C">
        <w:trPr>
          <w:trHeight w:val="301"/>
        </w:trPr>
        <w:tc>
          <w:tcPr>
            <w:tcW w:w="724" w:type="pct"/>
            <w:tcBorders>
              <w:top w:val="nil"/>
              <w:left w:val="single" w:sz="4" w:space="0" w:color="auto"/>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Total</w:t>
            </w:r>
          </w:p>
        </w:tc>
        <w:tc>
          <w:tcPr>
            <w:tcW w:w="713" w:type="pct"/>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1.250.575.646</w:t>
            </w:r>
          </w:p>
        </w:tc>
        <w:tc>
          <w:tcPr>
            <w:tcW w:w="713" w:type="pct"/>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100 %</w:t>
            </w:r>
          </w:p>
        </w:tc>
        <w:tc>
          <w:tcPr>
            <w:tcW w:w="713" w:type="pct"/>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1.485.858.541</w:t>
            </w:r>
          </w:p>
        </w:tc>
        <w:tc>
          <w:tcPr>
            <w:tcW w:w="713" w:type="pct"/>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100 %</w:t>
            </w:r>
          </w:p>
        </w:tc>
        <w:tc>
          <w:tcPr>
            <w:tcW w:w="713" w:type="pct"/>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3.638.141.691</w:t>
            </w:r>
          </w:p>
        </w:tc>
        <w:tc>
          <w:tcPr>
            <w:tcW w:w="711" w:type="pct"/>
            <w:tcBorders>
              <w:top w:val="nil"/>
              <w:left w:val="nil"/>
              <w:bottom w:val="single" w:sz="4" w:space="0" w:color="auto"/>
              <w:right w:val="single" w:sz="4" w:space="0" w:color="auto"/>
            </w:tcBorders>
            <w:shd w:val="clear" w:color="auto" w:fill="666699"/>
            <w:vAlign w:val="center"/>
            <w:hideMark/>
          </w:tcPr>
          <w:p w:rsidR="0006670C" w:rsidRDefault="0006670C">
            <w:pPr>
              <w:spacing w:line="256" w:lineRule="auto"/>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100 %</w:t>
            </w:r>
          </w:p>
        </w:tc>
      </w:tr>
    </w:tbl>
    <w:p w:rsidR="0006670C" w:rsidRDefault="0006670C" w:rsidP="0006670C">
      <w:pPr>
        <w:pStyle w:val="Sinespaciado"/>
        <w:jc w:val="center"/>
        <w:rPr>
          <w:rFonts w:ascii="Arial" w:hAnsi="Arial" w:cs="Arial"/>
          <w:b/>
          <w:sz w:val="18"/>
          <w:szCs w:val="18"/>
          <w:lang w:val="es-ES_tradnl"/>
        </w:rPr>
      </w:pPr>
      <w:r>
        <w:rPr>
          <w:rFonts w:ascii="Arial" w:hAnsi="Arial" w:cs="Arial"/>
          <w:lang w:val="es-ES"/>
        </w:rPr>
        <w:t xml:space="preserve"> </w:t>
      </w:r>
      <w:r>
        <w:rPr>
          <w:rFonts w:ascii="Arial" w:hAnsi="Arial" w:cs="Arial"/>
          <w:b/>
          <w:sz w:val="18"/>
          <w:szCs w:val="18"/>
          <w:lang w:val="es-ES_tradnl"/>
        </w:rPr>
        <w:t xml:space="preserve">Fuente: </w:t>
      </w:r>
      <w:r>
        <w:rPr>
          <w:rFonts w:ascii="Arial" w:hAnsi="Arial" w:cs="Arial"/>
          <w:sz w:val="18"/>
          <w:szCs w:val="18"/>
          <w:lang w:val="es-ES_tradnl"/>
        </w:rPr>
        <w:t>Elaboración propia con base en la información reportada al FUT.</w:t>
      </w:r>
    </w:p>
    <w:p w:rsidR="0006670C" w:rsidRDefault="0006670C" w:rsidP="0006670C">
      <w:pPr>
        <w:pStyle w:val="Sinespaciado"/>
        <w:jc w:val="both"/>
        <w:rPr>
          <w:rFonts w:ascii="Arial" w:hAnsi="Arial" w:cs="Arial"/>
        </w:rPr>
      </w:pPr>
    </w:p>
    <w:p w:rsidR="0006670C" w:rsidRDefault="0006670C" w:rsidP="0006670C">
      <w:pPr>
        <w:pStyle w:val="Sinespaciado"/>
        <w:jc w:val="both"/>
        <w:rPr>
          <w:rFonts w:ascii="Arial" w:hAnsi="Arial" w:cs="Arial"/>
        </w:rPr>
      </w:pPr>
      <w:r>
        <w:rPr>
          <w:rFonts w:ascii="Arial" w:hAnsi="Arial" w:cs="Arial"/>
        </w:rPr>
        <w:t xml:space="preserve">El cuadro anterior, confirma lo indicado en el informe sobre las tendencias del gasto del Municipio y en el cual se puede ver con mayor claridad, como el Municipio varía en su comportamiento de Inversión. </w:t>
      </w:r>
    </w:p>
    <w:p w:rsidR="0006670C" w:rsidRDefault="0006670C" w:rsidP="0006670C">
      <w:pPr>
        <w:rPr>
          <w:rFonts w:ascii="Arial" w:hAnsi="Arial" w:cs="Arial"/>
          <w:sz w:val="22"/>
          <w:szCs w:val="22"/>
        </w:rPr>
      </w:pPr>
    </w:p>
    <w:p w:rsidR="000309F3" w:rsidRPr="0006670C" w:rsidRDefault="000309F3" w:rsidP="0006670C"/>
    <w:sectPr w:rsidR="000309F3" w:rsidRPr="0006670C" w:rsidSect="0064012A">
      <w:headerReference w:type="default" r:id="rId34"/>
      <w:footerReference w:type="default" r:id="rId35"/>
      <w:headerReference w:type="first" r:id="rId36"/>
      <w:footerReference w:type="first" r:id="rId37"/>
      <w:pgSz w:w="12240" w:h="15840" w:code="127"/>
      <w:pgMar w:top="1701" w:right="1134" w:bottom="1701" w:left="1701" w:header="284" w:footer="272" w:gutter="0"/>
      <w:cols w:space="708"/>
      <w:titlePg/>
      <w:docGrid w:linePitch="360"/>
    </w:sectPr>
  </w:body>
</w:document>
</file>

<file path=word/commentsIds.xml><?xml version="1.0" encoding="utf-8"?>
<w16cid:commentsId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446124A" w16cid:paraId="74B08029"/>
  <w16cid:commentId w16cid:durableId="2446124B" w16cid:paraId="32319165"/>
  <w16cid:commentId w16cid:durableId="2446124C" w16cid:paraId="32A38F4F"/>
  <w16cid:commentId w16cid:durableId="2446124D" w16cid:paraId="47BD8558"/>
  <w16cid:commentId w16cid:durableId="2446124E" w16cid:paraId="4CB14AEC"/>
  <w16cid:commentId w16cid:durableId="2446124F" w16cid:paraId="4894244A"/>
  <w16cid:commentId w16cid:durableId="24461250" w16cid:paraId="7640FB94"/>
  <w16cid:commentId w16cid:durableId="24461251" w16cid:paraId="36004EA8"/>
  <w16cid:commentId w16cid:durableId="24461252" w16cid:paraId="44D66078"/>
  <w16cid:commentId w16cid:durableId="24461253" w16cid:paraId="6F3FA279"/>
  <w16cid:commentId w16cid:durableId="24461254" w16cid:paraId="7748F5B6"/>
  <w16cid:commentId w16cid:durableId="24461255" w16cid:paraId="45074DC3"/>
  <w16cid:commentId w16cid:durableId="24461256" w16cid:paraId="443F1B6A"/>
  <w16cid:commentId w16cid:durableId="24461257" w16cid:paraId="440B88B9"/>
  <w16cid:commentId w16cid:durableId="24461258" w16cid:paraId="09890B89"/>
  <w16cid:commentId w16cid:durableId="24461259" w16cid:paraId="698C3094"/>
  <w16cid:commentId w16cid:durableId="2446125A" w16cid:paraId="4230853E"/>
  <w16cid:commentId w16cid:durableId="2446125B" w16cid:paraId="5A746F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CA2" w:rsidRDefault="004B0CA2" w:rsidP="0064012A">
      <w:r>
        <w:separator/>
      </w:r>
    </w:p>
  </w:endnote>
  <w:endnote w:type="continuationSeparator" w:id="0">
    <w:p w:rsidR="004B0CA2" w:rsidRDefault="004B0CA2" w:rsidP="0064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3A" w:rsidRPr="000E42A1" w:rsidRDefault="00CA153A" w:rsidP="0064012A">
    <w:pPr>
      <w:pStyle w:val="Piedepgina"/>
    </w:pPr>
    <w:r w:rsidRPr="00364B15">
      <w:rPr>
        <w:noProof/>
        <w:lang w:eastAsia="es-CO"/>
      </w:rPr>
      <w:drawing>
        <wp:inline distT="0" distB="0" distL="0" distR="0">
          <wp:extent cx="3399155" cy="10140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3A" w:rsidRPr="00D71FA2" w:rsidRDefault="00CA153A" w:rsidP="0064012A">
    <w:pPr>
      <w:pStyle w:val="Piedepgina"/>
    </w:pPr>
    <w:r w:rsidRPr="00364B15">
      <w:rPr>
        <w:noProof/>
        <w:lang w:eastAsia="es-CO"/>
      </w:rPr>
      <w:drawing>
        <wp:inline distT="0" distB="0" distL="0" distR="0">
          <wp:extent cx="3399155" cy="98107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CA2" w:rsidRDefault="004B0CA2" w:rsidP="0064012A">
      <w:r>
        <w:separator/>
      </w:r>
    </w:p>
  </w:footnote>
  <w:footnote w:type="continuationSeparator" w:id="0">
    <w:p w:rsidR="004B0CA2" w:rsidRDefault="004B0CA2" w:rsidP="0064012A">
      <w:r>
        <w:continuationSeparator/>
      </w:r>
    </w:p>
  </w:footnote>
  <w:footnote w:id="1">
    <w:p w:rsidR="0006670C" w:rsidRDefault="0006670C" w:rsidP="0006670C">
      <w:pPr>
        <w:pStyle w:val="Textonotapie"/>
      </w:pPr>
      <w:r>
        <w:rPr>
          <w:rStyle w:val="Refdenotaalpie"/>
        </w:rPr>
        <w:footnoteRef/>
      </w:r>
      <w:r>
        <w:t xml:space="preserve"> Fuente: SICODIS.</w:t>
      </w:r>
    </w:p>
  </w:footnote>
  <w:footnote w:id="2">
    <w:p w:rsidR="0006670C" w:rsidRDefault="0006670C" w:rsidP="0006670C">
      <w:pPr>
        <w:pStyle w:val="Textonotapie"/>
      </w:pPr>
      <w:r>
        <w:rPr>
          <w:rStyle w:val="Refdenotaalpie"/>
        </w:rPr>
        <w:footnoteRef/>
      </w:r>
      <w:r>
        <w:t xml:space="preserve"> </w:t>
      </w:r>
      <w:r>
        <w:rPr>
          <w:rFonts w:ascii="Arial" w:hAnsi="Arial" w:cs="Arial"/>
          <w:sz w:val="18"/>
          <w:szCs w:val="18"/>
        </w:rPr>
        <w:t>Se pueden consultar los montos destinados por sector en el período 2018-2020 en el anexo 1.</w:t>
      </w:r>
    </w:p>
  </w:footnote>
  <w:footnote w:id="3">
    <w:p w:rsidR="0006670C" w:rsidRDefault="0006670C" w:rsidP="0006670C">
      <w:pPr>
        <w:pStyle w:val="Textonotapie"/>
        <w:jc w:val="both"/>
      </w:pPr>
      <w:r>
        <w:rPr>
          <w:rStyle w:val="Refdenotaalpie"/>
        </w:rPr>
        <w:footnoteRef/>
      </w:r>
      <w:r>
        <w:t xml:space="preserve"> </w:t>
      </w:r>
      <w:r>
        <w:rPr>
          <w:rFonts w:ascii="Arial" w:hAnsi="Arial" w:cs="Arial"/>
          <w:sz w:val="18"/>
          <w:szCs w:val="18"/>
          <w:lang w:val="es-ES_tradnl"/>
        </w:rPr>
        <w:t>Para la vigencia 2020, esta diferencia no se presenta y cabe informar, que el saldo de bancos es tomado al 30 de septiembre de 2020, lo que indica, que para esta vigencia el saldo en bancos incluso puede ser mayor.</w:t>
      </w:r>
    </w:p>
  </w:footnote>
  <w:footnote w:id="4">
    <w:p w:rsidR="0006670C" w:rsidRDefault="0006670C" w:rsidP="0006670C">
      <w:pPr>
        <w:pStyle w:val="Textonotapie"/>
        <w:tabs>
          <w:tab w:val="left" w:pos="1230"/>
        </w:tabs>
        <w:jc w:val="both"/>
        <w:rPr>
          <w:rFonts w:ascii="Arial" w:hAnsi="Arial" w:cs="Arial"/>
          <w:sz w:val="16"/>
          <w:szCs w:val="16"/>
        </w:rPr>
      </w:pPr>
      <w:r>
        <w:rPr>
          <w:rStyle w:val="Refdenotaalpie"/>
          <w:rFonts w:ascii="Arial" w:hAnsi="Arial" w:cs="Arial"/>
        </w:rPr>
        <w:footnoteRef/>
      </w:r>
      <w:r>
        <w:rPr>
          <w:rFonts w:ascii="Arial" w:hAnsi="Arial" w:cs="Arial"/>
          <w:sz w:val="16"/>
          <w:szCs w:val="16"/>
        </w:rPr>
        <w:t xml:space="preserve"> </w:t>
      </w:r>
      <w:r>
        <w:rPr>
          <w:rFonts w:ascii="Arial Narrow" w:hAnsi="Arial Narrow" w:cs="Arial"/>
          <w:sz w:val="18"/>
          <w:szCs w:val="18"/>
          <w:lang w:val="es-MX"/>
        </w:rPr>
        <w:t>Aspectos Generales del Proceso Presupuestal Colombiano – Dirección General de Presupuesto Nacional – Ministerio de Hacienda y Crédito Público, Año 2011, Páginas 250-254.</w:t>
      </w:r>
    </w:p>
  </w:footnote>
  <w:footnote w:id="5">
    <w:p w:rsidR="0006670C" w:rsidRDefault="0006670C" w:rsidP="0006670C">
      <w:pPr>
        <w:pStyle w:val="Textonotapie"/>
      </w:pPr>
      <w:r>
        <w:rPr>
          <w:rStyle w:val="Refdenotaalpie"/>
        </w:rPr>
        <w:footnoteRef/>
      </w:r>
      <w:r>
        <w:t xml:space="preserve"> </w:t>
      </w:r>
      <w:r>
        <w:rPr>
          <w:rStyle w:val="normaltextrun"/>
          <w:rFonts w:ascii="Arial" w:hAnsi="Arial" w:cs="Arial"/>
          <w:color w:val="000000"/>
          <w:sz w:val="16"/>
          <w:szCs w:val="16"/>
          <w:bdr w:val="none" w:sz="0" w:space="0" w:color="auto" w:frame="1"/>
          <w:lang w:val="es-ES"/>
        </w:rPr>
        <w:t>Departamento Nacional de Planeación (2017). ABC de la Viabilidad. Tomado de: https://colaboracion.dnp.gov.co/CDT/Inversiones%20y%20finanzas%20pblicas/MGA_WEB/1%20ABC%20de%20la%20viabilidad.pdf.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3A" w:rsidRDefault="00CA153A" w:rsidP="0064012A">
    <w:pPr>
      <w:pStyle w:val="Encabezado"/>
      <w:jc w:val="both"/>
      <w:rPr>
        <w:noProof/>
        <w:lang w:eastAsia="es-CO"/>
      </w:rPr>
    </w:pPr>
    <w:bookmarkStart w:id="2" w:name="_Hlk502904560"/>
  </w:p>
  <w:p w:rsidR="00CA153A" w:rsidRDefault="00CA153A" w:rsidP="0064012A">
    <w:pPr>
      <w:pStyle w:val="Encabezado"/>
      <w:jc w:val="both"/>
      <w:rPr>
        <w:noProof/>
        <w:lang w:eastAsia="es-CO"/>
      </w:rPr>
    </w:pPr>
    <w:r>
      <w:rPr>
        <w:noProof/>
        <w:color w:val="1F497D"/>
        <w:lang w:eastAsia="es-CO"/>
      </w:rPr>
      <w:drawing>
        <wp:inline distT="0" distB="0" distL="0" distR="0">
          <wp:extent cx="3181350" cy="542925"/>
          <wp:effectExtent l="0" t="0" r="0" b="9525"/>
          <wp:docPr id="3" name="Imagen 3"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p w:rsidR="00CA153A" w:rsidRPr="00F14025" w:rsidRDefault="00CA153A" w:rsidP="0064012A">
    <w:pPr>
      <w:pStyle w:val="Encabezado"/>
      <w:jc w:val="both"/>
    </w:pPr>
    <w:r w:rsidRPr="00F01F75">
      <w:rPr>
        <w:rFonts w:ascii="Arial" w:hAnsi="Arial" w:cs="Arial"/>
        <w:sz w:val="16"/>
        <w:szCs w:val="16"/>
      </w:rPr>
      <w:t xml:space="preserve">Continuación </w:t>
    </w:r>
    <w:r>
      <w:rPr>
        <w:rFonts w:ascii="Arial" w:hAnsi="Arial" w:cs="Arial"/>
        <w:sz w:val="16"/>
        <w:szCs w:val="16"/>
      </w:rPr>
      <w:t>informe</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2B606B">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2B606B">
      <w:rPr>
        <w:rStyle w:val="Nmerodepgina"/>
        <w:rFonts w:ascii="Arial" w:hAnsi="Arial" w:cs="Arial"/>
        <w:noProof/>
        <w:sz w:val="16"/>
        <w:szCs w:val="16"/>
      </w:rPr>
      <w:t>36</w:t>
    </w:r>
    <w:r w:rsidRPr="00F01F75">
      <w:rPr>
        <w:rStyle w:val="Nmerodepgina"/>
        <w:rFonts w:ascii="Arial" w:hAnsi="Arial" w:cs="Arial"/>
        <w:sz w:val="16"/>
        <w:szCs w:val="16"/>
      </w:rPr>
      <w:fldChar w:fldCharType="end"/>
    </w:r>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3A" w:rsidRDefault="00CA153A">
    <w:pPr>
      <w:pStyle w:val="Encabezado"/>
    </w:pPr>
  </w:p>
  <w:p w:rsidR="00CA153A" w:rsidRDefault="00CA153A">
    <w:pPr>
      <w:pStyle w:val="Encabezado"/>
    </w:pPr>
    <w:r>
      <w:rPr>
        <w:noProof/>
        <w:color w:val="1F497D"/>
        <w:lang w:eastAsia="es-CO"/>
      </w:rPr>
      <w:drawing>
        <wp:inline distT="0" distB="0" distL="0" distR="0">
          <wp:extent cx="3181350" cy="542925"/>
          <wp:effectExtent l="0" t="0" r="0" b="9525"/>
          <wp:docPr id="2" name="Imagen 2"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5055"/>
    <w:multiLevelType w:val="hybridMultilevel"/>
    <w:tmpl w:val="21B0AD80"/>
    <w:lvl w:ilvl="0" w:tplc="5F4A1F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7A0F2A"/>
    <w:multiLevelType w:val="hybridMultilevel"/>
    <w:tmpl w:val="97F06EDE"/>
    <w:lvl w:ilvl="0" w:tplc="2B7820A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C6155E"/>
    <w:multiLevelType w:val="multilevel"/>
    <w:tmpl w:val="C334197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BEB7711"/>
    <w:multiLevelType w:val="multilevel"/>
    <w:tmpl w:val="222A0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1F03F7"/>
    <w:multiLevelType w:val="multilevel"/>
    <w:tmpl w:val="9A7AD1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0271BE"/>
    <w:multiLevelType w:val="hybridMultilevel"/>
    <w:tmpl w:val="41BC50F6"/>
    <w:lvl w:ilvl="0" w:tplc="86ACDA46">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13C17A1B"/>
    <w:multiLevelType w:val="hybridMultilevel"/>
    <w:tmpl w:val="9304655A"/>
    <w:lvl w:ilvl="0" w:tplc="A38E1B9C">
      <w:start w:val="1"/>
      <w:numFmt w:val="lowerLetter"/>
      <w:lvlText w:val="%1."/>
      <w:lvlJc w:val="left"/>
      <w:pPr>
        <w:ind w:left="502" w:hanging="360"/>
      </w:pPr>
      <w:rPr>
        <w:rFonts w:ascii="Arial" w:hAnsi="Arial" w:cs="Arial" w:hint="default"/>
        <w:sz w:val="22"/>
        <w:szCs w:val="22"/>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 w15:restartNumberingAfterBreak="0">
    <w:nsid w:val="14C73CB6"/>
    <w:multiLevelType w:val="hybridMultilevel"/>
    <w:tmpl w:val="6D360A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3C525E"/>
    <w:multiLevelType w:val="multilevel"/>
    <w:tmpl w:val="462ED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991FA1"/>
    <w:multiLevelType w:val="hybridMultilevel"/>
    <w:tmpl w:val="7916B570"/>
    <w:lvl w:ilvl="0" w:tplc="12665106">
      <w:start w:val="1"/>
      <w:numFmt w:val="lowerLetter"/>
      <w:lvlText w:val="%1."/>
      <w:lvlJc w:val="left"/>
      <w:pPr>
        <w:ind w:left="502" w:hanging="360"/>
      </w:pPr>
      <w:rPr>
        <w:rFonts w:ascii="Arial" w:eastAsia="Times New Roman" w:hAnsi="Arial" w:cs="Arial"/>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1F966833"/>
    <w:multiLevelType w:val="hybridMultilevel"/>
    <w:tmpl w:val="137E48E8"/>
    <w:lvl w:ilvl="0" w:tplc="DD303622">
      <w:start w:val="10"/>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49F19EE"/>
    <w:multiLevelType w:val="hybridMultilevel"/>
    <w:tmpl w:val="A056840E"/>
    <w:lvl w:ilvl="0" w:tplc="DAC8D77E">
      <w:start w:val="5"/>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28050528"/>
    <w:multiLevelType w:val="multilevel"/>
    <w:tmpl w:val="E4B0E4E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9154F58"/>
    <w:multiLevelType w:val="hybridMultilevel"/>
    <w:tmpl w:val="A6883264"/>
    <w:lvl w:ilvl="0" w:tplc="4708538C">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1150F9"/>
    <w:multiLevelType w:val="multilevel"/>
    <w:tmpl w:val="5E007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240013"/>
    <w:multiLevelType w:val="multilevel"/>
    <w:tmpl w:val="EDE03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9B927DF"/>
    <w:multiLevelType w:val="multilevel"/>
    <w:tmpl w:val="83C0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110613"/>
    <w:multiLevelType w:val="hybridMultilevel"/>
    <w:tmpl w:val="93C6830A"/>
    <w:lvl w:ilvl="0" w:tplc="85A0D812">
      <w:start w:val="1"/>
      <w:numFmt w:val="bullet"/>
      <w:lvlText w:val=""/>
      <w:lvlJc w:val="left"/>
      <w:pPr>
        <w:ind w:left="720" w:hanging="360"/>
      </w:pPr>
      <w:rPr>
        <w:rFonts w:ascii="Symbol" w:hAnsi="Symbol" w:hint="default"/>
        <w:b/>
        <w:color w:val="auto"/>
      </w:rPr>
    </w:lvl>
    <w:lvl w:ilvl="1" w:tplc="240A0003">
      <w:start w:val="1"/>
      <w:numFmt w:val="bullet"/>
      <w:lvlText w:val="o"/>
      <w:lvlJc w:val="left"/>
      <w:pPr>
        <w:ind w:left="1440" w:hanging="360"/>
      </w:pPr>
      <w:rPr>
        <w:rFonts w:ascii="Courier New" w:hAnsi="Courier New" w:cs="Arial Narro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Arial Narro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Arial Narro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47553C93"/>
    <w:multiLevelType w:val="multilevel"/>
    <w:tmpl w:val="BD304E3C"/>
    <w:lvl w:ilvl="0">
      <w:start w:val="1"/>
      <w:numFmt w:val="upperRoman"/>
      <w:lvlText w:val="%1."/>
      <w:lvlJc w:val="right"/>
      <w:pPr>
        <w:tabs>
          <w:tab w:val="num" w:pos="720"/>
        </w:tabs>
        <w:ind w:left="720" w:hanging="360"/>
      </w:pPr>
      <w:rPr>
        <w:rFonts w:ascii="Arial" w:hAnsi="Arial" w:cs="Arial" w:hint="default"/>
        <w:b/>
        <w:sz w:val="22"/>
        <w:szCs w:val="22"/>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52F96946"/>
    <w:multiLevelType w:val="multilevel"/>
    <w:tmpl w:val="C2F8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C71DCC"/>
    <w:multiLevelType w:val="hybridMultilevel"/>
    <w:tmpl w:val="1782504A"/>
    <w:lvl w:ilvl="0" w:tplc="240A0011">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1" w15:restartNumberingAfterBreak="0">
    <w:nsid w:val="57437F10"/>
    <w:multiLevelType w:val="hybridMultilevel"/>
    <w:tmpl w:val="81D40EE4"/>
    <w:lvl w:ilvl="0" w:tplc="505415E6">
      <w:numFmt w:val="bullet"/>
      <w:lvlText w:val="-"/>
      <w:lvlJc w:val="left"/>
      <w:pPr>
        <w:ind w:left="1080" w:hanging="360"/>
      </w:pPr>
      <w:rPr>
        <w:rFonts w:ascii="Arial Narrow" w:eastAsia="Calibri"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57A3441B"/>
    <w:multiLevelType w:val="multilevel"/>
    <w:tmpl w:val="BD304E3C"/>
    <w:lvl w:ilvl="0">
      <w:start w:val="1"/>
      <w:numFmt w:val="upperRoman"/>
      <w:lvlText w:val="%1."/>
      <w:lvlJc w:val="right"/>
      <w:pPr>
        <w:tabs>
          <w:tab w:val="num" w:pos="720"/>
        </w:tabs>
        <w:ind w:left="720" w:hanging="360"/>
      </w:pPr>
      <w:rPr>
        <w:rFonts w:ascii="Arial" w:hAnsi="Arial" w:cs="Arial" w:hint="default"/>
        <w:b/>
        <w:sz w:val="22"/>
        <w:szCs w:val="22"/>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84400FC"/>
    <w:multiLevelType w:val="hybridMultilevel"/>
    <w:tmpl w:val="314471E2"/>
    <w:lvl w:ilvl="0" w:tplc="4246D2BC">
      <w:start w:val="2"/>
      <w:numFmt w:val="upp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4" w15:restartNumberingAfterBreak="0">
    <w:nsid w:val="5B29030E"/>
    <w:multiLevelType w:val="multilevel"/>
    <w:tmpl w:val="E2B4D8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5033E0"/>
    <w:multiLevelType w:val="multilevel"/>
    <w:tmpl w:val="BD587B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095ED0"/>
    <w:multiLevelType w:val="hybridMultilevel"/>
    <w:tmpl w:val="44FE44F6"/>
    <w:lvl w:ilvl="0" w:tplc="08D6729C">
      <w:start w:val="31"/>
      <w:numFmt w:val="bullet"/>
      <w:lvlText w:val=""/>
      <w:lvlJc w:val="left"/>
      <w:pPr>
        <w:ind w:left="720" w:hanging="360"/>
      </w:pPr>
      <w:rPr>
        <w:rFonts w:ascii="Symbol" w:eastAsia="Calibri"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645E328A"/>
    <w:multiLevelType w:val="hybridMultilevel"/>
    <w:tmpl w:val="8B06C828"/>
    <w:lvl w:ilvl="0" w:tplc="74148152">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8" w15:restartNumberingAfterBreak="0">
    <w:nsid w:val="71BF7DE5"/>
    <w:multiLevelType w:val="multilevel"/>
    <w:tmpl w:val="BD304E3C"/>
    <w:lvl w:ilvl="0">
      <w:start w:val="1"/>
      <w:numFmt w:val="upperRoman"/>
      <w:lvlText w:val="%1."/>
      <w:lvlJc w:val="right"/>
      <w:pPr>
        <w:tabs>
          <w:tab w:val="num" w:pos="720"/>
        </w:tabs>
        <w:ind w:left="720" w:hanging="360"/>
      </w:pPr>
      <w:rPr>
        <w:rFonts w:ascii="Arial" w:hAnsi="Arial" w:cs="Arial" w:hint="default"/>
        <w:b/>
        <w:sz w:val="22"/>
        <w:szCs w:val="22"/>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3A961A6"/>
    <w:multiLevelType w:val="multilevel"/>
    <w:tmpl w:val="E15E8C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4EB239E"/>
    <w:multiLevelType w:val="multilevel"/>
    <w:tmpl w:val="4A3431DA"/>
    <w:lvl w:ilvl="0">
      <w:start w:val="1"/>
      <w:numFmt w:val="upperRoman"/>
      <w:lvlText w:val="%1."/>
      <w:lvlJc w:val="right"/>
      <w:pPr>
        <w:tabs>
          <w:tab w:val="num" w:pos="2771"/>
        </w:tabs>
        <w:ind w:left="2771" w:hanging="360"/>
      </w:pPr>
    </w:lvl>
    <w:lvl w:ilvl="1" w:tentative="1">
      <w:start w:val="1"/>
      <w:numFmt w:val="upperRoman"/>
      <w:lvlText w:val="%2."/>
      <w:lvlJc w:val="right"/>
      <w:pPr>
        <w:tabs>
          <w:tab w:val="num" w:pos="3491"/>
        </w:tabs>
        <w:ind w:left="3491" w:hanging="360"/>
      </w:pPr>
    </w:lvl>
    <w:lvl w:ilvl="2" w:tentative="1">
      <w:start w:val="1"/>
      <w:numFmt w:val="upperRoman"/>
      <w:lvlText w:val="%3."/>
      <w:lvlJc w:val="right"/>
      <w:pPr>
        <w:tabs>
          <w:tab w:val="num" w:pos="4211"/>
        </w:tabs>
        <w:ind w:left="4211" w:hanging="360"/>
      </w:pPr>
    </w:lvl>
    <w:lvl w:ilvl="3" w:tentative="1">
      <w:start w:val="1"/>
      <w:numFmt w:val="upperRoman"/>
      <w:lvlText w:val="%4."/>
      <w:lvlJc w:val="right"/>
      <w:pPr>
        <w:tabs>
          <w:tab w:val="num" w:pos="4931"/>
        </w:tabs>
        <w:ind w:left="4931" w:hanging="360"/>
      </w:pPr>
    </w:lvl>
    <w:lvl w:ilvl="4" w:tentative="1">
      <w:start w:val="1"/>
      <w:numFmt w:val="upperRoman"/>
      <w:lvlText w:val="%5."/>
      <w:lvlJc w:val="right"/>
      <w:pPr>
        <w:tabs>
          <w:tab w:val="num" w:pos="5651"/>
        </w:tabs>
        <w:ind w:left="5651" w:hanging="360"/>
      </w:pPr>
    </w:lvl>
    <w:lvl w:ilvl="5" w:tentative="1">
      <w:start w:val="1"/>
      <w:numFmt w:val="upperRoman"/>
      <w:lvlText w:val="%6."/>
      <w:lvlJc w:val="right"/>
      <w:pPr>
        <w:tabs>
          <w:tab w:val="num" w:pos="6371"/>
        </w:tabs>
        <w:ind w:left="6371" w:hanging="360"/>
      </w:pPr>
    </w:lvl>
    <w:lvl w:ilvl="6" w:tentative="1">
      <w:start w:val="1"/>
      <w:numFmt w:val="upperRoman"/>
      <w:lvlText w:val="%7."/>
      <w:lvlJc w:val="right"/>
      <w:pPr>
        <w:tabs>
          <w:tab w:val="num" w:pos="7091"/>
        </w:tabs>
        <w:ind w:left="7091" w:hanging="360"/>
      </w:pPr>
    </w:lvl>
    <w:lvl w:ilvl="7" w:tentative="1">
      <w:start w:val="1"/>
      <w:numFmt w:val="upperRoman"/>
      <w:lvlText w:val="%8."/>
      <w:lvlJc w:val="right"/>
      <w:pPr>
        <w:tabs>
          <w:tab w:val="num" w:pos="7811"/>
        </w:tabs>
        <w:ind w:left="7811" w:hanging="360"/>
      </w:pPr>
    </w:lvl>
    <w:lvl w:ilvl="8" w:tentative="1">
      <w:start w:val="1"/>
      <w:numFmt w:val="upperRoman"/>
      <w:lvlText w:val="%9."/>
      <w:lvlJc w:val="right"/>
      <w:pPr>
        <w:tabs>
          <w:tab w:val="num" w:pos="8531"/>
        </w:tabs>
        <w:ind w:left="8531" w:hanging="360"/>
      </w:pPr>
    </w:lvl>
  </w:abstractNum>
  <w:abstractNum w:abstractNumId="31" w15:restartNumberingAfterBreak="0">
    <w:nsid w:val="74F23860"/>
    <w:multiLevelType w:val="multilevel"/>
    <w:tmpl w:val="DDF8056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BC5F7E"/>
    <w:multiLevelType w:val="hybridMultilevel"/>
    <w:tmpl w:val="3F80767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937423"/>
    <w:multiLevelType w:val="hybridMultilevel"/>
    <w:tmpl w:val="137E48E8"/>
    <w:lvl w:ilvl="0" w:tplc="DD303622">
      <w:start w:val="10"/>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7A764816"/>
    <w:multiLevelType w:val="multilevel"/>
    <w:tmpl w:val="6ABC3F5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B8E478B"/>
    <w:multiLevelType w:val="multilevel"/>
    <w:tmpl w:val="E92E475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CFD36B7"/>
    <w:multiLevelType w:val="hybridMultilevel"/>
    <w:tmpl w:val="CBC49BCC"/>
    <w:lvl w:ilvl="0" w:tplc="628C1E0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7" w15:restartNumberingAfterBreak="0">
    <w:nsid w:val="7DAA4434"/>
    <w:multiLevelType w:val="hybridMultilevel"/>
    <w:tmpl w:val="23C214D2"/>
    <w:lvl w:ilvl="0" w:tplc="08C6EDBE">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7EE33117"/>
    <w:multiLevelType w:val="multilevel"/>
    <w:tmpl w:val="1A5A5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26"/>
  </w:num>
  <w:num w:numId="3">
    <w:abstractNumId w:val="36"/>
  </w:num>
  <w:num w:numId="4">
    <w:abstractNumId w:val="11"/>
  </w:num>
  <w:num w:numId="5">
    <w:abstractNumId w:val="30"/>
  </w:num>
  <w:num w:numId="6">
    <w:abstractNumId w:val="2"/>
  </w:num>
  <w:num w:numId="7">
    <w:abstractNumId w:val="35"/>
  </w:num>
  <w:num w:numId="8">
    <w:abstractNumId w:val="8"/>
  </w:num>
  <w:num w:numId="9">
    <w:abstractNumId w:val="25"/>
  </w:num>
  <w:num w:numId="10">
    <w:abstractNumId w:val="29"/>
  </w:num>
  <w:num w:numId="11">
    <w:abstractNumId w:val="12"/>
  </w:num>
  <w:num w:numId="12">
    <w:abstractNumId w:val="14"/>
  </w:num>
  <w:num w:numId="13">
    <w:abstractNumId w:val="4"/>
  </w:num>
  <w:num w:numId="14">
    <w:abstractNumId w:val="24"/>
  </w:num>
  <w:num w:numId="15">
    <w:abstractNumId w:val="34"/>
  </w:num>
  <w:num w:numId="16">
    <w:abstractNumId w:val="28"/>
  </w:num>
  <w:num w:numId="17">
    <w:abstractNumId w:val="5"/>
  </w:num>
  <w:num w:numId="18">
    <w:abstractNumId w:val="23"/>
  </w:num>
  <w:num w:numId="19">
    <w:abstractNumId w:val="27"/>
  </w:num>
  <w:num w:numId="20">
    <w:abstractNumId w:val="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7"/>
  </w:num>
  <w:num w:numId="24">
    <w:abstractNumId w:val="33"/>
  </w:num>
  <w:num w:numId="25">
    <w:abstractNumId w:val="20"/>
  </w:num>
  <w:num w:numId="26">
    <w:abstractNumId w:val="7"/>
  </w:num>
  <w:num w:numId="27">
    <w:abstractNumId w:val="10"/>
  </w:num>
  <w:num w:numId="28">
    <w:abstractNumId w:val="16"/>
  </w:num>
  <w:num w:numId="29">
    <w:abstractNumId w:val="19"/>
  </w:num>
  <w:num w:numId="30">
    <w:abstractNumId w:val="22"/>
  </w:num>
  <w:num w:numId="31">
    <w:abstractNumId w:val="31"/>
  </w:num>
  <w:num w:numId="32">
    <w:abstractNumId w:val="13"/>
  </w:num>
  <w:num w:numId="33">
    <w:abstractNumId w:val="21"/>
  </w:num>
  <w:num w:numId="34">
    <w:abstractNumId w:val="18"/>
  </w:num>
  <w:num w:numId="35">
    <w:abstractNumId w:val="9"/>
  </w:num>
  <w:num w:numId="36">
    <w:abstractNumId w:val="3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2A"/>
    <w:rsid w:val="00002EF4"/>
    <w:rsid w:val="00006DAD"/>
    <w:rsid w:val="0002327E"/>
    <w:rsid w:val="000309F3"/>
    <w:rsid w:val="0003787D"/>
    <w:rsid w:val="000403DB"/>
    <w:rsid w:val="0004314B"/>
    <w:rsid w:val="00052AE6"/>
    <w:rsid w:val="000551E2"/>
    <w:rsid w:val="00063B60"/>
    <w:rsid w:val="000651DE"/>
    <w:rsid w:val="0006670C"/>
    <w:rsid w:val="0007260E"/>
    <w:rsid w:val="00075D6E"/>
    <w:rsid w:val="00083A44"/>
    <w:rsid w:val="00090EB5"/>
    <w:rsid w:val="00091328"/>
    <w:rsid w:val="00093761"/>
    <w:rsid w:val="00096603"/>
    <w:rsid w:val="000A2F6A"/>
    <w:rsid w:val="000B5169"/>
    <w:rsid w:val="000C7D38"/>
    <w:rsid w:val="000D610B"/>
    <w:rsid w:val="000F05B0"/>
    <w:rsid w:val="000F1EAA"/>
    <w:rsid w:val="00101CFA"/>
    <w:rsid w:val="001056C0"/>
    <w:rsid w:val="00105830"/>
    <w:rsid w:val="00111B45"/>
    <w:rsid w:val="0012075B"/>
    <w:rsid w:val="001268E8"/>
    <w:rsid w:val="001271EC"/>
    <w:rsid w:val="0013314A"/>
    <w:rsid w:val="001352B3"/>
    <w:rsid w:val="00135FFF"/>
    <w:rsid w:val="00142C77"/>
    <w:rsid w:val="00144EFB"/>
    <w:rsid w:val="00162D50"/>
    <w:rsid w:val="00164772"/>
    <w:rsid w:val="00165743"/>
    <w:rsid w:val="00166279"/>
    <w:rsid w:val="00167F6F"/>
    <w:rsid w:val="001837E1"/>
    <w:rsid w:val="0018493A"/>
    <w:rsid w:val="00196B8F"/>
    <w:rsid w:val="001A6341"/>
    <w:rsid w:val="001B17C0"/>
    <w:rsid w:val="001B222D"/>
    <w:rsid w:val="001B7A42"/>
    <w:rsid w:val="001C5B9A"/>
    <w:rsid w:val="001C6E29"/>
    <w:rsid w:val="001D1F08"/>
    <w:rsid w:val="001E053F"/>
    <w:rsid w:val="001F5C9B"/>
    <w:rsid w:val="00206926"/>
    <w:rsid w:val="002113DB"/>
    <w:rsid w:val="002119B0"/>
    <w:rsid w:val="002167D3"/>
    <w:rsid w:val="00226D2D"/>
    <w:rsid w:val="00242BF8"/>
    <w:rsid w:val="00245C7F"/>
    <w:rsid w:val="00247365"/>
    <w:rsid w:val="002479C4"/>
    <w:rsid w:val="002579B7"/>
    <w:rsid w:val="0026071C"/>
    <w:rsid w:val="0027126F"/>
    <w:rsid w:val="00275246"/>
    <w:rsid w:val="0028350B"/>
    <w:rsid w:val="0028475B"/>
    <w:rsid w:val="00293860"/>
    <w:rsid w:val="00294E46"/>
    <w:rsid w:val="002B0351"/>
    <w:rsid w:val="002B0D2D"/>
    <w:rsid w:val="002B606B"/>
    <w:rsid w:val="002B664F"/>
    <w:rsid w:val="002C66C1"/>
    <w:rsid w:val="002D0252"/>
    <w:rsid w:val="002E7593"/>
    <w:rsid w:val="002F2762"/>
    <w:rsid w:val="002F3C87"/>
    <w:rsid w:val="002F7D28"/>
    <w:rsid w:val="003057D8"/>
    <w:rsid w:val="00323EAD"/>
    <w:rsid w:val="003244D3"/>
    <w:rsid w:val="00332266"/>
    <w:rsid w:val="00334DF8"/>
    <w:rsid w:val="0034668C"/>
    <w:rsid w:val="0035330F"/>
    <w:rsid w:val="003554C1"/>
    <w:rsid w:val="00357019"/>
    <w:rsid w:val="00357362"/>
    <w:rsid w:val="00371B20"/>
    <w:rsid w:val="0037312C"/>
    <w:rsid w:val="003745E6"/>
    <w:rsid w:val="00390971"/>
    <w:rsid w:val="0039226E"/>
    <w:rsid w:val="0039478D"/>
    <w:rsid w:val="00394F2D"/>
    <w:rsid w:val="003A1D00"/>
    <w:rsid w:val="003A2673"/>
    <w:rsid w:val="003A397A"/>
    <w:rsid w:val="003C4A68"/>
    <w:rsid w:val="003C6A2F"/>
    <w:rsid w:val="003E0207"/>
    <w:rsid w:val="003E0A78"/>
    <w:rsid w:val="003E6A3A"/>
    <w:rsid w:val="003F08EE"/>
    <w:rsid w:val="003F1EDC"/>
    <w:rsid w:val="003F2DD6"/>
    <w:rsid w:val="004022CC"/>
    <w:rsid w:val="00412411"/>
    <w:rsid w:val="00415F73"/>
    <w:rsid w:val="004244BE"/>
    <w:rsid w:val="0042707D"/>
    <w:rsid w:val="0044221C"/>
    <w:rsid w:val="00443FE1"/>
    <w:rsid w:val="0045586D"/>
    <w:rsid w:val="0045740A"/>
    <w:rsid w:val="0046015E"/>
    <w:rsid w:val="004633FC"/>
    <w:rsid w:val="00481793"/>
    <w:rsid w:val="0048752F"/>
    <w:rsid w:val="00487958"/>
    <w:rsid w:val="00490833"/>
    <w:rsid w:val="004930E2"/>
    <w:rsid w:val="004B08E4"/>
    <w:rsid w:val="004B0CA2"/>
    <w:rsid w:val="004B1B00"/>
    <w:rsid w:val="004B3CB4"/>
    <w:rsid w:val="004B5957"/>
    <w:rsid w:val="004C49EC"/>
    <w:rsid w:val="004F2EB9"/>
    <w:rsid w:val="0050523D"/>
    <w:rsid w:val="00506D32"/>
    <w:rsid w:val="00520E23"/>
    <w:rsid w:val="005223F5"/>
    <w:rsid w:val="005A7688"/>
    <w:rsid w:val="005B0B3F"/>
    <w:rsid w:val="005B14B9"/>
    <w:rsid w:val="005B43FC"/>
    <w:rsid w:val="005C5B28"/>
    <w:rsid w:val="005D5916"/>
    <w:rsid w:val="005D6B46"/>
    <w:rsid w:val="005F5E74"/>
    <w:rsid w:val="00600A3F"/>
    <w:rsid w:val="00614673"/>
    <w:rsid w:val="00622456"/>
    <w:rsid w:val="00636A06"/>
    <w:rsid w:val="0064012A"/>
    <w:rsid w:val="006533F1"/>
    <w:rsid w:val="00663846"/>
    <w:rsid w:val="0066396C"/>
    <w:rsid w:val="00667906"/>
    <w:rsid w:val="00673F4B"/>
    <w:rsid w:val="0067690E"/>
    <w:rsid w:val="00685F16"/>
    <w:rsid w:val="00690A09"/>
    <w:rsid w:val="0069173C"/>
    <w:rsid w:val="00694EEE"/>
    <w:rsid w:val="00695210"/>
    <w:rsid w:val="006B49B0"/>
    <w:rsid w:val="006B515F"/>
    <w:rsid w:val="006C37A7"/>
    <w:rsid w:val="006E13A8"/>
    <w:rsid w:val="006E2BB2"/>
    <w:rsid w:val="007000FB"/>
    <w:rsid w:val="00706737"/>
    <w:rsid w:val="00710112"/>
    <w:rsid w:val="00713FF2"/>
    <w:rsid w:val="007148C0"/>
    <w:rsid w:val="00717B36"/>
    <w:rsid w:val="007221BA"/>
    <w:rsid w:val="00725D1F"/>
    <w:rsid w:val="0073052B"/>
    <w:rsid w:val="00731A71"/>
    <w:rsid w:val="0073438B"/>
    <w:rsid w:val="00744630"/>
    <w:rsid w:val="00757C2A"/>
    <w:rsid w:val="0076433C"/>
    <w:rsid w:val="007721CB"/>
    <w:rsid w:val="00774A39"/>
    <w:rsid w:val="00775DD4"/>
    <w:rsid w:val="007859CA"/>
    <w:rsid w:val="0078613E"/>
    <w:rsid w:val="00786E2B"/>
    <w:rsid w:val="007925DB"/>
    <w:rsid w:val="00792C40"/>
    <w:rsid w:val="00794C66"/>
    <w:rsid w:val="0079608F"/>
    <w:rsid w:val="007975CC"/>
    <w:rsid w:val="007A2FF2"/>
    <w:rsid w:val="007A5C26"/>
    <w:rsid w:val="007B7F0C"/>
    <w:rsid w:val="007D0DA6"/>
    <w:rsid w:val="007E4311"/>
    <w:rsid w:val="007E7317"/>
    <w:rsid w:val="007F2F2D"/>
    <w:rsid w:val="00800BD5"/>
    <w:rsid w:val="00807937"/>
    <w:rsid w:val="00820D0B"/>
    <w:rsid w:val="008237A3"/>
    <w:rsid w:val="00826A45"/>
    <w:rsid w:val="0083252E"/>
    <w:rsid w:val="008327B7"/>
    <w:rsid w:val="00836E34"/>
    <w:rsid w:val="00851882"/>
    <w:rsid w:val="00853F3D"/>
    <w:rsid w:val="00854F8E"/>
    <w:rsid w:val="00856070"/>
    <w:rsid w:val="00874DE4"/>
    <w:rsid w:val="0087590C"/>
    <w:rsid w:val="0088488C"/>
    <w:rsid w:val="00887F71"/>
    <w:rsid w:val="008C0DBC"/>
    <w:rsid w:val="008C2827"/>
    <w:rsid w:val="008C3B9D"/>
    <w:rsid w:val="008C760F"/>
    <w:rsid w:val="008C7CC6"/>
    <w:rsid w:val="008D56FF"/>
    <w:rsid w:val="008D7C30"/>
    <w:rsid w:val="008E6DC7"/>
    <w:rsid w:val="00910B42"/>
    <w:rsid w:val="0091129D"/>
    <w:rsid w:val="00911EEB"/>
    <w:rsid w:val="00921006"/>
    <w:rsid w:val="009255B0"/>
    <w:rsid w:val="00931D56"/>
    <w:rsid w:val="00945BDC"/>
    <w:rsid w:val="0096530E"/>
    <w:rsid w:val="00966A5B"/>
    <w:rsid w:val="009745E0"/>
    <w:rsid w:val="009A4ECD"/>
    <w:rsid w:val="009B2CDB"/>
    <w:rsid w:val="009C636C"/>
    <w:rsid w:val="009D22FD"/>
    <w:rsid w:val="009D43C0"/>
    <w:rsid w:val="009E0A70"/>
    <w:rsid w:val="009E6943"/>
    <w:rsid w:val="009F003A"/>
    <w:rsid w:val="009F01FB"/>
    <w:rsid w:val="009F55CE"/>
    <w:rsid w:val="009F567E"/>
    <w:rsid w:val="009F59B0"/>
    <w:rsid w:val="00A142E4"/>
    <w:rsid w:val="00A1780B"/>
    <w:rsid w:val="00A21E0C"/>
    <w:rsid w:val="00A31971"/>
    <w:rsid w:val="00A428DB"/>
    <w:rsid w:val="00A56A12"/>
    <w:rsid w:val="00A637AE"/>
    <w:rsid w:val="00A729A2"/>
    <w:rsid w:val="00A75186"/>
    <w:rsid w:val="00A83118"/>
    <w:rsid w:val="00A91438"/>
    <w:rsid w:val="00A92C4C"/>
    <w:rsid w:val="00AA2410"/>
    <w:rsid w:val="00AA405E"/>
    <w:rsid w:val="00AA63B2"/>
    <w:rsid w:val="00AA7946"/>
    <w:rsid w:val="00AB3D76"/>
    <w:rsid w:val="00AC1FE6"/>
    <w:rsid w:val="00AC2915"/>
    <w:rsid w:val="00AC31D2"/>
    <w:rsid w:val="00AD4997"/>
    <w:rsid w:val="00AF2A60"/>
    <w:rsid w:val="00AF5995"/>
    <w:rsid w:val="00B0506D"/>
    <w:rsid w:val="00B05A28"/>
    <w:rsid w:val="00B22C68"/>
    <w:rsid w:val="00B2449C"/>
    <w:rsid w:val="00B256A8"/>
    <w:rsid w:val="00B42EA2"/>
    <w:rsid w:val="00B44F53"/>
    <w:rsid w:val="00B45FE9"/>
    <w:rsid w:val="00B64FA2"/>
    <w:rsid w:val="00B66E51"/>
    <w:rsid w:val="00B70D75"/>
    <w:rsid w:val="00B75A64"/>
    <w:rsid w:val="00B76B06"/>
    <w:rsid w:val="00B772F8"/>
    <w:rsid w:val="00B81504"/>
    <w:rsid w:val="00B81917"/>
    <w:rsid w:val="00B84563"/>
    <w:rsid w:val="00BA112F"/>
    <w:rsid w:val="00BA15E7"/>
    <w:rsid w:val="00BA3C49"/>
    <w:rsid w:val="00BA6AB2"/>
    <w:rsid w:val="00BB32FB"/>
    <w:rsid w:val="00BD0DA5"/>
    <w:rsid w:val="00BD0E0A"/>
    <w:rsid w:val="00BD402D"/>
    <w:rsid w:val="00BD7A1F"/>
    <w:rsid w:val="00BF34AD"/>
    <w:rsid w:val="00BF6414"/>
    <w:rsid w:val="00BF656C"/>
    <w:rsid w:val="00C055DD"/>
    <w:rsid w:val="00C0761E"/>
    <w:rsid w:val="00C07B47"/>
    <w:rsid w:val="00C07CD1"/>
    <w:rsid w:val="00C12448"/>
    <w:rsid w:val="00C14023"/>
    <w:rsid w:val="00C17E9B"/>
    <w:rsid w:val="00C32DFD"/>
    <w:rsid w:val="00C342CD"/>
    <w:rsid w:val="00C35375"/>
    <w:rsid w:val="00C374B4"/>
    <w:rsid w:val="00C470E8"/>
    <w:rsid w:val="00C61BAC"/>
    <w:rsid w:val="00C65CCF"/>
    <w:rsid w:val="00C82060"/>
    <w:rsid w:val="00C95DE1"/>
    <w:rsid w:val="00CA153A"/>
    <w:rsid w:val="00CA327E"/>
    <w:rsid w:val="00CA5B12"/>
    <w:rsid w:val="00CA6033"/>
    <w:rsid w:val="00CA7DD5"/>
    <w:rsid w:val="00CB7EDA"/>
    <w:rsid w:val="00CC1AFE"/>
    <w:rsid w:val="00CD24EC"/>
    <w:rsid w:val="00CE137D"/>
    <w:rsid w:val="00CE495C"/>
    <w:rsid w:val="00CE788B"/>
    <w:rsid w:val="00D10042"/>
    <w:rsid w:val="00D3348F"/>
    <w:rsid w:val="00D35D06"/>
    <w:rsid w:val="00D476B2"/>
    <w:rsid w:val="00D51F56"/>
    <w:rsid w:val="00D57471"/>
    <w:rsid w:val="00D60025"/>
    <w:rsid w:val="00D81446"/>
    <w:rsid w:val="00D848D8"/>
    <w:rsid w:val="00D85AE0"/>
    <w:rsid w:val="00D85F88"/>
    <w:rsid w:val="00DA6614"/>
    <w:rsid w:val="00DC21C1"/>
    <w:rsid w:val="00DC63C3"/>
    <w:rsid w:val="00DD56B0"/>
    <w:rsid w:val="00DE3C57"/>
    <w:rsid w:val="00DE49B9"/>
    <w:rsid w:val="00E02643"/>
    <w:rsid w:val="00E05351"/>
    <w:rsid w:val="00E30150"/>
    <w:rsid w:val="00E349F9"/>
    <w:rsid w:val="00E44ECA"/>
    <w:rsid w:val="00E52E14"/>
    <w:rsid w:val="00E62090"/>
    <w:rsid w:val="00E8213E"/>
    <w:rsid w:val="00E8763F"/>
    <w:rsid w:val="00E973A1"/>
    <w:rsid w:val="00EA749A"/>
    <w:rsid w:val="00EA7753"/>
    <w:rsid w:val="00EB5707"/>
    <w:rsid w:val="00EB722F"/>
    <w:rsid w:val="00EB78F8"/>
    <w:rsid w:val="00EC0498"/>
    <w:rsid w:val="00EC6A70"/>
    <w:rsid w:val="00EC7C1F"/>
    <w:rsid w:val="00ED62B4"/>
    <w:rsid w:val="00EE3A49"/>
    <w:rsid w:val="00EE4B3D"/>
    <w:rsid w:val="00EF0673"/>
    <w:rsid w:val="00EF3B75"/>
    <w:rsid w:val="00F02981"/>
    <w:rsid w:val="00F11F94"/>
    <w:rsid w:val="00F13B48"/>
    <w:rsid w:val="00F162B1"/>
    <w:rsid w:val="00F307B5"/>
    <w:rsid w:val="00F360BD"/>
    <w:rsid w:val="00F3757C"/>
    <w:rsid w:val="00F53EDD"/>
    <w:rsid w:val="00F55104"/>
    <w:rsid w:val="00F64E41"/>
    <w:rsid w:val="00F932F6"/>
    <w:rsid w:val="00F958D4"/>
    <w:rsid w:val="00FA293F"/>
    <w:rsid w:val="00FB0DEC"/>
    <w:rsid w:val="00FB5523"/>
    <w:rsid w:val="00FC77F8"/>
    <w:rsid w:val="00FD2CA3"/>
    <w:rsid w:val="00FE21F6"/>
    <w:rsid w:val="00FE4B08"/>
    <w:rsid w:val="00FE5EE4"/>
    <w:rsid w:val="00FF68BE"/>
    <w:rsid w:val="00FF7505"/>
    <w:rsid w:val="00FF7C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400E1-3608-4457-A047-3BC7CA13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B75"/>
    <w:pPr>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012A"/>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rsid w:val="0064012A"/>
    <w:rPr>
      <w:rFonts w:ascii="Calibri" w:eastAsia="Calibri" w:hAnsi="Calibri" w:cs="Calibri"/>
    </w:rPr>
  </w:style>
  <w:style w:type="paragraph" w:styleId="Piedepgina">
    <w:name w:val="footer"/>
    <w:basedOn w:val="Normal"/>
    <w:link w:val="PiedepginaCar"/>
    <w:uiPriority w:val="99"/>
    <w:rsid w:val="0064012A"/>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rsid w:val="0064012A"/>
    <w:rPr>
      <w:rFonts w:ascii="Calibri" w:eastAsia="Calibri" w:hAnsi="Calibri" w:cs="Calibri"/>
    </w:rPr>
  </w:style>
  <w:style w:type="character" w:styleId="Nmerodepgina">
    <w:name w:val="page number"/>
    <w:basedOn w:val="Fuentedeprrafopredeter"/>
    <w:rsid w:val="0064012A"/>
    <w:rPr>
      <w:rFonts w:cs="Times New Roman"/>
    </w:rPr>
  </w:style>
  <w:style w:type="paragraph" w:styleId="Sinespaciado">
    <w:name w:val="No Spacing"/>
    <w:aliases w:val="Subtitulo"/>
    <w:link w:val="SinespaciadoCar"/>
    <w:uiPriority w:val="1"/>
    <w:qFormat/>
    <w:rsid w:val="0064012A"/>
    <w:pPr>
      <w:spacing w:after="0" w:line="240" w:lineRule="auto"/>
    </w:pPr>
  </w:style>
  <w:style w:type="paragraph" w:styleId="Prrafodelista">
    <w:name w:val="List Paragraph"/>
    <w:basedOn w:val="Normal"/>
    <w:uiPriority w:val="34"/>
    <w:qFormat/>
    <w:rsid w:val="0064012A"/>
    <w:pPr>
      <w:spacing w:after="160" w:line="256" w:lineRule="auto"/>
      <w:ind w:left="720"/>
      <w:contextualSpacing/>
    </w:pPr>
    <w:rPr>
      <w:rFonts w:asciiTheme="minorHAnsi" w:eastAsiaTheme="minorHAnsi" w:hAnsiTheme="minorHAnsi" w:cstheme="minorBidi"/>
      <w:sz w:val="22"/>
      <w:szCs w:val="22"/>
      <w:lang w:val="es-CO" w:eastAsia="en-US"/>
    </w:rPr>
  </w:style>
  <w:style w:type="character" w:styleId="Refdenotaalpie">
    <w:name w:val="footnote reference"/>
    <w:basedOn w:val="Fuentedeprrafopredeter"/>
    <w:uiPriority w:val="99"/>
    <w:semiHidden/>
    <w:unhideWhenUsed/>
    <w:rsid w:val="0064012A"/>
    <w:rPr>
      <w:vertAlign w:val="superscript"/>
    </w:rPr>
  </w:style>
  <w:style w:type="paragraph" w:customStyle="1" w:styleId="Default">
    <w:name w:val="Default"/>
    <w:uiPriority w:val="99"/>
    <w:rsid w:val="0064012A"/>
    <w:pPr>
      <w:autoSpaceDE w:val="0"/>
      <w:autoSpaceDN w:val="0"/>
      <w:adjustRightInd w:val="0"/>
      <w:spacing w:after="0" w:line="240" w:lineRule="auto"/>
    </w:pPr>
    <w:rPr>
      <w:rFonts w:ascii="Symbol" w:hAnsi="Symbol" w:cs="Symbol"/>
      <w:color w:val="000000"/>
      <w:sz w:val="24"/>
      <w:szCs w:val="24"/>
    </w:rPr>
  </w:style>
  <w:style w:type="character" w:customStyle="1" w:styleId="TextonotapieCar">
    <w:name w:val="Texto nota pie Car"/>
    <w:aliases w:val="Ref. de nota al pie1 Car,Texto de nota al pie Car,Footnotes refss Car,referencia nota al pie Car,BVI fnr Car,Ref. de nota al pie 2 Car,Footnote Text Char Char Char Char Car,Footnote Text Char Char Char Char Char Char Char Char Car"/>
    <w:basedOn w:val="Fuentedeprrafopredeter"/>
    <w:link w:val="Textonotapie"/>
    <w:semiHidden/>
    <w:locked/>
    <w:rsid w:val="0064012A"/>
    <w:rPr>
      <w:sz w:val="20"/>
      <w:szCs w:val="20"/>
    </w:rPr>
  </w:style>
  <w:style w:type="paragraph" w:styleId="Textonotapie">
    <w:name w:val="footnote text"/>
    <w:aliases w:val="Ref. de nota al pie1,Texto de nota al pie,Footnotes refss,referencia nota al pie,BVI fnr,Ref. de nota al pie 2,Footnote Text Char Char Char Char,Footnote Text Char Char Char Char Char Char Char Char,FA Fu,Footnote Text Char"/>
    <w:basedOn w:val="Normal"/>
    <w:link w:val="TextonotapieCar"/>
    <w:semiHidden/>
    <w:unhideWhenUsed/>
    <w:rsid w:val="0064012A"/>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Texto de nota al pie Car1,Footnotes refss Car1,referencia nota al pie Car1,BVI fnr Car1,Ref. de nota al pie 2 Car1,Footnote Text Char Char Char Char Car1,FA Fu Car,Footnote Text Char Car"/>
    <w:basedOn w:val="Fuentedeprrafopredeter"/>
    <w:uiPriority w:val="99"/>
    <w:semiHidden/>
    <w:rsid w:val="0064012A"/>
    <w:rPr>
      <w:rFonts w:ascii="Times New Roman" w:eastAsia="MS Mincho" w:hAnsi="Times New Roman" w:cs="Times New Roman"/>
      <w:sz w:val="20"/>
      <w:szCs w:val="20"/>
      <w:lang w:val="es-ES" w:eastAsia="es-ES"/>
    </w:rPr>
  </w:style>
  <w:style w:type="paragraph" w:customStyle="1" w:styleId="paragraph">
    <w:name w:val="paragraph"/>
    <w:basedOn w:val="Normal"/>
    <w:uiPriority w:val="99"/>
    <w:rsid w:val="0064012A"/>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64012A"/>
  </w:style>
  <w:style w:type="character" w:customStyle="1" w:styleId="eop">
    <w:name w:val="eop"/>
    <w:basedOn w:val="Fuentedeprrafopredeter"/>
    <w:rsid w:val="0064012A"/>
  </w:style>
  <w:style w:type="character" w:styleId="Hipervnculo">
    <w:name w:val="Hyperlink"/>
    <w:basedOn w:val="Fuentedeprrafopredeter"/>
    <w:uiPriority w:val="99"/>
    <w:unhideWhenUsed/>
    <w:rsid w:val="00142C77"/>
    <w:rPr>
      <w:color w:val="0000FF"/>
      <w:u w:val="single"/>
    </w:rPr>
  </w:style>
  <w:style w:type="paragraph" w:styleId="NormalWeb">
    <w:name w:val="Normal (Web)"/>
    <w:basedOn w:val="Normal"/>
    <w:uiPriority w:val="99"/>
    <w:rsid w:val="00D848D8"/>
    <w:pPr>
      <w:spacing w:before="100" w:beforeAutospacing="1" w:after="119"/>
    </w:pPr>
    <w:rPr>
      <w:rFonts w:eastAsia="Calibri"/>
    </w:rPr>
  </w:style>
  <w:style w:type="character" w:customStyle="1" w:styleId="SinespaciadoCar">
    <w:name w:val="Sin espaciado Car"/>
    <w:aliases w:val="Subtitulo Car"/>
    <w:basedOn w:val="Fuentedeprrafopredeter"/>
    <w:link w:val="Sinespaciado"/>
    <w:uiPriority w:val="1"/>
    <w:locked/>
    <w:rsid w:val="000309F3"/>
  </w:style>
  <w:style w:type="paragraph" w:styleId="Textodeglobo">
    <w:name w:val="Balloon Text"/>
    <w:basedOn w:val="Normal"/>
    <w:link w:val="TextodegloboCar"/>
    <w:uiPriority w:val="99"/>
    <w:semiHidden/>
    <w:unhideWhenUsed/>
    <w:rsid w:val="00C470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70E8"/>
    <w:rPr>
      <w:rFonts w:ascii="Segoe UI" w:eastAsia="MS Mincho" w:hAnsi="Segoe UI" w:cs="Segoe UI"/>
      <w:sz w:val="18"/>
      <w:szCs w:val="18"/>
      <w:lang w:val="es-ES" w:eastAsia="es-ES"/>
    </w:rPr>
  </w:style>
  <w:style w:type="character" w:styleId="Refdecomentario">
    <w:name w:val="annotation reference"/>
    <w:basedOn w:val="Fuentedeprrafopredeter"/>
    <w:uiPriority w:val="99"/>
    <w:semiHidden/>
    <w:unhideWhenUsed/>
    <w:rsid w:val="0018493A"/>
    <w:rPr>
      <w:sz w:val="16"/>
      <w:szCs w:val="16"/>
    </w:rPr>
  </w:style>
  <w:style w:type="paragraph" w:styleId="Textocomentario">
    <w:name w:val="annotation text"/>
    <w:basedOn w:val="Normal"/>
    <w:link w:val="TextocomentarioCar"/>
    <w:uiPriority w:val="99"/>
    <w:unhideWhenUsed/>
    <w:rsid w:val="0018493A"/>
    <w:rPr>
      <w:sz w:val="20"/>
      <w:szCs w:val="20"/>
    </w:rPr>
  </w:style>
  <w:style w:type="character" w:customStyle="1" w:styleId="TextocomentarioCar">
    <w:name w:val="Texto comentario Car"/>
    <w:basedOn w:val="Fuentedeprrafopredeter"/>
    <w:link w:val="Textocomentario"/>
    <w:uiPriority w:val="99"/>
    <w:rsid w:val="0018493A"/>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958D4"/>
    <w:rPr>
      <w:b/>
      <w:bCs/>
    </w:rPr>
  </w:style>
  <w:style w:type="character" w:customStyle="1" w:styleId="AsuntodelcomentarioCar">
    <w:name w:val="Asunto del comentario Car"/>
    <w:basedOn w:val="TextocomentarioCar"/>
    <w:link w:val="Asuntodelcomentario"/>
    <w:uiPriority w:val="99"/>
    <w:semiHidden/>
    <w:rsid w:val="00F958D4"/>
    <w:rPr>
      <w:rFonts w:ascii="Times New Roman" w:eastAsia="MS Mincho" w:hAnsi="Times New Roman" w:cs="Times New Roman"/>
      <w:b/>
      <w:bCs/>
      <w:sz w:val="20"/>
      <w:szCs w:val="20"/>
      <w:lang w:val="es-ES" w:eastAsia="es-ES"/>
    </w:rPr>
  </w:style>
  <w:style w:type="character" w:styleId="Textoennegrita">
    <w:name w:val="Strong"/>
    <w:basedOn w:val="Fuentedeprrafopredeter"/>
    <w:uiPriority w:val="22"/>
    <w:qFormat/>
    <w:rsid w:val="00BD402D"/>
    <w:rPr>
      <w:b/>
      <w:bCs/>
    </w:rPr>
  </w:style>
  <w:style w:type="character" w:styleId="nfasis">
    <w:name w:val="Emphasis"/>
    <w:basedOn w:val="Fuentedeprrafopredeter"/>
    <w:uiPriority w:val="20"/>
    <w:qFormat/>
    <w:rsid w:val="00105830"/>
    <w:rPr>
      <w:i/>
      <w:iCs/>
    </w:rPr>
  </w:style>
  <w:style w:type="character" w:customStyle="1" w:styleId="superscript">
    <w:name w:val="superscript"/>
    <w:basedOn w:val="Fuentedeprrafopredeter"/>
    <w:rsid w:val="00B0506D"/>
  </w:style>
  <w:style w:type="table" w:styleId="Tablaconcuadrcula">
    <w:name w:val="Table Grid"/>
    <w:basedOn w:val="Tablanormal"/>
    <w:uiPriority w:val="39"/>
    <w:rsid w:val="005C5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E4311"/>
    <w:rPr>
      <w:color w:val="605E5C"/>
      <w:shd w:val="clear" w:color="auto" w:fill="E1DFDD"/>
    </w:rPr>
  </w:style>
  <w:style w:type="character" w:styleId="Hipervnculovisitado">
    <w:name w:val="FollowedHyperlink"/>
    <w:basedOn w:val="Fuentedeprrafopredeter"/>
    <w:uiPriority w:val="99"/>
    <w:semiHidden/>
    <w:unhideWhenUsed/>
    <w:rsid w:val="0006670C"/>
    <w:rPr>
      <w:color w:val="954F72" w:themeColor="followedHyperlink"/>
      <w:u w:val="single"/>
    </w:rPr>
  </w:style>
  <w:style w:type="paragraph" w:customStyle="1" w:styleId="msonormal0">
    <w:name w:val="msonormal"/>
    <w:basedOn w:val="Normal"/>
    <w:uiPriority w:val="99"/>
    <w:rsid w:val="0006670C"/>
    <w:pPr>
      <w:spacing w:before="100" w:beforeAutospacing="1" w:after="11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557">
      <w:bodyDiv w:val="1"/>
      <w:marLeft w:val="0"/>
      <w:marRight w:val="0"/>
      <w:marTop w:val="0"/>
      <w:marBottom w:val="0"/>
      <w:divBdr>
        <w:top w:val="none" w:sz="0" w:space="0" w:color="auto"/>
        <w:left w:val="none" w:sz="0" w:space="0" w:color="auto"/>
        <w:bottom w:val="none" w:sz="0" w:space="0" w:color="auto"/>
        <w:right w:val="none" w:sz="0" w:space="0" w:color="auto"/>
      </w:divBdr>
      <w:divsChild>
        <w:div w:id="1164660403">
          <w:marLeft w:val="0"/>
          <w:marRight w:val="0"/>
          <w:marTop w:val="0"/>
          <w:marBottom w:val="0"/>
          <w:divBdr>
            <w:top w:val="none" w:sz="0" w:space="0" w:color="auto"/>
            <w:left w:val="none" w:sz="0" w:space="0" w:color="auto"/>
            <w:bottom w:val="none" w:sz="0" w:space="0" w:color="auto"/>
            <w:right w:val="none" w:sz="0" w:space="0" w:color="auto"/>
          </w:divBdr>
          <w:divsChild>
            <w:div w:id="786242370">
              <w:marLeft w:val="0"/>
              <w:marRight w:val="0"/>
              <w:marTop w:val="0"/>
              <w:marBottom w:val="0"/>
              <w:divBdr>
                <w:top w:val="none" w:sz="0" w:space="0" w:color="auto"/>
                <w:left w:val="none" w:sz="0" w:space="0" w:color="auto"/>
                <w:bottom w:val="none" w:sz="0" w:space="0" w:color="auto"/>
                <w:right w:val="none" w:sz="0" w:space="0" w:color="auto"/>
              </w:divBdr>
            </w:div>
            <w:div w:id="873033223">
              <w:marLeft w:val="0"/>
              <w:marRight w:val="0"/>
              <w:marTop w:val="0"/>
              <w:marBottom w:val="0"/>
              <w:divBdr>
                <w:top w:val="none" w:sz="0" w:space="0" w:color="auto"/>
                <w:left w:val="none" w:sz="0" w:space="0" w:color="auto"/>
                <w:bottom w:val="none" w:sz="0" w:space="0" w:color="auto"/>
                <w:right w:val="none" w:sz="0" w:space="0" w:color="auto"/>
              </w:divBdr>
            </w:div>
            <w:div w:id="759720785">
              <w:marLeft w:val="0"/>
              <w:marRight w:val="0"/>
              <w:marTop w:val="0"/>
              <w:marBottom w:val="0"/>
              <w:divBdr>
                <w:top w:val="none" w:sz="0" w:space="0" w:color="auto"/>
                <w:left w:val="none" w:sz="0" w:space="0" w:color="auto"/>
                <w:bottom w:val="none" w:sz="0" w:space="0" w:color="auto"/>
                <w:right w:val="none" w:sz="0" w:space="0" w:color="auto"/>
              </w:divBdr>
            </w:div>
            <w:div w:id="601037194">
              <w:marLeft w:val="0"/>
              <w:marRight w:val="0"/>
              <w:marTop w:val="0"/>
              <w:marBottom w:val="0"/>
              <w:divBdr>
                <w:top w:val="none" w:sz="0" w:space="0" w:color="auto"/>
                <w:left w:val="none" w:sz="0" w:space="0" w:color="auto"/>
                <w:bottom w:val="none" w:sz="0" w:space="0" w:color="auto"/>
                <w:right w:val="none" w:sz="0" w:space="0" w:color="auto"/>
              </w:divBdr>
            </w:div>
          </w:divsChild>
        </w:div>
        <w:div w:id="1775830937">
          <w:marLeft w:val="0"/>
          <w:marRight w:val="0"/>
          <w:marTop w:val="0"/>
          <w:marBottom w:val="0"/>
          <w:divBdr>
            <w:top w:val="none" w:sz="0" w:space="0" w:color="auto"/>
            <w:left w:val="none" w:sz="0" w:space="0" w:color="auto"/>
            <w:bottom w:val="none" w:sz="0" w:space="0" w:color="auto"/>
            <w:right w:val="none" w:sz="0" w:space="0" w:color="auto"/>
          </w:divBdr>
          <w:divsChild>
            <w:div w:id="736168788">
              <w:marLeft w:val="0"/>
              <w:marRight w:val="0"/>
              <w:marTop w:val="0"/>
              <w:marBottom w:val="0"/>
              <w:divBdr>
                <w:top w:val="none" w:sz="0" w:space="0" w:color="auto"/>
                <w:left w:val="none" w:sz="0" w:space="0" w:color="auto"/>
                <w:bottom w:val="none" w:sz="0" w:space="0" w:color="auto"/>
                <w:right w:val="none" w:sz="0" w:space="0" w:color="auto"/>
              </w:divBdr>
            </w:div>
            <w:div w:id="6688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8417">
      <w:bodyDiv w:val="1"/>
      <w:marLeft w:val="0"/>
      <w:marRight w:val="0"/>
      <w:marTop w:val="0"/>
      <w:marBottom w:val="0"/>
      <w:divBdr>
        <w:top w:val="none" w:sz="0" w:space="0" w:color="auto"/>
        <w:left w:val="none" w:sz="0" w:space="0" w:color="auto"/>
        <w:bottom w:val="none" w:sz="0" w:space="0" w:color="auto"/>
        <w:right w:val="none" w:sz="0" w:space="0" w:color="auto"/>
      </w:divBdr>
      <w:divsChild>
        <w:div w:id="15818142">
          <w:marLeft w:val="0"/>
          <w:marRight w:val="0"/>
          <w:marTop w:val="0"/>
          <w:marBottom w:val="0"/>
          <w:divBdr>
            <w:top w:val="none" w:sz="0" w:space="0" w:color="auto"/>
            <w:left w:val="none" w:sz="0" w:space="0" w:color="auto"/>
            <w:bottom w:val="none" w:sz="0" w:space="0" w:color="auto"/>
            <w:right w:val="none" w:sz="0" w:space="0" w:color="auto"/>
          </w:divBdr>
          <w:divsChild>
            <w:div w:id="11430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6451">
      <w:bodyDiv w:val="1"/>
      <w:marLeft w:val="0"/>
      <w:marRight w:val="0"/>
      <w:marTop w:val="0"/>
      <w:marBottom w:val="0"/>
      <w:divBdr>
        <w:top w:val="none" w:sz="0" w:space="0" w:color="auto"/>
        <w:left w:val="none" w:sz="0" w:space="0" w:color="auto"/>
        <w:bottom w:val="none" w:sz="0" w:space="0" w:color="auto"/>
        <w:right w:val="none" w:sz="0" w:space="0" w:color="auto"/>
      </w:divBdr>
    </w:div>
    <w:div w:id="144585557">
      <w:bodyDiv w:val="1"/>
      <w:marLeft w:val="0"/>
      <w:marRight w:val="0"/>
      <w:marTop w:val="0"/>
      <w:marBottom w:val="0"/>
      <w:divBdr>
        <w:top w:val="none" w:sz="0" w:space="0" w:color="auto"/>
        <w:left w:val="none" w:sz="0" w:space="0" w:color="auto"/>
        <w:bottom w:val="none" w:sz="0" w:space="0" w:color="auto"/>
        <w:right w:val="none" w:sz="0" w:space="0" w:color="auto"/>
      </w:divBdr>
    </w:div>
    <w:div w:id="147020294">
      <w:bodyDiv w:val="1"/>
      <w:marLeft w:val="0"/>
      <w:marRight w:val="0"/>
      <w:marTop w:val="0"/>
      <w:marBottom w:val="0"/>
      <w:divBdr>
        <w:top w:val="none" w:sz="0" w:space="0" w:color="auto"/>
        <w:left w:val="none" w:sz="0" w:space="0" w:color="auto"/>
        <w:bottom w:val="none" w:sz="0" w:space="0" w:color="auto"/>
        <w:right w:val="none" w:sz="0" w:space="0" w:color="auto"/>
      </w:divBdr>
      <w:divsChild>
        <w:div w:id="1929191825">
          <w:marLeft w:val="0"/>
          <w:marRight w:val="0"/>
          <w:marTop w:val="0"/>
          <w:marBottom w:val="0"/>
          <w:divBdr>
            <w:top w:val="none" w:sz="0" w:space="0" w:color="auto"/>
            <w:left w:val="none" w:sz="0" w:space="0" w:color="auto"/>
            <w:bottom w:val="none" w:sz="0" w:space="0" w:color="auto"/>
            <w:right w:val="none" w:sz="0" w:space="0" w:color="auto"/>
          </w:divBdr>
        </w:div>
        <w:div w:id="1351177976">
          <w:marLeft w:val="0"/>
          <w:marRight w:val="0"/>
          <w:marTop w:val="0"/>
          <w:marBottom w:val="0"/>
          <w:divBdr>
            <w:top w:val="none" w:sz="0" w:space="0" w:color="auto"/>
            <w:left w:val="none" w:sz="0" w:space="0" w:color="auto"/>
            <w:bottom w:val="none" w:sz="0" w:space="0" w:color="auto"/>
            <w:right w:val="none" w:sz="0" w:space="0" w:color="auto"/>
          </w:divBdr>
        </w:div>
        <w:div w:id="226454520">
          <w:marLeft w:val="0"/>
          <w:marRight w:val="0"/>
          <w:marTop w:val="0"/>
          <w:marBottom w:val="0"/>
          <w:divBdr>
            <w:top w:val="none" w:sz="0" w:space="0" w:color="auto"/>
            <w:left w:val="none" w:sz="0" w:space="0" w:color="auto"/>
            <w:bottom w:val="none" w:sz="0" w:space="0" w:color="auto"/>
            <w:right w:val="none" w:sz="0" w:space="0" w:color="auto"/>
          </w:divBdr>
        </w:div>
        <w:div w:id="1098864890">
          <w:marLeft w:val="0"/>
          <w:marRight w:val="0"/>
          <w:marTop w:val="0"/>
          <w:marBottom w:val="0"/>
          <w:divBdr>
            <w:top w:val="none" w:sz="0" w:space="0" w:color="auto"/>
            <w:left w:val="none" w:sz="0" w:space="0" w:color="auto"/>
            <w:bottom w:val="none" w:sz="0" w:space="0" w:color="auto"/>
            <w:right w:val="none" w:sz="0" w:space="0" w:color="auto"/>
          </w:divBdr>
        </w:div>
        <w:div w:id="81341871">
          <w:marLeft w:val="0"/>
          <w:marRight w:val="0"/>
          <w:marTop w:val="0"/>
          <w:marBottom w:val="0"/>
          <w:divBdr>
            <w:top w:val="none" w:sz="0" w:space="0" w:color="auto"/>
            <w:left w:val="none" w:sz="0" w:space="0" w:color="auto"/>
            <w:bottom w:val="none" w:sz="0" w:space="0" w:color="auto"/>
            <w:right w:val="none" w:sz="0" w:space="0" w:color="auto"/>
          </w:divBdr>
        </w:div>
        <w:div w:id="576939185">
          <w:marLeft w:val="0"/>
          <w:marRight w:val="0"/>
          <w:marTop w:val="0"/>
          <w:marBottom w:val="0"/>
          <w:divBdr>
            <w:top w:val="none" w:sz="0" w:space="0" w:color="auto"/>
            <w:left w:val="none" w:sz="0" w:space="0" w:color="auto"/>
            <w:bottom w:val="none" w:sz="0" w:space="0" w:color="auto"/>
            <w:right w:val="none" w:sz="0" w:space="0" w:color="auto"/>
          </w:divBdr>
        </w:div>
        <w:div w:id="156768631">
          <w:marLeft w:val="0"/>
          <w:marRight w:val="0"/>
          <w:marTop w:val="0"/>
          <w:marBottom w:val="0"/>
          <w:divBdr>
            <w:top w:val="none" w:sz="0" w:space="0" w:color="auto"/>
            <w:left w:val="none" w:sz="0" w:space="0" w:color="auto"/>
            <w:bottom w:val="none" w:sz="0" w:space="0" w:color="auto"/>
            <w:right w:val="none" w:sz="0" w:space="0" w:color="auto"/>
          </w:divBdr>
        </w:div>
        <w:div w:id="2022966866">
          <w:marLeft w:val="0"/>
          <w:marRight w:val="0"/>
          <w:marTop w:val="0"/>
          <w:marBottom w:val="0"/>
          <w:divBdr>
            <w:top w:val="none" w:sz="0" w:space="0" w:color="auto"/>
            <w:left w:val="none" w:sz="0" w:space="0" w:color="auto"/>
            <w:bottom w:val="none" w:sz="0" w:space="0" w:color="auto"/>
            <w:right w:val="none" w:sz="0" w:space="0" w:color="auto"/>
          </w:divBdr>
        </w:div>
      </w:divsChild>
    </w:div>
    <w:div w:id="156843391">
      <w:bodyDiv w:val="1"/>
      <w:marLeft w:val="0"/>
      <w:marRight w:val="0"/>
      <w:marTop w:val="0"/>
      <w:marBottom w:val="0"/>
      <w:divBdr>
        <w:top w:val="none" w:sz="0" w:space="0" w:color="auto"/>
        <w:left w:val="none" w:sz="0" w:space="0" w:color="auto"/>
        <w:bottom w:val="none" w:sz="0" w:space="0" w:color="auto"/>
        <w:right w:val="none" w:sz="0" w:space="0" w:color="auto"/>
      </w:divBdr>
    </w:div>
    <w:div w:id="238250574">
      <w:bodyDiv w:val="1"/>
      <w:marLeft w:val="0"/>
      <w:marRight w:val="0"/>
      <w:marTop w:val="0"/>
      <w:marBottom w:val="0"/>
      <w:divBdr>
        <w:top w:val="none" w:sz="0" w:space="0" w:color="auto"/>
        <w:left w:val="none" w:sz="0" w:space="0" w:color="auto"/>
        <w:bottom w:val="none" w:sz="0" w:space="0" w:color="auto"/>
        <w:right w:val="none" w:sz="0" w:space="0" w:color="auto"/>
      </w:divBdr>
    </w:div>
    <w:div w:id="249392192">
      <w:bodyDiv w:val="1"/>
      <w:marLeft w:val="0"/>
      <w:marRight w:val="0"/>
      <w:marTop w:val="0"/>
      <w:marBottom w:val="0"/>
      <w:divBdr>
        <w:top w:val="none" w:sz="0" w:space="0" w:color="auto"/>
        <w:left w:val="none" w:sz="0" w:space="0" w:color="auto"/>
        <w:bottom w:val="none" w:sz="0" w:space="0" w:color="auto"/>
        <w:right w:val="none" w:sz="0" w:space="0" w:color="auto"/>
      </w:divBdr>
    </w:div>
    <w:div w:id="254289960">
      <w:bodyDiv w:val="1"/>
      <w:marLeft w:val="0"/>
      <w:marRight w:val="0"/>
      <w:marTop w:val="0"/>
      <w:marBottom w:val="0"/>
      <w:divBdr>
        <w:top w:val="none" w:sz="0" w:space="0" w:color="auto"/>
        <w:left w:val="none" w:sz="0" w:space="0" w:color="auto"/>
        <w:bottom w:val="none" w:sz="0" w:space="0" w:color="auto"/>
        <w:right w:val="none" w:sz="0" w:space="0" w:color="auto"/>
      </w:divBdr>
    </w:div>
    <w:div w:id="389772515">
      <w:bodyDiv w:val="1"/>
      <w:marLeft w:val="0"/>
      <w:marRight w:val="0"/>
      <w:marTop w:val="0"/>
      <w:marBottom w:val="0"/>
      <w:divBdr>
        <w:top w:val="none" w:sz="0" w:space="0" w:color="auto"/>
        <w:left w:val="none" w:sz="0" w:space="0" w:color="auto"/>
        <w:bottom w:val="none" w:sz="0" w:space="0" w:color="auto"/>
        <w:right w:val="none" w:sz="0" w:space="0" w:color="auto"/>
      </w:divBdr>
    </w:div>
    <w:div w:id="481384258">
      <w:bodyDiv w:val="1"/>
      <w:marLeft w:val="0"/>
      <w:marRight w:val="0"/>
      <w:marTop w:val="0"/>
      <w:marBottom w:val="0"/>
      <w:divBdr>
        <w:top w:val="none" w:sz="0" w:space="0" w:color="auto"/>
        <w:left w:val="none" w:sz="0" w:space="0" w:color="auto"/>
        <w:bottom w:val="none" w:sz="0" w:space="0" w:color="auto"/>
        <w:right w:val="none" w:sz="0" w:space="0" w:color="auto"/>
      </w:divBdr>
    </w:div>
    <w:div w:id="566889889">
      <w:bodyDiv w:val="1"/>
      <w:marLeft w:val="0"/>
      <w:marRight w:val="0"/>
      <w:marTop w:val="0"/>
      <w:marBottom w:val="0"/>
      <w:divBdr>
        <w:top w:val="none" w:sz="0" w:space="0" w:color="auto"/>
        <w:left w:val="none" w:sz="0" w:space="0" w:color="auto"/>
        <w:bottom w:val="none" w:sz="0" w:space="0" w:color="auto"/>
        <w:right w:val="none" w:sz="0" w:space="0" w:color="auto"/>
      </w:divBdr>
    </w:div>
    <w:div w:id="579217388">
      <w:bodyDiv w:val="1"/>
      <w:marLeft w:val="0"/>
      <w:marRight w:val="0"/>
      <w:marTop w:val="0"/>
      <w:marBottom w:val="0"/>
      <w:divBdr>
        <w:top w:val="none" w:sz="0" w:space="0" w:color="auto"/>
        <w:left w:val="none" w:sz="0" w:space="0" w:color="auto"/>
        <w:bottom w:val="none" w:sz="0" w:space="0" w:color="auto"/>
        <w:right w:val="none" w:sz="0" w:space="0" w:color="auto"/>
      </w:divBdr>
    </w:div>
    <w:div w:id="613555886">
      <w:bodyDiv w:val="1"/>
      <w:marLeft w:val="0"/>
      <w:marRight w:val="0"/>
      <w:marTop w:val="0"/>
      <w:marBottom w:val="0"/>
      <w:divBdr>
        <w:top w:val="none" w:sz="0" w:space="0" w:color="auto"/>
        <w:left w:val="none" w:sz="0" w:space="0" w:color="auto"/>
        <w:bottom w:val="none" w:sz="0" w:space="0" w:color="auto"/>
        <w:right w:val="none" w:sz="0" w:space="0" w:color="auto"/>
      </w:divBdr>
    </w:div>
    <w:div w:id="621495570">
      <w:bodyDiv w:val="1"/>
      <w:marLeft w:val="0"/>
      <w:marRight w:val="0"/>
      <w:marTop w:val="0"/>
      <w:marBottom w:val="0"/>
      <w:divBdr>
        <w:top w:val="none" w:sz="0" w:space="0" w:color="auto"/>
        <w:left w:val="none" w:sz="0" w:space="0" w:color="auto"/>
        <w:bottom w:val="none" w:sz="0" w:space="0" w:color="auto"/>
        <w:right w:val="none" w:sz="0" w:space="0" w:color="auto"/>
      </w:divBdr>
    </w:div>
    <w:div w:id="639916626">
      <w:bodyDiv w:val="1"/>
      <w:marLeft w:val="0"/>
      <w:marRight w:val="0"/>
      <w:marTop w:val="0"/>
      <w:marBottom w:val="0"/>
      <w:divBdr>
        <w:top w:val="none" w:sz="0" w:space="0" w:color="auto"/>
        <w:left w:val="none" w:sz="0" w:space="0" w:color="auto"/>
        <w:bottom w:val="none" w:sz="0" w:space="0" w:color="auto"/>
        <w:right w:val="none" w:sz="0" w:space="0" w:color="auto"/>
      </w:divBdr>
    </w:div>
    <w:div w:id="652560607">
      <w:bodyDiv w:val="1"/>
      <w:marLeft w:val="0"/>
      <w:marRight w:val="0"/>
      <w:marTop w:val="0"/>
      <w:marBottom w:val="0"/>
      <w:divBdr>
        <w:top w:val="none" w:sz="0" w:space="0" w:color="auto"/>
        <w:left w:val="none" w:sz="0" w:space="0" w:color="auto"/>
        <w:bottom w:val="none" w:sz="0" w:space="0" w:color="auto"/>
        <w:right w:val="none" w:sz="0" w:space="0" w:color="auto"/>
      </w:divBdr>
    </w:div>
    <w:div w:id="668365350">
      <w:bodyDiv w:val="1"/>
      <w:marLeft w:val="0"/>
      <w:marRight w:val="0"/>
      <w:marTop w:val="0"/>
      <w:marBottom w:val="0"/>
      <w:divBdr>
        <w:top w:val="none" w:sz="0" w:space="0" w:color="auto"/>
        <w:left w:val="none" w:sz="0" w:space="0" w:color="auto"/>
        <w:bottom w:val="none" w:sz="0" w:space="0" w:color="auto"/>
        <w:right w:val="none" w:sz="0" w:space="0" w:color="auto"/>
      </w:divBdr>
    </w:div>
    <w:div w:id="684786789">
      <w:bodyDiv w:val="1"/>
      <w:marLeft w:val="0"/>
      <w:marRight w:val="0"/>
      <w:marTop w:val="0"/>
      <w:marBottom w:val="0"/>
      <w:divBdr>
        <w:top w:val="none" w:sz="0" w:space="0" w:color="auto"/>
        <w:left w:val="none" w:sz="0" w:space="0" w:color="auto"/>
        <w:bottom w:val="none" w:sz="0" w:space="0" w:color="auto"/>
        <w:right w:val="none" w:sz="0" w:space="0" w:color="auto"/>
      </w:divBdr>
    </w:div>
    <w:div w:id="722410060">
      <w:bodyDiv w:val="1"/>
      <w:marLeft w:val="0"/>
      <w:marRight w:val="0"/>
      <w:marTop w:val="0"/>
      <w:marBottom w:val="0"/>
      <w:divBdr>
        <w:top w:val="none" w:sz="0" w:space="0" w:color="auto"/>
        <w:left w:val="none" w:sz="0" w:space="0" w:color="auto"/>
        <w:bottom w:val="none" w:sz="0" w:space="0" w:color="auto"/>
        <w:right w:val="none" w:sz="0" w:space="0" w:color="auto"/>
      </w:divBdr>
    </w:div>
    <w:div w:id="831215432">
      <w:bodyDiv w:val="1"/>
      <w:marLeft w:val="0"/>
      <w:marRight w:val="0"/>
      <w:marTop w:val="0"/>
      <w:marBottom w:val="0"/>
      <w:divBdr>
        <w:top w:val="none" w:sz="0" w:space="0" w:color="auto"/>
        <w:left w:val="none" w:sz="0" w:space="0" w:color="auto"/>
        <w:bottom w:val="none" w:sz="0" w:space="0" w:color="auto"/>
        <w:right w:val="none" w:sz="0" w:space="0" w:color="auto"/>
      </w:divBdr>
      <w:divsChild>
        <w:div w:id="1090389247">
          <w:marLeft w:val="0"/>
          <w:marRight w:val="0"/>
          <w:marTop w:val="0"/>
          <w:marBottom w:val="0"/>
          <w:divBdr>
            <w:top w:val="none" w:sz="0" w:space="0" w:color="auto"/>
            <w:left w:val="none" w:sz="0" w:space="0" w:color="auto"/>
            <w:bottom w:val="none" w:sz="0" w:space="0" w:color="auto"/>
            <w:right w:val="none" w:sz="0" w:space="0" w:color="auto"/>
          </w:divBdr>
        </w:div>
        <w:div w:id="913127230">
          <w:marLeft w:val="0"/>
          <w:marRight w:val="0"/>
          <w:marTop w:val="0"/>
          <w:marBottom w:val="0"/>
          <w:divBdr>
            <w:top w:val="none" w:sz="0" w:space="0" w:color="auto"/>
            <w:left w:val="none" w:sz="0" w:space="0" w:color="auto"/>
            <w:bottom w:val="none" w:sz="0" w:space="0" w:color="auto"/>
            <w:right w:val="none" w:sz="0" w:space="0" w:color="auto"/>
          </w:divBdr>
        </w:div>
        <w:div w:id="1539928261">
          <w:marLeft w:val="0"/>
          <w:marRight w:val="0"/>
          <w:marTop w:val="0"/>
          <w:marBottom w:val="0"/>
          <w:divBdr>
            <w:top w:val="none" w:sz="0" w:space="0" w:color="auto"/>
            <w:left w:val="none" w:sz="0" w:space="0" w:color="auto"/>
            <w:bottom w:val="none" w:sz="0" w:space="0" w:color="auto"/>
            <w:right w:val="none" w:sz="0" w:space="0" w:color="auto"/>
          </w:divBdr>
        </w:div>
        <w:div w:id="1527523921">
          <w:marLeft w:val="0"/>
          <w:marRight w:val="0"/>
          <w:marTop w:val="0"/>
          <w:marBottom w:val="0"/>
          <w:divBdr>
            <w:top w:val="none" w:sz="0" w:space="0" w:color="auto"/>
            <w:left w:val="none" w:sz="0" w:space="0" w:color="auto"/>
            <w:bottom w:val="none" w:sz="0" w:space="0" w:color="auto"/>
            <w:right w:val="none" w:sz="0" w:space="0" w:color="auto"/>
          </w:divBdr>
        </w:div>
        <w:div w:id="5179536">
          <w:marLeft w:val="0"/>
          <w:marRight w:val="0"/>
          <w:marTop w:val="0"/>
          <w:marBottom w:val="0"/>
          <w:divBdr>
            <w:top w:val="none" w:sz="0" w:space="0" w:color="auto"/>
            <w:left w:val="none" w:sz="0" w:space="0" w:color="auto"/>
            <w:bottom w:val="none" w:sz="0" w:space="0" w:color="auto"/>
            <w:right w:val="none" w:sz="0" w:space="0" w:color="auto"/>
          </w:divBdr>
        </w:div>
        <w:div w:id="24718985">
          <w:marLeft w:val="0"/>
          <w:marRight w:val="0"/>
          <w:marTop w:val="0"/>
          <w:marBottom w:val="0"/>
          <w:divBdr>
            <w:top w:val="none" w:sz="0" w:space="0" w:color="auto"/>
            <w:left w:val="none" w:sz="0" w:space="0" w:color="auto"/>
            <w:bottom w:val="none" w:sz="0" w:space="0" w:color="auto"/>
            <w:right w:val="none" w:sz="0" w:space="0" w:color="auto"/>
          </w:divBdr>
        </w:div>
        <w:div w:id="1231579467">
          <w:marLeft w:val="0"/>
          <w:marRight w:val="0"/>
          <w:marTop w:val="0"/>
          <w:marBottom w:val="0"/>
          <w:divBdr>
            <w:top w:val="none" w:sz="0" w:space="0" w:color="auto"/>
            <w:left w:val="none" w:sz="0" w:space="0" w:color="auto"/>
            <w:bottom w:val="none" w:sz="0" w:space="0" w:color="auto"/>
            <w:right w:val="none" w:sz="0" w:space="0" w:color="auto"/>
          </w:divBdr>
        </w:div>
        <w:div w:id="1988316713">
          <w:marLeft w:val="0"/>
          <w:marRight w:val="0"/>
          <w:marTop w:val="0"/>
          <w:marBottom w:val="0"/>
          <w:divBdr>
            <w:top w:val="none" w:sz="0" w:space="0" w:color="auto"/>
            <w:left w:val="none" w:sz="0" w:space="0" w:color="auto"/>
            <w:bottom w:val="none" w:sz="0" w:space="0" w:color="auto"/>
            <w:right w:val="none" w:sz="0" w:space="0" w:color="auto"/>
          </w:divBdr>
        </w:div>
        <w:div w:id="222957094">
          <w:marLeft w:val="0"/>
          <w:marRight w:val="0"/>
          <w:marTop w:val="0"/>
          <w:marBottom w:val="0"/>
          <w:divBdr>
            <w:top w:val="none" w:sz="0" w:space="0" w:color="auto"/>
            <w:left w:val="none" w:sz="0" w:space="0" w:color="auto"/>
            <w:bottom w:val="none" w:sz="0" w:space="0" w:color="auto"/>
            <w:right w:val="none" w:sz="0" w:space="0" w:color="auto"/>
          </w:divBdr>
          <w:divsChild>
            <w:div w:id="93019039">
              <w:marLeft w:val="-75"/>
              <w:marRight w:val="0"/>
              <w:marTop w:val="30"/>
              <w:marBottom w:val="30"/>
              <w:divBdr>
                <w:top w:val="none" w:sz="0" w:space="0" w:color="auto"/>
                <w:left w:val="none" w:sz="0" w:space="0" w:color="auto"/>
                <w:bottom w:val="none" w:sz="0" w:space="0" w:color="auto"/>
                <w:right w:val="none" w:sz="0" w:space="0" w:color="auto"/>
              </w:divBdr>
              <w:divsChild>
                <w:div w:id="534583183">
                  <w:marLeft w:val="0"/>
                  <w:marRight w:val="0"/>
                  <w:marTop w:val="0"/>
                  <w:marBottom w:val="0"/>
                  <w:divBdr>
                    <w:top w:val="none" w:sz="0" w:space="0" w:color="auto"/>
                    <w:left w:val="none" w:sz="0" w:space="0" w:color="auto"/>
                    <w:bottom w:val="none" w:sz="0" w:space="0" w:color="auto"/>
                    <w:right w:val="none" w:sz="0" w:space="0" w:color="auto"/>
                  </w:divBdr>
                  <w:divsChild>
                    <w:div w:id="673072183">
                      <w:marLeft w:val="0"/>
                      <w:marRight w:val="0"/>
                      <w:marTop w:val="0"/>
                      <w:marBottom w:val="0"/>
                      <w:divBdr>
                        <w:top w:val="none" w:sz="0" w:space="0" w:color="auto"/>
                        <w:left w:val="none" w:sz="0" w:space="0" w:color="auto"/>
                        <w:bottom w:val="none" w:sz="0" w:space="0" w:color="auto"/>
                        <w:right w:val="none" w:sz="0" w:space="0" w:color="auto"/>
                      </w:divBdr>
                    </w:div>
                  </w:divsChild>
                </w:div>
                <w:div w:id="997658626">
                  <w:marLeft w:val="0"/>
                  <w:marRight w:val="0"/>
                  <w:marTop w:val="0"/>
                  <w:marBottom w:val="0"/>
                  <w:divBdr>
                    <w:top w:val="none" w:sz="0" w:space="0" w:color="auto"/>
                    <w:left w:val="none" w:sz="0" w:space="0" w:color="auto"/>
                    <w:bottom w:val="none" w:sz="0" w:space="0" w:color="auto"/>
                    <w:right w:val="none" w:sz="0" w:space="0" w:color="auto"/>
                  </w:divBdr>
                  <w:divsChild>
                    <w:div w:id="1590581713">
                      <w:marLeft w:val="0"/>
                      <w:marRight w:val="0"/>
                      <w:marTop w:val="0"/>
                      <w:marBottom w:val="0"/>
                      <w:divBdr>
                        <w:top w:val="none" w:sz="0" w:space="0" w:color="auto"/>
                        <w:left w:val="none" w:sz="0" w:space="0" w:color="auto"/>
                        <w:bottom w:val="none" w:sz="0" w:space="0" w:color="auto"/>
                        <w:right w:val="none" w:sz="0" w:space="0" w:color="auto"/>
                      </w:divBdr>
                    </w:div>
                  </w:divsChild>
                </w:div>
                <w:div w:id="627442984">
                  <w:marLeft w:val="0"/>
                  <w:marRight w:val="0"/>
                  <w:marTop w:val="0"/>
                  <w:marBottom w:val="0"/>
                  <w:divBdr>
                    <w:top w:val="none" w:sz="0" w:space="0" w:color="auto"/>
                    <w:left w:val="none" w:sz="0" w:space="0" w:color="auto"/>
                    <w:bottom w:val="none" w:sz="0" w:space="0" w:color="auto"/>
                    <w:right w:val="none" w:sz="0" w:space="0" w:color="auto"/>
                  </w:divBdr>
                  <w:divsChild>
                    <w:div w:id="713622089">
                      <w:marLeft w:val="0"/>
                      <w:marRight w:val="0"/>
                      <w:marTop w:val="0"/>
                      <w:marBottom w:val="0"/>
                      <w:divBdr>
                        <w:top w:val="none" w:sz="0" w:space="0" w:color="auto"/>
                        <w:left w:val="none" w:sz="0" w:space="0" w:color="auto"/>
                        <w:bottom w:val="none" w:sz="0" w:space="0" w:color="auto"/>
                        <w:right w:val="none" w:sz="0" w:space="0" w:color="auto"/>
                      </w:divBdr>
                    </w:div>
                  </w:divsChild>
                </w:div>
                <w:div w:id="1096367475">
                  <w:marLeft w:val="0"/>
                  <w:marRight w:val="0"/>
                  <w:marTop w:val="0"/>
                  <w:marBottom w:val="0"/>
                  <w:divBdr>
                    <w:top w:val="none" w:sz="0" w:space="0" w:color="auto"/>
                    <w:left w:val="none" w:sz="0" w:space="0" w:color="auto"/>
                    <w:bottom w:val="none" w:sz="0" w:space="0" w:color="auto"/>
                    <w:right w:val="none" w:sz="0" w:space="0" w:color="auto"/>
                  </w:divBdr>
                  <w:divsChild>
                    <w:div w:id="1304500568">
                      <w:marLeft w:val="0"/>
                      <w:marRight w:val="0"/>
                      <w:marTop w:val="0"/>
                      <w:marBottom w:val="0"/>
                      <w:divBdr>
                        <w:top w:val="none" w:sz="0" w:space="0" w:color="auto"/>
                        <w:left w:val="none" w:sz="0" w:space="0" w:color="auto"/>
                        <w:bottom w:val="none" w:sz="0" w:space="0" w:color="auto"/>
                        <w:right w:val="none" w:sz="0" w:space="0" w:color="auto"/>
                      </w:divBdr>
                    </w:div>
                  </w:divsChild>
                </w:div>
                <w:div w:id="1784839604">
                  <w:marLeft w:val="0"/>
                  <w:marRight w:val="0"/>
                  <w:marTop w:val="0"/>
                  <w:marBottom w:val="0"/>
                  <w:divBdr>
                    <w:top w:val="none" w:sz="0" w:space="0" w:color="auto"/>
                    <w:left w:val="none" w:sz="0" w:space="0" w:color="auto"/>
                    <w:bottom w:val="none" w:sz="0" w:space="0" w:color="auto"/>
                    <w:right w:val="none" w:sz="0" w:space="0" w:color="auto"/>
                  </w:divBdr>
                  <w:divsChild>
                    <w:div w:id="1909997332">
                      <w:marLeft w:val="0"/>
                      <w:marRight w:val="0"/>
                      <w:marTop w:val="0"/>
                      <w:marBottom w:val="0"/>
                      <w:divBdr>
                        <w:top w:val="none" w:sz="0" w:space="0" w:color="auto"/>
                        <w:left w:val="none" w:sz="0" w:space="0" w:color="auto"/>
                        <w:bottom w:val="none" w:sz="0" w:space="0" w:color="auto"/>
                        <w:right w:val="none" w:sz="0" w:space="0" w:color="auto"/>
                      </w:divBdr>
                    </w:div>
                  </w:divsChild>
                </w:div>
                <w:div w:id="82268980">
                  <w:marLeft w:val="0"/>
                  <w:marRight w:val="0"/>
                  <w:marTop w:val="0"/>
                  <w:marBottom w:val="0"/>
                  <w:divBdr>
                    <w:top w:val="none" w:sz="0" w:space="0" w:color="auto"/>
                    <w:left w:val="none" w:sz="0" w:space="0" w:color="auto"/>
                    <w:bottom w:val="none" w:sz="0" w:space="0" w:color="auto"/>
                    <w:right w:val="none" w:sz="0" w:space="0" w:color="auto"/>
                  </w:divBdr>
                  <w:divsChild>
                    <w:div w:id="153569048">
                      <w:marLeft w:val="0"/>
                      <w:marRight w:val="0"/>
                      <w:marTop w:val="0"/>
                      <w:marBottom w:val="0"/>
                      <w:divBdr>
                        <w:top w:val="none" w:sz="0" w:space="0" w:color="auto"/>
                        <w:left w:val="none" w:sz="0" w:space="0" w:color="auto"/>
                        <w:bottom w:val="none" w:sz="0" w:space="0" w:color="auto"/>
                        <w:right w:val="none" w:sz="0" w:space="0" w:color="auto"/>
                      </w:divBdr>
                    </w:div>
                  </w:divsChild>
                </w:div>
                <w:div w:id="1766724678">
                  <w:marLeft w:val="0"/>
                  <w:marRight w:val="0"/>
                  <w:marTop w:val="0"/>
                  <w:marBottom w:val="0"/>
                  <w:divBdr>
                    <w:top w:val="none" w:sz="0" w:space="0" w:color="auto"/>
                    <w:left w:val="none" w:sz="0" w:space="0" w:color="auto"/>
                    <w:bottom w:val="none" w:sz="0" w:space="0" w:color="auto"/>
                    <w:right w:val="none" w:sz="0" w:space="0" w:color="auto"/>
                  </w:divBdr>
                  <w:divsChild>
                    <w:div w:id="188182759">
                      <w:marLeft w:val="0"/>
                      <w:marRight w:val="0"/>
                      <w:marTop w:val="0"/>
                      <w:marBottom w:val="0"/>
                      <w:divBdr>
                        <w:top w:val="none" w:sz="0" w:space="0" w:color="auto"/>
                        <w:left w:val="none" w:sz="0" w:space="0" w:color="auto"/>
                        <w:bottom w:val="none" w:sz="0" w:space="0" w:color="auto"/>
                        <w:right w:val="none" w:sz="0" w:space="0" w:color="auto"/>
                      </w:divBdr>
                    </w:div>
                  </w:divsChild>
                </w:div>
                <w:div w:id="2140611068">
                  <w:marLeft w:val="0"/>
                  <w:marRight w:val="0"/>
                  <w:marTop w:val="0"/>
                  <w:marBottom w:val="0"/>
                  <w:divBdr>
                    <w:top w:val="none" w:sz="0" w:space="0" w:color="auto"/>
                    <w:left w:val="none" w:sz="0" w:space="0" w:color="auto"/>
                    <w:bottom w:val="none" w:sz="0" w:space="0" w:color="auto"/>
                    <w:right w:val="none" w:sz="0" w:space="0" w:color="auto"/>
                  </w:divBdr>
                  <w:divsChild>
                    <w:div w:id="1511412388">
                      <w:marLeft w:val="0"/>
                      <w:marRight w:val="0"/>
                      <w:marTop w:val="0"/>
                      <w:marBottom w:val="0"/>
                      <w:divBdr>
                        <w:top w:val="none" w:sz="0" w:space="0" w:color="auto"/>
                        <w:left w:val="none" w:sz="0" w:space="0" w:color="auto"/>
                        <w:bottom w:val="none" w:sz="0" w:space="0" w:color="auto"/>
                        <w:right w:val="none" w:sz="0" w:space="0" w:color="auto"/>
                      </w:divBdr>
                    </w:div>
                  </w:divsChild>
                </w:div>
                <w:div w:id="1039167940">
                  <w:marLeft w:val="0"/>
                  <w:marRight w:val="0"/>
                  <w:marTop w:val="0"/>
                  <w:marBottom w:val="0"/>
                  <w:divBdr>
                    <w:top w:val="none" w:sz="0" w:space="0" w:color="auto"/>
                    <w:left w:val="none" w:sz="0" w:space="0" w:color="auto"/>
                    <w:bottom w:val="none" w:sz="0" w:space="0" w:color="auto"/>
                    <w:right w:val="none" w:sz="0" w:space="0" w:color="auto"/>
                  </w:divBdr>
                  <w:divsChild>
                    <w:div w:id="1373460134">
                      <w:marLeft w:val="0"/>
                      <w:marRight w:val="0"/>
                      <w:marTop w:val="0"/>
                      <w:marBottom w:val="0"/>
                      <w:divBdr>
                        <w:top w:val="none" w:sz="0" w:space="0" w:color="auto"/>
                        <w:left w:val="none" w:sz="0" w:space="0" w:color="auto"/>
                        <w:bottom w:val="none" w:sz="0" w:space="0" w:color="auto"/>
                        <w:right w:val="none" w:sz="0" w:space="0" w:color="auto"/>
                      </w:divBdr>
                    </w:div>
                  </w:divsChild>
                </w:div>
                <w:div w:id="1546982819">
                  <w:marLeft w:val="0"/>
                  <w:marRight w:val="0"/>
                  <w:marTop w:val="0"/>
                  <w:marBottom w:val="0"/>
                  <w:divBdr>
                    <w:top w:val="none" w:sz="0" w:space="0" w:color="auto"/>
                    <w:left w:val="none" w:sz="0" w:space="0" w:color="auto"/>
                    <w:bottom w:val="none" w:sz="0" w:space="0" w:color="auto"/>
                    <w:right w:val="none" w:sz="0" w:space="0" w:color="auto"/>
                  </w:divBdr>
                  <w:divsChild>
                    <w:div w:id="647516965">
                      <w:marLeft w:val="0"/>
                      <w:marRight w:val="0"/>
                      <w:marTop w:val="0"/>
                      <w:marBottom w:val="0"/>
                      <w:divBdr>
                        <w:top w:val="none" w:sz="0" w:space="0" w:color="auto"/>
                        <w:left w:val="none" w:sz="0" w:space="0" w:color="auto"/>
                        <w:bottom w:val="none" w:sz="0" w:space="0" w:color="auto"/>
                        <w:right w:val="none" w:sz="0" w:space="0" w:color="auto"/>
                      </w:divBdr>
                    </w:div>
                  </w:divsChild>
                </w:div>
                <w:div w:id="102658012">
                  <w:marLeft w:val="0"/>
                  <w:marRight w:val="0"/>
                  <w:marTop w:val="0"/>
                  <w:marBottom w:val="0"/>
                  <w:divBdr>
                    <w:top w:val="none" w:sz="0" w:space="0" w:color="auto"/>
                    <w:left w:val="none" w:sz="0" w:space="0" w:color="auto"/>
                    <w:bottom w:val="none" w:sz="0" w:space="0" w:color="auto"/>
                    <w:right w:val="none" w:sz="0" w:space="0" w:color="auto"/>
                  </w:divBdr>
                  <w:divsChild>
                    <w:div w:id="430903931">
                      <w:marLeft w:val="0"/>
                      <w:marRight w:val="0"/>
                      <w:marTop w:val="0"/>
                      <w:marBottom w:val="0"/>
                      <w:divBdr>
                        <w:top w:val="none" w:sz="0" w:space="0" w:color="auto"/>
                        <w:left w:val="none" w:sz="0" w:space="0" w:color="auto"/>
                        <w:bottom w:val="none" w:sz="0" w:space="0" w:color="auto"/>
                        <w:right w:val="none" w:sz="0" w:space="0" w:color="auto"/>
                      </w:divBdr>
                    </w:div>
                  </w:divsChild>
                </w:div>
                <w:div w:id="949244839">
                  <w:marLeft w:val="0"/>
                  <w:marRight w:val="0"/>
                  <w:marTop w:val="0"/>
                  <w:marBottom w:val="0"/>
                  <w:divBdr>
                    <w:top w:val="none" w:sz="0" w:space="0" w:color="auto"/>
                    <w:left w:val="none" w:sz="0" w:space="0" w:color="auto"/>
                    <w:bottom w:val="none" w:sz="0" w:space="0" w:color="auto"/>
                    <w:right w:val="none" w:sz="0" w:space="0" w:color="auto"/>
                  </w:divBdr>
                  <w:divsChild>
                    <w:div w:id="1879317210">
                      <w:marLeft w:val="0"/>
                      <w:marRight w:val="0"/>
                      <w:marTop w:val="0"/>
                      <w:marBottom w:val="0"/>
                      <w:divBdr>
                        <w:top w:val="none" w:sz="0" w:space="0" w:color="auto"/>
                        <w:left w:val="none" w:sz="0" w:space="0" w:color="auto"/>
                        <w:bottom w:val="none" w:sz="0" w:space="0" w:color="auto"/>
                        <w:right w:val="none" w:sz="0" w:space="0" w:color="auto"/>
                      </w:divBdr>
                    </w:div>
                  </w:divsChild>
                </w:div>
                <w:div w:id="1301610968">
                  <w:marLeft w:val="0"/>
                  <w:marRight w:val="0"/>
                  <w:marTop w:val="0"/>
                  <w:marBottom w:val="0"/>
                  <w:divBdr>
                    <w:top w:val="none" w:sz="0" w:space="0" w:color="auto"/>
                    <w:left w:val="none" w:sz="0" w:space="0" w:color="auto"/>
                    <w:bottom w:val="none" w:sz="0" w:space="0" w:color="auto"/>
                    <w:right w:val="none" w:sz="0" w:space="0" w:color="auto"/>
                  </w:divBdr>
                  <w:divsChild>
                    <w:div w:id="1616476798">
                      <w:marLeft w:val="0"/>
                      <w:marRight w:val="0"/>
                      <w:marTop w:val="0"/>
                      <w:marBottom w:val="0"/>
                      <w:divBdr>
                        <w:top w:val="none" w:sz="0" w:space="0" w:color="auto"/>
                        <w:left w:val="none" w:sz="0" w:space="0" w:color="auto"/>
                        <w:bottom w:val="none" w:sz="0" w:space="0" w:color="auto"/>
                        <w:right w:val="none" w:sz="0" w:space="0" w:color="auto"/>
                      </w:divBdr>
                    </w:div>
                  </w:divsChild>
                </w:div>
                <w:div w:id="704792846">
                  <w:marLeft w:val="0"/>
                  <w:marRight w:val="0"/>
                  <w:marTop w:val="0"/>
                  <w:marBottom w:val="0"/>
                  <w:divBdr>
                    <w:top w:val="none" w:sz="0" w:space="0" w:color="auto"/>
                    <w:left w:val="none" w:sz="0" w:space="0" w:color="auto"/>
                    <w:bottom w:val="none" w:sz="0" w:space="0" w:color="auto"/>
                    <w:right w:val="none" w:sz="0" w:space="0" w:color="auto"/>
                  </w:divBdr>
                  <w:divsChild>
                    <w:div w:id="1338923025">
                      <w:marLeft w:val="0"/>
                      <w:marRight w:val="0"/>
                      <w:marTop w:val="0"/>
                      <w:marBottom w:val="0"/>
                      <w:divBdr>
                        <w:top w:val="none" w:sz="0" w:space="0" w:color="auto"/>
                        <w:left w:val="none" w:sz="0" w:space="0" w:color="auto"/>
                        <w:bottom w:val="none" w:sz="0" w:space="0" w:color="auto"/>
                        <w:right w:val="none" w:sz="0" w:space="0" w:color="auto"/>
                      </w:divBdr>
                    </w:div>
                  </w:divsChild>
                </w:div>
                <w:div w:id="1783918837">
                  <w:marLeft w:val="0"/>
                  <w:marRight w:val="0"/>
                  <w:marTop w:val="0"/>
                  <w:marBottom w:val="0"/>
                  <w:divBdr>
                    <w:top w:val="none" w:sz="0" w:space="0" w:color="auto"/>
                    <w:left w:val="none" w:sz="0" w:space="0" w:color="auto"/>
                    <w:bottom w:val="none" w:sz="0" w:space="0" w:color="auto"/>
                    <w:right w:val="none" w:sz="0" w:space="0" w:color="auto"/>
                  </w:divBdr>
                  <w:divsChild>
                    <w:div w:id="1253665802">
                      <w:marLeft w:val="0"/>
                      <w:marRight w:val="0"/>
                      <w:marTop w:val="0"/>
                      <w:marBottom w:val="0"/>
                      <w:divBdr>
                        <w:top w:val="none" w:sz="0" w:space="0" w:color="auto"/>
                        <w:left w:val="none" w:sz="0" w:space="0" w:color="auto"/>
                        <w:bottom w:val="none" w:sz="0" w:space="0" w:color="auto"/>
                        <w:right w:val="none" w:sz="0" w:space="0" w:color="auto"/>
                      </w:divBdr>
                    </w:div>
                  </w:divsChild>
                </w:div>
                <w:div w:id="1720085161">
                  <w:marLeft w:val="0"/>
                  <w:marRight w:val="0"/>
                  <w:marTop w:val="0"/>
                  <w:marBottom w:val="0"/>
                  <w:divBdr>
                    <w:top w:val="none" w:sz="0" w:space="0" w:color="auto"/>
                    <w:left w:val="none" w:sz="0" w:space="0" w:color="auto"/>
                    <w:bottom w:val="none" w:sz="0" w:space="0" w:color="auto"/>
                    <w:right w:val="none" w:sz="0" w:space="0" w:color="auto"/>
                  </w:divBdr>
                  <w:divsChild>
                    <w:div w:id="240869445">
                      <w:marLeft w:val="0"/>
                      <w:marRight w:val="0"/>
                      <w:marTop w:val="0"/>
                      <w:marBottom w:val="0"/>
                      <w:divBdr>
                        <w:top w:val="none" w:sz="0" w:space="0" w:color="auto"/>
                        <w:left w:val="none" w:sz="0" w:space="0" w:color="auto"/>
                        <w:bottom w:val="none" w:sz="0" w:space="0" w:color="auto"/>
                        <w:right w:val="none" w:sz="0" w:space="0" w:color="auto"/>
                      </w:divBdr>
                    </w:div>
                  </w:divsChild>
                </w:div>
                <w:div w:id="1716614559">
                  <w:marLeft w:val="0"/>
                  <w:marRight w:val="0"/>
                  <w:marTop w:val="0"/>
                  <w:marBottom w:val="0"/>
                  <w:divBdr>
                    <w:top w:val="none" w:sz="0" w:space="0" w:color="auto"/>
                    <w:left w:val="none" w:sz="0" w:space="0" w:color="auto"/>
                    <w:bottom w:val="none" w:sz="0" w:space="0" w:color="auto"/>
                    <w:right w:val="none" w:sz="0" w:space="0" w:color="auto"/>
                  </w:divBdr>
                  <w:divsChild>
                    <w:div w:id="1961718681">
                      <w:marLeft w:val="0"/>
                      <w:marRight w:val="0"/>
                      <w:marTop w:val="0"/>
                      <w:marBottom w:val="0"/>
                      <w:divBdr>
                        <w:top w:val="none" w:sz="0" w:space="0" w:color="auto"/>
                        <w:left w:val="none" w:sz="0" w:space="0" w:color="auto"/>
                        <w:bottom w:val="none" w:sz="0" w:space="0" w:color="auto"/>
                        <w:right w:val="none" w:sz="0" w:space="0" w:color="auto"/>
                      </w:divBdr>
                    </w:div>
                  </w:divsChild>
                </w:div>
                <w:div w:id="1984263630">
                  <w:marLeft w:val="0"/>
                  <w:marRight w:val="0"/>
                  <w:marTop w:val="0"/>
                  <w:marBottom w:val="0"/>
                  <w:divBdr>
                    <w:top w:val="none" w:sz="0" w:space="0" w:color="auto"/>
                    <w:left w:val="none" w:sz="0" w:space="0" w:color="auto"/>
                    <w:bottom w:val="none" w:sz="0" w:space="0" w:color="auto"/>
                    <w:right w:val="none" w:sz="0" w:space="0" w:color="auto"/>
                  </w:divBdr>
                  <w:divsChild>
                    <w:div w:id="2137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4604">
          <w:marLeft w:val="0"/>
          <w:marRight w:val="0"/>
          <w:marTop w:val="0"/>
          <w:marBottom w:val="0"/>
          <w:divBdr>
            <w:top w:val="none" w:sz="0" w:space="0" w:color="auto"/>
            <w:left w:val="none" w:sz="0" w:space="0" w:color="auto"/>
            <w:bottom w:val="none" w:sz="0" w:space="0" w:color="auto"/>
            <w:right w:val="none" w:sz="0" w:space="0" w:color="auto"/>
          </w:divBdr>
        </w:div>
        <w:div w:id="299455248">
          <w:marLeft w:val="0"/>
          <w:marRight w:val="0"/>
          <w:marTop w:val="0"/>
          <w:marBottom w:val="0"/>
          <w:divBdr>
            <w:top w:val="none" w:sz="0" w:space="0" w:color="auto"/>
            <w:left w:val="none" w:sz="0" w:space="0" w:color="auto"/>
            <w:bottom w:val="none" w:sz="0" w:space="0" w:color="auto"/>
            <w:right w:val="none" w:sz="0" w:space="0" w:color="auto"/>
          </w:divBdr>
        </w:div>
        <w:div w:id="951352811">
          <w:marLeft w:val="0"/>
          <w:marRight w:val="0"/>
          <w:marTop w:val="0"/>
          <w:marBottom w:val="0"/>
          <w:divBdr>
            <w:top w:val="none" w:sz="0" w:space="0" w:color="auto"/>
            <w:left w:val="none" w:sz="0" w:space="0" w:color="auto"/>
            <w:bottom w:val="none" w:sz="0" w:space="0" w:color="auto"/>
            <w:right w:val="none" w:sz="0" w:space="0" w:color="auto"/>
          </w:divBdr>
        </w:div>
        <w:div w:id="1196888118">
          <w:marLeft w:val="0"/>
          <w:marRight w:val="0"/>
          <w:marTop w:val="0"/>
          <w:marBottom w:val="0"/>
          <w:divBdr>
            <w:top w:val="none" w:sz="0" w:space="0" w:color="auto"/>
            <w:left w:val="none" w:sz="0" w:space="0" w:color="auto"/>
            <w:bottom w:val="none" w:sz="0" w:space="0" w:color="auto"/>
            <w:right w:val="none" w:sz="0" w:space="0" w:color="auto"/>
          </w:divBdr>
        </w:div>
        <w:div w:id="1636715531">
          <w:marLeft w:val="0"/>
          <w:marRight w:val="0"/>
          <w:marTop w:val="0"/>
          <w:marBottom w:val="0"/>
          <w:divBdr>
            <w:top w:val="none" w:sz="0" w:space="0" w:color="auto"/>
            <w:left w:val="none" w:sz="0" w:space="0" w:color="auto"/>
            <w:bottom w:val="none" w:sz="0" w:space="0" w:color="auto"/>
            <w:right w:val="none" w:sz="0" w:space="0" w:color="auto"/>
          </w:divBdr>
        </w:div>
        <w:div w:id="1562515700">
          <w:marLeft w:val="0"/>
          <w:marRight w:val="0"/>
          <w:marTop w:val="0"/>
          <w:marBottom w:val="0"/>
          <w:divBdr>
            <w:top w:val="none" w:sz="0" w:space="0" w:color="auto"/>
            <w:left w:val="none" w:sz="0" w:space="0" w:color="auto"/>
            <w:bottom w:val="none" w:sz="0" w:space="0" w:color="auto"/>
            <w:right w:val="none" w:sz="0" w:space="0" w:color="auto"/>
          </w:divBdr>
        </w:div>
        <w:div w:id="1177958706">
          <w:marLeft w:val="0"/>
          <w:marRight w:val="0"/>
          <w:marTop w:val="0"/>
          <w:marBottom w:val="0"/>
          <w:divBdr>
            <w:top w:val="none" w:sz="0" w:space="0" w:color="auto"/>
            <w:left w:val="none" w:sz="0" w:space="0" w:color="auto"/>
            <w:bottom w:val="none" w:sz="0" w:space="0" w:color="auto"/>
            <w:right w:val="none" w:sz="0" w:space="0" w:color="auto"/>
          </w:divBdr>
        </w:div>
        <w:div w:id="1454403808">
          <w:marLeft w:val="0"/>
          <w:marRight w:val="0"/>
          <w:marTop w:val="0"/>
          <w:marBottom w:val="0"/>
          <w:divBdr>
            <w:top w:val="none" w:sz="0" w:space="0" w:color="auto"/>
            <w:left w:val="none" w:sz="0" w:space="0" w:color="auto"/>
            <w:bottom w:val="none" w:sz="0" w:space="0" w:color="auto"/>
            <w:right w:val="none" w:sz="0" w:space="0" w:color="auto"/>
          </w:divBdr>
        </w:div>
        <w:div w:id="2058704651">
          <w:marLeft w:val="0"/>
          <w:marRight w:val="0"/>
          <w:marTop w:val="0"/>
          <w:marBottom w:val="0"/>
          <w:divBdr>
            <w:top w:val="none" w:sz="0" w:space="0" w:color="auto"/>
            <w:left w:val="none" w:sz="0" w:space="0" w:color="auto"/>
            <w:bottom w:val="none" w:sz="0" w:space="0" w:color="auto"/>
            <w:right w:val="none" w:sz="0" w:space="0" w:color="auto"/>
          </w:divBdr>
        </w:div>
        <w:div w:id="1854877322">
          <w:marLeft w:val="0"/>
          <w:marRight w:val="0"/>
          <w:marTop w:val="0"/>
          <w:marBottom w:val="0"/>
          <w:divBdr>
            <w:top w:val="none" w:sz="0" w:space="0" w:color="auto"/>
            <w:left w:val="none" w:sz="0" w:space="0" w:color="auto"/>
            <w:bottom w:val="none" w:sz="0" w:space="0" w:color="auto"/>
            <w:right w:val="none" w:sz="0" w:space="0" w:color="auto"/>
          </w:divBdr>
        </w:div>
        <w:div w:id="1800565893">
          <w:marLeft w:val="0"/>
          <w:marRight w:val="0"/>
          <w:marTop w:val="0"/>
          <w:marBottom w:val="0"/>
          <w:divBdr>
            <w:top w:val="none" w:sz="0" w:space="0" w:color="auto"/>
            <w:left w:val="none" w:sz="0" w:space="0" w:color="auto"/>
            <w:bottom w:val="none" w:sz="0" w:space="0" w:color="auto"/>
            <w:right w:val="none" w:sz="0" w:space="0" w:color="auto"/>
          </w:divBdr>
        </w:div>
      </w:divsChild>
    </w:div>
    <w:div w:id="979840632">
      <w:bodyDiv w:val="1"/>
      <w:marLeft w:val="0"/>
      <w:marRight w:val="0"/>
      <w:marTop w:val="0"/>
      <w:marBottom w:val="0"/>
      <w:divBdr>
        <w:top w:val="none" w:sz="0" w:space="0" w:color="auto"/>
        <w:left w:val="none" w:sz="0" w:space="0" w:color="auto"/>
        <w:bottom w:val="none" w:sz="0" w:space="0" w:color="auto"/>
        <w:right w:val="none" w:sz="0" w:space="0" w:color="auto"/>
      </w:divBdr>
    </w:div>
    <w:div w:id="1044136382">
      <w:bodyDiv w:val="1"/>
      <w:marLeft w:val="0"/>
      <w:marRight w:val="0"/>
      <w:marTop w:val="0"/>
      <w:marBottom w:val="0"/>
      <w:divBdr>
        <w:top w:val="none" w:sz="0" w:space="0" w:color="auto"/>
        <w:left w:val="none" w:sz="0" w:space="0" w:color="auto"/>
        <w:bottom w:val="none" w:sz="0" w:space="0" w:color="auto"/>
        <w:right w:val="none" w:sz="0" w:space="0" w:color="auto"/>
      </w:divBdr>
    </w:div>
    <w:div w:id="1047875666">
      <w:bodyDiv w:val="1"/>
      <w:marLeft w:val="0"/>
      <w:marRight w:val="0"/>
      <w:marTop w:val="0"/>
      <w:marBottom w:val="0"/>
      <w:divBdr>
        <w:top w:val="none" w:sz="0" w:space="0" w:color="auto"/>
        <w:left w:val="none" w:sz="0" w:space="0" w:color="auto"/>
        <w:bottom w:val="none" w:sz="0" w:space="0" w:color="auto"/>
        <w:right w:val="none" w:sz="0" w:space="0" w:color="auto"/>
      </w:divBdr>
    </w:div>
    <w:div w:id="1072891415">
      <w:bodyDiv w:val="1"/>
      <w:marLeft w:val="0"/>
      <w:marRight w:val="0"/>
      <w:marTop w:val="0"/>
      <w:marBottom w:val="0"/>
      <w:divBdr>
        <w:top w:val="none" w:sz="0" w:space="0" w:color="auto"/>
        <w:left w:val="none" w:sz="0" w:space="0" w:color="auto"/>
        <w:bottom w:val="none" w:sz="0" w:space="0" w:color="auto"/>
        <w:right w:val="none" w:sz="0" w:space="0" w:color="auto"/>
      </w:divBdr>
    </w:div>
    <w:div w:id="1109205374">
      <w:bodyDiv w:val="1"/>
      <w:marLeft w:val="0"/>
      <w:marRight w:val="0"/>
      <w:marTop w:val="0"/>
      <w:marBottom w:val="0"/>
      <w:divBdr>
        <w:top w:val="none" w:sz="0" w:space="0" w:color="auto"/>
        <w:left w:val="none" w:sz="0" w:space="0" w:color="auto"/>
        <w:bottom w:val="none" w:sz="0" w:space="0" w:color="auto"/>
        <w:right w:val="none" w:sz="0" w:space="0" w:color="auto"/>
      </w:divBdr>
    </w:div>
    <w:div w:id="1197695904">
      <w:bodyDiv w:val="1"/>
      <w:marLeft w:val="0"/>
      <w:marRight w:val="0"/>
      <w:marTop w:val="0"/>
      <w:marBottom w:val="0"/>
      <w:divBdr>
        <w:top w:val="none" w:sz="0" w:space="0" w:color="auto"/>
        <w:left w:val="none" w:sz="0" w:space="0" w:color="auto"/>
        <w:bottom w:val="none" w:sz="0" w:space="0" w:color="auto"/>
        <w:right w:val="none" w:sz="0" w:space="0" w:color="auto"/>
      </w:divBdr>
    </w:div>
    <w:div w:id="1307784475">
      <w:bodyDiv w:val="1"/>
      <w:marLeft w:val="0"/>
      <w:marRight w:val="0"/>
      <w:marTop w:val="0"/>
      <w:marBottom w:val="0"/>
      <w:divBdr>
        <w:top w:val="none" w:sz="0" w:space="0" w:color="auto"/>
        <w:left w:val="none" w:sz="0" w:space="0" w:color="auto"/>
        <w:bottom w:val="none" w:sz="0" w:space="0" w:color="auto"/>
        <w:right w:val="none" w:sz="0" w:space="0" w:color="auto"/>
      </w:divBdr>
    </w:div>
    <w:div w:id="1314093676">
      <w:bodyDiv w:val="1"/>
      <w:marLeft w:val="0"/>
      <w:marRight w:val="0"/>
      <w:marTop w:val="0"/>
      <w:marBottom w:val="0"/>
      <w:divBdr>
        <w:top w:val="none" w:sz="0" w:space="0" w:color="auto"/>
        <w:left w:val="none" w:sz="0" w:space="0" w:color="auto"/>
        <w:bottom w:val="none" w:sz="0" w:space="0" w:color="auto"/>
        <w:right w:val="none" w:sz="0" w:space="0" w:color="auto"/>
      </w:divBdr>
    </w:div>
    <w:div w:id="1318613027">
      <w:bodyDiv w:val="1"/>
      <w:marLeft w:val="0"/>
      <w:marRight w:val="0"/>
      <w:marTop w:val="0"/>
      <w:marBottom w:val="0"/>
      <w:divBdr>
        <w:top w:val="none" w:sz="0" w:space="0" w:color="auto"/>
        <w:left w:val="none" w:sz="0" w:space="0" w:color="auto"/>
        <w:bottom w:val="none" w:sz="0" w:space="0" w:color="auto"/>
        <w:right w:val="none" w:sz="0" w:space="0" w:color="auto"/>
      </w:divBdr>
    </w:div>
    <w:div w:id="1330257538">
      <w:bodyDiv w:val="1"/>
      <w:marLeft w:val="0"/>
      <w:marRight w:val="0"/>
      <w:marTop w:val="0"/>
      <w:marBottom w:val="0"/>
      <w:divBdr>
        <w:top w:val="none" w:sz="0" w:space="0" w:color="auto"/>
        <w:left w:val="none" w:sz="0" w:space="0" w:color="auto"/>
        <w:bottom w:val="none" w:sz="0" w:space="0" w:color="auto"/>
        <w:right w:val="none" w:sz="0" w:space="0" w:color="auto"/>
      </w:divBdr>
    </w:div>
    <w:div w:id="1333071857">
      <w:bodyDiv w:val="1"/>
      <w:marLeft w:val="0"/>
      <w:marRight w:val="0"/>
      <w:marTop w:val="0"/>
      <w:marBottom w:val="0"/>
      <w:divBdr>
        <w:top w:val="none" w:sz="0" w:space="0" w:color="auto"/>
        <w:left w:val="none" w:sz="0" w:space="0" w:color="auto"/>
        <w:bottom w:val="none" w:sz="0" w:space="0" w:color="auto"/>
        <w:right w:val="none" w:sz="0" w:space="0" w:color="auto"/>
      </w:divBdr>
      <w:divsChild>
        <w:div w:id="1179389537">
          <w:marLeft w:val="0"/>
          <w:marRight w:val="0"/>
          <w:marTop w:val="0"/>
          <w:marBottom w:val="0"/>
          <w:divBdr>
            <w:top w:val="none" w:sz="0" w:space="0" w:color="auto"/>
            <w:left w:val="none" w:sz="0" w:space="0" w:color="auto"/>
            <w:bottom w:val="none" w:sz="0" w:space="0" w:color="auto"/>
            <w:right w:val="none" w:sz="0" w:space="0" w:color="auto"/>
          </w:divBdr>
        </w:div>
        <w:div w:id="884559408">
          <w:marLeft w:val="0"/>
          <w:marRight w:val="0"/>
          <w:marTop w:val="0"/>
          <w:marBottom w:val="0"/>
          <w:divBdr>
            <w:top w:val="none" w:sz="0" w:space="0" w:color="auto"/>
            <w:left w:val="none" w:sz="0" w:space="0" w:color="auto"/>
            <w:bottom w:val="none" w:sz="0" w:space="0" w:color="auto"/>
            <w:right w:val="none" w:sz="0" w:space="0" w:color="auto"/>
          </w:divBdr>
        </w:div>
        <w:div w:id="768158396">
          <w:marLeft w:val="0"/>
          <w:marRight w:val="0"/>
          <w:marTop w:val="0"/>
          <w:marBottom w:val="0"/>
          <w:divBdr>
            <w:top w:val="none" w:sz="0" w:space="0" w:color="auto"/>
            <w:left w:val="none" w:sz="0" w:space="0" w:color="auto"/>
            <w:bottom w:val="none" w:sz="0" w:space="0" w:color="auto"/>
            <w:right w:val="none" w:sz="0" w:space="0" w:color="auto"/>
          </w:divBdr>
        </w:div>
        <w:div w:id="56904989">
          <w:marLeft w:val="0"/>
          <w:marRight w:val="0"/>
          <w:marTop w:val="0"/>
          <w:marBottom w:val="0"/>
          <w:divBdr>
            <w:top w:val="none" w:sz="0" w:space="0" w:color="auto"/>
            <w:left w:val="none" w:sz="0" w:space="0" w:color="auto"/>
            <w:bottom w:val="none" w:sz="0" w:space="0" w:color="auto"/>
            <w:right w:val="none" w:sz="0" w:space="0" w:color="auto"/>
          </w:divBdr>
        </w:div>
        <w:div w:id="1820416845">
          <w:marLeft w:val="0"/>
          <w:marRight w:val="0"/>
          <w:marTop w:val="0"/>
          <w:marBottom w:val="0"/>
          <w:divBdr>
            <w:top w:val="none" w:sz="0" w:space="0" w:color="auto"/>
            <w:left w:val="none" w:sz="0" w:space="0" w:color="auto"/>
            <w:bottom w:val="none" w:sz="0" w:space="0" w:color="auto"/>
            <w:right w:val="none" w:sz="0" w:space="0" w:color="auto"/>
          </w:divBdr>
        </w:div>
        <w:div w:id="938294330">
          <w:marLeft w:val="0"/>
          <w:marRight w:val="0"/>
          <w:marTop w:val="0"/>
          <w:marBottom w:val="0"/>
          <w:divBdr>
            <w:top w:val="none" w:sz="0" w:space="0" w:color="auto"/>
            <w:left w:val="none" w:sz="0" w:space="0" w:color="auto"/>
            <w:bottom w:val="none" w:sz="0" w:space="0" w:color="auto"/>
            <w:right w:val="none" w:sz="0" w:space="0" w:color="auto"/>
          </w:divBdr>
        </w:div>
        <w:div w:id="282619697">
          <w:marLeft w:val="0"/>
          <w:marRight w:val="0"/>
          <w:marTop w:val="0"/>
          <w:marBottom w:val="0"/>
          <w:divBdr>
            <w:top w:val="none" w:sz="0" w:space="0" w:color="auto"/>
            <w:left w:val="none" w:sz="0" w:space="0" w:color="auto"/>
            <w:bottom w:val="none" w:sz="0" w:space="0" w:color="auto"/>
            <w:right w:val="none" w:sz="0" w:space="0" w:color="auto"/>
          </w:divBdr>
        </w:div>
        <w:div w:id="1298801312">
          <w:marLeft w:val="0"/>
          <w:marRight w:val="0"/>
          <w:marTop w:val="0"/>
          <w:marBottom w:val="0"/>
          <w:divBdr>
            <w:top w:val="none" w:sz="0" w:space="0" w:color="auto"/>
            <w:left w:val="none" w:sz="0" w:space="0" w:color="auto"/>
            <w:bottom w:val="none" w:sz="0" w:space="0" w:color="auto"/>
            <w:right w:val="none" w:sz="0" w:space="0" w:color="auto"/>
          </w:divBdr>
        </w:div>
        <w:div w:id="1610120113">
          <w:marLeft w:val="0"/>
          <w:marRight w:val="0"/>
          <w:marTop w:val="0"/>
          <w:marBottom w:val="0"/>
          <w:divBdr>
            <w:top w:val="none" w:sz="0" w:space="0" w:color="auto"/>
            <w:left w:val="none" w:sz="0" w:space="0" w:color="auto"/>
            <w:bottom w:val="none" w:sz="0" w:space="0" w:color="auto"/>
            <w:right w:val="none" w:sz="0" w:space="0" w:color="auto"/>
          </w:divBdr>
        </w:div>
        <w:div w:id="1488664018">
          <w:marLeft w:val="0"/>
          <w:marRight w:val="0"/>
          <w:marTop w:val="0"/>
          <w:marBottom w:val="0"/>
          <w:divBdr>
            <w:top w:val="none" w:sz="0" w:space="0" w:color="auto"/>
            <w:left w:val="none" w:sz="0" w:space="0" w:color="auto"/>
            <w:bottom w:val="none" w:sz="0" w:space="0" w:color="auto"/>
            <w:right w:val="none" w:sz="0" w:space="0" w:color="auto"/>
          </w:divBdr>
        </w:div>
        <w:div w:id="1048528846">
          <w:marLeft w:val="0"/>
          <w:marRight w:val="0"/>
          <w:marTop w:val="0"/>
          <w:marBottom w:val="0"/>
          <w:divBdr>
            <w:top w:val="none" w:sz="0" w:space="0" w:color="auto"/>
            <w:left w:val="none" w:sz="0" w:space="0" w:color="auto"/>
            <w:bottom w:val="none" w:sz="0" w:space="0" w:color="auto"/>
            <w:right w:val="none" w:sz="0" w:space="0" w:color="auto"/>
          </w:divBdr>
        </w:div>
        <w:div w:id="1236863717">
          <w:marLeft w:val="0"/>
          <w:marRight w:val="0"/>
          <w:marTop w:val="0"/>
          <w:marBottom w:val="0"/>
          <w:divBdr>
            <w:top w:val="none" w:sz="0" w:space="0" w:color="auto"/>
            <w:left w:val="none" w:sz="0" w:space="0" w:color="auto"/>
            <w:bottom w:val="none" w:sz="0" w:space="0" w:color="auto"/>
            <w:right w:val="none" w:sz="0" w:space="0" w:color="auto"/>
          </w:divBdr>
        </w:div>
        <w:div w:id="2046903632">
          <w:marLeft w:val="0"/>
          <w:marRight w:val="0"/>
          <w:marTop w:val="0"/>
          <w:marBottom w:val="0"/>
          <w:divBdr>
            <w:top w:val="none" w:sz="0" w:space="0" w:color="auto"/>
            <w:left w:val="none" w:sz="0" w:space="0" w:color="auto"/>
            <w:bottom w:val="none" w:sz="0" w:space="0" w:color="auto"/>
            <w:right w:val="none" w:sz="0" w:space="0" w:color="auto"/>
          </w:divBdr>
        </w:div>
        <w:div w:id="1557933313">
          <w:marLeft w:val="0"/>
          <w:marRight w:val="0"/>
          <w:marTop w:val="0"/>
          <w:marBottom w:val="0"/>
          <w:divBdr>
            <w:top w:val="none" w:sz="0" w:space="0" w:color="auto"/>
            <w:left w:val="none" w:sz="0" w:space="0" w:color="auto"/>
            <w:bottom w:val="none" w:sz="0" w:space="0" w:color="auto"/>
            <w:right w:val="none" w:sz="0" w:space="0" w:color="auto"/>
          </w:divBdr>
          <w:divsChild>
            <w:div w:id="404226768">
              <w:marLeft w:val="-75"/>
              <w:marRight w:val="0"/>
              <w:marTop w:val="30"/>
              <w:marBottom w:val="30"/>
              <w:divBdr>
                <w:top w:val="none" w:sz="0" w:space="0" w:color="auto"/>
                <w:left w:val="none" w:sz="0" w:space="0" w:color="auto"/>
                <w:bottom w:val="none" w:sz="0" w:space="0" w:color="auto"/>
                <w:right w:val="none" w:sz="0" w:space="0" w:color="auto"/>
              </w:divBdr>
              <w:divsChild>
                <w:div w:id="1537963526">
                  <w:marLeft w:val="0"/>
                  <w:marRight w:val="0"/>
                  <w:marTop w:val="0"/>
                  <w:marBottom w:val="0"/>
                  <w:divBdr>
                    <w:top w:val="none" w:sz="0" w:space="0" w:color="auto"/>
                    <w:left w:val="none" w:sz="0" w:space="0" w:color="auto"/>
                    <w:bottom w:val="none" w:sz="0" w:space="0" w:color="auto"/>
                    <w:right w:val="none" w:sz="0" w:space="0" w:color="auto"/>
                  </w:divBdr>
                  <w:divsChild>
                    <w:div w:id="930817392">
                      <w:marLeft w:val="0"/>
                      <w:marRight w:val="0"/>
                      <w:marTop w:val="0"/>
                      <w:marBottom w:val="0"/>
                      <w:divBdr>
                        <w:top w:val="none" w:sz="0" w:space="0" w:color="auto"/>
                        <w:left w:val="none" w:sz="0" w:space="0" w:color="auto"/>
                        <w:bottom w:val="none" w:sz="0" w:space="0" w:color="auto"/>
                        <w:right w:val="none" w:sz="0" w:space="0" w:color="auto"/>
                      </w:divBdr>
                    </w:div>
                  </w:divsChild>
                </w:div>
                <w:div w:id="139151924">
                  <w:marLeft w:val="0"/>
                  <w:marRight w:val="0"/>
                  <w:marTop w:val="0"/>
                  <w:marBottom w:val="0"/>
                  <w:divBdr>
                    <w:top w:val="none" w:sz="0" w:space="0" w:color="auto"/>
                    <w:left w:val="none" w:sz="0" w:space="0" w:color="auto"/>
                    <w:bottom w:val="none" w:sz="0" w:space="0" w:color="auto"/>
                    <w:right w:val="none" w:sz="0" w:space="0" w:color="auto"/>
                  </w:divBdr>
                  <w:divsChild>
                    <w:div w:id="2063743944">
                      <w:marLeft w:val="0"/>
                      <w:marRight w:val="0"/>
                      <w:marTop w:val="0"/>
                      <w:marBottom w:val="0"/>
                      <w:divBdr>
                        <w:top w:val="none" w:sz="0" w:space="0" w:color="auto"/>
                        <w:left w:val="none" w:sz="0" w:space="0" w:color="auto"/>
                        <w:bottom w:val="none" w:sz="0" w:space="0" w:color="auto"/>
                        <w:right w:val="none" w:sz="0" w:space="0" w:color="auto"/>
                      </w:divBdr>
                    </w:div>
                  </w:divsChild>
                </w:div>
                <w:div w:id="950891285">
                  <w:marLeft w:val="0"/>
                  <w:marRight w:val="0"/>
                  <w:marTop w:val="0"/>
                  <w:marBottom w:val="0"/>
                  <w:divBdr>
                    <w:top w:val="none" w:sz="0" w:space="0" w:color="auto"/>
                    <w:left w:val="none" w:sz="0" w:space="0" w:color="auto"/>
                    <w:bottom w:val="none" w:sz="0" w:space="0" w:color="auto"/>
                    <w:right w:val="none" w:sz="0" w:space="0" w:color="auto"/>
                  </w:divBdr>
                  <w:divsChild>
                    <w:div w:id="1042099118">
                      <w:marLeft w:val="0"/>
                      <w:marRight w:val="0"/>
                      <w:marTop w:val="0"/>
                      <w:marBottom w:val="0"/>
                      <w:divBdr>
                        <w:top w:val="none" w:sz="0" w:space="0" w:color="auto"/>
                        <w:left w:val="none" w:sz="0" w:space="0" w:color="auto"/>
                        <w:bottom w:val="none" w:sz="0" w:space="0" w:color="auto"/>
                        <w:right w:val="none" w:sz="0" w:space="0" w:color="auto"/>
                      </w:divBdr>
                    </w:div>
                  </w:divsChild>
                </w:div>
                <w:div w:id="1998028185">
                  <w:marLeft w:val="0"/>
                  <w:marRight w:val="0"/>
                  <w:marTop w:val="0"/>
                  <w:marBottom w:val="0"/>
                  <w:divBdr>
                    <w:top w:val="none" w:sz="0" w:space="0" w:color="auto"/>
                    <w:left w:val="none" w:sz="0" w:space="0" w:color="auto"/>
                    <w:bottom w:val="none" w:sz="0" w:space="0" w:color="auto"/>
                    <w:right w:val="none" w:sz="0" w:space="0" w:color="auto"/>
                  </w:divBdr>
                  <w:divsChild>
                    <w:div w:id="125701361">
                      <w:marLeft w:val="0"/>
                      <w:marRight w:val="0"/>
                      <w:marTop w:val="0"/>
                      <w:marBottom w:val="0"/>
                      <w:divBdr>
                        <w:top w:val="none" w:sz="0" w:space="0" w:color="auto"/>
                        <w:left w:val="none" w:sz="0" w:space="0" w:color="auto"/>
                        <w:bottom w:val="none" w:sz="0" w:space="0" w:color="auto"/>
                        <w:right w:val="none" w:sz="0" w:space="0" w:color="auto"/>
                      </w:divBdr>
                    </w:div>
                  </w:divsChild>
                </w:div>
                <w:div w:id="2101944770">
                  <w:marLeft w:val="0"/>
                  <w:marRight w:val="0"/>
                  <w:marTop w:val="0"/>
                  <w:marBottom w:val="0"/>
                  <w:divBdr>
                    <w:top w:val="none" w:sz="0" w:space="0" w:color="auto"/>
                    <w:left w:val="none" w:sz="0" w:space="0" w:color="auto"/>
                    <w:bottom w:val="none" w:sz="0" w:space="0" w:color="auto"/>
                    <w:right w:val="none" w:sz="0" w:space="0" w:color="auto"/>
                  </w:divBdr>
                  <w:divsChild>
                    <w:div w:id="2060398221">
                      <w:marLeft w:val="0"/>
                      <w:marRight w:val="0"/>
                      <w:marTop w:val="0"/>
                      <w:marBottom w:val="0"/>
                      <w:divBdr>
                        <w:top w:val="none" w:sz="0" w:space="0" w:color="auto"/>
                        <w:left w:val="none" w:sz="0" w:space="0" w:color="auto"/>
                        <w:bottom w:val="none" w:sz="0" w:space="0" w:color="auto"/>
                        <w:right w:val="none" w:sz="0" w:space="0" w:color="auto"/>
                      </w:divBdr>
                    </w:div>
                  </w:divsChild>
                </w:div>
                <w:div w:id="1524903021">
                  <w:marLeft w:val="0"/>
                  <w:marRight w:val="0"/>
                  <w:marTop w:val="0"/>
                  <w:marBottom w:val="0"/>
                  <w:divBdr>
                    <w:top w:val="none" w:sz="0" w:space="0" w:color="auto"/>
                    <w:left w:val="none" w:sz="0" w:space="0" w:color="auto"/>
                    <w:bottom w:val="none" w:sz="0" w:space="0" w:color="auto"/>
                    <w:right w:val="none" w:sz="0" w:space="0" w:color="auto"/>
                  </w:divBdr>
                  <w:divsChild>
                    <w:div w:id="551968020">
                      <w:marLeft w:val="0"/>
                      <w:marRight w:val="0"/>
                      <w:marTop w:val="0"/>
                      <w:marBottom w:val="0"/>
                      <w:divBdr>
                        <w:top w:val="none" w:sz="0" w:space="0" w:color="auto"/>
                        <w:left w:val="none" w:sz="0" w:space="0" w:color="auto"/>
                        <w:bottom w:val="none" w:sz="0" w:space="0" w:color="auto"/>
                        <w:right w:val="none" w:sz="0" w:space="0" w:color="auto"/>
                      </w:divBdr>
                    </w:div>
                  </w:divsChild>
                </w:div>
                <w:div w:id="1822651290">
                  <w:marLeft w:val="0"/>
                  <w:marRight w:val="0"/>
                  <w:marTop w:val="0"/>
                  <w:marBottom w:val="0"/>
                  <w:divBdr>
                    <w:top w:val="none" w:sz="0" w:space="0" w:color="auto"/>
                    <w:left w:val="none" w:sz="0" w:space="0" w:color="auto"/>
                    <w:bottom w:val="none" w:sz="0" w:space="0" w:color="auto"/>
                    <w:right w:val="none" w:sz="0" w:space="0" w:color="auto"/>
                  </w:divBdr>
                  <w:divsChild>
                    <w:div w:id="1482116865">
                      <w:marLeft w:val="0"/>
                      <w:marRight w:val="0"/>
                      <w:marTop w:val="0"/>
                      <w:marBottom w:val="0"/>
                      <w:divBdr>
                        <w:top w:val="none" w:sz="0" w:space="0" w:color="auto"/>
                        <w:left w:val="none" w:sz="0" w:space="0" w:color="auto"/>
                        <w:bottom w:val="none" w:sz="0" w:space="0" w:color="auto"/>
                        <w:right w:val="none" w:sz="0" w:space="0" w:color="auto"/>
                      </w:divBdr>
                    </w:div>
                  </w:divsChild>
                </w:div>
                <w:div w:id="366834665">
                  <w:marLeft w:val="0"/>
                  <w:marRight w:val="0"/>
                  <w:marTop w:val="0"/>
                  <w:marBottom w:val="0"/>
                  <w:divBdr>
                    <w:top w:val="none" w:sz="0" w:space="0" w:color="auto"/>
                    <w:left w:val="none" w:sz="0" w:space="0" w:color="auto"/>
                    <w:bottom w:val="none" w:sz="0" w:space="0" w:color="auto"/>
                    <w:right w:val="none" w:sz="0" w:space="0" w:color="auto"/>
                  </w:divBdr>
                  <w:divsChild>
                    <w:div w:id="276134577">
                      <w:marLeft w:val="0"/>
                      <w:marRight w:val="0"/>
                      <w:marTop w:val="0"/>
                      <w:marBottom w:val="0"/>
                      <w:divBdr>
                        <w:top w:val="none" w:sz="0" w:space="0" w:color="auto"/>
                        <w:left w:val="none" w:sz="0" w:space="0" w:color="auto"/>
                        <w:bottom w:val="none" w:sz="0" w:space="0" w:color="auto"/>
                        <w:right w:val="none" w:sz="0" w:space="0" w:color="auto"/>
                      </w:divBdr>
                    </w:div>
                  </w:divsChild>
                </w:div>
                <w:div w:id="1738089250">
                  <w:marLeft w:val="0"/>
                  <w:marRight w:val="0"/>
                  <w:marTop w:val="0"/>
                  <w:marBottom w:val="0"/>
                  <w:divBdr>
                    <w:top w:val="none" w:sz="0" w:space="0" w:color="auto"/>
                    <w:left w:val="none" w:sz="0" w:space="0" w:color="auto"/>
                    <w:bottom w:val="none" w:sz="0" w:space="0" w:color="auto"/>
                    <w:right w:val="none" w:sz="0" w:space="0" w:color="auto"/>
                  </w:divBdr>
                  <w:divsChild>
                    <w:div w:id="1234703311">
                      <w:marLeft w:val="0"/>
                      <w:marRight w:val="0"/>
                      <w:marTop w:val="0"/>
                      <w:marBottom w:val="0"/>
                      <w:divBdr>
                        <w:top w:val="none" w:sz="0" w:space="0" w:color="auto"/>
                        <w:left w:val="none" w:sz="0" w:space="0" w:color="auto"/>
                        <w:bottom w:val="none" w:sz="0" w:space="0" w:color="auto"/>
                        <w:right w:val="none" w:sz="0" w:space="0" w:color="auto"/>
                      </w:divBdr>
                    </w:div>
                  </w:divsChild>
                </w:div>
                <w:div w:id="1232883851">
                  <w:marLeft w:val="0"/>
                  <w:marRight w:val="0"/>
                  <w:marTop w:val="0"/>
                  <w:marBottom w:val="0"/>
                  <w:divBdr>
                    <w:top w:val="none" w:sz="0" w:space="0" w:color="auto"/>
                    <w:left w:val="none" w:sz="0" w:space="0" w:color="auto"/>
                    <w:bottom w:val="none" w:sz="0" w:space="0" w:color="auto"/>
                    <w:right w:val="none" w:sz="0" w:space="0" w:color="auto"/>
                  </w:divBdr>
                  <w:divsChild>
                    <w:div w:id="1682663209">
                      <w:marLeft w:val="0"/>
                      <w:marRight w:val="0"/>
                      <w:marTop w:val="0"/>
                      <w:marBottom w:val="0"/>
                      <w:divBdr>
                        <w:top w:val="none" w:sz="0" w:space="0" w:color="auto"/>
                        <w:left w:val="none" w:sz="0" w:space="0" w:color="auto"/>
                        <w:bottom w:val="none" w:sz="0" w:space="0" w:color="auto"/>
                        <w:right w:val="none" w:sz="0" w:space="0" w:color="auto"/>
                      </w:divBdr>
                    </w:div>
                  </w:divsChild>
                </w:div>
                <w:div w:id="627055722">
                  <w:marLeft w:val="0"/>
                  <w:marRight w:val="0"/>
                  <w:marTop w:val="0"/>
                  <w:marBottom w:val="0"/>
                  <w:divBdr>
                    <w:top w:val="none" w:sz="0" w:space="0" w:color="auto"/>
                    <w:left w:val="none" w:sz="0" w:space="0" w:color="auto"/>
                    <w:bottom w:val="none" w:sz="0" w:space="0" w:color="auto"/>
                    <w:right w:val="none" w:sz="0" w:space="0" w:color="auto"/>
                  </w:divBdr>
                  <w:divsChild>
                    <w:div w:id="1928539183">
                      <w:marLeft w:val="0"/>
                      <w:marRight w:val="0"/>
                      <w:marTop w:val="0"/>
                      <w:marBottom w:val="0"/>
                      <w:divBdr>
                        <w:top w:val="none" w:sz="0" w:space="0" w:color="auto"/>
                        <w:left w:val="none" w:sz="0" w:space="0" w:color="auto"/>
                        <w:bottom w:val="none" w:sz="0" w:space="0" w:color="auto"/>
                        <w:right w:val="none" w:sz="0" w:space="0" w:color="auto"/>
                      </w:divBdr>
                    </w:div>
                  </w:divsChild>
                </w:div>
                <w:div w:id="1517113026">
                  <w:marLeft w:val="0"/>
                  <w:marRight w:val="0"/>
                  <w:marTop w:val="0"/>
                  <w:marBottom w:val="0"/>
                  <w:divBdr>
                    <w:top w:val="none" w:sz="0" w:space="0" w:color="auto"/>
                    <w:left w:val="none" w:sz="0" w:space="0" w:color="auto"/>
                    <w:bottom w:val="none" w:sz="0" w:space="0" w:color="auto"/>
                    <w:right w:val="none" w:sz="0" w:space="0" w:color="auto"/>
                  </w:divBdr>
                  <w:divsChild>
                    <w:div w:id="721826238">
                      <w:marLeft w:val="0"/>
                      <w:marRight w:val="0"/>
                      <w:marTop w:val="0"/>
                      <w:marBottom w:val="0"/>
                      <w:divBdr>
                        <w:top w:val="none" w:sz="0" w:space="0" w:color="auto"/>
                        <w:left w:val="none" w:sz="0" w:space="0" w:color="auto"/>
                        <w:bottom w:val="none" w:sz="0" w:space="0" w:color="auto"/>
                        <w:right w:val="none" w:sz="0" w:space="0" w:color="auto"/>
                      </w:divBdr>
                    </w:div>
                  </w:divsChild>
                </w:div>
                <w:div w:id="1249652604">
                  <w:marLeft w:val="0"/>
                  <w:marRight w:val="0"/>
                  <w:marTop w:val="0"/>
                  <w:marBottom w:val="0"/>
                  <w:divBdr>
                    <w:top w:val="none" w:sz="0" w:space="0" w:color="auto"/>
                    <w:left w:val="none" w:sz="0" w:space="0" w:color="auto"/>
                    <w:bottom w:val="none" w:sz="0" w:space="0" w:color="auto"/>
                    <w:right w:val="none" w:sz="0" w:space="0" w:color="auto"/>
                  </w:divBdr>
                  <w:divsChild>
                    <w:div w:id="234439757">
                      <w:marLeft w:val="0"/>
                      <w:marRight w:val="0"/>
                      <w:marTop w:val="0"/>
                      <w:marBottom w:val="0"/>
                      <w:divBdr>
                        <w:top w:val="none" w:sz="0" w:space="0" w:color="auto"/>
                        <w:left w:val="none" w:sz="0" w:space="0" w:color="auto"/>
                        <w:bottom w:val="none" w:sz="0" w:space="0" w:color="auto"/>
                        <w:right w:val="none" w:sz="0" w:space="0" w:color="auto"/>
                      </w:divBdr>
                    </w:div>
                  </w:divsChild>
                </w:div>
                <w:div w:id="1388525658">
                  <w:marLeft w:val="0"/>
                  <w:marRight w:val="0"/>
                  <w:marTop w:val="0"/>
                  <w:marBottom w:val="0"/>
                  <w:divBdr>
                    <w:top w:val="none" w:sz="0" w:space="0" w:color="auto"/>
                    <w:left w:val="none" w:sz="0" w:space="0" w:color="auto"/>
                    <w:bottom w:val="none" w:sz="0" w:space="0" w:color="auto"/>
                    <w:right w:val="none" w:sz="0" w:space="0" w:color="auto"/>
                  </w:divBdr>
                  <w:divsChild>
                    <w:div w:id="1090469517">
                      <w:marLeft w:val="0"/>
                      <w:marRight w:val="0"/>
                      <w:marTop w:val="0"/>
                      <w:marBottom w:val="0"/>
                      <w:divBdr>
                        <w:top w:val="none" w:sz="0" w:space="0" w:color="auto"/>
                        <w:left w:val="none" w:sz="0" w:space="0" w:color="auto"/>
                        <w:bottom w:val="none" w:sz="0" w:space="0" w:color="auto"/>
                        <w:right w:val="none" w:sz="0" w:space="0" w:color="auto"/>
                      </w:divBdr>
                    </w:div>
                  </w:divsChild>
                </w:div>
                <w:div w:id="1487089018">
                  <w:marLeft w:val="0"/>
                  <w:marRight w:val="0"/>
                  <w:marTop w:val="0"/>
                  <w:marBottom w:val="0"/>
                  <w:divBdr>
                    <w:top w:val="none" w:sz="0" w:space="0" w:color="auto"/>
                    <w:left w:val="none" w:sz="0" w:space="0" w:color="auto"/>
                    <w:bottom w:val="none" w:sz="0" w:space="0" w:color="auto"/>
                    <w:right w:val="none" w:sz="0" w:space="0" w:color="auto"/>
                  </w:divBdr>
                  <w:divsChild>
                    <w:div w:id="1872259365">
                      <w:marLeft w:val="0"/>
                      <w:marRight w:val="0"/>
                      <w:marTop w:val="0"/>
                      <w:marBottom w:val="0"/>
                      <w:divBdr>
                        <w:top w:val="none" w:sz="0" w:space="0" w:color="auto"/>
                        <w:left w:val="none" w:sz="0" w:space="0" w:color="auto"/>
                        <w:bottom w:val="none" w:sz="0" w:space="0" w:color="auto"/>
                        <w:right w:val="none" w:sz="0" w:space="0" w:color="auto"/>
                      </w:divBdr>
                    </w:div>
                  </w:divsChild>
                </w:div>
                <w:div w:id="1682509147">
                  <w:marLeft w:val="0"/>
                  <w:marRight w:val="0"/>
                  <w:marTop w:val="0"/>
                  <w:marBottom w:val="0"/>
                  <w:divBdr>
                    <w:top w:val="none" w:sz="0" w:space="0" w:color="auto"/>
                    <w:left w:val="none" w:sz="0" w:space="0" w:color="auto"/>
                    <w:bottom w:val="none" w:sz="0" w:space="0" w:color="auto"/>
                    <w:right w:val="none" w:sz="0" w:space="0" w:color="auto"/>
                  </w:divBdr>
                  <w:divsChild>
                    <w:div w:id="1080100440">
                      <w:marLeft w:val="0"/>
                      <w:marRight w:val="0"/>
                      <w:marTop w:val="0"/>
                      <w:marBottom w:val="0"/>
                      <w:divBdr>
                        <w:top w:val="none" w:sz="0" w:space="0" w:color="auto"/>
                        <w:left w:val="none" w:sz="0" w:space="0" w:color="auto"/>
                        <w:bottom w:val="none" w:sz="0" w:space="0" w:color="auto"/>
                        <w:right w:val="none" w:sz="0" w:space="0" w:color="auto"/>
                      </w:divBdr>
                    </w:div>
                  </w:divsChild>
                </w:div>
                <w:div w:id="131561000">
                  <w:marLeft w:val="0"/>
                  <w:marRight w:val="0"/>
                  <w:marTop w:val="0"/>
                  <w:marBottom w:val="0"/>
                  <w:divBdr>
                    <w:top w:val="none" w:sz="0" w:space="0" w:color="auto"/>
                    <w:left w:val="none" w:sz="0" w:space="0" w:color="auto"/>
                    <w:bottom w:val="none" w:sz="0" w:space="0" w:color="auto"/>
                    <w:right w:val="none" w:sz="0" w:space="0" w:color="auto"/>
                  </w:divBdr>
                  <w:divsChild>
                    <w:div w:id="1442339189">
                      <w:marLeft w:val="0"/>
                      <w:marRight w:val="0"/>
                      <w:marTop w:val="0"/>
                      <w:marBottom w:val="0"/>
                      <w:divBdr>
                        <w:top w:val="none" w:sz="0" w:space="0" w:color="auto"/>
                        <w:left w:val="none" w:sz="0" w:space="0" w:color="auto"/>
                        <w:bottom w:val="none" w:sz="0" w:space="0" w:color="auto"/>
                        <w:right w:val="none" w:sz="0" w:space="0" w:color="auto"/>
                      </w:divBdr>
                    </w:div>
                  </w:divsChild>
                </w:div>
                <w:div w:id="1040662953">
                  <w:marLeft w:val="0"/>
                  <w:marRight w:val="0"/>
                  <w:marTop w:val="0"/>
                  <w:marBottom w:val="0"/>
                  <w:divBdr>
                    <w:top w:val="none" w:sz="0" w:space="0" w:color="auto"/>
                    <w:left w:val="none" w:sz="0" w:space="0" w:color="auto"/>
                    <w:bottom w:val="none" w:sz="0" w:space="0" w:color="auto"/>
                    <w:right w:val="none" w:sz="0" w:space="0" w:color="auto"/>
                  </w:divBdr>
                  <w:divsChild>
                    <w:div w:id="2143501831">
                      <w:marLeft w:val="0"/>
                      <w:marRight w:val="0"/>
                      <w:marTop w:val="0"/>
                      <w:marBottom w:val="0"/>
                      <w:divBdr>
                        <w:top w:val="none" w:sz="0" w:space="0" w:color="auto"/>
                        <w:left w:val="none" w:sz="0" w:space="0" w:color="auto"/>
                        <w:bottom w:val="none" w:sz="0" w:space="0" w:color="auto"/>
                        <w:right w:val="none" w:sz="0" w:space="0" w:color="auto"/>
                      </w:divBdr>
                    </w:div>
                  </w:divsChild>
                </w:div>
                <w:div w:id="1044720084">
                  <w:marLeft w:val="0"/>
                  <w:marRight w:val="0"/>
                  <w:marTop w:val="0"/>
                  <w:marBottom w:val="0"/>
                  <w:divBdr>
                    <w:top w:val="none" w:sz="0" w:space="0" w:color="auto"/>
                    <w:left w:val="none" w:sz="0" w:space="0" w:color="auto"/>
                    <w:bottom w:val="none" w:sz="0" w:space="0" w:color="auto"/>
                    <w:right w:val="none" w:sz="0" w:space="0" w:color="auto"/>
                  </w:divBdr>
                  <w:divsChild>
                    <w:div w:id="2144960299">
                      <w:marLeft w:val="0"/>
                      <w:marRight w:val="0"/>
                      <w:marTop w:val="0"/>
                      <w:marBottom w:val="0"/>
                      <w:divBdr>
                        <w:top w:val="none" w:sz="0" w:space="0" w:color="auto"/>
                        <w:left w:val="none" w:sz="0" w:space="0" w:color="auto"/>
                        <w:bottom w:val="none" w:sz="0" w:space="0" w:color="auto"/>
                        <w:right w:val="none" w:sz="0" w:space="0" w:color="auto"/>
                      </w:divBdr>
                    </w:div>
                  </w:divsChild>
                </w:div>
                <w:div w:id="1463382119">
                  <w:marLeft w:val="0"/>
                  <w:marRight w:val="0"/>
                  <w:marTop w:val="0"/>
                  <w:marBottom w:val="0"/>
                  <w:divBdr>
                    <w:top w:val="none" w:sz="0" w:space="0" w:color="auto"/>
                    <w:left w:val="none" w:sz="0" w:space="0" w:color="auto"/>
                    <w:bottom w:val="none" w:sz="0" w:space="0" w:color="auto"/>
                    <w:right w:val="none" w:sz="0" w:space="0" w:color="auto"/>
                  </w:divBdr>
                  <w:divsChild>
                    <w:div w:id="1050688812">
                      <w:marLeft w:val="0"/>
                      <w:marRight w:val="0"/>
                      <w:marTop w:val="0"/>
                      <w:marBottom w:val="0"/>
                      <w:divBdr>
                        <w:top w:val="none" w:sz="0" w:space="0" w:color="auto"/>
                        <w:left w:val="none" w:sz="0" w:space="0" w:color="auto"/>
                        <w:bottom w:val="none" w:sz="0" w:space="0" w:color="auto"/>
                        <w:right w:val="none" w:sz="0" w:space="0" w:color="auto"/>
                      </w:divBdr>
                    </w:div>
                  </w:divsChild>
                </w:div>
                <w:div w:id="1385831097">
                  <w:marLeft w:val="0"/>
                  <w:marRight w:val="0"/>
                  <w:marTop w:val="0"/>
                  <w:marBottom w:val="0"/>
                  <w:divBdr>
                    <w:top w:val="none" w:sz="0" w:space="0" w:color="auto"/>
                    <w:left w:val="none" w:sz="0" w:space="0" w:color="auto"/>
                    <w:bottom w:val="none" w:sz="0" w:space="0" w:color="auto"/>
                    <w:right w:val="none" w:sz="0" w:space="0" w:color="auto"/>
                  </w:divBdr>
                  <w:divsChild>
                    <w:div w:id="1155024806">
                      <w:marLeft w:val="0"/>
                      <w:marRight w:val="0"/>
                      <w:marTop w:val="0"/>
                      <w:marBottom w:val="0"/>
                      <w:divBdr>
                        <w:top w:val="none" w:sz="0" w:space="0" w:color="auto"/>
                        <w:left w:val="none" w:sz="0" w:space="0" w:color="auto"/>
                        <w:bottom w:val="none" w:sz="0" w:space="0" w:color="auto"/>
                        <w:right w:val="none" w:sz="0" w:space="0" w:color="auto"/>
                      </w:divBdr>
                    </w:div>
                  </w:divsChild>
                </w:div>
                <w:div w:id="1850755506">
                  <w:marLeft w:val="0"/>
                  <w:marRight w:val="0"/>
                  <w:marTop w:val="0"/>
                  <w:marBottom w:val="0"/>
                  <w:divBdr>
                    <w:top w:val="none" w:sz="0" w:space="0" w:color="auto"/>
                    <w:left w:val="none" w:sz="0" w:space="0" w:color="auto"/>
                    <w:bottom w:val="none" w:sz="0" w:space="0" w:color="auto"/>
                    <w:right w:val="none" w:sz="0" w:space="0" w:color="auto"/>
                  </w:divBdr>
                  <w:divsChild>
                    <w:div w:id="1001852238">
                      <w:marLeft w:val="0"/>
                      <w:marRight w:val="0"/>
                      <w:marTop w:val="0"/>
                      <w:marBottom w:val="0"/>
                      <w:divBdr>
                        <w:top w:val="none" w:sz="0" w:space="0" w:color="auto"/>
                        <w:left w:val="none" w:sz="0" w:space="0" w:color="auto"/>
                        <w:bottom w:val="none" w:sz="0" w:space="0" w:color="auto"/>
                        <w:right w:val="none" w:sz="0" w:space="0" w:color="auto"/>
                      </w:divBdr>
                    </w:div>
                  </w:divsChild>
                </w:div>
                <w:div w:id="18632575">
                  <w:marLeft w:val="0"/>
                  <w:marRight w:val="0"/>
                  <w:marTop w:val="0"/>
                  <w:marBottom w:val="0"/>
                  <w:divBdr>
                    <w:top w:val="none" w:sz="0" w:space="0" w:color="auto"/>
                    <w:left w:val="none" w:sz="0" w:space="0" w:color="auto"/>
                    <w:bottom w:val="none" w:sz="0" w:space="0" w:color="auto"/>
                    <w:right w:val="none" w:sz="0" w:space="0" w:color="auto"/>
                  </w:divBdr>
                  <w:divsChild>
                    <w:div w:id="1066146171">
                      <w:marLeft w:val="0"/>
                      <w:marRight w:val="0"/>
                      <w:marTop w:val="0"/>
                      <w:marBottom w:val="0"/>
                      <w:divBdr>
                        <w:top w:val="none" w:sz="0" w:space="0" w:color="auto"/>
                        <w:left w:val="none" w:sz="0" w:space="0" w:color="auto"/>
                        <w:bottom w:val="none" w:sz="0" w:space="0" w:color="auto"/>
                        <w:right w:val="none" w:sz="0" w:space="0" w:color="auto"/>
                      </w:divBdr>
                    </w:div>
                  </w:divsChild>
                </w:div>
                <w:div w:id="1817528464">
                  <w:marLeft w:val="0"/>
                  <w:marRight w:val="0"/>
                  <w:marTop w:val="0"/>
                  <w:marBottom w:val="0"/>
                  <w:divBdr>
                    <w:top w:val="none" w:sz="0" w:space="0" w:color="auto"/>
                    <w:left w:val="none" w:sz="0" w:space="0" w:color="auto"/>
                    <w:bottom w:val="none" w:sz="0" w:space="0" w:color="auto"/>
                    <w:right w:val="none" w:sz="0" w:space="0" w:color="auto"/>
                  </w:divBdr>
                  <w:divsChild>
                    <w:div w:id="1693266323">
                      <w:marLeft w:val="0"/>
                      <w:marRight w:val="0"/>
                      <w:marTop w:val="0"/>
                      <w:marBottom w:val="0"/>
                      <w:divBdr>
                        <w:top w:val="none" w:sz="0" w:space="0" w:color="auto"/>
                        <w:left w:val="none" w:sz="0" w:space="0" w:color="auto"/>
                        <w:bottom w:val="none" w:sz="0" w:space="0" w:color="auto"/>
                        <w:right w:val="none" w:sz="0" w:space="0" w:color="auto"/>
                      </w:divBdr>
                    </w:div>
                  </w:divsChild>
                </w:div>
                <w:div w:id="374811358">
                  <w:marLeft w:val="0"/>
                  <w:marRight w:val="0"/>
                  <w:marTop w:val="0"/>
                  <w:marBottom w:val="0"/>
                  <w:divBdr>
                    <w:top w:val="none" w:sz="0" w:space="0" w:color="auto"/>
                    <w:left w:val="none" w:sz="0" w:space="0" w:color="auto"/>
                    <w:bottom w:val="none" w:sz="0" w:space="0" w:color="auto"/>
                    <w:right w:val="none" w:sz="0" w:space="0" w:color="auto"/>
                  </w:divBdr>
                  <w:divsChild>
                    <w:div w:id="1266235620">
                      <w:marLeft w:val="0"/>
                      <w:marRight w:val="0"/>
                      <w:marTop w:val="0"/>
                      <w:marBottom w:val="0"/>
                      <w:divBdr>
                        <w:top w:val="none" w:sz="0" w:space="0" w:color="auto"/>
                        <w:left w:val="none" w:sz="0" w:space="0" w:color="auto"/>
                        <w:bottom w:val="none" w:sz="0" w:space="0" w:color="auto"/>
                        <w:right w:val="none" w:sz="0" w:space="0" w:color="auto"/>
                      </w:divBdr>
                    </w:div>
                  </w:divsChild>
                </w:div>
                <w:div w:id="1114902788">
                  <w:marLeft w:val="0"/>
                  <w:marRight w:val="0"/>
                  <w:marTop w:val="0"/>
                  <w:marBottom w:val="0"/>
                  <w:divBdr>
                    <w:top w:val="none" w:sz="0" w:space="0" w:color="auto"/>
                    <w:left w:val="none" w:sz="0" w:space="0" w:color="auto"/>
                    <w:bottom w:val="none" w:sz="0" w:space="0" w:color="auto"/>
                    <w:right w:val="none" w:sz="0" w:space="0" w:color="auto"/>
                  </w:divBdr>
                  <w:divsChild>
                    <w:div w:id="671179471">
                      <w:marLeft w:val="0"/>
                      <w:marRight w:val="0"/>
                      <w:marTop w:val="0"/>
                      <w:marBottom w:val="0"/>
                      <w:divBdr>
                        <w:top w:val="none" w:sz="0" w:space="0" w:color="auto"/>
                        <w:left w:val="none" w:sz="0" w:space="0" w:color="auto"/>
                        <w:bottom w:val="none" w:sz="0" w:space="0" w:color="auto"/>
                        <w:right w:val="none" w:sz="0" w:space="0" w:color="auto"/>
                      </w:divBdr>
                    </w:div>
                  </w:divsChild>
                </w:div>
                <w:div w:id="285045308">
                  <w:marLeft w:val="0"/>
                  <w:marRight w:val="0"/>
                  <w:marTop w:val="0"/>
                  <w:marBottom w:val="0"/>
                  <w:divBdr>
                    <w:top w:val="none" w:sz="0" w:space="0" w:color="auto"/>
                    <w:left w:val="none" w:sz="0" w:space="0" w:color="auto"/>
                    <w:bottom w:val="none" w:sz="0" w:space="0" w:color="auto"/>
                    <w:right w:val="none" w:sz="0" w:space="0" w:color="auto"/>
                  </w:divBdr>
                  <w:divsChild>
                    <w:div w:id="1707103388">
                      <w:marLeft w:val="0"/>
                      <w:marRight w:val="0"/>
                      <w:marTop w:val="0"/>
                      <w:marBottom w:val="0"/>
                      <w:divBdr>
                        <w:top w:val="none" w:sz="0" w:space="0" w:color="auto"/>
                        <w:left w:val="none" w:sz="0" w:space="0" w:color="auto"/>
                        <w:bottom w:val="none" w:sz="0" w:space="0" w:color="auto"/>
                        <w:right w:val="none" w:sz="0" w:space="0" w:color="auto"/>
                      </w:divBdr>
                    </w:div>
                  </w:divsChild>
                </w:div>
                <w:div w:id="670371956">
                  <w:marLeft w:val="0"/>
                  <w:marRight w:val="0"/>
                  <w:marTop w:val="0"/>
                  <w:marBottom w:val="0"/>
                  <w:divBdr>
                    <w:top w:val="none" w:sz="0" w:space="0" w:color="auto"/>
                    <w:left w:val="none" w:sz="0" w:space="0" w:color="auto"/>
                    <w:bottom w:val="none" w:sz="0" w:space="0" w:color="auto"/>
                    <w:right w:val="none" w:sz="0" w:space="0" w:color="auto"/>
                  </w:divBdr>
                  <w:divsChild>
                    <w:div w:id="142082940">
                      <w:marLeft w:val="0"/>
                      <w:marRight w:val="0"/>
                      <w:marTop w:val="0"/>
                      <w:marBottom w:val="0"/>
                      <w:divBdr>
                        <w:top w:val="none" w:sz="0" w:space="0" w:color="auto"/>
                        <w:left w:val="none" w:sz="0" w:space="0" w:color="auto"/>
                        <w:bottom w:val="none" w:sz="0" w:space="0" w:color="auto"/>
                        <w:right w:val="none" w:sz="0" w:space="0" w:color="auto"/>
                      </w:divBdr>
                    </w:div>
                  </w:divsChild>
                </w:div>
                <w:div w:id="1766147121">
                  <w:marLeft w:val="0"/>
                  <w:marRight w:val="0"/>
                  <w:marTop w:val="0"/>
                  <w:marBottom w:val="0"/>
                  <w:divBdr>
                    <w:top w:val="none" w:sz="0" w:space="0" w:color="auto"/>
                    <w:left w:val="none" w:sz="0" w:space="0" w:color="auto"/>
                    <w:bottom w:val="none" w:sz="0" w:space="0" w:color="auto"/>
                    <w:right w:val="none" w:sz="0" w:space="0" w:color="auto"/>
                  </w:divBdr>
                  <w:divsChild>
                    <w:div w:id="1294868949">
                      <w:marLeft w:val="0"/>
                      <w:marRight w:val="0"/>
                      <w:marTop w:val="0"/>
                      <w:marBottom w:val="0"/>
                      <w:divBdr>
                        <w:top w:val="none" w:sz="0" w:space="0" w:color="auto"/>
                        <w:left w:val="none" w:sz="0" w:space="0" w:color="auto"/>
                        <w:bottom w:val="none" w:sz="0" w:space="0" w:color="auto"/>
                        <w:right w:val="none" w:sz="0" w:space="0" w:color="auto"/>
                      </w:divBdr>
                    </w:div>
                  </w:divsChild>
                </w:div>
                <w:div w:id="1228343090">
                  <w:marLeft w:val="0"/>
                  <w:marRight w:val="0"/>
                  <w:marTop w:val="0"/>
                  <w:marBottom w:val="0"/>
                  <w:divBdr>
                    <w:top w:val="none" w:sz="0" w:space="0" w:color="auto"/>
                    <w:left w:val="none" w:sz="0" w:space="0" w:color="auto"/>
                    <w:bottom w:val="none" w:sz="0" w:space="0" w:color="auto"/>
                    <w:right w:val="none" w:sz="0" w:space="0" w:color="auto"/>
                  </w:divBdr>
                  <w:divsChild>
                    <w:div w:id="459080906">
                      <w:marLeft w:val="0"/>
                      <w:marRight w:val="0"/>
                      <w:marTop w:val="0"/>
                      <w:marBottom w:val="0"/>
                      <w:divBdr>
                        <w:top w:val="none" w:sz="0" w:space="0" w:color="auto"/>
                        <w:left w:val="none" w:sz="0" w:space="0" w:color="auto"/>
                        <w:bottom w:val="none" w:sz="0" w:space="0" w:color="auto"/>
                        <w:right w:val="none" w:sz="0" w:space="0" w:color="auto"/>
                      </w:divBdr>
                    </w:div>
                  </w:divsChild>
                </w:div>
                <w:div w:id="1946040002">
                  <w:marLeft w:val="0"/>
                  <w:marRight w:val="0"/>
                  <w:marTop w:val="0"/>
                  <w:marBottom w:val="0"/>
                  <w:divBdr>
                    <w:top w:val="none" w:sz="0" w:space="0" w:color="auto"/>
                    <w:left w:val="none" w:sz="0" w:space="0" w:color="auto"/>
                    <w:bottom w:val="none" w:sz="0" w:space="0" w:color="auto"/>
                    <w:right w:val="none" w:sz="0" w:space="0" w:color="auto"/>
                  </w:divBdr>
                  <w:divsChild>
                    <w:div w:id="250047745">
                      <w:marLeft w:val="0"/>
                      <w:marRight w:val="0"/>
                      <w:marTop w:val="0"/>
                      <w:marBottom w:val="0"/>
                      <w:divBdr>
                        <w:top w:val="none" w:sz="0" w:space="0" w:color="auto"/>
                        <w:left w:val="none" w:sz="0" w:space="0" w:color="auto"/>
                        <w:bottom w:val="none" w:sz="0" w:space="0" w:color="auto"/>
                        <w:right w:val="none" w:sz="0" w:space="0" w:color="auto"/>
                      </w:divBdr>
                    </w:div>
                  </w:divsChild>
                </w:div>
                <w:div w:id="1053888070">
                  <w:marLeft w:val="0"/>
                  <w:marRight w:val="0"/>
                  <w:marTop w:val="0"/>
                  <w:marBottom w:val="0"/>
                  <w:divBdr>
                    <w:top w:val="none" w:sz="0" w:space="0" w:color="auto"/>
                    <w:left w:val="none" w:sz="0" w:space="0" w:color="auto"/>
                    <w:bottom w:val="none" w:sz="0" w:space="0" w:color="auto"/>
                    <w:right w:val="none" w:sz="0" w:space="0" w:color="auto"/>
                  </w:divBdr>
                  <w:divsChild>
                    <w:div w:id="1165589254">
                      <w:marLeft w:val="0"/>
                      <w:marRight w:val="0"/>
                      <w:marTop w:val="0"/>
                      <w:marBottom w:val="0"/>
                      <w:divBdr>
                        <w:top w:val="none" w:sz="0" w:space="0" w:color="auto"/>
                        <w:left w:val="none" w:sz="0" w:space="0" w:color="auto"/>
                        <w:bottom w:val="none" w:sz="0" w:space="0" w:color="auto"/>
                        <w:right w:val="none" w:sz="0" w:space="0" w:color="auto"/>
                      </w:divBdr>
                    </w:div>
                  </w:divsChild>
                </w:div>
                <w:div w:id="1123691782">
                  <w:marLeft w:val="0"/>
                  <w:marRight w:val="0"/>
                  <w:marTop w:val="0"/>
                  <w:marBottom w:val="0"/>
                  <w:divBdr>
                    <w:top w:val="none" w:sz="0" w:space="0" w:color="auto"/>
                    <w:left w:val="none" w:sz="0" w:space="0" w:color="auto"/>
                    <w:bottom w:val="none" w:sz="0" w:space="0" w:color="auto"/>
                    <w:right w:val="none" w:sz="0" w:space="0" w:color="auto"/>
                  </w:divBdr>
                  <w:divsChild>
                    <w:div w:id="630862706">
                      <w:marLeft w:val="0"/>
                      <w:marRight w:val="0"/>
                      <w:marTop w:val="0"/>
                      <w:marBottom w:val="0"/>
                      <w:divBdr>
                        <w:top w:val="none" w:sz="0" w:space="0" w:color="auto"/>
                        <w:left w:val="none" w:sz="0" w:space="0" w:color="auto"/>
                        <w:bottom w:val="none" w:sz="0" w:space="0" w:color="auto"/>
                        <w:right w:val="none" w:sz="0" w:space="0" w:color="auto"/>
                      </w:divBdr>
                    </w:div>
                  </w:divsChild>
                </w:div>
                <w:div w:id="1755977656">
                  <w:marLeft w:val="0"/>
                  <w:marRight w:val="0"/>
                  <w:marTop w:val="0"/>
                  <w:marBottom w:val="0"/>
                  <w:divBdr>
                    <w:top w:val="none" w:sz="0" w:space="0" w:color="auto"/>
                    <w:left w:val="none" w:sz="0" w:space="0" w:color="auto"/>
                    <w:bottom w:val="none" w:sz="0" w:space="0" w:color="auto"/>
                    <w:right w:val="none" w:sz="0" w:space="0" w:color="auto"/>
                  </w:divBdr>
                  <w:divsChild>
                    <w:div w:id="1345279111">
                      <w:marLeft w:val="0"/>
                      <w:marRight w:val="0"/>
                      <w:marTop w:val="0"/>
                      <w:marBottom w:val="0"/>
                      <w:divBdr>
                        <w:top w:val="none" w:sz="0" w:space="0" w:color="auto"/>
                        <w:left w:val="none" w:sz="0" w:space="0" w:color="auto"/>
                        <w:bottom w:val="none" w:sz="0" w:space="0" w:color="auto"/>
                        <w:right w:val="none" w:sz="0" w:space="0" w:color="auto"/>
                      </w:divBdr>
                    </w:div>
                  </w:divsChild>
                </w:div>
                <w:div w:id="1687252346">
                  <w:marLeft w:val="0"/>
                  <w:marRight w:val="0"/>
                  <w:marTop w:val="0"/>
                  <w:marBottom w:val="0"/>
                  <w:divBdr>
                    <w:top w:val="none" w:sz="0" w:space="0" w:color="auto"/>
                    <w:left w:val="none" w:sz="0" w:space="0" w:color="auto"/>
                    <w:bottom w:val="none" w:sz="0" w:space="0" w:color="auto"/>
                    <w:right w:val="none" w:sz="0" w:space="0" w:color="auto"/>
                  </w:divBdr>
                  <w:divsChild>
                    <w:div w:id="2055303889">
                      <w:marLeft w:val="0"/>
                      <w:marRight w:val="0"/>
                      <w:marTop w:val="0"/>
                      <w:marBottom w:val="0"/>
                      <w:divBdr>
                        <w:top w:val="none" w:sz="0" w:space="0" w:color="auto"/>
                        <w:left w:val="none" w:sz="0" w:space="0" w:color="auto"/>
                        <w:bottom w:val="none" w:sz="0" w:space="0" w:color="auto"/>
                        <w:right w:val="none" w:sz="0" w:space="0" w:color="auto"/>
                      </w:divBdr>
                    </w:div>
                  </w:divsChild>
                </w:div>
                <w:div w:id="1240098379">
                  <w:marLeft w:val="0"/>
                  <w:marRight w:val="0"/>
                  <w:marTop w:val="0"/>
                  <w:marBottom w:val="0"/>
                  <w:divBdr>
                    <w:top w:val="none" w:sz="0" w:space="0" w:color="auto"/>
                    <w:left w:val="none" w:sz="0" w:space="0" w:color="auto"/>
                    <w:bottom w:val="none" w:sz="0" w:space="0" w:color="auto"/>
                    <w:right w:val="none" w:sz="0" w:space="0" w:color="auto"/>
                  </w:divBdr>
                  <w:divsChild>
                    <w:div w:id="471487416">
                      <w:marLeft w:val="0"/>
                      <w:marRight w:val="0"/>
                      <w:marTop w:val="0"/>
                      <w:marBottom w:val="0"/>
                      <w:divBdr>
                        <w:top w:val="none" w:sz="0" w:space="0" w:color="auto"/>
                        <w:left w:val="none" w:sz="0" w:space="0" w:color="auto"/>
                        <w:bottom w:val="none" w:sz="0" w:space="0" w:color="auto"/>
                        <w:right w:val="none" w:sz="0" w:space="0" w:color="auto"/>
                      </w:divBdr>
                    </w:div>
                  </w:divsChild>
                </w:div>
                <w:div w:id="1355034049">
                  <w:marLeft w:val="0"/>
                  <w:marRight w:val="0"/>
                  <w:marTop w:val="0"/>
                  <w:marBottom w:val="0"/>
                  <w:divBdr>
                    <w:top w:val="none" w:sz="0" w:space="0" w:color="auto"/>
                    <w:left w:val="none" w:sz="0" w:space="0" w:color="auto"/>
                    <w:bottom w:val="none" w:sz="0" w:space="0" w:color="auto"/>
                    <w:right w:val="none" w:sz="0" w:space="0" w:color="auto"/>
                  </w:divBdr>
                  <w:divsChild>
                    <w:div w:id="2112388974">
                      <w:marLeft w:val="0"/>
                      <w:marRight w:val="0"/>
                      <w:marTop w:val="0"/>
                      <w:marBottom w:val="0"/>
                      <w:divBdr>
                        <w:top w:val="none" w:sz="0" w:space="0" w:color="auto"/>
                        <w:left w:val="none" w:sz="0" w:space="0" w:color="auto"/>
                        <w:bottom w:val="none" w:sz="0" w:space="0" w:color="auto"/>
                        <w:right w:val="none" w:sz="0" w:space="0" w:color="auto"/>
                      </w:divBdr>
                    </w:div>
                  </w:divsChild>
                </w:div>
                <w:div w:id="560209514">
                  <w:marLeft w:val="0"/>
                  <w:marRight w:val="0"/>
                  <w:marTop w:val="0"/>
                  <w:marBottom w:val="0"/>
                  <w:divBdr>
                    <w:top w:val="none" w:sz="0" w:space="0" w:color="auto"/>
                    <w:left w:val="none" w:sz="0" w:space="0" w:color="auto"/>
                    <w:bottom w:val="none" w:sz="0" w:space="0" w:color="auto"/>
                    <w:right w:val="none" w:sz="0" w:space="0" w:color="auto"/>
                  </w:divBdr>
                  <w:divsChild>
                    <w:div w:id="1673334569">
                      <w:marLeft w:val="0"/>
                      <w:marRight w:val="0"/>
                      <w:marTop w:val="0"/>
                      <w:marBottom w:val="0"/>
                      <w:divBdr>
                        <w:top w:val="none" w:sz="0" w:space="0" w:color="auto"/>
                        <w:left w:val="none" w:sz="0" w:space="0" w:color="auto"/>
                        <w:bottom w:val="none" w:sz="0" w:space="0" w:color="auto"/>
                        <w:right w:val="none" w:sz="0" w:space="0" w:color="auto"/>
                      </w:divBdr>
                    </w:div>
                  </w:divsChild>
                </w:div>
                <w:div w:id="435834284">
                  <w:marLeft w:val="0"/>
                  <w:marRight w:val="0"/>
                  <w:marTop w:val="0"/>
                  <w:marBottom w:val="0"/>
                  <w:divBdr>
                    <w:top w:val="none" w:sz="0" w:space="0" w:color="auto"/>
                    <w:left w:val="none" w:sz="0" w:space="0" w:color="auto"/>
                    <w:bottom w:val="none" w:sz="0" w:space="0" w:color="auto"/>
                    <w:right w:val="none" w:sz="0" w:space="0" w:color="auto"/>
                  </w:divBdr>
                  <w:divsChild>
                    <w:div w:id="1451048801">
                      <w:marLeft w:val="0"/>
                      <w:marRight w:val="0"/>
                      <w:marTop w:val="0"/>
                      <w:marBottom w:val="0"/>
                      <w:divBdr>
                        <w:top w:val="none" w:sz="0" w:space="0" w:color="auto"/>
                        <w:left w:val="none" w:sz="0" w:space="0" w:color="auto"/>
                        <w:bottom w:val="none" w:sz="0" w:space="0" w:color="auto"/>
                        <w:right w:val="none" w:sz="0" w:space="0" w:color="auto"/>
                      </w:divBdr>
                    </w:div>
                  </w:divsChild>
                </w:div>
                <w:div w:id="921573841">
                  <w:marLeft w:val="0"/>
                  <w:marRight w:val="0"/>
                  <w:marTop w:val="0"/>
                  <w:marBottom w:val="0"/>
                  <w:divBdr>
                    <w:top w:val="none" w:sz="0" w:space="0" w:color="auto"/>
                    <w:left w:val="none" w:sz="0" w:space="0" w:color="auto"/>
                    <w:bottom w:val="none" w:sz="0" w:space="0" w:color="auto"/>
                    <w:right w:val="none" w:sz="0" w:space="0" w:color="auto"/>
                  </w:divBdr>
                  <w:divsChild>
                    <w:div w:id="1570731925">
                      <w:marLeft w:val="0"/>
                      <w:marRight w:val="0"/>
                      <w:marTop w:val="0"/>
                      <w:marBottom w:val="0"/>
                      <w:divBdr>
                        <w:top w:val="none" w:sz="0" w:space="0" w:color="auto"/>
                        <w:left w:val="none" w:sz="0" w:space="0" w:color="auto"/>
                        <w:bottom w:val="none" w:sz="0" w:space="0" w:color="auto"/>
                        <w:right w:val="none" w:sz="0" w:space="0" w:color="auto"/>
                      </w:divBdr>
                    </w:div>
                  </w:divsChild>
                </w:div>
                <w:div w:id="1438526964">
                  <w:marLeft w:val="0"/>
                  <w:marRight w:val="0"/>
                  <w:marTop w:val="0"/>
                  <w:marBottom w:val="0"/>
                  <w:divBdr>
                    <w:top w:val="none" w:sz="0" w:space="0" w:color="auto"/>
                    <w:left w:val="none" w:sz="0" w:space="0" w:color="auto"/>
                    <w:bottom w:val="none" w:sz="0" w:space="0" w:color="auto"/>
                    <w:right w:val="none" w:sz="0" w:space="0" w:color="auto"/>
                  </w:divBdr>
                  <w:divsChild>
                    <w:div w:id="1791892788">
                      <w:marLeft w:val="0"/>
                      <w:marRight w:val="0"/>
                      <w:marTop w:val="0"/>
                      <w:marBottom w:val="0"/>
                      <w:divBdr>
                        <w:top w:val="none" w:sz="0" w:space="0" w:color="auto"/>
                        <w:left w:val="none" w:sz="0" w:space="0" w:color="auto"/>
                        <w:bottom w:val="none" w:sz="0" w:space="0" w:color="auto"/>
                        <w:right w:val="none" w:sz="0" w:space="0" w:color="auto"/>
                      </w:divBdr>
                    </w:div>
                  </w:divsChild>
                </w:div>
                <w:div w:id="319625658">
                  <w:marLeft w:val="0"/>
                  <w:marRight w:val="0"/>
                  <w:marTop w:val="0"/>
                  <w:marBottom w:val="0"/>
                  <w:divBdr>
                    <w:top w:val="none" w:sz="0" w:space="0" w:color="auto"/>
                    <w:left w:val="none" w:sz="0" w:space="0" w:color="auto"/>
                    <w:bottom w:val="none" w:sz="0" w:space="0" w:color="auto"/>
                    <w:right w:val="none" w:sz="0" w:space="0" w:color="auto"/>
                  </w:divBdr>
                  <w:divsChild>
                    <w:div w:id="2032803819">
                      <w:marLeft w:val="0"/>
                      <w:marRight w:val="0"/>
                      <w:marTop w:val="0"/>
                      <w:marBottom w:val="0"/>
                      <w:divBdr>
                        <w:top w:val="none" w:sz="0" w:space="0" w:color="auto"/>
                        <w:left w:val="none" w:sz="0" w:space="0" w:color="auto"/>
                        <w:bottom w:val="none" w:sz="0" w:space="0" w:color="auto"/>
                        <w:right w:val="none" w:sz="0" w:space="0" w:color="auto"/>
                      </w:divBdr>
                    </w:div>
                  </w:divsChild>
                </w:div>
                <w:div w:id="1880166412">
                  <w:marLeft w:val="0"/>
                  <w:marRight w:val="0"/>
                  <w:marTop w:val="0"/>
                  <w:marBottom w:val="0"/>
                  <w:divBdr>
                    <w:top w:val="none" w:sz="0" w:space="0" w:color="auto"/>
                    <w:left w:val="none" w:sz="0" w:space="0" w:color="auto"/>
                    <w:bottom w:val="none" w:sz="0" w:space="0" w:color="auto"/>
                    <w:right w:val="none" w:sz="0" w:space="0" w:color="auto"/>
                  </w:divBdr>
                  <w:divsChild>
                    <w:div w:id="345403523">
                      <w:marLeft w:val="0"/>
                      <w:marRight w:val="0"/>
                      <w:marTop w:val="0"/>
                      <w:marBottom w:val="0"/>
                      <w:divBdr>
                        <w:top w:val="none" w:sz="0" w:space="0" w:color="auto"/>
                        <w:left w:val="none" w:sz="0" w:space="0" w:color="auto"/>
                        <w:bottom w:val="none" w:sz="0" w:space="0" w:color="auto"/>
                        <w:right w:val="none" w:sz="0" w:space="0" w:color="auto"/>
                      </w:divBdr>
                    </w:div>
                  </w:divsChild>
                </w:div>
                <w:div w:id="618028921">
                  <w:marLeft w:val="0"/>
                  <w:marRight w:val="0"/>
                  <w:marTop w:val="0"/>
                  <w:marBottom w:val="0"/>
                  <w:divBdr>
                    <w:top w:val="none" w:sz="0" w:space="0" w:color="auto"/>
                    <w:left w:val="none" w:sz="0" w:space="0" w:color="auto"/>
                    <w:bottom w:val="none" w:sz="0" w:space="0" w:color="auto"/>
                    <w:right w:val="none" w:sz="0" w:space="0" w:color="auto"/>
                  </w:divBdr>
                  <w:divsChild>
                    <w:div w:id="517043503">
                      <w:marLeft w:val="0"/>
                      <w:marRight w:val="0"/>
                      <w:marTop w:val="0"/>
                      <w:marBottom w:val="0"/>
                      <w:divBdr>
                        <w:top w:val="none" w:sz="0" w:space="0" w:color="auto"/>
                        <w:left w:val="none" w:sz="0" w:space="0" w:color="auto"/>
                        <w:bottom w:val="none" w:sz="0" w:space="0" w:color="auto"/>
                        <w:right w:val="none" w:sz="0" w:space="0" w:color="auto"/>
                      </w:divBdr>
                    </w:div>
                  </w:divsChild>
                </w:div>
                <w:div w:id="252014530">
                  <w:marLeft w:val="0"/>
                  <w:marRight w:val="0"/>
                  <w:marTop w:val="0"/>
                  <w:marBottom w:val="0"/>
                  <w:divBdr>
                    <w:top w:val="none" w:sz="0" w:space="0" w:color="auto"/>
                    <w:left w:val="none" w:sz="0" w:space="0" w:color="auto"/>
                    <w:bottom w:val="none" w:sz="0" w:space="0" w:color="auto"/>
                    <w:right w:val="none" w:sz="0" w:space="0" w:color="auto"/>
                  </w:divBdr>
                  <w:divsChild>
                    <w:div w:id="1341619956">
                      <w:marLeft w:val="0"/>
                      <w:marRight w:val="0"/>
                      <w:marTop w:val="0"/>
                      <w:marBottom w:val="0"/>
                      <w:divBdr>
                        <w:top w:val="none" w:sz="0" w:space="0" w:color="auto"/>
                        <w:left w:val="none" w:sz="0" w:space="0" w:color="auto"/>
                        <w:bottom w:val="none" w:sz="0" w:space="0" w:color="auto"/>
                        <w:right w:val="none" w:sz="0" w:space="0" w:color="auto"/>
                      </w:divBdr>
                    </w:div>
                  </w:divsChild>
                </w:div>
                <w:div w:id="11346319">
                  <w:marLeft w:val="0"/>
                  <w:marRight w:val="0"/>
                  <w:marTop w:val="0"/>
                  <w:marBottom w:val="0"/>
                  <w:divBdr>
                    <w:top w:val="none" w:sz="0" w:space="0" w:color="auto"/>
                    <w:left w:val="none" w:sz="0" w:space="0" w:color="auto"/>
                    <w:bottom w:val="none" w:sz="0" w:space="0" w:color="auto"/>
                    <w:right w:val="none" w:sz="0" w:space="0" w:color="auto"/>
                  </w:divBdr>
                  <w:divsChild>
                    <w:div w:id="2118211437">
                      <w:marLeft w:val="0"/>
                      <w:marRight w:val="0"/>
                      <w:marTop w:val="0"/>
                      <w:marBottom w:val="0"/>
                      <w:divBdr>
                        <w:top w:val="none" w:sz="0" w:space="0" w:color="auto"/>
                        <w:left w:val="none" w:sz="0" w:space="0" w:color="auto"/>
                        <w:bottom w:val="none" w:sz="0" w:space="0" w:color="auto"/>
                        <w:right w:val="none" w:sz="0" w:space="0" w:color="auto"/>
                      </w:divBdr>
                    </w:div>
                  </w:divsChild>
                </w:div>
                <w:div w:id="17896977">
                  <w:marLeft w:val="0"/>
                  <w:marRight w:val="0"/>
                  <w:marTop w:val="0"/>
                  <w:marBottom w:val="0"/>
                  <w:divBdr>
                    <w:top w:val="none" w:sz="0" w:space="0" w:color="auto"/>
                    <w:left w:val="none" w:sz="0" w:space="0" w:color="auto"/>
                    <w:bottom w:val="none" w:sz="0" w:space="0" w:color="auto"/>
                    <w:right w:val="none" w:sz="0" w:space="0" w:color="auto"/>
                  </w:divBdr>
                  <w:divsChild>
                    <w:div w:id="1784298747">
                      <w:marLeft w:val="0"/>
                      <w:marRight w:val="0"/>
                      <w:marTop w:val="0"/>
                      <w:marBottom w:val="0"/>
                      <w:divBdr>
                        <w:top w:val="none" w:sz="0" w:space="0" w:color="auto"/>
                        <w:left w:val="none" w:sz="0" w:space="0" w:color="auto"/>
                        <w:bottom w:val="none" w:sz="0" w:space="0" w:color="auto"/>
                        <w:right w:val="none" w:sz="0" w:space="0" w:color="auto"/>
                      </w:divBdr>
                    </w:div>
                  </w:divsChild>
                </w:div>
                <w:div w:id="1390806178">
                  <w:marLeft w:val="0"/>
                  <w:marRight w:val="0"/>
                  <w:marTop w:val="0"/>
                  <w:marBottom w:val="0"/>
                  <w:divBdr>
                    <w:top w:val="none" w:sz="0" w:space="0" w:color="auto"/>
                    <w:left w:val="none" w:sz="0" w:space="0" w:color="auto"/>
                    <w:bottom w:val="none" w:sz="0" w:space="0" w:color="auto"/>
                    <w:right w:val="none" w:sz="0" w:space="0" w:color="auto"/>
                  </w:divBdr>
                  <w:divsChild>
                    <w:div w:id="120996153">
                      <w:marLeft w:val="0"/>
                      <w:marRight w:val="0"/>
                      <w:marTop w:val="0"/>
                      <w:marBottom w:val="0"/>
                      <w:divBdr>
                        <w:top w:val="none" w:sz="0" w:space="0" w:color="auto"/>
                        <w:left w:val="none" w:sz="0" w:space="0" w:color="auto"/>
                        <w:bottom w:val="none" w:sz="0" w:space="0" w:color="auto"/>
                        <w:right w:val="none" w:sz="0" w:space="0" w:color="auto"/>
                      </w:divBdr>
                    </w:div>
                  </w:divsChild>
                </w:div>
                <w:div w:id="242878769">
                  <w:marLeft w:val="0"/>
                  <w:marRight w:val="0"/>
                  <w:marTop w:val="0"/>
                  <w:marBottom w:val="0"/>
                  <w:divBdr>
                    <w:top w:val="none" w:sz="0" w:space="0" w:color="auto"/>
                    <w:left w:val="none" w:sz="0" w:space="0" w:color="auto"/>
                    <w:bottom w:val="none" w:sz="0" w:space="0" w:color="auto"/>
                    <w:right w:val="none" w:sz="0" w:space="0" w:color="auto"/>
                  </w:divBdr>
                  <w:divsChild>
                    <w:div w:id="917792485">
                      <w:marLeft w:val="0"/>
                      <w:marRight w:val="0"/>
                      <w:marTop w:val="0"/>
                      <w:marBottom w:val="0"/>
                      <w:divBdr>
                        <w:top w:val="none" w:sz="0" w:space="0" w:color="auto"/>
                        <w:left w:val="none" w:sz="0" w:space="0" w:color="auto"/>
                        <w:bottom w:val="none" w:sz="0" w:space="0" w:color="auto"/>
                        <w:right w:val="none" w:sz="0" w:space="0" w:color="auto"/>
                      </w:divBdr>
                    </w:div>
                  </w:divsChild>
                </w:div>
                <w:div w:id="386295003">
                  <w:marLeft w:val="0"/>
                  <w:marRight w:val="0"/>
                  <w:marTop w:val="0"/>
                  <w:marBottom w:val="0"/>
                  <w:divBdr>
                    <w:top w:val="none" w:sz="0" w:space="0" w:color="auto"/>
                    <w:left w:val="none" w:sz="0" w:space="0" w:color="auto"/>
                    <w:bottom w:val="none" w:sz="0" w:space="0" w:color="auto"/>
                    <w:right w:val="none" w:sz="0" w:space="0" w:color="auto"/>
                  </w:divBdr>
                  <w:divsChild>
                    <w:div w:id="773134608">
                      <w:marLeft w:val="0"/>
                      <w:marRight w:val="0"/>
                      <w:marTop w:val="0"/>
                      <w:marBottom w:val="0"/>
                      <w:divBdr>
                        <w:top w:val="none" w:sz="0" w:space="0" w:color="auto"/>
                        <w:left w:val="none" w:sz="0" w:space="0" w:color="auto"/>
                        <w:bottom w:val="none" w:sz="0" w:space="0" w:color="auto"/>
                        <w:right w:val="none" w:sz="0" w:space="0" w:color="auto"/>
                      </w:divBdr>
                    </w:div>
                  </w:divsChild>
                </w:div>
                <w:div w:id="1535577823">
                  <w:marLeft w:val="0"/>
                  <w:marRight w:val="0"/>
                  <w:marTop w:val="0"/>
                  <w:marBottom w:val="0"/>
                  <w:divBdr>
                    <w:top w:val="none" w:sz="0" w:space="0" w:color="auto"/>
                    <w:left w:val="none" w:sz="0" w:space="0" w:color="auto"/>
                    <w:bottom w:val="none" w:sz="0" w:space="0" w:color="auto"/>
                    <w:right w:val="none" w:sz="0" w:space="0" w:color="auto"/>
                  </w:divBdr>
                  <w:divsChild>
                    <w:div w:id="1472748709">
                      <w:marLeft w:val="0"/>
                      <w:marRight w:val="0"/>
                      <w:marTop w:val="0"/>
                      <w:marBottom w:val="0"/>
                      <w:divBdr>
                        <w:top w:val="none" w:sz="0" w:space="0" w:color="auto"/>
                        <w:left w:val="none" w:sz="0" w:space="0" w:color="auto"/>
                        <w:bottom w:val="none" w:sz="0" w:space="0" w:color="auto"/>
                        <w:right w:val="none" w:sz="0" w:space="0" w:color="auto"/>
                      </w:divBdr>
                    </w:div>
                  </w:divsChild>
                </w:div>
                <w:div w:id="1022197215">
                  <w:marLeft w:val="0"/>
                  <w:marRight w:val="0"/>
                  <w:marTop w:val="0"/>
                  <w:marBottom w:val="0"/>
                  <w:divBdr>
                    <w:top w:val="none" w:sz="0" w:space="0" w:color="auto"/>
                    <w:left w:val="none" w:sz="0" w:space="0" w:color="auto"/>
                    <w:bottom w:val="none" w:sz="0" w:space="0" w:color="auto"/>
                    <w:right w:val="none" w:sz="0" w:space="0" w:color="auto"/>
                  </w:divBdr>
                  <w:divsChild>
                    <w:div w:id="179323733">
                      <w:marLeft w:val="0"/>
                      <w:marRight w:val="0"/>
                      <w:marTop w:val="0"/>
                      <w:marBottom w:val="0"/>
                      <w:divBdr>
                        <w:top w:val="none" w:sz="0" w:space="0" w:color="auto"/>
                        <w:left w:val="none" w:sz="0" w:space="0" w:color="auto"/>
                        <w:bottom w:val="none" w:sz="0" w:space="0" w:color="auto"/>
                        <w:right w:val="none" w:sz="0" w:space="0" w:color="auto"/>
                      </w:divBdr>
                    </w:div>
                  </w:divsChild>
                </w:div>
                <w:div w:id="942223413">
                  <w:marLeft w:val="0"/>
                  <w:marRight w:val="0"/>
                  <w:marTop w:val="0"/>
                  <w:marBottom w:val="0"/>
                  <w:divBdr>
                    <w:top w:val="none" w:sz="0" w:space="0" w:color="auto"/>
                    <w:left w:val="none" w:sz="0" w:space="0" w:color="auto"/>
                    <w:bottom w:val="none" w:sz="0" w:space="0" w:color="auto"/>
                    <w:right w:val="none" w:sz="0" w:space="0" w:color="auto"/>
                  </w:divBdr>
                  <w:divsChild>
                    <w:div w:id="56441334">
                      <w:marLeft w:val="0"/>
                      <w:marRight w:val="0"/>
                      <w:marTop w:val="0"/>
                      <w:marBottom w:val="0"/>
                      <w:divBdr>
                        <w:top w:val="none" w:sz="0" w:space="0" w:color="auto"/>
                        <w:left w:val="none" w:sz="0" w:space="0" w:color="auto"/>
                        <w:bottom w:val="none" w:sz="0" w:space="0" w:color="auto"/>
                        <w:right w:val="none" w:sz="0" w:space="0" w:color="auto"/>
                      </w:divBdr>
                    </w:div>
                  </w:divsChild>
                </w:div>
                <w:div w:id="1788890822">
                  <w:marLeft w:val="0"/>
                  <w:marRight w:val="0"/>
                  <w:marTop w:val="0"/>
                  <w:marBottom w:val="0"/>
                  <w:divBdr>
                    <w:top w:val="none" w:sz="0" w:space="0" w:color="auto"/>
                    <w:left w:val="none" w:sz="0" w:space="0" w:color="auto"/>
                    <w:bottom w:val="none" w:sz="0" w:space="0" w:color="auto"/>
                    <w:right w:val="none" w:sz="0" w:space="0" w:color="auto"/>
                  </w:divBdr>
                  <w:divsChild>
                    <w:div w:id="2026980056">
                      <w:marLeft w:val="0"/>
                      <w:marRight w:val="0"/>
                      <w:marTop w:val="0"/>
                      <w:marBottom w:val="0"/>
                      <w:divBdr>
                        <w:top w:val="none" w:sz="0" w:space="0" w:color="auto"/>
                        <w:left w:val="none" w:sz="0" w:space="0" w:color="auto"/>
                        <w:bottom w:val="none" w:sz="0" w:space="0" w:color="auto"/>
                        <w:right w:val="none" w:sz="0" w:space="0" w:color="auto"/>
                      </w:divBdr>
                    </w:div>
                  </w:divsChild>
                </w:div>
                <w:div w:id="899944869">
                  <w:marLeft w:val="0"/>
                  <w:marRight w:val="0"/>
                  <w:marTop w:val="0"/>
                  <w:marBottom w:val="0"/>
                  <w:divBdr>
                    <w:top w:val="none" w:sz="0" w:space="0" w:color="auto"/>
                    <w:left w:val="none" w:sz="0" w:space="0" w:color="auto"/>
                    <w:bottom w:val="none" w:sz="0" w:space="0" w:color="auto"/>
                    <w:right w:val="none" w:sz="0" w:space="0" w:color="auto"/>
                  </w:divBdr>
                  <w:divsChild>
                    <w:div w:id="777600763">
                      <w:marLeft w:val="0"/>
                      <w:marRight w:val="0"/>
                      <w:marTop w:val="0"/>
                      <w:marBottom w:val="0"/>
                      <w:divBdr>
                        <w:top w:val="none" w:sz="0" w:space="0" w:color="auto"/>
                        <w:left w:val="none" w:sz="0" w:space="0" w:color="auto"/>
                        <w:bottom w:val="none" w:sz="0" w:space="0" w:color="auto"/>
                        <w:right w:val="none" w:sz="0" w:space="0" w:color="auto"/>
                      </w:divBdr>
                    </w:div>
                  </w:divsChild>
                </w:div>
                <w:div w:id="516309510">
                  <w:marLeft w:val="0"/>
                  <w:marRight w:val="0"/>
                  <w:marTop w:val="0"/>
                  <w:marBottom w:val="0"/>
                  <w:divBdr>
                    <w:top w:val="none" w:sz="0" w:space="0" w:color="auto"/>
                    <w:left w:val="none" w:sz="0" w:space="0" w:color="auto"/>
                    <w:bottom w:val="none" w:sz="0" w:space="0" w:color="auto"/>
                    <w:right w:val="none" w:sz="0" w:space="0" w:color="auto"/>
                  </w:divBdr>
                  <w:divsChild>
                    <w:div w:id="47657688">
                      <w:marLeft w:val="0"/>
                      <w:marRight w:val="0"/>
                      <w:marTop w:val="0"/>
                      <w:marBottom w:val="0"/>
                      <w:divBdr>
                        <w:top w:val="none" w:sz="0" w:space="0" w:color="auto"/>
                        <w:left w:val="none" w:sz="0" w:space="0" w:color="auto"/>
                        <w:bottom w:val="none" w:sz="0" w:space="0" w:color="auto"/>
                        <w:right w:val="none" w:sz="0" w:space="0" w:color="auto"/>
                      </w:divBdr>
                    </w:div>
                  </w:divsChild>
                </w:div>
                <w:div w:id="151725540">
                  <w:marLeft w:val="0"/>
                  <w:marRight w:val="0"/>
                  <w:marTop w:val="0"/>
                  <w:marBottom w:val="0"/>
                  <w:divBdr>
                    <w:top w:val="none" w:sz="0" w:space="0" w:color="auto"/>
                    <w:left w:val="none" w:sz="0" w:space="0" w:color="auto"/>
                    <w:bottom w:val="none" w:sz="0" w:space="0" w:color="auto"/>
                    <w:right w:val="none" w:sz="0" w:space="0" w:color="auto"/>
                  </w:divBdr>
                  <w:divsChild>
                    <w:div w:id="2125532798">
                      <w:marLeft w:val="0"/>
                      <w:marRight w:val="0"/>
                      <w:marTop w:val="0"/>
                      <w:marBottom w:val="0"/>
                      <w:divBdr>
                        <w:top w:val="none" w:sz="0" w:space="0" w:color="auto"/>
                        <w:left w:val="none" w:sz="0" w:space="0" w:color="auto"/>
                        <w:bottom w:val="none" w:sz="0" w:space="0" w:color="auto"/>
                        <w:right w:val="none" w:sz="0" w:space="0" w:color="auto"/>
                      </w:divBdr>
                    </w:div>
                  </w:divsChild>
                </w:div>
                <w:div w:id="237254769">
                  <w:marLeft w:val="0"/>
                  <w:marRight w:val="0"/>
                  <w:marTop w:val="0"/>
                  <w:marBottom w:val="0"/>
                  <w:divBdr>
                    <w:top w:val="none" w:sz="0" w:space="0" w:color="auto"/>
                    <w:left w:val="none" w:sz="0" w:space="0" w:color="auto"/>
                    <w:bottom w:val="none" w:sz="0" w:space="0" w:color="auto"/>
                    <w:right w:val="none" w:sz="0" w:space="0" w:color="auto"/>
                  </w:divBdr>
                  <w:divsChild>
                    <w:div w:id="806436055">
                      <w:marLeft w:val="0"/>
                      <w:marRight w:val="0"/>
                      <w:marTop w:val="0"/>
                      <w:marBottom w:val="0"/>
                      <w:divBdr>
                        <w:top w:val="none" w:sz="0" w:space="0" w:color="auto"/>
                        <w:left w:val="none" w:sz="0" w:space="0" w:color="auto"/>
                        <w:bottom w:val="none" w:sz="0" w:space="0" w:color="auto"/>
                        <w:right w:val="none" w:sz="0" w:space="0" w:color="auto"/>
                      </w:divBdr>
                    </w:div>
                  </w:divsChild>
                </w:div>
                <w:div w:id="1606230103">
                  <w:marLeft w:val="0"/>
                  <w:marRight w:val="0"/>
                  <w:marTop w:val="0"/>
                  <w:marBottom w:val="0"/>
                  <w:divBdr>
                    <w:top w:val="none" w:sz="0" w:space="0" w:color="auto"/>
                    <w:left w:val="none" w:sz="0" w:space="0" w:color="auto"/>
                    <w:bottom w:val="none" w:sz="0" w:space="0" w:color="auto"/>
                    <w:right w:val="none" w:sz="0" w:space="0" w:color="auto"/>
                  </w:divBdr>
                  <w:divsChild>
                    <w:div w:id="1488008915">
                      <w:marLeft w:val="0"/>
                      <w:marRight w:val="0"/>
                      <w:marTop w:val="0"/>
                      <w:marBottom w:val="0"/>
                      <w:divBdr>
                        <w:top w:val="none" w:sz="0" w:space="0" w:color="auto"/>
                        <w:left w:val="none" w:sz="0" w:space="0" w:color="auto"/>
                        <w:bottom w:val="none" w:sz="0" w:space="0" w:color="auto"/>
                        <w:right w:val="none" w:sz="0" w:space="0" w:color="auto"/>
                      </w:divBdr>
                    </w:div>
                  </w:divsChild>
                </w:div>
                <w:div w:id="885411927">
                  <w:marLeft w:val="0"/>
                  <w:marRight w:val="0"/>
                  <w:marTop w:val="0"/>
                  <w:marBottom w:val="0"/>
                  <w:divBdr>
                    <w:top w:val="none" w:sz="0" w:space="0" w:color="auto"/>
                    <w:left w:val="none" w:sz="0" w:space="0" w:color="auto"/>
                    <w:bottom w:val="none" w:sz="0" w:space="0" w:color="auto"/>
                    <w:right w:val="none" w:sz="0" w:space="0" w:color="auto"/>
                  </w:divBdr>
                  <w:divsChild>
                    <w:div w:id="1053774822">
                      <w:marLeft w:val="0"/>
                      <w:marRight w:val="0"/>
                      <w:marTop w:val="0"/>
                      <w:marBottom w:val="0"/>
                      <w:divBdr>
                        <w:top w:val="none" w:sz="0" w:space="0" w:color="auto"/>
                        <w:left w:val="none" w:sz="0" w:space="0" w:color="auto"/>
                        <w:bottom w:val="none" w:sz="0" w:space="0" w:color="auto"/>
                        <w:right w:val="none" w:sz="0" w:space="0" w:color="auto"/>
                      </w:divBdr>
                    </w:div>
                  </w:divsChild>
                </w:div>
                <w:div w:id="1849641084">
                  <w:marLeft w:val="0"/>
                  <w:marRight w:val="0"/>
                  <w:marTop w:val="0"/>
                  <w:marBottom w:val="0"/>
                  <w:divBdr>
                    <w:top w:val="none" w:sz="0" w:space="0" w:color="auto"/>
                    <w:left w:val="none" w:sz="0" w:space="0" w:color="auto"/>
                    <w:bottom w:val="none" w:sz="0" w:space="0" w:color="auto"/>
                    <w:right w:val="none" w:sz="0" w:space="0" w:color="auto"/>
                  </w:divBdr>
                  <w:divsChild>
                    <w:div w:id="1036732677">
                      <w:marLeft w:val="0"/>
                      <w:marRight w:val="0"/>
                      <w:marTop w:val="0"/>
                      <w:marBottom w:val="0"/>
                      <w:divBdr>
                        <w:top w:val="none" w:sz="0" w:space="0" w:color="auto"/>
                        <w:left w:val="none" w:sz="0" w:space="0" w:color="auto"/>
                        <w:bottom w:val="none" w:sz="0" w:space="0" w:color="auto"/>
                        <w:right w:val="none" w:sz="0" w:space="0" w:color="auto"/>
                      </w:divBdr>
                    </w:div>
                  </w:divsChild>
                </w:div>
                <w:div w:id="2060781845">
                  <w:marLeft w:val="0"/>
                  <w:marRight w:val="0"/>
                  <w:marTop w:val="0"/>
                  <w:marBottom w:val="0"/>
                  <w:divBdr>
                    <w:top w:val="none" w:sz="0" w:space="0" w:color="auto"/>
                    <w:left w:val="none" w:sz="0" w:space="0" w:color="auto"/>
                    <w:bottom w:val="none" w:sz="0" w:space="0" w:color="auto"/>
                    <w:right w:val="none" w:sz="0" w:space="0" w:color="auto"/>
                  </w:divBdr>
                  <w:divsChild>
                    <w:div w:id="1349404647">
                      <w:marLeft w:val="0"/>
                      <w:marRight w:val="0"/>
                      <w:marTop w:val="0"/>
                      <w:marBottom w:val="0"/>
                      <w:divBdr>
                        <w:top w:val="none" w:sz="0" w:space="0" w:color="auto"/>
                        <w:left w:val="none" w:sz="0" w:space="0" w:color="auto"/>
                        <w:bottom w:val="none" w:sz="0" w:space="0" w:color="auto"/>
                        <w:right w:val="none" w:sz="0" w:space="0" w:color="auto"/>
                      </w:divBdr>
                    </w:div>
                  </w:divsChild>
                </w:div>
                <w:div w:id="1113473022">
                  <w:marLeft w:val="0"/>
                  <w:marRight w:val="0"/>
                  <w:marTop w:val="0"/>
                  <w:marBottom w:val="0"/>
                  <w:divBdr>
                    <w:top w:val="none" w:sz="0" w:space="0" w:color="auto"/>
                    <w:left w:val="none" w:sz="0" w:space="0" w:color="auto"/>
                    <w:bottom w:val="none" w:sz="0" w:space="0" w:color="auto"/>
                    <w:right w:val="none" w:sz="0" w:space="0" w:color="auto"/>
                  </w:divBdr>
                  <w:divsChild>
                    <w:div w:id="2099209915">
                      <w:marLeft w:val="0"/>
                      <w:marRight w:val="0"/>
                      <w:marTop w:val="0"/>
                      <w:marBottom w:val="0"/>
                      <w:divBdr>
                        <w:top w:val="none" w:sz="0" w:space="0" w:color="auto"/>
                        <w:left w:val="none" w:sz="0" w:space="0" w:color="auto"/>
                        <w:bottom w:val="none" w:sz="0" w:space="0" w:color="auto"/>
                        <w:right w:val="none" w:sz="0" w:space="0" w:color="auto"/>
                      </w:divBdr>
                    </w:div>
                  </w:divsChild>
                </w:div>
                <w:div w:id="1726643584">
                  <w:marLeft w:val="0"/>
                  <w:marRight w:val="0"/>
                  <w:marTop w:val="0"/>
                  <w:marBottom w:val="0"/>
                  <w:divBdr>
                    <w:top w:val="none" w:sz="0" w:space="0" w:color="auto"/>
                    <w:left w:val="none" w:sz="0" w:space="0" w:color="auto"/>
                    <w:bottom w:val="none" w:sz="0" w:space="0" w:color="auto"/>
                    <w:right w:val="none" w:sz="0" w:space="0" w:color="auto"/>
                  </w:divBdr>
                  <w:divsChild>
                    <w:div w:id="104275759">
                      <w:marLeft w:val="0"/>
                      <w:marRight w:val="0"/>
                      <w:marTop w:val="0"/>
                      <w:marBottom w:val="0"/>
                      <w:divBdr>
                        <w:top w:val="none" w:sz="0" w:space="0" w:color="auto"/>
                        <w:left w:val="none" w:sz="0" w:space="0" w:color="auto"/>
                        <w:bottom w:val="none" w:sz="0" w:space="0" w:color="auto"/>
                        <w:right w:val="none" w:sz="0" w:space="0" w:color="auto"/>
                      </w:divBdr>
                    </w:div>
                  </w:divsChild>
                </w:div>
                <w:div w:id="1858886918">
                  <w:marLeft w:val="0"/>
                  <w:marRight w:val="0"/>
                  <w:marTop w:val="0"/>
                  <w:marBottom w:val="0"/>
                  <w:divBdr>
                    <w:top w:val="none" w:sz="0" w:space="0" w:color="auto"/>
                    <w:left w:val="none" w:sz="0" w:space="0" w:color="auto"/>
                    <w:bottom w:val="none" w:sz="0" w:space="0" w:color="auto"/>
                    <w:right w:val="none" w:sz="0" w:space="0" w:color="auto"/>
                  </w:divBdr>
                  <w:divsChild>
                    <w:div w:id="1164664408">
                      <w:marLeft w:val="0"/>
                      <w:marRight w:val="0"/>
                      <w:marTop w:val="0"/>
                      <w:marBottom w:val="0"/>
                      <w:divBdr>
                        <w:top w:val="none" w:sz="0" w:space="0" w:color="auto"/>
                        <w:left w:val="none" w:sz="0" w:space="0" w:color="auto"/>
                        <w:bottom w:val="none" w:sz="0" w:space="0" w:color="auto"/>
                        <w:right w:val="none" w:sz="0" w:space="0" w:color="auto"/>
                      </w:divBdr>
                    </w:div>
                  </w:divsChild>
                </w:div>
                <w:div w:id="2015912413">
                  <w:marLeft w:val="0"/>
                  <w:marRight w:val="0"/>
                  <w:marTop w:val="0"/>
                  <w:marBottom w:val="0"/>
                  <w:divBdr>
                    <w:top w:val="none" w:sz="0" w:space="0" w:color="auto"/>
                    <w:left w:val="none" w:sz="0" w:space="0" w:color="auto"/>
                    <w:bottom w:val="none" w:sz="0" w:space="0" w:color="auto"/>
                    <w:right w:val="none" w:sz="0" w:space="0" w:color="auto"/>
                  </w:divBdr>
                  <w:divsChild>
                    <w:div w:id="1229808393">
                      <w:marLeft w:val="0"/>
                      <w:marRight w:val="0"/>
                      <w:marTop w:val="0"/>
                      <w:marBottom w:val="0"/>
                      <w:divBdr>
                        <w:top w:val="none" w:sz="0" w:space="0" w:color="auto"/>
                        <w:left w:val="none" w:sz="0" w:space="0" w:color="auto"/>
                        <w:bottom w:val="none" w:sz="0" w:space="0" w:color="auto"/>
                        <w:right w:val="none" w:sz="0" w:space="0" w:color="auto"/>
                      </w:divBdr>
                    </w:div>
                  </w:divsChild>
                </w:div>
                <w:div w:id="1183008633">
                  <w:marLeft w:val="0"/>
                  <w:marRight w:val="0"/>
                  <w:marTop w:val="0"/>
                  <w:marBottom w:val="0"/>
                  <w:divBdr>
                    <w:top w:val="none" w:sz="0" w:space="0" w:color="auto"/>
                    <w:left w:val="none" w:sz="0" w:space="0" w:color="auto"/>
                    <w:bottom w:val="none" w:sz="0" w:space="0" w:color="auto"/>
                    <w:right w:val="none" w:sz="0" w:space="0" w:color="auto"/>
                  </w:divBdr>
                  <w:divsChild>
                    <w:div w:id="2030401720">
                      <w:marLeft w:val="0"/>
                      <w:marRight w:val="0"/>
                      <w:marTop w:val="0"/>
                      <w:marBottom w:val="0"/>
                      <w:divBdr>
                        <w:top w:val="none" w:sz="0" w:space="0" w:color="auto"/>
                        <w:left w:val="none" w:sz="0" w:space="0" w:color="auto"/>
                        <w:bottom w:val="none" w:sz="0" w:space="0" w:color="auto"/>
                        <w:right w:val="none" w:sz="0" w:space="0" w:color="auto"/>
                      </w:divBdr>
                    </w:div>
                  </w:divsChild>
                </w:div>
                <w:div w:id="907612655">
                  <w:marLeft w:val="0"/>
                  <w:marRight w:val="0"/>
                  <w:marTop w:val="0"/>
                  <w:marBottom w:val="0"/>
                  <w:divBdr>
                    <w:top w:val="none" w:sz="0" w:space="0" w:color="auto"/>
                    <w:left w:val="none" w:sz="0" w:space="0" w:color="auto"/>
                    <w:bottom w:val="none" w:sz="0" w:space="0" w:color="auto"/>
                    <w:right w:val="none" w:sz="0" w:space="0" w:color="auto"/>
                  </w:divBdr>
                  <w:divsChild>
                    <w:div w:id="204297767">
                      <w:marLeft w:val="0"/>
                      <w:marRight w:val="0"/>
                      <w:marTop w:val="0"/>
                      <w:marBottom w:val="0"/>
                      <w:divBdr>
                        <w:top w:val="none" w:sz="0" w:space="0" w:color="auto"/>
                        <w:left w:val="none" w:sz="0" w:space="0" w:color="auto"/>
                        <w:bottom w:val="none" w:sz="0" w:space="0" w:color="auto"/>
                        <w:right w:val="none" w:sz="0" w:space="0" w:color="auto"/>
                      </w:divBdr>
                    </w:div>
                  </w:divsChild>
                </w:div>
                <w:div w:id="2061979882">
                  <w:marLeft w:val="0"/>
                  <w:marRight w:val="0"/>
                  <w:marTop w:val="0"/>
                  <w:marBottom w:val="0"/>
                  <w:divBdr>
                    <w:top w:val="none" w:sz="0" w:space="0" w:color="auto"/>
                    <w:left w:val="none" w:sz="0" w:space="0" w:color="auto"/>
                    <w:bottom w:val="none" w:sz="0" w:space="0" w:color="auto"/>
                    <w:right w:val="none" w:sz="0" w:space="0" w:color="auto"/>
                  </w:divBdr>
                  <w:divsChild>
                    <w:div w:id="455221647">
                      <w:marLeft w:val="0"/>
                      <w:marRight w:val="0"/>
                      <w:marTop w:val="0"/>
                      <w:marBottom w:val="0"/>
                      <w:divBdr>
                        <w:top w:val="none" w:sz="0" w:space="0" w:color="auto"/>
                        <w:left w:val="none" w:sz="0" w:space="0" w:color="auto"/>
                        <w:bottom w:val="none" w:sz="0" w:space="0" w:color="auto"/>
                        <w:right w:val="none" w:sz="0" w:space="0" w:color="auto"/>
                      </w:divBdr>
                    </w:div>
                  </w:divsChild>
                </w:div>
                <w:div w:id="1608732094">
                  <w:marLeft w:val="0"/>
                  <w:marRight w:val="0"/>
                  <w:marTop w:val="0"/>
                  <w:marBottom w:val="0"/>
                  <w:divBdr>
                    <w:top w:val="none" w:sz="0" w:space="0" w:color="auto"/>
                    <w:left w:val="none" w:sz="0" w:space="0" w:color="auto"/>
                    <w:bottom w:val="none" w:sz="0" w:space="0" w:color="auto"/>
                    <w:right w:val="none" w:sz="0" w:space="0" w:color="auto"/>
                  </w:divBdr>
                  <w:divsChild>
                    <w:div w:id="939145219">
                      <w:marLeft w:val="0"/>
                      <w:marRight w:val="0"/>
                      <w:marTop w:val="0"/>
                      <w:marBottom w:val="0"/>
                      <w:divBdr>
                        <w:top w:val="none" w:sz="0" w:space="0" w:color="auto"/>
                        <w:left w:val="none" w:sz="0" w:space="0" w:color="auto"/>
                        <w:bottom w:val="none" w:sz="0" w:space="0" w:color="auto"/>
                        <w:right w:val="none" w:sz="0" w:space="0" w:color="auto"/>
                      </w:divBdr>
                    </w:div>
                  </w:divsChild>
                </w:div>
                <w:div w:id="1574854803">
                  <w:marLeft w:val="0"/>
                  <w:marRight w:val="0"/>
                  <w:marTop w:val="0"/>
                  <w:marBottom w:val="0"/>
                  <w:divBdr>
                    <w:top w:val="none" w:sz="0" w:space="0" w:color="auto"/>
                    <w:left w:val="none" w:sz="0" w:space="0" w:color="auto"/>
                    <w:bottom w:val="none" w:sz="0" w:space="0" w:color="auto"/>
                    <w:right w:val="none" w:sz="0" w:space="0" w:color="auto"/>
                  </w:divBdr>
                  <w:divsChild>
                    <w:div w:id="371610399">
                      <w:marLeft w:val="0"/>
                      <w:marRight w:val="0"/>
                      <w:marTop w:val="0"/>
                      <w:marBottom w:val="0"/>
                      <w:divBdr>
                        <w:top w:val="none" w:sz="0" w:space="0" w:color="auto"/>
                        <w:left w:val="none" w:sz="0" w:space="0" w:color="auto"/>
                        <w:bottom w:val="none" w:sz="0" w:space="0" w:color="auto"/>
                        <w:right w:val="none" w:sz="0" w:space="0" w:color="auto"/>
                      </w:divBdr>
                    </w:div>
                  </w:divsChild>
                </w:div>
                <w:div w:id="1943146258">
                  <w:marLeft w:val="0"/>
                  <w:marRight w:val="0"/>
                  <w:marTop w:val="0"/>
                  <w:marBottom w:val="0"/>
                  <w:divBdr>
                    <w:top w:val="none" w:sz="0" w:space="0" w:color="auto"/>
                    <w:left w:val="none" w:sz="0" w:space="0" w:color="auto"/>
                    <w:bottom w:val="none" w:sz="0" w:space="0" w:color="auto"/>
                    <w:right w:val="none" w:sz="0" w:space="0" w:color="auto"/>
                  </w:divBdr>
                  <w:divsChild>
                    <w:div w:id="237833980">
                      <w:marLeft w:val="0"/>
                      <w:marRight w:val="0"/>
                      <w:marTop w:val="0"/>
                      <w:marBottom w:val="0"/>
                      <w:divBdr>
                        <w:top w:val="none" w:sz="0" w:space="0" w:color="auto"/>
                        <w:left w:val="none" w:sz="0" w:space="0" w:color="auto"/>
                        <w:bottom w:val="none" w:sz="0" w:space="0" w:color="auto"/>
                        <w:right w:val="none" w:sz="0" w:space="0" w:color="auto"/>
                      </w:divBdr>
                    </w:div>
                  </w:divsChild>
                </w:div>
                <w:div w:id="61217839">
                  <w:marLeft w:val="0"/>
                  <w:marRight w:val="0"/>
                  <w:marTop w:val="0"/>
                  <w:marBottom w:val="0"/>
                  <w:divBdr>
                    <w:top w:val="none" w:sz="0" w:space="0" w:color="auto"/>
                    <w:left w:val="none" w:sz="0" w:space="0" w:color="auto"/>
                    <w:bottom w:val="none" w:sz="0" w:space="0" w:color="auto"/>
                    <w:right w:val="none" w:sz="0" w:space="0" w:color="auto"/>
                  </w:divBdr>
                  <w:divsChild>
                    <w:div w:id="1060135653">
                      <w:marLeft w:val="0"/>
                      <w:marRight w:val="0"/>
                      <w:marTop w:val="0"/>
                      <w:marBottom w:val="0"/>
                      <w:divBdr>
                        <w:top w:val="none" w:sz="0" w:space="0" w:color="auto"/>
                        <w:left w:val="none" w:sz="0" w:space="0" w:color="auto"/>
                        <w:bottom w:val="none" w:sz="0" w:space="0" w:color="auto"/>
                        <w:right w:val="none" w:sz="0" w:space="0" w:color="auto"/>
                      </w:divBdr>
                    </w:div>
                  </w:divsChild>
                </w:div>
                <w:div w:id="727073904">
                  <w:marLeft w:val="0"/>
                  <w:marRight w:val="0"/>
                  <w:marTop w:val="0"/>
                  <w:marBottom w:val="0"/>
                  <w:divBdr>
                    <w:top w:val="none" w:sz="0" w:space="0" w:color="auto"/>
                    <w:left w:val="none" w:sz="0" w:space="0" w:color="auto"/>
                    <w:bottom w:val="none" w:sz="0" w:space="0" w:color="auto"/>
                    <w:right w:val="none" w:sz="0" w:space="0" w:color="auto"/>
                  </w:divBdr>
                  <w:divsChild>
                    <w:div w:id="1365909724">
                      <w:marLeft w:val="0"/>
                      <w:marRight w:val="0"/>
                      <w:marTop w:val="0"/>
                      <w:marBottom w:val="0"/>
                      <w:divBdr>
                        <w:top w:val="none" w:sz="0" w:space="0" w:color="auto"/>
                        <w:left w:val="none" w:sz="0" w:space="0" w:color="auto"/>
                        <w:bottom w:val="none" w:sz="0" w:space="0" w:color="auto"/>
                        <w:right w:val="none" w:sz="0" w:space="0" w:color="auto"/>
                      </w:divBdr>
                    </w:div>
                  </w:divsChild>
                </w:div>
                <w:div w:id="1827085569">
                  <w:marLeft w:val="0"/>
                  <w:marRight w:val="0"/>
                  <w:marTop w:val="0"/>
                  <w:marBottom w:val="0"/>
                  <w:divBdr>
                    <w:top w:val="none" w:sz="0" w:space="0" w:color="auto"/>
                    <w:left w:val="none" w:sz="0" w:space="0" w:color="auto"/>
                    <w:bottom w:val="none" w:sz="0" w:space="0" w:color="auto"/>
                    <w:right w:val="none" w:sz="0" w:space="0" w:color="auto"/>
                  </w:divBdr>
                  <w:divsChild>
                    <w:div w:id="670179183">
                      <w:marLeft w:val="0"/>
                      <w:marRight w:val="0"/>
                      <w:marTop w:val="0"/>
                      <w:marBottom w:val="0"/>
                      <w:divBdr>
                        <w:top w:val="none" w:sz="0" w:space="0" w:color="auto"/>
                        <w:left w:val="none" w:sz="0" w:space="0" w:color="auto"/>
                        <w:bottom w:val="none" w:sz="0" w:space="0" w:color="auto"/>
                        <w:right w:val="none" w:sz="0" w:space="0" w:color="auto"/>
                      </w:divBdr>
                    </w:div>
                  </w:divsChild>
                </w:div>
                <w:div w:id="156112897">
                  <w:marLeft w:val="0"/>
                  <w:marRight w:val="0"/>
                  <w:marTop w:val="0"/>
                  <w:marBottom w:val="0"/>
                  <w:divBdr>
                    <w:top w:val="none" w:sz="0" w:space="0" w:color="auto"/>
                    <w:left w:val="none" w:sz="0" w:space="0" w:color="auto"/>
                    <w:bottom w:val="none" w:sz="0" w:space="0" w:color="auto"/>
                    <w:right w:val="none" w:sz="0" w:space="0" w:color="auto"/>
                  </w:divBdr>
                  <w:divsChild>
                    <w:div w:id="1022125597">
                      <w:marLeft w:val="0"/>
                      <w:marRight w:val="0"/>
                      <w:marTop w:val="0"/>
                      <w:marBottom w:val="0"/>
                      <w:divBdr>
                        <w:top w:val="none" w:sz="0" w:space="0" w:color="auto"/>
                        <w:left w:val="none" w:sz="0" w:space="0" w:color="auto"/>
                        <w:bottom w:val="none" w:sz="0" w:space="0" w:color="auto"/>
                        <w:right w:val="none" w:sz="0" w:space="0" w:color="auto"/>
                      </w:divBdr>
                    </w:div>
                  </w:divsChild>
                </w:div>
                <w:div w:id="714935092">
                  <w:marLeft w:val="0"/>
                  <w:marRight w:val="0"/>
                  <w:marTop w:val="0"/>
                  <w:marBottom w:val="0"/>
                  <w:divBdr>
                    <w:top w:val="none" w:sz="0" w:space="0" w:color="auto"/>
                    <w:left w:val="none" w:sz="0" w:space="0" w:color="auto"/>
                    <w:bottom w:val="none" w:sz="0" w:space="0" w:color="auto"/>
                    <w:right w:val="none" w:sz="0" w:space="0" w:color="auto"/>
                  </w:divBdr>
                  <w:divsChild>
                    <w:div w:id="2006938069">
                      <w:marLeft w:val="0"/>
                      <w:marRight w:val="0"/>
                      <w:marTop w:val="0"/>
                      <w:marBottom w:val="0"/>
                      <w:divBdr>
                        <w:top w:val="none" w:sz="0" w:space="0" w:color="auto"/>
                        <w:left w:val="none" w:sz="0" w:space="0" w:color="auto"/>
                        <w:bottom w:val="none" w:sz="0" w:space="0" w:color="auto"/>
                        <w:right w:val="none" w:sz="0" w:space="0" w:color="auto"/>
                      </w:divBdr>
                    </w:div>
                  </w:divsChild>
                </w:div>
                <w:div w:id="1331562997">
                  <w:marLeft w:val="0"/>
                  <w:marRight w:val="0"/>
                  <w:marTop w:val="0"/>
                  <w:marBottom w:val="0"/>
                  <w:divBdr>
                    <w:top w:val="none" w:sz="0" w:space="0" w:color="auto"/>
                    <w:left w:val="none" w:sz="0" w:space="0" w:color="auto"/>
                    <w:bottom w:val="none" w:sz="0" w:space="0" w:color="auto"/>
                    <w:right w:val="none" w:sz="0" w:space="0" w:color="auto"/>
                  </w:divBdr>
                  <w:divsChild>
                    <w:div w:id="1417438083">
                      <w:marLeft w:val="0"/>
                      <w:marRight w:val="0"/>
                      <w:marTop w:val="0"/>
                      <w:marBottom w:val="0"/>
                      <w:divBdr>
                        <w:top w:val="none" w:sz="0" w:space="0" w:color="auto"/>
                        <w:left w:val="none" w:sz="0" w:space="0" w:color="auto"/>
                        <w:bottom w:val="none" w:sz="0" w:space="0" w:color="auto"/>
                        <w:right w:val="none" w:sz="0" w:space="0" w:color="auto"/>
                      </w:divBdr>
                    </w:div>
                  </w:divsChild>
                </w:div>
                <w:div w:id="795215716">
                  <w:marLeft w:val="0"/>
                  <w:marRight w:val="0"/>
                  <w:marTop w:val="0"/>
                  <w:marBottom w:val="0"/>
                  <w:divBdr>
                    <w:top w:val="none" w:sz="0" w:space="0" w:color="auto"/>
                    <w:left w:val="none" w:sz="0" w:space="0" w:color="auto"/>
                    <w:bottom w:val="none" w:sz="0" w:space="0" w:color="auto"/>
                    <w:right w:val="none" w:sz="0" w:space="0" w:color="auto"/>
                  </w:divBdr>
                  <w:divsChild>
                    <w:div w:id="2002923157">
                      <w:marLeft w:val="0"/>
                      <w:marRight w:val="0"/>
                      <w:marTop w:val="0"/>
                      <w:marBottom w:val="0"/>
                      <w:divBdr>
                        <w:top w:val="none" w:sz="0" w:space="0" w:color="auto"/>
                        <w:left w:val="none" w:sz="0" w:space="0" w:color="auto"/>
                        <w:bottom w:val="none" w:sz="0" w:space="0" w:color="auto"/>
                        <w:right w:val="none" w:sz="0" w:space="0" w:color="auto"/>
                      </w:divBdr>
                    </w:div>
                  </w:divsChild>
                </w:div>
                <w:div w:id="1620405409">
                  <w:marLeft w:val="0"/>
                  <w:marRight w:val="0"/>
                  <w:marTop w:val="0"/>
                  <w:marBottom w:val="0"/>
                  <w:divBdr>
                    <w:top w:val="none" w:sz="0" w:space="0" w:color="auto"/>
                    <w:left w:val="none" w:sz="0" w:space="0" w:color="auto"/>
                    <w:bottom w:val="none" w:sz="0" w:space="0" w:color="auto"/>
                    <w:right w:val="none" w:sz="0" w:space="0" w:color="auto"/>
                  </w:divBdr>
                  <w:divsChild>
                    <w:div w:id="207686636">
                      <w:marLeft w:val="0"/>
                      <w:marRight w:val="0"/>
                      <w:marTop w:val="0"/>
                      <w:marBottom w:val="0"/>
                      <w:divBdr>
                        <w:top w:val="none" w:sz="0" w:space="0" w:color="auto"/>
                        <w:left w:val="none" w:sz="0" w:space="0" w:color="auto"/>
                        <w:bottom w:val="none" w:sz="0" w:space="0" w:color="auto"/>
                        <w:right w:val="none" w:sz="0" w:space="0" w:color="auto"/>
                      </w:divBdr>
                    </w:div>
                  </w:divsChild>
                </w:div>
                <w:div w:id="1725056955">
                  <w:marLeft w:val="0"/>
                  <w:marRight w:val="0"/>
                  <w:marTop w:val="0"/>
                  <w:marBottom w:val="0"/>
                  <w:divBdr>
                    <w:top w:val="none" w:sz="0" w:space="0" w:color="auto"/>
                    <w:left w:val="none" w:sz="0" w:space="0" w:color="auto"/>
                    <w:bottom w:val="none" w:sz="0" w:space="0" w:color="auto"/>
                    <w:right w:val="none" w:sz="0" w:space="0" w:color="auto"/>
                  </w:divBdr>
                  <w:divsChild>
                    <w:div w:id="1973363073">
                      <w:marLeft w:val="0"/>
                      <w:marRight w:val="0"/>
                      <w:marTop w:val="0"/>
                      <w:marBottom w:val="0"/>
                      <w:divBdr>
                        <w:top w:val="none" w:sz="0" w:space="0" w:color="auto"/>
                        <w:left w:val="none" w:sz="0" w:space="0" w:color="auto"/>
                        <w:bottom w:val="none" w:sz="0" w:space="0" w:color="auto"/>
                        <w:right w:val="none" w:sz="0" w:space="0" w:color="auto"/>
                      </w:divBdr>
                    </w:div>
                  </w:divsChild>
                </w:div>
                <w:div w:id="1471284800">
                  <w:marLeft w:val="0"/>
                  <w:marRight w:val="0"/>
                  <w:marTop w:val="0"/>
                  <w:marBottom w:val="0"/>
                  <w:divBdr>
                    <w:top w:val="none" w:sz="0" w:space="0" w:color="auto"/>
                    <w:left w:val="none" w:sz="0" w:space="0" w:color="auto"/>
                    <w:bottom w:val="none" w:sz="0" w:space="0" w:color="auto"/>
                    <w:right w:val="none" w:sz="0" w:space="0" w:color="auto"/>
                  </w:divBdr>
                  <w:divsChild>
                    <w:div w:id="2093697148">
                      <w:marLeft w:val="0"/>
                      <w:marRight w:val="0"/>
                      <w:marTop w:val="0"/>
                      <w:marBottom w:val="0"/>
                      <w:divBdr>
                        <w:top w:val="none" w:sz="0" w:space="0" w:color="auto"/>
                        <w:left w:val="none" w:sz="0" w:space="0" w:color="auto"/>
                        <w:bottom w:val="none" w:sz="0" w:space="0" w:color="auto"/>
                        <w:right w:val="none" w:sz="0" w:space="0" w:color="auto"/>
                      </w:divBdr>
                    </w:div>
                  </w:divsChild>
                </w:div>
                <w:div w:id="1790775725">
                  <w:marLeft w:val="0"/>
                  <w:marRight w:val="0"/>
                  <w:marTop w:val="0"/>
                  <w:marBottom w:val="0"/>
                  <w:divBdr>
                    <w:top w:val="none" w:sz="0" w:space="0" w:color="auto"/>
                    <w:left w:val="none" w:sz="0" w:space="0" w:color="auto"/>
                    <w:bottom w:val="none" w:sz="0" w:space="0" w:color="auto"/>
                    <w:right w:val="none" w:sz="0" w:space="0" w:color="auto"/>
                  </w:divBdr>
                  <w:divsChild>
                    <w:div w:id="1159803987">
                      <w:marLeft w:val="0"/>
                      <w:marRight w:val="0"/>
                      <w:marTop w:val="0"/>
                      <w:marBottom w:val="0"/>
                      <w:divBdr>
                        <w:top w:val="none" w:sz="0" w:space="0" w:color="auto"/>
                        <w:left w:val="none" w:sz="0" w:space="0" w:color="auto"/>
                        <w:bottom w:val="none" w:sz="0" w:space="0" w:color="auto"/>
                        <w:right w:val="none" w:sz="0" w:space="0" w:color="auto"/>
                      </w:divBdr>
                    </w:div>
                  </w:divsChild>
                </w:div>
                <w:div w:id="1372994702">
                  <w:marLeft w:val="0"/>
                  <w:marRight w:val="0"/>
                  <w:marTop w:val="0"/>
                  <w:marBottom w:val="0"/>
                  <w:divBdr>
                    <w:top w:val="none" w:sz="0" w:space="0" w:color="auto"/>
                    <w:left w:val="none" w:sz="0" w:space="0" w:color="auto"/>
                    <w:bottom w:val="none" w:sz="0" w:space="0" w:color="auto"/>
                    <w:right w:val="none" w:sz="0" w:space="0" w:color="auto"/>
                  </w:divBdr>
                  <w:divsChild>
                    <w:div w:id="821430885">
                      <w:marLeft w:val="0"/>
                      <w:marRight w:val="0"/>
                      <w:marTop w:val="0"/>
                      <w:marBottom w:val="0"/>
                      <w:divBdr>
                        <w:top w:val="none" w:sz="0" w:space="0" w:color="auto"/>
                        <w:left w:val="none" w:sz="0" w:space="0" w:color="auto"/>
                        <w:bottom w:val="none" w:sz="0" w:space="0" w:color="auto"/>
                        <w:right w:val="none" w:sz="0" w:space="0" w:color="auto"/>
                      </w:divBdr>
                    </w:div>
                  </w:divsChild>
                </w:div>
                <w:div w:id="158889951">
                  <w:marLeft w:val="0"/>
                  <w:marRight w:val="0"/>
                  <w:marTop w:val="0"/>
                  <w:marBottom w:val="0"/>
                  <w:divBdr>
                    <w:top w:val="none" w:sz="0" w:space="0" w:color="auto"/>
                    <w:left w:val="none" w:sz="0" w:space="0" w:color="auto"/>
                    <w:bottom w:val="none" w:sz="0" w:space="0" w:color="auto"/>
                    <w:right w:val="none" w:sz="0" w:space="0" w:color="auto"/>
                  </w:divBdr>
                  <w:divsChild>
                    <w:div w:id="841744728">
                      <w:marLeft w:val="0"/>
                      <w:marRight w:val="0"/>
                      <w:marTop w:val="0"/>
                      <w:marBottom w:val="0"/>
                      <w:divBdr>
                        <w:top w:val="none" w:sz="0" w:space="0" w:color="auto"/>
                        <w:left w:val="none" w:sz="0" w:space="0" w:color="auto"/>
                        <w:bottom w:val="none" w:sz="0" w:space="0" w:color="auto"/>
                        <w:right w:val="none" w:sz="0" w:space="0" w:color="auto"/>
                      </w:divBdr>
                    </w:div>
                  </w:divsChild>
                </w:div>
                <w:div w:id="843862966">
                  <w:marLeft w:val="0"/>
                  <w:marRight w:val="0"/>
                  <w:marTop w:val="0"/>
                  <w:marBottom w:val="0"/>
                  <w:divBdr>
                    <w:top w:val="none" w:sz="0" w:space="0" w:color="auto"/>
                    <w:left w:val="none" w:sz="0" w:space="0" w:color="auto"/>
                    <w:bottom w:val="none" w:sz="0" w:space="0" w:color="auto"/>
                    <w:right w:val="none" w:sz="0" w:space="0" w:color="auto"/>
                  </w:divBdr>
                  <w:divsChild>
                    <w:div w:id="1318260922">
                      <w:marLeft w:val="0"/>
                      <w:marRight w:val="0"/>
                      <w:marTop w:val="0"/>
                      <w:marBottom w:val="0"/>
                      <w:divBdr>
                        <w:top w:val="none" w:sz="0" w:space="0" w:color="auto"/>
                        <w:left w:val="none" w:sz="0" w:space="0" w:color="auto"/>
                        <w:bottom w:val="none" w:sz="0" w:space="0" w:color="auto"/>
                        <w:right w:val="none" w:sz="0" w:space="0" w:color="auto"/>
                      </w:divBdr>
                    </w:div>
                  </w:divsChild>
                </w:div>
                <w:div w:id="2038070981">
                  <w:marLeft w:val="0"/>
                  <w:marRight w:val="0"/>
                  <w:marTop w:val="0"/>
                  <w:marBottom w:val="0"/>
                  <w:divBdr>
                    <w:top w:val="none" w:sz="0" w:space="0" w:color="auto"/>
                    <w:left w:val="none" w:sz="0" w:space="0" w:color="auto"/>
                    <w:bottom w:val="none" w:sz="0" w:space="0" w:color="auto"/>
                    <w:right w:val="none" w:sz="0" w:space="0" w:color="auto"/>
                  </w:divBdr>
                  <w:divsChild>
                    <w:div w:id="23674043">
                      <w:marLeft w:val="0"/>
                      <w:marRight w:val="0"/>
                      <w:marTop w:val="0"/>
                      <w:marBottom w:val="0"/>
                      <w:divBdr>
                        <w:top w:val="none" w:sz="0" w:space="0" w:color="auto"/>
                        <w:left w:val="none" w:sz="0" w:space="0" w:color="auto"/>
                        <w:bottom w:val="none" w:sz="0" w:space="0" w:color="auto"/>
                        <w:right w:val="none" w:sz="0" w:space="0" w:color="auto"/>
                      </w:divBdr>
                    </w:div>
                  </w:divsChild>
                </w:div>
                <w:div w:id="349839654">
                  <w:marLeft w:val="0"/>
                  <w:marRight w:val="0"/>
                  <w:marTop w:val="0"/>
                  <w:marBottom w:val="0"/>
                  <w:divBdr>
                    <w:top w:val="none" w:sz="0" w:space="0" w:color="auto"/>
                    <w:left w:val="none" w:sz="0" w:space="0" w:color="auto"/>
                    <w:bottom w:val="none" w:sz="0" w:space="0" w:color="auto"/>
                    <w:right w:val="none" w:sz="0" w:space="0" w:color="auto"/>
                  </w:divBdr>
                  <w:divsChild>
                    <w:div w:id="1767991581">
                      <w:marLeft w:val="0"/>
                      <w:marRight w:val="0"/>
                      <w:marTop w:val="0"/>
                      <w:marBottom w:val="0"/>
                      <w:divBdr>
                        <w:top w:val="none" w:sz="0" w:space="0" w:color="auto"/>
                        <w:left w:val="none" w:sz="0" w:space="0" w:color="auto"/>
                        <w:bottom w:val="none" w:sz="0" w:space="0" w:color="auto"/>
                        <w:right w:val="none" w:sz="0" w:space="0" w:color="auto"/>
                      </w:divBdr>
                    </w:div>
                  </w:divsChild>
                </w:div>
                <w:div w:id="1586963045">
                  <w:marLeft w:val="0"/>
                  <w:marRight w:val="0"/>
                  <w:marTop w:val="0"/>
                  <w:marBottom w:val="0"/>
                  <w:divBdr>
                    <w:top w:val="none" w:sz="0" w:space="0" w:color="auto"/>
                    <w:left w:val="none" w:sz="0" w:space="0" w:color="auto"/>
                    <w:bottom w:val="none" w:sz="0" w:space="0" w:color="auto"/>
                    <w:right w:val="none" w:sz="0" w:space="0" w:color="auto"/>
                  </w:divBdr>
                  <w:divsChild>
                    <w:div w:id="1083988273">
                      <w:marLeft w:val="0"/>
                      <w:marRight w:val="0"/>
                      <w:marTop w:val="0"/>
                      <w:marBottom w:val="0"/>
                      <w:divBdr>
                        <w:top w:val="none" w:sz="0" w:space="0" w:color="auto"/>
                        <w:left w:val="none" w:sz="0" w:space="0" w:color="auto"/>
                        <w:bottom w:val="none" w:sz="0" w:space="0" w:color="auto"/>
                        <w:right w:val="none" w:sz="0" w:space="0" w:color="auto"/>
                      </w:divBdr>
                    </w:div>
                  </w:divsChild>
                </w:div>
                <w:div w:id="1762678743">
                  <w:marLeft w:val="0"/>
                  <w:marRight w:val="0"/>
                  <w:marTop w:val="0"/>
                  <w:marBottom w:val="0"/>
                  <w:divBdr>
                    <w:top w:val="none" w:sz="0" w:space="0" w:color="auto"/>
                    <w:left w:val="none" w:sz="0" w:space="0" w:color="auto"/>
                    <w:bottom w:val="none" w:sz="0" w:space="0" w:color="auto"/>
                    <w:right w:val="none" w:sz="0" w:space="0" w:color="auto"/>
                  </w:divBdr>
                  <w:divsChild>
                    <w:div w:id="2106724009">
                      <w:marLeft w:val="0"/>
                      <w:marRight w:val="0"/>
                      <w:marTop w:val="0"/>
                      <w:marBottom w:val="0"/>
                      <w:divBdr>
                        <w:top w:val="none" w:sz="0" w:space="0" w:color="auto"/>
                        <w:left w:val="none" w:sz="0" w:space="0" w:color="auto"/>
                        <w:bottom w:val="none" w:sz="0" w:space="0" w:color="auto"/>
                        <w:right w:val="none" w:sz="0" w:space="0" w:color="auto"/>
                      </w:divBdr>
                    </w:div>
                  </w:divsChild>
                </w:div>
                <w:div w:id="54014780">
                  <w:marLeft w:val="0"/>
                  <w:marRight w:val="0"/>
                  <w:marTop w:val="0"/>
                  <w:marBottom w:val="0"/>
                  <w:divBdr>
                    <w:top w:val="none" w:sz="0" w:space="0" w:color="auto"/>
                    <w:left w:val="none" w:sz="0" w:space="0" w:color="auto"/>
                    <w:bottom w:val="none" w:sz="0" w:space="0" w:color="auto"/>
                    <w:right w:val="none" w:sz="0" w:space="0" w:color="auto"/>
                  </w:divBdr>
                  <w:divsChild>
                    <w:div w:id="81268090">
                      <w:marLeft w:val="0"/>
                      <w:marRight w:val="0"/>
                      <w:marTop w:val="0"/>
                      <w:marBottom w:val="0"/>
                      <w:divBdr>
                        <w:top w:val="none" w:sz="0" w:space="0" w:color="auto"/>
                        <w:left w:val="none" w:sz="0" w:space="0" w:color="auto"/>
                        <w:bottom w:val="none" w:sz="0" w:space="0" w:color="auto"/>
                        <w:right w:val="none" w:sz="0" w:space="0" w:color="auto"/>
                      </w:divBdr>
                    </w:div>
                  </w:divsChild>
                </w:div>
                <w:div w:id="1368683246">
                  <w:marLeft w:val="0"/>
                  <w:marRight w:val="0"/>
                  <w:marTop w:val="0"/>
                  <w:marBottom w:val="0"/>
                  <w:divBdr>
                    <w:top w:val="none" w:sz="0" w:space="0" w:color="auto"/>
                    <w:left w:val="none" w:sz="0" w:space="0" w:color="auto"/>
                    <w:bottom w:val="none" w:sz="0" w:space="0" w:color="auto"/>
                    <w:right w:val="none" w:sz="0" w:space="0" w:color="auto"/>
                  </w:divBdr>
                  <w:divsChild>
                    <w:div w:id="212040311">
                      <w:marLeft w:val="0"/>
                      <w:marRight w:val="0"/>
                      <w:marTop w:val="0"/>
                      <w:marBottom w:val="0"/>
                      <w:divBdr>
                        <w:top w:val="none" w:sz="0" w:space="0" w:color="auto"/>
                        <w:left w:val="none" w:sz="0" w:space="0" w:color="auto"/>
                        <w:bottom w:val="none" w:sz="0" w:space="0" w:color="auto"/>
                        <w:right w:val="none" w:sz="0" w:space="0" w:color="auto"/>
                      </w:divBdr>
                    </w:div>
                  </w:divsChild>
                </w:div>
                <w:div w:id="1105728777">
                  <w:marLeft w:val="0"/>
                  <w:marRight w:val="0"/>
                  <w:marTop w:val="0"/>
                  <w:marBottom w:val="0"/>
                  <w:divBdr>
                    <w:top w:val="none" w:sz="0" w:space="0" w:color="auto"/>
                    <w:left w:val="none" w:sz="0" w:space="0" w:color="auto"/>
                    <w:bottom w:val="none" w:sz="0" w:space="0" w:color="auto"/>
                    <w:right w:val="none" w:sz="0" w:space="0" w:color="auto"/>
                  </w:divBdr>
                  <w:divsChild>
                    <w:div w:id="791510256">
                      <w:marLeft w:val="0"/>
                      <w:marRight w:val="0"/>
                      <w:marTop w:val="0"/>
                      <w:marBottom w:val="0"/>
                      <w:divBdr>
                        <w:top w:val="none" w:sz="0" w:space="0" w:color="auto"/>
                        <w:left w:val="none" w:sz="0" w:space="0" w:color="auto"/>
                        <w:bottom w:val="none" w:sz="0" w:space="0" w:color="auto"/>
                        <w:right w:val="none" w:sz="0" w:space="0" w:color="auto"/>
                      </w:divBdr>
                    </w:div>
                  </w:divsChild>
                </w:div>
                <w:div w:id="1771583862">
                  <w:marLeft w:val="0"/>
                  <w:marRight w:val="0"/>
                  <w:marTop w:val="0"/>
                  <w:marBottom w:val="0"/>
                  <w:divBdr>
                    <w:top w:val="none" w:sz="0" w:space="0" w:color="auto"/>
                    <w:left w:val="none" w:sz="0" w:space="0" w:color="auto"/>
                    <w:bottom w:val="none" w:sz="0" w:space="0" w:color="auto"/>
                    <w:right w:val="none" w:sz="0" w:space="0" w:color="auto"/>
                  </w:divBdr>
                  <w:divsChild>
                    <w:div w:id="77018745">
                      <w:marLeft w:val="0"/>
                      <w:marRight w:val="0"/>
                      <w:marTop w:val="0"/>
                      <w:marBottom w:val="0"/>
                      <w:divBdr>
                        <w:top w:val="none" w:sz="0" w:space="0" w:color="auto"/>
                        <w:left w:val="none" w:sz="0" w:space="0" w:color="auto"/>
                        <w:bottom w:val="none" w:sz="0" w:space="0" w:color="auto"/>
                        <w:right w:val="none" w:sz="0" w:space="0" w:color="auto"/>
                      </w:divBdr>
                    </w:div>
                  </w:divsChild>
                </w:div>
                <w:div w:id="137890594">
                  <w:marLeft w:val="0"/>
                  <w:marRight w:val="0"/>
                  <w:marTop w:val="0"/>
                  <w:marBottom w:val="0"/>
                  <w:divBdr>
                    <w:top w:val="none" w:sz="0" w:space="0" w:color="auto"/>
                    <w:left w:val="none" w:sz="0" w:space="0" w:color="auto"/>
                    <w:bottom w:val="none" w:sz="0" w:space="0" w:color="auto"/>
                    <w:right w:val="none" w:sz="0" w:space="0" w:color="auto"/>
                  </w:divBdr>
                  <w:divsChild>
                    <w:div w:id="2041272290">
                      <w:marLeft w:val="0"/>
                      <w:marRight w:val="0"/>
                      <w:marTop w:val="0"/>
                      <w:marBottom w:val="0"/>
                      <w:divBdr>
                        <w:top w:val="none" w:sz="0" w:space="0" w:color="auto"/>
                        <w:left w:val="none" w:sz="0" w:space="0" w:color="auto"/>
                        <w:bottom w:val="none" w:sz="0" w:space="0" w:color="auto"/>
                        <w:right w:val="none" w:sz="0" w:space="0" w:color="auto"/>
                      </w:divBdr>
                    </w:div>
                  </w:divsChild>
                </w:div>
                <w:div w:id="2135781013">
                  <w:marLeft w:val="0"/>
                  <w:marRight w:val="0"/>
                  <w:marTop w:val="0"/>
                  <w:marBottom w:val="0"/>
                  <w:divBdr>
                    <w:top w:val="none" w:sz="0" w:space="0" w:color="auto"/>
                    <w:left w:val="none" w:sz="0" w:space="0" w:color="auto"/>
                    <w:bottom w:val="none" w:sz="0" w:space="0" w:color="auto"/>
                    <w:right w:val="none" w:sz="0" w:space="0" w:color="auto"/>
                  </w:divBdr>
                  <w:divsChild>
                    <w:div w:id="633676268">
                      <w:marLeft w:val="0"/>
                      <w:marRight w:val="0"/>
                      <w:marTop w:val="0"/>
                      <w:marBottom w:val="0"/>
                      <w:divBdr>
                        <w:top w:val="none" w:sz="0" w:space="0" w:color="auto"/>
                        <w:left w:val="none" w:sz="0" w:space="0" w:color="auto"/>
                        <w:bottom w:val="none" w:sz="0" w:space="0" w:color="auto"/>
                        <w:right w:val="none" w:sz="0" w:space="0" w:color="auto"/>
                      </w:divBdr>
                    </w:div>
                  </w:divsChild>
                </w:div>
                <w:div w:id="1310943438">
                  <w:marLeft w:val="0"/>
                  <w:marRight w:val="0"/>
                  <w:marTop w:val="0"/>
                  <w:marBottom w:val="0"/>
                  <w:divBdr>
                    <w:top w:val="none" w:sz="0" w:space="0" w:color="auto"/>
                    <w:left w:val="none" w:sz="0" w:space="0" w:color="auto"/>
                    <w:bottom w:val="none" w:sz="0" w:space="0" w:color="auto"/>
                    <w:right w:val="none" w:sz="0" w:space="0" w:color="auto"/>
                  </w:divBdr>
                  <w:divsChild>
                    <w:div w:id="2085831473">
                      <w:marLeft w:val="0"/>
                      <w:marRight w:val="0"/>
                      <w:marTop w:val="0"/>
                      <w:marBottom w:val="0"/>
                      <w:divBdr>
                        <w:top w:val="none" w:sz="0" w:space="0" w:color="auto"/>
                        <w:left w:val="none" w:sz="0" w:space="0" w:color="auto"/>
                        <w:bottom w:val="none" w:sz="0" w:space="0" w:color="auto"/>
                        <w:right w:val="none" w:sz="0" w:space="0" w:color="auto"/>
                      </w:divBdr>
                    </w:div>
                  </w:divsChild>
                </w:div>
                <w:div w:id="529296958">
                  <w:marLeft w:val="0"/>
                  <w:marRight w:val="0"/>
                  <w:marTop w:val="0"/>
                  <w:marBottom w:val="0"/>
                  <w:divBdr>
                    <w:top w:val="none" w:sz="0" w:space="0" w:color="auto"/>
                    <w:left w:val="none" w:sz="0" w:space="0" w:color="auto"/>
                    <w:bottom w:val="none" w:sz="0" w:space="0" w:color="auto"/>
                    <w:right w:val="none" w:sz="0" w:space="0" w:color="auto"/>
                  </w:divBdr>
                  <w:divsChild>
                    <w:div w:id="1510635896">
                      <w:marLeft w:val="0"/>
                      <w:marRight w:val="0"/>
                      <w:marTop w:val="0"/>
                      <w:marBottom w:val="0"/>
                      <w:divBdr>
                        <w:top w:val="none" w:sz="0" w:space="0" w:color="auto"/>
                        <w:left w:val="none" w:sz="0" w:space="0" w:color="auto"/>
                        <w:bottom w:val="none" w:sz="0" w:space="0" w:color="auto"/>
                        <w:right w:val="none" w:sz="0" w:space="0" w:color="auto"/>
                      </w:divBdr>
                    </w:div>
                  </w:divsChild>
                </w:div>
                <w:div w:id="934094185">
                  <w:marLeft w:val="0"/>
                  <w:marRight w:val="0"/>
                  <w:marTop w:val="0"/>
                  <w:marBottom w:val="0"/>
                  <w:divBdr>
                    <w:top w:val="none" w:sz="0" w:space="0" w:color="auto"/>
                    <w:left w:val="none" w:sz="0" w:space="0" w:color="auto"/>
                    <w:bottom w:val="none" w:sz="0" w:space="0" w:color="auto"/>
                    <w:right w:val="none" w:sz="0" w:space="0" w:color="auto"/>
                  </w:divBdr>
                  <w:divsChild>
                    <w:div w:id="1669676428">
                      <w:marLeft w:val="0"/>
                      <w:marRight w:val="0"/>
                      <w:marTop w:val="0"/>
                      <w:marBottom w:val="0"/>
                      <w:divBdr>
                        <w:top w:val="none" w:sz="0" w:space="0" w:color="auto"/>
                        <w:left w:val="none" w:sz="0" w:space="0" w:color="auto"/>
                        <w:bottom w:val="none" w:sz="0" w:space="0" w:color="auto"/>
                        <w:right w:val="none" w:sz="0" w:space="0" w:color="auto"/>
                      </w:divBdr>
                    </w:div>
                  </w:divsChild>
                </w:div>
                <w:div w:id="445999775">
                  <w:marLeft w:val="0"/>
                  <w:marRight w:val="0"/>
                  <w:marTop w:val="0"/>
                  <w:marBottom w:val="0"/>
                  <w:divBdr>
                    <w:top w:val="none" w:sz="0" w:space="0" w:color="auto"/>
                    <w:left w:val="none" w:sz="0" w:space="0" w:color="auto"/>
                    <w:bottom w:val="none" w:sz="0" w:space="0" w:color="auto"/>
                    <w:right w:val="none" w:sz="0" w:space="0" w:color="auto"/>
                  </w:divBdr>
                  <w:divsChild>
                    <w:div w:id="1036468980">
                      <w:marLeft w:val="0"/>
                      <w:marRight w:val="0"/>
                      <w:marTop w:val="0"/>
                      <w:marBottom w:val="0"/>
                      <w:divBdr>
                        <w:top w:val="none" w:sz="0" w:space="0" w:color="auto"/>
                        <w:left w:val="none" w:sz="0" w:space="0" w:color="auto"/>
                        <w:bottom w:val="none" w:sz="0" w:space="0" w:color="auto"/>
                        <w:right w:val="none" w:sz="0" w:space="0" w:color="auto"/>
                      </w:divBdr>
                    </w:div>
                  </w:divsChild>
                </w:div>
                <w:div w:id="586811028">
                  <w:marLeft w:val="0"/>
                  <w:marRight w:val="0"/>
                  <w:marTop w:val="0"/>
                  <w:marBottom w:val="0"/>
                  <w:divBdr>
                    <w:top w:val="none" w:sz="0" w:space="0" w:color="auto"/>
                    <w:left w:val="none" w:sz="0" w:space="0" w:color="auto"/>
                    <w:bottom w:val="none" w:sz="0" w:space="0" w:color="auto"/>
                    <w:right w:val="none" w:sz="0" w:space="0" w:color="auto"/>
                  </w:divBdr>
                  <w:divsChild>
                    <w:div w:id="95102666">
                      <w:marLeft w:val="0"/>
                      <w:marRight w:val="0"/>
                      <w:marTop w:val="0"/>
                      <w:marBottom w:val="0"/>
                      <w:divBdr>
                        <w:top w:val="none" w:sz="0" w:space="0" w:color="auto"/>
                        <w:left w:val="none" w:sz="0" w:space="0" w:color="auto"/>
                        <w:bottom w:val="none" w:sz="0" w:space="0" w:color="auto"/>
                        <w:right w:val="none" w:sz="0" w:space="0" w:color="auto"/>
                      </w:divBdr>
                    </w:div>
                  </w:divsChild>
                </w:div>
                <w:div w:id="1851601495">
                  <w:marLeft w:val="0"/>
                  <w:marRight w:val="0"/>
                  <w:marTop w:val="0"/>
                  <w:marBottom w:val="0"/>
                  <w:divBdr>
                    <w:top w:val="none" w:sz="0" w:space="0" w:color="auto"/>
                    <w:left w:val="none" w:sz="0" w:space="0" w:color="auto"/>
                    <w:bottom w:val="none" w:sz="0" w:space="0" w:color="auto"/>
                    <w:right w:val="none" w:sz="0" w:space="0" w:color="auto"/>
                  </w:divBdr>
                  <w:divsChild>
                    <w:div w:id="1916474289">
                      <w:marLeft w:val="0"/>
                      <w:marRight w:val="0"/>
                      <w:marTop w:val="0"/>
                      <w:marBottom w:val="0"/>
                      <w:divBdr>
                        <w:top w:val="none" w:sz="0" w:space="0" w:color="auto"/>
                        <w:left w:val="none" w:sz="0" w:space="0" w:color="auto"/>
                        <w:bottom w:val="none" w:sz="0" w:space="0" w:color="auto"/>
                        <w:right w:val="none" w:sz="0" w:space="0" w:color="auto"/>
                      </w:divBdr>
                    </w:div>
                  </w:divsChild>
                </w:div>
                <w:div w:id="652412069">
                  <w:marLeft w:val="0"/>
                  <w:marRight w:val="0"/>
                  <w:marTop w:val="0"/>
                  <w:marBottom w:val="0"/>
                  <w:divBdr>
                    <w:top w:val="none" w:sz="0" w:space="0" w:color="auto"/>
                    <w:left w:val="none" w:sz="0" w:space="0" w:color="auto"/>
                    <w:bottom w:val="none" w:sz="0" w:space="0" w:color="auto"/>
                    <w:right w:val="none" w:sz="0" w:space="0" w:color="auto"/>
                  </w:divBdr>
                  <w:divsChild>
                    <w:div w:id="1276137308">
                      <w:marLeft w:val="0"/>
                      <w:marRight w:val="0"/>
                      <w:marTop w:val="0"/>
                      <w:marBottom w:val="0"/>
                      <w:divBdr>
                        <w:top w:val="none" w:sz="0" w:space="0" w:color="auto"/>
                        <w:left w:val="none" w:sz="0" w:space="0" w:color="auto"/>
                        <w:bottom w:val="none" w:sz="0" w:space="0" w:color="auto"/>
                        <w:right w:val="none" w:sz="0" w:space="0" w:color="auto"/>
                      </w:divBdr>
                    </w:div>
                  </w:divsChild>
                </w:div>
                <w:div w:id="1105348073">
                  <w:marLeft w:val="0"/>
                  <w:marRight w:val="0"/>
                  <w:marTop w:val="0"/>
                  <w:marBottom w:val="0"/>
                  <w:divBdr>
                    <w:top w:val="none" w:sz="0" w:space="0" w:color="auto"/>
                    <w:left w:val="none" w:sz="0" w:space="0" w:color="auto"/>
                    <w:bottom w:val="none" w:sz="0" w:space="0" w:color="auto"/>
                    <w:right w:val="none" w:sz="0" w:space="0" w:color="auto"/>
                  </w:divBdr>
                  <w:divsChild>
                    <w:div w:id="931626345">
                      <w:marLeft w:val="0"/>
                      <w:marRight w:val="0"/>
                      <w:marTop w:val="0"/>
                      <w:marBottom w:val="0"/>
                      <w:divBdr>
                        <w:top w:val="none" w:sz="0" w:space="0" w:color="auto"/>
                        <w:left w:val="none" w:sz="0" w:space="0" w:color="auto"/>
                        <w:bottom w:val="none" w:sz="0" w:space="0" w:color="auto"/>
                        <w:right w:val="none" w:sz="0" w:space="0" w:color="auto"/>
                      </w:divBdr>
                    </w:div>
                  </w:divsChild>
                </w:div>
                <w:div w:id="842008806">
                  <w:marLeft w:val="0"/>
                  <w:marRight w:val="0"/>
                  <w:marTop w:val="0"/>
                  <w:marBottom w:val="0"/>
                  <w:divBdr>
                    <w:top w:val="none" w:sz="0" w:space="0" w:color="auto"/>
                    <w:left w:val="none" w:sz="0" w:space="0" w:color="auto"/>
                    <w:bottom w:val="none" w:sz="0" w:space="0" w:color="auto"/>
                    <w:right w:val="none" w:sz="0" w:space="0" w:color="auto"/>
                  </w:divBdr>
                  <w:divsChild>
                    <w:div w:id="435105496">
                      <w:marLeft w:val="0"/>
                      <w:marRight w:val="0"/>
                      <w:marTop w:val="0"/>
                      <w:marBottom w:val="0"/>
                      <w:divBdr>
                        <w:top w:val="none" w:sz="0" w:space="0" w:color="auto"/>
                        <w:left w:val="none" w:sz="0" w:space="0" w:color="auto"/>
                        <w:bottom w:val="none" w:sz="0" w:space="0" w:color="auto"/>
                        <w:right w:val="none" w:sz="0" w:space="0" w:color="auto"/>
                      </w:divBdr>
                    </w:div>
                  </w:divsChild>
                </w:div>
                <w:div w:id="803347530">
                  <w:marLeft w:val="0"/>
                  <w:marRight w:val="0"/>
                  <w:marTop w:val="0"/>
                  <w:marBottom w:val="0"/>
                  <w:divBdr>
                    <w:top w:val="none" w:sz="0" w:space="0" w:color="auto"/>
                    <w:left w:val="none" w:sz="0" w:space="0" w:color="auto"/>
                    <w:bottom w:val="none" w:sz="0" w:space="0" w:color="auto"/>
                    <w:right w:val="none" w:sz="0" w:space="0" w:color="auto"/>
                  </w:divBdr>
                  <w:divsChild>
                    <w:div w:id="2092190887">
                      <w:marLeft w:val="0"/>
                      <w:marRight w:val="0"/>
                      <w:marTop w:val="0"/>
                      <w:marBottom w:val="0"/>
                      <w:divBdr>
                        <w:top w:val="none" w:sz="0" w:space="0" w:color="auto"/>
                        <w:left w:val="none" w:sz="0" w:space="0" w:color="auto"/>
                        <w:bottom w:val="none" w:sz="0" w:space="0" w:color="auto"/>
                        <w:right w:val="none" w:sz="0" w:space="0" w:color="auto"/>
                      </w:divBdr>
                    </w:div>
                  </w:divsChild>
                </w:div>
                <w:div w:id="892891112">
                  <w:marLeft w:val="0"/>
                  <w:marRight w:val="0"/>
                  <w:marTop w:val="0"/>
                  <w:marBottom w:val="0"/>
                  <w:divBdr>
                    <w:top w:val="none" w:sz="0" w:space="0" w:color="auto"/>
                    <w:left w:val="none" w:sz="0" w:space="0" w:color="auto"/>
                    <w:bottom w:val="none" w:sz="0" w:space="0" w:color="auto"/>
                    <w:right w:val="none" w:sz="0" w:space="0" w:color="auto"/>
                  </w:divBdr>
                  <w:divsChild>
                    <w:div w:id="1487279477">
                      <w:marLeft w:val="0"/>
                      <w:marRight w:val="0"/>
                      <w:marTop w:val="0"/>
                      <w:marBottom w:val="0"/>
                      <w:divBdr>
                        <w:top w:val="none" w:sz="0" w:space="0" w:color="auto"/>
                        <w:left w:val="none" w:sz="0" w:space="0" w:color="auto"/>
                        <w:bottom w:val="none" w:sz="0" w:space="0" w:color="auto"/>
                        <w:right w:val="none" w:sz="0" w:space="0" w:color="auto"/>
                      </w:divBdr>
                    </w:div>
                  </w:divsChild>
                </w:div>
                <w:div w:id="1881089879">
                  <w:marLeft w:val="0"/>
                  <w:marRight w:val="0"/>
                  <w:marTop w:val="0"/>
                  <w:marBottom w:val="0"/>
                  <w:divBdr>
                    <w:top w:val="none" w:sz="0" w:space="0" w:color="auto"/>
                    <w:left w:val="none" w:sz="0" w:space="0" w:color="auto"/>
                    <w:bottom w:val="none" w:sz="0" w:space="0" w:color="auto"/>
                    <w:right w:val="none" w:sz="0" w:space="0" w:color="auto"/>
                  </w:divBdr>
                  <w:divsChild>
                    <w:div w:id="1316059814">
                      <w:marLeft w:val="0"/>
                      <w:marRight w:val="0"/>
                      <w:marTop w:val="0"/>
                      <w:marBottom w:val="0"/>
                      <w:divBdr>
                        <w:top w:val="none" w:sz="0" w:space="0" w:color="auto"/>
                        <w:left w:val="none" w:sz="0" w:space="0" w:color="auto"/>
                        <w:bottom w:val="none" w:sz="0" w:space="0" w:color="auto"/>
                        <w:right w:val="none" w:sz="0" w:space="0" w:color="auto"/>
                      </w:divBdr>
                    </w:div>
                  </w:divsChild>
                </w:div>
                <w:div w:id="507599527">
                  <w:marLeft w:val="0"/>
                  <w:marRight w:val="0"/>
                  <w:marTop w:val="0"/>
                  <w:marBottom w:val="0"/>
                  <w:divBdr>
                    <w:top w:val="none" w:sz="0" w:space="0" w:color="auto"/>
                    <w:left w:val="none" w:sz="0" w:space="0" w:color="auto"/>
                    <w:bottom w:val="none" w:sz="0" w:space="0" w:color="auto"/>
                    <w:right w:val="none" w:sz="0" w:space="0" w:color="auto"/>
                  </w:divBdr>
                  <w:divsChild>
                    <w:div w:id="1113596591">
                      <w:marLeft w:val="0"/>
                      <w:marRight w:val="0"/>
                      <w:marTop w:val="0"/>
                      <w:marBottom w:val="0"/>
                      <w:divBdr>
                        <w:top w:val="none" w:sz="0" w:space="0" w:color="auto"/>
                        <w:left w:val="none" w:sz="0" w:space="0" w:color="auto"/>
                        <w:bottom w:val="none" w:sz="0" w:space="0" w:color="auto"/>
                        <w:right w:val="none" w:sz="0" w:space="0" w:color="auto"/>
                      </w:divBdr>
                    </w:div>
                  </w:divsChild>
                </w:div>
                <w:div w:id="1685395411">
                  <w:marLeft w:val="0"/>
                  <w:marRight w:val="0"/>
                  <w:marTop w:val="0"/>
                  <w:marBottom w:val="0"/>
                  <w:divBdr>
                    <w:top w:val="none" w:sz="0" w:space="0" w:color="auto"/>
                    <w:left w:val="none" w:sz="0" w:space="0" w:color="auto"/>
                    <w:bottom w:val="none" w:sz="0" w:space="0" w:color="auto"/>
                    <w:right w:val="none" w:sz="0" w:space="0" w:color="auto"/>
                  </w:divBdr>
                  <w:divsChild>
                    <w:div w:id="1565410882">
                      <w:marLeft w:val="0"/>
                      <w:marRight w:val="0"/>
                      <w:marTop w:val="0"/>
                      <w:marBottom w:val="0"/>
                      <w:divBdr>
                        <w:top w:val="none" w:sz="0" w:space="0" w:color="auto"/>
                        <w:left w:val="none" w:sz="0" w:space="0" w:color="auto"/>
                        <w:bottom w:val="none" w:sz="0" w:space="0" w:color="auto"/>
                        <w:right w:val="none" w:sz="0" w:space="0" w:color="auto"/>
                      </w:divBdr>
                    </w:div>
                  </w:divsChild>
                </w:div>
                <w:div w:id="1029449354">
                  <w:marLeft w:val="0"/>
                  <w:marRight w:val="0"/>
                  <w:marTop w:val="0"/>
                  <w:marBottom w:val="0"/>
                  <w:divBdr>
                    <w:top w:val="none" w:sz="0" w:space="0" w:color="auto"/>
                    <w:left w:val="none" w:sz="0" w:space="0" w:color="auto"/>
                    <w:bottom w:val="none" w:sz="0" w:space="0" w:color="auto"/>
                    <w:right w:val="none" w:sz="0" w:space="0" w:color="auto"/>
                  </w:divBdr>
                  <w:divsChild>
                    <w:div w:id="183061844">
                      <w:marLeft w:val="0"/>
                      <w:marRight w:val="0"/>
                      <w:marTop w:val="0"/>
                      <w:marBottom w:val="0"/>
                      <w:divBdr>
                        <w:top w:val="none" w:sz="0" w:space="0" w:color="auto"/>
                        <w:left w:val="none" w:sz="0" w:space="0" w:color="auto"/>
                        <w:bottom w:val="none" w:sz="0" w:space="0" w:color="auto"/>
                        <w:right w:val="none" w:sz="0" w:space="0" w:color="auto"/>
                      </w:divBdr>
                    </w:div>
                  </w:divsChild>
                </w:div>
                <w:div w:id="1621571391">
                  <w:marLeft w:val="0"/>
                  <w:marRight w:val="0"/>
                  <w:marTop w:val="0"/>
                  <w:marBottom w:val="0"/>
                  <w:divBdr>
                    <w:top w:val="none" w:sz="0" w:space="0" w:color="auto"/>
                    <w:left w:val="none" w:sz="0" w:space="0" w:color="auto"/>
                    <w:bottom w:val="none" w:sz="0" w:space="0" w:color="auto"/>
                    <w:right w:val="none" w:sz="0" w:space="0" w:color="auto"/>
                  </w:divBdr>
                  <w:divsChild>
                    <w:div w:id="370692458">
                      <w:marLeft w:val="0"/>
                      <w:marRight w:val="0"/>
                      <w:marTop w:val="0"/>
                      <w:marBottom w:val="0"/>
                      <w:divBdr>
                        <w:top w:val="none" w:sz="0" w:space="0" w:color="auto"/>
                        <w:left w:val="none" w:sz="0" w:space="0" w:color="auto"/>
                        <w:bottom w:val="none" w:sz="0" w:space="0" w:color="auto"/>
                        <w:right w:val="none" w:sz="0" w:space="0" w:color="auto"/>
                      </w:divBdr>
                    </w:div>
                  </w:divsChild>
                </w:div>
                <w:div w:id="212741032">
                  <w:marLeft w:val="0"/>
                  <w:marRight w:val="0"/>
                  <w:marTop w:val="0"/>
                  <w:marBottom w:val="0"/>
                  <w:divBdr>
                    <w:top w:val="none" w:sz="0" w:space="0" w:color="auto"/>
                    <w:left w:val="none" w:sz="0" w:space="0" w:color="auto"/>
                    <w:bottom w:val="none" w:sz="0" w:space="0" w:color="auto"/>
                    <w:right w:val="none" w:sz="0" w:space="0" w:color="auto"/>
                  </w:divBdr>
                  <w:divsChild>
                    <w:div w:id="167062451">
                      <w:marLeft w:val="0"/>
                      <w:marRight w:val="0"/>
                      <w:marTop w:val="0"/>
                      <w:marBottom w:val="0"/>
                      <w:divBdr>
                        <w:top w:val="none" w:sz="0" w:space="0" w:color="auto"/>
                        <w:left w:val="none" w:sz="0" w:space="0" w:color="auto"/>
                        <w:bottom w:val="none" w:sz="0" w:space="0" w:color="auto"/>
                        <w:right w:val="none" w:sz="0" w:space="0" w:color="auto"/>
                      </w:divBdr>
                    </w:div>
                  </w:divsChild>
                </w:div>
                <w:div w:id="797067955">
                  <w:marLeft w:val="0"/>
                  <w:marRight w:val="0"/>
                  <w:marTop w:val="0"/>
                  <w:marBottom w:val="0"/>
                  <w:divBdr>
                    <w:top w:val="none" w:sz="0" w:space="0" w:color="auto"/>
                    <w:left w:val="none" w:sz="0" w:space="0" w:color="auto"/>
                    <w:bottom w:val="none" w:sz="0" w:space="0" w:color="auto"/>
                    <w:right w:val="none" w:sz="0" w:space="0" w:color="auto"/>
                  </w:divBdr>
                  <w:divsChild>
                    <w:div w:id="1350984932">
                      <w:marLeft w:val="0"/>
                      <w:marRight w:val="0"/>
                      <w:marTop w:val="0"/>
                      <w:marBottom w:val="0"/>
                      <w:divBdr>
                        <w:top w:val="none" w:sz="0" w:space="0" w:color="auto"/>
                        <w:left w:val="none" w:sz="0" w:space="0" w:color="auto"/>
                        <w:bottom w:val="none" w:sz="0" w:space="0" w:color="auto"/>
                        <w:right w:val="none" w:sz="0" w:space="0" w:color="auto"/>
                      </w:divBdr>
                    </w:div>
                  </w:divsChild>
                </w:div>
                <w:div w:id="1851261676">
                  <w:marLeft w:val="0"/>
                  <w:marRight w:val="0"/>
                  <w:marTop w:val="0"/>
                  <w:marBottom w:val="0"/>
                  <w:divBdr>
                    <w:top w:val="none" w:sz="0" w:space="0" w:color="auto"/>
                    <w:left w:val="none" w:sz="0" w:space="0" w:color="auto"/>
                    <w:bottom w:val="none" w:sz="0" w:space="0" w:color="auto"/>
                    <w:right w:val="none" w:sz="0" w:space="0" w:color="auto"/>
                  </w:divBdr>
                  <w:divsChild>
                    <w:div w:id="1358314373">
                      <w:marLeft w:val="0"/>
                      <w:marRight w:val="0"/>
                      <w:marTop w:val="0"/>
                      <w:marBottom w:val="0"/>
                      <w:divBdr>
                        <w:top w:val="none" w:sz="0" w:space="0" w:color="auto"/>
                        <w:left w:val="none" w:sz="0" w:space="0" w:color="auto"/>
                        <w:bottom w:val="none" w:sz="0" w:space="0" w:color="auto"/>
                        <w:right w:val="none" w:sz="0" w:space="0" w:color="auto"/>
                      </w:divBdr>
                    </w:div>
                  </w:divsChild>
                </w:div>
                <w:div w:id="1240867905">
                  <w:marLeft w:val="0"/>
                  <w:marRight w:val="0"/>
                  <w:marTop w:val="0"/>
                  <w:marBottom w:val="0"/>
                  <w:divBdr>
                    <w:top w:val="none" w:sz="0" w:space="0" w:color="auto"/>
                    <w:left w:val="none" w:sz="0" w:space="0" w:color="auto"/>
                    <w:bottom w:val="none" w:sz="0" w:space="0" w:color="auto"/>
                    <w:right w:val="none" w:sz="0" w:space="0" w:color="auto"/>
                  </w:divBdr>
                  <w:divsChild>
                    <w:div w:id="724523703">
                      <w:marLeft w:val="0"/>
                      <w:marRight w:val="0"/>
                      <w:marTop w:val="0"/>
                      <w:marBottom w:val="0"/>
                      <w:divBdr>
                        <w:top w:val="none" w:sz="0" w:space="0" w:color="auto"/>
                        <w:left w:val="none" w:sz="0" w:space="0" w:color="auto"/>
                        <w:bottom w:val="none" w:sz="0" w:space="0" w:color="auto"/>
                        <w:right w:val="none" w:sz="0" w:space="0" w:color="auto"/>
                      </w:divBdr>
                    </w:div>
                  </w:divsChild>
                </w:div>
                <w:div w:id="1591309808">
                  <w:marLeft w:val="0"/>
                  <w:marRight w:val="0"/>
                  <w:marTop w:val="0"/>
                  <w:marBottom w:val="0"/>
                  <w:divBdr>
                    <w:top w:val="none" w:sz="0" w:space="0" w:color="auto"/>
                    <w:left w:val="none" w:sz="0" w:space="0" w:color="auto"/>
                    <w:bottom w:val="none" w:sz="0" w:space="0" w:color="auto"/>
                    <w:right w:val="none" w:sz="0" w:space="0" w:color="auto"/>
                  </w:divBdr>
                  <w:divsChild>
                    <w:div w:id="1632780205">
                      <w:marLeft w:val="0"/>
                      <w:marRight w:val="0"/>
                      <w:marTop w:val="0"/>
                      <w:marBottom w:val="0"/>
                      <w:divBdr>
                        <w:top w:val="none" w:sz="0" w:space="0" w:color="auto"/>
                        <w:left w:val="none" w:sz="0" w:space="0" w:color="auto"/>
                        <w:bottom w:val="none" w:sz="0" w:space="0" w:color="auto"/>
                        <w:right w:val="none" w:sz="0" w:space="0" w:color="auto"/>
                      </w:divBdr>
                    </w:div>
                  </w:divsChild>
                </w:div>
                <w:div w:id="929504378">
                  <w:marLeft w:val="0"/>
                  <w:marRight w:val="0"/>
                  <w:marTop w:val="0"/>
                  <w:marBottom w:val="0"/>
                  <w:divBdr>
                    <w:top w:val="none" w:sz="0" w:space="0" w:color="auto"/>
                    <w:left w:val="none" w:sz="0" w:space="0" w:color="auto"/>
                    <w:bottom w:val="none" w:sz="0" w:space="0" w:color="auto"/>
                    <w:right w:val="none" w:sz="0" w:space="0" w:color="auto"/>
                  </w:divBdr>
                  <w:divsChild>
                    <w:div w:id="336538915">
                      <w:marLeft w:val="0"/>
                      <w:marRight w:val="0"/>
                      <w:marTop w:val="0"/>
                      <w:marBottom w:val="0"/>
                      <w:divBdr>
                        <w:top w:val="none" w:sz="0" w:space="0" w:color="auto"/>
                        <w:left w:val="none" w:sz="0" w:space="0" w:color="auto"/>
                        <w:bottom w:val="none" w:sz="0" w:space="0" w:color="auto"/>
                        <w:right w:val="none" w:sz="0" w:space="0" w:color="auto"/>
                      </w:divBdr>
                    </w:div>
                  </w:divsChild>
                </w:div>
                <w:div w:id="8532783">
                  <w:marLeft w:val="0"/>
                  <w:marRight w:val="0"/>
                  <w:marTop w:val="0"/>
                  <w:marBottom w:val="0"/>
                  <w:divBdr>
                    <w:top w:val="none" w:sz="0" w:space="0" w:color="auto"/>
                    <w:left w:val="none" w:sz="0" w:space="0" w:color="auto"/>
                    <w:bottom w:val="none" w:sz="0" w:space="0" w:color="auto"/>
                    <w:right w:val="none" w:sz="0" w:space="0" w:color="auto"/>
                  </w:divBdr>
                  <w:divsChild>
                    <w:div w:id="223300376">
                      <w:marLeft w:val="0"/>
                      <w:marRight w:val="0"/>
                      <w:marTop w:val="0"/>
                      <w:marBottom w:val="0"/>
                      <w:divBdr>
                        <w:top w:val="none" w:sz="0" w:space="0" w:color="auto"/>
                        <w:left w:val="none" w:sz="0" w:space="0" w:color="auto"/>
                        <w:bottom w:val="none" w:sz="0" w:space="0" w:color="auto"/>
                        <w:right w:val="none" w:sz="0" w:space="0" w:color="auto"/>
                      </w:divBdr>
                    </w:div>
                  </w:divsChild>
                </w:div>
                <w:div w:id="490174778">
                  <w:marLeft w:val="0"/>
                  <w:marRight w:val="0"/>
                  <w:marTop w:val="0"/>
                  <w:marBottom w:val="0"/>
                  <w:divBdr>
                    <w:top w:val="none" w:sz="0" w:space="0" w:color="auto"/>
                    <w:left w:val="none" w:sz="0" w:space="0" w:color="auto"/>
                    <w:bottom w:val="none" w:sz="0" w:space="0" w:color="auto"/>
                    <w:right w:val="none" w:sz="0" w:space="0" w:color="auto"/>
                  </w:divBdr>
                  <w:divsChild>
                    <w:div w:id="507254900">
                      <w:marLeft w:val="0"/>
                      <w:marRight w:val="0"/>
                      <w:marTop w:val="0"/>
                      <w:marBottom w:val="0"/>
                      <w:divBdr>
                        <w:top w:val="none" w:sz="0" w:space="0" w:color="auto"/>
                        <w:left w:val="none" w:sz="0" w:space="0" w:color="auto"/>
                        <w:bottom w:val="none" w:sz="0" w:space="0" w:color="auto"/>
                        <w:right w:val="none" w:sz="0" w:space="0" w:color="auto"/>
                      </w:divBdr>
                    </w:div>
                  </w:divsChild>
                </w:div>
                <w:div w:id="177625893">
                  <w:marLeft w:val="0"/>
                  <w:marRight w:val="0"/>
                  <w:marTop w:val="0"/>
                  <w:marBottom w:val="0"/>
                  <w:divBdr>
                    <w:top w:val="none" w:sz="0" w:space="0" w:color="auto"/>
                    <w:left w:val="none" w:sz="0" w:space="0" w:color="auto"/>
                    <w:bottom w:val="none" w:sz="0" w:space="0" w:color="auto"/>
                    <w:right w:val="none" w:sz="0" w:space="0" w:color="auto"/>
                  </w:divBdr>
                  <w:divsChild>
                    <w:div w:id="1682004014">
                      <w:marLeft w:val="0"/>
                      <w:marRight w:val="0"/>
                      <w:marTop w:val="0"/>
                      <w:marBottom w:val="0"/>
                      <w:divBdr>
                        <w:top w:val="none" w:sz="0" w:space="0" w:color="auto"/>
                        <w:left w:val="none" w:sz="0" w:space="0" w:color="auto"/>
                        <w:bottom w:val="none" w:sz="0" w:space="0" w:color="auto"/>
                        <w:right w:val="none" w:sz="0" w:space="0" w:color="auto"/>
                      </w:divBdr>
                    </w:div>
                  </w:divsChild>
                </w:div>
                <w:div w:id="12729248">
                  <w:marLeft w:val="0"/>
                  <w:marRight w:val="0"/>
                  <w:marTop w:val="0"/>
                  <w:marBottom w:val="0"/>
                  <w:divBdr>
                    <w:top w:val="none" w:sz="0" w:space="0" w:color="auto"/>
                    <w:left w:val="none" w:sz="0" w:space="0" w:color="auto"/>
                    <w:bottom w:val="none" w:sz="0" w:space="0" w:color="auto"/>
                    <w:right w:val="none" w:sz="0" w:space="0" w:color="auto"/>
                  </w:divBdr>
                  <w:divsChild>
                    <w:div w:id="778181617">
                      <w:marLeft w:val="0"/>
                      <w:marRight w:val="0"/>
                      <w:marTop w:val="0"/>
                      <w:marBottom w:val="0"/>
                      <w:divBdr>
                        <w:top w:val="none" w:sz="0" w:space="0" w:color="auto"/>
                        <w:left w:val="none" w:sz="0" w:space="0" w:color="auto"/>
                        <w:bottom w:val="none" w:sz="0" w:space="0" w:color="auto"/>
                        <w:right w:val="none" w:sz="0" w:space="0" w:color="auto"/>
                      </w:divBdr>
                    </w:div>
                  </w:divsChild>
                </w:div>
                <w:div w:id="1172140886">
                  <w:marLeft w:val="0"/>
                  <w:marRight w:val="0"/>
                  <w:marTop w:val="0"/>
                  <w:marBottom w:val="0"/>
                  <w:divBdr>
                    <w:top w:val="none" w:sz="0" w:space="0" w:color="auto"/>
                    <w:left w:val="none" w:sz="0" w:space="0" w:color="auto"/>
                    <w:bottom w:val="none" w:sz="0" w:space="0" w:color="auto"/>
                    <w:right w:val="none" w:sz="0" w:space="0" w:color="auto"/>
                  </w:divBdr>
                  <w:divsChild>
                    <w:div w:id="2087073511">
                      <w:marLeft w:val="0"/>
                      <w:marRight w:val="0"/>
                      <w:marTop w:val="0"/>
                      <w:marBottom w:val="0"/>
                      <w:divBdr>
                        <w:top w:val="none" w:sz="0" w:space="0" w:color="auto"/>
                        <w:left w:val="none" w:sz="0" w:space="0" w:color="auto"/>
                        <w:bottom w:val="none" w:sz="0" w:space="0" w:color="auto"/>
                        <w:right w:val="none" w:sz="0" w:space="0" w:color="auto"/>
                      </w:divBdr>
                    </w:div>
                  </w:divsChild>
                </w:div>
                <w:div w:id="1862744579">
                  <w:marLeft w:val="0"/>
                  <w:marRight w:val="0"/>
                  <w:marTop w:val="0"/>
                  <w:marBottom w:val="0"/>
                  <w:divBdr>
                    <w:top w:val="none" w:sz="0" w:space="0" w:color="auto"/>
                    <w:left w:val="none" w:sz="0" w:space="0" w:color="auto"/>
                    <w:bottom w:val="none" w:sz="0" w:space="0" w:color="auto"/>
                    <w:right w:val="none" w:sz="0" w:space="0" w:color="auto"/>
                  </w:divBdr>
                  <w:divsChild>
                    <w:div w:id="1421023323">
                      <w:marLeft w:val="0"/>
                      <w:marRight w:val="0"/>
                      <w:marTop w:val="0"/>
                      <w:marBottom w:val="0"/>
                      <w:divBdr>
                        <w:top w:val="none" w:sz="0" w:space="0" w:color="auto"/>
                        <w:left w:val="none" w:sz="0" w:space="0" w:color="auto"/>
                        <w:bottom w:val="none" w:sz="0" w:space="0" w:color="auto"/>
                        <w:right w:val="none" w:sz="0" w:space="0" w:color="auto"/>
                      </w:divBdr>
                    </w:div>
                  </w:divsChild>
                </w:div>
                <w:div w:id="1234656096">
                  <w:marLeft w:val="0"/>
                  <w:marRight w:val="0"/>
                  <w:marTop w:val="0"/>
                  <w:marBottom w:val="0"/>
                  <w:divBdr>
                    <w:top w:val="none" w:sz="0" w:space="0" w:color="auto"/>
                    <w:left w:val="none" w:sz="0" w:space="0" w:color="auto"/>
                    <w:bottom w:val="none" w:sz="0" w:space="0" w:color="auto"/>
                    <w:right w:val="none" w:sz="0" w:space="0" w:color="auto"/>
                  </w:divBdr>
                  <w:divsChild>
                    <w:div w:id="773521750">
                      <w:marLeft w:val="0"/>
                      <w:marRight w:val="0"/>
                      <w:marTop w:val="0"/>
                      <w:marBottom w:val="0"/>
                      <w:divBdr>
                        <w:top w:val="none" w:sz="0" w:space="0" w:color="auto"/>
                        <w:left w:val="none" w:sz="0" w:space="0" w:color="auto"/>
                        <w:bottom w:val="none" w:sz="0" w:space="0" w:color="auto"/>
                        <w:right w:val="none" w:sz="0" w:space="0" w:color="auto"/>
                      </w:divBdr>
                    </w:div>
                  </w:divsChild>
                </w:div>
                <w:div w:id="478115685">
                  <w:marLeft w:val="0"/>
                  <w:marRight w:val="0"/>
                  <w:marTop w:val="0"/>
                  <w:marBottom w:val="0"/>
                  <w:divBdr>
                    <w:top w:val="none" w:sz="0" w:space="0" w:color="auto"/>
                    <w:left w:val="none" w:sz="0" w:space="0" w:color="auto"/>
                    <w:bottom w:val="none" w:sz="0" w:space="0" w:color="auto"/>
                    <w:right w:val="none" w:sz="0" w:space="0" w:color="auto"/>
                  </w:divBdr>
                  <w:divsChild>
                    <w:div w:id="463162314">
                      <w:marLeft w:val="0"/>
                      <w:marRight w:val="0"/>
                      <w:marTop w:val="0"/>
                      <w:marBottom w:val="0"/>
                      <w:divBdr>
                        <w:top w:val="none" w:sz="0" w:space="0" w:color="auto"/>
                        <w:left w:val="none" w:sz="0" w:space="0" w:color="auto"/>
                        <w:bottom w:val="none" w:sz="0" w:space="0" w:color="auto"/>
                        <w:right w:val="none" w:sz="0" w:space="0" w:color="auto"/>
                      </w:divBdr>
                    </w:div>
                  </w:divsChild>
                </w:div>
                <w:div w:id="1615744556">
                  <w:marLeft w:val="0"/>
                  <w:marRight w:val="0"/>
                  <w:marTop w:val="0"/>
                  <w:marBottom w:val="0"/>
                  <w:divBdr>
                    <w:top w:val="none" w:sz="0" w:space="0" w:color="auto"/>
                    <w:left w:val="none" w:sz="0" w:space="0" w:color="auto"/>
                    <w:bottom w:val="none" w:sz="0" w:space="0" w:color="auto"/>
                    <w:right w:val="none" w:sz="0" w:space="0" w:color="auto"/>
                  </w:divBdr>
                  <w:divsChild>
                    <w:div w:id="442845642">
                      <w:marLeft w:val="0"/>
                      <w:marRight w:val="0"/>
                      <w:marTop w:val="0"/>
                      <w:marBottom w:val="0"/>
                      <w:divBdr>
                        <w:top w:val="none" w:sz="0" w:space="0" w:color="auto"/>
                        <w:left w:val="none" w:sz="0" w:space="0" w:color="auto"/>
                        <w:bottom w:val="none" w:sz="0" w:space="0" w:color="auto"/>
                        <w:right w:val="none" w:sz="0" w:space="0" w:color="auto"/>
                      </w:divBdr>
                    </w:div>
                  </w:divsChild>
                </w:div>
                <w:div w:id="2053188635">
                  <w:marLeft w:val="0"/>
                  <w:marRight w:val="0"/>
                  <w:marTop w:val="0"/>
                  <w:marBottom w:val="0"/>
                  <w:divBdr>
                    <w:top w:val="none" w:sz="0" w:space="0" w:color="auto"/>
                    <w:left w:val="none" w:sz="0" w:space="0" w:color="auto"/>
                    <w:bottom w:val="none" w:sz="0" w:space="0" w:color="auto"/>
                    <w:right w:val="none" w:sz="0" w:space="0" w:color="auto"/>
                  </w:divBdr>
                  <w:divsChild>
                    <w:div w:id="90245624">
                      <w:marLeft w:val="0"/>
                      <w:marRight w:val="0"/>
                      <w:marTop w:val="0"/>
                      <w:marBottom w:val="0"/>
                      <w:divBdr>
                        <w:top w:val="none" w:sz="0" w:space="0" w:color="auto"/>
                        <w:left w:val="none" w:sz="0" w:space="0" w:color="auto"/>
                        <w:bottom w:val="none" w:sz="0" w:space="0" w:color="auto"/>
                        <w:right w:val="none" w:sz="0" w:space="0" w:color="auto"/>
                      </w:divBdr>
                    </w:div>
                  </w:divsChild>
                </w:div>
                <w:div w:id="735131237">
                  <w:marLeft w:val="0"/>
                  <w:marRight w:val="0"/>
                  <w:marTop w:val="0"/>
                  <w:marBottom w:val="0"/>
                  <w:divBdr>
                    <w:top w:val="none" w:sz="0" w:space="0" w:color="auto"/>
                    <w:left w:val="none" w:sz="0" w:space="0" w:color="auto"/>
                    <w:bottom w:val="none" w:sz="0" w:space="0" w:color="auto"/>
                    <w:right w:val="none" w:sz="0" w:space="0" w:color="auto"/>
                  </w:divBdr>
                  <w:divsChild>
                    <w:div w:id="2204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2511">
          <w:marLeft w:val="0"/>
          <w:marRight w:val="0"/>
          <w:marTop w:val="0"/>
          <w:marBottom w:val="0"/>
          <w:divBdr>
            <w:top w:val="none" w:sz="0" w:space="0" w:color="auto"/>
            <w:left w:val="none" w:sz="0" w:space="0" w:color="auto"/>
            <w:bottom w:val="none" w:sz="0" w:space="0" w:color="auto"/>
            <w:right w:val="none" w:sz="0" w:space="0" w:color="auto"/>
          </w:divBdr>
        </w:div>
        <w:div w:id="1384671933">
          <w:marLeft w:val="0"/>
          <w:marRight w:val="0"/>
          <w:marTop w:val="0"/>
          <w:marBottom w:val="0"/>
          <w:divBdr>
            <w:top w:val="none" w:sz="0" w:space="0" w:color="auto"/>
            <w:left w:val="none" w:sz="0" w:space="0" w:color="auto"/>
            <w:bottom w:val="none" w:sz="0" w:space="0" w:color="auto"/>
            <w:right w:val="none" w:sz="0" w:space="0" w:color="auto"/>
          </w:divBdr>
        </w:div>
        <w:div w:id="1876117674">
          <w:marLeft w:val="0"/>
          <w:marRight w:val="0"/>
          <w:marTop w:val="0"/>
          <w:marBottom w:val="0"/>
          <w:divBdr>
            <w:top w:val="none" w:sz="0" w:space="0" w:color="auto"/>
            <w:left w:val="none" w:sz="0" w:space="0" w:color="auto"/>
            <w:bottom w:val="none" w:sz="0" w:space="0" w:color="auto"/>
            <w:right w:val="none" w:sz="0" w:space="0" w:color="auto"/>
          </w:divBdr>
        </w:div>
      </w:divsChild>
    </w:div>
    <w:div w:id="1342665360">
      <w:bodyDiv w:val="1"/>
      <w:marLeft w:val="0"/>
      <w:marRight w:val="0"/>
      <w:marTop w:val="0"/>
      <w:marBottom w:val="0"/>
      <w:divBdr>
        <w:top w:val="none" w:sz="0" w:space="0" w:color="auto"/>
        <w:left w:val="none" w:sz="0" w:space="0" w:color="auto"/>
        <w:bottom w:val="none" w:sz="0" w:space="0" w:color="auto"/>
        <w:right w:val="none" w:sz="0" w:space="0" w:color="auto"/>
      </w:divBdr>
    </w:div>
    <w:div w:id="1453091027">
      <w:bodyDiv w:val="1"/>
      <w:marLeft w:val="0"/>
      <w:marRight w:val="0"/>
      <w:marTop w:val="0"/>
      <w:marBottom w:val="0"/>
      <w:divBdr>
        <w:top w:val="none" w:sz="0" w:space="0" w:color="auto"/>
        <w:left w:val="none" w:sz="0" w:space="0" w:color="auto"/>
        <w:bottom w:val="none" w:sz="0" w:space="0" w:color="auto"/>
        <w:right w:val="none" w:sz="0" w:space="0" w:color="auto"/>
      </w:divBdr>
    </w:div>
    <w:div w:id="1482773074">
      <w:bodyDiv w:val="1"/>
      <w:marLeft w:val="0"/>
      <w:marRight w:val="0"/>
      <w:marTop w:val="0"/>
      <w:marBottom w:val="0"/>
      <w:divBdr>
        <w:top w:val="none" w:sz="0" w:space="0" w:color="auto"/>
        <w:left w:val="none" w:sz="0" w:space="0" w:color="auto"/>
        <w:bottom w:val="none" w:sz="0" w:space="0" w:color="auto"/>
        <w:right w:val="none" w:sz="0" w:space="0" w:color="auto"/>
      </w:divBdr>
      <w:divsChild>
        <w:div w:id="2103450748">
          <w:marLeft w:val="0"/>
          <w:marRight w:val="0"/>
          <w:marTop w:val="0"/>
          <w:marBottom w:val="0"/>
          <w:divBdr>
            <w:top w:val="none" w:sz="0" w:space="0" w:color="auto"/>
            <w:left w:val="none" w:sz="0" w:space="0" w:color="auto"/>
            <w:bottom w:val="none" w:sz="0" w:space="0" w:color="auto"/>
            <w:right w:val="none" w:sz="0" w:space="0" w:color="auto"/>
          </w:divBdr>
        </w:div>
      </w:divsChild>
    </w:div>
    <w:div w:id="1483502918">
      <w:bodyDiv w:val="1"/>
      <w:marLeft w:val="0"/>
      <w:marRight w:val="0"/>
      <w:marTop w:val="0"/>
      <w:marBottom w:val="0"/>
      <w:divBdr>
        <w:top w:val="none" w:sz="0" w:space="0" w:color="auto"/>
        <w:left w:val="none" w:sz="0" w:space="0" w:color="auto"/>
        <w:bottom w:val="none" w:sz="0" w:space="0" w:color="auto"/>
        <w:right w:val="none" w:sz="0" w:space="0" w:color="auto"/>
      </w:divBdr>
    </w:div>
    <w:div w:id="1503743179">
      <w:bodyDiv w:val="1"/>
      <w:marLeft w:val="0"/>
      <w:marRight w:val="0"/>
      <w:marTop w:val="0"/>
      <w:marBottom w:val="0"/>
      <w:divBdr>
        <w:top w:val="none" w:sz="0" w:space="0" w:color="auto"/>
        <w:left w:val="none" w:sz="0" w:space="0" w:color="auto"/>
        <w:bottom w:val="none" w:sz="0" w:space="0" w:color="auto"/>
        <w:right w:val="none" w:sz="0" w:space="0" w:color="auto"/>
      </w:divBdr>
      <w:divsChild>
        <w:div w:id="879168452">
          <w:marLeft w:val="0"/>
          <w:marRight w:val="0"/>
          <w:marTop w:val="0"/>
          <w:marBottom w:val="0"/>
          <w:divBdr>
            <w:top w:val="none" w:sz="0" w:space="0" w:color="auto"/>
            <w:left w:val="none" w:sz="0" w:space="0" w:color="auto"/>
            <w:bottom w:val="none" w:sz="0" w:space="0" w:color="auto"/>
            <w:right w:val="none" w:sz="0" w:space="0" w:color="auto"/>
          </w:divBdr>
        </w:div>
      </w:divsChild>
    </w:div>
    <w:div w:id="1522279425">
      <w:bodyDiv w:val="1"/>
      <w:marLeft w:val="0"/>
      <w:marRight w:val="0"/>
      <w:marTop w:val="0"/>
      <w:marBottom w:val="0"/>
      <w:divBdr>
        <w:top w:val="none" w:sz="0" w:space="0" w:color="auto"/>
        <w:left w:val="none" w:sz="0" w:space="0" w:color="auto"/>
        <w:bottom w:val="none" w:sz="0" w:space="0" w:color="auto"/>
        <w:right w:val="none" w:sz="0" w:space="0" w:color="auto"/>
      </w:divBdr>
    </w:div>
    <w:div w:id="1571847719">
      <w:bodyDiv w:val="1"/>
      <w:marLeft w:val="0"/>
      <w:marRight w:val="0"/>
      <w:marTop w:val="0"/>
      <w:marBottom w:val="0"/>
      <w:divBdr>
        <w:top w:val="none" w:sz="0" w:space="0" w:color="auto"/>
        <w:left w:val="none" w:sz="0" w:space="0" w:color="auto"/>
        <w:bottom w:val="none" w:sz="0" w:space="0" w:color="auto"/>
        <w:right w:val="none" w:sz="0" w:space="0" w:color="auto"/>
      </w:divBdr>
    </w:div>
    <w:div w:id="1578588591">
      <w:bodyDiv w:val="1"/>
      <w:marLeft w:val="0"/>
      <w:marRight w:val="0"/>
      <w:marTop w:val="0"/>
      <w:marBottom w:val="0"/>
      <w:divBdr>
        <w:top w:val="none" w:sz="0" w:space="0" w:color="auto"/>
        <w:left w:val="none" w:sz="0" w:space="0" w:color="auto"/>
        <w:bottom w:val="none" w:sz="0" w:space="0" w:color="auto"/>
        <w:right w:val="none" w:sz="0" w:space="0" w:color="auto"/>
      </w:divBdr>
    </w:div>
    <w:div w:id="1662201559">
      <w:bodyDiv w:val="1"/>
      <w:marLeft w:val="0"/>
      <w:marRight w:val="0"/>
      <w:marTop w:val="0"/>
      <w:marBottom w:val="0"/>
      <w:divBdr>
        <w:top w:val="none" w:sz="0" w:space="0" w:color="auto"/>
        <w:left w:val="none" w:sz="0" w:space="0" w:color="auto"/>
        <w:bottom w:val="none" w:sz="0" w:space="0" w:color="auto"/>
        <w:right w:val="none" w:sz="0" w:space="0" w:color="auto"/>
      </w:divBdr>
      <w:divsChild>
        <w:div w:id="1696923673">
          <w:marLeft w:val="0"/>
          <w:marRight w:val="0"/>
          <w:marTop w:val="0"/>
          <w:marBottom w:val="0"/>
          <w:divBdr>
            <w:top w:val="none" w:sz="0" w:space="0" w:color="auto"/>
            <w:left w:val="none" w:sz="0" w:space="0" w:color="auto"/>
            <w:bottom w:val="none" w:sz="0" w:space="0" w:color="auto"/>
            <w:right w:val="none" w:sz="0" w:space="0" w:color="auto"/>
          </w:divBdr>
        </w:div>
        <w:div w:id="1461263506">
          <w:marLeft w:val="0"/>
          <w:marRight w:val="0"/>
          <w:marTop w:val="0"/>
          <w:marBottom w:val="0"/>
          <w:divBdr>
            <w:top w:val="none" w:sz="0" w:space="0" w:color="auto"/>
            <w:left w:val="none" w:sz="0" w:space="0" w:color="auto"/>
            <w:bottom w:val="none" w:sz="0" w:space="0" w:color="auto"/>
            <w:right w:val="none" w:sz="0" w:space="0" w:color="auto"/>
          </w:divBdr>
        </w:div>
        <w:div w:id="390691494">
          <w:marLeft w:val="0"/>
          <w:marRight w:val="0"/>
          <w:marTop w:val="0"/>
          <w:marBottom w:val="0"/>
          <w:divBdr>
            <w:top w:val="none" w:sz="0" w:space="0" w:color="auto"/>
            <w:left w:val="none" w:sz="0" w:space="0" w:color="auto"/>
            <w:bottom w:val="none" w:sz="0" w:space="0" w:color="auto"/>
            <w:right w:val="none" w:sz="0" w:space="0" w:color="auto"/>
          </w:divBdr>
        </w:div>
      </w:divsChild>
    </w:div>
    <w:div w:id="1697731343">
      <w:bodyDiv w:val="1"/>
      <w:marLeft w:val="0"/>
      <w:marRight w:val="0"/>
      <w:marTop w:val="0"/>
      <w:marBottom w:val="0"/>
      <w:divBdr>
        <w:top w:val="none" w:sz="0" w:space="0" w:color="auto"/>
        <w:left w:val="none" w:sz="0" w:space="0" w:color="auto"/>
        <w:bottom w:val="none" w:sz="0" w:space="0" w:color="auto"/>
        <w:right w:val="none" w:sz="0" w:space="0" w:color="auto"/>
      </w:divBdr>
    </w:div>
    <w:div w:id="1717002646">
      <w:bodyDiv w:val="1"/>
      <w:marLeft w:val="0"/>
      <w:marRight w:val="0"/>
      <w:marTop w:val="0"/>
      <w:marBottom w:val="0"/>
      <w:divBdr>
        <w:top w:val="none" w:sz="0" w:space="0" w:color="auto"/>
        <w:left w:val="none" w:sz="0" w:space="0" w:color="auto"/>
        <w:bottom w:val="none" w:sz="0" w:space="0" w:color="auto"/>
        <w:right w:val="none" w:sz="0" w:space="0" w:color="auto"/>
      </w:divBdr>
    </w:div>
    <w:div w:id="1759474918">
      <w:bodyDiv w:val="1"/>
      <w:marLeft w:val="0"/>
      <w:marRight w:val="0"/>
      <w:marTop w:val="0"/>
      <w:marBottom w:val="0"/>
      <w:divBdr>
        <w:top w:val="none" w:sz="0" w:space="0" w:color="auto"/>
        <w:left w:val="none" w:sz="0" w:space="0" w:color="auto"/>
        <w:bottom w:val="none" w:sz="0" w:space="0" w:color="auto"/>
        <w:right w:val="none" w:sz="0" w:space="0" w:color="auto"/>
      </w:divBdr>
    </w:div>
    <w:div w:id="1771655667">
      <w:bodyDiv w:val="1"/>
      <w:marLeft w:val="0"/>
      <w:marRight w:val="0"/>
      <w:marTop w:val="0"/>
      <w:marBottom w:val="0"/>
      <w:divBdr>
        <w:top w:val="none" w:sz="0" w:space="0" w:color="auto"/>
        <w:left w:val="none" w:sz="0" w:space="0" w:color="auto"/>
        <w:bottom w:val="none" w:sz="0" w:space="0" w:color="auto"/>
        <w:right w:val="none" w:sz="0" w:space="0" w:color="auto"/>
      </w:divBdr>
    </w:div>
    <w:div w:id="1796020812">
      <w:bodyDiv w:val="1"/>
      <w:marLeft w:val="0"/>
      <w:marRight w:val="0"/>
      <w:marTop w:val="0"/>
      <w:marBottom w:val="0"/>
      <w:divBdr>
        <w:top w:val="none" w:sz="0" w:space="0" w:color="auto"/>
        <w:left w:val="none" w:sz="0" w:space="0" w:color="auto"/>
        <w:bottom w:val="none" w:sz="0" w:space="0" w:color="auto"/>
        <w:right w:val="none" w:sz="0" w:space="0" w:color="auto"/>
      </w:divBdr>
      <w:divsChild>
        <w:div w:id="246236085">
          <w:marLeft w:val="0"/>
          <w:marRight w:val="0"/>
          <w:marTop w:val="0"/>
          <w:marBottom w:val="0"/>
          <w:divBdr>
            <w:top w:val="none" w:sz="0" w:space="0" w:color="auto"/>
            <w:left w:val="none" w:sz="0" w:space="0" w:color="auto"/>
            <w:bottom w:val="none" w:sz="0" w:space="0" w:color="auto"/>
            <w:right w:val="none" w:sz="0" w:space="0" w:color="auto"/>
          </w:divBdr>
        </w:div>
        <w:div w:id="33621643">
          <w:marLeft w:val="0"/>
          <w:marRight w:val="0"/>
          <w:marTop w:val="0"/>
          <w:marBottom w:val="0"/>
          <w:divBdr>
            <w:top w:val="none" w:sz="0" w:space="0" w:color="auto"/>
            <w:left w:val="none" w:sz="0" w:space="0" w:color="auto"/>
            <w:bottom w:val="none" w:sz="0" w:space="0" w:color="auto"/>
            <w:right w:val="none" w:sz="0" w:space="0" w:color="auto"/>
          </w:divBdr>
        </w:div>
        <w:div w:id="343359295">
          <w:marLeft w:val="0"/>
          <w:marRight w:val="0"/>
          <w:marTop w:val="0"/>
          <w:marBottom w:val="0"/>
          <w:divBdr>
            <w:top w:val="none" w:sz="0" w:space="0" w:color="auto"/>
            <w:left w:val="none" w:sz="0" w:space="0" w:color="auto"/>
            <w:bottom w:val="none" w:sz="0" w:space="0" w:color="auto"/>
            <w:right w:val="none" w:sz="0" w:space="0" w:color="auto"/>
          </w:divBdr>
        </w:div>
        <w:div w:id="1795831174">
          <w:marLeft w:val="0"/>
          <w:marRight w:val="0"/>
          <w:marTop w:val="0"/>
          <w:marBottom w:val="0"/>
          <w:divBdr>
            <w:top w:val="none" w:sz="0" w:space="0" w:color="auto"/>
            <w:left w:val="none" w:sz="0" w:space="0" w:color="auto"/>
            <w:bottom w:val="none" w:sz="0" w:space="0" w:color="auto"/>
            <w:right w:val="none" w:sz="0" w:space="0" w:color="auto"/>
          </w:divBdr>
        </w:div>
        <w:div w:id="1439787191">
          <w:marLeft w:val="0"/>
          <w:marRight w:val="0"/>
          <w:marTop w:val="0"/>
          <w:marBottom w:val="0"/>
          <w:divBdr>
            <w:top w:val="none" w:sz="0" w:space="0" w:color="auto"/>
            <w:left w:val="none" w:sz="0" w:space="0" w:color="auto"/>
            <w:bottom w:val="none" w:sz="0" w:space="0" w:color="auto"/>
            <w:right w:val="none" w:sz="0" w:space="0" w:color="auto"/>
          </w:divBdr>
        </w:div>
      </w:divsChild>
    </w:div>
    <w:div w:id="1866866295">
      <w:bodyDiv w:val="1"/>
      <w:marLeft w:val="0"/>
      <w:marRight w:val="0"/>
      <w:marTop w:val="0"/>
      <w:marBottom w:val="0"/>
      <w:divBdr>
        <w:top w:val="none" w:sz="0" w:space="0" w:color="auto"/>
        <w:left w:val="none" w:sz="0" w:space="0" w:color="auto"/>
        <w:bottom w:val="none" w:sz="0" w:space="0" w:color="auto"/>
        <w:right w:val="none" w:sz="0" w:space="0" w:color="auto"/>
      </w:divBdr>
      <w:divsChild>
        <w:div w:id="63454655">
          <w:marLeft w:val="0"/>
          <w:marRight w:val="0"/>
          <w:marTop w:val="0"/>
          <w:marBottom w:val="0"/>
          <w:divBdr>
            <w:top w:val="none" w:sz="0" w:space="0" w:color="auto"/>
            <w:left w:val="none" w:sz="0" w:space="0" w:color="auto"/>
            <w:bottom w:val="none" w:sz="0" w:space="0" w:color="auto"/>
            <w:right w:val="none" w:sz="0" w:space="0" w:color="auto"/>
          </w:divBdr>
        </w:div>
      </w:divsChild>
    </w:div>
    <w:div w:id="1906523837">
      <w:bodyDiv w:val="1"/>
      <w:marLeft w:val="0"/>
      <w:marRight w:val="0"/>
      <w:marTop w:val="0"/>
      <w:marBottom w:val="0"/>
      <w:divBdr>
        <w:top w:val="none" w:sz="0" w:space="0" w:color="auto"/>
        <w:left w:val="none" w:sz="0" w:space="0" w:color="auto"/>
        <w:bottom w:val="none" w:sz="0" w:space="0" w:color="auto"/>
        <w:right w:val="none" w:sz="0" w:space="0" w:color="auto"/>
      </w:divBdr>
    </w:div>
    <w:div w:id="2043744951">
      <w:bodyDiv w:val="1"/>
      <w:marLeft w:val="0"/>
      <w:marRight w:val="0"/>
      <w:marTop w:val="0"/>
      <w:marBottom w:val="0"/>
      <w:divBdr>
        <w:top w:val="none" w:sz="0" w:space="0" w:color="auto"/>
        <w:left w:val="none" w:sz="0" w:space="0" w:color="auto"/>
        <w:bottom w:val="none" w:sz="0" w:space="0" w:color="auto"/>
        <w:right w:val="none" w:sz="0" w:space="0" w:color="auto"/>
      </w:divBdr>
    </w:div>
    <w:div w:id="20550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diagramLayout" Target="diagrams/layout1.xml"/><Relationship Id="rId26" Type="http://schemas.openxmlformats.org/officeDocument/2006/relationships/image" Target="media/image6.png"/><Relationship Id="rId39" Type="http://schemas.openxmlformats.org/officeDocument/2006/relationships/theme" Target="theme/theme1.xml"/><Relationship Id="rId21" Type="http://schemas.microsoft.com/office/2007/relationships/diagramDrawing" Target="diagrams/drawing1.xml"/><Relationship Id="rId34" Type="http://schemas.openxmlformats.org/officeDocument/2006/relationships/header" Target="header1.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cretariasenado.gov.co/senado/basedoc/acto_legislativo_04_2007.html" TargetMode="External"/><Relationship Id="rId20" Type="http://schemas.openxmlformats.org/officeDocument/2006/relationships/diagramColors" Target="diagrams/colors1.xml"/><Relationship Id="rId29" Type="http://schemas.openxmlformats.org/officeDocument/2006/relationships/image" Target="media/image7.png"/><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inhacienda.gov.co/webcenter/portal/EntidadesdeOrdenTerritorial/pages_catalogoclasificacionpresupuestalCCPET" TargetMode="External"/><Relationship Id="rId32" Type="http://schemas.openxmlformats.org/officeDocument/2006/relationships/hyperlink" Target="https://portalterritorial.dnp.gov.co/kpt/" TargetMode="External"/><Relationship Id="rId37" Type="http://schemas.openxmlformats.org/officeDocument/2006/relationships/footer" Target="footer2.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5.xml"/><Relationship Id="rId28" Type="http://schemas.openxmlformats.org/officeDocument/2006/relationships/hyperlink" Target="https://portalterritorial.dnp.gov.co/PDT/" TargetMode="External"/><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diagramQuickStyle" Target="diagrams/quickStyle1.xml"/><Relationship Id="rId31" Type="http://schemas.openxmlformats.org/officeDocument/2006/relationships/hyperlink" Target="https://portalterritorial.dnp.gov.co/AdmBiblioteca/BibliotecaLista?grupoId=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image" Target="media/image5.png"/><Relationship Id="rId27" Type="http://schemas.openxmlformats.org/officeDocument/2006/relationships/hyperlink" Target="https://colaboracion.dnp.gov.co/CDT/Inversiones%20y%20finanzas%20pblicas/Documentos%20GFT/3.%20Orientaciones%20SGP.pdf" TargetMode="External"/><Relationship Id="rId30" Type="http://schemas.openxmlformats.org/officeDocument/2006/relationships/hyperlink" Target="https://portalterritorial.dnp.gov.co/kpt/" TargetMode="External"/><Relationship Id="rId35" Type="http://schemas.openxmlformats.org/officeDocument/2006/relationships/footer" Target="footer1.xml"/><Relationship Id="rId43"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diagramData" Target="diagrams/data1.xml"/><Relationship Id="rId25" Type="http://schemas.openxmlformats.org/officeDocument/2006/relationships/hyperlink" Target="mailto:cuentasmaestras@minhacienda.gov.co" TargetMode="External"/><Relationship Id="rId33" Type="http://schemas.openxmlformats.org/officeDocument/2006/relationships/hyperlink" Target="https://colaboracion.dnp.gov.co/CDT/Desarrollo%20Territorial/PDT/SIEE%20-%20Manual%20de%20Usuario.pdf" TargetMode="External"/><Relationship Id="rId38"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wmf"/></Relationships>
</file>

<file path=word/_rels/footer2.xml.rels><?xml version="1.0" encoding="UTF-8" standalone="yes"?>
<Relationships xmlns="http://schemas.openxmlformats.org/package/2006/relationships"><Relationship Id="rId1" Type="http://schemas.openxmlformats.org/officeDocument/2006/relationships/image" Target="media/image9.wmf"/></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corredo\Documents\CASOS\27%20dic.%202018\Puerto%20Escondido\DIAGN&#211;STICO\C&#225;lculos%20Excel%20Pta%20Escondid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corredo\Documents\CASOS\27%20dic.%202018\Puerto%20Escondido\DIAGN&#211;STICO\C&#225;lculos%20Excel%20Pta%20Escondid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corredo\Documents\CASOS\27%20dic.%202018\Puerto%20Escondido\DIAGN&#211;STICO\C&#225;lculos%20Excel%20Pta%20Escondid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corredo\Documents\CASOS\27%20dic.%202018\Puerto%20Escondido\DIAGN&#211;STICO\C&#225;lculos%20Excel%20Pta%20Escondido.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v>2018</c:v>
          </c:tx>
          <c:spPr>
            <a:solidFill>
              <a:srgbClr val="FF9999"/>
            </a:solidFill>
            <a:ln>
              <a:noFill/>
            </a:ln>
            <a:effectLst>
              <a:outerShdw blurRad="57150" dist="19050" dir="5400000" algn="ctr" rotWithShape="0">
                <a:srgbClr val="000000">
                  <a:alpha val="63000"/>
                </a:srgbClr>
              </a:outerShdw>
            </a:effectLst>
          </c:spPr>
          <c:invertIfNegative val="0"/>
          <c:cat>
            <c:strRef>
              <c:f>Sicodis!$H$10:$L$10</c:f>
              <c:strCache>
                <c:ptCount val="5"/>
                <c:pt idx="0">
                  <c:v>POBLACIÓN </c:v>
                </c:pt>
                <c:pt idx="1">
                  <c:v>POBREZA RELATIVA </c:v>
                </c:pt>
                <c:pt idx="2">
                  <c:v>EFICIENCIA FISCAL </c:v>
                </c:pt>
                <c:pt idx="3">
                  <c:v>EFICIENCIA ADMINISTRATIVA </c:v>
                </c:pt>
                <c:pt idx="4">
                  <c:v>PONDERACIÓN ADICIONAL POR ACTUALIZACIÓN DEL SISBÉN  </c:v>
                </c:pt>
              </c:strCache>
            </c:strRef>
          </c:cat>
          <c:val>
            <c:numRef>
              <c:f>Sicodis!$E$19:$F$19</c:f>
              <c:numCache>
                <c:formatCode>_ * #,##0_ ;_ * \-#,##0_ ;_ * "-"??_ ;_ @_ </c:formatCode>
                <c:ptCount val="2"/>
                <c:pt idx="0">
                  <c:v>795660220</c:v>
                </c:pt>
                <c:pt idx="1">
                  <c:v>215725394</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14B6-46E5-B942-BE4BB47BDFEB}"/>
            </c:ext>
          </c:extLst>
        </c:ser>
        <c:ser>
          <c:idx val="2"/>
          <c:order val="1"/>
          <c:tx>
            <c:v>2019</c:v>
          </c:tx>
          <c:spPr>
            <a:solidFill>
              <a:srgbClr val="FFCCFF"/>
            </a:solidFill>
            <a:ln>
              <a:noFill/>
            </a:ln>
            <a:effectLst>
              <a:outerShdw blurRad="57150" dist="19050" dir="5400000" algn="ctr" rotWithShape="0">
                <a:srgbClr val="000000">
                  <a:alpha val="63000"/>
                </a:srgbClr>
              </a:outerShdw>
            </a:effectLst>
          </c:spPr>
          <c:invertIfNegative val="0"/>
          <c:cat>
            <c:strRef>
              <c:f>Sicodis!$H$10:$L$10</c:f>
              <c:strCache>
                <c:ptCount val="5"/>
                <c:pt idx="0">
                  <c:v>POBLACIÓN </c:v>
                </c:pt>
                <c:pt idx="1">
                  <c:v>POBREZA RELATIVA </c:v>
                </c:pt>
                <c:pt idx="2">
                  <c:v>EFICIENCIA FISCAL </c:v>
                </c:pt>
                <c:pt idx="3">
                  <c:v>EFICIENCIA ADMINISTRATIVA </c:v>
                </c:pt>
                <c:pt idx="4">
                  <c:v>PONDERACIÓN ADICIONAL POR ACTUALIZACIÓN DEL SISBÉN  </c:v>
                </c:pt>
              </c:strCache>
            </c:strRef>
          </c:cat>
          <c:val>
            <c:numRef>
              <c:f>Sicodis!$E$24:$F$24</c:f>
              <c:numCache>
                <c:formatCode>_ * #,##0_ ;_ * \-#,##0_ ;_ * "-"??_ ;_ @_ </c:formatCode>
                <c:ptCount val="2"/>
                <c:pt idx="0">
                  <c:v>884259341</c:v>
                </c:pt>
                <c:pt idx="1">
                  <c:v>242737077</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14B6-46E5-B942-BE4BB47BDFEB}"/>
            </c:ext>
          </c:extLst>
        </c:ser>
        <c:ser>
          <c:idx val="0"/>
          <c:order val="2"/>
          <c:tx>
            <c:v>2020</c:v>
          </c:tx>
          <c:spPr>
            <a:solidFill>
              <a:srgbClr val="9999FF"/>
            </a:solidFill>
            <a:ln>
              <a:noFill/>
            </a:ln>
            <a:effectLst>
              <a:outerShdw blurRad="57150" dist="19050" dir="5400000" algn="ctr" rotWithShape="0">
                <a:srgbClr val="000000">
                  <a:alpha val="63000"/>
                </a:srgbClr>
              </a:outerShdw>
            </a:effectLst>
          </c:spPr>
          <c:invertIfNegative val="0"/>
          <c:cat>
            <c:strRef>
              <c:f>Sicodis!$H$10:$L$10</c:f>
              <c:strCache>
                <c:ptCount val="5"/>
                <c:pt idx="0">
                  <c:v>POBLACIÓN </c:v>
                </c:pt>
                <c:pt idx="1">
                  <c:v>POBREZA RELATIVA </c:v>
                </c:pt>
                <c:pt idx="2">
                  <c:v>EFICIENCIA FISCAL </c:v>
                </c:pt>
                <c:pt idx="3">
                  <c:v>EFICIENCIA ADMINISTRATIVA </c:v>
                </c:pt>
                <c:pt idx="4">
                  <c:v>PONDERACIÓN ADICIONAL POR ACTUALIZACIÓN DEL SISBÉN  </c:v>
                </c:pt>
              </c:strCache>
            </c:strRef>
          </c:cat>
          <c:val>
            <c:numRef>
              <c:f>Sicodis!$E$29:$F$29</c:f>
              <c:numCache>
                <c:formatCode>_ * #,##0_ ;_ * \-#,##0_ ;_ * "-"??_ ;_ @_ </c:formatCode>
                <c:ptCount val="2"/>
                <c:pt idx="0">
                  <c:v>947802683</c:v>
                </c:pt>
                <c:pt idx="1">
                  <c:v>269078950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14B6-46E5-B942-BE4BB47BDFEB}"/>
            </c:ext>
          </c:extLst>
        </c:ser>
        <c:dLbls>
          <c:showLegendKey val="0"/>
          <c:showVal val="0"/>
          <c:showCatName val="0"/>
          <c:showSerName val="0"/>
          <c:showPercent val="0"/>
          <c:showBubbleSize val="0"/>
        </c:dLbls>
        <c:gapWidth val="150"/>
        <c:axId val="543310975"/>
        <c:axId val="543308063"/>
      </c:barChart>
      <c:catAx>
        <c:axId val="543310975"/>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3308063"/>
        <c:crosses val="autoZero"/>
        <c:auto val="0"/>
        <c:lblAlgn val="ctr"/>
        <c:lblOffset val="100"/>
        <c:noMultiLvlLbl val="0"/>
      </c:catAx>
      <c:valAx>
        <c:axId val="543308063"/>
        <c:scaling>
          <c:orientation val="minMax"/>
        </c:scaling>
        <c:delete val="0"/>
        <c:axPos val="b"/>
        <c:majorGridlines>
          <c:spPr>
            <a:ln w="9525" cap="flat" cmpd="sng" algn="ctr">
              <a:solidFill>
                <a:schemeClr val="tx1">
                  <a:lumMod val="15000"/>
                  <a:lumOff val="85000"/>
                </a:schemeClr>
              </a:solidFill>
              <a:round/>
            </a:ln>
            <a:effectLst/>
          </c:spPr>
        </c:majorGridlines>
        <c:numFmt formatCode="_ * #,##0_ ;_ * \-#,##0_ ;_ * &quot;-&quot;??_ ;_ @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3310975"/>
        <c:crosses val="max"/>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v>2018</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2"/>
                <c:pt idx="0">
                  <c:v>POBLACIÓN </c:v>
                </c:pt>
                <c:pt idx="1">
                  <c:v>POBREZA RELATIVA </c:v>
                </c:pt>
              </c:str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strRef>
          </c:cat>
          <c:val>
            <c:numRef>
              <c:f>Sicodis!$H$19:$L$19</c:f>
              <c:numCache>
                <c:formatCode>_ * #,##0_ ;_ * \-#,##0_ ;_ * "-"??_ ;_ @_ </c:formatCode>
                <c:ptCount val="2"/>
                <c:pt idx="0">
                  <c:v>655366712</c:v>
                </c:pt>
                <c:pt idx="1">
                  <c:v>519390008</c:v>
                </c:pt>
              </c:num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3217-46CB-87BB-A75BEC4F42A9}"/>
            </c:ext>
          </c:extLst>
        </c:ser>
        <c:ser>
          <c:idx val="2"/>
          <c:order val="1"/>
          <c:tx>
            <c:v>2019</c:v>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2"/>
                <c:pt idx="0">
                  <c:v>POBLACIÓN </c:v>
                </c:pt>
                <c:pt idx="1">
                  <c:v>POBREZA RELATIVA </c:v>
                </c:pt>
              </c:str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strRef>
          </c:cat>
          <c:val>
            <c:numRef>
              <c:f>Sicodis!$H$24:$L$24</c:f>
              <c:numCache>
                <c:formatCode>_ * #,##0_ ;_ * \-#,##0_ ;_ * "-"??_ ;_ @_ </c:formatCode>
                <c:ptCount val="2"/>
                <c:pt idx="0">
                  <c:v>719770980</c:v>
                </c:pt>
                <c:pt idx="1">
                  <c:v>582065926</c:v>
                </c:pt>
              </c:num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3217-46CB-87BB-A75BEC4F42A9}"/>
            </c:ext>
          </c:extLst>
        </c:ser>
        <c:ser>
          <c:idx val="0"/>
          <c:order val="2"/>
          <c:tx>
            <c:v>2020</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2"/>
                <c:pt idx="0">
                  <c:v>POBLACIÓN </c:v>
                </c:pt>
                <c:pt idx="1">
                  <c:v>POBREZA RELATIVA </c:v>
                </c:pt>
              </c:str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strRef>
          </c:cat>
          <c:val>
            <c:numRef>
              <c:f>Sicodis!$H$29:$L$29</c:f>
              <c:numCache>
                <c:formatCode>_ * #,##0_ ;_ * \-#,##0_ ;_ * "-"??_ ;_ @_ </c:formatCode>
                <c:ptCount val="2"/>
                <c:pt idx="0">
                  <c:v>763738737</c:v>
                </c:pt>
                <c:pt idx="1">
                  <c:v>617928792</c:v>
                </c:pt>
              </c:num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3217-46CB-87BB-A75BEC4F42A9}"/>
            </c:ext>
          </c:extLst>
        </c:ser>
        <c:dLbls>
          <c:showLegendKey val="0"/>
          <c:showVal val="0"/>
          <c:showCatName val="0"/>
          <c:showSerName val="0"/>
          <c:showPercent val="0"/>
          <c:showBubbleSize val="0"/>
        </c:dLbls>
        <c:gapWidth val="150"/>
        <c:axId val="543310975"/>
        <c:axId val="543308063"/>
      </c:barChart>
      <c:catAx>
        <c:axId val="543310975"/>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3308063"/>
        <c:crosses val="autoZero"/>
        <c:auto val="0"/>
        <c:lblAlgn val="ctr"/>
        <c:lblOffset val="100"/>
        <c:noMultiLvlLbl val="0"/>
      </c:catAx>
      <c:valAx>
        <c:axId val="543308063"/>
        <c:scaling>
          <c:orientation val="minMax"/>
        </c:scaling>
        <c:delete val="0"/>
        <c:axPos val="b"/>
        <c:majorGridlines>
          <c:spPr>
            <a:ln w="9525" cap="flat" cmpd="sng" algn="ctr">
              <a:solidFill>
                <a:schemeClr val="tx1">
                  <a:lumMod val="15000"/>
                  <a:lumOff val="85000"/>
                </a:schemeClr>
              </a:solidFill>
              <a:round/>
            </a:ln>
            <a:effectLst/>
          </c:spPr>
        </c:majorGridlines>
        <c:numFmt formatCode="_ * #,##0_ ;_ * \-#,##0_ ;_ * &quot;-&quot;??_ ;_ @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3310975"/>
        <c:crosses val="max"/>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739414289313866E-2"/>
          <c:y val="3.3442805122805758E-2"/>
          <c:w val="0.81290563500295321"/>
          <c:h val="0.90469283310153048"/>
        </c:manualLayout>
      </c:layout>
      <c:barChart>
        <c:barDir val="bar"/>
        <c:grouping val="clustered"/>
        <c:varyColors val="0"/>
        <c:ser>
          <c:idx val="1"/>
          <c:order val="0"/>
          <c:tx>
            <c:v>2018</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3"/>
                <c:pt idx="0">
                  <c:v>EFICIENCIA FISCAL </c:v>
                </c:pt>
                <c:pt idx="1">
                  <c:v>EFICIENCIA ADMINISTRATIVA </c:v>
                </c:pt>
                <c:pt idx="2">
                  <c:v>PONDERACIÓN ADICIONAL POR ACTUALIZACIÓN DEL SISBÉN  </c:v>
                </c:pt>
              </c:str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strRef>
          </c:cat>
          <c:val>
            <c:numRef>
              <c:f>Sicodis!$H$19:$L$19</c:f>
              <c:numCache>
                <c:formatCode>_ * #,##0_ ;_ * \-#,##0_ ;_ * "-"??_ ;_ @_ </c:formatCode>
                <c:ptCount val="3"/>
                <c:pt idx="0">
                  <c:v>552859886</c:v>
                </c:pt>
                <c:pt idx="1">
                  <c:v>315816812</c:v>
                </c:pt>
                <c:pt idx="2">
                  <c:v>13537101</c:v>
                </c:pt>
              </c:num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EAF1-46CF-8D01-3CFE46D00D35}"/>
            </c:ext>
          </c:extLst>
        </c:ser>
        <c:ser>
          <c:idx val="2"/>
          <c:order val="1"/>
          <c:tx>
            <c:v>2019</c:v>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3"/>
                <c:pt idx="0">
                  <c:v>EFICIENCIA FISCAL </c:v>
                </c:pt>
                <c:pt idx="1">
                  <c:v>EFICIENCIA ADMINISTRATIVA </c:v>
                </c:pt>
                <c:pt idx="2">
                  <c:v>PONDERACIÓN ADICIONAL POR ACTUALIZACIÓN DEL SISBÉN  </c:v>
                </c:pt>
              </c:str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strRef>
          </c:cat>
          <c:val>
            <c:numRef>
              <c:f>Sicodis!$H$24:$L$24</c:f>
              <c:numCache>
                <c:formatCode>_ * #,##0_ ;_ * \-#,##0_ ;_ * "-"??_ ;_ @_ </c:formatCode>
                <c:ptCount val="3"/>
                <c:pt idx="0">
                  <c:v>650918454</c:v>
                </c:pt>
                <c:pt idx="1">
                  <c:v>343662889</c:v>
                </c:pt>
                <c:pt idx="2">
                  <c:v>14413533</c:v>
                </c:pt>
              </c:num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EAF1-46CF-8D01-3CFE46D00D35}"/>
            </c:ext>
          </c:extLst>
        </c:ser>
        <c:ser>
          <c:idx val="0"/>
          <c:order val="2"/>
          <c:tx>
            <c:v>2020</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3"/>
                <c:pt idx="0">
                  <c:v>EFICIENCIA FISCAL </c:v>
                </c:pt>
                <c:pt idx="1">
                  <c:v>EFICIENCIA ADMINISTRATIVA </c:v>
                </c:pt>
                <c:pt idx="2">
                  <c:v>PONDERACIÓN ADICIONAL POR ACTUALIZACIÓN DEL SISBÉN  </c:v>
                </c:pt>
              </c:str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strRef>
          </c:cat>
          <c:val>
            <c:numRef>
              <c:f>Sicodis!$H$29:$L$29</c:f>
              <c:numCache>
                <c:formatCode>_ * #,##0_ ;_ * \-#,##0_ ;_ * "-"??_ ;_ @_ </c:formatCode>
                <c:ptCount val="3"/>
                <c:pt idx="0">
                  <c:v>690833765</c:v>
                </c:pt>
                <c:pt idx="1">
                  <c:v>303385902</c:v>
                </c:pt>
                <c:pt idx="2">
                  <c:v>15389825</c:v>
                </c:pt>
              </c:numCache>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EAF1-46CF-8D01-3CFE46D00D35}"/>
            </c:ext>
          </c:extLst>
        </c:ser>
        <c:dLbls>
          <c:showLegendKey val="0"/>
          <c:showVal val="0"/>
          <c:showCatName val="0"/>
          <c:showSerName val="0"/>
          <c:showPercent val="0"/>
          <c:showBubbleSize val="0"/>
        </c:dLbls>
        <c:gapWidth val="150"/>
        <c:axId val="543310975"/>
        <c:axId val="543308063"/>
      </c:barChart>
      <c:catAx>
        <c:axId val="543310975"/>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490" b="0" i="0" u="none" strike="noStrike" kern="1200" baseline="0">
                <a:solidFill>
                  <a:schemeClr val="tx1">
                    <a:lumMod val="65000"/>
                    <a:lumOff val="35000"/>
                  </a:schemeClr>
                </a:solidFill>
                <a:latin typeface="+mn-lt"/>
                <a:ea typeface="+mn-ea"/>
                <a:cs typeface="+mn-cs"/>
              </a:defRPr>
            </a:pPr>
            <a:endParaRPr lang="es-CO"/>
          </a:p>
        </c:txPr>
        <c:crossAx val="543308063"/>
        <c:crosses val="autoZero"/>
        <c:auto val="0"/>
        <c:lblAlgn val="ctr"/>
        <c:lblOffset val="100"/>
        <c:noMultiLvlLbl val="0"/>
      </c:catAx>
      <c:valAx>
        <c:axId val="543308063"/>
        <c:scaling>
          <c:orientation val="minMax"/>
        </c:scaling>
        <c:delete val="0"/>
        <c:axPos val="b"/>
        <c:majorGridlines>
          <c:spPr>
            <a:ln w="9525" cap="flat" cmpd="sng" algn="ctr">
              <a:solidFill>
                <a:schemeClr val="tx1">
                  <a:lumMod val="15000"/>
                  <a:lumOff val="85000"/>
                </a:schemeClr>
              </a:solidFill>
              <a:round/>
            </a:ln>
            <a:effectLst/>
          </c:spPr>
        </c:majorGridlines>
        <c:numFmt formatCode="_ * #,##0_ ;_ * \-#,##0_ ;_ * &quot;-&quot;??_ ;_ @_ " sourceLinked="1"/>
        <c:majorTickMark val="out"/>
        <c:minorTickMark val="none"/>
        <c:tickLblPos val="nextTo"/>
        <c:spPr>
          <a:noFill/>
          <a:ln>
            <a:noFill/>
          </a:ln>
          <a:effectLst/>
        </c:spPr>
        <c:txPr>
          <a:bodyPr rot="-60000000" spcFirstLastPara="1" vertOverflow="ellipsis" vert="horz" wrap="square" anchor="ctr" anchorCtr="1"/>
          <a:lstStyle/>
          <a:p>
            <a:pPr>
              <a:defRPr sz="490" b="0" i="0" u="none" strike="noStrike" kern="1200" baseline="0">
                <a:solidFill>
                  <a:schemeClr val="tx1">
                    <a:lumMod val="65000"/>
                    <a:lumOff val="35000"/>
                  </a:schemeClr>
                </a:solidFill>
                <a:latin typeface="+mn-lt"/>
                <a:ea typeface="+mn-ea"/>
                <a:cs typeface="+mn-cs"/>
              </a:defRPr>
            </a:pPr>
            <a:endParaRPr lang="es-CO"/>
          </a:p>
        </c:txPr>
        <c:crossAx val="543310975"/>
        <c:crosses val="max"/>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49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490" baseline="0"/>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149711286089236E-2"/>
          <c:y val="2.8871391076115485E-2"/>
          <c:w val="0.75285361329833766"/>
          <c:h val="0.87615929898526468"/>
        </c:manualLayout>
      </c:layout>
      <c:lineChart>
        <c:grouping val="standard"/>
        <c:varyColors val="0"/>
        <c:ser>
          <c:idx val="11"/>
          <c:order val="0"/>
          <c:tx>
            <c:strRef>
              <c:f>'Libre Inversión '!$C$49</c:f>
              <c:strCache>
                <c:ptCount val="1"/>
                <c:pt idx="0">
                  <c:v>1. Servicios Públicos</c:v>
                </c:pt>
              </c:strCache>
            </c:strRef>
          </c:tx>
          <c:spPr>
            <a:ln w="15875" cap="rnd">
              <a:solidFill>
                <a:srgbClr val="1C94B0"/>
              </a:solidFill>
              <a:round/>
            </a:ln>
            <a:effectLst/>
          </c:spPr>
          <c:marker>
            <c:symbol val="none"/>
          </c:marker>
          <c:cat>
            <c:strRef>
              <c:f>('Libre Inversión '!$D$48,'Libre Inversión '!$F$48,'Libre Inversión '!$H$48)</c:f>
              <c:strCache>
                <c:ptCount val="3"/>
                <c:pt idx="0">
                  <c:v>Compromisos 2018</c:v>
                </c:pt>
                <c:pt idx="1">
                  <c:v>Compromisos 2019</c:v>
                </c:pt>
                <c:pt idx="2">
                  <c:v>Compromisos 2020</c:v>
                </c:pt>
              </c:strCache>
            </c:strRef>
          </c:cat>
          <c:val>
            <c:numRef>
              <c:f>('Libre Inversión '!$E$49,'Libre Inversión '!$G$49,'Libre Inversión '!$I$49)</c:f>
              <c:numCache>
                <c:formatCode>0.0%</c:formatCode>
                <c:ptCount val="3"/>
                <c:pt idx="0">
                  <c:v>1.6776730033836139E-2</c:v>
                </c:pt>
                <c:pt idx="1">
                  <c:v>0</c:v>
                </c:pt>
                <c:pt idx="2">
                  <c:v>6.2147112235711984E-3</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9EA6-4251-8740-0C275FCF0FC8}"/>
            </c:ext>
          </c:extLst>
        </c:ser>
        <c:ser>
          <c:idx val="2"/>
          <c:order val="1"/>
          <c:tx>
            <c:strRef>
              <c:f>'Libre Inversión '!$C$51</c:f>
              <c:strCache>
                <c:ptCount val="1"/>
                <c:pt idx="0">
                  <c:v>3. Agropecuario</c:v>
                </c:pt>
              </c:strCache>
            </c:strRef>
          </c:tx>
          <c:spPr>
            <a:ln w="15875" cap="rnd">
              <a:solidFill>
                <a:schemeClr val="accent4"/>
              </a:solidFill>
              <a:round/>
            </a:ln>
            <a:effectLst/>
          </c:spPr>
          <c:marker>
            <c:symbol val="none"/>
          </c:marker>
          <c:cat>
            <c:strRef>
              <c:f>('Libre Inversión '!$D$48,'Libre Inversión '!$F$48,'Libre Inversión '!$H$48)</c:f>
              <c:strCache>
                <c:ptCount val="3"/>
                <c:pt idx="0">
                  <c:v>Compromisos 2018</c:v>
                </c:pt>
                <c:pt idx="1">
                  <c:v>Compromisos 2019</c:v>
                </c:pt>
                <c:pt idx="2">
                  <c:v>Compromisos 2020</c:v>
                </c:pt>
              </c:strCache>
            </c:strRef>
          </c:cat>
          <c:val>
            <c:numRef>
              <c:f>('Libre Inversión '!$E$51,'Libre Inversión '!$G$51,'Libre Inversión '!$I$51)</c:f>
              <c:numCache>
                <c:formatCode>0.0%</c:formatCode>
                <c:ptCount val="3"/>
                <c:pt idx="0">
                  <c:v>0.11474888900791252</c:v>
                </c:pt>
                <c:pt idx="1">
                  <c:v>5.1652471539011736E-2</c:v>
                </c:pt>
                <c:pt idx="2">
                  <c:v>3.0266825580873177E-2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9EA6-4251-8740-0C275FCF0FC8}"/>
            </c:ext>
          </c:extLst>
        </c:ser>
        <c:ser>
          <c:idx val="3"/>
          <c:order val="2"/>
          <c:tx>
            <c:strRef>
              <c:f>'Libre Inversión '!$C$52</c:f>
              <c:strCache>
                <c:ptCount val="1"/>
                <c:pt idx="0">
                  <c:v>4. Transporte</c:v>
                </c:pt>
              </c:strCache>
            </c:strRef>
          </c:tx>
          <c:spPr>
            <a:ln w="15875" cap="rnd">
              <a:solidFill>
                <a:schemeClr val="accent6">
                  <a:lumMod val="40000"/>
                  <a:lumOff val="60000"/>
                </a:schemeClr>
              </a:solidFill>
              <a:round/>
            </a:ln>
            <a:effectLst/>
          </c:spPr>
          <c:marker>
            <c:symbol val="none"/>
          </c:marker>
          <c:cat>
            <c:strRef>
              <c:f>('Libre Inversión '!$D$48,'Libre Inversión '!$F$48,'Libre Inversión '!$H$48)</c:f>
              <c:strCache>
                <c:ptCount val="3"/>
                <c:pt idx="0">
                  <c:v>Compromisos 2018</c:v>
                </c:pt>
                <c:pt idx="1">
                  <c:v>Compromisos 2019</c:v>
                </c:pt>
                <c:pt idx="2">
                  <c:v>Compromisos 2020</c:v>
                </c:pt>
              </c:strCache>
            </c:strRef>
          </c:cat>
          <c:val>
            <c:numRef>
              <c:f>('Libre Inversión '!$E$52,'Libre Inversión '!$G$52,'Libre Inversión '!$I$52)</c:f>
              <c:numCache>
                <c:formatCode>0.0%</c:formatCode>
                <c:ptCount val="3"/>
                <c:pt idx="0">
                  <c:v>3.2679237062060308E-2</c:v>
                </c:pt>
                <c:pt idx="1">
                  <c:v>0.33634323201699723</c:v>
                </c:pt>
                <c:pt idx="2">
                  <c:v>0.88418520888223429</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9EA6-4251-8740-0C275FCF0FC8}"/>
            </c:ext>
          </c:extLst>
        </c:ser>
        <c:ser>
          <c:idx val="1"/>
          <c:order val="3"/>
          <c:tx>
            <c:strRef>
              <c:f>'Libre Inversión '!$C$53</c:f>
              <c:strCache>
                <c:ptCount val="1"/>
                <c:pt idx="0">
                  <c:v>5. Medio Ambiente</c:v>
                </c:pt>
              </c:strCache>
            </c:strRef>
          </c:tx>
          <c:spPr>
            <a:ln w="15875" cap="rnd">
              <a:solidFill>
                <a:schemeClr val="accent5"/>
              </a:solidFill>
              <a:round/>
            </a:ln>
            <a:effectLst/>
          </c:spPr>
          <c:marker>
            <c:symbol val="none"/>
          </c:marker>
          <c:cat>
            <c:strRef>
              <c:f>('Libre Inversión '!$D$48,'Libre Inversión '!$F$48,'Libre Inversión '!$H$48)</c:f>
              <c:strCache>
                <c:ptCount val="3"/>
                <c:pt idx="0">
                  <c:v>Compromisos 2018</c:v>
                </c:pt>
                <c:pt idx="1">
                  <c:v>Compromisos 2019</c:v>
                </c:pt>
                <c:pt idx="2">
                  <c:v>Compromisos 2020</c:v>
                </c:pt>
              </c:strCache>
            </c:strRef>
          </c:cat>
          <c:val>
            <c:numRef>
              <c:f>('Libre Inversión '!$E$53,'Libre Inversión '!$G$53,'Libre Inversión '!$I$53)</c:f>
              <c:numCache>
                <c:formatCode>0.0%</c:formatCode>
                <c:ptCount val="3"/>
                <c:pt idx="0">
                  <c:v>0.18927862841022192</c:v>
                </c:pt>
                <c:pt idx="1">
                  <c:v>0.14330082852752535</c:v>
                </c:pt>
                <c:pt idx="2">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9EA6-4251-8740-0C275FCF0FC8}"/>
            </c:ext>
          </c:extLst>
        </c:ser>
        <c:ser>
          <c:idx val="4"/>
          <c:order val="4"/>
          <c:tx>
            <c:strRef>
              <c:f>'Libre Inversión '!$C$55</c:f>
              <c:strCache>
                <c:ptCount val="1"/>
                <c:pt idx="0">
                  <c:v>7. Prevención y atención de desastres </c:v>
                </c:pt>
              </c:strCache>
            </c:strRef>
          </c:tx>
          <c:spPr>
            <a:ln w="15875" cap="rnd">
              <a:solidFill>
                <a:srgbClr val="FFCCFF"/>
              </a:solidFill>
              <a:round/>
            </a:ln>
            <a:effectLst/>
          </c:spPr>
          <c:marker>
            <c:symbol val="none"/>
          </c:marker>
          <c:cat>
            <c:strRef>
              <c:f>('Libre Inversión '!$D$48,'Libre Inversión '!$F$48,'Libre Inversión '!$H$48)</c:f>
              <c:strCache>
                <c:ptCount val="3"/>
                <c:pt idx="0">
                  <c:v>Compromisos 2018</c:v>
                </c:pt>
                <c:pt idx="1">
                  <c:v>Compromisos 2019</c:v>
                </c:pt>
                <c:pt idx="2">
                  <c:v>Compromisos 2020</c:v>
                </c:pt>
              </c:strCache>
            </c:strRef>
          </c:cat>
          <c:val>
            <c:numRef>
              <c:f>('Libre Inversión '!$E$55,'Libre Inversión '!$G$55,'Libre Inversión '!$I$55)</c:f>
              <c:numCache>
                <c:formatCode>0.0%</c:formatCode>
                <c:ptCount val="3"/>
                <c:pt idx="0">
                  <c:v>1.703215640569869E-2</c:v>
                </c:pt>
                <c:pt idx="1">
                  <c:v>9.7586678676971038E-3</c:v>
                </c:pt>
                <c:pt idx="2">
                  <c:v>1.055099093445396E-3</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9EA6-4251-8740-0C275FCF0FC8}"/>
            </c:ext>
          </c:extLst>
        </c:ser>
        <c:ser>
          <c:idx val="5"/>
          <c:order val="5"/>
          <c:tx>
            <c:strRef>
              <c:f>'Libre Inversión '!$C$56</c:f>
              <c:strCache>
                <c:ptCount val="1"/>
                <c:pt idx="0">
                  <c:v>8. Promoción al desarrollo</c:v>
                </c:pt>
              </c:strCache>
            </c:strRef>
          </c:tx>
          <c:spPr>
            <a:ln w="15875" cap="rnd">
              <a:solidFill>
                <a:srgbClr val="8A6900"/>
              </a:solidFill>
              <a:round/>
            </a:ln>
            <a:effectLst/>
          </c:spPr>
          <c:marker>
            <c:symbol val="none"/>
          </c:marker>
          <c:cat>
            <c:strRef>
              <c:f>('Libre Inversión '!$D$48,'Libre Inversión '!$F$48,'Libre Inversión '!$H$48)</c:f>
              <c:strCache>
                <c:ptCount val="3"/>
                <c:pt idx="0">
                  <c:v>Compromisos 2018</c:v>
                </c:pt>
                <c:pt idx="1">
                  <c:v>Compromisos 2019</c:v>
                </c:pt>
                <c:pt idx="2">
                  <c:v>Compromisos 2020</c:v>
                </c:pt>
              </c:strCache>
            </c:strRef>
          </c:cat>
          <c:val>
            <c:numRef>
              <c:f>('Libre Inversión '!$E$56,'Libre Inversión '!$G$56,'Libre Inversión '!$I$56)</c:f>
              <c:numCache>
                <c:formatCode>0.0%</c:formatCode>
                <c:ptCount val="3"/>
                <c:pt idx="0">
                  <c:v>2.368309353736061E-2</c:v>
                </c:pt>
                <c:pt idx="1">
                  <c:v>2.042263725830681E-2</c:v>
                </c:pt>
                <c:pt idx="2">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9EA6-4251-8740-0C275FCF0FC8}"/>
            </c:ext>
          </c:extLst>
        </c:ser>
        <c:ser>
          <c:idx val="6"/>
          <c:order val="6"/>
          <c:tx>
            <c:strRef>
              <c:f>'Libre Inversión '!$C$57</c:f>
              <c:strCache>
                <c:ptCount val="1"/>
                <c:pt idx="0">
                  <c:v>9. Atención a grupos vulnerables</c:v>
                </c:pt>
              </c:strCache>
            </c:strRef>
          </c:tx>
          <c:spPr>
            <a:ln w="15875" cap="rnd">
              <a:solidFill>
                <a:srgbClr val="CCCCFF"/>
              </a:solidFill>
              <a:round/>
            </a:ln>
            <a:effectLst/>
          </c:spPr>
          <c:marker>
            <c:symbol val="none"/>
          </c:marker>
          <c:cat>
            <c:strRef>
              <c:f>('Libre Inversión '!$D$48,'Libre Inversión '!$F$48,'Libre Inversión '!$H$48)</c:f>
              <c:strCache>
                <c:ptCount val="3"/>
                <c:pt idx="0">
                  <c:v>Compromisos 2018</c:v>
                </c:pt>
                <c:pt idx="1">
                  <c:v>Compromisos 2019</c:v>
                </c:pt>
                <c:pt idx="2">
                  <c:v>Compromisos 2020</c:v>
                </c:pt>
              </c:strCache>
            </c:strRef>
          </c:cat>
          <c:val>
            <c:numRef>
              <c:f>('Libre Inversión '!$E$57,'Libre Inversión '!$G$57,'Libre Inversión '!$I$57)</c:f>
              <c:numCache>
                <c:formatCode>0.0%</c:formatCode>
                <c:ptCount val="3"/>
                <c:pt idx="0">
                  <c:v>0.20557327888179924</c:v>
                </c:pt>
                <c:pt idx="1">
                  <c:v>0.1892741719617036</c:v>
                </c:pt>
                <c:pt idx="2">
                  <c:v>3.9443403305316734E-3</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6-9EA6-4251-8740-0C275FCF0FC8}"/>
            </c:ext>
          </c:extLst>
        </c:ser>
        <c:ser>
          <c:idx val="0"/>
          <c:order val="7"/>
          <c:tx>
            <c:strRef>
              <c:f>'Libre Inversión '!$C$58</c:f>
              <c:strCache>
                <c:ptCount val="1"/>
                <c:pt idx="0">
                  <c:v>10. Equipamiento Municipal</c:v>
                </c:pt>
              </c:strCache>
            </c:strRef>
          </c:tx>
          <c:spPr>
            <a:ln w="15875" cap="rnd">
              <a:solidFill>
                <a:srgbClr val="FF9999"/>
              </a:solidFill>
              <a:round/>
            </a:ln>
            <a:effectLst/>
          </c:spPr>
          <c:marker>
            <c:symbol val="none"/>
          </c:marker>
          <c:cat>
            <c:strRef>
              <c:f>('Libre Inversión '!$D$48,'Libre Inversión '!$F$48,'Libre Inversión '!$H$48)</c:f>
              <c:strCache>
                <c:ptCount val="3"/>
                <c:pt idx="0">
                  <c:v>Compromisos 2018</c:v>
                </c:pt>
                <c:pt idx="1">
                  <c:v>Compromisos 2019</c:v>
                </c:pt>
                <c:pt idx="2">
                  <c:v>Compromisos 2020</c:v>
                </c:pt>
              </c:strCache>
            </c:strRef>
          </c:cat>
          <c:val>
            <c:numRef>
              <c:f>('Libre Inversión '!$E$58,'Libre Inversión '!$G$58,'Libre Inversión '!$I$58)</c:f>
              <c:numCache>
                <c:formatCode>0.0%</c:formatCode>
                <c:ptCount val="3"/>
                <c:pt idx="0">
                  <c:v>1.6162705602407335E-2</c:v>
                </c:pt>
                <c:pt idx="1">
                  <c:v>2.355540519788956E-2</c:v>
                </c:pt>
                <c:pt idx="2">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7-9EA6-4251-8740-0C275FCF0FC8}"/>
            </c:ext>
          </c:extLst>
        </c:ser>
        <c:ser>
          <c:idx val="10"/>
          <c:order val="8"/>
          <c:tx>
            <c:strRef>
              <c:f>'Libre Inversión '!$C$59</c:f>
              <c:strCache>
                <c:ptCount val="1"/>
                <c:pt idx="0">
                  <c:v>11. Desarrollo Comunitario</c:v>
                </c:pt>
              </c:strCache>
            </c:strRef>
          </c:tx>
          <c:spPr>
            <a:ln w="15875" cap="rnd">
              <a:solidFill>
                <a:srgbClr val="9999FF"/>
              </a:solidFill>
              <a:round/>
            </a:ln>
            <a:effectLst/>
          </c:spPr>
          <c:marker>
            <c:symbol val="none"/>
          </c:marker>
          <c:cat>
            <c:strRef>
              <c:f>('Libre Inversión '!$D$48,'Libre Inversión '!$F$48,'Libre Inversión '!$H$48)</c:f>
              <c:strCache>
                <c:ptCount val="3"/>
                <c:pt idx="0">
                  <c:v>Compromisos 2018</c:v>
                </c:pt>
                <c:pt idx="1">
                  <c:v>Compromisos 2019</c:v>
                </c:pt>
                <c:pt idx="2">
                  <c:v>Compromisos 2020</c:v>
                </c:pt>
              </c:strCache>
            </c:strRef>
          </c:cat>
          <c:val>
            <c:numRef>
              <c:f>('Libre Inversión '!$E$59,'Libre Inversión '!$G$59,'Libre Inversión '!$I$59)</c:f>
              <c:numCache>
                <c:formatCode>0.0%</c:formatCode>
                <c:ptCount val="3"/>
                <c:pt idx="0">
                  <c:v>9.5955810736330655E-3</c:v>
                </c:pt>
                <c:pt idx="1">
                  <c:v>1.1441196810403502E-2</c:v>
                </c:pt>
                <c:pt idx="2">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8-9EA6-4251-8740-0C275FCF0FC8}"/>
            </c:ext>
          </c:extLst>
        </c:ser>
        <c:ser>
          <c:idx val="7"/>
          <c:order val="9"/>
          <c:tx>
            <c:strRef>
              <c:f>'Libre Inversión '!$C$60</c:f>
              <c:strCache>
                <c:ptCount val="1"/>
                <c:pt idx="0">
                  <c:v>12. Fortalecimiento Institucional</c:v>
                </c:pt>
              </c:strCache>
            </c:strRef>
          </c:tx>
          <c:spPr>
            <a:ln w="15875" cap="rnd">
              <a:solidFill>
                <a:schemeClr val="accent5">
                  <a:lumMod val="80000"/>
                  <a:lumOff val="20000"/>
                </a:schemeClr>
              </a:solidFill>
              <a:round/>
            </a:ln>
            <a:effectLst/>
          </c:spPr>
          <c:marker>
            <c:symbol val="none"/>
          </c:marker>
          <c:cat>
            <c:strRef>
              <c:f>('Libre Inversión '!$D$48,'Libre Inversión '!$F$48,'Libre Inversión '!$H$48)</c:f>
              <c:strCache>
                <c:ptCount val="3"/>
                <c:pt idx="0">
                  <c:v>Compromisos 2018</c:v>
                </c:pt>
                <c:pt idx="1">
                  <c:v>Compromisos 2019</c:v>
                </c:pt>
                <c:pt idx="2">
                  <c:v>Compromisos 2020</c:v>
                </c:pt>
              </c:strCache>
            </c:strRef>
          </c:cat>
          <c:val>
            <c:numRef>
              <c:f>('Libre Inversión '!$E$60,'Libre Inversión '!$G$60,'Libre Inversión '!$I$60)</c:f>
              <c:numCache>
                <c:formatCode>0.0%</c:formatCode>
                <c:ptCount val="3"/>
                <c:pt idx="0">
                  <c:v>0.14201753293905087</c:v>
                </c:pt>
                <c:pt idx="1">
                  <c:v>0.11135703328033028</c:v>
                </c:pt>
                <c:pt idx="2">
                  <c:v>5.1514623650758741E-2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9-9EA6-4251-8740-0C275FCF0FC8}"/>
            </c:ext>
          </c:extLst>
        </c:ser>
        <c:ser>
          <c:idx val="8"/>
          <c:order val="10"/>
          <c:tx>
            <c:strRef>
              <c:f>'Libre Inversión '!$C$61</c:f>
              <c:strCache>
                <c:ptCount val="1"/>
                <c:pt idx="0">
                  <c:v>13. Justicia</c:v>
                </c:pt>
              </c:strCache>
            </c:strRef>
          </c:tx>
          <c:spPr>
            <a:ln w="15875" cap="rnd">
              <a:solidFill>
                <a:schemeClr val="accent2">
                  <a:lumMod val="75000"/>
                </a:schemeClr>
              </a:solidFill>
              <a:round/>
            </a:ln>
            <a:effectLst/>
          </c:spPr>
          <c:marker>
            <c:symbol val="none"/>
          </c:marker>
          <c:cat>
            <c:strRef>
              <c:f>('Libre Inversión '!$D$48,'Libre Inversión '!$F$48,'Libre Inversión '!$H$48)</c:f>
              <c:strCache>
                <c:ptCount val="3"/>
                <c:pt idx="0">
                  <c:v>Compromisos 2018</c:v>
                </c:pt>
                <c:pt idx="1">
                  <c:v>Compromisos 2019</c:v>
                </c:pt>
                <c:pt idx="2">
                  <c:v>Compromisos 2020</c:v>
                </c:pt>
              </c:strCache>
            </c:strRef>
          </c:cat>
          <c:val>
            <c:numRef>
              <c:f>('Libre Inversión '!$E$61,'Libre Inversión '!$G$61,'Libre Inversión '!$I$61)</c:f>
              <c:numCache>
                <c:formatCode>0.0%</c:formatCode>
                <c:ptCount val="3"/>
                <c:pt idx="0">
                  <c:v>8.1563350706083046E-2</c:v>
                </c:pt>
                <c:pt idx="1">
                  <c:v>5.7287872735659023E-2</c:v>
                </c:pt>
                <c:pt idx="2">
                  <c:v>2.2819191238585546E-2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A-9EA6-4251-8740-0C275FCF0FC8}"/>
            </c:ext>
          </c:extLst>
        </c:ser>
        <c:ser>
          <c:idx val="9"/>
          <c:order val="11"/>
          <c:tx>
            <c:strRef>
              <c:f>'Libre Inversión '!$C$64</c:f>
              <c:strCache>
                <c:ptCount val="1"/>
                <c:pt idx="0">
                  <c:v>16. Otros (Educación, Salud y Cultura)</c:v>
                </c:pt>
              </c:strCache>
            </c:strRef>
          </c:tx>
          <c:spPr>
            <a:ln w="15875" cap="rnd">
              <a:solidFill>
                <a:schemeClr val="accent6">
                  <a:lumMod val="80000"/>
                </a:schemeClr>
              </a:solidFill>
              <a:round/>
            </a:ln>
            <a:effectLst/>
          </c:spPr>
          <c:marker>
            <c:symbol val="none"/>
          </c:marker>
          <c:cat>
            <c:strRef>
              <c:f>('Libre Inversión '!$D$48,'Libre Inversión '!$F$48,'Libre Inversión '!$H$48)</c:f>
              <c:strCache>
                <c:ptCount val="3"/>
                <c:pt idx="0">
                  <c:v>Compromisos 2018</c:v>
                </c:pt>
                <c:pt idx="1">
                  <c:v>Compromisos 2019</c:v>
                </c:pt>
                <c:pt idx="2">
                  <c:v>Compromisos 2020</c:v>
                </c:pt>
              </c:strCache>
            </c:strRef>
          </c:cat>
          <c:val>
            <c:numRef>
              <c:f>('Libre Inversión '!$E$64,'Libre Inversión '!$G$64,'Libre Inversión '!$I$64)</c:f>
              <c:numCache>
                <c:formatCode>0.0%</c:formatCode>
                <c:ptCount val="3"/>
                <c:pt idx="0">
                  <c:v>0.15088881633993623</c:v>
                </c:pt>
                <c:pt idx="1">
                  <c:v>4.5606482804475802E-2</c:v>
                </c:pt>
                <c:pt idx="2">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B-9EA6-4251-8740-0C275FCF0FC8}"/>
            </c:ext>
          </c:extLst>
        </c:ser>
        <c:dLbls>
          <c:showLegendKey val="0"/>
          <c:showVal val="0"/>
          <c:showCatName val="0"/>
          <c:showSerName val="0"/>
          <c:showPercent val="0"/>
          <c:showBubbleSize val="0"/>
        </c:dLbls>
        <c:dropLines>
          <c:spPr>
            <a:ln w="9525">
              <a:solidFill>
                <a:schemeClr val="tx1">
                  <a:lumMod val="35000"/>
                  <a:lumOff val="65000"/>
                </a:schemeClr>
              </a:solidFill>
              <a:prstDash val="dash"/>
            </a:ln>
            <a:effectLst/>
          </c:spPr>
        </c:dropLines>
        <c:smooth val="0"/>
        <c:axId val="110838303"/>
        <c:axId val="110820415"/>
      </c:lineChart>
      <c:catAx>
        <c:axId val="110838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10820415"/>
        <c:crosses val="autoZero"/>
        <c:auto val="1"/>
        <c:lblAlgn val="ctr"/>
        <c:lblOffset val="100"/>
        <c:noMultiLvlLbl val="0"/>
      </c:catAx>
      <c:valAx>
        <c:axId val="11082041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10838303"/>
        <c:crosses val="autoZero"/>
        <c:crossBetween val="between"/>
      </c:valAx>
      <c:spPr>
        <a:noFill/>
        <a:ln w="3175">
          <a:noFill/>
        </a:ln>
        <a:effectLst/>
      </c:spPr>
    </c:plotArea>
    <c:legend>
      <c:legendPos val="r"/>
      <c:layout>
        <c:manualLayout>
          <c:xMode val="edge"/>
          <c:yMode val="edge"/>
          <c:x val="0.80822667161249184"/>
          <c:y val="4.8482706556401335E-2"/>
          <c:w val="0.17334640035647889"/>
          <c:h val="0.900424101832535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800" b="0" i="0" baseline="0">
                <a:effectLst/>
              </a:rPr>
              <a:t>Cumplimiento de metas por sector FUT</a:t>
            </a:r>
            <a:endParaRPr lang="es-CO">
              <a:effectLst/>
            </a:endParaRPr>
          </a:p>
        </c:rich>
      </c:tx>
      <c:layout>
        <c:manualLayout>
          <c:xMode val="edge"/>
          <c:yMode val="edge"/>
          <c:x val="0.11961186669848085"/>
          <c:y val="2.79785497785031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1"/>
          <c:order val="0"/>
          <c:tx>
            <c:v>% de Cumplimiento</c:v>
          </c:tx>
          <c:spPr>
            <a:solidFill>
              <a:schemeClr val="accent2"/>
            </a:solidFill>
            <a:ln>
              <a:noFill/>
            </a:ln>
            <a:effectLst/>
          </c:spPr>
          <c:invertIfNegative val="0"/>
          <c:cat>
            <c:strRef>
              <c:f>Planeación!$C$27:$C$42</c:f>
              <c:strCache>
                <c:ptCount val="16"/>
                <c:pt idx="0">
                  <c:v>Salud</c:v>
                </c:pt>
                <c:pt idx="1">
                  <c:v>Deporte y recreación</c:v>
                </c:pt>
                <c:pt idx="2">
                  <c:v>Desarrollo comunitario</c:v>
                </c:pt>
                <c:pt idx="3">
                  <c:v>Cultura</c:v>
                </c:pt>
                <c:pt idx="4">
                  <c:v>Atención a grupos vulneables - Promoción social</c:v>
                </c:pt>
                <c:pt idx="5">
                  <c:v>Ambiental</c:v>
                </c:pt>
                <c:pt idx="6">
                  <c:v>Agua potable y saneamiento básico</c:v>
                </c:pt>
                <c:pt idx="7">
                  <c:v>Transporte</c:v>
                </c:pt>
                <c:pt idx="8">
                  <c:v>Educación</c:v>
                </c:pt>
                <c:pt idx="9">
                  <c:v>Servicios públicos diferentes a acueducto, alcantarillado y aseo</c:v>
                </c:pt>
                <c:pt idx="10">
                  <c:v>Fortalecimiento institucional</c:v>
                </c:pt>
                <c:pt idx="11">
                  <c:v>Prevención y atención de desastres</c:v>
                </c:pt>
                <c:pt idx="12">
                  <c:v>Agropecuarios</c:v>
                </c:pt>
                <c:pt idx="13">
                  <c:v>Equipamiento</c:v>
                </c:pt>
                <c:pt idx="14">
                  <c:v>Justicia y seguridad</c:v>
                </c:pt>
                <c:pt idx="15">
                  <c:v>Vivienda</c:v>
                </c:pt>
              </c:strCache>
            </c:strRef>
          </c:cat>
          <c:val>
            <c:numRef>
              <c:f>Planeación!$D$27:$D$42</c:f>
              <c:numCache>
                <c:formatCode>0.00%</c:formatCode>
                <c:ptCount val="16"/>
                <c:pt idx="0">
                  <c:v>1</c:v>
                </c:pt>
                <c:pt idx="1">
                  <c:v>1</c:v>
                </c:pt>
                <c:pt idx="2">
                  <c:v>1</c:v>
                </c:pt>
                <c:pt idx="3">
                  <c:v>0.83330000000000004</c:v>
                </c:pt>
                <c:pt idx="4">
                  <c:v>0.77780000000000005</c:v>
                </c:pt>
                <c:pt idx="5">
                  <c:v>0.66669999999999996</c:v>
                </c:pt>
                <c:pt idx="6">
                  <c:v>0.64290000000000003</c:v>
                </c:pt>
                <c:pt idx="7">
                  <c:v>0.625</c:v>
                </c:pt>
                <c:pt idx="8">
                  <c:v>0.61539999999999995</c:v>
                </c:pt>
                <c:pt idx="9">
                  <c:v>0.57140000000000002</c:v>
                </c:pt>
                <c:pt idx="10">
                  <c:v>0.54549999999999998</c:v>
                </c:pt>
                <c:pt idx="11">
                  <c:v>0.5</c:v>
                </c:pt>
                <c:pt idx="12">
                  <c:v>0.33329999999999999</c:v>
                </c:pt>
                <c:pt idx="13">
                  <c:v>0.2</c:v>
                </c:pt>
                <c:pt idx="14">
                  <c:v>0.1333</c:v>
                </c:pt>
                <c:pt idx="15">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D70C-4EEE-95EC-8C1B5E318C7F}"/>
            </c:ext>
          </c:extLst>
        </c:ser>
        <c:dLbls>
          <c:showLegendKey val="0"/>
          <c:showVal val="0"/>
          <c:showCatName val="0"/>
          <c:showSerName val="0"/>
          <c:showPercent val="0"/>
          <c:showBubbleSize val="0"/>
        </c:dLbls>
        <c:gapWidth val="75"/>
        <c:overlap val="-25"/>
        <c:axId val="1171857311"/>
        <c:axId val="1171856895"/>
      </c:barChart>
      <c:catAx>
        <c:axId val="1171857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71856895"/>
        <c:crosses val="autoZero"/>
        <c:auto val="1"/>
        <c:lblAlgn val="ctr"/>
        <c:lblOffset val="100"/>
        <c:noMultiLvlLbl val="0"/>
      </c:catAx>
      <c:valAx>
        <c:axId val="11718568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71857311"/>
        <c:crosses val="autoZero"/>
        <c:crossBetween val="between"/>
      </c:valAx>
      <c:spPr>
        <a:noFill/>
        <a:ln>
          <a:noFill/>
        </a:ln>
        <a:effectLst/>
      </c:spPr>
    </c:plotArea>
    <c:legend>
      <c:legendPos val="b"/>
      <c:layout>
        <c:manualLayout>
          <c:xMode val="edge"/>
          <c:yMode val="edge"/>
          <c:x val="0.81231008713624975"/>
          <c:y val="8.3318169601196632E-2"/>
          <c:w val="0.15740289286684406"/>
          <c:h val="0.110923200349548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D17695-1D9E-4B82-93CD-89BE57CBA972}" type="doc">
      <dgm:prSet loTypeId="urn:microsoft.com/office/officeart/2005/8/layout/hList6" loCatId="list" qsTypeId="urn:microsoft.com/office/officeart/2005/8/quickstyle/simple1" qsCatId="simple" csTypeId="urn:microsoft.com/office/officeart/2005/8/colors/colorful1" csCatId="colorful" phldr="1"/>
      <dgm:spPr/>
      <dgm:t>
        <a:bodyPr/>
        <a:lstStyle/>
        <a:p>
          <a:endParaRPr lang="es-ES"/>
        </a:p>
      </dgm:t>
    </dgm:pt>
    <dgm:pt modelId="{E0877DE3-7D57-43B6-8F64-D57D9C803EA5}">
      <dgm:prSet phldrT="[Texto]" custT="1"/>
      <dgm:spPr/>
      <dgm:t>
        <a:bodyPr/>
        <a:lstStyle/>
        <a:p>
          <a:r>
            <a:rPr lang="es-ES" sz="900">
              <a:latin typeface="Arial" panose="020B0604020202020204" pitchFamily="34" charset="0"/>
              <a:cs typeface="Arial" panose="020B0604020202020204" pitchFamily="34" charset="0"/>
            </a:rPr>
            <a:t>Social Incluyente</a:t>
          </a:r>
        </a:p>
      </dgm:t>
    </dgm:pt>
    <dgm:pt modelId="{207B84FC-EA78-4919-86C7-98C9F23E5CD8}" type="parTrans" cxnId="{45766ACB-F533-4B67-8C35-6ECC2F987F0C}">
      <dgm:prSet/>
      <dgm:spPr/>
      <dgm:t>
        <a:bodyPr/>
        <a:lstStyle/>
        <a:p>
          <a:endParaRPr lang="es-ES" sz="900">
            <a:latin typeface="Arial" panose="020B0604020202020204" pitchFamily="34" charset="0"/>
            <a:cs typeface="Arial" panose="020B0604020202020204" pitchFamily="34" charset="0"/>
          </a:endParaRPr>
        </a:p>
      </dgm:t>
    </dgm:pt>
    <dgm:pt modelId="{E055D6CF-7B15-43A7-9AF5-FAAEC78C1BAF}" type="sibTrans" cxnId="{45766ACB-F533-4B67-8C35-6ECC2F987F0C}">
      <dgm:prSet/>
      <dgm:spPr/>
      <dgm:t>
        <a:bodyPr/>
        <a:lstStyle/>
        <a:p>
          <a:endParaRPr lang="es-ES" sz="900">
            <a:latin typeface="Arial" panose="020B0604020202020204" pitchFamily="34" charset="0"/>
            <a:cs typeface="Arial" panose="020B0604020202020204" pitchFamily="34" charset="0"/>
          </a:endParaRPr>
        </a:p>
      </dgm:t>
    </dgm:pt>
    <dgm:pt modelId="{3DCAA6B1-9539-4EA9-ADDC-285CA5785273}">
      <dgm:prSet phldrT="[Texto]" custT="1"/>
      <dgm:spPr/>
      <dgm:t>
        <a:bodyPr/>
        <a:lstStyle/>
        <a:p>
          <a:r>
            <a:rPr lang="es-CO" sz="900" b="0" i="0">
              <a:latin typeface="Arial" panose="020B0604020202020204" pitchFamily="34" charset="0"/>
              <a:cs typeface="Arial" panose="020B0604020202020204" pitchFamily="34" charset="0"/>
            </a:rPr>
            <a:t>Transversal:</a:t>
          </a:r>
        </a:p>
        <a:p>
          <a:r>
            <a:rPr lang="es-CO" sz="900" b="0" i="0">
              <a:latin typeface="Arial" panose="020B0604020202020204" pitchFamily="34" charset="0"/>
              <a:cs typeface="Arial" panose="020B0604020202020204" pitchFamily="34" charset="0"/>
            </a:rPr>
            <a:t>Infancia, Niñez y Adolescencia</a:t>
          </a:r>
          <a:endParaRPr lang="es-ES" sz="900">
            <a:latin typeface="Arial" panose="020B0604020202020204" pitchFamily="34" charset="0"/>
            <a:cs typeface="Arial" panose="020B0604020202020204" pitchFamily="34" charset="0"/>
          </a:endParaRPr>
        </a:p>
      </dgm:t>
    </dgm:pt>
    <dgm:pt modelId="{18A10B92-209A-4485-BF5A-73AE96E69B25}" type="parTrans" cxnId="{79472A66-DD9A-4EC2-BDC6-7E8838F6F814}">
      <dgm:prSet/>
      <dgm:spPr/>
      <dgm:t>
        <a:bodyPr/>
        <a:lstStyle/>
        <a:p>
          <a:endParaRPr lang="es-ES" sz="900">
            <a:latin typeface="Arial" panose="020B0604020202020204" pitchFamily="34" charset="0"/>
            <a:cs typeface="Arial" panose="020B0604020202020204" pitchFamily="34" charset="0"/>
          </a:endParaRPr>
        </a:p>
      </dgm:t>
    </dgm:pt>
    <dgm:pt modelId="{6FEC39E2-4C0F-4797-872B-23830D823422}" type="sibTrans" cxnId="{79472A66-DD9A-4EC2-BDC6-7E8838F6F814}">
      <dgm:prSet/>
      <dgm:spPr/>
      <dgm:t>
        <a:bodyPr/>
        <a:lstStyle/>
        <a:p>
          <a:endParaRPr lang="es-ES" sz="900">
            <a:latin typeface="Arial" panose="020B0604020202020204" pitchFamily="34" charset="0"/>
            <a:cs typeface="Arial" panose="020B0604020202020204" pitchFamily="34" charset="0"/>
          </a:endParaRPr>
        </a:p>
      </dgm:t>
    </dgm:pt>
    <dgm:pt modelId="{BBE7FDD5-99CA-4C06-94B3-4862772AF660}">
      <dgm:prSet phldrT="[Texto]" custT="1"/>
      <dgm:spPr>
        <a:solidFill>
          <a:srgbClr val="C75797"/>
        </a:solidFill>
      </dgm:spPr>
      <dgm:t>
        <a:bodyPr/>
        <a:lstStyle/>
        <a:p>
          <a:r>
            <a:rPr lang="es-CO" sz="900" b="0" i="0">
              <a:latin typeface="Arial" panose="020B0604020202020204" pitchFamily="34" charset="0"/>
              <a:cs typeface="Arial" panose="020B0604020202020204" pitchFamily="34" charset="0"/>
            </a:rPr>
            <a:t>Transversal:</a:t>
          </a:r>
        </a:p>
        <a:p>
          <a:r>
            <a:rPr lang="es-CO" sz="900" b="0" i="0">
              <a:latin typeface="Arial" panose="020B0604020202020204" pitchFamily="34" charset="0"/>
              <a:cs typeface="Arial" panose="020B0604020202020204" pitchFamily="34" charset="0"/>
            </a:rPr>
            <a:t>Apoyo Integral a Víctimas del Conflicto</a:t>
          </a:r>
          <a:endParaRPr lang="es-ES" sz="900">
            <a:latin typeface="Arial" panose="020B0604020202020204" pitchFamily="34" charset="0"/>
            <a:cs typeface="Arial" panose="020B0604020202020204" pitchFamily="34" charset="0"/>
          </a:endParaRPr>
        </a:p>
      </dgm:t>
    </dgm:pt>
    <dgm:pt modelId="{810164C9-EC36-47D9-A9E8-C3D0441AD62C}" type="parTrans" cxnId="{4326DFC7-5C99-466D-84CD-CBA3ED9AA246}">
      <dgm:prSet/>
      <dgm:spPr/>
      <dgm:t>
        <a:bodyPr/>
        <a:lstStyle/>
        <a:p>
          <a:endParaRPr lang="es-ES" sz="900">
            <a:latin typeface="Arial" panose="020B0604020202020204" pitchFamily="34" charset="0"/>
            <a:cs typeface="Arial" panose="020B0604020202020204" pitchFamily="34" charset="0"/>
          </a:endParaRPr>
        </a:p>
      </dgm:t>
    </dgm:pt>
    <dgm:pt modelId="{EFE7C46A-3BA6-4389-9AF7-C2891B82CA20}" type="sibTrans" cxnId="{4326DFC7-5C99-466D-84CD-CBA3ED9AA246}">
      <dgm:prSet/>
      <dgm:spPr/>
      <dgm:t>
        <a:bodyPr/>
        <a:lstStyle/>
        <a:p>
          <a:endParaRPr lang="es-ES" sz="900">
            <a:latin typeface="Arial" panose="020B0604020202020204" pitchFamily="34" charset="0"/>
            <a:cs typeface="Arial" panose="020B0604020202020204" pitchFamily="34" charset="0"/>
          </a:endParaRPr>
        </a:p>
      </dgm:t>
    </dgm:pt>
    <dgm:pt modelId="{3C45ECBF-EAAA-4EBF-8628-76A2D774B4F6}">
      <dgm:prSet phldrT="[Texto]" custT="1"/>
      <dgm:spPr/>
      <dgm:t>
        <a:bodyPr/>
        <a:lstStyle/>
        <a:p>
          <a:r>
            <a:rPr lang="es-CO" sz="900" b="0" i="0">
              <a:latin typeface="Arial" panose="020B0604020202020204" pitchFamily="34" charset="0"/>
              <a:cs typeface="Arial" panose="020B0604020202020204" pitchFamily="34" charset="0"/>
            </a:rPr>
            <a:t>Desarrollo Económico y Productivo</a:t>
          </a:r>
          <a:endParaRPr lang="es-ES" sz="900">
            <a:latin typeface="Arial" panose="020B0604020202020204" pitchFamily="34" charset="0"/>
            <a:cs typeface="Arial" panose="020B0604020202020204" pitchFamily="34" charset="0"/>
          </a:endParaRPr>
        </a:p>
      </dgm:t>
    </dgm:pt>
    <dgm:pt modelId="{8849C207-5892-4854-A476-17C899F3F39E}" type="parTrans" cxnId="{46261BF9-B4F5-425E-972F-D3A0FA3D09AD}">
      <dgm:prSet/>
      <dgm:spPr/>
      <dgm:t>
        <a:bodyPr/>
        <a:lstStyle/>
        <a:p>
          <a:endParaRPr lang="es-ES" sz="900">
            <a:latin typeface="Arial" panose="020B0604020202020204" pitchFamily="34" charset="0"/>
            <a:cs typeface="Arial" panose="020B0604020202020204" pitchFamily="34" charset="0"/>
          </a:endParaRPr>
        </a:p>
      </dgm:t>
    </dgm:pt>
    <dgm:pt modelId="{CF4974D0-E667-4A73-BBD0-5B8C4AB41309}" type="sibTrans" cxnId="{46261BF9-B4F5-425E-972F-D3A0FA3D09AD}">
      <dgm:prSet/>
      <dgm:spPr/>
      <dgm:t>
        <a:bodyPr/>
        <a:lstStyle/>
        <a:p>
          <a:endParaRPr lang="es-ES" sz="900">
            <a:latin typeface="Arial" panose="020B0604020202020204" pitchFamily="34" charset="0"/>
            <a:cs typeface="Arial" panose="020B0604020202020204" pitchFamily="34" charset="0"/>
          </a:endParaRPr>
        </a:p>
      </dgm:t>
    </dgm:pt>
    <dgm:pt modelId="{1B78B911-B4AD-45DB-A33F-414941652452}">
      <dgm:prSet phldrT="[Texto]" custT="1"/>
      <dgm:spPr/>
      <dgm:t>
        <a:bodyPr/>
        <a:lstStyle/>
        <a:p>
          <a:r>
            <a:rPr lang="es-CO" sz="900" b="0" i="0">
              <a:latin typeface="Arial" panose="020B0604020202020204" pitchFamily="34" charset="0"/>
              <a:cs typeface="Arial" panose="020B0604020202020204" pitchFamily="34" charset="0"/>
            </a:rPr>
            <a:t>Medio Ambiente Sostenible</a:t>
          </a:r>
          <a:endParaRPr lang="es-ES" sz="900">
            <a:latin typeface="Arial" panose="020B0604020202020204" pitchFamily="34" charset="0"/>
            <a:cs typeface="Arial" panose="020B0604020202020204" pitchFamily="34" charset="0"/>
          </a:endParaRPr>
        </a:p>
      </dgm:t>
    </dgm:pt>
    <dgm:pt modelId="{CDF46279-262E-4AAF-8319-8F2AC9C7E66B}" type="parTrans" cxnId="{E337C18B-D123-4F68-8852-2F1A03A20ED9}">
      <dgm:prSet/>
      <dgm:spPr/>
      <dgm:t>
        <a:bodyPr/>
        <a:lstStyle/>
        <a:p>
          <a:endParaRPr lang="es-ES" sz="900">
            <a:latin typeface="Arial" panose="020B0604020202020204" pitchFamily="34" charset="0"/>
            <a:cs typeface="Arial" panose="020B0604020202020204" pitchFamily="34" charset="0"/>
          </a:endParaRPr>
        </a:p>
      </dgm:t>
    </dgm:pt>
    <dgm:pt modelId="{2214FB2F-702B-45D5-B445-8D8437EBCCD7}" type="sibTrans" cxnId="{E337C18B-D123-4F68-8852-2F1A03A20ED9}">
      <dgm:prSet/>
      <dgm:spPr/>
      <dgm:t>
        <a:bodyPr/>
        <a:lstStyle/>
        <a:p>
          <a:endParaRPr lang="es-ES" sz="900">
            <a:latin typeface="Arial" panose="020B0604020202020204" pitchFamily="34" charset="0"/>
            <a:cs typeface="Arial" panose="020B0604020202020204" pitchFamily="34" charset="0"/>
          </a:endParaRPr>
        </a:p>
      </dgm:t>
    </dgm:pt>
    <dgm:pt modelId="{3FC6341B-E36A-46F3-9A9C-0D9B512A9438}">
      <dgm:prSet phldrT="[Texto]" custT="1"/>
      <dgm:spPr/>
      <dgm:t>
        <a:bodyPr/>
        <a:lstStyle/>
        <a:p>
          <a:r>
            <a:rPr lang="es-CO" sz="900" b="0" i="0">
              <a:latin typeface="Arial" panose="020B0604020202020204" pitchFamily="34" charset="0"/>
              <a:cs typeface="Arial" panose="020B0604020202020204" pitchFamily="34" charset="0"/>
            </a:rPr>
            <a:t>Buen Gobierno y Transparencia</a:t>
          </a:r>
          <a:endParaRPr lang="es-ES" sz="900">
            <a:latin typeface="Arial" panose="020B0604020202020204" pitchFamily="34" charset="0"/>
            <a:cs typeface="Arial" panose="020B0604020202020204" pitchFamily="34" charset="0"/>
          </a:endParaRPr>
        </a:p>
      </dgm:t>
    </dgm:pt>
    <dgm:pt modelId="{3459A46C-E8E6-4543-8980-89EB987DEBAA}" type="parTrans" cxnId="{17E16296-3271-43FF-86E8-1324B211E736}">
      <dgm:prSet/>
      <dgm:spPr/>
      <dgm:t>
        <a:bodyPr/>
        <a:lstStyle/>
        <a:p>
          <a:endParaRPr lang="es-ES" sz="900">
            <a:latin typeface="Arial" panose="020B0604020202020204" pitchFamily="34" charset="0"/>
            <a:cs typeface="Arial" panose="020B0604020202020204" pitchFamily="34" charset="0"/>
          </a:endParaRPr>
        </a:p>
      </dgm:t>
    </dgm:pt>
    <dgm:pt modelId="{8BD69E01-9A7F-46D1-9506-7E57BD7DF5F9}" type="sibTrans" cxnId="{17E16296-3271-43FF-86E8-1324B211E736}">
      <dgm:prSet/>
      <dgm:spPr/>
      <dgm:t>
        <a:bodyPr/>
        <a:lstStyle/>
        <a:p>
          <a:endParaRPr lang="es-ES" sz="900">
            <a:latin typeface="Arial" panose="020B0604020202020204" pitchFamily="34" charset="0"/>
            <a:cs typeface="Arial" panose="020B0604020202020204" pitchFamily="34" charset="0"/>
          </a:endParaRPr>
        </a:p>
      </dgm:t>
    </dgm:pt>
    <dgm:pt modelId="{51718C12-CEB1-44DA-BCF5-C26ACD0740BD}" type="pres">
      <dgm:prSet presAssocID="{9AD17695-1D9E-4B82-93CD-89BE57CBA972}" presName="Name0" presStyleCnt="0">
        <dgm:presLayoutVars>
          <dgm:dir/>
          <dgm:resizeHandles val="exact"/>
        </dgm:presLayoutVars>
      </dgm:prSet>
      <dgm:spPr/>
      <dgm:t>
        <a:bodyPr/>
        <a:lstStyle/>
        <a:p>
          <a:endParaRPr lang="es-ES"/>
        </a:p>
      </dgm:t>
    </dgm:pt>
    <dgm:pt modelId="{22C44D74-7277-4795-B182-8A4427E087EF}" type="pres">
      <dgm:prSet presAssocID="{E0877DE3-7D57-43B6-8F64-D57D9C803EA5}" presName="node" presStyleLbl="node1" presStyleIdx="0" presStyleCnt="6">
        <dgm:presLayoutVars>
          <dgm:bulletEnabled val="1"/>
        </dgm:presLayoutVars>
      </dgm:prSet>
      <dgm:spPr/>
      <dgm:t>
        <a:bodyPr/>
        <a:lstStyle/>
        <a:p>
          <a:endParaRPr lang="es-ES"/>
        </a:p>
      </dgm:t>
    </dgm:pt>
    <dgm:pt modelId="{32DE15F7-8E93-416F-AEBC-6ADC179ED905}" type="pres">
      <dgm:prSet presAssocID="{E055D6CF-7B15-43A7-9AF5-FAAEC78C1BAF}" presName="sibTrans" presStyleCnt="0"/>
      <dgm:spPr/>
    </dgm:pt>
    <dgm:pt modelId="{E63D708B-C5E9-48A7-912C-C2DF5DB7DFAF}" type="pres">
      <dgm:prSet presAssocID="{3C45ECBF-EAAA-4EBF-8628-76A2D774B4F6}" presName="node" presStyleLbl="node1" presStyleIdx="1" presStyleCnt="6">
        <dgm:presLayoutVars>
          <dgm:bulletEnabled val="1"/>
        </dgm:presLayoutVars>
      </dgm:prSet>
      <dgm:spPr/>
      <dgm:t>
        <a:bodyPr/>
        <a:lstStyle/>
        <a:p>
          <a:endParaRPr lang="es-ES"/>
        </a:p>
      </dgm:t>
    </dgm:pt>
    <dgm:pt modelId="{B75386B4-A794-4B9C-BB54-65F9EB42A8B4}" type="pres">
      <dgm:prSet presAssocID="{CF4974D0-E667-4A73-BBD0-5B8C4AB41309}" presName="sibTrans" presStyleCnt="0"/>
      <dgm:spPr/>
    </dgm:pt>
    <dgm:pt modelId="{CC1CD50C-C4BE-4611-B92D-7BE431BA2ED5}" type="pres">
      <dgm:prSet presAssocID="{1B78B911-B4AD-45DB-A33F-414941652452}" presName="node" presStyleLbl="node1" presStyleIdx="2" presStyleCnt="6">
        <dgm:presLayoutVars>
          <dgm:bulletEnabled val="1"/>
        </dgm:presLayoutVars>
      </dgm:prSet>
      <dgm:spPr/>
      <dgm:t>
        <a:bodyPr/>
        <a:lstStyle/>
        <a:p>
          <a:endParaRPr lang="es-ES"/>
        </a:p>
      </dgm:t>
    </dgm:pt>
    <dgm:pt modelId="{5811533F-CB1B-42BD-9463-DD6B7C8F5216}" type="pres">
      <dgm:prSet presAssocID="{2214FB2F-702B-45D5-B445-8D8437EBCCD7}" presName="sibTrans" presStyleCnt="0"/>
      <dgm:spPr/>
    </dgm:pt>
    <dgm:pt modelId="{13A0ACFC-93DC-4645-B1F0-6541C9C66E0F}" type="pres">
      <dgm:prSet presAssocID="{3FC6341B-E36A-46F3-9A9C-0D9B512A9438}" presName="node" presStyleLbl="node1" presStyleIdx="3" presStyleCnt="6">
        <dgm:presLayoutVars>
          <dgm:bulletEnabled val="1"/>
        </dgm:presLayoutVars>
      </dgm:prSet>
      <dgm:spPr/>
      <dgm:t>
        <a:bodyPr/>
        <a:lstStyle/>
        <a:p>
          <a:endParaRPr lang="es-ES"/>
        </a:p>
      </dgm:t>
    </dgm:pt>
    <dgm:pt modelId="{6A716BBF-D0C1-4F5C-85CE-27E853FD47F3}" type="pres">
      <dgm:prSet presAssocID="{8BD69E01-9A7F-46D1-9506-7E57BD7DF5F9}" presName="sibTrans" presStyleCnt="0"/>
      <dgm:spPr/>
    </dgm:pt>
    <dgm:pt modelId="{57A31897-1805-478B-A2E9-E5BD75B7CE90}" type="pres">
      <dgm:prSet presAssocID="{3DCAA6B1-9539-4EA9-ADDC-285CA5785273}" presName="node" presStyleLbl="node1" presStyleIdx="4" presStyleCnt="6">
        <dgm:presLayoutVars>
          <dgm:bulletEnabled val="1"/>
        </dgm:presLayoutVars>
      </dgm:prSet>
      <dgm:spPr/>
      <dgm:t>
        <a:bodyPr/>
        <a:lstStyle/>
        <a:p>
          <a:endParaRPr lang="es-ES"/>
        </a:p>
      </dgm:t>
    </dgm:pt>
    <dgm:pt modelId="{E28C9536-696A-4CE1-8EA4-12DDBD24061A}" type="pres">
      <dgm:prSet presAssocID="{6FEC39E2-4C0F-4797-872B-23830D823422}" presName="sibTrans" presStyleCnt="0"/>
      <dgm:spPr/>
    </dgm:pt>
    <dgm:pt modelId="{0D5B03B0-1854-43BB-A4DA-3859DF7BE5CF}" type="pres">
      <dgm:prSet presAssocID="{BBE7FDD5-99CA-4C06-94B3-4862772AF660}" presName="node" presStyleLbl="node1" presStyleIdx="5" presStyleCnt="6">
        <dgm:presLayoutVars>
          <dgm:bulletEnabled val="1"/>
        </dgm:presLayoutVars>
      </dgm:prSet>
      <dgm:spPr/>
      <dgm:t>
        <a:bodyPr/>
        <a:lstStyle/>
        <a:p>
          <a:endParaRPr lang="es-ES"/>
        </a:p>
      </dgm:t>
    </dgm:pt>
  </dgm:ptLst>
  <dgm:cxnLst>
    <dgm:cxn modelId="{CC1339D1-C6FF-449B-A943-FACBEAE8E7A8}" type="presOf" srcId="{1B78B911-B4AD-45DB-A33F-414941652452}" destId="{CC1CD50C-C4BE-4611-B92D-7BE431BA2ED5}" srcOrd="0" destOrd="0" presId="urn:microsoft.com/office/officeart/2005/8/layout/hList6"/>
    <dgm:cxn modelId="{46261BF9-B4F5-425E-972F-D3A0FA3D09AD}" srcId="{9AD17695-1D9E-4B82-93CD-89BE57CBA972}" destId="{3C45ECBF-EAAA-4EBF-8628-76A2D774B4F6}" srcOrd="1" destOrd="0" parTransId="{8849C207-5892-4854-A476-17C899F3F39E}" sibTransId="{CF4974D0-E667-4A73-BBD0-5B8C4AB41309}"/>
    <dgm:cxn modelId="{E337C18B-D123-4F68-8852-2F1A03A20ED9}" srcId="{9AD17695-1D9E-4B82-93CD-89BE57CBA972}" destId="{1B78B911-B4AD-45DB-A33F-414941652452}" srcOrd="2" destOrd="0" parTransId="{CDF46279-262E-4AAF-8319-8F2AC9C7E66B}" sibTransId="{2214FB2F-702B-45D5-B445-8D8437EBCCD7}"/>
    <dgm:cxn modelId="{1701F2C5-820E-47C3-8437-2FC49F5D980C}" type="presOf" srcId="{BBE7FDD5-99CA-4C06-94B3-4862772AF660}" destId="{0D5B03B0-1854-43BB-A4DA-3859DF7BE5CF}" srcOrd="0" destOrd="0" presId="urn:microsoft.com/office/officeart/2005/8/layout/hList6"/>
    <dgm:cxn modelId="{4326DFC7-5C99-466D-84CD-CBA3ED9AA246}" srcId="{9AD17695-1D9E-4B82-93CD-89BE57CBA972}" destId="{BBE7FDD5-99CA-4C06-94B3-4862772AF660}" srcOrd="5" destOrd="0" parTransId="{810164C9-EC36-47D9-A9E8-C3D0441AD62C}" sibTransId="{EFE7C46A-3BA6-4389-9AF7-C2891B82CA20}"/>
    <dgm:cxn modelId="{87445255-B93B-4B10-AD15-97F8B2EC6A63}" type="presOf" srcId="{E0877DE3-7D57-43B6-8F64-D57D9C803EA5}" destId="{22C44D74-7277-4795-B182-8A4427E087EF}" srcOrd="0" destOrd="0" presId="urn:microsoft.com/office/officeart/2005/8/layout/hList6"/>
    <dgm:cxn modelId="{79472A66-DD9A-4EC2-BDC6-7E8838F6F814}" srcId="{9AD17695-1D9E-4B82-93CD-89BE57CBA972}" destId="{3DCAA6B1-9539-4EA9-ADDC-285CA5785273}" srcOrd="4" destOrd="0" parTransId="{18A10B92-209A-4485-BF5A-73AE96E69B25}" sibTransId="{6FEC39E2-4C0F-4797-872B-23830D823422}"/>
    <dgm:cxn modelId="{17E16296-3271-43FF-86E8-1324B211E736}" srcId="{9AD17695-1D9E-4B82-93CD-89BE57CBA972}" destId="{3FC6341B-E36A-46F3-9A9C-0D9B512A9438}" srcOrd="3" destOrd="0" parTransId="{3459A46C-E8E6-4543-8980-89EB987DEBAA}" sibTransId="{8BD69E01-9A7F-46D1-9506-7E57BD7DF5F9}"/>
    <dgm:cxn modelId="{6452C2D3-B5D4-472A-B779-C49CF53EFD98}" type="presOf" srcId="{3DCAA6B1-9539-4EA9-ADDC-285CA5785273}" destId="{57A31897-1805-478B-A2E9-E5BD75B7CE90}" srcOrd="0" destOrd="0" presId="urn:microsoft.com/office/officeart/2005/8/layout/hList6"/>
    <dgm:cxn modelId="{F79B9898-F742-4DD0-B971-744EEF0990F2}" type="presOf" srcId="{3FC6341B-E36A-46F3-9A9C-0D9B512A9438}" destId="{13A0ACFC-93DC-4645-B1F0-6541C9C66E0F}" srcOrd="0" destOrd="0" presId="urn:microsoft.com/office/officeart/2005/8/layout/hList6"/>
    <dgm:cxn modelId="{45766ACB-F533-4B67-8C35-6ECC2F987F0C}" srcId="{9AD17695-1D9E-4B82-93CD-89BE57CBA972}" destId="{E0877DE3-7D57-43B6-8F64-D57D9C803EA5}" srcOrd="0" destOrd="0" parTransId="{207B84FC-EA78-4919-86C7-98C9F23E5CD8}" sibTransId="{E055D6CF-7B15-43A7-9AF5-FAAEC78C1BAF}"/>
    <dgm:cxn modelId="{EB0633C0-27EE-4926-A2A2-870ABE24F058}" type="presOf" srcId="{3C45ECBF-EAAA-4EBF-8628-76A2D774B4F6}" destId="{E63D708B-C5E9-48A7-912C-C2DF5DB7DFAF}" srcOrd="0" destOrd="0" presId="urn:microsoft.com/office/officeart/2005/8/layout/hList6"/>
    <dgm:cxn modelId="{6E4451FB-2F9B-41C0-9560-8F9B172CCA69}" type="presOf" srcId="{9AD17695-1D9E-4B82-93CD-89BE57CBA972}" destId="{51718C12-CEB1-44DA-BCF5-C26ACD0740BD}" srcOrd="0" destOrd="0" presId="urn:microsoft.com/office/officeart/2005/8/layout/hList6"/>
    <dgm:cxn modelId="{7392FAD6-D54E-4741-A575-02375316FEB3}" type="presParOf" srcId="{51718C12-CEB1-44DA-BCF5-C26ACD0740BD}" destId="{22C44D74-7277-4795-B182-8A4427E087EF}" srcOrd="0" destOrd="0" presId="urn:microsoft.com/office/officeart/2005/8/layout/hList6"/>
    <dgm:cxn modelId="{C0CAE766-7005-4114-9392-F6C6B833E373}" type="presParOf" srcId="{51718C12-CEB1-44DA-BCF5-C26ACD0740BD}" destId="{32DE15F7-8E93-416F-AEBC-6ADC179ED905}" srcOrd="1" destOrd="0" presId="urn:microsoft.com/office/officeart/2005/8/layout/hList6"/>
    <dgm:cxn modelId="{D64A0529-8948-4DB2-8207-EB962821453F}" type="presParOf" srcId="{51718C12-CEB1-44DA-BCF5-C26ACD0740BD}" destId="{E63D708B-C5E9-48A7-912C-C2DF5DB7DFAF}" srcOrd="2" destOrd="0" presId="urn:microsoft.com/office/officeart/2005/8/layout/hList6"/>
    <dgm:cxn modelId="{2E6C8AF3-43C4-4928-BAE0-1A61C21F47CC}" type="presParOf" srcId="{51718C12-CEB1-44DA-BCF5-C26ACD0740BD}" destId="{B75386B4-A794-4B9C-BB54-65F9EB42A8B4}" srcOrd="3" destOrd="0" presId="urn:microsoft.com/office/officeart/2005/8/layout/hList6"/>
    <dgm:cxn modelId="{4DDF588C-5956-407F-9C5C-166FA76BC89F}" type="presParOf" srcId="{51718C12-CEB1-44DA-BCF5-C26ACD0740BD}" destId="{CC1CD50C-C4BE-4611-B92D-7BE431BA2ED5}" srcOrd="4" destOrd="0" presId="urn:microsoft.com/office/officeart/2005/8/layout/hList6"/>
    <dgm:cxn modelId="{69933ED6-6200-458E-A7B6-71BC73BCD6AF}" type="presParOf" srcId="{51718C12-CEB1-44DA-BCF5-C26ACD0740BD}" destId="{5811533F-CB1B-42BD-9463-DD6B7C8F5216}" srcOrd="5" destOrd="0" presId="urn:microsoft.com/office/officeart/2005/8/layout/hList6"/>
    <dgm:cxn modelId="{84CB282B-BFB2-44EF-B12E-093870BDD0E0}" type="presParOf" srcId="{51718C12-CEB1-44DA-BCF5-C26ACD0740BD}" destId="{13A0ACFC-93DC-4645-B1F0-6541C9C66E0F}" srcOrd="6" destOrd="0" presId="urn:microsoft.com/office/officeart/2005/8/layout/hList6"/>
    <dgm:cxn modelId="{967862D2-89F7-44CC-92E8-4AD6B38CBFD1}" type="presParOf" srcId="{51718C12-CEB1-44DA-BCF5-C26ACD0740BD}" destId="{6A716BBF-D0C1-4F5C-85CE-27E853FD47F3}" srcOrd="7" destOrd="0" presId="urn:microsoft.com/office/officeart/2005/8/layout/hList6"/>
    <dgm:cxn modelId="{A8460797-E084-4840-94EF-15BBBEC621A2}" type="presParOf" srcId="{51718C12-CEB1-44DA-BCF5-C26ACD0740BD}" destId="{57A31897-1805-478B-A2E9-E5BD75B7CE90}" srcOrd="8" destOrd="0" presId="urn:microsoft.com/office/officeart/2005/8/layout/hList6"/>
    <dgm:cxn modelId="{F0F51176-73AC-4D6D-BCAF-9E5B48F34728}" type="presParOf" srcId="{51718C12-CEB1-44DA-BCF5-C26ACD0740BD}" destId="{E28C9536-696A-4CE1-8EA4-12DDBD24061A}" srcOrd="9" destOrd="0" presId="urn:microsoft.com/office/officeart/2005/8/layout/hList6"/>
    <dgm:cxn modelId="{FB0A81AE-7D0F-48B3-832F-56EF116E3F4B}" type="presParOf" srcId="{51718C12-CEB1-44DA-BCF5-C26ACD0740BD}" destId="{0D5B03B0-1854-43BB-A4DA-3859DF7BE5CF}" srcOrd="10" destOrd="0" presId="urn:microsoft.com/office/officeart/2005/8/layout/hList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C44D74-7277-4795-B182-8A4427E087EF}">
      <dsp:nvSpPr>
        <dsp:cNvPr id="0" name=""/>
        <dsp:cNvSpPr/>
      </dsp:nvSpPr>
      <dsp:spPr>
        <a:xfrm rot="16200000">
          <a:off x="-486402" y="488870"/>
          <a:ext cx="1952625" cy="974884"/>
        </a:xfrm>
        <a:prstGeom prst="flowChartManualOperati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7150" bIns="0"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Social Incluyente</a:t>
          </a:r>
        </a:p>
      </dsp:txBody>
      <dsp:txXfrm rot="5400000">
        <a:off x="2468" y="390525"/>
        <a:ext cx="974884" cy="1171575"/>
      </dsp:txXfrm>
    </dsp:sp>
    <dsp:sp modelId="{E63D708B-C5E9-48A7-912C-C2DF5DB7DFAF}">
      <dsp:nvSpPr>
        <dsp:cNvPr id="0" name=""/>
        <dsp:cNvSpPr/>
      </dsp:nvSpPr>
      <dsp:spPr>
        <a:xfrm rot="16200000">
          <a:off x="561598" y="488870"/>
          <a:ext cx="1952625" cy="974884"/>
        </a:xfrm>
        <a:prstGeom prst="flowChartManualOperati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7150" bIns="0" numCol="1" spcCol="1270" anchor="ctr" anchorCtr="0">
          <a:noAutofit/>
        </a:bodyPr>
        <a:lstStyle/>
        <a:p>
          <a:pPr lvl="0" algn="ctr" defTabSz="400050">
            <a:lnSpc>
              <a:spcPct val="90000"/>
            </a:lnSpc>
            <a:spcBef>
              <a:spcPct val="0"/>
            </a:spcBef>
            <a:spcAft>
              <a:spcPct val="35000"/>
            </a:spcAft>
          </a:pPr>
          <a:r>
            <a:rPr lang="es-CO" sz="900" b="0" i="0" kern="1200">
              <a:latin typeface="Arial" panose="020B0604020202020204" pitchFamily="34" charset="0"/>
              <a:cs typeface="Arial" panose="020B0604020202020204" pitchFamily="34" charset="0"/>
            </a:rPr>
            <a:t>Desarrollo Económico y Productivo</a:t>
          </a:r>
          <a:endParaRPr lang="es-ES" sz="900" kern="1200">
            <a:latin typeface="Arial" panose="020B0604020202020204" pitchFamily="34" charset="0"/>
            <a:cs typeface="Arial" panose="020B0604020202020204" pitchFamily="34" charset="0"/>
          </a:endParaRPr>
        </a:p>
      </dsp:txBody>
      <dsp:txXfrm rot="5400000">
        <a:off x="1050468" y="390525"/>
        <a:ext cx="974884" cy="1171575"/>
      </dsp:txXfrm>
    </dsp:sp>
    <dsp:sp modelId="{CC1CD50C-C4BE-4611-B92D-7BE431BA2ED5}">
      <dsp:nvSpPr>
        <dsp:cNvPr id="0" name=""/>
        <dsp:cNvSpPr/>
      </dsp:nvSpPr>
      <dsp:spPr>
        <a:xfrm rot="16200000">
          <a:off x="1609599" y="488870"/>
          <a:ext cx="1952625" cy="974884"/>
        </a:xfrm>
        <a:prstGeom prst="flowChartManualOperati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7150" bIns="0" numCol="1" spcCol="1270" anchor="ctr" anchorCtr="0">
          <a:noAutofit/>
        </a:bodyPr>
        <a:lstStyle/>
        <a:p>
          <a:pPr lvl="0" algn="ctr" defTabSz="400050">
            <a:lnSpc>
              <a:spcPct val="90000"/>
            </a:lnSpc>
            <a:spcBef>
              <a:spcPct val="0"/>
            </a:spcBef>
            <a:spcAft>
              <a:spcPct val="35000"/>
            </a:spcAft>
          </a:pPr>
          <a:r>
            <a:rPr lang="es-CO" sz="900" b="0" i="0" kern="1200">
              <a:latin typeface="Arial" panose="020B0604020202020204" pitchFamily="34" charset="0"/>
              <a:cs typeface="Arial" panose="020B0604020202020204" pitchFamily="34" charset="0"/>
            </a:rPr>
            <a:t>Medio Ambiente Sostenible</a:t>
          </a:r>
          <a:endParaRPr lang="es-ES" sz="900" kern="1200">
            <a:latin typeface="Arial" panose="020B0604020202020204" pitchFamily="34" charset="0"/>
            <a:cs typeface="Arial" panose="020B0604020202020204" pitchFamily="34" charset="0"/>
          </a:endParaRPr>
        </a:p>
      </dsp:txBody>
      <dsp:txXfrm rot="5400000">
        <a:off x="2098469" y="390525"/>
        <a:ext cx="974884" cy="1171575"/>
      </dsp:txXfrm>
    </dsp:sp>
    <dsp:sp modelId="{13A0ACFC-93DC-4645-B1F0-6541C9C66E0F}">
      <dsp:nvSpPr>
        <dsp:cNvPr id="0" name=""/>
        <dsp:cNvSpPr/>
      </dsp:nvSpPr>
      <dsp:spPr>
        <a:xfrm rot="16200000">
          <a:off x="2657600" y="488870"/>
          <a:ext cx="1952625" cy="974884"/>
        </a:xfrm>
        <a:prstGeom prst="flowChartManualOperati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7150" bIns="0" numCol="1" spcCol="1270" anchor="ctr" anchorCtr="0">
          <a:noAutofit/>
        </a:bodyPr>
        <a:lstStyle/>
        <a:p>
          <a:pPr lvl="0" algn="ctr" defTabSz="400050">
            <a:lnSpc>
              <a:spcPct val="90000"/>
            </a:lnSpc>
            <a:spcBef>
              <a:spcPct val="0"/>
            </a:spcBef>
            <a:spcAft>
              <a:spcPct val="35000"/>
            </a:spcAft>
          </a:pPr>
          <a:r>
            <a:rPr lang="es-CO" sz="900" b="0" i="0" kern="1200">
              <a:latin typeface="Arial" panose="020B0604020202020204" pitchFamily="34" charset="0"/>
              <a:cs typeface="Arial" panose="020B0604020202020204" pitchFamily="34" charset="0"/>
            </a:rPr>
            <a:t>Buen Gobierno y Transparencia</a:t>
          </a:r>
          <a:endParaRPr lang="es-ES" sz="900" kern="1200">
            <a:latin typeface="Arial" panose="020B0604020202020204" pitchFamily="34" charset="0"/>
            <a:cs typeface="Arial" panose="020B0604020202020204" pitchFamily="34" charset="0"/>
          </a:endParaRPr>
        </a:p>
      </dsp:txBody>
      <dsp:txXfrm rot="5400000">
        <a:off x="3146470" y="390525"/>
        <a:ext cx="974884" cy="1171575"/>
      </dsp:txXfrm>
    </dsp:sp>
    <dsp:sp modelId="{57A31897-1805-478B-A2E9-E5BD75B7CE90}">
      <dsp:nvSpPr>
        <dsp:cNvPr id="0" name=""/>
        <dsp:cNvSpPr/>
      </dsp:nvSpPr>
      <dsp:spPr>
        <a:xfrm rot="16200000">
          <a:off x="3705601" y="488870"/>
          <a:ext cx="1952625" cy="974884"/>
        </a:xfrm>
        <a:prstGeom prst="flowChartManualOperati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7150" bIns="0" numCol="1" spcCol="1270" anchor="ctr" anchorCtr="0">
          <a:noAutofit/>
        </a:bodyPr>
        <a:lstStyle/>
        <a:p>
          <a:pPr lvl="0" algn="ctr" defTabSz="400050">
            <a:lnSpc>
              <a:spcPct val="90000"/>
            </a:lnSpc>
            <a:spcBef>
              <a:spcPct val="0"/>
            </a:spcBef>
            <a:spcAft>
              <a:spcPct val="35000"/>
            </a:spcAft>
          </a:pPr>
          <a:r>
            <a:rPr lang="es-CO" sz="900" b="0" i="0" kern="1200">
              <a:latin typeface="Arial" panose="020B0604020202020204" pitchFamily="34" charset="0"/>
              <a:cs typeface="Arial" panose="020B0604020202020204" pitchFamily="34" charset="0"/>
            </a:rPr>
            <a:t>Transversal:</a:t>
          </a:r>
        </a:p>
        <a:p>
          <a:pPr lvl="0" algn="ctr" defTabSz="400050">
            <a:lnSpc>
              <a:spcPct val="90000"/>
            </a:lnSpc>
            <a:spcBef>
              <a:spcPct val="0"/>
            </a:spcBef>
            <a:spcAft>
              <a:spcPct val="35000"/>
            </a:spcAft>
          </a:pPr>
          <a:r>
            <a:rPr lang="es-CO" sz="900" b="0" i="0" kern="1200">
              <a:latin typeface="Arial" panose="020B0604020202020204" pitchFamily="34" charset="0"/>
              <a:cs typeface="Arial" panose="020B0604020202020204" pitchFamily="34" charset="0"/>
            </a:rPr>
            <a:t>Infancia, Niñez y Adolescencia</a:t>
          </a:r>
          <a:endParaRPr lang="es-ES" sz="900" kern="1200">
            <a:latin typeface="Arial" panose="020B0604020202020204" pitchFamily="34" charset="0"/>
            <a:cs typeface="Arial" panose="020B0604020202020204" pitchFamily="34" charset="0"/>
          </a:endParaRPr>
        </a:p>
      </dsp:txBody>
      <dsp:txXfrm rot="5400000">
        <a:off x="4194471" y="390525"/>
        <a:ext cx="974884" cy="1171575"/>
      </dsp:txXfrm>
    </dsp:sp>
    <dsp:sp modelId="{0D5B03B0-1854-43BB-A4DA-3859DF7BE5CF}">
      <dsp:nvSpPr>
        <dsp:cNvPr id="0" name=""/>
        <dsp:cNvSpPr/>
      </dsp:nvSpPr>
      <dsp:spPr>
        <a:xfrm rot="16200000">
          <a:off x="4753602" y="488870"/>
          <a:ext cx="1952625" cy="974884"/>
        </a:xfrm>
        <a:prstGeom prst="flowChartManualOperation">
          <a:avLst/>
        </a:prstGeom>
        <a:solidFill>
          <a:srgbClr val="C757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7150" bIns="0" numCol="1" spcCol="1270" anchor="ctr" anchorCtr="0">
          <a:noAutofit/>
        </a:bodyPr>
        <a:lstStyle/>
        <a:p>
          <a:pPr lvl="0" algn="ctr" defTabSz="400050">
            <a:lnSpc>
              <a:spcPct val="90000"/>
            </a:lnSpc>
            <a:spcBef>
              <a:spcPct val="0"/>
            </a:spcBef>
            <a:spcAft>
              <a:spcPct val="35000"/>
            </a:spcAft>
          </a:pPr>
          <a:r>
            <a:rPr lang="es-CO" sz="900" b="0" i="0" kern="1200">
              <a:latin typeface="Arial" panose="020B0604020202020204" pitchFamily="34" charset="0"/>
              <a:cs typeface="Arial" panose="020B0604020202020204" pitchFamily="34" charset="0"/>
            </a:rPr>
            <a:t>Transversal:</a:t>
          </a:r>
        </a:p>
        <a:p>
          <a:pPr lvl="0" algn="ctr" defTabSz="400050">
            <a:lnSpc>
              <a:spcPct val="90000"/>
            </a:lnSpc>
            <a:spcBef>
              <a:spcPct val="0"/>
            </a:spcBef>
            <a:spcAft>
              <a:spcPct val="35000"/>
            </a:spcAft>
          </a:pPr>
          <a:r>
            <a:rPr lang="es-CO" sz="900" b="0" i="0" kern="1200">
              <a:latin typeface="Arial" panose="020B0604020202020204" pitchFamily="34" charset="0"/>
              <a:cs typeface="Arial" panose="020B0604020202020204" pitchFamily="34" charset="0"/>
            </a:rPr>
            <a:t>Apoyo Integral a Víctimas del Conflicto</a:t>
          </a:r>
          <a:endParaRPr lang="es-ES" sz="900" kern="1200">
            <a:latin typeface="Arial" panose="020B0604020202020204" pitchFamily="34" charset="0"/>
            <a:cs typeface="Arial" panose="020B0604020202020204" pitchFamily="34" charset="0"/>
          </a:endParaRPr>
        </a:p>
      </dsp:txBody>
      <dsp:txXfrm rot="5400000">
        <a:off x="5242472" y="390525"/>
        <a:ext cx="974884" cy="1171575"/>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6F8F1BE6-3F07-4FC8-9BD4-C1F8C63A1691}">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42B80255-6BC4-43F1-85BF-F0FE3FCFDEAE}"/>
</file>

<file path=customXml/itemProps3.xml><?xml version="1.0" encoding="utf-8"?>
<ds:datastoreItem xmlns:ds="http://schemas.openxmlformats.org/officeDocument/2006/customXml" ds:itemID="{CA747950-4164-44B5-BDFB-5AEFFCFA8AC0}"/>
</file>

<file path=customXml/itemProps4.xml><?xml version="1.0" encoding="utf-8"?>
<ds:datastoreItem xmlns:ds="http://schemas.openxmlformats.org/officeDocument/2006/customXml" ds:itemID="{CE0FBE1F-0BF5-4DB6-9FD4-71E3E7EFA477}"/>
</file>

<file path=docProps/app.xml><?xml version="1.0" encoding="utf-8"?>
<Properties xmlns="http://schemas.openxmlformats.org/officeDocument/2006/extended-properties" xmlns:vt="http://schemas.openxmlformats.org/officeDocument/2006/docPropsVTypes">
  <Template>Normal</Template>
  <TotalTime>0</TotalTime>
  <Pages>36</Pages>
  <Words>12348</Words>
  <Characters>67917</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80105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Corredor Guevara</dc:creator>
  <cp:keywords/>
  <dc:description/>
  <cp:lastModifiedBy>Pablo Andres Parra Cubides</cp:lastModifiedBy>
  <cp:revision>2</cp:revision>
  <dcterms:created xsi:type="dcterms:W3CDTF">2022-06-17T20:10:00Z</dcterms:created>
  <dcterms:modified xsi:type="dcterms:W3CDTF">2022-06-17T20:10:00Z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ies>
</file>