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E4B7" w14:textId="77777777" w:rsidR="00AD0693" w:rsidRPr="001B7E14" w:rsidRDefault="00AD0693" w:rsidP="00FA42BB">
      <w:pPr>
        <w:pStyle w:val="Sinespaciado"/>
        <w:ind w:firstLine="708"/>
        <w:jc w:val="center"/>
        <w:rPr>
          <w:rFonts w:ascii="Helvetica" w:hAnsi="Helvetica" w:cs="Helvetica"/>
          <w:b/>
        </w:rPr>
      </w:pPr>
      <w:r w:rsidRPr="001B7E14">
        <w:rPr>
          <w:rFonts w:ascii="Helvetica" w:hAnsi="Helvetica" w:cs="Helvetica"/>
          <w:b/>
        </w:rPr>
        <w:t xml:space="preserve">INFORME DE RECONOCIMIENTO INSTITUCIONAL </w:t>
      </w:r>
    </w:p>
    <w:p w14:paraId="7ADF0796" w14:textId="77777777" w:rsidR="00AD0693" w:rsidRPr="001B7E14" w:rsidRDefault="00AD0693" w:rsidP="00FA42BB">
      <w:pPr>
        <w:jc w:val="both"/>
        <w:rPr>
          <w:rFonts w:ascii="Helvetica" w:eastAsiaTheme="minorHAnsi" w:hAnsi="Helvetica" w:cs="Helvetica"/>
          <w:b/>
          <w:sz w:val="22"/>
          <w:szCs w:val="22"/>
          <w:lang w:val="es-CO" w:eastAsia="en-US"/>
        </w:rPr>
      </w:pPr>
    </w:p>
    <w:tbl>
      <w:tblPr>
        <w:tblW w:w="500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DBE5F1" w:themeFill="accent1" w:themeFillTint="33"/>
        <w:tblLook w:val="04A0" w:firstRow="1" w:lastRow="0" w:firstColumn="1" w:lastColumn="0" w:noHBand="0" w:noVBand="1"/>
      </w:tblPr>
      <w:tblGrid>
        <w:gridCol w:w="2951"/>
        <w:gridCol w:w="5878"/>
      </w:tblGrid>
      <w:tr w:rsidR="00AD0693" w:rsidRPr="001B7E14" w14:paraId="5A287C82" w14:textId="77777777" w:rsidTr="00AD0693">
        <w:tc>
          <w:tcPr>
            <w:tcW w:w="1671" w:type="pct"/>
            <w:tcBorders>
              <w:top w:val="single" w:sz="4" w:space="0" w:color="auto"/>
              <w:left w:val="single" w:sz="4" w:space="0" w:color="auto"/>
              <w:bottom w:val="single" w:sz="6" w:space="0" w:color="auto"/>
              <w:right w:val="single" w:sz="6" w:space="0" w:color="auto"/>
            </w:tcBorders>
            <w:shd w:val="clear" w:color="auto" w:fill="DBE5F1" w:themeFill="accent1" w:themeFillTint="33"/>
            <w:hideMark/>
          </w:tcPr>
          <w:p w14:paraId="5932EDCB" w14:textId="77777777" w:rsidR="00AD0693" w:rsidRPr="001B7E14" w:rsidRDefault="00AD0693" w:rsidP="00FA42BB">
            <w:pPr>
              <w:pStyle w:val="NormalWeb"/>
              <w:spacing w:before="0" w:beforeAutospacing="0" w:after="0"/>
              <w:jc w:val="both"/>
              <w:rPr>
                <w:rFonts w:ascii="Helvetica" w:hAnsi="Helvetica" w:cs="Helvetica"/>
                <w:i/>
                <w:sz w:val="22"/>
                <w:szCs w:val="22"/>
                <w:lang w:val="es-CO"/>
              </w:rPr>
            </w:pPr>
            <w:r w:rsidRPr="001B7E14">
              <w:rPr>
                <w:rFonts w:ascii="Helvetica" w:hAnsi="Helvetica" w:cs="Helvetica"/>
                <w:bCs/>
                <w:i/>
                <w:sz w:val="22"/>
                <w:szCs w:val="22"/>
                <w:lang w:val="es-CO"/>
              </w:rPr>
              <w:t>Número de Expediente</w:t>
            </w:r>
          </w:p>
        </w:tc>
        <w:tc>
          <w:tcPr>
            <w:tcW w:w="3329" w:type="pct"/>
            <w:tcBorders>
              <w:top w:val="single" w:sz="4" w:space="0" w:color="auto"/>
              <w:left w:val="single" w:sz="6" w:space="0" w:color="auto"/>
              <w:bottom w:val="single" w:sz="6" w:space="0" w:color="auto"/>
              <w:right w:val="single" w:sz="6" w:space="0" w:color="auto"/>
            </w:tcBorders>
            <w:shd w:val="clear" w:color="auto" w:fill="DBE5F1" w:themeFill="accent1" w:themeFillTint="33"/>
            <w:hideMark/>
          </w:tcPr>
          <w:p w14:paraId="11D95898" w14:textId="77777777" w:rsidR="00AD0693" w:rsidRPr="001B7E14" w:rsidRDefault="00AD0693" w:rsidP="00FA42BB">
            <w:pPr>
              <w:pStyle w:val="NormalWeb"/>
              <w:spacing w:before="0" w:beforeAutospacing="0" w:after="0"/>
              <w:jc w:val="both"/>
              <w:rPr>
                <w:rFonts w:ascii="Helvetica" w:hAnsi="Helvetica" w:cs="Helvetica"/>
                <w:b/>
                <w:bCs/>
                <w:sz w:val="22"/>
                <w:szCs w:val="22"/>
                <w:lang w:val="es-CO"/>
              </w:rPr>
            </w:pPr>
            <w:r w:rsidRPr="001B7E14">
              <w:rPr>
                <w:rFonts w:ascii="Helvetica" w:hAnsi="Helvetica" w:cs="Helvetica"/>
                <w:b/>
                <w:bCs/>
                <w:sz w:val="22"/>
                <w:szCs w:val="22"/>
              </w:rPr>
              <w:t>135/2017/D028-PREDI</w:t>
            </w:r>
          </w:p>
        </w:tc>
      </w:tr>
      <w:tr w:rsidR="00AD0693" w:rsidRPr="001B7E14" w14:paraId="435593A4" w14:textId="77777777" w:rsidTr="00AD0693">
        <w:tc>
          <w:tcPr>
            <w:tcW w:w="1671" w:type="pct"/>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14:paraId="5E3D7765" w14:textId="77777777" w:rsidR="00AD0693" w:rsidRPr="001B7E14" w:rsidRDefault="00AD0693" w:rsidP="00FA42BB">
            <w:pPr>
              <w:pStyle w:val="NormalWeb"/>
              <w:spacing w:before="0" w:beforeAutospacing="0" w:after="0"/>
              <w:jc w:val="both"/>
              <w:rPr>
                <w:rFonts w:ascii="Helvetica" w:hAnsi="Helvetica" w:cs="Helvetica"/>
                <w:bCs/>
                <w:i/>
                <w:sz w:val="22"/>
                <w:szCs w:val="22"/>
                <w:lang w:val="es-CO"/>
              </w:rPr>
            </w:pPr>
            <w:r w:rsidRPr="001B7E14">
              <w:rPr>
                <w:rFonts w:ascii="Helvetica" w:hAnsi="Helvetica" w:cs="Helvetica"/>
                <w:bCs/>
                <w:i/>
                <w:sz w:val="22"/>
                <w:szCs w:val="22"/>
                <w:lang w:val="es-CO"/>
              </w:rPr>
              <w:t>Sector</w:t>
            </w:r>
          </w:p>
        </w:tc>
        <w:tc>
          <w:tcPr>
            <w:tcW w:w="3329" w:type="pct"/>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71A344E" w14:textId="77777777" w:rsidR="00AD0693" w:rsidRPr="001B7E14" w:rsidRDefault="00AD0693" w:rsidP="00FA42BB">
            <w:pPr>
              <w:pStyle w:val="NormalWeb"/>
              <w:spacing w:before="0" w:beforeAutospacing="0" w:after="0"/>
              <w:jc w:val="both"/>
              <w:rPr>
                <w:rFonts w:ascii="Helvetica" w:hAnsi="Helvetica" w:cs="Helvetica"/>
                <w:b/>
                <w:bCs/>
                <w:sz w:val="22"/>
                <w:szCs w:val="22"/>
                <w:lang w:val="es-CO"/>
              </w:rPr>
            </w:pPr>
            <w:r w:rsidRPr="001B7E14">
              <w:rPr>
                <w:rFonts w:ascii="Helvetica" w:hAnsi="Helvetica" w:cs="Helvetica"/>
                <w:b/>
                <w:bCs/>
                <w:sz w:val="22"/>
                <w:szCs w:val="22"/>
              </w:rPr>
              <w:t xml:space="preserve">Educación </w:t>
            </w:r>
          </w:p>
        </w:tc>
      </w:tr>
      <w:tr w:rsidR="00AD0693" w:rsidRPr="001B7E14" w14:paraId="2F5599C1" w14:textId="77777777" w:rsidTr="00AD0693">
        <w:tc>
          <w:tcPr>
            <w:tcW w:w="1671" w:type="pct"/>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14:paraId="450DC56E" w14:textId="77777777" w:rsidR="00AD0693" w:rsidRPr="001B7E14" w:rsidRDefault="00AD0693" w:rsidP="00FA42BB">
            <w:pPr>
              <w:pStyle w:val="NormalWeb"/>
              <w:spacing w:before="0" w:beforeAutospacing="0" w:after="0"/>
              <w:jc w:val="both"/>
              <w:rPr>
                <w:rFonts w:ascii="Helvetica" w:hAnsi="Helvetica" w:cs="Helvetica"/>
                <w:bCs/>
                <w:i/>
                <w:sz w:val="22"/>
                <w:szCs w:val="22"/>
                <w:lang w:val="es-CO"/>
              </w:rPr>
            </w:pPr>
            <w:r w:rsidRPr="001B7E14">
              <w:rPr>
                <w:rFonts w:ascii="Helvetica" w:hAnsi="Helvetica" w:cs="Helvetica"/>
                <w:bCs/>
                <w:i/>
                <w:sz w:val="22"/>
                <w:szCs w:val="22"/>
                <w:lang w:val="es-CO"/>
              </w:rPr>
              <w:t>Tipo de Entidad</w:t>
            </w:r>
          </w:p>
        </w:tc>
        <w:tc>
          <w:tcPr>
            <w:tcW w:w="3329" w:type="pct"/>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C5BF869"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rPr>
              <w:t xml:space="preserve">Departamento </w:t>
            </w:r>
          </w:p>
        </w:tc>
      </w:tr>
      <w:tr w:rsidR="00AD0693" w:rsidRPr="001B7E14" w14:paraId="6EFDEAC6" w14:textId="77777777" w:rsidTr="00AD0693">
        <w:tc>
          <w:tcPr>
            <w:tcW w:w="1671" w:type="pct"/>
            <w:tcBorders>
              <w:top w:val="single" w:sz="6" w:space="0" w:color="auto"/>
              <w:left w:val="single" w:sz="4" w:space="0" w:color="auto"/>
              <w:bottom w:val="single" w:sz="4" w:space="0" w:color="auto"/>
              <w:right w:val="single" w:sz="6" w:space="0" w:color="auto"/>
            </w:tcBorders>
            <w:shd w:val="clear" w:color="auto" w:fill="DBE5F1" w:themeFill="accent1" w:themeFillTint="33"/>
            <w:hideMark/>
          </w:tcPr>
          <w:p w14:paraId="01F85124" w14:textId="77777777" w:rsidR="00AD0693" w:rsidRPr="001B7E14" w:rsidRDefault="00AD0693" w:rsidP="00FA42BB">
            <w:pPr>
              <w:pStyle w:val="NormalWeb"/>
              <w:spacing w:before="0" w:beforeAutospacing="0" w:after="0"/>
              <w:jc w:val="both"/>
              <w:rPr>
                <w:rFonts w:ascii="Helvetica" w:hAnsi="Helvetica" w:cs="Helvetica"/>
                <w:bCs/>
                <w:i/>
                <w:sz w:val="22"/>
                <w:szCs w:val="22"/>
                <w:lang w:val="es-CO"/>
              </w:rPr>
            </w:pPr>
            <w:r w:rsidRPr="001B7E14">
              <w:rPr>
                <w:rFonts w:ascii="Helvetica" w:hAnsi="Helvetica" w:cs="Helvetica"/>
                <w:bCs/>
                <w:i/>
                <w:sz w:val="22"/>
                <w:szCs w:val="22"/>
                <w:lang w:val="es-CO"/>
              </w:rPr>
              <w:t>Entidad</w:t>
            </w:r>
          </w:p>
        </w:tc>
        <w:tc>
          <w:tcPr>
            <w:tcW w:w="3329" w:type="pct"/>
            <w:tcBorders>
              <w:top w:val="single" w:sz="6" w:space="0" w:color="auto"/>
              <w:left w:val="single" w:sz="6" w:space="0" w:color="auto"/>
              <w:bottom w:val="single" w:sz="4" w:space="0" w:color="auto"/>
              <w:right w:val="single" w:sz="6" w:space="0" w:color="auto"/>
            </w:tcBorders>
            <w:shd w:val="clear" w:color="auto" w:fill="DBE5F1" w:themeFill="accent1" w:themeFillTint="33"/>
            <w:hideMark/>
          </w:tcPr>
          <w:p w14:paraId="2E4D8541"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rPr>
              <w:t xml:space="preserve">GUAINÍA </w:t>
            </w:r>
          </w:p>
        </w:tc>
      </w:tr>
    </w:tbl>
    <w:p w14:paraId="1E24AECF" w14:textId="77777777" w:rsidR="00AD0693" w:rsidRPr="001B7E14" w:rsidRDefault="00AD0693" w:rsidP="00FA42BB">
      <w:pPr>
        <w:jc w:val="both"/>
        <w:rPr>
          <w:rFonts w:ascii="Helvetica" w:hAnsi="Helvetica" w:cs="Helvetica"/>
          <w:sz w:val="22"/>
          <w:szCs w:val="22"/>
          <w:lang w:val="es-CO"/>
        </w:rPr>
      </w:pPr>
    </w:p>
    <w:p w14:paraId="0052FEDD" w14:textId="77777777" w:rsidR="00AD0693" w:rsidRPr="001B7E14" w:rsidRDefault="00AD0693" w:rsidP="00FA42BB">
      <w:pPr>
        <w:pStyle w:val="Ttulo1"/>
        <w:numPr>
          <w:ilvl w:val="0"/>
          <w:numId w:val="22"/>
        </w:numPr>
        <w:spacing w:before="0"/>
        <w:ind w:left="426" w:hanging="426"/>
        <w:jc w:val="both"/>
        <w:rPr>
          <w:rFonts w:ascii="Helvetica" w:hAnsi="Helvetica" w:cs="Helvetica"/>
          <w:b/>
          <w:color w:val="auto"/>
          <w:sz w:val="22"/>
          <w:szCs w:val="22"/>
          <w:lang w:val="es-CO"/>
        </w:rPr>
      </w:pPr>
      <w:r w:rsidRPr="001B7E14">
        <w:rPr>
          <w:rFonts w:ascii="Helvetica" w:hAnsi="Helvetica" w:cs="Helvetica"/>
          <w:b/>
          <w:color w:val="auto"/>
          <w:sz w:val="22"/>
          <w:szCs w:val="22"/>
          <w:lang w:val="es-CO"/>
        </w:rPr>
        <w:t xml:space="preserve">ANTECEDENTES </w:t>
      </w:r>
    </w:p>
    <w:p w14:paraId="0B081897" w14:textId="77777777" w:rsidR="00AD0693" w:rsidRPr="001B7E14" w:rsidRDefault="00AD0693" w:rsidP="00FA42BB">
      <w:pPr>
        <w:jc w:val="both"/>
        <w:rPr>
          <w:rFonts w:ascii="Helvetica" w:hAnsi="Helvetica" w:cs="Helvetica"/>
          <w:sz w:val="22"/>
          <w:szCs w:val="22"/>
          <w:lang w:val="es-CO"/>
        </w:rPr>
      </w:pPr>
    </w:p>
    <w:p w14:paraId="50A40417" w14:textId="77777777" w:rsidR="00AD0693" w:rsidRPr="001B7E14" w:rsidRDefault="00AD0693" w:rsidP="002363E7">
      <w:pPr>
        <w:pStyle w:val="Textoindependiente2"/>
        <w:rPr>
          <w:rFonts w:ascii="Helvetica" w:hAnsi="Helvetica" w:cs="Helvetica"/>
          <w:sz w:val="22"/>
          <w:szCs w:val="22"/>
          <w:lang w:val="es-CO"/>
        </w:rPr>
      </w:pPr>
      <w:r w:rsidRPr="001B7E14">
        <w:rPr>
          <w:rFonts w:ascii="Helvetica" w:hAnsi="Helvetica" w:cs="Helvetica"/>
          <w:sz w:val="22"/>
          <w:szCs w:val="22"/>
          <w:lang w:val="es-CO"/>
        </w:rPr>
        <w:t xml:space="preserve">El Departamento de Guainía fue priorizado para aplicar las actividades de seguimiento y control al uso de recursos del Sistema General de participaciones, </w:t>
      </w:r>
      <w:r w:rsidRPr="001B7E14">
        <w:rPr>
          <w:rFonts w:ascii="Helvetica" w:hAnsi="Helvetica" w:cs="Helvetica"/>
          <w:bCs/>
          <w:sz w:val="22"/>
          <w:szCs w:val="22"/>
          <w:lang w:val="es-CO"/>
        </w:rPr>
        <w:t>incluidas</w:t>
      </w:r>
      <w:r w:rsidRPr="001B7E14">
        <w:rPr>
          <w:rFonts w:ascii="Helvetica" w:hAnsi="Helvetica" w:cs="Helvetica"/>
          <w:sz w:val="22"/>
          <w:szCs w:val="22"/>
          <w:lang w:val="es-CO"/>
        </w:rPr>
        <w:t xml:space="preserve"> en la estrategia a la que se refiere el Decreto 028 de 2008,</w:t>
      </w:r>
      <w:r w:rsidRPr="001B7E14">
        <w:rPr>
          <w:rFonts w:ascii="Helvetica" w:hAnsi="Helvetica" w:cs="Helvetica"/>
          <w:lang w:val="es-CO"/>
        </w:rPr>
        <w:t xml:space="preserve"> </w:t>
      </w:r>
      <w:r w:rsidRPr="001B7E14">
        <w:rPr>
          <w:rFonts w:ascii="Helvetica" w:hAnsi="Helvetica" w:cs="Helvetica"/>
          <w:sz w:val="22"/>
          <w:szCs w:val="22"/>
          <w:lang w:val="es-CO"/>
        </w:rPr>
        <w:t xml:space="preserve">debido a que éste se encontró entre las entidades </w:t>
      </w:r>
      <w:r w:rsidR="002363E7" w:rsidRPr="001B7E14">
        <w:rPr>
          <w:rFonts w:ascii="Helvetica" w:hAnsi="Helvetica" w:cs="Helvetica"/>
          <w:bCs/>
          <w:sz w:val="22"/>
          <w:szCs w:val="22"/>
          <w:lang w:val="es-CO"/>
        </w:rPr>
        <w:t>enmarcadas</w:t>
      </w:r>
      <w:r w:rsidRPr="001B7E14">
        <w:rPr>
          <w:rFonts w:ascii="Helvetica" w:hAnsi="Helvetica" w:cs="Helvetica"/>
          <w:sz w:val="22"/>
          <w:szCs w:val="22"/>
          <w:lang w:val="es-CO"/>
        </w:rPr>
        <w:t xml:space="preserve"> en el rango de riesgo critico-alto del informe de monitoreo enviado por el Ministerio de Educación Nacional</w:t>
      </w:r>
      <w:r w:rsidR="002363E7" w:rsidRPr="001B7E14">
        <w:rPr>
          <w:rFonts w:ascii="Helvetica" w:hAnsi="Helvetica" w:cs="Helvetica"/>
          <w:sz w:val="22"/>
          <w:szCs w:val="22"/>
          <w:lang w:val="es-CO"/>
        </w:rPr>
        <w:t xml:space="preserve"> No. 1-2017-051074 del 4 de julio de 2017</w:t>
      </w:r>
      <w:r w:rsidRPr="001B7E14">
        <w:rPr>
          <w:rFonts w:ascii="Helvetica" w:hAnsi="Helvetica" w:cs="Helvetica"/>
          <w:sz w:val="22"/>
          <w:szCs w:val="22"/>
          <w:lang w:val="es-CO"/>
        </w:rPr>
        <w:t>, el cual indica que en la Entidad Territorial se presentan situaciones que ponen en riesgo la adecuada utilización de los recursos del Sistema General de Participaciones y/o el cumplimiento de las metas de calidad, cobertura y continuidad en la prestación de los servicios financiados con cargo a dichos recursos.</w:t>
      </w:r>
    </w:p>
    <w:p w14:paraId="3F3DC727" w14:textId="77777777" w:rsidR="00172AF3" w:rsidRPr="001B7E14" w:rsidRDefault="00172AF3" w:rsidP="00172AF3">
      <w:pPr>
        <w:autoSpaceDE w:val="0"/>
        <w:autoSpaceDN w:val="0"/>
        <w:adjustRightInd w:val="0"/>
        <w:jc w:val="both"/>
        <w:rPr>
          <w:rFonts w:ascii="Helvetica" w:eastAsia="Calibri" w:hAnsi="Helvetica" w:cs="Helvetica"/>
          <w:sz w:val="22"/>
          <w:szCs w:val="22"/>
          <w:lang w:val="es-CO"/>
        </w:rPr>
      </w:pPr>
    </w:p>
    <w:p w14:paraId="400E07CC" w14:textId="77777777" w:rsidR="00172AF3" w:rsidRPr="001B7E14" w:rsidRDefault="00172AF3" w:rsidP="00172AF3">
      <w:pPr>
        <w:autoSpaceDE w:val="0"/>
        <w:autoSpaceDN w:val="0"/>
        <w:adjustRightInd w:val="0"/>
        <w:jc w:val="both"/>
        <w:rPr>
          <w:rFonts w:ascii="Helvetica" w:eastAsia="Calibri" w:hAnsi="Helvetica" w:cs="Helvetica"/>
          <w:sz w:val="22"/>
          <w:szCs w:val="22"/>
          <w:lang w:val="es-CO"/>
        </w:rPr>
      </w:pPr>
      <w:r w:rsidRPr="001B7E14">
        <w:rPr>
          <w:rFonts w:ascii="Helvetica" w:eastAsia="Calibri" w:hAnsi="Helvetica" w:cs="Helvetica"/>
          <w:sz w:val="22"/>
          <w:szCs w:val="22"/>
          <w:lang w:val="es-CO"/>
        </w:rPr>
        <w:t>En ese sentido,</w:t>
      </w:r>
      <w:r w:rsidR="005910B9">
        <w:rPr>
          <w:rFonts w:ascii="Helvetica" w:eastAsia="Calibri" w:hAnsi="Helvetica" w:cs="Helvetica"/>
          <w:sz w:val="22"/>
          <w:szCs w:val="22"/>
          <w:lang w:val="es-CO"/>
        </w:rPr>
        <w:t xml:space="preserve"> </w:t>
      </w:r>
      <w:r w:rsidRPr="001B7E14">
        <w:rPr>
          <w:rFonts w:ascii="Helvetica" w:eastAsia="Calibri" w:hAnsi="Helvetica" w:cs="Helvetica"/>
          <w:sz w:val="22"/>
          <w:szCs w:val="22"/>
          <w:lang w:val="es-CO"/>
        </w:rPr>
        <w:t>de acuerdo con</w:t>
      </w:r>
      <w:r w:rsidR="00F1195D" w:rsidRPr="001B7E14">
        <w:rPr>
          <w:rFonts w:ascii="Helvetica" w:eastAsia="Calibri" w:hAnsi="Helvetica" w:cs="Helvetica"/>
          <w:sz w:val="22"/>
          <w:szCs w:val="22"/>
          <w:lang w:val="es-CO"/>
        </w:rPr>
        <w:t xml:space="preserve"> los criterios de </w:t>
      </w:r>
      <w:r w:rsidRPr="001B7E14">
        <w:rPr>
          <w:rFonts w:ascii="Helvetica" w:eastAsia="Calibri" w:hAnsi="Helvetica" w:cs="Helvetica"/>
          <w:sz w:val="22"/>
          <w:szCs w:val="22"/>
          <w:lang w:val="es-CO"/>
        </w:rPr>
        <w:t>priorización de entidades</w:t>
      </w:r>
      <w:r w:rsidR="00F1195D" w:rsidRPr="001B7E14">
        <w:rPr>
          <w:rFonts w:ascii="Helvetica" w:eastAsia="Calibri" w:hAnsi="Helvetica" w:cs="Helvetica"/>
          <w:sz w:val="22"/>
          <w:szCs w:val="22"/>
          <w:lang w:val="es-CO"/>
        </w:rPr>
        <w:t>,</w:t>
      </w:r>
      <w:r w:rsidRPr="001B7E14">
        <w:rPr>
          <w:rFonts w:ascii="Helvetica" w:eastAsia="Calibri" w:hAnsi="Helvetica" w:cs="Helvetica"/>
          <w:sz w:val="22"/>
          <w:szCs w:val="22"/>
          <w:lang w:val="es-CO"/>
        </w:rPr>
        <w:t xml:space="preserve"> mediante oficio radicado No.</w:t>
      </w:r>
      <w:r w:rsidRPr="001B7E14">
        <w:rPr>
          <w:rFonts w:ascii="Helvetica" w:hAnsi="Helvetica" w:cs="Helvetica"/>
        </w:rPr>
        <w:t xml:space="preserve"> </w:t>
      </w:r>
      <w:r w:rsidRPr="001B7E14">
        <w:rPr>
          <w:rFonts w:ascii="Helvetica" w:eastAsia="Calibri" w:hAnsi="Helvetica" w:cs="Helvetica"/>
          <w:sz w:val="22"/>
          <w:szCs w:val="22"/>
          <w:lang w:val="es-CO"/>
        </w:rPr>
        <w:t xml:space="preserve">2-2019-025979 del 18 de julio de 2019 y oficio No. 2-2019-040170 del 16 de octubre de 2019 </w:t>
      </w:r>
      <w:r w:rsidR="00F1195D" w:rsidRPr="001B7E14">
        <w:rPr>
          <w:rFonts w:ascii="Helvetica" w:eastAsia="Calibri" w:hAnsi="Helvetica" w:cs="Helvetica"/>
          <w:sz w:val="22"/>
          <w:szCs w:val="22"/>
          <w:lang w:val="es-CO"/>
        </w:rPr>
        <w:t xml:space="preserve">la Dirección General de Apoyo Fiscal </w:t>
      </w:r>
      <w:r w:rsidRPr="001B7E14">
        <w:rPr>
          <w:rFonts w:ascii="Helvetica" w:eastAsia="Calibri" w:hAnsi="Helvetica" w:cs="Helvetica"/>
          <w:sz w:val="22"/>
          <w:szCs w:val="22"/>
          <w:lang w:val="es-CO"/>
        </w:rPr>
        <w:t>solicitó información al Departamento de Guainía, cuya respuesta fue remitida por la entidad territorial mediante el radicado No.</w:t>
      </w:r>
      <w:r w:rsidRPr="001B7E14">
        <w:rPr>
          <w:rFonts w:ascii="Helvetica" w:hAnsi="Helvetica" w:cs="Helvetica"/>
        </w:rPr>
        <w:t xml:space="preserve"> </w:t>
      </w:r>
      <w:r w:rsidRPr="001B7E14">
        <w:rPr>
          <w:rFonts w:ascii="Helvetica" w:eastAsia="Calibri" w:hAnsi="Helvetica" w:cs="Helvetica"/>
          <w:sz w:val="22"/>
          <w:szCs w:val="22"/>
          <w:lang w:val="es-CO"/>
        </w:rPr>
        <w:t>1-2019-097718 del 22 de octubre de 2019, fecha a partir de la cual se procedió a verificar las observaciones remitidas por el Ministerio de Educación Nacional y la documentación suministrada por la Entidad Territorial.</w:t>
      </w:r>
    </w:p>
    <w:p w14:paraId="754DF4C6" w14:textId="77777777" w:rsidR="00172AF3" w:rsidRPr="001B7E14" w:rsidRDefault="00172AF3" w:rsidP="00172AF3">
      <w:pPr>
        <w:autoSpaceDE w:val="0"/>
        <w:autoSpaceDN w:val="0"/>
        <w:adjustRightInd w:val="0"/>
        <w:jc w:val="both"/>
        <w:rPr>
          <w:rFonts w:ascii="Helvetica" w:eastAsia="Calibri" w:hAnsi="Helvetica" w:cs="Helvetica"/>
          <w:sz w:val="22"/>
          <w:szCs w:val="22"/>
          <w:lang w:val="es-CO"/>
        </w:rPr>
      </w:pPr>
    </w:p>
    <w:p w14:paraId="4AB43DB3" w14:textId="77777777" w:rsidR="00F1195D" w:rsidRPr="001B7E14" w:rsidRDefault="00F1195D" w:rsidP="00F1195D">
      <w:pPr>
        <w:jc w:val="both"/>
        <w:rPr>
          <w:rFonts w:ascii="Helvetica" w:eastAsia="Times New Roman" w:hAnsi="Helvetica" w:cs="Helvetica"/>
          <w:sz w:val="22"/>
          <w:szCs w:val="22"/>
          <w:lang w:val="es-CO"/>
        </w:rPr>
      </w:pPr>
      <w:r w:rsidRPr="001B7E14">
        <w:rPr>
          <w:rFonts w:ascii="Helvetica" w:eastAsia="Times New Roman" w:hAnsi="Helvetica" w:cs="Helvetica"/>
          <w:sz w:val="22"/>
          <w:szCs w:val="22"/>
          <w:lang w:val="es-CO"/>
        </w:rPr>
        <w:t>Ahora bien, producto de la declaratoria pandemia por el Coronavirus COVID-19 y en virtud del artículo 6 del Decreto 491 de 2020, la Dirección General de Apoyo Fiscal determinó la necesidad de tomar medidas extraordinarias y urgentes relacionadas con los términos de vigencia de las Medidas Preventivas de Plan de Desempeño adoptadas y vigentes en ese momento, por lo cual entre abril de 2020 y febrero de 2021 se suspendió el término de la vigencia de los planes de desempeño, período durante el cual la Dirección General de Apoyo Fiscal no realizó adopción, evaluación y seguimiento a las medidas.</w:t>
      </w:r>
    </w:p>
    <w:p w14:paraId="7FAFD9E9" w14:textId="77777777" w:rsidR="00F1195D" w:rsidRPr="001B7E14" w:rsidRDefault="00F1195D" w:rsidP="00F1195D">
      <w:pPr>
        <w:jc w:val="both"/>
        <w:rPr>
          <w:rFonts w:ascii="Helvetica" w:eastAsia="Times New Roman" w:hAnsi="Helvetica" w:cs="Helvetica"/>
          <w:sz w:val="22"/>
          <w:szCs w:val="22"/>
          <w:lang w:val="es-CO"/>
        </w:rPr>
      </w:pPr>
    </w:p>
    <w:p w14:paraId="1847B057" w14:textId="77777777" w:rsidR="002363E7" w:rsidRPr="001B7E14" w:rsidRDefault="00172AF3" w:rsidP="00172AF3">
      <w:pPr>
        <w:jc w:val="both"/>
        <w:rPr>
          <w:rFonts w:ascii="Helvetica" w:eastAsia="Times New Roman" w:hAnsi="Helvetica" w:cs="Helvetica"/>
          <w:sz w:val="22"/>
          <w:szCs w:val="22"/>
          <w:lang w:val="es-CO"/>
        </w:rPr>
      </w:pPr>
      <w:r w:rsidRPr="001B7E14">
        <w:rPr>
          <w:rFonts w:ascii="Helvetica" w:eastAsia="Times New Roman" w:hAnsi="Helvetica" w:cs="Helvetica"/>
          <w:sz w:val="22"/>
          <w:szCs w:val="22"/>
          <w:lang w:val="es-CO"/>
        </w:rPr>
        <w:t xml:space="preserve">Una vez revisada la documentación remitida por la entidad territorial, persistía </w:t>
      </w:r>
      <w:r w:rsidR="00F1195D" w:rsidRPr="001B7E14">
        <w:rPr>
          <w:rFonts w:ascii="Helvetica" w:eastAsia="Times New Roman" w:hAnsi="Helvetica" w:cs="Helvetica"/>
          <w:sz w:val="22"/>
          <w:szCs w:val="22"/>
          <w:lang w:val="es-CO"/>
        </w:rPr>
        <w:t xml:space="preserve">el requerimiento </w:t>
      </w:r>
      <w:r w:rsidRPr="001B7E14">
        <w:rPr>
          <w:rFonts w:ascii="Helvetica" w:eastAsia="Times New Roman" w:hAnsi="Helvetica" w:cs="Helvetica"/>
          <w:sz w:val="22"/>
          <w:szCs w:val="22"/>
          <w:lang w:val="es-CO"/>
        </w:rPr>
        <w:t>de información adicional para verificar las situaciones informadas por el Ministerio de Educación Nacional, así como la necesidad de realizar una sesión de asistencia técnica con el Departamento de Guainía, con el objeto de aclarar inquietudes, por lo que se remitió oficio a la entidad con radicado 2-2021-058413 del 04 de noviembre de 2021 y 1-2021-110877 del 13 de diciembre de 2021, este último hace referencia a la solicitud de los compromisos del acta de asistencia técnica.</w:t>
      </w:r>
    </w:p>
    <w:p w14:paraId="1144B447" w14:textId="77777777" w:rsidR="002363E7" w:rsidRPr="001B7E14" w:rsidRDefault="002363E7" w:rsidP="00FA42BB">
      <w:pPr>
        <w:pStyle w:val="Textoindependiente2"/>
        <w:rPr>
          <w:rFonts w:ascii="Helvetica" w:hAnsi="Helvetica" w:cs="Helvetica"/>
          <w:sz w:val="22"/>
          <w:szCs w:val="22"/>
          <w:lang w:val="es-CO"/>
        </w:rPr>
      </w:pPr>
    </w:p>
    <w:p w14:paraId="13C4C3E3" w14:textId="77777777" w:rsidR="00AD0693" w:rsidRPr="001B7E14" w:rsidRDefault="00172AF3" w:rsidP="00FA42BB">
      <w:pPr>
        <w:pStyle w:val="Textoindependiente2"/>
        <w:rPr>
          <w:rFonts w:ascii="Helvetica" w:hAnsi="Helvetica" w:cs="Helvetica"/>
          <w:sz w:val="22"/>
          <w:szCs w:val="22"/>
          <w:lang w:val="es-CO"/>
        </w:rPr>
      </w:pPr>
      <w:r w:rsidRPr="001B7E14">
        <w:rPr>
          <w:rFonts w:ascii="Helvetica" w:hAnsi="Helvetica" w:cs="Helvetica"/>
          <w:sz w:val="22"/>
          <w:szCs w:val="22"/>
          <w:lang w:val="es-CO"/>
        </w:rPr>
        <w:lastRenderedPageBreak/>
        <w:t>L</w:t>
      </w:r>
      <w:r w:rsidR="00AD0693" w:rsidRPr="001B7E14">
        <w:rPr>
          <w:rFonts w:ascii="Helvetica" w:hAnsi="Helvetica" w:cs="Helvetica"/>
          <w:sz w:val="22"/>
          <w:szCs w:val="22"/>
          <w:lang w:val="es-CO"/>
        </w:rPr>
        <w:t xml:space="preserve">o anterior, </w:t>
      </w:r>
      <w:r w:rsidRPr="001B7E14">
        <w:rPr>
          <w:rFonts w:ascii="Helvetica" w:hAnsi="Helvetica" w:cs="Helvetica"/>
          <w:sz w:val="22"/>
          <w:szCs w:val="22"/>
          <w:lang w:val="es-CO"/>
        </w:rPr>
        <w:t>para</w:t>
      </w:r>
      <w:r w:rsidR="00AD0693" w:rsidRPr="001B7E14">
        <w:rPr>
          <w:rFonts w:ascii="Helvetica" w:hAnsi="Helvetica" w:cs="Helvetica"/>
          <w:sz w:val="22"/>
          <w:szCs w:val="22"/>
          <w:lang w:val="es-CO"/>
        </w:rPr>
        <w:t xml:space="preserve"> </w:t>
      </w:r>
      <w:r w:rsidRPr="001B7E14">
        <w:rPr>
          <w:rFonts w:ascii="Helvetica" w:hAnsi="Helvetica" w:cs="Helvetica"/>
          <w:sz w:val="22"/>
          <w:szCs w:val="22"/>
          <w:lang w:val="es-CO"/>
        </w:rPr>
        <w:t>continuar con</w:t>
      </w:r>
      <w:r w:rsidR="00AD0693" w:rsidRPr="001B7E14">
        <w:rPr>
          <w:rFonts w:ascii="Helvetica" w:hAnsi="Helvetica" w:cs="Helvetica"/>
          <w:sz w:val="22"/>
          <w:szCs w:val="22"/>
          <w:lang w:val="es-CO"/>
        </w:rPr>
        <w:t xml:space="preserve"> las actividades de seguimiento y control </w:t>
      </w:r>
      <w:r w:rsidRPr="001B7E14">
        <w:rPr>
          <w:rFonts w:ascii="Helvetica" w:hAnsi="Helvetica" w:cs="Helvetica"/>
          <w:sz w:val="22"/>
          <w:szCs w:val="22"/>
          <w:lang w:val="es-CO"/>
        </w:rPr>
        <w:t>en dicho Departamento y contar con la</w:t>
      </w:r>
      <w:r w:rsidR="005910B9">
        <w:rPr>
          <w:rFonts w:ascii="Helvetica" w:hAnsi="Helvetica" w:cs="Helvetica"/>
          <w:sz w:val="22"/>
          <w:szCs w:val="22"/>
          <w:lang w:val="es-CO"/>
        </w:rPr>
        <w:t xml:space="preserve"> </w:t>
      </w:r>
      <w:r w:rsidRPr="001B7E14">
        <w:rPr>
          <w:rFonts w:ascii="Helvetica" w:hAnsi="Helvetica" w:cs="Helvetica"/>
          <w:sz w:val="22"/>
          <w:szCs w:val="22"/>
          <w:lang w:val="es-CO"/>
        </w:rPr>
        <w:t>información básica</w:t>
      </w:r>
      <w:r w:rsidR="005910B9">
        <w:rPr>
          <w:rFonts w:ascii="Helvetica" w:hAnsi="Helvetica" w:cs="Helvetica"/>
          <w:sz w:val="22"/>
          <w:szCs w:val="22"/>
          <w:lang w:val="es-CO"/>
        </w:rPr>
        <w:t xml:space="preserve"> </w:t>
      </w:r>
      <w:r w:rsidR="00AD0693" w:rsidRPr="001B7E14">
        <w:rPr>
          <w:rFonts w:ascii="Helvetica" w:hAnsi="Helvetica" w:cs="Helvetica"/>
          <w:sz w:val="22"/>
          <w:szCs w:val="22"/>
          <w:lang w:val="es-CO"/>
        </w:rPr>
        <w:t>de la entidad territorial conducente a identificar los problemas que ponen en riesgo la adecuada utilización de los recursos del Sistema General de Participaciones</w:t>
      </w:r>
    </w:p>
    <w:p w14:paraId="7E9BA8DD" w14:textId="77777777" w:rsidR="00AD0693" w:rsidRPr="001B7E14" w:rsidRDefault="00AD0693" w:rsidP="00FA42BB">
      <w:pPr>
        <w:jc w:val="both"/>
        <w:rPr>
          <w:rFonts w:ascii="Helvetica" w:hAnsi="Helvetica" w:cs="Helvetica"/>
          <w:sz w:val="22"/>
          <w:szCs w:val="22"/>
          <w:lang w:val="es-CO"/>
        </w:rPr>
      </w:pPr>
    </w:p>
    <w:p w14:paraId="34AA187A" w14:textId="77777777" w:rsidR="00AD0693" w:rsidRPr="001B7E14" w:rsidRDefault="00AD0693" w:rsidP="00FA42BB">
      <w:pPr>
        <w:pStyle w:val="Ttulo1"/>
        <w:numPr>
          <w:ilvl w:val="0"/>
          <w:numId w:val="22"/>
        </w:numPr>
        <w:spacing w:before="0"/>
        <w:ind w:left="426" w:hanging="426"/>
        <w:jc w:val="both"/>
        <w:rPr>
          <w:rFonts w:ascii="Helvetica" w:hAnsi="Helvetica" w:cs="Helvetica"/>
          <w:b/>
          <w:color w:val="auto"/>
          <w:sz w:val="22"/>
          <w:szCs w:val="22"/>
          <w:lang w:val="es-CO"/>
        </w:rPr>
      </w:pPr>
      <w:r w:rsidRPr="001B7E14">
        <w:rPr>
          <w:rFonts w:ascii="Helvetica" w:hAnsi="Helvetica" w:cs="Helvetica"/>
          <w:b/>
          <w:color w:val="auto"/>
          <w:sz w:val="22"/>
          <w:szCs w:val="22"/>
          <w:lang w:val="es-CO"/>
        </w:rPr>
        <w:t xml:space="preserve">CARACTERIZACIÓN </w:t>
      </w:r>
    </w:p>
    <w:p w14:paraId="7C79D343" w14:textId="77777777" w:rsidR="00AD0693" w:rsidRPr="001B7E14" w:rsidRDefault="00F1195D" w:rsidP="00FA42BB">
      <w:pPr>
        <w:jc w:val="center"/>
        <w:rPr>
          <w:rFonts w:ascii="Helvetica" w:hAnsi="Helvetica" w:cs="Helvetica"/>
          <w:b/>
          <w:sz w:val="22"/>
          <w:szCs w:val="22"/>
          <w:lang w:val="es-CO"/>
        </w:rPr>
      </w:pPr>
      <w:r w:rsidRPr="001B7E14">
        <w:rPr>
          <w:rFonts w:ascii="Helvetica" w:hAnsi="Helvetica" w:cs="Helvetica"/>
          <w:noProof/>
        </w:rPr>
        <w:drawing>
          <wp:inline distT="0" distB="0" distL="0" distR="0" wp14:anchorId="68C6F003" wp14:editId="32F2A1CB">
            <wp:extent cx="5612027" cy="5818794"/>
            <wp:effectExtent l="0" t="0" r="8255" b="0"/>
            <wp:docPr id="138777486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5297" cy="5822185"/>
                    </a:xfrm>
                    <a:prstGeom prst="rect">
                      <a:avLst/>
                    </a:prstGeom>
                    <a:noFill/>
                    <a:ln>
                      <a:noFill/>
                    </a:ln>
                  </pic:spPr>
                </pic:pic>
              </a:graphicData>
            </a:graphic>
          </wp:inline>
        </w:drawing>
      </w:r>
    </w:p>
    <w:p w14:paraId="68AAB476" w14:textId="77777777" w:rsidR="00AD0693" w:rsidRPr="001B7E14" w:rsidRDefault="00AD0693" w:rsidP="00FA42BB">
      <w:pPr>
        <w:jc w:val="both"/>
        <w:rPr>
          <w:rFonts w:ascii="Helvetica" w:hAnsi="Helvetica" w:cs="Helvetica"/>
          <w:sz w:val="22"/>
          <w:szCs w:val="22"/>
          <w:lang w:val="es-CO"/>
        </w:rPr>
      </w:pPr>
    </w:p>
    <w:p w14:paraId="77DA0E45" w14:textId="77777777" w:rsidR="00AD0693" w:rsidRPr="001B7E14" w:rsidRDefault="00AD0693" w:rsidP="00FA42BB">
      <w:pPr>
        <w:pStyle w:val="Ttulo1"/>
        <w:numPr>
          <w:ilvl w:val="0"/>
          <w:numId w:val="22"/>
        </w:numPr>
        <w:spacing w:before="0"/>
        <w:ind w:left="426" w:hanging="426"/>
        <w:jc w:val="both"/>
        <w:rPr>
          <w:rFonts w:ascii="Helvetica" w:hAnsi="Helvetica" w:cs="Helvetica"/>
          <w:b/>
          <w:color w:val="auto"/>
          <w:sz w:val="22"/>
          <w:szCs w:val="22"/>
          <w:lang w:val="es-CO"/>
        </w:rPr>
      </w:pPr>
      <w:r w:rsidRPr="001B7E14">
        <w:rPr>
          <w:rFonts w:ascii="Helvetica" w:hAnsi="Helvetica" w:cs="Helvetica"/>
          <w:b/>
          <w:color w:val="auto"/>
          <w:sz w:val="22"/>
          <w:szCs w:val="22"/>
          <w:lang w:val="es-CO"/>
        </w:rPr>
        <w:t xml:space="preserve">ANÁLISIS FINANCIERO </w:t>
      </w:r>
    </w:p>
    <w:p w14:paraId="0362737E" w14:textId="77777777" w:rsidR="00AD0693" w:rsidRPr="001B7E14" w:rsidRDefault="00AD0693" w:rsidP="00FA42BB">
      <w:pPr>
        <w:jc w:val="both"/>
        <w:rPr>
          <w:rFonts w:ascii="Helvetica" w:hAnsi="Helvetica" w:cs="Helvetica"/>
          <w:sz w:val="22"/>
          <w:szCs w:val="22"/>
          <w:lang w:val="es-CO"/>
        </w:rPr>
      </w:pPr>
    </w:p>
    <w:p w14:paraId="72F55727" w14:textId="77777777" w:rsidR="00AD0693" w:rsidRPr="001B7E14" w:rsidRDefault="00AD0693" w:rsidP="00FA42BB">
      <w:pPr>
        <w:pStyle w:val="Ttulo2"/>
        <w:spacing w:before="0"/>
        <w:rPr>
          <w:rFonts w:ascii="Helvetica" w:hAnsi="Helvetica" w:cs="Helvetica"/>
          <w:b/>
          <w:bCs/>
          <w:color w:val="auto"/>
          <w:sz w:val="22"/>
          <w:szCs w:val="22"/>
          <w:lang w:val="es-CO"/>
        </w:rPr>
      </w:pPr>
      <w:r w:rsidRPr="001B7E14">
        <w:rPr>
          <w:rFonts w:ascii="Helvetica" w:hAnsi="Helvetica" w:cs="Helvetica"/>
          <w:b/>
          <w:bCs/>
          <w:color w:val="auto"/>
          <w:sz w:val="22"/>
          <w:szCs w:val="22"/>
          <w:lang w:val="es-CO"/>
        </w:rPr>
        <w:t>Ingresos</w:t>
      </w:r>
    </w:p>
    <w:p w14:paraId="491D5DB7" w14:textId="77777777" w:rsidR="00AD0693" w:rsidRPr="001B7E14" w:rsidRDefault="00AD0693" w:rsidP="00FA42BB">
      <w:pPr>
        <w:jc w:val="both"/>
        <w:rPr>
          <w:rFonts w:ascii="Helvetica" w:hAnsi="Helvetica" w:cs="Helvetica"/>
          <w:b/>
          <w:bCs/>
          <w:sz w:val="22"/>
          <w:szCs w:val="22"/>
          <w:lang w:val="es-CO"/>
        </w:rPr>
      </w:pPr>
    </w:p>
    <w:p w14:paraId="06A11AB6" w14:textId="77777777" w:rsidR="00AD0693" w:rsidRPr="001B7E14" w:rsidRDefault="00AD0693" w:rsidP="00FA42BB">
      <w:pPr>
        <w:jc w:val="both"/>
        <w:rPr>
          <w:rFonts w:ascii="Helvetica" w:eastAsia="Times New Roman" w:hAnsi="Helvetica" w:cs="Helvetica"/>
          <w:sz w:val="22"/>
          <w:szCs w:val="22"/>
          <w:lang w:eastAsia="es-CO"/>
        </w:rPr>
      </w:pPr>
      <w:r w:rsidRPr="001B7E14">
        <w:rPr>
          <w:rFonts w:ascii="Helvetica" w:eastAsia="Times New Roman" w:hAnsi="Helvetica" w:cs="Helvetica"/>
          <w:sz w:val="22"/>
          <w:szCs w:val="22"/>
          <w:lang w:eastAsia="es-CO"/>
        </w:rPr>
        <w:t>En el escenario financiero, durante la vigencia 202</w:t>
      </w:r>
      <w:r w:rsidR="00531CE6" w:rsidRPr="001B7E14">
        <w:rPr>
          <w:rFonts w:ascii="Helvetica" w:eastAsia="Times New Roman" w:hAnsi="Helvetica" w:cs="Helvetica"/>
          <w:sz w:val="22"/>
          <w:szCs w:val="22"/>
          <w:lang w:eastAsia="es-CO"/>
        </w:rPr>
        <w:t>1</w:t>
      </w:r>
      <w:r w:rsidRPr="001B7E14">
        <w:rPr>
          <w:rFonts w:ascii="Helvetica" w:eastAsia="Times New Roman" w:hAnsi="Helvetica" w:cs="Helvetica"/>
          <w:sz w:val="22"/>
          <w:szCs w:val="22"/>
          <w:lang w:eastAsia="es-CO"/>
        </w:rPr>
        <w:t xml:space="preserve"> se asignaron al Departamento</w:t>
      </w:r>
      <w:r w:rsidR="00507D31" w:rsidRPr="001B7E14">
        <w:rPr>
          <w:rFonts w:ascii="Helvetica" w:eastAsia="Times New Roman" w:hAnsi="Helvetica" w:cs="Helvetica"/>
          <w:sz w:val="22"/>
          <w:szCs w:val="22"/>
          <w:lang w:eastAsia="es-CO"/>
        </w:rPr>
        <w:t xml:space="preserve"> </w:t>
      </w:r>
      <w:r w:rsidR="00531CE6" w:rsidRPr="001B7E14">
        <w:rPr>
          <w:rFonts w:ascii="Helvetica" w:eastAsia="Times New Roman" w:hAnsi="Helvetica" w:cs="Helvetica"/>
          <w:sz w:val="22"/>
          <w:szCs w:val="22"/>
          <w:lang w:eastAsia="es-CO"/>
        </w:rPr>
        <w:t>$66.128 millones del SGP-Educación $65.524 millones para prestación del servicio, $378 millones para Calidad Matrícula Oficial, $41 millones para Calidad – Gratuidad y $185 millones para Cancelaciones. En 2022</w:t>
      </w:r>
      <w:r w:rsidRPr="001B7E14">
        <w:rPr>
          <w:rFonts w:ascii="Helvetica" w:eastAsia="Times New Roman" w:hAnsi="Helvetica" w:cs="Helvetica"/>
          <w:sz w:val="22"/>
          <w:szCs w:val="22"/>
          <w:lang w:eastAsia="es-CO"/>
        </w:rPr>
        <w:t xml:space="preserve"> fueron asignados</w:t>
      </w:r>
      <w:r w:rsidR="00531CE6" w:rsidRPr="001B7E14">
        <w:rPr>
          <w:rFonts w:ascii="Helvetica" w:eastAsia="Times New Roman" w:hAnsi="Helvetica" w:cs="Helvetica"/>
          <w:sz w:val="22"/>
          <w:szCs w:val="22"/>
          <w:lang w:eastAsia="es-CO"/>
        </w:rPr>
        <w:t xml:space="preserve"> $70.881 millones del SGP-Educación $70.091 millones para prestación del servicio, $443 millones para Calidad Matrícula Oficial, $132 millones para Calidad – Gratuidad y $ 216 millones para Cancelaciones</w:t>
      </w:r>
      <w:r w:rsidRPr="001B7E14">
        <w:rPr>
          <w:rFonts w:ascii="Helvetica" w:eastAsia="Times New Roman" w:hAnsi="Helvetica" w:cs="Helvetica"/>
          <w:sz w:val="22"/>
          <w:szCs w:val="22"/>
          <w:lang w:eastAsia="es-CO"/>
        </w:rPr>
        <w:t>.</w:t>
      </w:r>
    </w:p>
    <w:p w14:paraId="6D8A7ACD" w14:textId="77777777" w:rsidR="00001915" w:rsidRPr="001B7E14" w:rsidRDefault="00001915" w:rsidP="00FA42BB">
      <w:pPr>
        <w:jc w:val="both"/>
        <w:rPr>
          <w:rFonts w:ascii="Helvetica" w:eastAsia="Times New Roman" w:hAnsi="Helvetica" w:cs="Helvetica"/>
          <w:sz w:val="22"/>
          <w:szCs w:val="22"/>
          <w:lang w:eastAsia="es-CO"/>
        </w:rPr>
      </w:pPr>
    </w:p>
    <w:tbl>
      <w:tblPr>
        <w:tblW w:w="5000" w:type="pct"/>
        <w:jc w:val="center"/>
        <w:tblCellMar>
          <w:left w:w="70" w:type="dxa"/>
          <w:right w:w="70" w:type="dxa"/>
        </w:tblCellMar>
        <w:tblLook w:val="04A0" w:firstRow="1" w:lastRow="0" w:firstColumn="1" w:lastColumn="0" w:noHBand="0" w:noVBand="1"/>
      </w:tblPr>
      <w:tblGrid>
        <w:gridCol w:w="4012"/>
        <w:gridCol w:w="1605"/>
        <w:gridCol w:w="1603"/>
        <w:gridCol w:w="1608"/>
      </w:tblGrid>
      <w:tr w:rsidR="00001915" w:rsidRPr="001B7E14" w14:paraId="39303719" w14:textId="77777777" w:rsidTr="00F1195D">
        <w:trPr>
          <w:trHeight w:val="2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000000" w:fill="203764"/>
            <w:vAlign w:val="center"/>
            <w:hideMark/>
          </w:tcPr>
          <w:p w14:paraId="7495FDA2" w14:textId="77777777" w:rsidR="00001915" w:rsidRPr="001B7E14" w:rsidRDefault="00001915" w:rsidP="00001915">
            <w:pPr>
              <w:jc w:val="center"/>
              <w:rPr>
                <w:rFonts w:ascii="Helvetica" w:eastAsia="Times New Roman" w:hAnsi="Helvetica" w:cs="Helvetica"/>
                <w:b/>
                <w:bCs/>
                <w:color w:val="FFFFFF"/>
                <w:sz w:val="18"/>
                <w:szCs w:val="18"/>
                <w:lang w:val="es-CO" w:eastAsia="es-CO"/>
              </w:rPr>
            </w:pPr>
            <w:r w:rsidRPr="001B7E14">
              <w:rPr>
                <w:rFonts w:ascii="Helvetica" w:eastAsia="Times New Roman" w:hAnsi="Helvetica" w:cs="Helvetica"/>
                <w:b/>
                <w:bCs/>
                <w:color w:val="FFFFFF"/>
                <w:sz w:val="18"/>
                <w:szCs w:val="18"/>
                <w:lang w:val="es-CO" w:eastAsia="es-CO"/>
              </w:rPr>
              <w:t xml:space="preserve">TABLA1. INGRESOS A DICIEMBRE DE 2020, 2021 y 2022 </w:t>
            </w:r>
          </w:p>
        </w:tc>
      </w:tr>
      <w:tr w:rsidR="00001915" w:rsidRPr="001B7E14" w14:paraId="6E745F75" w14:textId="77777777" w:rsidTr="00F1195D">
        <w:trPr>
          <w:trHeight w:val="2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000000" w:fill="203764"/>
            <w:vAlign w:val="center"/>
            <w:hideMark/>
          </w:tcPr>
          <w:p w14:paraId="09BE8EAE" w14:textId="77777777" w:rsidR="00001915" w:rsidRPr="001B7E14" w:rsidRDefault="00001915" w:rsidP="00001915">
            <w:pPr>
              <w:jc w:val="center"/>
              <w:rPr>
                <w:rFonts w:ascii="Helvetica" w:eastAsia="Times New Roman" w:hAnsi="Helvetica" w:cs="Helvetica"/>
                <w:b/>
                <w:bCs/>
                <w:color w:val="FFFFFF"/>
                <w:sz w:val="18"/>
                <w:szCs w:val="18"/>
                <w:lang w:val="es-CO" w:eastAsia="es-CO"/>
              </w:rPr>
            </w:pPr>
            <w:r w:rsidRPr="001B7E14">
              <w:rPr>
                <w:rFonts w:ascii="Helvetica" w:eastAsia="Times New Roman" w:hAnsi="Helvetica" w:cs="Helvetica"/>
                <w:b/>
                <w:bCs/>
                <w:color w:val="FFFFFF"/>
                <w:sz w:val="18"/>
                <w:szCs w:val="18"/>
                <w:lang w:val="es-CO" w:eastAsia="es-CO"/>
              </w:rPr>
              <w:t xml:space="preserve"> (MILLONES DE $) </w:t>
            </w:r>
          </w:p>
        </w:tc>
      </w:tr>
      <w:tr w:rsidR="00001915" w:rsidRPr="001B7E14" w14:paraId="05F7026A" w14:textId="77777777" w:rsidTr="00F1195D">
        <w:trPr>
          <w:trHeight w:val="20"/>
          <w:jc w:val="center"/>
        </w:trPr>
        <w:tc>
          <w:tcPr>
            <w:tcW w:w="2272" w:type="pct"/>
            <w:vMerge w:val="restart"/>
            <w:tcBorders>
              <w:top w:val="nil"/>
              <w:left w:val="single" w:sz="4" w:space="0" w:color="auto"/>
              <w:bottom w:val="single" w:sz="4" w:space="0" w:color="auto"/>
              <w:right w:val="single" w:sz="4" w:space="0" w:color="auto"/>
            </w:tcBorders>
            <w:shd w:val="clear" w:color="000000" w:fill="8EA9DB"/>
            <w:vAlign w:val="center"/>
            <w:hideMark/>
          </w:tcPr>
          <w:p w14:paraId="017EF8D4" w14:textId="77777777" w:rsidR="00001915" w:rsidRPr="001B7E14" w:rsidRDefault="00001915" w:rsidP="00001915">
            <w:pPr>
              <w:jc w:val="center"/>
              <w:rPr>
                <w:rFonts w:ascii="Helvetica" w:eastAsia="Times New Roman" w:hAnsi="Helvetica" w:cs="Helvetica"/>
                <w:b/>
                <w:bCs/>
                <w:sz w:val="18"/>
                <w:szCs w:val="18"/>
                <w:lang w:val="es-CO" w:eastAsia="es-CO"/>
              </w:rPr>
            </w:pPr>
            <w:r w:rsidRPr="001B7E14">
              <w:rPr>
                <w:rFonts w:ascii="Helvetica" w:eastAsia="Times New Roman" w:hAnsi="Helvetica" w:cs="Helvetica"/>
                <w:b/>
                <w:bCs/>
                <w:sz w:val="18"/>
                <w:szCs w:val="18"/>
                <w:lang w:val="es-CO" w:eastAsia="es-CO"/>
              </w:rPr>
              <w:t xml:space="preserve"> CONCEPTOS </w:t>
            </w:r>
          </w:p>
        </w:tc>
        <w:tc>
          <w:tcPr>
            <w:tcW w:w="2728" w:type="pct"/>
            <w:gridSpan w:val="3"/>
            <w:tcBorders>
              <w:top w:val="single" w:sz="4" w:space="0" w:color="auto"/>
              <w:left w:val="nil"/>
              <w:bottom w:val="single" w:sz="4" w:space="0" w:color="auto"/>
              <w:right w:val="single" w:sz="4" w:space="0" w:color="auto"/>
            </w:tcBorders>
            <w:shd w:val="clear" w:color="000000" w:fill="8EA9DB"/>
            <w:vAlign w:val="center"/>
            <w:hideMark/>
          </w:tcPr>
          <w:p w14:paraId="7F1C9116" w14:textId="77777777" w:rsidR="00001915" w:rsidRPr="001B7E14" w:rsidRDefault="00001915" w:rsidP="00001915">
            <w:pPr>
              <w:jc w:val="center"/>
              <w:rPr>
                <w:rFonts w:ascii="Helvetica" w:eastAsia="Times New Roman" w:hAnsi="Helvetica" w:cs="Helvetica"/>
                <w:b/>
                <w:bCs/>
                <w:sz w:val="18"/>
                <w:szCs w:val="18"/>
                <w:lang w:val="es-CO" w:eastAsia="es-CO"/>
              </w:rPr>
            </w:pPr>
            <w:r w:rsidRPr="001B7E14">
              <w:rPr>
                <w:rFonts w:ascii="Helvetica" w:eastAsia="Times New Roman" w:hAnsi="Helvetica" w:cs="Helvetica"/>
                <w:b/>
                <w:bCs/>
                <w:sz w:val="18"/>
                <w:szCs w:val="18"/>
                <w:lang w:val="es-CO" w:eastAsia="es-CO"/>
              </w:rPr>
              <w:t>VIGENCIAS</w:t>
            </w:r>
          </w:p>
        </w:tc>
      </w:tr>
      <w:tr w:rsidR="00001915" w:rsidRPr="001B7E14" w14:paraId="766DE864" w14:textId="77777777" w:rsidTr="00F1195D">
        <w:trPr>
          <w:trHeight w:val="20"/>
          <w:jc w:val="center"/>
        </w:trPr>
        <w:tc>
          <w:tcPr>
            <w:tcW w:w="2272" w:type="pct"/>
            <w:vMerge/>
            <w:tcBorders>
              <w:top w:val="nil"/>
              <w:left w:val="single" w:sz="4" w:space="0" w:color="auto"/>
              <w:bottom w:val="single" w:sz="4" w:space="0" w:color="auto"/>
              <w:right w:val="single" w:sz="4" w:space="0" w:color="auto"/>
            </w:tcBorders>
            <w:vAlign w:val="center"/>
            <w:hideMark/>
          </w:tcPr>
          <w:p w14:paraId="70246077" w14:textId="77777777" w:rsidR="00001915" w:rsidRPr="001B7E14" w:rsidRDefault="00001915" w:rsidP="00001915">
            <w:pPr>
              <w:rPr>
                <w:rFonts w:ascii="Helvetica" w:eastAsia="Times New Roman" w:hAnsi="Helvetica" w:cs="Helvetica"/>
                <w:b/>
                <w:bCs/>
                <w:sz w:val="18"/>
                <w:szCs w:val="18"/>
                <w:lang w:val="es-CO" w:eastAsia="es-CO"/>
              </w:rPr>
            </w:pPr>
          </w:p>
        </w:tc>
        <w:tc>
          <w:tcPr>
            <w:tcW w:w="909" w:type="pct"/>
            <w:tcBorders>
              <w:top w:val="nil"/>
              <w:left w:val="nil"/>
              <w:bottom w:val="single" w:sz="4" w:space="0" w:color="auto"/>
              <w:right w:val="single" w:sz="4" w:space="0" w:color="auto"/>
            </w:tcBorders>
            <w:shd w:val="clear" w:color="000000" w:fill="8EA9DB"/>
            <w:vAlign w:val="center"/>
            <w:hideMark/>
          </w:tcPr>
          <w:p w14:paraId="3E95ABC4" w14:textId="77777777" w:rsidR="00001915" w:rsidRPr="001B7E14" w:rsidRDefault="00001915" w:rsidP="00001915">
            <w:pPr>
              <w:jc w:val="center"/>
              <w:rPr>
                <w:rFonts w:ascii="Helvetica" w:eastAsia="Times New Roman" w:hAnsi="Helvetica" w:cs="Helvetica"/>
                <w:b/>
                <w:bCs/>
                <w:sz w:val="18"/>
                <w:szCs w:val="18"/>
                <w:lang w:val="es-CO" w:eastAsia="es-CO"/>
              </w:rPr>
            </w:pPr>
            <w:r w:rsidRPr="001B7E14">
              <w:rPr>
                <w:rFonts w:ascii="Helvetica" w:eastAsia="Times New Roman" w:hAnsi="Helvetica" w:cs="Helvetica"/>
                <w:b/>
                <w:bCs/>
                <w:sz w:val="18"/>
                <w:szCs w:val="18"/>
                <w:lang w:val="es-CO" w:eastAsia="es-CO"/>
              </w:rPr>
              <w:t>2020</w:t>
            </w:r>
          </w:p>
        </w:tc>
        <w:tc>
          <w:tcPr>
            <w:tcW w:w="908" w:type="pct"/>
            <w:tcBorders>
              <w:top w:val="nil"/>
              <w:left w:val="nil"/>
              <w:bottom w:val="single" w:sz="4" w:space="0" w:color="auto"/>
              <w:right w:val="single" w:sz="4" w:space="0" w:color="auto"/>
            </w:tcBorders>
            <w:shd w:val="clear" w:color="000000" w:fill="8EA9DB"/>
            <w:vAlign w:val="center"/>
            <w:hideMark/>
          </w:tcPr>
          <w:p w14:paraId="0EEB65D5" w14:textId="77777777" w:rsidR="00001915" w:rsidRPr="001B7E14" w:rsidRDefault="00001915" w:rsidP="00001915">
            <w:pPr>
              <w:jc w:val="center"/>
              <w:rPr>
                <w:rFonts w:ascii="Helvetica" w:eastAsia="Times New Roman" w:hAnsi="Helvetica" w:cs="Helvetica"/>
                <w:b/>
                <w:bCs/>
                <w:sz w:val="18"/>
                <w:szCs w:val="18"/>
                <w:lang w:val="es-CO" w:eastAsia="es-CO"/>
              </w:rPr>
            </w:pPr>
            <w:r w:rsidRPr="001B7E14">
              <w:rPr>
                <w:rFonts w:ascii="Helvetica" w:eastAsia="Times New Roman" w:hAnsi="Helvetica" w:cs="Helvetica"/>
                <w:b/>
                <w:bCs/>
                <w:sz w:val="18"/>
                <w:szCs w:val="18"/>
                <w:lang w:val="es-CO" w:eastAsia="es-CO"/>
              </w:rPr>
              <w:t>2021</w:t>
            </w:r>
          </w:p>
        </w:tc>
        <w:tc>
          <w:tcPr>
            <w:tcW w:w="911" w:type="pct"/>
            <w:tcBorders>
              <w:top w:val="nil"/>
              <w:left w:val="nil"/>
              <w:bottom w:val="single" w:sz="4" w:space="0" w:color="auto"/>
              <w:right w:val="single" w:sz="4" w:space="0" w:color="auto"/>
            </w:tcBorders>
            <w:shd w:val="clear" w:color="000000" w:fill="8EA9DB"/>
            <w:vAlign w:val="center"/>
            <w:hideMark/>
          </w:tcPr>
          <w:p w14:paraId="77AE57DE" w14:textId="77777777" w:rsidR="00001915" w:rsidRPr="001B7E14" w:rsidRDefault="00001915" w:rsidP="00001915">
            <w:pPr>
              <w:jc w:val="center"/>
              <w:rPr>
                <w:rFonts w:ascii="Helvetica" w:eastAsia="Times New Roman" w:hAnsi="Helvetica" w:cs="Helvetica"/>
                <w:b/>
                <w:bCs/>
                <w:sz w:val="18"/>
                <w:szCs w:val="18"/>
                <w:lang w:val="es-CO" w:eastAsia="es-CO"/>
              </w:rPr>
            </w:pPr>
            <w:r w:rsidRPr="001B7E14">
              <w:rPr>
                <w:rFonts w:ascii="Helvetica" w:eastAsia="Times New Roman" w:hAnsi="Helvetica" w:cs="Helvetica"/>
                <w:b/>
                <w:bCs/>
                <w:sz w:val="18"/>
                <w:szCs w:val="18"/>
                <w:lang w:val="es-CO" w:eastAsia="es-CO"/>
              </w:rPr>
              <w:t>2022</w:t>
            </w:r>
          </w:p>
        </w:tc>
      </w:tr>
      <w:tr w:rsidR="00001915" w:rsidRPr="001B7E14" w14:paraId="6761A69F"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auto" w:fill="auto"/>
            <w:vAlign w:val="center"/>
            <w:hideMark/>
          </w:tcPr>
          <w:p w14:paraId="71793132" w14:textId="77777777" w:rsidR="00001915" w:rsidRPr="001B7E14" w:rsidRDefault="00001915" w:rsidP="00001915">
            <w:pPr>
              <w:jc w:val="cente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Asignación SGP-educación </w:t>
            </w:r>
          </w:p>
        </w:tc>
        <w:tc>
          <w:tcPr>
            <w:tcW w:w="909" w:type="pct"/>
            <w:tcBorders>
              <w:top w:val="nil"/>
              <w:left w:val="nil"/>
              <w:bottom w:val="single" w:sz="4" w:space="0" w:color="auto"/>
              <w:right w:val="single" w:sz="4" w:space="0" w:color="auto"/>
            </w:tcBorders>
            <w:shd w:val="clear" w:color="000000" w:fill="FFFFFF"/>
            <w:vAlign w:val="center"/>
            <w:hideMark/>
          </w:tcPr>
          <w:p w14:paraId="51614885" w14:textId="77777777" w:rsidR="00001915" w:rsidRPr="001B7E14" w:rsidRDefault="00001915" w:rsidP="00001915">
            <w:pPr>
              <w:jc w:val="right"/>
              <w:rPr>
                <w:rFonts w:ascii="Helvetica" w:eastAsia="Times New Roman" w:hAnsi="Helvetica" w:cs="Helvetica"/>
                <w:sz w:val="18"/>
                <w:szCs w:val="18"/>
                <w:lang w:val="es-CO" w:eastAsia="es-CO"/>
              </w:rPr>
            </w:pPr>
            <w:r w:rsidRPr="001B7E14">
              <w:rPr>
                <w:rFonts w:ascii="Helvetica" w:eastAsia="Times New Roman" w:hAnsi="Helvetica" w:cs="Helvetica"/>
                <w:sz w:val="18"/>
                <w:szCs w:val="18"/>
                <w:lang w:val="es-CO" w:eastAsia="es-CO"/>
              </w:rPr>
              <w:t xml:space="preserve"> 58.269 </w:t>
            </w:r>
          </w:p>
        </w:tc>
        <w:tc>
          <w:tcPr>
            <w:tcW w:w="908" w:type="pct"/>
            <w:tcBorders>
              <w:top w:val="nil"/>
              <w:left w:val="nil"/>
              <w:bottom w:val="single" w:sz="4" w:space="0" w:color="auto"/>
              <w:right w:val="single" w:sz="4" w:space="0" w:color="auto"/>
            </w:tcBorders>
            <w:shd w:val="clear" w:color="000000" w:fill="FFFFFF"/>
            <w:vAlign w:val="center"/>
            <w:hideMark/>
          </w:tcPr>
          <w:p w14:paraId="1C27EBD0" w14:textId="77777777" w:rsidR="00001915" w:rsidRPr="001B7E14" w:rsidRDefault="00001915" w:rsidP="00001915">
            <w:pPr>
              <w:jc w:val="right"/>
              <w:rPr>
                <w:rFonts w:ascii="Helvetica" w:eastAsia="Times New Roman" w:hAnsi="Helvetica" w:cs="Helvetica"/>
                <w:sz w:val="18"/>
                <w:szCs w:val="18"/>
                <w:lang w:val="es-CO" w:eastAsia="es-CO"/>
              </w:rPr>
            </w:pPr>
            <w:r w:rsidRPr="001B7E14">
              <w:rPr>
                <w:rFonts w:ascii="Helvetica" w:eastAsia="Times New Roman" w:hAnsi="Helvetica" w:cs="Helvetica"/>
                <w:sz w:val="18"/>
                <w:szCs w:val="18"/>
                <w:lang w:val="es-CO" w:eastAsia="es-CO"/>
              </w:rPr>
              <w:t xml:space="preserve"> 66.128 </w:t>
            </w:r>
          </w:p>
        </w:tc>
        <w:tc>
          <w:tcPr>
            <w:tcW w:w="911" w:type="pct"/>
            <w:tcBorders>
              <w:top w:val="nil"/>
              <w:left w:val="nil"/>
              <w:bottom w:val="single" w:sz="4" w:space="0" w:color="auto"/>
              <w:right w:val="single" w:sz="4" w:space="0" w:color="auto"/>
            </w:tcBorders>
            <w:shd w:val="clear" w:color="auto" w:fill="auto"/>
            <w:noWrap/>
            <w:vAlign w:val="bottom"/>
            <w:hideMark/>
          </w:tcPr>
          <w:p w14:paraId="428E47B4"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70.881 </w:t>
            </w:r>
          </w:p>
        </w:tc>
      </w:tr>
      <w:tr w:rsidR="00001915" w:rsidRPr="001B7E14" w14:paraId="76C60B25"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auto" w:fill="auto"/>
            <w:vAlign w:val="center"/>
            <w:hideMark/>
          </w:tcPr>
          <w:p w14:paraId="2842009F" w14:textId="77777777" w:rsidR="00001915" w:rsidRPr="001B7E14" w:rsidRDefault="00001915" w:rsidP="00001915">
            <w:pPr>
              <w:jc w:val="cente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Giro MEN-ET </w:t>
            </w:r>
          </w:p>
        </w:tc>
        <w:tc>
          <w:tcPr>
            <w:tcW w:w="909" w:type="pct"/>
            <w:tcBorders>
              <w:top w:val="nil"/>
              <w:left w:val="nil"/>
              <w:bottom w:val="single" w:sz="4" w:space="0" w:color="auto"/>
              <w:right w:val="single" w:sz="4" w:space="0" w:color="auto"/>
            </w:tcBorders>
            <w:shd w:val="clear" w:color="auto" w:fill="auto"/>
            <w:vAlign w:val="center"/>
            <w:hideMark/>
          </w:tcPr>
          <w:p w14:paraId="071EABF5" w14:textId="77777777" w:rsidR="00001915" w:rsidRPr="001B7E14" w:rsidRDefault="00001915" w:rsidP="00001915">
            <w:pPr>
              <w:jc w:val="right"/>
              <w:rPr>
                <w:rFonts w:ascii="Helvetica" w:eastAsia="Times New Roman" w:hAnsi="Helvetica" w:cs="Helvetica"/>
                <w:sz w:val="18"/>
                <w:szCs w:val="18"/>
                <w:lang w:val="es-CO" w:eastAsia="es-CO"/>
              </w:rPr>
            </w:pPr>
            <w:r w:rsidRPr="001B7E14">
              <w:rPr>
                <w:rFonts w:ascii="Helvetica" w:eastAsia="Times New Roman" w:hAnsi="Helvetica" w:cs="Helvetica"/>
                <w:sz w:val="18"/>
                <w:szCs w:val="18"/>
                <w:lang w:val="es-CO" w:eastAsia="es-CO"/>
              </w:rPr>
              <w:t xml:space="preserve"> 58.269 </w:t>
            </w:r>
          </w:p>
        </w:tc>
        <w:tc>
          <w:tcPr>
            <w:tcW w:w="908" w:type="pct"/>
            <w:tcBorders>
              <w:top w:val="nil"/>
              <w:left w:val="nil"/>
              <w:bottom w:val="single" w:sz="4" w:space="0" w:color="auto"/>
              <w:right w:val="single" w:sz="4" w:space="0" w:color="auto"/>
            </w:tcBorders>
            <w:shd w:val="clear" w:color="auto" w:fill="auto"/>
            <w:vAlign w:val="center"/>
            <w:hideMark/>
          </w:tcPr>
          <w:p w14:paraId="3EB78176" w14:textId="77777777" w:rsidR="00001915" w:rsidRPr="001B7E14" w:rsidRDefault="00001915" w:rsidP="00001915">
            <w:pPr>
              <w:jc w:val="right"/>
              <w:rPr>
                <w:rFonts w:ascii="Helvetica" w:eastAsia="Times New Roman" w:hAnsi="Helvetica" w:cs="Helvetica"/>
                <w:sz w:val="18"/>
                <w:szCs w:val="18"/>
                <w:lang w:val="es-CO" w:eastAsia="es-CO"/>
              </w:rPr>
            </w:pPr>
            <w:r w:rsidRPr="001B7E14">
              <w:rPr>
                <w:rFonts w:ascii="Helvetica" w:eastAsia="Times New Roman" w:hAnsi="Helvetica" w:cs="Helvetica"/>
                <w:sz w:val="18"/>
                <w:szCs w:val="18"/>
                <w:lang w:val="es-CO" w:eastAsia="es-CO"/>
              </w:rPr>
              <w:t xml:space="preserve"> 66.128 </w:t>
            </w:r>
          </w:p>
        </w:tc>
        <w:tc>
          <w:tcPr>
            <w:tcW w:w="911" w:type="pct"/>
            <w:tcBorders>
              <w:top w:val="nil"/>
              <w:left w:val="nil"/>
              <w:bottom w:val="single" w:sz="4" w:space="0" w:color="auto"/>
              <w:right w:val="single" w:sz="4" w:space="0" w:color="auto"/>
            </w:tcBorders>
            <w:shd w:val="clear" w:color="auto" w:fill="auto"/>
            <w:noWrap/>
            <w:vAlign w:val="bottom"/>
            <w:hideMark/>
          </w:tcPr>
          <w:p w14:paraId="20EE7332" w14:textId="77777777" w:rsidR="00001915" w:rsidRPr="001B7E14" w:rsidRDefault="00687FDB"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FF0000"/>
                <w:sz w:val="12"/>
                <w:szCs w:val="18"/>
                <w:lang w:val="es-CO" w:eastAsia="es-CO"/>
              </w:rPr>
              <w:t>(3</w:t>
            </w:r>
            <w:r w:rsidR="00F9383A" w:rsidRPr="001B7E14">
              <w:rPr>
                <w:rFonts w:ascii="Helvetica" w:eastAsia="Times New Roman" w:hAnsi="Helvetica" w:cs="Helvetica"/>
                <w:color w:val="FF0000"/>
                <w:sz w:val="12"/>
                <w:szCs w:val="18"/>
                <w:lang w:val="es-CO" w:eastAsia="es-CO"/>
              </w:rPr>
              <w:t>)</w:t>
            </w:r>
            <w:r w:rsidR="00502CC0" w:rsidRPr="001B7E14">
              <w:rPr>
                <w:rFonts w:ascii="Helvetica" w:eastAsia="Times New Roman" w:hAnsi="Helvetica" w:cs="Helvetica"/>
                <w:color w:val="FF0000"/>
                <w:sz w:val="12"/>
                <w:szCs w:val="18"/>
                <w:lang w:val="es-CO" w:eastAsia="es-CO"/>
              </w:rPr>
              <w:t xml:space="preserve"> </w:t>
            </w:r>
            <w:r w:rsidR="00001915" w:rsidRPr="001B7E14">
              <w:rPr>
                <w:rFonts w:ascii="Helvetica" w:eastAsia="Times New Roman" w:hAnsi="Helvetica" w:cs="Helvetica"/>
                <w:color w:val="000000"/>
                <w:sz w:val="18"/>
                <w:szCs w:val="18"/>
                <w:lang w:val="es-CO" w:eastAsia="es-CO"/>
              </w:rPr>
              <w:t xml:space="preserve">70.899 </w:t>
            </w:r>
          </w:p>
        </w:tc>
      </w:tr>
      <w:tr w:rsidR="00001915" w:rsidRPr="001B7E14" w14:paraId="5C2204B5" w14:textId="77777777" w:rsidTr="00F1195D">
        <w:trPr>
          <w:trHeight w:val="2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000000" w:fill="8EA9DB"/>
            <w:vAlign w:val="center"/>
            <w:hideMark/>
          </w:tcPr>
          <w:p w14:paraId="26A67D4F" w14:textId="77777777" w:rsidR="00001915" w:rsidRPr="001B7E14" w:rsidRDefault="00001915" w:rsidP="00001915">
            <w:pPr>
              <w:jc w:val="cente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EJECUCIÓN PRESUPUESTAL</w:t>
            </w:r>
          </w:p>
        </w:tc>
      </w:tr>
      <w:tr w:rsidR="00001915" w:rsidRPr="001B7E14" w14:paraId="7A6E49C5"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000000" w:fill="D9D9D9"/>
            <w:vAlign w:val="center"/>
            <w:hideMark/>
          </w:tcPr>
          <w:p w14:paraId="201B78C2" w14:textId="77777777" w:rsidR="00001915" w:rsidRPr="001B7E14" w:rsidRDefault="00001915" w:rsidP="00001915">
            <w:pPr>
              <w:jc w:val="both"/>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Ingresos Corrientes </w:t>
            </w:r>
          </w:p>
        </w:tc>
        <w:tc>
          <w:tcPr>
            <w:tcW w:w="909" w:type="pct"/>
            <w:tcBorders>
              <w:top w:val="nil"/>
              <w:left w:val="nil"/>
              <w:bottom w:val="single" w:sz="4" w:space="0" w:color="auto"/>
              <w:right w:val="single" w:sz="4" w:space="0" w:color="auto"/>
            </w:tcBorders>
            <w:shd w:val="clear" w:color="000000" w:fill="D9D9D9"/>
            <w:vAlign w:val="center"/>
            <w:hideMark/>
          </w:tcPr>
          <w:p w14:paraId="58F47E9F"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58.311 </w:t>
            </w:r>
          </w:p>
        </w:tc>
        <w:tc>
          <w:tcPr>
            <w:tcW w:w="908" w:type="pct"/>
            <w:tcBorders>
              <w:top w:val="nil"/>
              <w:left w:val="nil"/>
              <w:bottom w:val="single" w:sz="4" w:space="0" w:color="auto"/>
              <w:right w:val="single" w:sz="4" w:space="0" w:color="auto"/>
            </w:tcBorders>
            <w:shd w:val="clear" w:color="000000" w:fill="D9D9D9"/>
            <w:vAlign w:val="center"/>
            <w:hideMark/>
          </w:tcPr>
          <w:p w14:paraId="36AA72ED"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66.119 </w:t>
            </w:r>
          </w:p>
        </w:tc>
        <w:tc>
          <w:tcPr>
            <w:tcW w:w="911" w:type="pct"/>
            <w:tcBorders>
              <w:top w:val="nil"/>
              <w:left w:val="nil"/>
              <w:bottom w:val="single" w:sz="4" w:space="0" w:color="auto"/>
              <w:right w:val="single" w:sz="4" w:space="0" w:color="auto"/>
            </w:tcBorders>
            <w:shd w:val="clear" w:color="000000" w:fill="D9D9D9"/>
            <w:vAlign w:val="center"/>
            <w:hideMark/>
          </w:tcPr>
          <w:p w14:paraId="4407CDC8"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70.881 </w:t>
            </w:r>
          </w:p>
        </w:tc>
      </w:tr>
      <w:tr w:rsidR="00001915" w:rsidRPr="001B7E14" w14:paraId="349DD4D3"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auto" w:fill="auto"/>
            <w:vAlign w:val="center"/>
            <w:hideMark/>
          </w:tcPr>
          <w:p w14:paraId="7410FBC8" w14:textId="77777777" w:rsidR="00001915" w:rsidRPr="001B7E14" w:rsidRDefault="00001915" w:rsidP="00001915">
            <w:pP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Sistema General de Participaciones -Educación </w:t>
            </w:r>
          </w:p>
        </w:tc>
        <w:tc>
          <w:tcPr>
            <w:tcW w:w="909" w:type="pct"/>
            <w:tcBorders>
              <w:top w:val="nil"/>
              <w:left w:val="nil"/>
              <w:bottom w:val="single" w:sz="4" w:space="0" w:color="auto"/>
              <w:right w:val="single" w:sz="4" w:space="0" w:color="auto"/>
            </w:tcBorders>
            <w:shd w:val="clear" w:color="auto" w:fill="auto"/>
            <w:noWrap/>
            <w:vAlign w:val="bottom"/>
            <w:hideMark/>
          </w:tcPr>
          <w:p w14:paraId="4A98132E" w14:textId="77777777" w:rsidR="00001915" w:rsidRPr="001B7E14" w:rsidRDefault="00687FDB"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color w:val="FF0000"/>
                <w:sz w:val="12"/>
                <w:szCs w:val="18"/>
                <w:lang w:val="es-CO" w:eastAsia="es-CO"/>
              </w:rPr>
              <w:t>(1)</w:t>
            </w:r>
            <w:r w:rsidR="00502CC0" w:rsidRPr="001B7E14">
              <w:rPr>
                <w:rFonts w:ascii="Helvetica" w:eastAsia="Times New Roman" w:hAnsi="Helvetica" w:cs="Helvetica"/>
                <w:color w:val="FF0000"/>
                <w:sz w:val="12"/>
                <w:szCs w:val="18"/>
                <w:lang w:val="es-CO" w:eastAsia="es-CO"/>
              </w:rPr>
              <w:t xml:space="preserve"> </w:t>
            </w:r>
            <w:r w:rsidR="00001915" w:rsidRPr="001B7E14">
              <w:rPr>
                <w:rFonts w:ascii="Helvetica" w:eastAsia="Times New Roman" w:hAnsi="Helvetica" w:cs="Helvetica"/>
                <w:b/>
                <w:bCs/>
                <w:color w:val="000000"/>
                <w:sz w:val="18"/>
                <w:szCs w:val="18"/>
                <w:lang w:val="es-CO" w:eastAsia="es-CO"/>
              </w:rPr>
              <w:t xml:space="preserve">58.311 </w:t>
            </w:r>
          </w:p>
        </w:tc>
        <w:tc>
          <w:tcPr>
            <w:tcW w:w="908" w:type="pct"/>
            <w:tcBorders>
              <w:top w:val="nil"/>
              <w:left w:val="nil"/>
              <w:bottom w:val="single" w:sz="4" w:space="0" w:color="auto"/>
              <w:right w:val="single" w:sz="4" w:space="0" w:color="auto"/>
            </w:tcBorders>
            <w:shd w:val="clear" w:color="auto" w:fill="auto"/>
            <w:noWrap/>
            <w:vAlign w:val="bottom"/>
            <w:hideMark/>
          </w:tcPr>
          <w:p w14:paraId="4724985D"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66.119 </w:t>
            </w:r>
          </w:p>
        </w:tc>
        <w:tc>
          <w:tcPr>
            <w:tcW w:w="911" w:type="pct"/>
            <w:tcBorders>
              <w:top w:val="nil"/>
              <w:left w:val="nil"/>
              <w:bottom w:val="single" w:sz="4" w:space="0" w:color="auto"/>
              <w:right w:val="single" w:sz="4" w:space="0" w:color="auto"/>
            </w:tcBorders>
            <w:shd w:val="clear" w:color="auto" w:fill="auto"/>
            <w:noWrap/>
            <w:vAlign w:val="bottom"/>
            <w:hideMark/>
          </w:tcPr>
          <w:p w14:paraId="61F5FAA7"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70.881 </w:t>
            </w:r>
          </w:p>
        </w:tc>
      </w:tr>
      <w:tr w:rsidR="00001915" w:rsidRPr="001B7E14" w14:paraId="3FC16282"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auto" w:fill="auto"/>
            <w:vAlign w:val="center"/>
            <w:hideMark/>
          </w:tcPr>
          <w:p w14:paraId="25FA7BAB" w14:textId="77777777" w:rsidR="00001915" w:rsidRPr="001B7E14" w:rsidRDefault="00001915" w:rsidP="00001915">
            <w:pP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Prestación de servicios </w:t>
            </w:r>
          </w:p>
        </w:tc>
        <w:tc>
          <w:tcPr>
            <w:tcW w:w="909" w:type="pct"/>
            <w:tcBorders>
              <w:top w:val="nil"/>
              <w:left w:val="nil"/>
              <w:bottom w:val="single" w:sz="4" w:space="0" w:color="auto"/>
              <w:right w:val="single" w:sz="4" w:space="0" w:color="auto"/>
            </w:tcBorders>
            <w:shd w:val="clear" w:color="auto" w:fill="auto"/>
            <w:noWrap/>
            <w:vAlign w:val="bottom"/>
            <w:hideMark/>
          </w:tcPr>
          <w:p w14:paraId="156720DF"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57.608 </w:t>
            </w:r>
          </w:p>
        </w:tc>
        <w:tc>
          <w:tcPr>
            <w:tcW w:w="908" w:type="pct"/>
            <w:tcBorders>
              <w:top w:val="nil"/>
              <w:left w:val="nil"/>
              <w:bottom w:val="single" w:sz="4" w:space="0" w:color="auto"/>
              <w:right w:val="single" w:sz="4" w:space="0" w:color="auto"/>
            </w:tcBorders>
            <w:shd w:val="clear" w:color="auto" w:fill="auto"/>
            <w:noWrap/>
            <w:vAlign w:val="bottom"/>
            <w:hideMark/>
          </w:tcPr>
          <w:p w14:paraId="3064C502"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65.515 </w:t>
            </w:r>
          </w:p>
        </w:tc>
        <w:tc>
          <w:tcPr>
            <w:tcW w:w="911" w:type="pct"/>
            <w:tcBorders>
              <w:top w:val="nil"/>
              <w:left w:val="nil"/>
              <w:bottom w:val="single" w:sz="4" w:space="0" w:color="auto"/>
              <w:right w:val="single" w:sz="4" w:space="0" w:color="auto"/>
            </w:tcBorders>
            <w:shd w:val="clear" w:color="auto" w:fill="auto"/>
            <w:noWrap/>
            <w:vAlign w:val="bottom"/>
            <w:hideMark/>
          </w:tcPr>
          <w:p w14:paraId="24E6A7D5"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70.091 </w:t>
            </w:r>
          </w:p>
        </w:tc>
      </w:tr>
      <w:tr w:rsidR="00001915" w:rsidRPr="001B7E14" w14:paraId="0B5CF8E8"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auto" w:fill="auto"/>
            <w:vAlign w:val="center"/>
            <w:hideMark/>
          </w:tcPr>
          <w:p w14:paraId="78ECDDAE" w14:textId="77777777" w:rsidR="00001915" w:rsidRPr="001B7E14" w:rsidRDefault="00001915" w:rsidP="00001915">
            <w:pPr>
              <w:ind w:firstLineChars="100" w:firstLine="180"/>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Con Situación de Fondos </w:t>
            </w:r>
          </w:p>
        </w:tc>
        <w:tc>
          <w:tcPr>
            <w:tcW w:w="909" w:type="pct"/>
            <w:tcBorders>
              <w:top w:val="nil"/>
              <w:left w:val="nil"/>
              <w:bottom w:val="single" w:sz="4" w:space="0" w:color="auto"/>
              <w:right w:val="single" w:sz="4" w:space="0" w:color="auto"/>
            </w:tcBorders>
            <w:shd w:val="clear" w:color="auto" w:fill="auto"/>
            <w:vAlign w:val="center"/>
            <w:hideMark/>
          </w:tcPr>
          <w:p w14:paraId="32014EDA"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53.618 </w:t>
            </w:r>
          </w:p>
        </w:tc>
        <w:tc>
          <w:tcPr>
            <w:tcW w:w="908" w:type="pct"/>
            <w:tcBorders>
              <w:top w:val="nil"/>
              <w:left w:val="nil"/>
              <w:bottom w:val="single" w:sz="4" w:space="0" w:color="auto"/>
              <w:right w:val="single" w:sz="4" w:space="0" w:color="auto"/>
            </w:tcBorders>
            <w:shd w:val="clear" w:color="auto" w:fill="auto"/>
            <w:vAlign w:val="center"/>
            <w:hideMark/>
          </w:tcPr>
          <w:p w14:paraId="773AD7BC" w14:textId="77777777" w:rsidR="00001915" w:rsidRPr="001B7E14" w:rsidRDefault="00F9383A" w:rsidP="00687FDB">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FF0000"/>
                <w:sz w:val="12"/>
                <w:szCs w:val="18"/>
                <w:lang w:val="es-CO" w:eastAsia="es-CO"/>
              </w:rPr>
              <w:t>(</w:t>
            </w:r>
            <w:r w:rsidR="00687FDB" w:rsidRPr="001B7E14">
              <w:rPr>
                <w:rFonts w:ascii="Helvetica" w:eastAsia="Times New Roman" w:hAnsi="Helvetica" w:cs="Helvetica"/>
                <w:color w:val="FF0000"/>
                <w:sz w:val="12"/>
                <w:szCs w:val="18"/>
                <w:lang w:val="es-CO" w:eastAsia="es-CO"/>
              </w:rPr>
              <w:t>2</w:t>
            </w:r>
            <w:r w:rsidRPr="001B7E14">
              <w:rPr>
                <w:rFonts w:ascii="Helvetica" w:eastAsia="Times New Roman" w:hAnsi="Helvetica" w:cs="Helvetica"/>
                <w:color w:val="FF0000"/>
                <w:sz w:val="12"/>
                <w:szCs w:val="18"/>
                <w:lang w:val="es-CO" w:eastAsia="es-CO"/>
              </w:rPr>
              <w:t>)</w:t>
            </w:r>
            <w:r w:rsidR="00502CC0" w:rsidRPr="001B7E14">
              <w:rPr>
                <w:rFonts w:ascii="Helvetica" w:eastAsia="Times New Roman" w:hAnsi="Helvetica" w:cs="Helvetica"/>
                <w:color w:val="FF0000"/>
                <w:sz w:val="12"/>
                <w:szCs w:val="18"/>
                <w:lang w:val="es-CO" w:eastAsia="es-CO"/>
              </w:rPr>
              <w:t xml:space="preserve"> </w:t>
            </w:r>
            <w:r w:rsidR="00001915" w:rsidRPr="001B7E14">
              <w:rPr>
                <w:rFonts w:ascii="Helvetica" w:eastAsia="Times New Roman" w:hAnsi="Helvetica" w:cs="Helvetica"/>
                <w:color w:val="000000"/>
                <w:sz w:val="18"/>
                <w:szCs w:val="18"/>
                <w:lang w:val="es-CO" w:eastAsia="es-CO"/>
              </w:rPr>
              <w:t xml:space="preserve">61.775 </w:t>
            </w:r>
          </w:p>
        </w:tc>
        <w:tc>
          <w:tcPr>
            <w:tcW w:w="911" w:type="pct"/>
            <w:tcBorders>
              <w:top w:val="nil"/>
              <w:left w:val="nil"/>
              <w:bottom w:val="single" w:sz="4" w:space="0" w:color="auto"/>
              <w:right w:val="single" w:sz="4" w:space="0" w:color="auto"/>
            </w:tcBorders>
            <w:shd w:val="clear" w:color="auto" w:fill="auto"/>
            <w:vAlign w:val="center"/>
            <w:hideMark/>
          </w:tcPr>
          <w:p w14:paraId="27733FA2"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66.733 </w:t>
            </w:r>
          </w:p>
        </w:tc>
      </w:tr>
      <w:tr w:rsidR="00001915" w:rsidRPr="001B7E14" w14:paraId="6AF6B957"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auto" w:fill="auto"/>
            <w:vAlign w:val="center"/>
            <w:hideMark/>
          </w:tcPr>
          <w:p w14:paraId="08C58199" w14:textId="77777777" w:rsidR="00001915" w:rsidRPr="001B7E14" w:rsidRDefault="00001915" w:rsidP="00001915">
            <w:pPr>
              <w:ind w:firstLineChars="100" w:firstLine="180"/>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Sin Situación de Fondos </w:t>
            </w:r>
          </w:p>
        </w:tc>
        <w:tc>
          <w:tcPr>
            <w:tcW w:w="909" w:type="pct"/>
            <w:tcBorders>
              <w:top w:val="nil"/>
              <w:left w:val="nil"/>
              <w:bottom w:val="single" w:sz="4" w:space="0" w:color="auto"/>
              <w:right w:val="single" w:sz="4" w:space="0" w:color="auto"/>
            </w:tcBorders>
            <w:shd w:val="clear" w:color="auto" w:fill="auto"/>
            <w:vAlign w:val="center"/>
            <w:hideMark/>
          </w:tcPr>
          <w:p w14:paraId="1C098F98"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3.990 </w:t>
            </w:r>
          </w:p>
        </w:tc>
        <w:tc>
          <w:tcPr>
            <w:tcW w:w="908" w:type="pct"/>
            <w:tcBorders>
              <w:top w:val="nil"/>
              <w:left w:val="nil"/>
              <w:bottom w:val="single" w:sz="4" w:space="0" w:color="auto"/>
              <w:right w:val="single" w:sz="4" w:space="0" w:color="auto"/>
            </w:tcBorders>
            <w:shd w:val="clear" w:color="auto" w:fill="auto"/>
            <w:vAlign w:val="center"/>
            <w:hideMark/>
          </w:tcPr>
          <w:p w14:paraId="35D678DC"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3.739 </w:t>
            </w:r>
          </w:p>
        </w:tc>
        <w:tc>
          <w:tcPr>
            <w:tcW w:w="911" w:type="pct"/>
            <w:tcBorders>
              <w:top w:val="nil"/>
              <w:left w:val="nil"/>
              <w:bottom w:val="single" w:sz="4" w:space="0" w:color="auto"/>
              <w:right w:val="single" w:sz="4" w:space="0" w:color="auto"/>
            </w:tcBorders>
            <w:shd w:val="clear" w:color="auto" w:fill="auto"/>
            <w:vAlign w:val="center"/>
            <w:hideMark/>
          </w:tcPr>
          <w:p w14:paraId="7FE76410"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3.357 </w:t>
            </w:r>
          </w:p>
        </w:tc>
      </w:tr>
      <w:tr w:rsidR="00001915" w:rsidRPr="001B7E14" w14:paraId="0C147F4F"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auto" w:fill="auto"/>
            <w:vAlign w:val="center"/>
            <w:hideMark/>
          </w:tcPr>
          <w:p w14:paraId="16311E71" w14:textId="77777777" w:rsidR="00001915" w:rsidRPr="001B7E14" w:rsidRDefault="00001915" w:rsidP="00001915">
            <w:pP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Cancelaciones </w:t>
            </w:r>
          </w:p>
        </w:tc>
        <w:tc>
          <w:tcPr>
            <w:tcW w:w="909" w:type="pct"/>
            <w:tcBorders>
              <w:top w:val="nil"/>
              <w:left w:val="nil"/>
              <w:bottom w:val="single" w:sz="4" w:space="0" w:color="auto"/>
              <w:right w:val="single" w:sz="4" w:space="0" w:color="auto"/>
            </w:tcBorders>
            <w:shd w:val="clear" w:color="auto" w:fill="auto"/>
            <w:vAlign w:val="center"/>
            <w:hideMark/>
          </w:tcPr>
          <w:p w14:paraId="756994D0"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217 </w:t>
            </w:r>
          </w:p>
        </w:tc>
        <w:tc>
          <w:tcPr>
            <w:tcW w:w="908" w:type="pct"/>
            <w:tcBorders>
              <w:top w:val="nil"/>
              <w:left w:val="nil"/>
              <w:bottom w:val="single" w:sz="4" w:space="0" w:color="auto"/>
              <w:right w:val="single" w:sz="4" w:space="0" w:color="auto"/>
            </w:tcBorders>
            <w:shd w:val="clear" w:color="auto" w:fill="auto"/>
            <w:vAlign w:val="center"/>
            <w:hideMark/>
          </w:tcPr>
          <w:p w14:paraId="6E7EDF81"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185 </w:t>
            </w:r>
          </w:p>
        </w:tc>
        <w:tc>
          <w:tcPr>
            <w:tcW w:w="911" w:type="pct"/>
            <w:tcBorders>
              <w:top w:val="nil"/>
              <w:left w:val="nil"/>
              <w:bottom w:val="single" w:sz="4" w:space="0" w:color="auto"/>
              <w:right w:val="single" w:sz="4" w:space="0" w:color="auto"/>
            </w:tcBorders>
            <w:shd w:val="clear" w:color="auto" w:fill="auto"/>
            <w:vAlign w:val="center"/>
            <w:hideMark/>
          </w:tcPr>
          <w:p w14:paraId="14514017"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216 </w:t>
            </w:r>
          </w:p>
        </w:tc>
      </w:tr>
      <w:tr w:rsidR="00001915" w:rsidRPr="001B7E14" w14:paraId="7A9D8362"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auto" w:fill="auto"/>
            <w:vAlign w:val="center"/>
            <w:hideMark/>
          </w:tcPr>
          <w:p w14:paraId="0964C215" w14:textId="77777777" w:rsidR="00001915" w:rsidRPr="001B7E14" w:rsidRDefault="00001915" w:rsidP="00001915">
            <w:pP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Calidad </w:t>
            </w:r>
          </w:p>
        </w:tc>
        <w:tc>
          <w:tcPr>
            <w:tcW w:w="909" w:type="pct"/>
            <w:tcBorders>
              <w:top w:val="nil"/>
              <w:left w:val="nil"/>
              <w:bottom w:val="single" w:sz="4" w:space="0" w:color="auto"/>
              <w:right w:val="single" w:sz="4" w:space="0" w:color="auto"/>
            </w:tcBorders>
            <w:shd w:val="clear" w:color="auto" w:fill="auto"/>
            <w:vAlign w:val="center"/>
            <w:hideMark/>
          </w:tcPr>
          <w:p w14:paraId="797664EF"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380 </w:t>
            </w:r>
          </w:p>
        </w:tc>
        <w:tc>
          <w:tcPr>
            <w:tcW w:w="908" w:type="pct"/>
            <w:tcBorders>
              <w:top w:val="nil"/>
              <w:left w:val="nil"/>
              <w:bottom w:val="single" w:sz="4" w:space="0" w:color="auto"/>
              <w:right w:val="single" w:sz="4" w:space="0" w:color="auto"/>
            </w:tcBorders>
            <w:shd w:val="clear" w:color="auto" w:fill="auto"/>
            <w:vAlign w:val="center"/>
            <w:hideMark/>
          </w:tcPr>
          <w:p w14:paraId="4E0B25B3"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378 </w:t>
            </w:r>
          </w:p>
        </w:tc>
        <w:tc>
          <w:tcPr>
            <w:tcW w:w="911" w:type="pct"/>
            <w:tcBorders>
              <w:top w:val="nil"/>
              <w:left w:val="nil"/>
              <w:bottom w:val="single" w:sz="4" w:space="0" w:color="auto"/>
              <w:right w:val="single" w:sz="4" w:space="0" w:color="auto"/>
            </w:tcBorders>
            <w:shd w:val="clear" w:color="auto" w:fill="auto"/>
            <w:vAlign w:val="center"/>
            <w:hideMark/>
          </w:tcPr>
          <w:p w14:paraId="1CB22E0E"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443 </w:t>
            </w:r>
          </w:p>
        </w:tc>
      </w:tr>
      <w:tr w:rsidR="00001915" w:rsidRPr="001B7E14" w14:paraId="7AA0C47D"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auto" w:fill="auto"/>
            <w:vAlign w:val="center"/>
            <w:hideMark/>
          </w:tcPr>
          <w:p w14:paraId="07C63E91" w14:textId="77777777" w:rsidR="00001915" w:rsidRPr="001B7E14" w:rsidRDefault="00001915" w:rsidP="00001915">
            <w:pP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Gratuidad </w:t>
            </w:r>
          </w:p>
        </w:tc>
        <w:tc>
          <w:tcPr>
            <w:tcW w:w="909" w:type="pct"/>
            <w:tcBorders>
              <w:top w:val="nil"/>
              <w:left w:val="nil"/>
              <w:bottom w:val="single" w:sz="4" w:space="0" w:color="auto"/>
              <w:right w:val="single" w:sz="4" w:space="0" w:color="auto"/>
            </w:tcBorders>
            <w:shd w:val="clear" w:color="auto" w:fill="auto"/>
            <w:vAlign w:val="center"/>
            <w:hideMark/>
          </w:tcPr>
          <w:p w14:paraId="5B5AECCF"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105 </w:t>
            </w:r>
          </w:p>
        </w:tc>
        <w:tc>
          <w:tcPr>
            <w:tcW w:w="908" w:type="pct"/>
            <w:tcBorders>
              <w:top w:val="nil"/>
              <w:left w:val="nil"/>
              <w:bottom w:val="single" w:sz="4" w:space="0" w:color="auto"/>
              <w:right w:val="single" w:sz="4" w:space="0" w:color="auto"/>
            </w:tcBorders>
            <w:shd w:val="clear" w:color="auto" w:fill="auto"/>
            <w:vAlign w:val="center"/>
            <w:hideMark/>
          </w:tcPr>
          <w:p w14:paraId="4A3B9A83"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41 </w:t>
            </w:r>
          </w:p>
        </w:tc>
        <w:tc>
          <w:tcPr>
            <w:tcW w:w="911" w:type="pct"/>
            <w:tcBorders>
              <w:top w:val="nil"/>
              <w:left w:val="nil"/>
              <w:bottom w:val="single" w:sz="4" w:space="0" w:color="auto"/>
              <w:right w:val="single" w:sz="4" w:space="0" w:color="auto"/>
            </w:tcBorders>
            <w:shd w:val="clear" w:color="auto" w:fill="auto"/>
            <w:vAlign w:val="center"/>
            <w:hideMark/>
          </w:tcPr>
          <w:p w14:paraId="6BA38135"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132 </w:t>
            </w:r>
          </w:p>
        </w:tc>
      </w:tr>
      <w:tr w:rsidR="00001915" w:rsidRPr="001B7E14" w14:paraId="77CC3FB4"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000000" w:fill="D9D9D9"/>
            <w:vAlign w:val="center"/>
            <w:hideMark/>
          </w:tcPr>
          <w:p w14:paraId="049EE188" w14:textId="77777777" w:rsidR="00001915" w:rsidRPr="001B7E14" w:rsidRDefault="00001915" w:rsidP="00001915">
            <w:pPr>
              <w:jc w:val="both"/>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INGRESOS DE CAPITAL </w:t>
            </w:r>
          </w:p>
        </w:tc>
        <w:tc>
          <w:tcPr>
            <w:tcW w:w="909" w:type="pct"/>
            <w:tcBorders>
              <w:top w:val="nil"/>
              <w:left w:val="nil"/>
              <w:bottom w:val="single" w:sz="4" w:space="0" w:color="auto"/>
              <w:right w:val="single" w:sz="4" w:space="0" w:color="auto"/>
            </w:tcBorders>
            <w:shd w:val="clear" w:color="000000" w:fill="D9D9D9"/>
            <w:vAlign w:val="center"/>
            <w:hideMark/>
          </w:tcPr>
          <w:p w14:paraId="5E3EC418"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259 </w:t>
            </w:r>
          </w:p>
        </w:tc>
        <w:tc>
          <w:tcPr>
            <w:tcW w:w="908" w:type="pct"/>
            <w:tcBorders>
              <w:top w:val="nil"/>
              <w:left w:val="nil"/>
              <w:bottom w:val="single" w:sz="4" w:space="0" w:color="auto"/>
              <w:right w:val="single" w:sz="4" w:space="0" w:color="auto"/>
            </w:tcBorders>
            <w:shd w:val="clear" w:color="000000" w:fill="D9D9D9"/>
            <w:vAlign w:val="center"/>
            <w:hideMark/>
          </w:tcPr>
          <w:p w14:paraId="28F5B492"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13.819 </w:t>
            </w:r>
          </w:p>
        </w:tc>
        <w:tc>
          <w:tcPr>
            <w:tcW w:w="911" w:type="pct"/>
            <w:tcBorders>
              <w:top w:val="nil"/>
              <w:left w:val="nil"/>
              <w:bottom w:val="single" w:sz="4" w:space="0" w:color="auto"/>
              <w:right w:val="single" w:sz="4" w:space="0" w:color="auto"/>
            </w:tcBorders>
            <w:shd w:val="clear" w:color="000000" w:fill="D9D9D9"/>
            <w:vAlign w:val="center"/>
            <w:hideMark/>
          </w:tcPr>
          <w:p w14:paraId="751D156F"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13.046 </w:t>
            </w:r>
          </w:p>
        </w:tc>
      </w:tr>
      <w:tr w:rsidR="00001915" w:rsidRPr="001B7E14" w14:paraId="790302D9"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auto" w:fill="auto"/>
            <w:vAlign w:val="center"/>
            <w:hideMark/>
          </w:tcPr>
          <w:p w14:paraId="71B4CA4F" w14:textId="77777777" w:rsidR="00001915" w:rsidRPr="001B7E14" w:rsidRDefault="00001915" w:rsidP="00001915">
            <w:pPr>
              <w:jc w:val="both"/>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Rendimientos Financieros </w:t>
            </w:r>
          </w:p>
        </w:tc>
        <w:tc>
          <w:tcPr>
            <w:tcW w:w="909" w:type="pct"/>
            <w:tcBorders>
              <w:top w:val="nil"/>
              <w:left w:val="nil"/>
              <w:bottom w:val="single" w:sz="4" w:space="0" w:color="auto"/>
              <w:right w:val="single" w:sz="4" w:space="0" w:color="auto"/>
            </w:tcBorders>
            <w:shd w:val="clear" w:color="auto" w:fill="auto"/>
            <w:noWrap/>
            <w:vAlign w:val="bottom"/>
            <w:hideMark/>
          </w:tcPr>
          <w:p w14:paraId="3FC22485"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192 </w:t>
            </w:r>
          </w:p>
        </w:tc>
        <w:tc>
          <w:tcPr>
            <w:tcW w:w="908" w:type="pct"/>
            <w:tcBorders>
              <w:top w:val="nil"/>
              <w:left w:val="nil"/>
              <w:bottom w:val="single" w:sz="4" w:space="0" w:color="auto"/>
              <w:right w:val="single" w:sz="4" w:space="0" w:color="auto"/>
            </w:tcBorders>
            <w:shd w:val="clear" w:color="auto" w:fill="auto"/>
            <w:noWrap/>
            <w:vAlign w:val="bottom"/>
            <w:hideMark/>
          </w:tcPr>
          <w:p w14:paraId="15FFEAD8"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141 </w:t>
            </w:r>
          </w:p>
        </w:tc>
        <w:tc>
          <w:tcPr>
            <w:tcW w:w="911" w:type="pct"/>
            <w:tcBorders>
              <w:top w:val="nil"/>
              <w:left w:val="nil"/>
              <w:bottom w:val="single" w:sz="4" w:space="0" w:color="auto"/>
              <w:right w:val="single" w:sz="4" w:space="0" w:color="auto"/>
            </w:tcBorders>
            <w:shd w:val="clear" w:color="auto" w:fill="auto"/>
            <w:noWrap/>
            <w:vAlign w:val="bottom"/>
            <w:hideMark/>
          </w:tcPr>
          <w:p w14:paraId="15E122DC"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182 </w:t>
            </w:r>
          </w:p>
        </w:tc>
      </w:tr>
      <w:tr w:rsidR="00001915" w:rsidRPr="001B7E14" w14:paraId="10E3B95C"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auto" w:fill="auto"/>
            <w:vAlign w:val="center"/>
            <w:hideMark/>
          </w:tcPr>
          <w:p w14:paraId="03913021" w14:textId="77777777" w:rsidR="00001915" w:rsidRPr="001B7E14" w:rsidRDefault="00001915" w:rsidP="00001915">
            <w:pPr>
              <w:jc w:val="both"/>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Rendimiento Prestación </w:t>
            </w:r>
          </w:p>
        </w:tc>
        <w:tc>
          <w:tcPr>
            <w:tcW w:w="909" w:type="pct"/>
            <w:tcBorders>
              <w:top w:val="nil"/>
              <w:left w:val="nil"/>
              <w:bottom w:val="single" w:sz="4" w:space="0" w:color="auto"/>
              <w:right w:val="single" w:sz="4" w:space="0" w:color="auto"/>
            </w:tcBorders>
            <w:shd w:val="clear" w:color="auto" w:fill="auto"/>
            <w:vAlign w:val="center"/>
            <w:hideMark/>
          </w:tcPr>
          <w:p w14:paraId="73F007AD"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 </w:t>
            </w:r>
          </w:p>
        </w:tc>
        <w:tc>
          <w:tcPr>
            <w:tcW w:w="908" w:type="pct"/>
            <w:tcBorders>
              <w:top w:val="nil"/>
              <w:left w:val="nil"/>
              <w:bottom w:val="single" w:sz="4" w:space="0" w:color="auto"/>
              <w:right w:val="single" w:sz="4" w:space="0" w:color="auto"/>
            </w:tcBorders>
            <w:shd w:val="clear" w:color="auto" w:fill="auto"/>
            <w:vAlign w:val="center"/>
            <w:hideMark/>
          </w:tcPr>
          <w:p w14:paraId="5A635FB2"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13 </w:t>
            </w:r>
          </w:p>
        </w:tc>
        <w:tc>
          <w:tcPr>
            <w:tcW w:w="911" w:type="pct"/>
            <w:tcBorders>
              <w:top w:val="nil"/>
              <w:left w:val="nil"/>
              <w:bottom w:val="single" w:sz="4" w:space="0" w:color="auto"/>
              <w:right w:val="single" w:sz="4" w:space="0" w:color="auto"/>
            </w:tcBorders>
            <w:shd w:val="clear" w:color="auto" w:fill="auto"/>
            <w:vAlign w:val="center"/>
            <w:hideMark/>
          </w:tcPr>
          <w:p w14:paraId="315B2694"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179 </w:t>
            </w:r>
          </w:p>
        </w:tc>
      </w:tr>
      <w:tr w:rsidR="00001915" w:rsidRPr="001B7E14" w14:paraId="3CE801C6"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auto" w:fill="auto"/>
            <w:vAlign w:val="center"/>
            <w:hideMark/>
          </w:tcPr>
          <w:p w14:paraId="0B4ABDBD" w14:textId="77777777" w:rsidR="00001915" w:rsidRPr="001B7E14" w:rsidRDefault="00001915" w:rsidP="00001915">
            <w:pPr>
              <w:jc w:val="both"/>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Rendimiento Calidad </w:t>
            </w:r>
          </w:p>
        </w:tc>
        <w:tc>
          <w:tcPr>
            <w:tcW w:w="909" w:type="pct"/>
            <w:tcBorders>
              <w:top w:val="nil"/>
              <w:left w:val="nil"/>
              <w:bottom w:val="single" w:sz="4" w:space="0" w:color="auto"/>
              <w:right w:val="single" w:sz="4" w:space="0" w:color="auto"/>
            </w:tcBorders>
            <w:shd w:val="clear" w:color="auto" w:fill="auto"/>
            <w:vAlign w:val="center"/>
            <w:hideMark/>
          </w:tcPr>
          <w:p w14:paraId="4D5DC1CB"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192 </w:t>
            </w:r>
          </w:p>
        </w:tc>
        <w:tc>
          <w:tcPr>
            <w:tcW w:w="908" w:type="pct"/>
            <w:tcBorders>
              <w:top w:val="nil"/>
              <w:left w:val="nil"/>
              <w:bottom w:val="single" w:sz="4" w:space="0" w:color="auto"/>
              <w:right w:val="single" w:sz="4" w:space="0" w:color="auto"/>
            </w:tcBorders>
            <w:shd w:val="clear" w:color="auto" w:fill="auto"/>
            <w:vAlign w:val="center"/>
            <w:hideMark/>
          </w:tcPr>
          <w:p w14:paraId="20E06330"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128 </w:t>
            </w:r>
          </w:p>
        </w:tc>
        <w:tc>
          <w:tcPr>
            <w:tcW w:w="911" w:type="pct"/>
            <w:tcBorders>
              <w:top w:val="nil"/>
              <w:left w:val="nil"/>
              <w:bottom w:val="single" w:sz="4" w:space="0" w:color="auto"/>
              <w:right w:val="single" w:sz="4" w:space="0" w:color="auto"/>
            </w:tcBorders>
            <w:shd w:val="clear" w:color="auto" w:fill="auto"/>
            <w:vAlign w:val="center"/>
            <w:hideMark/>
          </w:tcPr>
          <w:p w14:paraId="5B49E521"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3 </w:t>
            </w:r>
          </w:p>
        </w:tc>
      </w:tr>
      <w:tr w:rsidR="00001915" w:rsidRPr="001B7E14" w14:paraId="7441F52B"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auto" w:fill="auto"/>
            <w:vAlign w:val="center"/>
            <w:hideMark/>
          </w:tcPr>
          <w:p w14:paraId="2B98DA27" w14:textId="77777777" w:rsidR="00001915" w:rsidRPr="001B7E14" w:rsidRDefault="00001915" w:rsidP="00001915">
            <w:pPr>
              <w:jc w:val="both"/>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Rendimiento Cancelaciones </w:t>
            </w:r>
          </w:p>
        </w:tc>
        <w:tc>
          <w:tcPr>
            <w:tcW w:w="909" w:type="pct"/>
            <w:tcBorders>
              <w:top w:val="nil"/>
              <w:left w:val="nil"/>
              <w:bottom w:val="single" w:sz="4" w:space="0" w:color="auto"/>
              <w:right w:val="single" w:sz="4" w:space="0" w:color="auto"/>
            </w:tcBorders>
            <w:shd w:val="clear" w:color="auto" w:fill="auto"/>
            <w:vAlign w:val="center"/>
            <w:hideMark/>
          </w:tcPr>
          <w:p w14:paraId="21F5E01D"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0,029 </w:t>
            </w:r>
          </w:p>
        </w:tc>
        <w:tc>
          <w:tcPr>
            <w:tcW w:w="908" w:type="pct"/>
            <w:tcBorders>
              <w:top w:val="nil"/>
              <w:left w:val="nil"/>
              <w:bottom w:val="single" w:sz="4" w:space="0" w:color="auto"/>
              <w:right w:val="single" w:sz="4" w:space="0" w:color="auto"/>
            </w:tcBorders>
            <w:shd w:val="clear" w:color="auto" w:fill="auto"/>
            <w:vAlign w:val="center"/>
            <w:hideMark/>
          </w:tcPr>
          <w:p w14:paraId="70A3791F"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 </w:t>
            </w:r>
          </w:p>
        </w:tc>
        <w:tc>
          <w:tcPr>
            <w:tcW w:w="911" w:type="pct"/>
            <w:tcBorders>
              <w:top w:val="nil"/>
              <w:left w:val="nil"/>
              <w:bottom w:val="single" w:sz="4" w:space="0" w:color="auto"/>
              <w:right w:val="single" w:sz="4" w:space="0" w:color="auto"/>
            </w:tcBorders>
            <w:shd w:val="clear" w:color="auto" w:fill="auto"/>
            <w:vAlign w:val="center"/>
            <w:hideMark/>
          </w:tcPr>
          <w:p w14:paraId="4A6A8A21"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0 </w:t>
            </w:r>
          </w:p>
        </w:tc>
      </w:tr>
      <w:tr w:rsidR="00001915" w:rsidRPr="001B7E14" w14:paraId="1A4A6F1B"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auto" w:fill="auto"/>
            <w:vAlign w:val="center"/>
            <w:hideMark/>
          </w:tcPr>
          <w:p w14:paraId="21676304" w14:textId="77777777" w:rsidR="00001915" w:rsidRPr="001B7E14" w:rsidRDefault="00001915" w:rsidP="00001915">
            <w:pPr>
              <w:jc w:val="both"/>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Recursos del Balance </w:t>
            </w:r>
          </w:p>
        </w:tc>
        <w:tc>
          <w:tcPr>
            <w:tcW w:w="909" w:type="pct"/>
            <w:tcBorders>
              <w:top w:val="nil"/>
              <w:left w:val="nil"/>
              <w:bottom w:val="single" w:sz="4" w:space="0" w:color="auto"/>
              <w:right w:val="single" w:sz="4" w:space="0" w:color="auto"/>
            </w:tcBorders>
            <w:shd w:val="clear" w:color="auto" w:fill="auto"/>
            <w:vAlign w:val="center"/>
            <w:hideMark/>
          </w:tcPr>
          <w:p w14:paraId="164E559D"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21 </w:t>
            </w:r>
          </w:p>
        </w:tc>
        <w:tc>
          <w:tcPr>
            <w:tcW w:w="908" w:type="pct"/>
            <w:tcBorders>
              <w:top w:val="nil"/>
              <w:left w:val="nil"/>
              <w:bottom w:val="single" w:sz="4" w:space="0" w:color="auto"/>
              <w:right w:val="single" w:sz="4" w:space="0" w:color="auto"/>
            </w:tcBorders>
            <w:shd w:val="clear" w:color="auto" w:fill="auto"/>
            <w:vAlign w:val="center"/>
            <w:hideMark/>
          </w:tcPr>
          <w:p w14:paraId="5637349C"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13.678 </w:t>
            </w:r>
          </w:p>
        </w:tc>
        <w:tc>
          <w:tcPr>
            <w:tcW w:w="911" w:type="pct"/>
            <w:tcBorders>
              <w:top w:val="nil"/>
              <w:left w:val="nil"/>
              <w:bottom w:val="single" w:sz="4" w:space="0" w:color="auto"/>
              <w:right w:val="single" w:sz="4" w:space="0" w:color="auto"/>
            </w:tcBorders>
            <w:shd w:val="clear" w:color="auto" w:fill="auto"/>
            <w:vAlign w:val="center"/>
            <w:hideMark/>
          </w:tcPr>
          <w:p w14:paraId="1EEA36F1" w14:textId="77777777" w:rsidR="00001915" w:rsidRPr="001B7E14" w:rsidRDefault="00687FDB"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color w:val="FF0000"/>
                <w:sz w:val="12"/>
                <w:szCs w:val="18"/>
                <w:lang w:val="es-CO" w:eastAsia="es-CO"/>
              </w:rPr>
              <w:t>(4</w:t>
            </w:r>
            <w:r w:rsidR="00F9383A" w:rsidRPr="001B7E14">
              <w:rPr>
                <w:rFonts w:ascii="Helvetica" w:eastAsia="Times New Roman" w:hAnsi="Helvetica" w:cs="Helvetica"/>
                <w:color w:val="FF0000"/>
                <w:sz w:val="12"/>
                <w:szCs w:val="18"/>
                <w:lang w:val="es-CO" w:eastAsia="es-CO"/>
              </w:rPr>
              <w:t>)</w:t>
            </w:r>
            <w:r w:rsidR="00502CC0" w:rsidRPr="001B7E14">
              <w:rPr>
                <w:rFonts w:ascii="Helvetica" w:eastAsia="Times New Roman" w:hAnsi="Helvetica" w:cs="Helvetica"/>
                <w:color w:val="FF0000"/>
                <w:sz w:val="12"/>
                <w:szCs w:val="18"/>
                <w:lang w:val="es-CO" w:eastAsia="es-CO"/>
              </w:rPr>
              <w:t xml:space="preserve"> </w:t>
            </w:r>
            <w:r w:rsidR="00001915" w:rsidRPr="001B7E14">
              <w:rPr>
                <w:rFonts w:ascii="Helvetica" w:eastAsia="Times New Roman" w:hAnsi="Helvetica" w:cs="Helvetica"/>
                <w:b/>
                <w:bCs/>
                <w:color w:val="000000"/>
                <w:sz w:val="18"/>
                <w:szCs w:val="18"/>
                <w:lang w:val="es-CO" w:eastAsia="es-CO"/>
              </w:rPr>
              <w:t xml:space="preserve">12.864 </w:t>
            </w:r>
          </w:p>
        </w:tc>
      </w:tr>
      <w:tr w:rsidR="00001915" w:rsidRPr="001B7E14" w14:paraId="63F62564"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auto" w:fill="auto"/>
            <w:vAlign w:val="center"/>
            <w:hideMark/>
          </w:tcPr>
          <w:p w14:paraId="34951116" w14:textId="77777777" w:rsidR="00001915" w:rsidRPr="001B7E14" w:rsidRDefault="00001915" w:rsidP="00001915">
            <w:pPr>
              <w:jc w:val="both"/>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Superávit fiscal Prestación </w:t>
            </w:r>
          </w:p>
        </w:tc>
        <w:tc>
          <w:tcPr>
            <w:tcW w:w="909" w:type="pct"/>
            <w:tcBorders>
              <w:top w:val="nil"/>
              <w:left w:val="nil"/>
              <w:bottom w:val="single" w:sz="4" w:space="0" w:color="auto"/>
              <w:right w:val="single" w:sz="4" w:space="0" w:color="auto"/>
            </w:tcBorders>
            <w:shd w:val="clear" w:color="000000" w:fill="FFFFFF"/>
            <w:vAlign w:val="center"/>
            <w:hideMark/>
          </w:tcPr>
          <w:p w14:paraId="55BD4E42"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 </w:t>
            </w:r>
          </w:p>
        </w:tc>
        <w:tc>
          <w:tcPr>
            <w:tcW w:w="908" w:type="pct"/>
            <w:tcBorders>
              <w:top w:val="nil"/>
              <w:left w:val="nil"/>
              <w:bottom w:val="single" w:sz="4" w:space="0" w:color="auto"/>
              <w:right w:val="single" w:sz="4" w:space="0" w:color="auto"/>
            </w:tcBorders>
            <w:shd w:val="clear" w:color="auto" w:fill="auto"/>
            <w:vAlign w:val="center"/>
            <w:hideMark/>
          </w:tcPr>
          <w:p w14:paraId="5A702EF0"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13.098 </w:t>
            </w:r>
          </w:p>
        </w:tc>
        <w:tc>
          <w:tcPr>
            <w:tcW w:w="911" w:type="pct"/>
            <w:tcBorders>
              <w:top w:val="nil"/>
              <w:left w:val="nil"/>
              <w:bottom w:val="single" w:sz="4" w:space="0" w:color="auto"/>
              <w:right w:val="single" w:sz="4" w:space="0" w:color="auto"/>
            </w:tcBorders>
            <w:shd w:val="clear" w:color="auto" w:fill="auto"/>
            <w:vAlign w:val="center"/>
            <w:hideMark/>
          </w:tcPr>
          <w:p w14:paraId="1CC59BC9"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12.603 </w:t>
            </w:r>
          </w:p>
        </w:tc>
      </w:tr>
      <w:tr w:rsidR="00001915" w:rsidRPr="001B7E14" w14:paraId="4F303C9B"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auto" w:fill="auto"/>
            <w:vAlign w:val="center"/>
            <w:hideMark/>
          </w:tcPr>
          <w:p w14:paraId="75055015" w14:textId="77777777" w:rsidR="00001915" w:rsidRPr="001B7E14" w:rsidRDefault="00001915" w:rsidP="00001915">
            <w:pPr>
              <w:jc w:val="both"/>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Superávit fiscal Calidad </w:t>
            </w:r>
          </w:p>
        </w:tc>
        <w:tc>
          <w:tcPr>
            <w:tcW w:w="909" w:type="pct"/>
            <w:tcBorders>
              <w:top w:val="nil"/>
              <w:left w:val="nil"/>
              <w:bottom w:val="single" w:sz="4" w:space="0" w:color="auto"/>
              <w:right w:val="single" w:sz="4" w:space="0" w:color="auto"/>
            </w:tcBorders>
            <w:shd w:val="clear" w:color="000000" w:fill="FFFFFF"/>
            <w:vAlign w:val="center"/>
            <w:hideMark/>
          </w:tcPr>
          <w:p w14:paraId="67DE1EE7"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 </w:t>
            </w:r>
          </w:p>
        </w:tc>
        <w:tc>
          <w:tcPr>
            <w:tcW w:w="908" w:type="pct"/>
            <w:tcBorders>
              <w:top w:val="nil"/>
              <w:left w:val="nil"/>
              <w:bottom w:val="single" w:sz="4" w:space="0" w:color="auto"/>
              <w:right w:val="single" w:sz="4" w:space="0" w:color="auto"/>
            </w:tcBorders>
            <w:shd w:val="clear" w:color="auto" w:fill="auto"/>
            <w:vAlign w:val="center"/>
            <w:hideMark/>
          </w:tcPr>
          <w:p w14:paraId="4F5465B3"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546 </w:t>
            </w:r>
          </w:p>
        </w:tc>
        <w:tc>
          <w:tcPr>
            <w:tcW w:w="911" w:type="pct"/>
            <w:tcBorders>
              <w:top w:val="nil"/>
              <w:left w:val="nil"/>
              <w:bottom w:val="single" w:sz="4" w:space="0" w:color="auto"/>
              <w:right w:val="single" w:sz="4" w:space="0" w:color="auto"/>
            </w:tcBorders>
            <w:shd w:val="clear" w:color="auto" w:fill="auto"/>
            <w:vAlign w:val="center"/>
            <w:hideMark/>
          </w:tcPr>
          <w:p w14:paraId="73CE5F70"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255 </w:t>
            </w:r>
          </w:p>
        </w:tc>
      </w:tr>
      <w:tr w:rsidR="00001915" w:rsidRPr="001B7E14" w14:paraId="72E92D89"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auto" w:fill="auto"/>
            <w:vAlign w:val="center"/>
            <w:hideMark/>
          </w:tcPr>
          <w:p w14:paraId="0891D5F6" w14:textId="77777777" w:rsidR="00001915" w:rsidRPr="001B7E14" w:rsidRDefault="00001915" w:rsidP="00001915">
            <w:pPr>
              <w:jc w:val="both"/>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Superávit fiscal Cancelaciones </w:t>
            </w:r>
          </w:p>
        </w:tc>
        <w:tc>
          <w:tcPr>
            <w:tcW w:w="909" w:type="pct"/>
            <w:tcBorders>
              <w:top w:val="nil"/>
              <w:left w:val="nil"/>
              <w:bottom w:val="single" w:sz="4" w:space="0" w:color="auto"/>
              <w:right w:val="single" w:sz="4" w:space="0" w:color="auto"/>
            </w:tcBorders>
            <w:shd w:val="clear" w:color="auto" w:fill="auto"/>
            <w:vAlign w:val="center"/>
            <w:hideMark/>
          </w:tcPr>
          <w:p w14:paraId="5DC9F510"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21 </w:t>
            </w:r>
          </w:p>
        </w:tc>
        <w:tc>
          <w:tcPr>
            <w:tcW w:w="908" w:type="pct"/>
            <w:tcBorders>
              <w:top w:val="nil"/>
              <w:left w:val="nil"/>
              <w:bottom w:val="single" w:sz="4" w:space="0" w:color="auto"/>
              <w:right w:val="single" w:sz="4" w:space="0" w:color="auto"/>
            </w:tcBorders>
            <w:shd w:val="clear" w:color="auto" w:fill="auto"/>
            <w:vAlign w:val="center"/>
            <w:hideMark/>
          </w:tcPr>
          <w:p w14:paraId="27CB5795"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35 </w:t>
            </w:r>
          </w:p>
        </w:tc>
        <w:tc>
          <w:tcPr>
            <w:tcW w:w="911" w:type="pct"/>
            <w:tcBorders>
              <w:top w:val="nil"/>
              <w:left w:val="nil"/>
              <w:bottom w:val="single" w:sz="4" w:space="0" w:color="auto"/>
              <w:right w:val="single" w:sz="4" w:space="0" w:color="auto"/>
            </w:tcBorders>
            <w:shd w:val="clear" w:color="auto" w:fill="auto"/>
            <w:vAlign w:val="center"/>
            <w:hideMark/>
          </w:tcPr>
          <w:p w14:paraId="3EEBB0C4"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6 </w:t>
            </w:r>
          </w:p>
        </w:tc>
      </w:tr>
      <w:tr w:rsidR="00001915" w:rsidRPr="001B7E14" w14:paraId="16ABC0E0"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auto" w:fill="auto"/>
            <w:vAlign w:val="center"/>
            <w:hideMark/>
          </w:tcPr>
          <w:p w14:paraId="7684D4E8" w14:textId="77777777" w:rsidR="00001915" w:rsidRPr="001B7E14" w:rsidRDefault="00001915" w:rsidP="00001915">
            <w:pPr>
              <w:jc w:val="both"/>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Reintegros </w:t>
            </w:r>
          </w:p>
        </w:tc>
        <w:tc>
          <w:tcPr>
            <w:tcW w:w="909" w:type="pct"/>
            <w:tcBorders>
              <w:top w:val="nil"/>
              <w:left w:val="nil"/>
              <w:bottom w:val="single" w:sz="4" w:space="0" w:color="auto"/>
              <w:right w:val="single" w:sz="4" w:space="0" w:color="auto"/>
            </w:tcBorders>
            <w:shd w:val="clear" w:color="auto" w:fill="auto"/>
            <w:vAlign w:val="center"/>
            <w:hideMark/>
          </w:tcPr>
          <w:p w14:paraId="60E8B719"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46 </w:t>
            </w:r>
          </w:p>
        </w:tc>
        <w:tc>
          <w:tcPr>
            <w:tcW w:w="908" w:type="pct"/>
            <w:tcBorders>
              <w:top w:val="nil"/>
              <w:left w:val="nil"/>
              <w:bottom w:val="single" w:sz="4" w:space="0" w:color="auto"/>
              <w:right w:val="single" w:sz="4" w:space="0" w:color="auto"/>
            </w:tcBorders>
            <w:shd w:val="clear" w:color="auto" w:fill="auto"/>
            <w:noWrap/>
            <w:vAlign w:val="bottom"/>
            <w:hideMark/>
          </w:tcPr>
          <w:p w14:paraId="5AC52CCC"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 </w:t>
            </w:r>
          </w:p>
        </w:tc>
        <w:tc>
          <w:tcPr>
            <w:tcW w:w="911" w:type="pct"/>
            <w:tcBorders>
              <w:top w:val="nil"/>
              <w:left w:val="nil"/>
              <w:bottom w:val="single" w:sz="4" w:space="0" w:color="auto"/>
              <w:right w:val="single" w:sz="4" w:space="0" w:color="auto"/>
            </w:tcBorders>
            <w:shd w:val="clear" w:color="auto" w:fill="auto"/>
            <w:vAlign w:val="center"/>
            <w:hideMark/>
          </w:tcPr>
          <w:p w14:paraId="59546B78"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2 </w:t>
            </w:r>
          </w:p>
        </w:tc>
      </w:tr>
      <w:tr w:rsidR="00001915" w:rsidRPr="001B7E14" w14:paraId="3794E650"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000000" w:fill="203764"/>
            <w:vAlign w:val="center"/>
            <w:hideMark/>
          </w:tcPr>
          <w:p w14:paraId="56130287" w14:textId="77777777" w:rsidR="00001915" w:rsidRPr="001B7E14" w:rsidRDefault="00001915" w:rsidP="00001915">
            <w:pPr>
              <w:jc w:val="both"/>
              <w:rPr>
                <w:rFonts w:ascii="Helvetica" w:eastAsia="Times New Roman" w:hAnsi="Helvetica" w:cs="Helvetica"/>
                <w:b/>
                <w:bCs/>
                <w:color w:val="FFFFFF"/>
                <w:sz w:val="18"/>
                <w:szCs w:val="18"/>
                <w:lang w:val="es-CO" w:eastAsia="es-CO"/>
              </w:rPr>
            </w:pPr>
            <w:r w:rsidRPr="001B7E14">
              <w:rPr>
                <w:rFonts w:ascii="Helvetica" w:eastAsia="Times New Roman" w:hAnsi="Helvetica" w:cs="Helvetica"/>
                <w:b/>
                <w:bCs/>
                <w:color w:val="FFFFFF"/>
                <w:sz w:val="18"/>
                <w:szCs w:val="18"/>
                <w:lang w:val="es-CO" w:eastAsia="es-CO"/>
              </w:rPr>
              <w:t xml:space="preserve"> INGRESOS TOTALES </w:t>
            </w:r>
          </w:p>
        </w:tc>
        <w:tc>
          <w:tcPr>
            <w:tcW w:w="909" w:type="pct"/>
            <w:tcBorders>
              <w:top w:val="nil"/>
              <w:left w:val="nil"/>
              <w:bottom w:val="single" w:sz="4" w:space="0" w:color="auto"/>
              <w:right w:val="single" w:sz="4" w:space="0" w:color="auto"/>
            </w:tcBorders>
            <w:shd w:val="clear" w:color="000000" w:fill="203764"/>
            <w:vAlign w:val="center"/>
            <w:hideMark/>
          </w:tcPr>
          <w:p w14:paraId="3254D4E1" w14:textId="77777777" w:rsidR="00001915" w:rsidRPr="001B7E14" w:rsidRDefault="00001915" w:rsidP="00001915">
            <w:pPr>
              <w:jc w:val="right"/>
              <w:rPr>
                <w:rFonts w:ascii="Helvetica" w:eastAsia="Times New Roman" w:hAnsi="Helvetica" w:cs="Helvetica"/>
                <w:b/>
                <w:bCs/>
                <w:color w:val="FFFFFF"/>
                <w:sz w:val="18"/>
                <w:szCs w:val="18"/>
                <w:lang w:val="es-CO" w:eastAsia="es-CO"/>
              </w:rPr>
            </w:pPr>
            <w:r w:rsidRPr="001B7E14">
              <w:rPr>
                <w:rFonts w:ascii="Helvetica" w:eastAsia="Times New Roman" w:hAnsi="Helvetica" w:cs="Helvetica"/>
                <w:b/>
                <w:bCs/>
                <w:color w:val="FFFFFF"/>
                <w:sz w:val="18"/>
                <w:szCs w:val="18"/>
                <w:lang w:val="es-CO" w:eastAsia="es-CO"/>
              </w:rPr>
              <w:t xml:space="preserve"> 58.570 </w:t>
            </w:r>
          </w:p>
        </w:tc>
        <w:tc>
          <w:tcPr>
            <w:tcW w:w="908" w:type="pct"/>
            <w:tcBorders>
              <w:top w:val="nil"/>
              <w:left w:val="nil"/>
              <w:bottom w:val="single" w:sz="4" w:space="0" w:color="auto"/>
              <w:right w:val="single" w:sz="4" w:space="0" w:color="auto"/>
            </w:tcBorders>
            <w:shd w:val="clear" w:color="000000" w:fill="203764"/>
            <w:vAlign w:val="center"/>
            <w:hideMark/>
          </w:tcPr>
          <w:p w14:paraId="7B777B6D" w14:textId="77777777" w:rsidR="00001915" w:rsidRPr="001B7E14" w:rsidRDefault="00001915" w:rsidP="00001915">
            <w:pPr>
              <w:jc w:val="right"/>
              <w:rPr>
                <w:rFonts w:ascii="Helvetica" w:eastAsia="Times New Roman" w:hAnsi="Helvetica" w:cs="Helvetica"/>
                <w:b/>
                <w:bCs/>
                <w:color w:val="FFFFFF"/>
                <w:sz w:val="18"/>
                <w:szCs w:val="18"/>
                <w:lang w:val="es-CO" w:eastAsia="es-CO"/>
              </w:rPr>
            </w:pPr>
            <w:r w:rsidRPr="001B7E14">
              <w:rPr>
                <w:rFonts w:ascii="Helvetica" w:eastAsia="Times New Roman" w:hAnsi="Helvetica" w:cs="Helvetica"/>
                <w:b/>
                <w:bCs/>
                <w:color w:val="FFFFFF"/>
                <w:sz w:val="18"/>
                <w:szCs w:val="18"/>
                <w:lang w:val="es-CO" w:eastAsia="es-CO"/>
              </w:rPr>
              <w:t xml:space="preserve"> 79.939 </w:t>
            </w:r>
          </w:p>
        </w:tc>
        <w:tc>
          <w:tcPr>
            <w:tcW w:w="911" w:type="pct"/>
            <w:tcBorders>
              <w:top w:val="nil"/>
              <w:left w:val="nil"/>
              <w:bottom w:val="single" w:sz="4" w:space="0" w:color="auto"/>
              <w:right w:val="single" w:sz="4" w:space="0" w:color="auto"/>
            </w:tcBorders>
            <w:shd w:val="clear" w:color="000000" w:fill="203764"/>
            <w:vAlign w:val="center"/>
            <w:hideMark/>
          </w:tcPr>
          <w:p w14:paraId="31C6ED93" w14:textId="77777777" w:rsidR="00001915" w:rsidRPr="001B7E14" w:rsidRDefault="00001915" w:rsidP="00001915">
            <w:pPr>
              <w:jc w:val="right"/>
              <w:rPr>
                <w:rFonts w:ascii="Helvetica" w:eastAsia="Times New Roman" w:hAnsi="Helvetica" w:cs="Helvetica"/>
                <w:b/>
                <w:bCs/>
                <w:color w:val="FFFFFF"/>
                <w:sz w:val="18"/>
                <w:szCs w:val="18"/>
                <w:lang w:val="es-CO" w:eastAsia="es-CO"/>
              </w:rPr>
            </w:pPr>
            <w:r w:rsidRPr="001B7E14">
              <w:rPr>
                <w:rFonts w:ascii="Helvetica" w:eastAsia="Times New Roman" w:hAnsi="Helvetica" w:cs="Helvetica"/>
                <w:b/>
                <w:bCs/>
                <w:color w:val="FFFFFF"/>
                <w:sz w:val="18"/>
                <w:szCs w:val="18"/>
                <w:lang w:val="es-CO" w:eastAsia="es-CO"/>
              </w:rPr>
              <w:t xml:space="preserve"> 83.927 </w:t>
            </w:r>
          </w:p>
        </w:tc>
      </w:tr>
    </w:tbl>
    <w:p w14:paraId="66545098" w14:textId="77777777" w:rsidR="00AD0693" w:rsidRPr="001B7E14" w:rsidRDefault="00AD0693" w:rsidP="00001915">
      <w:pPr>
        <w:jc w:val="center"/>
        <w:rPr>
          <w:rFonts w:ascii="Helvetica" w:hAnsi="Helvetica" w:cs="Helvetica"/>
          <w:sz w:val="16"/>
          <w:szCs w:val="16"/>
          <w:lang w:val="es-CO"/>
        </w:rPr>
      </w:pPr>
      <w:r w:rsidRPr="001B7E14">
        <w:rPr>
          <w:rFonts w:ascii="Helvetica" w:hAnsi="Helvetica" w:cs="Helvetica"/>
          <w:sz w:val="16"/>
          <w:szCs w:val="16"/>
          <w:lang w:val="es-CO"/>
        </w:rPr>
        <w:t>Fuente: Ejecución presupuesta de ingresos de l</w:t>
      </w:r>
      <w:r w:rsidR="00001915" w:rsidRPr="001B7E14">
        <w:rPr>
          <w:rFonts w:ascii="Helvetica" w:hAnsi="Helvetica" w:cs="Helvetica"/>
          <w:sz w:val="16"/>
          <w:szCs w:val="16"/>
          <w:lang w:val="es-CO"/>
        </w:rPr>
        <w:t xml:space="preserve">a entidad de la vigencia 2020, </w:t>
      </w:r>
      <w:r w:rsidRPr="001B7E14">
        <w:rPr>
          <w:rFonts w:ascii="Helvetica" w:hAnsi="Helvetica" w:cs="Helvetica"/>
          <w:sz w:val="16"/>
          <w:szCs w:val="16"/>
          <w:lang w:val="es-CO"/>
        </w:rPr>
        <w:t>2021</w:t>
      </w:r>
      <w:r w:rsidR="00001915" w:rsidRPr="001B7E14">
        <w:rPr>
          <w:rFonts w:ascii="Helvetica" w:hAnsi="Helvetica" w:cs="Helvetica"/>
          <w:sz w:val="16"/>
          <w:szCs w:val="16"/>
          <w:lang w:val="es-CO"/>
        </w:rPr>
        <w:t xml:space="preserve"> y 2022</w:t>
      </w:r>
      <w:r w:rsidRPr="001B7E14">
        <w:rPr>
          <w:rFonts w:ascii="Helvetica" w:hAnsi="Helvetica" w:cs="Helvetica"/>
          <w:sz w:val="16"/>
          <w:szCs w:val="16"/>
          <w:lang w:val="es-CO"/>
        </w:rPr>
        <w:t>.</w:t>
      </w:r>
    </w:p>
    <w:p w14:paraId="4BA4C6A3" w14:textId="77777777" w:rsidR="00AD0693" w:rsidRPr="001B7E14" w:rsidRDefault="00AD0693" w:rsidP="00FA42BB">
      <w:pPr>
        <w:jc w:val="center"/>
        <w:rPr>
          <w:rFonts w:ascii="Helvetica" w:hAnsi="Helvetica" w:cs="Helvetica"/>
          <w:sz w:val="22"/>
          <w:szCs w:val="22"/>
          <w:lang w:val="es-CO"/>
        </w:rPr>
      </w:pPr>
    </w:p>
    <w:p w14:paraId="0B6538E1" w14:textId="77777777" w:rsidR="00687FDB" w:rsidRPr="001B7E14" w:rsidRDefault="00687FDB" w:rsidP="00F1195D">
      <w:pPr>
        <w:pStyle w:val="Prrafodelista"/>
        <w:numPr>
          <w:ilvl w:val="0"/>
          <w:numId w:val="36"/>
        </w:numPr>
        <w:ind w:left="426" w:hanging="426"/>
        <w:jc w:val="both"/>
        <w:rPr>
          <w:rFonts w:ascii="Helvetica" w:hAnsi="Helvetica" w:cs="Helvetica"/>
          <w:sz w:val="22"/>
          <w:szCs w:val="22"/>
          <w:lang w:val="es-CO"/>
        </w:rPr>
      </w:pPr>
      <w:r w:rsidRPr="001B7E14">
        <w:rPr>
          <w:rFonts w:ascii="Helvetica" w:hAnsi="Helvetica" w:cs="Helvetica"/>
          <w:sz w:val="22"/>
          <w:szCs w:val="22"/>
          <w:lang w:val="es-CO"/>
        </w:rPr>
        <w:t xml:space="preserve">En la vigencia 2020 la entidad incorporó en </w:t>
      </w:r>
      <w:r w:rsidR="00502CC0" w:rsidRPr="001B7E14">
        <w:rPr>
          <w:rFonts w:ascii="Helvetica" w:hAnsi="Helvetica" w:cs="Helvetica"/>
          <w:sz w:val="22"/>
          <w:szCs w:val="22"/>
          <w:lang w:val="es-CO"/>
        </w:rPr>
        <w:t>el</w:t>
      </w:r>
      <w:r w:rsidRPr="001B7E14">
        <w:rPr>
          <w:rFonts w:ascii="Helvetica" w:hAnsi="Helvetica" w:cs="Helvetica"/>
          <w:sz w:val="22"/>
          <w:szCs w:val="22"/>
          <w:lang w:val="es-CO"/>
        </w:rPr>
        <w:t xml:space="preserve"> ingreso corriente $42 millones por encima de los recursos asignados, </w:t>
      </w:r>
      <w:r w:rsidR="00F1195D" w:rsidRPr="001B7E14">
        <w:rPr>
          <w:rFonts w:ascii="Helvetica" w:hAnsi="Helvetica" w:cs="Helvetica"/>
          <w:sz w:val="22"/>
          <w:szCs w:val="22"/>
          <w:lang w:val="es-CO"/>
        </w:rPr>
        <w:t xml:space="preserve">que </w:t>
      </w:r>
      <w:r w:rsidRPr="001B7E14">
        <w:rPr>
          <w:rFonts w:ascii="Helvetica" w:hAnsi="Helvetica" w:cs="Helvetica"/>
          <w:sz w:val="22"/>
          <w:szCs w:val="22"/>
          <w:lang w:val="es-CO"/>
        </w:rPr>
        <w:t>debió incorporar en los recursos de capital, ya que dichos recursos no fueron asignados, ni girados en la vigencia.</w:t>
      </w:r>
    </w:p>
    <w:p w14:paraId="4543C52A" w14:textId="77777777" w:rsidR="00F1195D" w:rsidRPr="001B7E14" w:rsidRDefault="00F1195D" w:rsidP="00F1195D">
      <w:pPr>
        <w:pStyle w:val="Prrafodelista"/>
        <w:ind w:left="426"/>
        <w:jc w:val="both"/>
        <w:rPr>
          <w:rFonts w:ascii="Helvetica" w:hAnsi="Helvetica" w:cs="Helvetica"/>
          <w:sz w:val="22"/>
          <w:szCs w:val="22"/>
          <w:lang w:val="es-CO"/>
        </w:rPr>
      </w:pPr>
    </w:p>
    <w:p w14:paraId="53EFA34A" w14:textId="77777777" w:rsidR="00AD0693" w:rsidRPr="001B7E14" w:rsidRDefault="00AD0693" w:rsidP="00F1195D">
      <w:pPr>
        <w:pStyle w:val="Prrafodelista"/>
        <w:numPr>
          <w:ilvl w:val="0"/>
          <w:numId w:val="36"/>
        </w:numPr>
        <w:ind w:left="426" w:hanging="426"/>
        <w:jc w:val="both"/>
        <w:rPr>
          <w:rFonts w:ascii="Helvetica" w:hAnsi="Helvetica" w:cs="Helvetica"/>
          <w:sz w:val="22"/>
          <w:szCs w:val="22"/>
          <w:lang w:val="es-CO"/>
        </w:rPr>
      </w:pPr>
      <w:r w:rsidRPr="001B7E14">
        <w:rPr>
          <w:rFonts w:ascii="Helvetica" w:hAnsi="Helvetica" w:cs="Helvetica"/>
          <w:sz w:val="22"/>
          <w:szCs w:val="22"/>
          <w:lang w:val="es-CO"/>
        </w:rPr>
        <w:lastRenderedPageBreak/>
        <w:t xml:space="preserve">Con respecto al ingreso se concluye que </w:t>
      </w:r>
      <w:r w:rsidR="00001861" w:rsidRPr="001B7E14">
        <w:rPr>
          <w:rFonts w:ascii="Helvetica" w:hAnsi="Helvetica" w:cs="Helvetica"/>
          <w:sz w:val="22"/>
          <w:szCs w:val="22"/>
          <w:lang w:val="es-CO"/>
        </w:rPr>
        <w:t xml:space="preserve">en la vigencia 2021 </w:t>
      </w:r>
      <w:r w:rsidRPr="001B7E14">
        <w:rPr>
          <w:rFonts w:ascii="Helvetica" w:hAnsi="Helvetica" w:cs="Helvetica"/>
          <w:sz w:val="22"/>
          <w:szCs w:val="22"/>
          <w:lang w:val="es-CO"/>
        </w:rPr>
        <w:t>solo se presenta una diferencia en los recursos Con Situación de Fondos frente a los asignados de $9 Millones es decir se le asignaron y giraron $61.784 millones y la entidad incorporó en su ejecución de ingresos $61.775 millones.</w:t>
      </w:r>
    </w:p>
    <w:p w14:paraId="2B582F37" w14:textId="77777777" w:rsidR="00001915" w:rsidRPr="001B7E14" w:rsidRDefault="00001915" w:rsidP="00F1195D">
      <w:pPr>
        <w:ind w:left="426" w:hanging="426"/>
        <w:jc w:val="both"/>
        <w:rPr>
          <w:rFonts w:ascii="Helvetica" w:hAnsi="Helvetica" w:cs="Helvetica"/>
          <w:sz w:val="22"/>
          <w:szCs w:val="22"/>
          <w:lang w:val="es-CO"/>
        </w:rPr>
      </w:pPr>
    </w:p>
    <w:p w14:paraId="711828F2" w14:textId="77777777" w:rsidR="00AD0693" w:rsidRPr="001B7E14" w:rsidRDefault="00001915" w:rsidP="00F1195D">
      <w:pPr>
        <w:pStyle w:val="Prrafodelista"/>
        <w:numPr>
          <w:ilvl w:val="0"/>
          <w:numId w:val="36"/>
        </w:numPr>
        <w:ind w:left="426" w:hanging="426"/>
        <w:jc w:val="both"/>
        <w:rPr>
          <w:rFonts w:ascii="Helvetica" w:hAnsi="Helvetica" w:cs="Helvetica"/>
          <w:sz w:val="22"/>
          <w:szCs w:val="22"/>
          <w:lang w:val="es-CO"/>
        </w:rPr>
      </w:pPr>
      <w:r w:rsidRPr="001B7E14">
        <w:rPr>
          <w:rFonts w:ascii="Helvetica" w:hAnsi="Helvetica" w:cs="Helvetica"/>
          <w:sz w:val="22"/>
          <w:szCs w:val="22"/>
          <w:lang w:val="es-CO"/>
        </w:rPr>
        <w:t xml:space="preserve">En la ejecución presupuestal de 2022 </w:t>
      </w:r>
      <w:r w:rsidR="00F9383A" w:rsidRPr="001B7E14">
        <w:rPr>
          <w:rFonts w:ascii="Helvetica" w:hAnsi="Helvetica" w:cs="Helvetica"/>
          <w:sz w:val="22"/>
          <w:szCs w:val="22"/>
          <w:lang w:val="es-CO"/>
        </w:rPr>
        <w:t xml:space="preserve">la entidad </w:t>
      </w:r>
      <w:r w:rsidR="00F1195D" w:rsidRPr="001B7E14">
        <w:rPr>
          <w:rFonts w:ascii="Helvetica" w:hAnsi="Helvetica" w:cs="Helvetica"/>
          <w:sz w:val="22"/>
          <w:szCs w:val="22"/>
          <w:lang w:val="es-CO"/>
        </w:rPr>
        <w:t xml:space="preserve">registró </w:t>
      </w:r>
      <w:r w:rsidR="00F9383A" w:rsidRPr="001B7E14">
        <w:rPr>
          <w:rFonts w:ascii="Helvetica" w:hAnsi="Helvetica" w:cs="Helvetica"/>
          <w:sz w:val="22"/>
          <w:szCs w:val="22"/>
          <w:lang w:val="es-CO"/>
        </w:rPr>
        <w:t>en el recaudo la totalidad de los recursos asignados</w:t>
      </w:r>
      <w:r w:rsidR="00F1195D" w:rsidRPr="001B7E14">
        <w:rPr>
          <w:rFonts w:ascii="Helvetica" w:hAnsi="Helvetica" w:cs="Helvetica"/>
          <w:sz w:val="22"/>
          <w:szCs w:val="22"/>
          <w:lang w:val="es-CO"/>
        </w:rPr>
        <w:t>. S</w:t>
      </w:r>
      <w:r w:rsidR="00F9383A" w:rsidRPr="001B7E14">
        <w:rPr>
          <w:rFonts w:ascii="Helvetica" w:hAnsi="Helvetica" w:cs="Helvetica"/>
          <w:sz w:val="22"/>
          <w:szCs w:val="22"/>
          <w:lang w:val="es-CO"/>
        </w:rPr>
        <w:t xml:space="preserve">in embargo, de acuerdo con el PAC del </w:t>
      </w:r>
      <w:r w:rsidR="00F1195D" w:rsidRPr="001B7E14">
        <w:rPr>
          <w:rFonts w:ascii="Helvetica" w:hAnsi="Helvetica" w:cs="Helvetica"/>
          <w:sz w:val="22"/>
          <w:szCs w:val="22"/>
          <w:lang w:val="es-CO"/>
        </w:rPr>
        <w:t>M</w:t>
      </w:r>
      <w:r w:rsidR="00F9383A" w:rsidRPr="001B7E14">
        <w:rPr>
          <w:rFonts w:ascii="Helvetica" w:hAnsi="Helvetica" w:cs="Helvetica"/>
          <w:sz w:val="22"/>
          <w:szCs w:val="22"/>
          <w:lang w:val="es-CO"/>
        </w:rPr>
        <w:t xml:space="preserve">inisterio de </w:t>
      </w:r>
      <w:r w:rsidR="00F1195D" w:rsidRPr="001B7E14">
        <w:rPr>
          <w:rFonts w:ascii="Helvetica" w:hAnsi="Helvetica" w:cs="Helvetica"/>
          <w:sz w:val="22"/>
          <w:szCs w:val="22"/>
          <w:lang w:val="es-CO"/>
        </w:rPr>
        <w:t>E</w:t>
      </w:r>
      <w:r w:rsidR="00F9383A" w:rsidRPr="001B7E14">
        <w:rPr>
          <w:rFonts w:ascii="Helvetica" w:hAnsi="Helvetica" w:cs="Helvetica"/>
          <w:sz w:val="22"/>
          <w:szCs w:val="22"/>
          <w:lang w:val="es-CO"/>
        </w:rPr>
        <w:t xml:space="preserve">ducación Nacional se giraron 18 millones por encima de lo asignado, los cuales no fueron incorporados en la ejecución. </w:t>
      </w:r>
    </w:p>
    <w:p w14:paraId="46E7AF32" w14:textId="77777777" w:rsidR="00F9383A" w:rsidRPr="001B7E14" w:rsidRDefault="00F9383A" w:rsidP="00F1195D">
      <w:pPr>
        <w:pStyle w:val="Prrafodelista"/>
        <w:ind w:left="426" w:hanging="426"/>
        <w:rPr>
          <w:rFonts w:ascii="Helvetica" w:hAnsi="Helvetica" w:cs="Helvetica"/>
          <w:sz w:val="22"/>
          <w:szCs w:val="22"/>
          <w:lang w:val="es-CO"/>
        </w:rPr>
      </w:pPr>
    </w:p>
    <w:p w14:paraId="4138DE91" w14:textId="77777777" w:rsidR="00F9383A" w:rsidRPr="001B7E14" w:rsidRDefault="00F9383A" w:rsidP="00F1195D">
      <w:pPr>
        <w:pStyle w:val="Prrafodelista"/>
        <w:numPr>
          <w:ilvl w:val="0"/>
          <w:numId w:val="36"/>
        </w:numPr>
        <w:ind w:left="426" w:hanging="426"/>
        <w:jc w:val="both"/>
        <w:rPr>
          <w:rFonts w:ascii="Helvetica" w:hAnsi="Helvetica" w:cs="Helvetica"/>
          <w:sz w:val="22"/>
          <w:szCs w:val="22"/>
          <w:lang w:val="es-CO"/>
        </w:rPr>
      </w:pPr>
      <w:r w:rsidRPr="001B7E14">
        <w:rPr>
          <w:rFonts w:ascii="Helvetica" w:hAnsi="Helvetica" w:cs="Helvetica"/>
          <w:sz w:val="22"/>
          <w:szCs w:val="22"/>
          <w:lang w:val="es-CO"/>
        </w:rPr>
        <w:t xml:space="preserve"> En cuanto a la incorporación de los recursos del balance</w:t>
      </w:r>
      <w:r w:rsidR="00687FDB" w:rsidRPr="001B7E14">
        <w:rPr>
          <w:rFonts w:ascii="Helvetica" w:hAnsi="Helvetica" w:cs="Helvetica"/>
          <w:sz w:val="22"/>
          <w:szCs w:val="22"/>
          <w:lang w:val="es-CO"/>
        </w:rPr>
        <w:t xml:space="preserve"> de la vigencia 2021</w:t>
      </w:r>
      <w:r w:rsidRPr="001B7E14">
        <w:rPr>
          <w:rFonts w:ascii="Helvetica" w:hAnsi="Helvetica" w:cs="Helvetica"/>
          <w:sz w:val="22"/>
          <w:szCs w:val="22"/>
          <w:lang w:val="es-CO"/>
        </w:rPr>
        <w:t xml:space="preserve">, de acuerdo con el </w:t>
      </w:r>
      <w:r w:rsidR="00200F9E" w:rsidRPr="001B7E14">
        <w:rPr>
          <w:rFonts w:ascii="Helvetica" w:hAnsi="Helvetica" w:cs="Helvetica"/>
          <w:sz w:val="22"/>
          <w:szCs w:val="22"/>
          <w:lang w:val="es-CO"/>
        </w:rPr>
        <w:t>reporte d</w:t>
      </w:r>
      <w:r w:rsidR="00687FDB" w:rsidRPr="001B7E14">
        <w:rPr>
          <w:rFonts w:ascii="Helvetica" w:hAnsi="Helvetica" w:cs="Helvetica"/>
          <w:sz w:val="22"/>
          <w:szCs w:val="22"/>
          <w:lang w:val="es-CO"/>
        </w:rPr>
        <w:t xml:space="preserve">el cierre fiscal en del </w:t>
      </w:r>
      <w:r w:rsidR="00200F9E" w:rsidRPr="001B7E14">
        <w:rPr>
          <w:rFonts w:ascii="Helvetica" w:hAnsi="Helvetica" w:cs="Helvetica"/>
          <w:sz w:val="22"/>
          <w:szCs w:val="22"/>
          <w:lang w:val="es-CO"/>
        </w:rPr>
        <w:t xml:space="preserve">FUT </w:t>
      </w:r>
      <w:r w:rsidR="00687FDB" w:rsidRPr="001B7E14">
        <w:rPr>
          <w:rFonts w:ascii="Helvetica" w:hAnsi="Helvetica" w:cs="Helvetica"/>
          <w:sz w:val="22"/>
          <w:szCs w:val="22"/>
          <w:lang w:val="es-CO"/>
        </w:rPr>
        <w:t xml:space="preserve">el </w:t>
      </w:r>
      <w:r w:rsidR="00200F9E" w:rsidRPr="001B7E14">
        <w:rPr>
          <w:rFonts w:ascii="Helvetica" w:hAnsi="Helvetica" w:cs="Helvetica"/>
          <w:sz w:val="22"/>
          <w:szCs w:val="22"/>
          <w:lang w:val="es-CO"/>
        </w:rPr>
        <w:t>superávit era de $13.514 millones, el</w:t>
      </w:r>
      <w:r w:rsidR="00502CC0" w:rsidRPr="001B7E14">
        <w:rPr>
          <w:rFonts w:ascii="Helvetica" w:hAnsi="Helvetica" w:cs="Helvetica"/>
          <w:sz w:val="22"/>
          <w:szCs w:val="22"/>
          <w:lang w:val="es-CO"/>
        </w:rPr>
        <w:t xml:space="preserve"> </w:t>
      </w:r>
      <w:r w:rsidRPr="001B7E14">
        <w:rPr>
          <w:rFonts w:ascii="Helvetica" w:hAnsi="Helvetica" w:cs="Helvetica"/>
          <w:sz w:val="22"/>
          <w:szCs w:val="22"/>
          <w:lang w:val="es-CO"/>
        </w:rPr>
        <w:t xml:space="preserve">ejercicio presupuestal </w:t>
      </w:r>
      <w:r w:rsidR="00200F9E" w:rsidRPr="001B7E14">
        <w:rPr>
          <w:rFonts w:ascii="Helvetica" w:hAnsi="Helvetica" w:cs="Helvetica"/>
          <w:sz w:val="22"/>
          <w:szCs w:val="22"/>
          <w:lang w:val="es-CO"/>
        </w:rPr>
        <w:t xml:space="preserve">de </w:t>
      </w:r>
      <w:r w:rsidRPr="001B7E14">
        <w:rPr>
          <w:rFonts w:ascii="Helvetica" w:hAnsi="Helvetica" w:cs="Helvetica"/>
          <w:sz w:val="22"/>
          <w:szCs w:val="22"/>
          <w:lang w:val="es-CO"/>
        </w:rPr>
        <w:t>cierre de la vigencia 2021</w:t>
      </w:r>
      <w:r w:rsidR="00200F9E" w:rsidRPr="001B7E14">
        <w:rPr>
          <w:rFonts w:ascii="Helvetica" w:hAnsi="Helvetica" w:cs="Helvetica"/>
          <w:sz w:val="22"/>
          <w:szCs w:val="22"/>
          <w:lang w:val="es-CO"/>
        </w:rPr>
        <w:t xml:space="preserve"> arrojó un superávit de</w:t>
      </w:r>
      <w:r w:rsidR="00502CC0" w:rsidRPr="001B7E14">
        <w:rPr>
          <w:rFonts w:ascii="Helvetica" w:hAnsi="Helvetica" w:cs="Helvetica"/>
          <w:sz w:val="22"/>
          <w:szCs w:val="22"/>
          <w:lang w:val="es-CO"/>
        </w:rPr>
        <w:t xml:space="preserve"> </w:t>
      </w:r>
      <w:r w:rsidR="00200F9E" w:rsidRPr="001B7E14">
        <w:rPr>
          <w:rFonts w:ascii="Helvetica" w:hAnsi="Helvetica" w:cs="Helvetica"/>
          <w:sz w:val="22"/>
          <w:szCs w:val="22"/>
          <w:lang w:val="es-CO"/>
        </w:rPr>
        <w:t>$12.162 millones</w:t>
      </w:r>
      <w:r w:rsidR="00502CC0" w:rsidRPr="001B7E14">
        <w:rPr>
          <w:rFonts w:ascii="Helvetica" w:hAnsi="Helvetica" w:cs="Helvetica"/>
          <w:sz w:val="22"/>
          <w:szCs w:val="22"/>
          <w:lang w:val="es-CO"/>
        </w:rPr>
        <w:t xml:space="preserve"> </w:t>
      </w:r>
      <w:r w:rsidR="00200F9E" w:rsidRPr="001B7E14">
        <w:rPr>
          <w:rFonts w:ascii="Helvetica" w:hAnsi="Helvetica" w:cs="Helvetica"/>
          <w:sz w:val="22"/>
          <w:szCs w:val="22"/>
          <w:lang w:val="es-CO"/>
        </w:rPr>
        <w:t xml:space="preserve">y </w:t>
      </w:r>
      <w:r w:rsidRPr="001B7E14">
        <w:rPr>
          <w:rFonts w:ascii="Helvetica" w:hAnsi="Helvetica" w:cs="Helvetica"/>
          <w:sz w:val="22"/>
          <w:szCs w:val="22"/>
          <w:lang w:val="es-CO"/>
        </w:rPr>
        <w:t xml:space="preserve">la entidad </w:t>
      </w:r>
      <w:r w:rsidR="00200F9E" w:rsidRPr="001B7E14">
        <w:rPr>
          <w:rFonts w:ascii="Helvetica" w:hAnsi="Helvetica" w:cs="Helvetica"/>
          <w:sz w:val="22"/>
          <w:szCs w:val="22"/>
          <w:lang w:val="es-CO"/>
        </w:rPr>
        <w:t>certificó</w:t>
      </w:r>
      <w:r w:rsidRPr="001B7E14">
        <w:rPr>
          <w:rFonts w:ascii="Helvetica" w:hAnsi="Helvetica" w:cs="Helvetica"/>
          <w:sz w:val="22"/>
          <w:szCs w:val="22"/>
          <w:lang w:val="es-CO"/>
        </w:rPr>
        <w:t xml:space="preserve"> un superávit de</w:t>
      </w:r>
      <w:r w:rsidR="00502CC0" w:rsidRPr="001B7E14">
        <w:rPr>
          <w:rFonts w:ascii="Helvetica" w:hAnsi="Helvetica" w:cs="Helvetica"/>
          <w:sz w:val="22"/>
          <w:szCs w:val="22"/>
          <w:lang w:val="es-CO"/>
        </w:rPr>
        <w:t xml:space="preserve"> </w:t>
      </w:r>
      <w:r w:rsidR="00200F9E" w:rsidRPr="001B7E14">
        <w:rPr>
          <w:rFonts w:ascii="Helvetica" w:hAnsi="Helvetica" w:cs="Helvetica"/>
          <w:sz w:val="22"/>
          <w:szCs w:val="22"/>
          <w:lang w:val="es-CO"/>
        </w:rPr>
        <w:t xml:space="preserve">tesorería de </w:t>
      </w:r>
      <w:r w:rsidRPr="001B7E14">
        <w:rPr>
          <w:rFonts w:ascii="Helvetica" w:hAnsi="Helvetica" w:cs="Helvetica"/>
          <w:sz w:val="22"/>
          <w:szCs w:val="22"/>
          <w:lang w:val="es-CO"/>
        </w:rPr>
        <w:t>$1</w:t>
      </w:r>
      <w:r w:rsidR="00200F9E" w:rsidRPr="001B7E14">
        <w:rPr>
          <w:rFonts w:ascii="Helvetica" w:hAnsi="Helvetica" w:cs="Helvetica"/>
          <w:sz w:val="22"/>
          <w:szCs w:val="22"/>
          <w:lang w:val="es-CO"/>
        </w:rPr>
        <w:t>2.922</w:t>
      </w:r>
      <w:r w:rsidRPr="001B7E14">
        <w:rPr>
          <w:rFonts w:ascii="Helvetica" w:hAnsi="Helvetica" w:cs="Helvetica"/>
          <w:sz w:val="22"/>
          <w:szCs w:val="22"/>
          <w:lang w:val="es-CO"/>
        </w:rPr>
        <w:t xml:space="preserve"> millones, </w:t>
      </w:r>
      <w:r w:rsidR="00200F9E" w:rsidRPr="001B7E14">
        <w:rPr>
          <w:rFonts w:ascii="Helvetica" w:hAnsi="Helvetica" w:cs="Helvetica"/>
          <w:sz w:val="22"/>
          <w:szCs w:val="22"/>
          <w:lang w:val="es-CO"/>
        </w:rPr>
        <w:t xml:space="preserve">de los cuales en la vigencia 2022 se incorporaron $12.864 millones, es decir </w:t>
      </w:r>
      <w:r w:rsidR="00687FDB" w:rsidRPr="001B7E14">
        <w:rPr>
          <w:rFonts w:ascii="Helvetica" w:hAnsi="Helvetica" w:cs="Helvetica"/>
          <w:sz w:val="22"/>
          <w:szCs w:val="22"/>
          <w:lang w:val="es-CO"/>
        </w:rPr>
        <w:t>$</w:t>
      </w:r>
      <w:r w:rsidR="00200F9E" w:rsidRPr="001B7E14">
        <w:rPr>
          <w:rFonts w:ascii="Helvetica" w:hAnsi="Helvetica" w:cs="Helvetica"/>
          <w:sz w:val="22"/>
          <w:szCs w:val="22"/>
          <w:lang w:val="es-CO"/>
        </w:rPr>
        <w:t xml:space="preserve">59 millones menos del valor del superávit certificado por tesorería. </w:t>
      </w:r>
    </w:p>
    <w:p w14:paraId="3DBF2C81" w14:textId="77777777" w:rsidR="00F9383A" w:rsidRPr="001B7E14" w:rsidRDefault="00F9383A" w:rsidP="00FA42BB">
      <w:pPr>
        <w:jc w:val="both"/>
        <w:rPr>
          <w:rFonts w:ascii="Helvetica" w:hAnsi="Helvetica" w:cs="Helvetica"/>
          <w:sz w:val="22"/>
          <w:szCs w:val="22"/>
          <w:lang w:val="es-CO"/>
        </w:rPr>
      </w:pPr>
    </w:p>
    <w:p w14:paraId="6A1B23CF" w14:textId="77777777" w:rsidR="00AD0693" w:rsidRPr="001B7E14" w:rsidRDefault="00AD0693" w:rsidP="00FA42BB">
      <w:pPr>
        <w:pStyle w:val="Ttulo2"/>
        <w:spacing w:before="0"/>
        <w:rPr>
          <w:rFonts w:ascii="Helvetica" w:hAnsi="Helvetica" w:cs="Helvetica"/>
          <w:b/>
          <w:bCs/>
          <w:color w:val="auto"/>
          <w:sz w:val="22"/>
          <w:szCs w:val="22"/>
          <w:lang w:val="es-CO"/>
        </w:rPr>
      </w:pPr>
      <w:r w:rsidRPr="001B7E14">
        <w:rPr>
          <w:rFonts w:ascii="Helvetica" w:hAnsi="Helvetica" w:cs="Helvetica"/>
          <w:b/>
          <w:bCs/>
          <w:color w:val="auto"/>
          <w:sz w:val="22"/>
          <w:szCs w:val="22"/>
          <w:lang w:val="es-CO"/>
        </w:rPr>
        <w:t>Gastos</w:t>
      </w:r>
    </w:p>
    <w:p w14:paraId="2E3998F6" w14:textId="77777777" w:rsidR="00AD0693" w:rsidRPr="001B7E14" w:rsidRDefault="00AD0693" w:rsidP="00FA42BB">
      <w:pPr>
        <w:jc w:val="both"/>
        <w:rPr>
          <w:rFonts w:ascii="Helvetica" w:hAnsi="Helvetica" w:cs="Helvetica"/>
          <w:sz w:val="22"/>
          <w:szCs w:val="22"/>
          <w:lang w:val="es-CO"/>
        </w:rPr>
      </w:pPr>
    </w:p>
    <w:p w14:paraId="72ADEA42"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En lo correspondien</w:t>
      </w:r>
      <w:r w:rsidR="0098245B" w:rsidRPr="001B7E14">
        <w:rPr>
          <w:rFonts w:ascii="Helvetica" w:hAnsi="Helvetica" w:cs="Helvetica"/>
          <w:sz w:val="22"/>
          <w:szCs w:val="22"/>
          <w:lang w:val="es-CO"/>
        </w:rPr>
        <w:t>te al gasto, a diciembre de 2022</w:t>
      </w:r>
      <w:r w:rsidRPr="001B7E14">
        <w:rPr>
          <w:rFonts w:ascii="Helvetica" w:hAnsi="Helvetica" w:cs="Helvetica"/>
          <w:sz w:val="22"/>
          <w:szCs w:val="22"/>
          <w:lang w:val="es-CO"/>
        </w:rPr>
        <w:t xml:space="preserve"> se comprometieron $</w:t>
      </w:r>
      <w:r w:rsidR="0098245B" w:rsidRPr="001B7E14">
        <w:rPr>
          <w:rFonts w:ascii="Helvetica" w:hAnsi="Helvetica" w:cs="Helvetica"/>
          <w:sz w:val="22"/>
          <w:szCs w:val="22"/>
          <w:lang w:val="es-CO"/>
        </w:rPr>
        <w:t xml:space="preserve">73.883 </w:t>
      </w:r>
      <w:r w:rsidRPr="001B7E14">
        <w:rPr>
          <w:rFonts w:ascii="Helvetica" w:hAnsi="Helvetica" w:cs="Helvetica"/>
          <w:sz w:val="22"/>
          <w:szCs w:val="22"/>
          <w:lang w:val="es-CO"/>
        </w:rPr>
        <w:t>millones con cargo a los recursos del SGP asignados al sector. Los gastos financiados con recursos del SGP de la vigencia y anteriores se comprometieron de la siguiente manera: $</w:t>
      </w:r>
      <w:r w:rsidR="00A905BC" w:rsidRPr="001B7E14">
        <w:rPr>
          <w:rFonts w:ascii="Helvetica" w:hAnsi="Helvetica" w:cs="Helvetica"/>
          <w:sz w:val="22"/>
          <w:szCs w:val="22"/>
          <w:lang w:val="es-CO"/>
        </w:rPr>
        <w:t xml:space="preserve">55.119 </w:t>
      </w:r>
      <w:r w:rsidRPr="001B7E14">
        <w:rPr>
          <w:rFonts w:ascii="Helvetica" w:hAnsi="Helvetica" w:cs="Helvetica"/>
          <w:sz w:val="22"/>
          <w:szCs w:val="22"/>
          <w:lang w:val="es-CO"/>
        </w:rPr>
        <w:t>millones en cobertura, $</w:t>
      </w:r>
      <w:r w:rsidR="00A905BC" w:rsidRPr="001B7E14">
        <w:rPr>
          <w:rFonts w:ascii="Helvetica" w:hAnsi="Helvetica" w:cs="Helvetica"/>
          <w:sz w:val="22"/>
          <w:szCs w:val="22"/>
          <w:lang w:val="es-CO"/>
        </w:rPr>
        <w:t xml:space="preserve">6.320 </w:t>
      </w:r>
      <w:r w:rsidRPr="001B7E14">
        <w:rPr>
          <w:rFonts w:ascii="Helvetica" w:hAnsi="Helvetica" w:cs="Helvetica"/>
          <w:sz w:val="22"/>
          <w:szCs w:val="22"/>
          <w:lang w:val="es-CO"/>
        </w:rPr>
        <w:t>millones</w:t>
      </w:r>
      <w:r w:rsidR="00A905BC" w:rsidRPr="001B7E14">
        <w:rPr>
          <w:rFonts w:ascii="Helvetica" w:hAnsi="Helvetica" w:cs="Helvetica"/>
          <w:sz w:val="22"/>
          <w:szCs w:val="22"/>
          <w:lang w:val="es-CO"/>
        </w:rPr>
        <w:t xml:space="preserve"> en calidad, $11.302 millones en internados, </w:t>
      </w:r>
      <w:r w:rsidRPr="001B7E14">
        <w:rPr>
          <w:rFonts w:ascii="Helvetica" w:hAnsi="Helvetica" w:cs="Helvetica"/>
          <w:sz w:val="22"/>
          <w:szCs w:val="22"/>
          <w:lang w:val="es-CO"/>
        </w:rPr>
        <w:t>$</w:t>
      </w:r>
      <w:r w:rsidR="00A905BC" w:rsidRPr="001B7E14">
        <w:rPr>
          <w:rFonts w:ascii="Helvetica" w:hAnsi="Helvetica" w:cs="Helvetica"/>
          <w:sz w:val="22"/>
          <w:szCs w:val="22"/>
          <w:lang w:val="es-CO"/>
        </w:rPr>
        <w:t xml:space="preserve">132 millones </w:t>
      </w:r>
      <w:r w:rsidRPr="001B7E14">
        <w:rPr>
          <w:rFonts w:ascii="Helvetica" w:hAnsi="Helvetica" w:cs="Helvetica"/>
          <w:sz w:val="22"/>
          <w:szCs w:val="22"/>
          <w:lang w:val="es-CO"/>
        </w:rPr>
        <w:t>en Gratuidad y $</w:t>
      </w:r>
      <w:r w:rsidR="00A905BC" w:rsidRPr="001B7E14">
        <w:rPr>
          <w:rFonts w:ascii="Helvetica" w:hAnsi="Helvetica" w:cs="Helvetica"/>
          <w:sz w:val="22"/>
          <w:szCs w:val="22"/>
          <w:lang w:val="es-CO"/>
        </w:rPr>
        <w:t>172</w:t>
      </w:r>
      <w:r w:rsidRPr="001B7E14">
        <w:rPr>
          <w:rFonts w:ascii="Helvetica" w:hAnsi="Helvetica" w:cs="Helvetica"/>
          <w:sz w:val="22"/>
          <w:szCs w:val="22"/>
          <w:lang w:val="es-CO"/>
        </w:rPr>
        <w:t xml:space="preserve"> millones en Necesidades Educativas especiales:</w:t>
      </w:r>
    </w:p>
    <w:p w14:paraId="1500DE77" w14:textId="77777777" w:rsidR="00AD0693" w:rsidRPr="001B7E14" w:rsidRDefault="00AD0693" w:rsidP="00FA42BB">
      <w:pPr>
        <w:jc w:val="both"/>
        <w:rPr>
          <w:rFonts w:ascii="Helvetica" w:hAnsi="Helvetica" w:cs="Helvetica"/>
          <w:sz w:val="22"/>
          <w:szCs w:val="22"/>
          <w:lang w:val="es-CO"/>
        </w:rPr>
      </w:pPr>
    </w:p>
    <w:p w14:paraId="5D6331B4" w14:textId="77777777" w:rsidR="00502CC0" w:rsidRPr="001B7E14" w:rsidRDefault="00502CC0" w:rsidP="00FA42BB">
      <w:pPr>
        <w:jc w:val="both"/>
        <w:rPr>
          <w:rFonts w:ascii="Helvetica" w:hAnsi="Helvetica" w:cs="Helvetica"/>
          <w:sz w:val="22"/>
          <w:szCs w:val="22"/>
          <w:lang w:val="es-CO"/>
        </w:rPr>
      </w:pPr>
    </w:p>
    <w:tbl>
      <w:tblPr>
        <w:tblW w:w="5000" w:type="pct"/>
        <w:jc w:val="center"/>
        <w:tblCellMar>
          <w:left w:w="70" w:type="dxa"/>
          <w:right w:w="70" w:type="dxa"/>
        </w:tblCellMar>
        <w:tblLook w:val="04A0" w:firstRow="1" w:lastRow="0" w:firstColumn="1" w:lastColumn="0" w:noHBand="0" w:noVBand="1"/>
      </w:tblPr>
      <w:tblGrid>
        <w:gridCol w:w="4345"/>
        <w:gridCol w:w="1358"/>
        <w:gridCol w:w="1630"/>
        <w:gridCol w:w="1495"/>
      </w:tblGrid>
      <w:tr w:rsidR="00502CC0" w:rsidRPr="001B7E14" w14:paraId="24B6153F" w14:textId="77777777" w:rsidTr="00154433">
        <w:trPr>
          <w:trHeight w:val="20"/>
          <w:tblHeader/>
          <w:jc w:val="center"/>
        </w:trPr>
        <w:tc>
          <w:tcPr>
            <w:tcW w:w="5000" w:type="pct"/>
            <w:gridSpan w:val="4"/>
            <w:tcBorders>
              <w:top w:val="nil"/>
              <w:left w:val="single" w:sz="8" w:space="0" w:color="000000"/>
              <w:bottom w:val="nil"/>
              <w:right w:val="nil"/>
            </w:tcBorders>
            <w:shd w:val="clear" w:color="000000" w:fill="203764"/>
            <w:vAlign w:val="center"/>
            <w:hideMark/>
          </w:tcPr>
          <w:p w14:paraId="4176A241" w14:textId="77777777" w:rsidR="00154433" w:rsidRPr="001B7E14" w:rsidRDefault="00502CC0" w:rsidP="00502CC0">
            <w:pPr>
              <w:jc w:val="center"/>
              <w:rPr>
                <w:rFonts w:ascii="Helvetica" w:eastAsia="Times New Roman" w:hAnsi="Helvetica" w:cs="Helvetica"/>
                <w:b/>
                <w:bCs/>
                <w:color w:val="FFFFFF"/>
                <w:sz w:val="18"/>
                <w:szCs w:val="18"/>
                <w:lang w:val="es-CO" w:eastAsia="es-CO"/>
              </w:rPr>
            </w:pPr>
            <w:r w:rsidRPr="001B7E14">
              <w:rPr>
                <w:rFonts w:ascii="Helvetica" w:eastAsia="Times New Roman" w:hAnsi="Helvetica" w:cs="Helvetica"/>
                <w:b/>
                <w:bCs/>
                <w:color w:val="FFFFFF"/>
                <w:sz w:val="18"/>
                <w:szCs w:val="18"/>
                <w:lang w:val="es-CO" w:eastAsia="es-CO"/>
              </w:rPr>
              <w:t xml:space="preserve">TABLA 2. GASTOS DE LA ENTIDAD TERRITORIAL A DICIEMBRE DE 2020, 2021 y 2022 </w:t>
            </w:r>
          </w:p>
          <w:p w14:paraId="7F3B659C" w14:textId="77777777" w:rsidR="00502CC0" w:rsidRPr="001B7E14" w:rsidRDefault="00502CC0" w:rsidP="00502CC0">
            <w:pPr>
              <w:jc w:val="center"/>
              <w:rPr>
                <w:rFonts w:ascii="Helvetica" w:eastAsia="Times New Roman" w:hAnsi="Helvetica" w:cs="Helvetica"/>
                <w:b/>
                <w:bCs/>
                <w:color w:val="FFFFFF"/>
                <w:sz w:val="18"/>
                <w:szCs w:val="18"/>
                <w:lang w:val="es-CO" w:eastAsia="es-CO"/>
              </w:rPr>
            </w:pPr>
            <w:r w:rsidRPr="001B7E14">
              <w:rPr>
                <w:rFonts w:ascii="Helvetica" w:eastAsia="Times New Roman" w:hAnsi="Helvetica" w:cs="Helvetica"/>
                <w:b/>
                <w:bCs/>
                <w:color w:val="FFFFFF"/>
                <w:sz w:val="18"/>
                <w:szCs w:val="18"/>
                <w:lang w:val="es-CO" w:eastAsia="es-CO"/>
              </w:rPr>
              <w:t>(MILLONES DE $) </w:t>
            </w:r>
          </w:p>
        </w:tc>
      </w:tr>
      <w:tr w:rsidR="00502CC0" w:rsidRPr="001B7E14" w14:paraId="2BD197F4" w14:textId="77777777" w:rsidTr="00154433">
        <w:trPr>
          <w:trHeight w:val="20"/>
          <w:tblHeader/>
          <w:jc w:val="center"/>
        </w:trPr>
        <w:tc>
          <w:tcPr>
            <w:tcW w:w="2461" w:type="pct"/>
            <w:tcBorders>
              <w:top w:val="single" w:sz="4" w:space="0" w:color="000000"/>
              <w:left w:val="single" w:sz="8" w:space="0" w:color="000000"/>
              <w:bottom w:val="single" w:sz="4" w:space="0" w:color="000000"/>
              <w:right w:val="single" w:sz="4" w:space="0" w:color="000000"/>
            </w:tcBorders>
            <w:shd w:val="clear" w:color="000000" w:fill="8EA9DB"/>
            <w:vAlign w:val="center"/>
            <w:hideMark/>
          </w:tcPr>
          <w:p w14:paraId="7859EA39" w14:textId="77777777" w:rsidR="00502CC0" w:rsidRPr="001B7E14" w:rsidRDefault="00502CC0" w:rsidP="00502CC0">
            <w:pPr>
              <w:jc w:val="cente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RUBRO</w:t>
            </w:r>
            <w:r w:rsidRPr="001B7E14">
              <w:rPr>
                <w:rFonts w:ascii="Helvetica" w:eastAsia="Times New Roman" w:hAnsi="Helvetica" w:cs="Helvetica"/>
                <w:color w:val="000000"/>
                <w:sz w:val="18"/>
                <w:szCs w:val="18"/>
                <w:lang w:val="es-CO" w:eastAsia="es-CO"/>
              </w:rPr>
              <w:t> </w:t>
            </w:r>
          </w:p>
        </w:tc>
        <w:tc>
          <w:tcPr>
            <w:tcW w:w="769" w:type="pct"/>
            <w:tcBorders>
              <w:top w:val="single" w:sz="4" w:space="0" w:color="000000"/>
              <w:left w:val="nil"/>
              <w:bottom w:val="single" w:sz="4" w:space="0" w:color="000000"/>
              <w:right w:val="nil"/>
            </w:tcBorders>
            <w:shd w:val="clear" w:color="000000" w:fill="8EA9DB"/>
            <w:vAlign w:val="center"/>
            <w:hideMark/>
          </w:tcPr>
          <w:p w14:paraId="2C7B92D5" w14:textId="77777777" w:rsidR="00502CC0" w:rsidRPr="001B7E14" w:rsidRDefault="00502CC0" w:rsidP="00502CC0">
            <w:pPr>
              <w:jc w:val="cente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2020</w:t>
            </w:r>
          </w:p>
        </w:tc>
        <w:tc>
          <w:tcPr>
            <w:tcW w:w="923" w:type="pct"/>
            <w:tcBorders>
              <w:top w:val="single" w:sz="4" w:space="0" w:color="auto"/>
              <w:left w:val="single" w:sz="4" w:space="0" w:color="auto"/>
              <w:bottom w:val="single" w:sz="4" w:space="0" w:color="auto"/>
              <w:right w:val="single" w:sz="4" w:space="0" w:color="auto"/>
            </w:tcBorders>
            <w:shd w:val="clear" w:color="000000" w:fill="8EA9DB"/>
            <w:vAlign w:val="center"/>
            <w:hideMark/>
          </w:tcPr>
          <w:p w14:paraId="1BBCAE41" w14:textId="77777777" w:rsidR="00502CC0" w:rsidRPr="001B7E14" w:rsidRDefault="00502CC0" w:rsidP="00502CC0">
            <w:pPr>
              <w:jc w:val="cente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2021</w:t>
            </w:r>
          </w:p>
        </w:tc>
        <w:tc>
          <w:tcPr>
            <w:tcW w:w="846" w:type="pct"/>
            <w:tcBorders>
              <w:top w:val="single" w:sz="4" w:space="0" w:color="auto"/>
              <w:left w:val="nil"/>
              <w:bottom w:val="single" w:sz="4" w:space="0" w:color="auto"/>
              <w:right w:val="single" w:sz="4" w:space="0" w:color="auto"/>
            </w:tcBorders>
            <w:shd w:val="clear" w:color="000000" w:fill="8EA9DB"/>
            <w:vAlign w:val="center"/>
            <w:hideMark/>
          </w:tcPr>
          <w:p w14:paraId="3075A1EC" w14:textId="77777777" w:rsidR="00502CC0" w:rsidRPr="001B7E14" w:rsidRDefault="00502CC0" w:rsidP="00502CC0">
            <w:pPr>
              <w:jc w:val="cente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2022</w:t>
            </w:r>
          </w:p>
        </w:tc>
      </w:tr>
      <w:tr w:rsidR="00502CC0" w:rsidRPr="001B7E14" w14:paraId="756E3ED5" w14:textId="77777777" w:rsidTr="00154433">
        <w:trPr>
          <w:trHeight w:val="20"/>
          <w:jc w:val="center"/>
        </w:trPr>
        <w:tc>
          <w:tcPr>
            <w:tcW w:w="2461" w:type="pct"/>
            <w:tcBorders>
              <w:top w:val="nil"/>
              <w:left w:val="single" w:sz="8" w:space="0" w:color="000000"/>
              <w:bottom w:val="single" w:sz="4" w:space="0" w:color="000000"/>
              <w:right w:val="single" w:sz="4" w:space="0" w:color="000000"/>
            </w:tcBorders>
            <w:shd w:val="clear" w:color="000000" w:fill="D9D9D9"/>
            <w:vAlign w:val="center"/>
            <w:hideMark/>
          </w:tcPr>
          <w:p w14:paraId="22BF2E7B" w14:textId="77777777" w:rsidR="00502CC0" w:rsidRPr="001B7E14" w:rsidRDefault="00502CC0" w:rsidP="00502CC0">
            <w:pP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COBERTURA </w:t>
            </w:r>
          </w:p>
        </w:tc>
        <w:tc>
          <w:tcPr>
            <w:tcW w:w="769" w:type="pct"/>
            <w:tcBorders>
              <w:top w:val="nil"/>
              <w:left w:val="nil"/>
              <w:bottom w:val="single" w:sz="4" w:space="0" w:color="000000"/>
              <w:right w:val="nil"/>
            </w:tcBorders>
            <w:shd w:val="clear" w:color="000000" w:fill="D9D9D9"/>
            <w:vAlign w:val="center"/>
            <w:hideMark/>
          </w:tcPr>
          <w:p w14:paraId="1B66D910"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41.856 </w:t>
            </w:r>
          </w:p>
        </w:tc>
        <w:tc>
          <w:tcPr>
            <w:tcW w:w="923" w:type="pct"/>
            <w:tcBorders>
              <w:top w:val="nil"/>
              <w:left w:val="single" w:sz="4" w:space="0" w:color="auto"/>
              <w:bottom w:val="single" w:sz="4" w:space="0" w:color="auto"/>
              <w:right w:val="single" w:sz="4" w:space="0" w:color="auto"/>
            </w:tcBorders>
            <w:shd w:val="clear" w:color="000000" w:fill="D9D9D9"/>
            <w:vAlign w:val="center"/>
            <w:hideMark/>
          </w:tcPr>
          <w:p w14:paraId="53A1ED03"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47.832 </w:t>
            </w:r>
          </w:p>
        </w:tc>
        <w:tc>
          <w:tcPr>
            <w:tcW w:w="846" w:type="pct"/>
            <w:tcBorders>
              <w:top w:val="nil"/>
              <w:left w:val="nil"/>
              <w:bottom w:val="single" w:sz="4" w:space="0" w:color="auto"/>
              <w:right w:val="single" w:sz="4" w:space="0" w:color="auto"/>
            </w:tcBorders>
            <w:shd w:val="clear" w:color="000000" w:fill="D9D9D9"/>
            <w:vAlign w:val="center"/>
            <w:hideMark/>
          </w:tcPr>
          <w:p w14:paraId="060E80C2"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55.119 </w:t>
            </w:r>
          </w:p>
        </w:tc>
      </w:tr>
      <w:tr w:rsidR="00BC72D0" w:rsidRPr="001B7E14" w14:paraId="350923BA" w14:textId="77777777" w:rsidTr="00154433">
        <w:trPr>
          <w:trHeight w:val="20"/>
          <w:jc w:val="center"/>
        </w:trPr>
        <w:tc>
          <w:tcPr>
            <w:tcW w:w="2461" w:type="pct"/>
            <w:tcBorders>
              <w:top w:val="nil"/>
              <w:left w:val="single" w:sz="8" w:space="0" w:color="000000"/>
              <w:bottom w:val="single" w:sz="4" w:space="0" w:color="000000"/>
              <w:right w:val="single" w:sz="4" w:space="0" w:color="000000"/>
            </w:tcBorders>
            <w:shd w:val="clear" w:color="auto" w:fill="auto"/>
            <w:vAlign w:val="center"/>
            <w:hideMark/>
          </w:tcPr>
          <w:p w14:paraId="216D5F9A" w14:textId="77777777" w:rsidR="00502CC0" w:rsidRPr="001B7E14" w:rsidRDefault="00502CC0" w:rsidP="00502CC0">
            <w:pP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Gastos de Personal </w:t>
            </w:r>
          </w:p>
        </w:tc>
        <w:tc>
          <w:tcPr>
            <w:tcW w:w="769" w:type="pct"/>
            <w:tcBorders>
              <w:top w:val="nil"/>
              <w:left w:val="nil"/>
              <w:bottom w:val="single" w:sz="4" w:space="0" w:color="000000"/>
              <w:right w:val="nil"/>
            </w:tcBorders>
            <w:shd w:val="clear" w:color="auto" w:fill="auto"/>
            <w:vAlign w:val="center"/>
            <w:hideMark/>
          </w:tcPr>
          <w:p w14:paraId="7BF951E9"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22.796 </w:t>
            </w:r>
          </w:p>
        </w:tc>
        <w:tc>
          <w:tcPr>
            <w:tcW w:w="923" w:type="pct"/>
            <w:tcBorders>
              <w:top w:val="nil"/>
              <w:left w:val="single" w:sz="4" w:space="0" w:color="auto"/>
              <w:bottom w:val="single" w:sz="4" w:space="0" w:color="auto"/>
              <w:right w:val="single" w:sz="4" w:space="0" w:color="auto"/>
            </w:tcBorders>
            <w:shd w:val="clear" w:color="auto" w:fill="auto"/>
            <w:vAlign w:val="bottom"/>
            <w:hideMark/>
          </w:tcPr>
          <w:p w14:paraId="26C855FA"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24.139</w:t>
            </w:r>
          </w:p>
        </w:tc>
        <w:tc>
          <w:tcPr>
            <w:tcW w:w="846" w:type="pct"/>
            <w:tcBorders>
              <w:top w:val="nil"/>
              <w:left w:val="nil"/>
              <w:bottom w:val="single" w:sz="4" w:space="0" w:color="auto"/>
              <w:right w:val="single" w:sz="4" w:space="0" w:color="auto"/>
            </w:tcBorders>
            <w:shd w:val="clear" w:color="auto" w:fill="auto"/>
            <w:vAlign w:val="bottom"/>
            <w:hideMark/>
          </w:tcPr>
          <w:p w14:paraId="6E9714E2"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26.757</w:t>
            </w:r>
          </w:p>
        </w:tc>
      </w:tr>
      <w:tr w:rsidR="00BC72D0" w:rsidRPr="001B7E14" w14:paraId="37DEA52D" w14:textId="77777777" w:rsidTr="00154433">
        <w:trPr>
          <w:trHeight w:val="20"/>
          <w:jc w:val="center"/>
        </w:trPr>
        <w:tc>
          <w:tcPr>
            <w:tcW w:w="2461" w:type="pct"/>
            <w:tcBorders>
              <w:top w:val="nil"/>
              <w:left w:val="single" w:sz="8" w:space="0" w:color="000000"/>
              <w:bottom w:val="single" w:sz="4" w:space="0" w:color="000000"/>
              <w:right w:val="single" w:sz="4" w:space="0" w:color="000000"/>
            </w:tcBorders>
            <w:shd w:val="clear" w:color="auto" w:fill="auto"/>
            <w:vAlign w:val="center"/>
            <w:hideMark/>
          </w:tcPr>
          <w:p w14:paraId="3AAC79B3" w14:textId="77777777" w:rsidR="00502CC0" w:rsidRPr="001B7E14" w:rsidRDefault="00502CC0" w:rsidP="00BC72D0">
            <w:pPr>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Personal Docente </w:t>
            </w:r>
          </w:p>
        </w:tc>
        <w:tc>
          <w:tcPr>
            <w:tcW w:w="769" w:type="pct"/>
            <w:tcBorders>
              <w:top w:val="nil"/>
              <w:left w:val="nil"/>
              <w:bottom w:val="single" w:sz="4" w:space="0" w:color="000000"/>
              <w:right w:val="nil"/>
            </w:tcBorders>
            <w:shd w:val="clear" w:color="auto" w:fill="auto"/>
            <w:vAlign w:val="center"/>
            <w:hideMark/>
          </w:tcPr>
          <w:p w14:paraId="05C5ADC9"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14.031 </w:t>
            </w:r>
          </w:p>
        </w:tc>
        <w:tc>
          <w:tcPr>
            <w:tcW w:w="923" w:type="pct"/>
            <w:tcBorders>
              <w:top w:val="nil"/>
              <w:left w:val="single" w:sz="4" w:space="0" w:color="auto"/>
              <w:bottom w:val="single" w:sz="4" w:space="0" w:color="auto"/>
              <w:right w:val="single" w:sz="4" w:space="0" w:color="auto"/>
            </w:tcBorders>
            <w:shd w:val="clear" w:color="auto" w:fill="auto"/>
            <w:vAlign w:val="bottom"/>
            <w:hideMark/>
          </w:tcPr>
          <w:p w14:paraId="0BA89EC3"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14.931</w:t>
            </w:r>
          </w:p>
        </w:tc>
        <w:tc>
          <w:tcPr>
            <w:tcW w:w="846" w:type="pct"/>
            <w:tcBorders>
              <w:top w:val="nil"/>
              <w:left w:val="nil"/>
              <w:bottom w:val="single" w:sz="4" w:space="0" w:color="auto"/>
              <w:right w:val="single" w:sz="4" w:space="0" w:color="auto"/>
            </w:tcBorders>
            <w:shd w:val="clear" w:color="auto" w:fill="auto"/>
            <w:vAlign w:val="bottom"/>
            <w:hideMark/>
          </w:tcPr>
          <w:p w14:paraId="5EDF4ECB"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17.003</w:t>
            </w:r>
          </w:p>
        </w:tc>
      </w:tr>
      <w:tr w:rsidR="00BC72D0" w:rsidRPr="001B7E14" w14:paraId="081004CA" w14:textId="77777777" w:rsidTr="00154433">
        <w:trPr>
          <w:trHeight w:val="20"/>
          <w:jc w:val="center"/>
        </w:trPr>
        <w:tc>
          <w:tcPr>
            <w:tcW w:w="2461" w:type="pct"/>
            <w:tcBorders>
              <w:top w:val="nil"/>
              <w:left w:val="single" w:sz="8" w:space="0" w:color="000000"/>
              <w:bottom w:val="single" w:sz="4" w:space="0" w:color="000000"/>
              <w:right w:val="single" w:sz="4" w:space="0" w:color="000000"/>
            </w:tcBorders>
            <w:shd w:val="clear" w:color="auto" w:fill="auto"/>
            <w:vAlign w:val="center"/>
            <w:hideMark/>
          </w:tcPr>
          <w:p w14:paraId="73738A9C" w14:textId="77777777" w:rsidR="00502CC0" w:rsidRPr="001B7E14" w:rsidRDefault="00502CC0" w:rsidP="00BC72D0">
            <w:pPr>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Personal Directivo - Docente </w:t>
            </w:r>
          </w:p>
        </w:tc>
        <w:tc>
          <w:tcPr>
            <w:tcW w:w="769" w:type="pct"/>
            <w:tcBorders>
              <w:top w:val="nil"/>
              <w:left w:val="nil"/>
              <w:bottom w:val="single" w:sz="4" w:space="0" w:color="000000"/>
              <w:right w:val="nil"/>
            </w:tcBorders>
            <w:shd w:val="clear" w:color="auto" w:fill="auto"/>
            <w:vAlign w:val="center"/>
            <w:hideMark/>
          </w:tcPr>
          <w:p w14:paraId="329965A7"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1.653 </w:t>
            </w:r>
          </w:p>
        </w:tc>
        <w:tc>
          <w:tcPr>
            <w:tcW w:w="923" w:type="pct"/>
            <w:tcBorders>
              <w:top w:val="nil"/>
              <w:left w:val="single" w:sz="4" w:space="0" w:color="auto"/>
              <w:bottom w:val="single" w:sz="4" w:space="0" w:color="auto"/>
              <w:right w:val="single" w:sz="4" w:space="0" w:color="auto"/>
            </w:tcBorders>
            <w:shd w:val="clear" w:color="auto" w:fill="auto"/>
            <w:vAlign w:val="bottom"/>
            <w:hideMark/>
          </w:tcPr>
          <w:p w14:paraId="41DD8F8F"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1.666</w:t>
            </w:r>
          </w:p>
        </w:tc>
        <w:tc>
          <w:tcPr>
            <w:tcW w:w="846" w:type="pct"/>
            <w:tcBorders>
              <w:top w:val="nil"/>
              <w:left w:val="nil"/>
              <w:bottom w:val="single" w:sz="4" w:space="0" w:color="auto"/>
              <w:right w:val="single" w:sz="4" w:space="0" w:color="auto"/>
            </w:tcBorders>
            <w:shd w:val="clear" w:color="auto" w:fill="auto"/>
            <w:vAlign w:val="bottom"/>
            <w:hideMark/>
          </w:tcPr>
          <w:p w14:paraId="6BD93D42"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1.861</w:t>
            </w:r>
          </w:p>
        </w:tc>
      </w:tr>
      <w:tr w:rsidR="00BC72D0" w:rsidRPr="001B7E14" w14:paraId="1B0D8DF1" w14:textId="77777777" w:rsidTr="00154433">
        <w:trPr>
          <w:trHeight w:val="20"/>
          <w:jc w:val="center"/>
        </w:trPr>
        <w:tc>
          <w:tcPr>
            <w:tcW w:w="2461" w:type="pct"/>
            <w:tcBorders>
              <w:top w:val="nil"/>
              <w:left w:val="single" w:sz="8" w:space="0" w:color="000000"/>
              <w:bottom w:val="single" w:sz="4" w:space="0" w:color="000000"/>
              <w:right w:val="single" w:sz="4" w:space="0" w:color="000000"/>
            </w:tcBorders>
            <w:shd w:val="clear" w:color="auto" w:fill="auto"/>
            <w:vAlign w:val="center"/>
            <w:hideMark/>
          </w:tcPr>
          <w:p w14:paraId="69947DF1" w14:textId="77777777" w:rsidR="00502CC0" w:rsidRPr="001B7E14" w:rsidRDefault="00502CC0" w:rsidP="00BC72D0">
            <w:pPr>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Personal Administrativo de Instituciones</w:t>
            </w:r>
            <w:r w:rsidR="00BB02B2" w:rsidRPr="001B7E14">
              <w:rPr>
                <w:rFonts w:ascii="Helvetica" w:eastAsia="Times New Roman" w:hAnsi="Helvetica" w:cs="Helvetica"/>
                <w:color w:val="000000"/>
                <w:sz w:val="18"/>
                <w:szCs w:val="18"/>
                <w:lang w:val="es-CO" w:eastAsia="es-CO"/>
              </w:rPr>
              <w:t xml:space="preserve"> </w:t>
            </w:r>
            <w:r w:rsidRPr="001B7E14">
              <w:rPr>
                <w:rFonts w:ascii="Helvetica" w:eastAsia="Times New Roman" w:hAnsi="Helvetica" w:cs="Helvetica"/>
                <w:color w:val="000000"/>
                <w:sz w:val="18"/>
                <w:szCs w:val="18"/>
                <w:lang w:val="es-CO" w:eastAsia="es-CO"/>
              </w:rPr>
              <w:t>Educativas </w:t>
            </w:r>
          </w:p>
        </w:tc>
        <w:tc>
          <w:tcPr>
            <w:tcW w:w="769" w:type="pct"/>
            <w:tcBorders>
              <w:top w:val="nil"/>
              <w:left w:val="nil"/>
              <w:bottom w:val="single" w:sz="4" w:space="0" w:color="000000"/>
              <w:right w:val="nil"/>
            </w:tcBorders>
            <w:shd w:val="clear" w:color="auto" w:fill="auto"/>
            <w:vAlign w:val="center"/>
            <w:hideMark/>
          </w:tcPr>
          <w:p w14:paraId="00B0681D"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7.081 </w:t>
            </w:r>
          </w:p>
        </w:tc>
        <w:tc>
          <w:tcPr>
            <w:tcW w:w="923" w:type="pct"/>
            <w:tcBorders>
              <w:top w:val="nil"/>
              <w:left w:val="single" w:sz="4" w:space="0" w:color="auto"/>
              <w:bottom w:val="single" w:sz="4" w:space="0" w:color="auto"/>
              <w:right w:val="single" w:sz="4" w:space="0" w:color="auto"/>
            </w:tcBorders>
            <w:shd w:val="clear" w:color="auto" w:fill="auto"/>
            <w:vAlign w:val="bottom"/>
            <w:hideMark/>
          </w:tcPr>
          <w:p w14:paraId="0A96C0AF"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7.343</w:t>
            </w:r>
          </w:p>
        </w:tc>
        <w:tc>
          <w:tcPr>
            <w:tcW w:w="846" w:type="pct"/>
            <w:tcBorders>
              <w:top w:val="nil"/>
              <w:left w:val="nil"/>
              <w:bottom w:val="single" w:sz="4" w:space="0" w:color="auto"/>
              <w:right w:val="single" w:sz="4" w:space="0" w:color="auto"/>
            </w:tcBorders>
            <w:shd w:val="clear" w:color="auto" w:fill="auto"/>
            <w:vAlign w:val="bottom"/>
            <w:hideMark/>
          </w:tcPr>
          <w:p w14:paraId="546AAA21"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7.671</w:t>
            </w:r>
          </w:p>
        </w:tc>
      </w:tr>
      <w:tr w:rsidR="00BC72D0" w:rsidRPr="001B7E14" w14:paraId="75582C34" w14:textId="77777777" w:rsidTr="00154433">
        <w:trPr>
          <w:trHeight w:val="20"/>
          <w:jc w:val="center"/>
        </w:trPr>
        <w:tc>
          <w:tcPr>
            <w:tcW w:w="2461" w:type="pct"/>
            <w:tcBorders>
              <w:top w:val="nil"/>
              <w:left w:val="single" w:sz="8" w:space="0" w:color="000000"/>
              <w:bottom w:val="single" w:sz="4" w:space="0" w:color="000000"/>
              <w:right w:val="single" w:sz="4" w:space="0" w:color="000000"/>
            </w:tcBorders>
            <w:shd w:val="clear" w:color="auto" w:fill="auto"/>
            <w:vAlign w:val="center"/>
            <w:hideMark/>
          </w:tcPr>
          <w:p w14:paraId="720B1F87" w14:textId="77777777" w:rsidR="00502CC0" w:rsidRPr="001B7E14" w:rsidRDefault="00502CC0" w:rsidP="00BC72D0">
            <w:pPr>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Personal Administrativo Secretaría de Educación </w:t>
            </w:r>
          </w:p>
        </w:tc>
        <w:tc>
          <w:tcPr>
            <w:tcW w:w="769" w:type="pct"/>
            <w:tcBorders>
              <w:top w:val="nil"/>
              <w:left w:val="nil"/>
              <w:bottom w:val="single" w:sz="4" w:space="0" w:color="000000"/>
              <w:right w:val="nil"/>
            </w:tcBorders>
            <w:shd w:val="clear" w:color="auto" w:fill="auto"/>
            <w:vAlign w:val="center"/>
            <w:hideMark/>
          </w:tcPr>
          <w:p w14:paraId="2FC57B19"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 </w:t>
            </w:r>
          </w:p>
        </w:tc>
        <w:tc>
          <w:tcPr>
            <w:tcW w:w="923" w:type="pct"/>
            <w:tcBorders>
              <w:top w:val="nil"/>
              <w:left w:val="single" w:sz="4" w:space="0" w:color="auto"/>
              <w:bottom w:val="single" w:sz="4" w:space="0" w:color="auto"/>
              <w:right w:val="single" w:sz="4" w:space="0" w:color="auto"/>
            </w:tcBorders>
            <w:shd w:val="clear" w:color="auto" w:fill="auto"/>
            <w:vAlign w:val="center"/>
            <w:hideMark/>
          </w:tcPr>
          <w:p w14:paraId="46104E11"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 </w:t>
            </w:r>
          </w:p>
        </w:tc>
        <w:tc>
          <w:tcPr>
            <w:tcW w:w="846" w:type="pct"/>
            <w:tcBorders>
              <w:top w:val="nil"/>
              <w:left w:val="nil"/>
              <w:bottom w:val="single" w:sz="4" w:space="0" w:color="auto"/>
              <w:right w:val="single" w:sz="4" w:space="0" w:color="auto"/>
            </w:tcBorders>
            <w:shd w:val="clear" w:color="auto" w:fill="auto"/>
            <w:vAlign w:val="bottom"/>
            <w:hideMark/>
          </w:tcPr>
          <w:p w14:paraId="7A8FAFCC"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0</w:t>
            </w:r>
          </w:p>
        </w:tc>
      </w:tr>
      <w:tr w:rsidR="00BC72D0" w:rsidRPr="001B7E14" w14:paraId="766A7307" w14:textId="77777777" w:rsidTr="00154433">
        <w:trPr>
          <w:trHeight w:val="20"/>
          <w:jc w:val="center"/>
        </w:trPr>
        <w:tc>
          <w:tcPr>
            <w:tcW w:w="2461" w:type="pct"/>
            <w:tcBorders>
              <w:top w:val="nil"/>
              <w:left w:val="single" w:sz="8" w:space="0" w:color="000000"/>
              <w:bottom w:val="single" w:sz="4" w:space="0" w:color="000000"/>
              <w:right w:val="single" w:sz="4" w:space="0" w:color="000000"/>
            </w:tcBorders>
            <w:shd w:val="clear" w:color="auto" w:fill="auto"/>
            <w:vAlign w:val="center"/>
            <w:hideMark/>
          </w:tcPr>
          <w:p w14:paraId="52A4B3E9" w14:textId="77777777" w:rsidR="00502CC0" w:rsidRPr="001B7E14" w:rsidRDefault="00502CC0" w:rsidP="00BC72D0">
            <w:pPr>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Viáticos y Gastos de Viaje </w:t>
            </w:r>
          </w:p>
        </w:tc>
        <w:tc>
          <w:tcPr>
            <w:tcW w:w="769" w:type="pct"/>
            <w:tcBorders>
              <w:top w:val="nil"/>
              <w:left w:val="nil"/>
              <w:bottom w:val="single" w:sz="4" w:space="0" w:color="000000"/>
              <w:right w:val="nil"/>
            </w:tcBorders>
            <w:shd w:val="clear" w:color="auto" w:fill="auto"/>
            <w:vAlign w:val="center"/>
            <w:hideMark/>
          </w:tcPr>
          <w:p w14:paraId="1396D693"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31 </w:t>
            </w:r>
          </w:p>
        </w:tc>
        <w:tc>
          <w:tcPr>
            <w:tcW w:w="923" w:type="pct"/>
            <w:tcBorders>
              <w:top w:val="nil"/>
              <w:left w:val="single" w:sz="4" w:space="0" w:color="auto"/>
              <w:bottom w:val="single" w:sz="4" w:space="0" w:color="auto"/>
              <w:right w:val="single" w:sz="4" w:space="0" w:color="auto"/>
            </w:tcBorders>
            <w:shd w:val="clear" w:color="auto" w:fill="auto"/>
            <w:vAlign w:val="bottom"/>
            <w:hideMark/>
          </w:tcPr>
          <w:p w14:paraId="1CB29295"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199</w:t>
            </w:r>
          </w:p>
        </w:tc>
        <w:tc>
          <w:tcPr>
            <w:tcW w:w="846" w:type="pct"/>
            <w:tcBorders>
              <w:top w:val="nil"/>
              <w:left w:val="nil"/>
              <w:bottom w:val="single" w:sz="4" w:space="0" w:color="auto"/>
              <w:right w:val="single" w:sz="4" w:space="0" w:color="auto"/>
            </w:tcBorders>
            <w:shd w:val="clear" w:color="auto" w:fill="auto"/>
            <w:vAlign w:val="bottom"/>
            <w:hideMark/>
          </w:tcPr>
          <w:p w14:paraId="09AE150E"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222</w:t>
            </w:r>
          </w:p>
        </w:tc>
      </w:tr>
      <w:tr w:rsidR="00BC72D0" w:rsidRPr="001B7E14" w14:paraId="44F4F195" w14:textId="77777777" w:rsidTr="00154433">
        <w:trPr>
          <w:trHeight w:val="20"/>
          <w:jc w:val="center"/>
        </w:trPr>
        <w:tc>
          <w:tcPr>
            <w:tcW w:w="2461" w:type="pct"/>
            <w:tcBorders>
              <w:top w:val="nil"/>
              <w:left w:val="single" w:sz="8" w:space="0" w:color="000000"/>
              <w:bottom w:val="single" w:sz="4" w:space="0" w:color="000000"/>
              <w:right w:val="single" w:sz="4" w:space="0" w:color="000000"/>
            </w:tcBorders>
            <w:shd w:val="clear" w:color="auto" w:fill="auto"/>
            <w:vAlign w:val="center"/>
            <w:hideMark/>
          </w:tcPr>
          <w:p w14:paraId="6CCBD58B" w14:textId="77777777" w:rsidR="00502CC0" w:rsidRPr="001B7E14" w:rsidRDefault="00502CC0" w:rsidP="00502CC0">
            <w:pP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Aportes Patronales </w:t>
            </w:r>
          </w:p>
        </w:tc>
        <w:tc>
          <w:tcPr>
            <w:tcW w:w="769" w:type="pct"/>
            <w:tcBorders>
              <w:top w:val="nil"/>
              <w:left w:val="nil"/>
              <w:bottom w:val="single" w:sz="4" w:space="0" w:color="000000"/>
              <w:right w:val="nil"/>
            </w:tcBorders>
            <w:shd w:val="clear" w:color="auto" w:fill="auto"/>
            <w:vAlign w:val="center"/>
            <w:hideMark/>
          </w:tcPr>
          <w:p w14:paraId="62CC1507"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7.615 </w:t>
            </w:r>
          </w:p>
        </w:tc>
        <w:tc>
          <w:tcPr>
            <w:tcW w:w="923" w:type="pct"/>
            <w:tcBorders>
              <w:top w:val="nil"/>
              <w:left w:val="single" w:sz="4" w:space="0" w:color="auto"/>
              <w:bottom w:val="single" w:sz="4" w:space="0" w:color="auto"/>
              <w:right w:val="single" w:sz="4" w:space="0" w:color="auto"/>
            </w:tcBorders>
            <w:shd w:val="clear" w:color="auto" w:fill="auto"/>
            <w:vAlign w:val="center"/>
            <w:hideMark/>
          </w:tcPr>
          <w:p w14:paraId="4A4F9E29"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7.597 </w:t>
            </w:r>
          </w:p>
        </w:tc>
        <w:tc>
          <w:tcPr>
            <w:tcW w:w="846" w:type="pct"/>
            <w:tcBorders>
              <w:top w:val="nil"/>
              <w:left w:val="nil"/>
              <w:bottom w:val="single" w:sz="4" w:space="0" w:color="auto"/>
              <w:right w:val="single" w:sz="4" w:space="0" w:color="auto"/>
            </w:tcBorders>
            <w:shd w:val="clear" w:color="auto" w:fill="auto"/>
            <w:vAlign w:val="bottom"/>
            <w:hideMark/>
          </w:tcPr>
          <w:p w14:paraId="6B7364F5"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7.854</w:t>
            </w:r>
          </w:p>
        </w:tc>
      </w:tr>
      <w:tr w:rsidR="00BC72D0" w:rsidRPr="001B7E14" w14:paraId="097E9650" w14:textId="77777777" w:rsidTr="00154433">
        <w:trPr>
          <w:trHeight w:val="20"/>
          <w:jc w:val="center"/>
        </w:trPr>
        <w:tc>
          <w:tcPr>
            <w:tcW w:w="2461" w:type="pct"/>
            <w:tcBorders>
              <w:top w:val="nil"/>
              <w:left w:val="single" w:sz="8" w:space="0" w:color="000000"/>
              <w:bottom w:val="single" w:sz="4" w:space="0" w:color="000000"/>
              <w:right w:val="single" w:sz="4" w:space="0" w:color="000000"/>
            </w:tcBorders>
            <w:shd w:val="clear" w:color="auto" w:fill="auto"/>
            <w:vAlign w:val="center"/>
            <w:hideMark/>
          </w:tcPr>
          <w:p w14:paraId="03E4AE3C" w14:textId="77777777" w:rsidR="00502CC0" w:rsidRPr="001B7E14" w:rsidRDefault="00502CC0" w:rsidP="00BC72D0">
            <w:pPr>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Sin Situación de Fondos (Docentes y Directivos Docentes) </w:t>
            </w:r>
          </w:p>
        </w:tc>
        <w:tc>
          <w:tcPr>
            <w:tcW w:w="769" w:type="pct"/>
            <w:tcBorders>
              <w:top w:val="nil"/>
              <w:left w:val="nil"/>
              <w:bottom w:val="single" w:sz="4" w:space="0" w:color="000000"/>
              <w:right w:val="nil"/>
            </w:tcBorders>
            <w:shd w:val="clear" w:color="auto" w:fill="auto"/>
            <w:vAlign w:val="center"/>
            <w:hideMark/>
          </w:tcPr>
          <w:p w14:paraId="76FCE3BF"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3.401 </w:t>
            </w:r>
          </w:p>
        </w:tc>
        <w:tc>
          <w:tcPr>
            <w:tcW w:w="923" w:type="pct"/>
            <w:tcBorders>
              <w:top w:val="nil"/>
              <w:left w:val="single" w:sz="4" w:space="0" w:color="auto"/>
              <w:bottom w:val="single" w:sz="4" w:space="0" w:color="auto"/>
              <w:right w:val="single" w:sz="4" w:space="0" w:color="auto"/>
            </w:tcBorders>
            <w:shd w:val="clear" w:color="auto" w:fill="auto"/>
            <w:vAlign w:val="bottom"/>
            <w:hideMark/>
          </w:tcPr>
          <w:p w14:paraId="5EBA202E"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3.748</w:t>
            </w:r>
          </w:p>
        </w:tc>
        <w:tc>
          <w:tcPr>
            <w:tcW w:w="846" w:type="pct"/>
            <w:tcBorders>
              <w:top w:val="nil"/>
              <w:left w:val="nil"/>
              <w:bottom w:val="single" w:sz="4" w:space="0" w:color="auto"/>
              <w:right w:val="single" w:sz="4" w:space="0" w:color="auto"/>
            </w:tcBorders>
            <w:shd w:val="clear" w:color="auto" w:fill="auto"/>
            <w:vAlign w:val="bottom"/>
            <w:hideMark/>
          </w:tcPr>
          <w:p w14:paraId="2571600D"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3.360</w:t>
            </w:r>
          </w:p>
        </w:tc>
      </w:tr>
      <w:tr w:rsidR="00BC72D0" w:rsidRPr="001B7E14" w14:paraId="099AB6FB" w14:textId="77777777" w:rsidTr="00154433">
        <w:trPr>
          <w:trHeight w:val="20"/>
          <w:jc w:val="center"/>
        </w:trPr>
        <w:tc>
          <w:tcPr>
            <w:tcW w:w="2461" w:type="pct"/>
            <w:tcBorders>
              <w:top w:val="nil"/>
              <w:left w:val="single" w:sz="8" w:space="0" w:color="000000"/>
              <w:bottom w:val="single" w:sz="4" w:space="0" w:color="000000"/>
              <w:right w:val="single" w:sz="4" w:space="0" w:color="000000"/>
            </w:tcBorders>
            <w:shd w:val="clear" w:color="auto" w:fill="auto"/>
            <w:vAlign w:val="center"/>
            <w:hideMark/>
          </w:tcPr>
          <w:p w14:paraId="58592865" w14:textId="77777777" w:rsidR="00502CC0" w:rsidRPr="001B7E14" w:rsidRDefault="00502CC0" w:rsidP="00BC72D0">
            <w:pPr>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Con situación de fondos (Docentes y Directivos Docentes) </w:t>
            </w:r>
          </w:p>
        </w:tc>
        <w:tc>
          <w:tcPr>
            <w:tcW w:w="769" w:type="pct"/>
            <w:tcBorders>
              <w:top w:val="nil"/>
              <w:left w:val="nil"/>
              <w:bottom w:val="single" w:sz="4" w:space="0" w:color="000000"/>
              <w:right w:val="nil"/>
            </w:tcBorders>
            <w:shd w:val="clear" w:color="auto" w:fill="auto"/>
            <w:vAlign w:val="center"/>
            <w:hideMark/>
          </w:tcPr>
          <w:p w14:paraId="6F6F8068"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1.875 </w:t>
            </w:r>
          </w:p>
        </w:tc>
        <w:tc>
          <w:tcPr>
            <w:tcW w:w="923" w:type="pct"/>
            <w:tcBorders>
              <w:top w:val="nil"/>
              <w:left w:val="single" w:sz="4" w:space="0" w:color="auto"/>
              <w:bottom w:val="single" w:sz="4" w:space="0" w:color="auto"/>
              <w:right w:val="single" w:sz="4" w:space="0" w:color="auto"/>
            </w:tcBorders>
            <w:shd w:val="clear" w:color="auto" w:fill="auto"/>
            <w:vAlign w:val="bottom"/>
            <w:hideMark/>
          </w:tcPr>
          <w:p w14:paraId="239E0E31"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1.392</w:t>
            </w:r>
          </w:p>
        </w:tc>
        <w:tc>
          <w:tcPr>
            <w:tcW w:w="846" w:type="pct"/>
            <w:tcBorders>
              <w:top w:val="nil"/>
              <w:left w:val="nil"/>
              <w:bottom w:val="single" w:sz="4" w:space="0" w:color="auto"/>
              <w:right w:val="single" w:sz="4" w:space="0" w:color="auto"/>
            </w:tcBorders>
            <w:shd w:val="clear" w:color="auto" w:fill="auto"/>
            <w:vAlign w:val="bottom"/>
            <w:hideMark/>
          </w:tcPr>
          <w:p w14:paraId="019343BF"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2.211</w:t>
            </w:r>
          </w:p>
        </w:tc>
      </w:tr>
      <w:tr w:rsidR="00BC72D0" w:rsidRPr="001B7E14" w14:paraId="1FADA63D" w14:textId="77777777" w:rsidTr="00154433">
        <w:trPr>
          <w:trHeight w:val="20"/>
          <w:jc w:val="center"/>
        </w:trPr>
        <w:tc>
          <w:tcPr>
            <w:tcW w:w="2461" w:type="pct"/>
            <w:tcBorders>
              <w:top w:val="nil"/>
              <w:left w:val="single" w:sz="8" w:space="0" w:color="000000"/>
              <w:bottom w:val="single" w:sz="4" w:space="0" w:color="000000"/>
              <w:right w:val="single" w:sz="4" w:space="0" w:color="000000"/>
            </w:tcBorders>
            <w:shd w:val="clear" w:color="auto" w:fill="auto"/>
            <w:vAlign w:val="center"/>
            <w:hideMark/>
          </w:tcPr>
          <w:p w14:paraId="0F6A5E54" w14:textId="77777777" w:rsidR="00502CC0" w:rsidRPr="001B7E14" w:rsidRDefault="00502CC0" w:rsidP="00BC72D0">
            <w:pPr>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Personal Administrativo de Instituciones Educativas (A.P)</w:t>
            </w:r>
          </w:p>
        </w:tc>
        <w:tc>
          <w:tcPr>
            <w:tcW w:w="769" w:type="pct"/>
            <w:tcBorders>
              <w:top w:val="nil"/>
              <w:left w:val="nil"/>
              <w:bottom w:val="single" w:sz="4" w:space="0" w:color="000000"/>
              <w:right w:val="nil"/>
            </w:tcBorders>
            <w:shd w:val="clear" w:color="auto" w:fill="auto"/>
            <w:vAlign w:val="center"/>
            <w:hideMark/>
          </w:tcPr>
          <w:p w14:paraId="7EB182C2"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2.339 </w:t>
            </w:r>
          </w:p>
        </w:tc>
        <w:tc>
          <w:tcPr>
            <w:tcW w:w="923" w:type="pct"/>
            <w:tcBorders>
              <w:top w:val="nil"/>
              <w:left w:val="single" w:sz="4" w:space="0" w:color="auto"/>
              <w:bottom w:val="single" w:sz="4" w:space="0" w:color="auto"/>
              <w:right w:val="single" w:sz="4" w:space="0" w:color="auto"/>
            </w:tcBorders>
            <w:shd w:val="clear" w:color="auto" w:fill="auto"/>
            <w:vAlign w:val="bottom"/>
            <w:hideMark/>
          </w:tcPr>
          <w:p w14:paraId="7AF2448C"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2.457</w:t>
            </w:r>
          </w:p>
        </w:tc>
        <w:tc>
          <w:tcPr>
            <w:tcW w:w="846" w:type="pct"/>
            <w:tcBorders>
              <w:top w:val="nil"/>
              <w:left w:val="nil"/>
              <w:bottom w:val="single" w:sz="4" w:space="0" w:color="auto"/>
              <w:right w:val="single" w:sz="4" w:space="0" w:color="auto"/>
            </w:tcBorders>
            <w:shd w:val="clear" w:color="auto" w:fill="auto"/>
            <w:vAlign w:val="bottom"/>
            <w:hideMark/>
          </w:tcPr>
          <w:p w14:paraId="3B3C9F07"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2.283</w:t>
            </w:r>
          </w:p>
        </w:tc>
      </w:tr>
      <w:tr w:rsidR="00BC72D0" w:rsidRPr="001B7E14" w14:paraId="5B5AC2A9" w14:textId="77777777" w:rsidTr="00154433">
        <w:trPr>
          <w:trHeight w:val="20"/>
          <w:jc w:val="center"/>
        </w:trPr>
        <w:tc>
          <w:tcPr>
            <w:tcW w:w="2461" w:type="pct"/>
            <w:tcBorders>
              <w:top w:val="nil"/>
              <w:left w:val="single" w:sz="8" w:space="0" w:color="000000"/>
              <w:bottom w:val="single" w:sz="4" w:space="0" w:color="000000"/>
              <w:right w:val="single" w:sz="4" w:space="0" w:color="000000"/>
            </w:tcBorders>
            <w:shd w:val="clear" w:color="auto" w:fill="auto"/>
            <w:vAlign w:val="center"/>
            <w:hideMark/>
          </w:tcPr>
          <w:p w14:paraId="63CF2BB4" w14:textId="77777777" w:rsidR="00502CC0" w:rsidRPr="001B7E14" w:rsidRDefault="00502CC0" w:rsidP="00BC72D0">
            <w:pPr>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Personal Administrativo Secretaría de Educación (A.P)</w:t>
            </w:r>
          </w:p>
        </w:tc>
        <w:tc>
          <w:tcPr>
            <w:tcW w:w="769" w:type="pct"/>
            <w:tcBorders>
              <w:top w:val="nil"/>
              <w:left w:val="nil"/>
              <w:bottom w:val="single" w:sz="4" w:space="0" w:color="000000"/>
              <w:right w:val="nil"/>
            </w:tcBorders>
            <w:shd w:val="clear" w:color="auto" w:fill="auto"/>
            <w:vAlign w:val="center"/>
            <w:hideMark/>
          </w:tcPr>
          <w:p w14:paraId="1DCC856A"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 </w:t>
            </w:r>
          </w:p>
        </w:tc>
        <w:tc>
          <w:tcPr>
            <w:tcW w:w="923" w:type="pct"/>
            <w:tcBorders>
              <w:top w:val="nil"/>
              <w:left w:val="single" w:sz="4" w:space="0" w:color="auto"/>
              <w:bottom w:val="single" w:sz="4" w:space="0" w:color="auto"/>
              <w:right w:val="single" w:sz="4" w:space="0" w:color="auto"/>
            </w:tcBorders>
            <w:shd w:val="clear" w:color="auto" w:fill="auto"/>
            <w:vAlign w:val="center"/>
            <w:hideMark/>
          </w:tcPr>
          <w:p w14:paraId="4A26F1FF"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 </w:t>
            </w:r>
          </w:p>
        </w:tc>
        <w:tc>
          <w:tcPr>
            <w:tcW w:w="846" w:type="pct"/>
            <w:tcBorders>
              <w:top w:val="nil"/>
              <w:left w:val="nil"/>
              <w:bottom w:val="single" w:sz="4" w:space="0" w:color="auto"/>
              <w:right w:val="single" w:sz="4" w:space="0" w:color="auto"/>
            </w:tcBorders>
            <w:shd w:val="clear" w:color="auto" w:fill="auto"/>
            <w:vAlign w:val="bottom"/>
            <w:hideMark/>
          </w:tcPr>
          <w:p w14:paraId="531EB035"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0</w:t>
            </w:r>
          </w:p>
        </w:tc>
      </w:tr>
      <w:tr w:rsidR="00BC72D0" w:rsidRPr="001B7E14" w14:paraId="64692FC6" w14:textId="77777777" w:rsidTr="00154433">
        <w:trPr>
          <w:trHeight w:val="20"/>
          <w:jc w:val="center"/>
        </w:trPr>
        <w:tc>
          <w:tcPr>
            <w:tcW w:w="2461" w:type="pct"/>
            <w:tcBorders>
              <w:top w:val="nil"/>
              <w:left w:val="single" w:sz="8" w:space="0" w:color="000000"/>
              <w:bottom w:val="single" w:sz="4" w:space="0" w:color="000000"/>
              <w:right w:val="single" w:sz="4" w:space="0" w:color="000000"/>
            </w:tcBorders>
            <w:shd w:val="clear" w:color="auto" w:fill="auto"/>
            <w:vAlign w:val="center"/>
            <w:hideMark/>
          </w:tcPr>
          <w:p w14:paraId="43EAAC54" w14:textId="77777777" w:rsidR="00502CC0" w:rsidRPr="001B7E14" w:rsidRDefault="00502CC0" w:rsidP="00502CC0">
            <w:pP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lastRenderedPageBreak/>
              <w:t>Gastos Generales</w:t>
            </w:r>
            <w:r w:rsidRPr="001B7E14">
              <w:rPr>
                <w:rFonts w:ascii="Helvetica" w:eastAsia="Times New Roman" w:hAnsi="Helvetica" w:cs="Helvetica"/>
                <w:color w:val="000000"/>
                <w:sz w:val="18"/>
                <w:szCs w:val="18"/>
                <w:lang w:val="es-CO" w:eastAsia="es-CO"/>
              </w:rPr>
              <w:t> </w:t>
            </w:r>
          </w:p>
        </w:tc>
        <w:tc>
          <w:tcPr>
            <w:tcW w:w="769" w:type="pct"/>
            <w:tcBorders>
              <w:top w:val="nil"/>
              <w:left w:val="nil"/>
              <w:bottom w:val="single" w:sz="4" w:space="0" w:color="000000"/>
              <w:right w:val="nil"/>
            </w:tcBorders>
            <w:shd w:val="clear" w:color="auto" w:fill="auto"/>
            <w:vAlign w:val="center"/>
            <w:hideMark/>
          </w:tcPr>
          <w:p w14:paraId="1CE1F1AD"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284 </w:t>
            </w:r>
          </w:p>
        </w:tc>
        <w:tc>
          <w:tcPr>
            <w:tcW w:w="923" w:type="pct"/>
            <w:tcBorders>
              <w:top w:val="nil"/>
              <w:left w:val="single" w:sz="4" w:space="0" w:color="auto"/>
              <w:bottom w:val="single" w:sz="4" w:space="0" w:color="auto"/>
              <w:right w:val="single" w:sz="4" w:space="0" w:color="auto"/>
            </w:tcBorders>
            <w:shd w:val="clear" w:color="auto" w:fill="auto"/>
            <w:vAlign w:val="center"/>
            <w:hideMark/>
          </w:tcPr>
          <w:p w14:paraId="2301478D"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135 </w:t>
            </w:r>
          </w:p>
        </w:tc>
        <w:tc>
          <w:tcPr>
            <w:tcW w:w="846" w:type="pct"/>
            <w:tcBorders>
              <w:top w:val="nil"/>
              <w:left w:val="nil"/>
              <w:bottom w:val="single" w:sz="4" w:space="0" w:color="auto"/>
              <w:right w:val="single" w:sz="4" w:space="0" w:color="auto"/>
            </w:tcBorders>
            <w:shd w:val="clear" w:color="auto" w:fill="auto"/>
            <w:vAlign w:val="bottom"/>
            <w:hideMark/>
          </w:tcPr>
          <w:p w14:paraId="0322AD90"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415</w:t>
            </w:r>
          </w:p>
        </w:tc>
      </w:tr>
      <w:tr w:rsidR="00BC72D0" w:rsidRPr="001B7E14" w14:paraId="1E781B8D" w14:textId="77777777" w:rsidTr="00154433">
        <w:trPr>
          <w:trHeight w:val="20"/>
          <w:jc w:val="center"/>
        </w:trPr>
        <w:tc>
          <w:tcPr>
            <w:tcW w:w="2461" w:type="pct"/>
            <w:tcBorders>
              <w:top w:val="nil"/>
              <w:left w:val="single" w:sz="8" w:space="0" w:color="000000"/>
              <w:bottom w:val="single" w:sz="4" w:space="0" w:color="000000"/>
              <w:right w:val="single" w:sz="4" w:space="0" w:color="000000"/>
            </w:tcBorders>
            <w:shd w:val="clear" w:color="auto" w:fill="auto"/>
            <w:vAlign w:val="center"/>
            <w:hideMark/>
          </w:tcPr>
          <w:p w14:paraId="325A9D31" w14:textId="77777777" w:rsidR="00502CC0" w:rsidRPr="001B7E14" w:rsidRDefault="00502CC0" w:rsidP="00502CC0">
            <w:pP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Contratos para la Prestación del Servicio Educativo</w:t>
            </w:r>
            <w:r w:rsidRPr="001B7E14">
              <w:rPr>
                <w:rFonts w:ascii="Helvetica" w:eastAsia="Times New Roman" w:hAnsi="Helvetica" w:cs="Helvetica"/>
                <w:color w:val="000000"/>
                <w:sz w:val="18"/>
                <w:szCs w:val="18"/>
                <w:lang w:val="es-CO" w:eastAsia="es-CO"/>
              </w:rPr>
              <w:t> </w:t>
            </w:r>
          </w:p>
        </w:tc>
        <w:tc>
          <w:tcPr>
            <w:tcW w:w="769" w:type="pct"/>
            <w:tcBorders>
              <w:top w:val="nil"/>
              <w:left w:val="nil"/>
              <w:bottom w:val="single" w:sz="4" w:space="0" w:color="000000"/>
              <w:right w:val="nil"/>
            </w:tcBorders>
            <w:shd w:val="clear" w:color="auto" w:fill="auto"/>
            <w:vAlign w:val="center"/>
            <w:hideMark/>
          </w:tcPr>
          <w:p w14:paraId="594D3E9C"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10.951 </w:t>
            </w:r>
          </w:p>
        </w:tc>
        <w:tc>
          <w:tcPr>
            <w:tcW w:w="923" w:type="pct"/>
            <w:tcBorders>
              <w:top w:val="nil"/>
              <w:left w:val="single" w:sz="4" w:space="0" w:color="auto"/>
              <w:bottom w:val="single" w:sz="4" w:space="0" w:color="auto"/>
              <w:right w:val="single" w:sz="4" w:space="0" w:color="auto"/>
            </w:tcBorders>
            <w:shd w:val="clear" w:color="auto" w:fill="auto"/>
            <w:vAlign w:val="center"/>
            <w:hideMark/>
          </w:tcPr>
          <w:p w14:paraId="0367D066" w14:textId="77777777" w:rsidR="00502CC0" w:rsidRPr="001B7E14" w:rsidRDefault="0044504E"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color w:val="FF0000"/>
                <w:sz w:val="12"/>
                <w:szCs w:val="16"/>
                <w:lang w:val="es-CO" w:eastAsia="es-CO"/>
              </w:rPr>
              <w:t>(1)</w:t>
            </w:r>
            <w:r w:rsidR="00BB02B2" w:rsidRPr="001B7E14">
              <w:rPr>
                <w:rFonts w:ascii="Helvetica" w:eastAsia="Times New Roman" w:hAnsi="Helvetica" w:cs="Helvetica"/>
                <w:color w:val="FF0000"/>
                <w:sz w:val="14"/>
                <w:szCs w:val="18"/>
                <w:lang w:val="es-CO" w:eastAsia="es-CO"/>
              </w:rPr>
              <w:t xml:space="preserve"> </w:t>
            </w:r>
            <w:r w:rsidR="00502CC0" w:rsidRPr="001B7E14">
              <w:rPr>
                <w:rFonts w:ascii="Helvetica" w:eastAsia="Times New Roman" w:hAnsi="Helvetica" w:cs="Helvetica"/>
                <w:b/>
                <w:bCs/>
                <w:color w:val="000000"/>
                <w:sz w:val="18"/>
                <w:szCs w:val="18"/>
                <w:lang w:val="es-CO" w:eastAsia="es-CO"/>
              </w:rPr>
              <w:t xml:space="preserve">15.515 </w:t>
            </w:r>
          </w:p>
        </w:tc>
        <w:tc>
          <w:tcPr>
            <w:tcW w:w="846" w:type="pct"/>
            <w:tcBorders>
              <w:top w:val="nil"/>
              <w:left w:val="nil"/>
              <w:bottom w:val="single" w:sz="4" w:space="0" w:color="auto"/>
              <w:right w:val="single" w:sz="4" w:space="0" w:color="auto"/>
            </w:tcBorders>
            <w:shd w:val="clear" w:color="auto" w:fill="auto"/>
            <w:vAlign w:val="bottom"/>
            <w:hideMark/>
          </w:tcPr>
          <w:p w14:paraId="40B297D8" w14:textId="77777777" w:rsidR="00502CC0" w:rsidRPr="001B7E14" w:rsidRDefault="00292651"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color w:val="FF0000"/>
                <w:sz w:val="12"/>
                <w:szCs w:val="16"/>
                <w:lang w:val="es-CO" w:eastAsia="es-CO"/>
              </w:rPr>
              <w:t>(2)</w:t>
            </w:r>
            <w:r w:rsidR="00BB02B2" w:rsidRPr="001B7E14">
              <w:rPr>
                <w:rFonts w:ascii="Helvetica" w:eastAsia="Times New Roman" w:hAnsi="Helvetica" w:cs="Helvetica"/>
                <w:color w:val="FF0000"/>
                <w:sz w:val="14"/>
                <w:szCs w:val="18"/>
                <w:lang w:val="es-CO" w:eastAsia="es-CO"/>
              </w:rPr>
              <w:t xml:space="preserve"> </w:t>
            </w:r>
            <w:r w:rsidR="00502CC0" w:rsidRPr="001B7E14">
              <w:rPr>
                <w:rFonts w:ascii="Helvetica" w:eastAsia="Times New Roman" w:hAnsi="Helvetica" w:cs="Helvetica"/>
                <w:b/>
                <w:bCs/>
                <w:color w:val="000000"/>
                <w:sz w:val="18"/>
                <w:szCs w:val="18"/>
                <w:lang w:val="es-CO" w:eastAsia="es-CO"/>
              </w:rPr>
              <w:t>19.920</w:t>
            </w:r>
          </w:p>
        </w:tc>
      </w:tr>
      <w:tr w:rsidR="00BC72D0" w:rsidRPr="001B7E14" w14:paraId="0D0E6511" w14:textId="77777777" w:rsidTr="00154433">
        <w:trPr>
          <w:trHeight w:val="20"/>
          <w:jc w:val="center"/>
        </w:trPr>
        <w:tc>
          <w:tcPr>
            <w:tcW w:w="2461" w:type="pct"/>
            <w:tcBorders>
              <w:top w:val="nil"/>
              <w:left w:val="single" w:sz="8" w:space="0" w:color="000000"/>
              <w:bottom w:val="single" w:sz="4" w:space="0" w:color="000000"/>
              <w:right w:val="single" w:sz="4" w:space="0" w:color="000000"/>
            </w:tcBorders>
            <w:shd w:val="clear" w:color="auto" w:fill="auto"/>
            <w:vAlign w:val="center"/>
            <w:hideMark/>
          </w:tcPr>
          <w:p w14:paraId="00C5C126" w14:textId="77777777" w:rsidR="00502CC0" w:rsidRPr="001B7E14" w:rsidRDefault="00502CC0" w:rsidP="00502CC0">
            <w:pP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Cancelaciones</w:t>
            </w:r>
          </w:p>
        </w:tc>
        <w:tc>
          <w:tcPr>
            <w:tcW w:w="769" w:type="pct"/>
            <w:tcBorders>
              <w:top w:val="nil"/>
              <w:left w:val="nil"/>
              <w:bottom w:val="single" w:sz="4" w:space="0" w:color="000000"/>
              <w:right w:val="nil"/>
            </w:tcBorders>
            <w:shd w:val="clear" w:color="auto" w:fill="auto"/>
            <w:vAlign w:val="center"/>
            <w:hideMark/>
          </w:tcPr>
          <w:p w14:paraId="3D8F88E0"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211 </w:t>
            </w:r>
          </w:p>
        </w:tc>
        <w:tc>
          <w:tcPr>
            <w:tcW w:w="923" w:type="pct"/>
            <w:tcBorders>
              <w:top w:val="nil"/>
              <w:left w:val="single" w:sz="4" w:space="0" w:color="auto"/>
              <w:bottom w:val="single" w:sz="4" w:space="0" w:color="auto"/>
              <w:right w:val="single" w:sz="4" w:space="0" w:color="auto"/>
            </w:tcBorders>
            <w:shd w:val="clear" w:color="auto" w:fill="auto"/>
            <w:vAlign w:val="center"/>
            <w:hideMark/>
          </w:tcPr>
          <w:p w14:paraId="4682CA73"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214 </w:t>
            </w:r>
          </w:p>
        </w:tc>
        <w:tc>
          <w:tcPr>
            <w:tcW w:w="846" w:type="pct"/>
            <w:tcBorders>
              <w:top w:val="nil"/>
              <w:left w:val="nil"/>
              <w:bottom w:val="single" w:sz="4" w:space="0" w:color="auto"/>
              <w:right w:val="single" w:sz="4" w:space="0" w:color="auto"/>
            </w:tcBorders>
            <w:shd w:val="clear" w:color="auto" w:fill="auto"/>
            <w:vAlign w:val="bottom"/>
            <w:hideMark/>
          </w:tcPr>
          <w:p w14:paraId="229D7140"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174</w:t>
            </w:r>
          </w:p>
        </w:tc>
      </w:tr>
      <w:tr w:rsidR="00BC72D0" w:rsidRPr="001B7E14" w14:paraId="1BDF934F" w14:textId="77777777" w:rsidTr="00154433">
        <w:trPr>
          <w:trHeight w:val="20"/>
          <w:jc w:val="center"/>
        </w:trPr>
        <w:tc>
          <w:tcPr>
            <w:tcW w:w="2461" w:type="pct"/>
            <w:tcBorders>
              <w:top w:val="nil"/>
              <w:left w:val="single" w:sz="8" w:space="0" w:color="000000"/>
              <w:bottom w:val="single" w:sz="4" w:space="0" w:color="000000"/>
              <w:right w:val="single" w:sz="4" w:space="0" w:color="000000"/>
            </w:tcBorders>
            <w:shd w:val="clear" w:color="auto" w:fill="auto"/>
            <w:vAlign w:val="center"/>
            <w:hideMark/>
          </w:tcPr>
          <w:p w14:paraId="7C47F538" w14:textId="77777777" w:rsidR="00502CC0" w:rsidRPr="001B7E14" w:rsidRDefault="00502CC0" w:rsidP="00502CC0">
            <w:pP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Servicios personales indirectos.</w:t>
            </w:r>
          </w:p>
        </w:tc>
        <w:tc>
          <w:tcPr>
            <w:tcW w:w="769" w:type="pct"/>
            <w:tcBorders>
              <w:top w:val="nil"/>
              <w:left w:val="nil"/>
              <w:bottom w:val="single" w:sz="4" w:space="0" w:color="000000"/>
              <w:right w:val="nil"/>
            </w:tcBorders>
            <w:shd w:val="clear" w:color="auto" w:fill="auto"/>
            <w:vAlign w:val="center"/>
            <w:hideMark/>
          </w:tcPr>
          <w:p w14:paraId="6F976073"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 </w:t>
            </w:r>
          </w:p>
        </w:tc>
        <w:tc>
          <w:tcPr>
            <w:tcW w:w="923" w:type="pct"/>
            <w:tcBorders>
              <w:top w:val="nil"/>
              <w:left w:val="single" w:sz="4" w:space="0" w:color="auto"/>
              <w:bottom w:val="single" w:sz="4" w:space="0" w:color="auto"/>
              <w:right w:val="single" w:sz="4" w:space="0" w:color="auto"/>
            </w:tcBorders>
            <w:shd w:val="clear" w:color="auto" w:fill="auto"/>
            <w:vAlign w:val="center"/>
            <w:hideMark/>
          </w:tcPr>
          <w:p w14:paraId="1D5C0667"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231 </w:t>
            </w:r>
          </w:p>
        </w:tc>
        <w:tc>
          <w:tcPr>
            <w:tcW w:w="846" w:type="pct"/>
            <w:tcBorders>
              <w:top w:val="nil"/>
              <w:left w:val="nil"/>
              <w:bottom w:val="single" w:sz="4" w:space="0" w:color="auto"/>
              <w:right w:val="single" w:sz="4" w:space="0" w:color="auto"/>
            </w:tcBorders>
            <w:shd w:val="clear" w:color="auto" w:fill="auto"/>
            <w:vAlign w:val="bottom"/>
            <w:hideMark/>
          </w:tcPr>
          <w:p w14:paraId="6E6E632C"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w:t>
            </w:r>
          </w:p>
        </w:tc>
      </w:tr>
      <w:tr w:rsidR="00502CC0" w:rsidRPr="001B7E14" w14:paraId="52E1A6D1" w14:textId="77777777" w:rsidTr="00154433">
        <w:trPr>
          <w:trHeight w:val="20"/>
          <w:jc w:val="center"/>
        </w:trPr>
        <w:tc>
          <w:tcPr>
            <w:tcW w:w="2461" w:type="pct"/>
            <w:tcBorders>
              <w:top w:val="nil"/>
              <w:left w:val="single" w:sz="8" w:space="0" w:color="000000"/>
              <w:bottom w:val="single" w:sz="4" w:space="0" w:color="000000"/>
              <w:right w:val="single" w:sz="4" w:space="0" w:color="000000"/>
            </w:tcBorders>
            <w:shd w:val="clear" w:color="000000" w:fill="D9D9D9"/>
            <w:vAlign w:val="center"/>
            <w:hideMark/>
          </w:tcPr>
          <w:p w14:paraId="6B230F25" w14:textId="77777777" w:rsidR="00502CC0" w:rsidRPr="001B7E14" w:rsidRDefault="00502CC0" w:rsidP="00502CC0">
            <w:pPr>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CALIDAD </w:t>
            </w:r>
          </w:p>
        </w:tc>
        <w:tc>
          <w:tcPr>
            <w:tcW w:w="769" w:type="pct"/>
            <w:tcBorders>
              <w:top w:val="nil"/>
              <w:left w:val="nil"/>
              <w:bottom w:val="single" w:sz="4" w:space="0" w:color="000000"/>
              <w:right w:val="nil"/>
            </w:tcBorders>
            <w:shd w:val="clear" w:color="000000" w:fill="D9D9D9"/>
            <w:vAlign w:val="bottom"/>
            <w:hideMark/>
          </w:tcPr>
          <w:p w14:paraId="3B08E94A"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1.010</w:t>
            </w:r>
          </w:p>
        </w:tc>
        <w:tc>
          <w:tcPr>
            <w:tcW w:w="923" w:type="pct"/>
            <w:tcBorders>
              <w:top w:val="nil"/>
              <w:left w:val="single" w:sz="4" w:space="0" w:color="auto"/>
              <w:bottom w:val="single" w:sz="4" w:space="0" w:color="auto"/>
              <w:right w:val="single" w:sz="4" w:space="0" w:color="auto"/>
            </w:tcBorders>
            <w:shd w:val="clear" w:color="000000" w:fill="D9D9D9"/>
            <w:vAlign w:val="bottom"/>
            <w:hideMark/>
          </w:tcPr>
          <w:p w14:paraId="5FEA969F"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9.838</w:t>
            </w:r>
          </w:p>
        </w:tc>
        <w:tc>
          <w:tcPr>
            <w:tcW w:w="846" w:type="pct"/>
            <w:tcBorders>
              <w:top w:val="nil"/>
              <w:left w:val="nil"/>
              <w:bottom w:val="single" w:sz="4" w:space="0" w:color="auto"/>
              <w:right w:val="single" w:sz="4" w:space="0" w:color="auto"/>
            </w:tcBorders>
            <w:shd w:val="clear" w:color="000000" w:fill="D9D9D9"/>
            <w:vAlign w:val="bottom"/>
            <w:hideMark/>
          </w:tcPr>
          <w:p w14:paraId="45A12A54"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6.320</w:t>
            </w:r>
          </w:p>
        </w:tc>
      </w:tr>
      <w:tr w:rsidR="00502CC0" w:rsidRPr="001B7E14" w14:paraId="1E9EA7A9" w14:textId="77777777" w:rsidTr="00154433">
        <w:trPr>
          <w:trHeight w:val="20"/>
          <w:jc w:val="center"/>
        </w:trPr>
        <w:tc>
          <w:tcPr>
            <w:tcW w:w="2461" w:type="pct"/>
            <w:tcBorders>
              <w:top w:val="nil"/>
              <w:left w:val="single" w:sz="8" w:space="0" w:color="000000"/>
              <w:bottom w:val="single" w:sz="4" w:space="0" w:color="000000"/>
              <w:right w:val="single" w:sz="4" w:space="0" w:color="000000"/>
            </w:tcBorders>
            <w:shd w:val="clear" w:color="000000" w:fill="FFFFFF"/>
            <w:vAlign w:val="center"/>
            <w:hideMark/>
          </w:tcPr>
          <w:p w14:paraId="35C972A6" w14:textId="77777777" w:rsidR="00502CC0" w:rsidRPr="001B7E14" w:rsidRDefault="00502CC0" w:rsidP="00BC72D0">
            <w:pPr>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Construcción Ampliación y Adecuación de Infraestructura Educativa </w:t>
            </w:r>
          </w:p>
        </w:tc>
        <w:tc>
          <w:tcPr>
            <w:tcW w:w="769" w:type="pct"/>
            <w:tcBorders>
              <w:top w:val="nil"/>
              <w:left w:val="nil"/>
              <w:bottom w:val="single" w:sz="4" w:space="0" w:color="000000"/>
              <w:right w:val="nil"/>
            </w:tcBorders>
            <w:shd w:val="clear" w:color="auto" w:fill="auto"/>
            <w:vAlign w:val="center"/>
            <w:hideMark/>
          </w:tcPr>
          <w:p w14:paraId="0C40122A"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 </w:t>
            </w:r>
          </w:p>
        </w:tc>
        <w:tc>
          <w:tcPr>
            <w:tcW w:w="923" w:type="pct"/>
            <w:tcBorders>
              <w:top w:val="nil"/>
              <w:left w:val="single" w:sz="4" w:space="0" w:color="auto"/>
              <w:bottom w:val="single" w:sz="4" w:space="0" w:color="auto"/>
              <w:right w:val="single" w:sz="4" w:space="0" w:color="auto"/>
            </w:tcBorders>
            <w:shd w:val="clear" w:color="auto" w:fill="auto"/>
            <w:vAlign w:val="bottom"/>
            <w:hideMark/>
          </w:tcPr>
          <w:p w14:paraId="11059028" w14:textId="77777777" w:rsidR="00502CC0" w:rsidRPr="001B7E14" w:rsidRDefault="00292651"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FF0000"/>
                <w:sz w:val="12"/>
                <w:szCs w:val="16"/>
                <w:lang w:val="es-CO" w:eastAsia="es-CO"/>
              </w:rPr>
              <w:t>(3</w:t>
            </w:r>
            <w:r w:rsidR="0044504E" w:rsidRPr="001B7E14">
              <w:rPr>
                <w:rFonts w:ascii="Helvetica" w:eastAsia="Times New Roman" w:hAnsi="Helvetica" w:cs="Helvetica"/>
                <w:color w:val="FF0000"/>
                <w:sz w:val="12"/>
                <w:szCs w:val="16"/>
                <w:lang w:val="es-CO" w:eastAsia="es-CO"/>
              </w:rPr>
              <w:t>)</w:t>
            </w:r>
            <w:r w:rsidR="0044504E" w:rsidRPr="001B7E14">
              <w:rPr>
                <w:rFonts w:ascii="Helvetica" w:eastAsia="Times New Roman" w:hAnsi="Helvetica" w:cs="Helvetica"/>
                <w:color w:val="FF0000"/>
                <w:sz w:val="14"/>
                <w:szCs w:val="18"/>
                <w:lang w:val="es-CO" w:eastAsia="es-CO"/>
              </w:rPr>
              <w:t xml:space="preserve"> </w:t>
            </w:r>
            <w:r w:rsidR="00502CC0" w:rsidRPr="001B7E14">
              <w:rPr>
                <w:rFonts w:ascii="Helvetica" w:eastAsia="Times New Roman" w:hAnsi="Helvetica" w:cs="Helvetica"/>
                <w:color w:val="000000"/>
                <w:sz w:val="18"/>
                <w:szCs w:val="18"/>
                <w:lang w:val="es-CO" w:eastAsia="es-CO"/>
              </w:rPr>
              <w:t>8.911</w:t>
            </w:r>
          </w:p>
        </w:tc>
        <w:tc>
          <w:tcPr>
            <w:tcW w:w="846" w:type="pct"/>
            <w:tcBorders>
              <w:top w:val="nil"/>
              <w:left w:val="nil"/>
              <w:bottom w:val="single" w:sz="4" w:space="0" w:color="auto"/>
              <w:right w:val="single" w:sz="4" w:space="0" w:color="auto"/>
            </w:tcBorders>
            <w:shd w:val="clear" w:color="auto" w:fill="auto"/>
            <w:vAlign w:val="bottom"/>
            <w:hideMark/>
          </w:tcPr>
          <w:p w14:paraId="1D77F92B"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5.428</w:t>
            </w:r>
          </w:p>
        </w:tc>
      </w:tr>
      <w:tr w:rsidR="00502CC0" w:rsidRPr="001B7E14" w14:paraId="75A64836" w14:textId="77777777" w:rsidTr="00154433">
        <w:trPr>
          <w:trHeight w:val="20"/>
          <w:jc w:val="center"/>
        </w:trPr>
        <w:tc>
          <w:tcPr>
            <w:tcW w:w="2461" w:type="pct"/>
            <w:tcBorders>
              <w:top w:val="nil"/>
              <w:left w:val="single" w:sz="8" w:space="0" w:color="000000"/>
              <w:bottom w:val="single" w:sz="4" w:space="0" w:color="000000"/>
              <w:right w:val="single" w:sz="4" w:space="0" w:color="000000"/>
            </w:tcBorders>
            <w:shd w:val="clear" w:color="000000" w:fill="FFFFFF"/>
            <w:vAlign w:val="center"/>
            <w:hideMark/>
          </w:tcPr>
          <w:p w14:paraId="4792CB59" w14:textId="77777777" w:rsidR="00502CC0" w:rsidRPr="001B7E14" w:rsidRDefault="00502CC0" w:rsidP="00BC72D0">
            <w:pPr>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Mantenimiento de Infraestructura Educativa</w:t>
            </w:r>
          </w:p>
        </w:tc>
        <w:tc>
          <w:tcPr>
            <w:tcW w:w="769" w:type="pct"/>
            <w:tcBorders>
              <w:top w:val="nil"/>
              <w:left w:val="nil"/>
              <w:bottom w:val="single" w:sz="4" w:space="0" w:color="000000"/>
              <w:right w:val="nil"/>
            </w:tcBorders>
            <w:shd w:val="clear" w:color="auto" w:fill="auto"/>
            <w:vAlign w:val="center"/>
            <w:hideMark/>
          </w:tcPr>
          <w:p w14:paraId="658FDDB6"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303 </w:t>
            </w:r>
          </w:p>
        </w:tc>
        <w:tc>
          <w:tcPr>
            <w:tcW w:w="923" w:type="pct"/>
            <w:tcBorders>
              <w:top w:val="nil"/>
              <w:left w:val="single" w:sz="4" w:space="0" w:color="auto"/>
              <w:bottom w:val="single" w:sz="4" w:space="0" w:color="auto"/>
              <w:right w:val="single" w:sz="4" w:space="0" w:color="auto"/>
            </w:tcBorders>
            <w:shd w:val="clear" w:color="auto" w:fill="auto"/>
            <w:vAlign w:val="center"/>
            <w:hideMark/>
          </w:tcPr>
          <w:p w14:paraId="5B397ACA"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 </w:t>
            </w:r>
          </w:p>
        </w:tc>
        <w:tc>
          <w:tcPr>
            <w:tcW w:w="846" w:type="pct"/>
            <w:tcBorders>
              <w:top w:val="nil"/>
              <w:left w:val="nil"/>
              <w:bottom w:val="single" w:sz="4" w:space="0" w:color="auto"/>
              <w:right w:val="single" w:sz="4" w:space="0" w:color="auto"/>
            </w:tcBorders>
            <w:shd w:val="clear" w:color="auto" w:fill="auto"/>
            <w:vAlign w:val="bottom"/>
            <w:hideMark/>
          </w:tcPr>
          <w:p w14:paraId="472871E5"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w:t>
            </w:r>
          </w:p>
        </w:tc>
      </w:tr>
      <w:tr w:rsidR="00502CC0" w:rsidRPr="001B7E14" w14:paraId="13BA885A" w14:textId="77777777" w:rsidTr="00154433">
        <w:trPr>
          <w:trHeight w:val="20"/>
          <w:jc w:val="center"/>
        </w:trPr>
        <w:tc>
          <w:tcPr>
            <w:tcW w:w="2461" w:type="pct"/>
            <w:tcBorders>
              <w:top w:val="nil"/>
              <w:left w:val="single" w:sz="8" w:space="0" w:color="000000"/>
              <w:bottom w:val="single" w:sz="4" w:space="0" w:color="000000"/>
              <w:right w:val="single" w:sz="4" w:space="0" w:color="000000"/>
            </w:tcBorders>
            <w:shd w:val="clear" w:color="000000" w:fill="FFFFFF"/>
            <w:vAlign w:val="center"/>
            <w:hideMark/>
          </w:tcPr>
          <w:p w14:paraId="072D40A6" w14:textId="77777777" w:rsidR="00502CC0" w:rsidRPr="001B7E14" w:rsidRDefault="00502CC0" w:rsidP="00BC72D0">
            <w:pPr>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Pago Servicios Públicos de las Instituciones Educativas </w:t>
            </w:r>
          </w:p>
        </w:tc>
        <w:tc>
          <w:tcPr>
            <w:tcW w:w="769" w:type="pct"/>
            <w:tcBorders>
              <w:top w:val="nil"/>
              <w:left w:val="nil"/>
              <w:bottom w:val="single" w:sz="4" w:space="0" w:color="000000"/>
              <w:right w:val="nil"/>
            </w:tcBorders>
            <w:shd w:val="clear" w:color="auto" w:fill="auto"/>
            <w:vAlign w:val="center"/>
            <w:hideMark/>
          </w:tcPr>
          <w:p w14:paraId="6E15CBB0"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81 </w:t>
            </w:r>
          </w:p>
        </w:tc>
        <w:tc>
          <w:tcPr>
            <w:tcW w:w="923" w:type="pct"/>
            <w:tcBorders>
              <w:top w:val="nil"/>
              <w:left w:val="single" w:sz="4" w:space="0" w:color="auto"/>
              <w:bottom w:val="single" w:sz="4" w:space="0" w:color="auto"/>
              <w:right w:val="single" w:sz="4" w:space="0" w:color="auto"/>
            </w:tcBorders>
            <w:shd w:val="clear" w:color="auto" w:fill="auto"/>
            <w:vAlign w:val="bottom"/>
            <w:hideMark/>
          </w:tcPr>
          <w:p w14:paraId="5533FF4B"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176</w:t>
            </w:r>
          </w:p>
        </w:tc>
        <w:tc>
          <w:tcPr>
            <w:tcW w:w="846" w:type="pct"/>
            <w:tcBorders>
              <w:top w:val="nil"/>
              <w:left w:val="nil"/>
              <w:bottom w:val="single" w:sz="4" w:space="0" w:color="auto"/>
              <w:right w:val="single" w:sz="4" w:space="0" w:color="auto"/>
            </w:tcBorders>
            <w:shd w:val="clear" w:color="auto" w:fill="auto"/>
            <w:vAlign w:val="bottom"/>
            <w:hideMark/>
          </w:tcPr>
          <w:p w14:paraId="46D5D0DD"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w:t>
            </w:r>
          </w:p>
        </w:tc>
      </w:tr>
      <w:tr w:rsidR="00502CC0" w:rsidRPr="001B7E14" w14:paraId="1BF6435A" w14:textId="77777777" w:rsidTr="00154433">
        <w:trPr>
          <w:trHeight w:val="20"/>
          <w:jc w:val="center"/>
        </w:trPr>
        <w:tc>
          <w:tcPr>
            <w:tcW w:w="2461" w:type="pct"/>
            <w:tcBorders>
              <w:top w:val="nil"/>
              <w:left w:val="single" w:sz="8" w:space="0" w:color="000000"/>
              <w:bottom w:val="single" w:sz="4" w:space="0" w:color="000000"/>
              <w:right w:val="single" w:sz="4" w:space="0" w:color="000000"/>
            </w:tcBorders>
            <w:shd w:val="clear" w:color="000000" w:fill="FFFFFF"/>
            <w:vAlign w:val="center"/>
            <w:hideMark/>
          </w:tcPr>
          <w:p w14:paraId="760DA4E8" w14:textId="77777777" w:rsidR="00502CC0" w:rsidRPr="001B7E14" w:rsidRDefault="00502CC0" w:rsidP="00BC72D0">
            <w:pPr>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Transporte Escolar </w:t>
            </w:r>
          </w:p>
        </w:tc>
        <w:tc>
          <w:tcPr>
            <w:tcW w:w="769" w:type="pct"/>
            <w:tcBorders>
              <w:top w:val="nil"/>
              <w:left w:val="nil"/>
              <w:bottom w:val="single" w:sz="4" w:space="0" w:color="000000"/>
              <w:right w:val="nil"/>
            </w:tcBorders>
            <w:shd w:val="clear" w:color="auto" w:fill="auto"/>
            <w:vAlign w:val="center"/>
            <w:hideMark/>
          </w:tcPr>
          <w:p w14:paraId="047C4BAD"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80 </w:t>
            </w:r>
          </w:p>
        </w:tc>
        <w:tc>
          <w:tcPr>
            <w:tcW w:w="923" w:type="pct"/>
            <w:tcBorders>
              <w:top w:val="nil"/>
              <w:left w:val="single" w:sz="4" w:space="0" w:color="auto"/>
              <w:bottom w:val="single" w:sz="4" w:space="0" w:color="auto"/>
              <w:right w:val="single" w:sz="4" w:space="0" w:color="auto"/>
            </w:tcBorders>
            <w:shd w:val="clear" w:color="auto" w:fill="auto"/>
            <w:vAlign w:val="bottom"/>
            <w:hideMark/>
          </w:tcPr>
          <w:p w14:paraId="2F6FD4D6"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109</w:t>
            </w:r>
          </w:p>
        </w:tc>
        <w:tc>
          <w:tcPr>
            <w:tcW w:w="846" w:type="pct"/>
            <w:tcBorders>
              <w:top w:val="nil"/>
              <w:left w:val="nil"/>
              <w:bottom w:val="single" w:sz="4" w:space="0" w:color="auto"/>
              <w:right w:val="single" w:sz="4" w:space="0" w:color="auto"/>
            </w:tcBorders>
            <w:shd w:val="clear" w:color="auto" w:fill="auto"/>
            <w:vAlign w:val="bottom"/>
            <w:hideMark/>
          </w:tcPr>
          <w:p w14:paraId="7044D6ED"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450</w:t>
            </w:r>
          </w:p>
        </w:tc>
      </w:tr>
      <w:tr w:rsidR="00502CC0" w:rsidRPr="001B7E14" w14:paraId="3296625A" w14:textId="77777777" w:rsidTr="00154433">
        <w:trPr>
          <w:trHeight w:val="20"/>
          <w:jc w:val="center"/>
        </w:trPr>
        <w:tc>
          <w:tcPr>
            <w:tcW w:w="2461" w:type="pct"/>
            <w:tcBorders>
              <w:top w:val="nil"/>
              <w:left w:val="single" w:sz="8" w:space="0" w:color="000000"/>
              <w:bottom w:val="single" w:sz="4" w:space="0" w:color="000000"/>
              <w:right w:val="single" w:sz="4" w:space="0" w:color="000000"/>
            </w:tcBorders>
            <w:shd w:val="clear" w:color="000000" w:fill="FFFFFF"/>
            <w:vAlign w:val="center"/>
            <w:hideMark/>
          </w:tcPr>
          <w:p w14:paraId="518293E8" w14:textId="77777777" w:rsidR="00502CC0" w:rsidRPr="001B7E14" w:rsidRDefault="00502CC0" w:rsidP="00BC72D0">
            <w:pPr>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Capacitación a Docentes y Directivos Docentes </w:t>
            </w:r>
          </w:p>
        </w:tc>
        <w:tc>
          <w:tcPr>
            <w:tcW w:w="769" w:type="pct"/>
            <w:tcBorders>
              <w:top w:val="nil"/>
              <w:left w:val="nil"/>
              <w:bottom w:val="single" w:sz="4" w:space="0" w:color="000000"/>
              <w:right w:val="nil"/>
            </w:tcBorders>
            <w:shd w:val="clear" w:color="auto" w:fill="auto"/>
            <w:vAlign w:val="center"/>
            <w:hideMark/>
          </w:tcPr>
          <w:p w14:paraId="19711EAC"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 </w:t>
            </w:r>
          </w:p>
        </w:tc>
        <w:tc>
          <w:tcPr>
            <w:tcW w:w="923" w:type="pct"/>
            <w:tcBorders>
              <w:top w:val="nil"/>
              <w:left w:val="single" w:sz="4" w:space="0" w:color="auto"/>
              <w:bottom w:val="single" w:sz="4" w:space="0" w:color="auto"/>
              <w:right w:val="single" w:sz="4" w:space="0" w:color="auto"/>
            </w:tcBorders>
            <w:shd w:val="clear" w:color="auto" w:fill="auto"/>
            <w:vAlign w:val="bottom"/>
            <w:hideMark/>
          </w:tcPr>
          <w:p w14:paraId="23B27BD6"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193</w:t>
            </w:r>
          </w:p>
        </w:tc>
        <w:tc>
          <w:tcPr>
            <w:tcW w:w="846" w:type="pct"/>
            <w:tcBorders>
              <w:top w:val="nil"/>
              <w:left w:val="nil"/>
              <w:bottom w:val="single" w:sz="4" w:space="0" w:color="auto"/>
              <w:right w:val="single" w:sz="4" w:space="0" w:color="auto"/>
            </w:tcBorders>
            <w:shd w:val="clear" w:color="auto" w:fill="auto"/>
            <w:vAlign w:val="bottom"/>
            <w:hideMark/>
          </w:tcPr>
          <w:p w14:paraId="114581EF"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w:t>
            </w:r>
          </w:p>
        </w:tc>
      </w:tr>
      <w:tr w:rsidR="00502CC0" w:rsidRPr="001B7E14" w14:paraId="46F63DFB" w14:textId="77777777" w:rsidTr="00154433">
        <w:trPr>
          <w:trHeight w:val="20"/>
          <w:jc w:val="center"/>
        </w:trPr>
        <w:tc>
          <w:tcPr>
            <w:tcW w:w="2461" w:type="pct"/>
            <w:tcBorders>
              <w:top w:val="nil"/>
              <w:left w:val="single" w:sz="8" w:space="0" w:color="000000"/>
              <w:bottom w:val="single" w:sz="4" w:space="0" w:color="000000"/>
              <w:right w:val="single" w:sz="4" w:space="0" w:color="000000"/>
            </w:tcBorders>
            <w:shd w:val="clear" w:color="000000" w:fill="FFFFFF"/>
            <w:vAlign w:val="center"/>
            <w:hideMark/>
          </w:tcPr>
          <w:p w14:paraId="4E47D6D5" w14:textId="77777777" w:rsidR="00502CC0" w:rsidRPr="001B7E14" w:rsidRDefault="00502CC0" w:rsidP="00BC72D0">
            <w:pPr>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Funcionamiento Básico de los Establecimientos Educativos </w:t>
            </w:r>
          </w:p>
        </w:tc>
        <w:tc>
          <w:tcPr>
            <w:tcW w:w="769" w:type="pct"/>
            <w:tcBorders>
              <w:top w:val="nil"/>
              <w:left w:val="nil"/>
              <w:bottom w:val="single" w:sz="4" w:space="0" w:color="000000"/>
              <w:right w:val="nil"/>
            </w:tcBorders>
            <w:shd w:val="clear" w:color="auto" w:fill="auto"/>
            <w:vAlign w:val="center"/>
            <w:hideMark/>
          </w:tcPr>
          <w:p w14:paraId="350995CD"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150 </w:t>
            </w:r>
          </w:p>
        </w:tc>
        <w:tc>
          <w:tcPr>
            <w:tcW w:w="923" w:type="pct"/>
            <w:tcBorders>
              <w:top w:val="nil"/>
              <w:left w:val="single" w:sz="4" w:space="0" w:color="auto"/>
              <w:bottom w:val="single" w:sz="4" w:space="0" w:color="auto"/>
              <w:right w:val="single" w:sz="4" w:space="0" w:color="auto"/>
            </w:tcBorders>
            <w:shd w:val="clear" w:color="auto" w:fill="auto"/>
            <w:vAlign w:val="center"/>
            <w:hideMark/>
          </w:tcPr>
          <w:p w14:paraId="4BC4ACF1"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 </w:t>
            </w:r>
          </w:p>
        </w:tc>
        <w:tc>
          <w:tcPr>
            <w:tcW w:w="846" w:type="pct"/>
            <w:tcBorders>
              <w:top w:val="nil"/>
              <w:left w:val="nil"/>
              <w:bottom w:val="single" w:sz="4" w:space="0" w:color="auto"/>
              <w:right w:val="single" w:sz="4" w:space="0" w:color="auto"/>
            </w:tcBorders>
            <w:shd w:val="clear" w:color="auto" w:fill="auto"/>
            <w:vAlign w:val="bottom"/>
            <w:hideMark/>
          </w:tcPr>
          <w:p w14:paraId="532B80BA"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234</w:t>
            </w:r>
          </w:p>
        </w:tc>
      </w:tr>
      <w:tr w:rsidR="00502CC0" w:rsidRPr="001B7E14" w14:paraId="2CC3DC28" w14:textId="77777777" w:rsidTr="00154433">
        <w:trPr>
          <w:trHeight w:val="20"/>
          <w:jc w:val="center"/>
        </w:trPr>
        <w:tc>
          <w:tcPr>
            <w:tcW w:w="2461" w:type="pct"/>
            <w:tcBorders>
              <w:top w:val="nil"/>
              <w:left w:val="single" w:sz="8" w:space="0" w:color="000000"/>
              <w:bottom w:val="single" w:sz="4" w:space="0" w:color="000000"/>
              <w:right w:val="single" w:sz="4" w:space="0" w:color="000000"/>
            </w:tcBorders>
            <w:shd w:val="clear" w:color="000000" w:fill="FFFFFF"/>
            <w:vAlign w:val="center"/>
            <w:hideMark/>
          </w:tcPr>
          <w:p w14:paraId="6FB49AED" w14:textId="77777777" w:rsidR="00502CC0" w:rsidRPr="001B7E14" w:rsidRDefault="00502CC0" w:rsidP="00BC72D0">
            <w:pPr>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Dotación Institucional de Material y Medio pedagógicos para el Aprendizaje</w:t>
            </w:r>
          </w:p>
        </w:tc>
        <w:tc>
          <w:tcPr>
            <w:tcW w:w="769" w:type="pct"/>
            <w:tcBorders>
              <w:top w:val="nil"/>
              <w:left w:val="nil"/>
              <w:bottom w:val="single" w:sz="4" w:space="0" w:color="000000"/>
              <w:right w:val="nil"/>
            </w:tcBorders>
            <w:shd w:val="clear" w:color="auto" w:fill="auto"/>
            <w:vAlign w:val="center"/>
            <w:hideMark/>
          </w:tcPr>
          <w:p w14:paraId="7EA860A4"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396 </w:t>
            </w:r>
          </w:p>
        </w:tc>
        <w:tc>
          <w:tcPr>
            <w:tcW w:w="923" w:type="pct"/>
            <w:tcBorders>
              <w:top w:val="nil"/>
              <w:left w:val="single" w:sz="4" w:space="0" w:color="auto"/>
              <w:bottom w:val="single" w:sz="4" w:space="0" w:color="auto"/>
              <w:right w:val="single" w:sz="4" w:space="0" w:color="auto"/>
            </w:tcBorders>
            <w:shd w:val="clear" w:color="auto" w:fill="auto"/>
            <w:vAlign w:val="bottom"/>
            <w:hideMark/>
          </w:tcPr>
          <w:p w14:paraId="1C907F2C"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255</w:t>
            </w:r>
          </w:p>
        </w:tc>
        <w:tc>
          <w:tcPr>
            <w:tcW w:w="846" w:type="pct"/>
            <w:tcBorders>
              <w:top w:val="nil"/>
              <w:left w:val="nil"/>
              <w:bottom w:val="single" w:sz="4" w:space="0" w:color="auto"/>
              <w:right w:val="single" w:sz="4" w:space="0" w:color="auto"/>
            </w:tcBorders>
            <w:shd w:val="clear" w:color="auto" w:fill="auto"/>
            <w:vAlign w:val="bottom"/>
            <w:hideMark/>
          </w:tcPr>
          <w:p w14:paraId="6E6B7DBE"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135</w:t>
            </w:r>
          </w:p>
        </w:tc>
      </w:tr>
      <w:tr w:rsidR="00BC72D0" w:rsidRPr="001B7E14" w14:paraId="27B653CD" w14:textId="77777777" w:rsidTr="00154433">
        <w:trPr>
          <w:trHeight w:val="20"/>
          <w:jc w:val="center"/>
        </w:trPr>
        <w:tc>
          <w:tcPr>
            <w:tcW w:w="2461" w:type="pct"/>
            <w:tcBorders>
              <w:top w:val="nil"/>
              <w:left w:val="nil"/>
              <w:bottom w:val="nil"/>
              <w:right w:val="nil"/>
            </w:tcBorders>
            <w:shd w:val="clear" w:color="auto" w:fill="auto"/>
            <w:noWrap/>
            <w:vAlign w:val="bottom"/>
            <w:hideMark/>
          </w:tcPr>
          <w:p w14:paraId="70E1C75D" w14:textId="77777777" w:rsidR="00502CC0" w:rsidRPr="001B7E14" w:rsidRDefault="00502CC0" w:rsidP="00502CC0">
            <w:pPr>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Alimentación Escolar</w:t>
            </w:r>
          </w:p>
        </w:tc>
        <w:tc>
          <w:tcPr>
            <w:tcW w:w="769" w:type="pct"/>
            <w:tcBorders>
              <w:top w:val="nil"/>
              <w:left w:val="single" w:sz="4" w:space="0" w:color="000000"/>
              <w:bottom w:val="single" w:sz="4" w:space="0" w:color="000000"/>
              <w:right w:val="nil"/>
            </w:tcBorders>
            <w:shd w:val="clear" w:color="auto" w:fill="auto"/>
            <w:vAlign w:val="center"/>
            <w:hideMark/>
          </w:tcPr>
          <w:p w14:paraId="20AA3D03"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 </w:t>
            </w:r>
          </w:p>
        </w:tc>
        <w:tc>
          <w:tcPr>
            <w:tcW w:w="923" w:type="pct"/>
            <w:tcBorders>
              <w:top w:val="nil"/>
              <w:left w:val="single" w:sz="4" w:space="0" w:color="auto"/>
              <w:bottom w:val="single" w:sz="4" w:space="0" w:color="auto"/>
              <w:right w:val="single" w:sz="4" w:space="0" w:color="auto"/>
            </w:tcBorders>
            <w:shd w:val="clear" w:color="auto" w:fill="auto"/>
            <w:vAlign w:val="bottom"/>
            <w:hideMark/>
          </w:tcPr>
          <w:p w14:paraId="3DF36A3E"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163</w:t>
            </w:r>
          </w:p>
        </w:tc>
        <w:tc>
          <w:tcPr>
            <w:tcW w:w="846" w:type="pct"/>
            <w:tcBorders>
              <w:top w:val="nil"/>
              <w:left w:val="nil"/>
              <w:bottom w:val="single" w:sz="4" w:space="0" w:color="auto"/>
              <w:right w:val="single" w:sz="4" w:space="0" w:color="auto"/>
            </w:tcBorders>
            <w:shd w:val="clear" w:color="auto" w:fill="auto"/>
            <w:vAlign w:val="bottom"/>
            <w:hideMark/>
          </w:tcPr>
          <w:p w14:paraId="3E3F914F"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73</w:t>
            </w:r>
          </w:p>
        </w:tc>
      </w:tr>
      <w:tr w:rsidR="00502CC0" w:rsidRPr="001B7E14" w14:paraId="67BFEBFF" w14:textId="77777777" w:rsidTr="00154433">
        <w:trPr>
          <w:trHeight w:val="20"/>
          <w:jc w:val="center"/>
        </w:trPr>
        <w:tc>
          <w:tcPr>
            <w:tcW w:w="2461" w:type="pct"/>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8B9999F" w14:textId="77777777" w:rsidR="00502CC0" w:rsidRPr="001B7E14" w:rsidRDefault="00502CC0" w:rsidP="00BC72D0">
            <w:pPr>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Diseño e implementación de Planes de Mejoramiento</w:t>
            </w:r>
          </w:p>
        </w:tc>
        <w:tc>
          <w:tcPr>
            <w:tcW w:w="769" w:type="pct"/>
            <w:tcBorders>
              <w:top w:val="nil"/>
              <w:left w:val="nil"/>
              <w:bottom w:val="single" w:sz="4" w:space="0" w:color="000000"/>
              <w:right w:val="nil"/>
            </w:tcBorders>
            <w:shd w:val="clear" w:color="auto" w:fill="auto"/>
            <w:vAlign w:val="center"/>
            <w:hideMark/>
          </w:tcPr>
          <w:p w14:paraId="23471A71"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 </w:t>
            </w:r>
          </w:p>
        </w:tc>
        <w:tc>
          <w:tcPr>
            <w:tcW w:w="923" w:type="pct"/>
            <w:tcBorders>
              <w:top w:val="nil"/>
              <w:left w:val="single" w:sz="4" w:space="0" w:color="auto"/>
              <w:bottom w:val="single" w:sz="4" w:space="0" w:color="auto"/>
              <w:right w:val="single" w:sz="4" w:space="0" w:color="auto"/>
            </w:tcBorders>
            <w:shd w:val="clear" w:color="auto" w:fill="auto"/>
            <w:vAlign w:val="bottom"/>
            <w:hideMark/>
          </w:tcPr>
          <w:p w14:paraId="79CE24EF"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31</w:t>
            </w:r>
          </w:p>
        </w:tc>
        <w:tc>
          <w:tcPr>
            <w:tcW w:w="846" w:type="pct"/>
            <w:tcBorders>
              <w:top w:val="nil"/>
              <w:left w:val="nil"/>
              <w:bottom w:val="single" w:sz="4" w:space="0" w:color="auto"/>
              <w:right w:val="single" w:sz="4" w:space="0" w:color="auto"/>
            </w:tcBorders>
            <w:shd w:val="clear" w:color="auto" w:fill="auto"/>
            <w:vAlign w:val="bottom"/>
            <w:hideMark/>
          </w:tcPr>
          <w:p w14:paraId="746BD464"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w:t>
            </w:r>
          </w:p>
        </w:tc>
      </w:tr>
      <w:tr w:rsidR="00502CC0" w:rsidRPr="001B7E14" w14:paraId="581D8DEA" w14:textId="77777777" w:rsidTr="00154433">
        <w:trPr>
          <w:trHeight w:val="20"/>
          <w:jc w:val="center"/>
        </w:trPr>
        <w:tc>
          <w:tcPr>
            <w:tcW w:w="2461" w:type="pct"/>
            <w:tcBorders>
              <w:top w:val="nil"/>
              <w:left w:val="single" w:sz="8" w:space="0" w:color="000000"/>
              <w:bottom w:val="single" w:sz="4" w:space="0" w:color="000000"/>
              <w:right w:val="single" w:sz="4" w:space="0" w:color="000000"/>
            </w:tcBorders>
            <w:shd w:val="clear" w:color="000000" w:fill="D9D9D9"/>
            <w:vAlign w:val="center"/>
            <w:hideMark/>
          </w:tcPr>
          <w:p w14:paraId="48CD9697" w14:textId="77777777" w:rsidR="00502CC0" w:rsidRPr="001B7E14" w:rsidRDefault="00502CC0" w:rsidP="00502CC0">
            <w:pP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CONECTIVIDAD </w:t>
            </w:r>
          </w:p>
        </w:tc>
        <w:tc>
          <w:tcPr>
            <w:tcW w:w="769" w:type="pct"/>
            <w:tcBorders>
              <w:top w:val="nil"/>
              <w:left w:val="nil"/>
              <w:bottom w:val="single" w:sz="4" w:space="0" w:color="000000"/>
              <w:right w:val="nil"/>
            </w:tcBorders>
            <w:shd w:val="clear" w:color="000000" w:fill="D9D9D9"/>
            <w:vAlign w:val="center"/>
            <w:hideMark/>
          </w:tcPr>
          <w:p w14:paraId="1216E97D"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42 </w:t>
            </w:r>
          </w:p>
        </w:tc>
        <w:tc>
          <w:tcPr>
            <w:tcW w:w="923" w:type="pct"/>
            <w:tcBorders>
              <w:top w:val="nil"/>
              <w:left w:val="single" w:sz="4" w:space="0" w:color="auto"/>
              <w:bottom w:val="single" w:sz="4" w:space="0" w:color="auto"/>
              <w:right w:val="single" w:sz="4" w:space="0" w:color="auto"/>
            </w:tcBorders>
            <w:shd w:val="clear" w:color="000000" w:fill="D9D9D9"/>
            <w:vAlign w:val="center"/>
            <w:hideMark/>
          </w:tcPr>
          <w:p w14:paraId="14081098"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622 </w:t>
            </w:r>
          </w:p>
        </w:tc>
        <w:tc>
          <w:tcPr>
            <w:tcW w:w="846" w:type="pct"/>
            <w:tcBorders>
              <w:top w:val="nil"/>
              <w:left w:val="nil"/>
              <w:bottom w:val="single" w:sz="4" w:space="0" w:color="auto"/>
              <w:right w:val="single" w:sz="4" w:space="0" w:color="auto"/>
            </w:tcBorders>
            <w:shd w:val="clear" w:color="000000" w:fill="D9D9D9"/>
            <w:vAlign w:val="center"/>
            <w:hideMark/>
          </w:tcPr>
          <w:p w14:paraId="147142D4"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641 </w:t>
            </w:r>
          </w:p>
        </w:tc>
      </w:tr>
      <w:tr w:rsidR="00502CC0" w:rsidRPr="001B7E14" w14:paraId="6442EF9F" w14:textId="77777777" w:rsidTr="00154433">
        <w:trPr>
          <w:trHeight w:val="20"/>
          <w:jc w:val="center"/>
        </w:trPr>
        <w:tc>
          <w:tcPr>
            <w:tcW w:w="2461" w:type="pct"/>
            <w:tcBorders>
              <w:top w:val="nil"/>
              <w:left w:val="single" w:sz="8" w:space="0" w:color="000000"/>
              <w:bottom w:val="single" w:sz="4" w:space="0" w:color="000000"/>
              <w:right w:val="single" w:sz="4" w:space="0" w:color="000000"/>
            </w:tcBorders>
            <w:shd w:val="clear" w:color="000000" w:fill="D9D9D9"/>
            <w:vAlign w:val="center"/>
            <w:hideMark/>
          </w:tcPr>
          <w:p w14:paraId="00DA2E1E" w14:textId="77777777" w:rsidR="00502CC0" w:rsidRPr="001B7E14" w:rsidRDefault="00502CC0" w:rsidP="00502CC0">
            <w:pP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NECESIDADES EDUCATIVAS ESPECIALES </w:t>
            </w:r>
          </w:p>
        </w:tc>
        <w:tc>
          <w:tcPr>
            <w:tcW w:w="769" w:type="pct"/>
            <w:tcBorders>
              <w:top w:val="nil"/>
              <w:left w:val="nil"/>
              <w:bottom w:val="single" w:sz="4" w:space="0" w:color="000000"/>
              <w:right w:val="nil"/>
            </w:tcBorders>
            <w:shd w:val="clear" w:color="000000" w:fill="D9D9D9"/>
            <w:vAlign w:val="center"/>
            <w:hideMark/>
          </w:tcPr>
          <w:p w14:paraId="4D27DBC9"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108 </w:t>
            </w:r>
          </w:p>
        </w:tc>
        <w:tc>
          <w:tcPr>
            <w:tcW w:w="923" w:type="pct"/>
            <w:tcBorders>
              <w:top w:val="nil"/>
              <w:left w:val="single" w:sz="4" w:space="0" w:color="auto"/>
              <w:bottom w:val="single" w:sz="4" w:space="0" w:color="auto"/>
              <w:right w:val="single" w:sz="4" w:space="0" w:color="auto"/>
            </w:tcBorders>
            <w:shd w:val="clear" w:color="000000" w:fill="D9D9D9"/>
            <w:vAlign w:val="center"/>
            <w:hideMark/>
          </w:tcPr>
          <w:p w14:paraId="0D279247"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196 </w:t>
            </w:r>
          </w:p>
        </w:tc>
        <w:tc>
          <w:tcPr>
            <w:tcW w:w="846" w:type="pct"/>
            <w:tcBorders>
              <w:top w:val="nil"/>
              <w:left w:val="nil"/>
              <w:bottom w:val="single" w:sz="4" w:space="0" w:color="auto"/>
              <w:right w:val="single" w:sz="4" w:space="0" w:color="auto"/>
            </w:tcBorders>
            <w:shd w:val="clear" w:color="000000" w:fill="D9D9D9"/>
            <w:vAlign w:val="center"/>
            <w:hideMark/>
          </w:tcPr>
          <w:p w14:paraId="42236E15"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172 </w:t>
            </w:r>
          </w:p>
        </w:tc>
      </w:tr>
      <w:tr w:rsidR="00502CC0" w:rsidRPr="001B7E14" w14:paraId="0A4B5C4A" w14:textId="77777777" w:rsidTr="00154433">
        <w:trPr>
          <w:trHeight w:val="20"/>
          <w:jc w:val="center"/>
        </w:trPr>
        <w:tc>
          <w:tcPr>
            <w:tcW w:w="2461" w:type="pct"/>
            <w:tcBorders>
              <w:top w:val="nil"/>
              <w:left w:val="single" w:sz="8" w:space="0" w:color="000000"/>
              <w:bottom w:val="single" w:sz="4" w:space="0" w:color="000000"/>
              <w:right w:val="single" w:sz="4" w:space="0" w:color="000000"/>
            </w:tcBorders>
            <w:shd w:val="clear" w:color="000000" w:fill="D9D9D9"/>
            <w:vAlign w:val="center"/>
            <w:hideMark/>
          </w:tcPr>
          <w:p w14:paraId="76EF985A" w14:textId="77777777" w:rsidR="00502CC0" w:rsidRPr="001B7E14" w:rsidRDefault="00502CC0" w:rsidP="00502CC0">
            <w:pP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INTERNADOS (SI APLICA) </w:t>
            </w:r>
          </w:p>
        </w:tc>
        <w:tc>
          <w:tcPr>
            <w:tcW w:w="769" w:type="pct"/>
            <w:tcBorders>
              <w:top w:val="nil"/>
              <w:left w:val="nil"/>
              <w:bottom w:val="single" w:sz="4" w:space="0" w:color="000000"/>
              <w:right w:val="nil"/>
            </w:tcBorders>
            <w:shd w:val="clear" w:color="000000" w:fill="D9D9D9"/>
            <w:vAlign w:val="center"/>
            <w:hideMark/>
          </w:tcPr>
          <w:p w14:paraId="60B49C9F"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8.209 </w:t>
            </w:r>
          </w:p>
        </w:tc>
        <w:tc>
          <w:tcPr>
            <w:tcW w:w="923" w:type="pct"/>
            <w:tcBorders>
              <w:top w:val="nil"/>
              <w:left w:val="single" w:sz="4" w:space="0" w:color="auto"/>
              <w:bottom w:val="single" w:sz="4" w:space="0" w:color="auto"/>
              <w:right w:val="single" w:sz="4" w:space="0" w:color="auto"/>
            </w:tcBorders>
            <w:shd w:val="clear" w:color="000000" w:fill="D9D9D9"/>
            <w:vAlign w:val="center"/>
            <w:hideMark/>
          </w:tcPr>
          <w:p w14:paraId="0BE95735"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8.931 </w:t>
            </w:r>
          </w:p>
        </w:tc>
        <w:tc>
          <w:tcPr>
            <w:tcW w:w="846" w:type="pct"/>
            <w:tcBorders>
              <w:top w:val="nil"/>
              <w:left w:val="nil"/>
              <w:bottom w:val="single" w:sz="4" w:space="0" w:color="auto"/>
              <w:right w:val="single" w:sz="4" w:space="0" w:color="auto"/>
            </w:tcBorders>
            <w:shd w:val="clear" w:color="000000" w:fill="D9D9D9"/>
            <w:vAlign w:val="center"/>
            <w:hideMark/>
          </w:tcPr>
          <w:p w14:paraId="11C33EC2"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11.302 </w:t>
            </w:r>
          </w:p>
        </w:tc>
      </w:tr>
      <w:tr w:rsidR="00502CC0" w:rsidRPr="001B7E14" w14:paraId="6BC56F7F" w14:textId="77777777" w:rsidTr="00154433">
        <w:trPr>
          <w:trHeight w:val="20"/>
          <w:jc w:val="center"/>
        </w:trPr>
        <w:tc>
          <w:tcPr>
            <w:tcW w:w="2461" w:type="pct"/>
            <w:tcBorders>
              <w:top w:val="nil"/>
              <w:left w:val="single" w:sz="8" w:space="0" w:color="000000"/>
              <w:bottom w:val="single" w:sz="4" w:space="0" w:color="000000"/>
              <w:right w:val="single" w:sz="4" w:space="0" w:color="000000"/>
            </w:tcBorders>
            <w:shd w:val="clear" w:color="000000" w:fill="D9D9D9"/>
            <w:vAlign w:val="center"/>
            <w:hideMark/>
          </w:tcPr>
          <w:p w14:paraId="08204520" w14:textId="77777777" w:rsidR="00502CC0" w:rsidRPr="001B7E14" w:rsidRDefault="00502CC0" w:rsidP="00502CC0">
            <w:pP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GRATUIDAD </w:t>
            </w:r>
          </w:p>
        </w:tc>
        <w:tc>
          <w:tcPr>
            <w:tcW w:w="769" w:type="pct"/>
            <w:tcBorders>
              <w:top w:val="nil"/>
              <w:left w:val="nil"/>
              <w:bottom w:val="single" w:sz="4" w:space="0" w:color="000000"/>
              <w:right w:val="nil"/>
            </w:tcBorders>
            <w:shd w:val="clear" w:color="000000" w:fill="D9D9D9"/>
            <w:vAlign w:val="center"/>
            <w:hideMark/>
          </w:tcPr>
          <w:p w14:paraId="59087F9E"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105 </w:t>
            </w:r>
          </w:p>
        </w:tc>
        <w:tc>
          <w:tcPr>
            <w:tcW w:w="923" w:type="pct"/>
            <w:tcBorders>
              <w:top w:val="nil"/>
              <w:left w:val="single" w:sz="4" w:space="0" w:color="auto"/>
              <w:bottom w:val="single" w:sz="4" w:space="0" w:color="auto"/>
              <w:right w:val="single" w:sz="4" w:space="0" w:color="auto"/>
            </w:tcBorders>
            <w:shd w:val="clear" w:color="000000" w:fill="D9D9D9"/>
            <w:vAlign w:val="center"/>
            <w:hideMark/>
          </w:tcPr>
          <w:p w14:paraId="3614A392"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41 </w:t>
            </w:r>
          </w:p>
        </w:tc>
        <w:tc>
          <w:tcPr>
            <w:tcW w:w="846" w:type="pct"/>
            <w:tcBorders>
              <w:top w:val="nil"/>
              <w:left w:val="nil"/>
              <w:bottom w:val="single" w:sz="4" w:space="0" w:color="auto"/>
              <w:right w:val="single" w:sz="4" w:space="0" w:color="auto"/>
            </w:tcBorders>
            <w:shd w:val="clear" w:color="000000" w:fill="D9D9D9"/>
            <w:vAlign w:val="center"/>
            <w:hideMark/>
          </w:tcPr>
          <w:p w14:paraId="50D3E357"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132 </w:t>
            </w:r>
          </w:p>
        </w:tc>
      </w:tr>
      <w:tr w:rsidR="00BC72D0" w:rsidRPr="001B7E14" w14:paraId="78842974" w14:textId="77777777" w:rsidTr="00154433">
        <w:trPr>
          <w:trHeight w:val="20"/>
          <w:jc w:val="center"/>
        </w:trPr>
        <w:tc>
          <w:tcPr>
            <w:tcW w:w="2461" w:type="pct"/>
            <w:tcBorders>
              <w:top w:val="nil"/>
              <w:left w:val="single" w:sz="8" w:space="0" w:color="000000"/>
              <w:bottom w:val="single" w:sz="4" w:space="0" w:color="000000"/>
              <w:right w:val="single" w:sz="4" w:space="0" w:color="000000"/>
            </w:tcBorders>
            <w:shd w:val="clear" w:color="000000" w:fill="D9D9D9"/>
            <w:vAlign w:val="center"/>
            <w:hideMark/>
          </w:tcPr>
          <w:p w14:paraId="105354C0" w14:textId="77777777" w:rsidR="00BC72D0" w:rsidRPr="001B7E14" w:rsidRDefault="00BC72D0" w:rsidP="00BC72D0">
            <w:pP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OTROS GASTOS NO INCLUIDOS EN LOS CONCEPTOS ANTERIORES </w:t>
            </w:r>
          </w:p>
        </w:tc>
        <w:tc>
          <w:tcPr>
            <w:tcW w:w="769" w:type="pct"/>
            <w:tcBorders>
              <w:top w:val="nil"/>
              <w:left w:val="nil"/>
              <w:bottom w:val="single" w:sz="4" w:space="0" w:color="000000"/>
              <w:right w:val="nil"/>
            </w:tcBorders>
            <w:shd w:val="clear" w:color="000000" w:fill="D9D9D9"/>
            <w:vAlign w:val="center"/>
            <w:hideMark/>
          </w:tcPr>
          <w:p w14:paraId="67E6F5BB" w14:textId="77777777" w:rsidR="00BC72D0" w:rsidRPr="001B7E14" w:rsidRDefault="00BC72D0" w:rsidP="00BC72D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539 </w:t>
            </w:r>
          </w:p>
        </w:tc>
        <w:tc>
          <w:tcPr>
            <w:tcW w:w="923" w:type="pct"/>
            <w:tcBorders>
              <w:top w:val="nil"/>
              <w:left w:val="single" w:sz="4" w:space="0" w:color="auto"/>
              <w:bottom w:val="single" w:sz="4" w:space="0" w:color="auto"/>
              <w:right w:val="single" w:sz="4" w:space="0" w:color="auto"/>
            </w:tcBorders>
            <w:shd w:val="clear" w:color="000000" w:fill="D9D9D9"/>
            <w:vAlign w:val="center"/>
            <w:hideMark/>
          </w:tcPr>
          <w:p w14:paraId="226DF8AD" w14:textId="77777777" w:rsidR="00BC72D0" w:rsidRPr="001B7E14" w:rsidRDefault="00BC72D0" w:rsidP="00BC72D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316 </w:t>
            </w:r>
          </w:p>
        </w:tc>
        <w:tc>
          <w:tcPr>
            <w:tcW w:w="846" w:type="pct"/>
            <w:tcBorders>
              <w:top w:val="nil"/>
              <w:left w:val="nil"/>
              <w:bottom w:val="single" w:sz="4" w:space="0" w:color="auto"/>
              <w:right w:val="single" w:sz="4" w:space="0" w:color="auto"/>
            </w:tcBorders>
            <w:shd w:val="clear" w:color="000000" w:fill="D9D9D9"/>
            <w:vAlign w:val="center"/>
            <w:hideMark/>
          </w:tcPr>
          <w:p w14:paraId="6FE9D458" w14:textId="77777777" w:rsidR="00BC72D0" w:rsidRPr="001B7E14" w:rsidRDefault="00BC72D0" w:rsidP="00BC72D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197 </w:t>
            </w:r>
          </w:p>
        </w:tc>
      </w:tr>
      <w:tr w:rsidR="00BC72D0" w:rsidRPr="001B7E14" w14:paraId="3BDD4E89" w14:textId="77777777" w:rsidTr="00154433">
        <w:trPr>
          <w:trHeight w:val="20"/>
          <w:jc w:val="center"/>
        </w:trPr>
        <w:tc>
          <w:tcPr>
            <w:tcW w:w="2461" w:type="pct"/>
            <w:tcBorders>
              <w:top w:val="nil"/>
              <w:left w:val="single" w:sz="8" w:space="0" w:color="000000"/>
              <w:bottom w:val="single" w:sz="8" w:space="0" w:color="000000"/>
              <w:right w:val="single" w:sz="4" w:space="0" w:color="000000"/>
            </w:tcBorders>
            <w:shd w:val="clear" w:color="000000" w:fill="203764"/>
            <w:vAlign w:val="center"/>
            <w:hideMark/>
          </w:tcPr>
          <w:p w14:paraId="01374027" w14:textId="77777777" w:rsidR="00BC72D0" w:rsidRPr="001B7E14" w:rsidRDefault="00BC72D0" w:rsidP="00BC72D0">
            <w:pPr>
              <w:rPr>
                <w:rFonts w:ascii="Helvetica" w:eastAsia="Times New Roman" w:hAnsi="Helvetica" w:cs="Helvetica"/>
                <w:b/>
                <w:bCs/>
                <w:color w:val="FFFFFF"/>
                <w:sz w:val="18"/>
                <w:szCs w:val="18"/>
                <w:lang w:val="es-CO" w:eastAsia="es-CO"/>
              </w:rPr>
            </w:pPr>
            <w:r w:rsidRPr="001B7E14">
              <w:rPr>
                <w:rFonts w:ascii="Helvetica" w:eastAsia="Times New Roman" w:hAnsi="Helvetica" w:cs="Helvetica"/>
                <w:b/>
                <w:bCs/>
                <w:color w:val="FFFFFF"/>
                <w:sz w:val="18"/>
                <w:szCs w:val="18"/>
                <w:lang w:val="es-CO" w:eastAsia="es-CO"/>
              </w:rPr>
              <w:t>TOTAL COMPROMISOS SGP – Educación</w:t>
            </w:r>
            <w:r w:rsidRPr="001B7E14">
              <w:rPr>
                <w:rFonts w:ascii="Helvetica" w:eastAsia="Times New Roman" w:hAnsi="Helvetica" w:cs="Helvetica"/>
                <w:color w:val="FFFFFF"/>
                <w:sz w:val="18"/>
                <w:szCs w:val="18"/>
                <w:lang w:val="es-CO" w:eastAsia="es-CO"/>
              </w:rPr>
              <w:t> </w:t>
            </w:r>
          </w:p>
        </w:tc>
        <w:tc>
          <w:tcPr>
            <w:tcW w:w="769" w:type="pct"/>
            <w:tcBorders>
              <w:top w:val="nil"/>
              <w:left w:val="nil"/>
              <w:bottom w:val="single" w:sz="8" w:space="0" w:color="000000"/>
              <w:right w:val="nil"/>
            </w:tcBorders>
            <w:shd w:val="clear" w:color="000000" w:fill="203764"/>
            <w:vAlign w:val="center"/>
            <w:hideMark/>
          </w:tcPr>
          <w:p w14:paraId="3FA4D922" w14:textId="77777777" w:rsidR="00BC72D0" w:rsidRPr="001B7E14" w:rsidRDefault="00BC72D0" w:rsidP="00BC72D0">
            <w:pPr>
              <w:jc w:val="right"/>
              <w:rPr>
                <w:rFonts w:ascii="Helvetica" w:eastAsia="Times New Roman" w:hAnsi="Helvetica" w:cs="Helvetica"/>
                <w:b/>
                <w:bCs/>
                <w:color w:val="FFFFFF"/>
                <w:sz w:val="18"/>
                <w:szCs w:val="18"/>
                <w:lang w:val="es-CO" w:eastAsia="es-CO"/>
              </w:rPr>
            </w:pPr>
            <w:r w:rsidRPr="001B7E14">
              <w:rPr>
                <w:rFonts w:ascii="Helvetica" w:eastAsia="Times New Roman" w:hAnsi="Helvetica" w:cs="Helvetica"/>
                <w:b/>
                <w:bCs/>
                <w:color w:val="FFFFFF"/>
                <w:sz w:val="18"/>
                <w:szCs w:val="18"/>
                <w:lang w:val="es-CO" w:eastAsia="es-CO"/>
              </w:rPr>
              <w:t xml:space="preserve"> 51.869 </w:t>
            </w:r>
          </w:p>
        </w:tc>
        <w:tc>
          <w:tcPr>
            <w:tcW w:w="923" w:type="pct"/>
            <w:tcBorders>
              <w:top w:val="nil"/>
              <w:left w:val="single" w:sz="4" w:space="0" w:color="auto"/>
              <w:bottom w:val="single" w:sz="4" w:space="0" w:color="auto"/>
              <w:right w:val="single" w:sz="4" w:space="0" w:color="auto"/>
            </w:tcBorders>
            <w:shd w:val="clear" w:color="000000" w:fill="203764"/>
            <w:vAlign w:val="center"/>
            <w:hideMark/>
          </w:tcPr>
          <w:p w14:paraId="322AB356" w14:textId="77777777" w:rsidR="00BC72D0" w:rsidRPr="001B7E14" w:rsidRDefault="00BC72D0" w:rsidP="00BC72D0">
            <w:pPr>
              <w:jc w:val="right"/>
              <w:rPr>
                <w:rFonts w:ascii="Helvetica" w:eastAsia="Times New Roman" w:hAnsi="Helvetica" w:cs="Helvetica"/>
                <w:b/>
                <w:bCs/>
                <w:color w:val="FFFFFF"/>
                <w:sz w:val="18"/>
                <w:szCs w:val="18"/>
                <w:lang w:val="es-CO" w:eastAsia="es-CO"/>
              </w:rPr>
            </w:pPr>
            <w:r w:rsidRPr="001B7E14">
              <w:rPr>
                <w:rFonts w:ascii="Helvetica" w:eastAsia="Times New Roman" w:hAnsi="Helvetica" w:cs="Helvetica"/>
                <w:b/>
                <w:bCs/>
                <w:color w:val="FFFFFF"/>
                <w:sz w:val="18"/>
                <w:szCs w:val="18"/>
                <w:lang w:val="es-CO" w:eastAsia="es-CO"/>
              </w:rPr>
              <w:t xml:space="preserve"> 67.777 </w:t>
            </w:r>
          </w:p>
        </w:tc>
        <w:tc>
          <w:tcPr>
            <w:tcW w:w="846" w:type="pct"/>
            <w:tcBorders>
              <w:top w:val="nil"/>
              <w:left w:val="nil"/>
              <w:bottom w:val="single" w:sz="4" w:space="0" w:color="auto"/>
              <w:right w:val="single" w:sz="4" w:space="0" w:color="auto"/>
            </w:tcBorders>
            <w:shd w:val="clear" w:color="000000" w:fill="203764"/>
            <w:vAlign w:val="center"/>
            <w:hideMark/>
          </w:tcPr>
          <w:p w14:paraId="2B2EC236" w14:textId="77777777" w:rsidR="00BC72D0" w:rsidRPr="001B7E14" w:rsidRDefault="00BC72D0" w:rsidP="00BC72D0">
            <w:pPr>
              <w:jc w:val="right"/>
              <w:rPr>
                <w:rFonts w:ascii="Helvetica" w:eastAsia="Times New Roman" w:hAnsi="Helvetica" w:cs="Helvetica"/>
                <w:b/>
                <w:bCs/>
                <w:color w:val="FFFFFF"/>
                <w:sz w:val="18"/>
                <w:szCs w:val="18"/>
                <w:lang w:val="es-CO" w:eastAsia="es-CO"/>
              </w:rPr>
            </w:pPr>
            <w:r w:rsidRPr="001B7E14">
              <w:rPr>
                <w:rFonts w:ascii="Helvetica" w:eastAsia="Times New Roman" w:hAnsi="Helvetica" w:cs="Helvetica"/>
                <w:b/>
                <w:bCs/>
                <w:color w:val="FFFFFF"/>
                <w:sz w:val="18"/>
                <w:szCs w:val="18"/>
                <w:lang w:val="es-CO" w:eastAsia="es-CO"/>
              </w:rPr>
              <w:t xml:space="preserve"> 73.883 </w:t>
            </w:r>
          </w:p>
        </w:tc>
      </w:tr>
    </w:tbl>
    <w:p w14:paraId="341AAB19" w14:textId="77777777" w:rsidR="00AD0693" w:rsidRPr="001B7E14" w:rsidRDefault="00AD0693" w:rsidP="00BC72D0">
      <w:pPr>
        <w:jc w:val="center"/>
        <w:rPr>
          <w:rFonts w:ascii="Helvetica" w:hAnsi="Helvetica" w:cs="Helvetica"/>
          <w:sz w:val="16"/>
          <w:szCs w:val="16"/>
          <w:lang w:val="es-CO"/>
        </w:rPr>
      </w:pPr>
      <w:r w:rsidRPr="001B7E14">
        <w:rPr>
          <w:rFonts w:ascii="Helvetica" w:hAnsi="Helvetica" w:cs="Helvetica"/>
          <w:sz w:val="16"/>
          <w:szCs w:val="16"/>
          <w:lang w:val="es-CO"/>
        </w:rPr>
        <w:t xml:space="preserve">Fuente: Ejecución presupuesta de gastos de </w:t>
      </w:r>
      <w:r w:rsidR="00BC72D0" w:rsidRPr="001B7E14">
        <w:rPr>
          <w:rFonts w:ascii="Helvetica" w:hAnsi="Helvetica" w:cs="Helvetica"/>
          <w:sz w:val="16"/>
          <w:szCs w:val="16"/>
          <w:lang w:val="es-CO"/>
        </w:rPr>
        <w:t>la entidad de la vigencia 2020,</w:t>
      </w:r>
      <w:r w:rsidRPr="001B7E14">
        <w:rPr>
          <w:rFonts w:ascii="Helvetica" w:hAnsi="Helvetica" w:cs="Helvetica"/>
          <w:sz w:val="16"/>
          <w:szCs w:val="16"/>
          <w:lang w:val="es-CO"/>
        </w:rPr>
        <w:t xml:space="preserve"> 2021</w:t>
      </w:r>
      <w:r w:rsidR="00BC72D0" w:rsidRPr="001B7E14">
        <w:rPr>
          <w:rFonts w:ascii="Helvetica" w:hAnsi="Helvetica" w:cs="Helvetica"/>
          <w:sz w:val="16"/>
          <w:szCs w:val="16"/>
          <w:lang w:val="es-CO"/>
        </w:rPr>
        <w:t xml:space="preserve"> y 2022</w:t>
      </w:r>
      <w:r w:rsidRPr="001B7E14">
        <w:rPr>
          <w:rFonts w:ascii="Helvetica" w:hAnsi="Helvetica" w:cs="Helvetica"/>
          <w:sz w:val="16"/>
          <w:szCs w:val="16"/>
          <w:lang w:val="es-CO"/>
        </w:rPr>
        <w:t>.</w:t>
      </w:r>
    </w:p>
    <w:p w14:paraId="7E22A2F0" w14:textId="77777777" w:rsidR="00BC72D0" w:rsidRPr="001B7E14" w:rsidRDefault="00BC72D0" w:rsidP="00BC72D0">
      <w:pPr>
        <w:jc w:val="center"/>
        <w:rPr>
          <w:rFonts w:ascii="Helvetica" w:hAnsi="Helvetica" w:cs="Helvetica"/>
          <w:sz w:val="16"/>
          <w:szCs w:val="16"/>
          <w:lang w:val="es-CO"/>
        </w:rPr>
      </w:pPr>
    </w:p>
    <w:p w14:paraId="11D1CE9F" w14:textId="77777777" w:rsidR="0044504E" w:rsidRPr="001B7E14" w:rsidRDefault="000A442B" w:rsidP="00154433">
      <w:pPr>
        <w:pStyle w:val="Prrafodelista"/>
        <w:numPr>
          <w:ilvl w:val="0"/>
          <w:numId w:val="38"/>
        </w:numPr>
        <w:ind w:left="426" w:hanging="426"/>
        <w:jc w:val="both"/>
        <w:rPr>
          <w:rFonts w:ascii="Helvetica" w:hAnsi="Helvetica" w:cs="Helvetica"/>
          <w:sz w:val="22"/>
          <w:szCs w:val="22"/>
          <w:lang w:val="es-CO"/>
        </w:rPr>
      </w:pPr>
      <w:r>
        <w:rPr>
          <w:rFonts w:ascii="Helvetica" w:hAnsi="Helvetica" w:cs="Helvetica"/>
          <w:sz w:val="22"/>
          <w:szCs w:val="22"/>
          <w:lang w:val="es-CO"/>
        </w:rPr>
        <w:t>S</w:t>
      </w:r>
      <w:r w:rsidR="001D0887" w:rsidRPr="001B7E14">
        <w:rPr>
          <w:rFonts w:ascii="Helvetica" w:hAnsi="Helvetica" w:cs="Helvetica"/>
          <w:sz w:val="22"/>
          <w:szCs w:val="22"/>
          <w:lang w:val="es-CO"/>
        </w:rPr>
        <w:t xml:space="preserve">i bien </w:t>
      </w:r>
      <w:r w:rsidR="00567463" w:rsidRPr="001B7E14">
        <w:rPr>
          <w:rFonts w:ascii="Helvetica" w:hAnsi="Helvetica" w:cs="Helvetica"/>
          <w:sz w:val="22"/>
          <w:szCs w:val="22"/>
          <w:lang w:val="es-CO"/>
        </w:rPr>
        <w:t>en el FUC se report</w:t>
      </w:r>
      <w:r>
        <w:rPr>
          <w:rFonts w:ascii="Helvetica" w:hAnsi="Helvetica" w:cs="Helvetica"/>
          <w:sz w:val="22"/>
          <w:szCs w:val="22"/>
          <w:lang w:val="es-CO"/>
        </w:rPr>
        <w:t>ó</w:t>
      </w:r>
      <w:r w:rsidR="00567463" w:rsidRPr="001B7E14">
        <w:rPr>
          <w:rFonts w:ascii="Helvetica" w:hAnsi="Helvetica" w:cs="Helvetica"/>
          <w:sz w:val="22"/>
          <w:szCs w:val="22"/>
          <w:lang w:val="es-CO"/>
        </w:rPr>
        <w:t xml:space="preserve"> en 2020 un</w:t>
      </w:r>
      <w:r w:rsidR="00BB02B2" w:rsidRPr="001B7E14">
        <w:rPr>
          <w:rFonts w:ascii="Helvetica" w:hAnsi="Helvetica" w:cs="Helvetica"/>
          <w:sz w:val="22"/>
          <w:szCs w:val="22"/>
          <w:lang w:val="es-CO"/>
        </w:rPr>
        <w:t xml:space="preserve"> </w:t>
      </w:r>
      <w:r w:rsidR="001D0887" w:rsidRPr="001B7E14">
        <w:rPr>
          <w:rFonts w:ascii="Helvetica" w:hAnsi="Helvetica" w:cs="Helvetica"/>
          <w:sz w:val="22"/>
          <w:szCs w:val="22"/>
          <w:lang w:val="es-CO"/>
        </w:rPr>
        <w:t xml:space="preserve">contrato </w:t>
      </w:r>
      <w:r w:rsidR="00567463" w:rsidRPr="001B7E14">
        <w:rPr>
          <w:rFonts w:ascii="Helvetica" w:hAnsi="Helvetica" w:cs="Helvetica"/>
          <w:sz w:val="22"/>
          <w:szCs w:val="22"/>
          <w:lang w:val="es-CO"/>
        </w:rPr>
        <w:t xml:space="preserve">de </w:t>
      </w:r>
      <w:r w:rsidR="00C627A5" w:rsidRPr="001B7E14">
        <w:rPr>
          <w:rFonts w:ascii="Helvetica" w:hAnsi="Helvetica" w:cs="Helvetica"/>
          <w:sz w:val="22"/>
          <w:szCs w:val="22"/>
          <w:lang w:val="es-CO"/>
        </w:rPr>
        <w:t xml:space="preserve">prestación del servicio educativo </w:t>
      </w:r>
      <w:r w:rsidR="001D0887" w:rsidRPr="001B7E14">
        <w:rPr>
          <w:rFonts w:ascii="Helvetica" w:hAnsi="Helvetica" w:cs="Helvetica"/>
          <w:sz w:val="22"/>
          <w:szCs w:val="22"/>
          <w:lang w:val="es-CO"/>
        </w:rPr>
        <w:t>por valor de $13.105 millones</w:t>
      </w:r>
      <w:r>
        <w:rPr>
          <w:rFonts w:ascii="Helvetica" w:hAnsi="Helvetica" w:cs="Helvetica"/>
          <w:sz w:val="22"/>
          <w:szCs w:val="22"/>
          <w:lang w:val="es-CO"/>
        </w:rPr>
        <w:t>,</w:t>
      </w:r>
      <w:r w:rsidR="001D0887" w:rsidRPr="001B7E14">
        <w:rPr>
          <w:rFonts w:ascii="Helvetica" w:hAnsi="Helvetica" w:cs="Helvetica"/>
          <w:sz w:val="22"/>
          <w:szCs w:val="22"/>
          <w:lang w:val="es-CO"/>
        </w:rPr>
        <w:t xml:space="preserve"> en la ejecución presupuestal </w:t>
      </w:r>
      <w:r w:rsidR="0044504E" w:rsidRPr="001B7E14">
        <w:rPr>
          <w:rFonts w:ascii="Helvetica" w:hAnsi="Helvetica" w:cs="Helvetica"/>
          <w:sz w:val="22"/>
          <w:szCs w:val="22"/>
          <w:lang w:val="es-CO"/>
        </w:rPr>
        <w:t xml:space="preserve">la entidad </w:t>
      </w:r>
      <w:r w:rsidR="001D0887" w:rsidRPr="001B7E14">
        <w:rPr>
          <w:rFonts w:ascii="Helvetica" w:hAnsi="Helvetica" w:cs="Helvetica"/>
          <w:sz w:val="22"/>
          <w:szCs w:val="22"/>
          <w:lang w:val="es-CO"/>
        </w:rPr>
        <w:t>separó los componentes de la canasta del contrato en diferentes rubros</w:t>
      </w:r>
      <w:r>
        <w:rPr>
          <w:rFonts w:ascii="Helvetica" w:hAnsi="Helvetica" w:cs="Helvetica"/>
          <w:sz w:val="22"/>
          <w:szCs w:val="22"/>
          <w:lang w:val="es-CO"/>
        </w:rPr>
        <w:t xml:space="preserve"> (</w:t>
      </w:r>
      <w:r w:rsidR="00C627A5" w:rsidRPr="001B7E14">
        <w:rPr>
          <w:rFonts w:ascii="Helvetica" w:hAnsi="Helvetica" w:cs="Helvetica"/>
          <w:sz w:val="22"/>
          <w:szCs w:val="22"/>
          <w:lang w:val="es-CO"/>
        </w:rPr>
        <w:t>$</w:t>
      </w:r>
      <w:r w:rsidR="001D0887" w:rsidRPr="001B7E14">
        <w:rPr>
          <w:rFonts w:ascii="Helvetica" w:hAnsi="Helvetica" w:cs="Helvetica"/>
          <w:sz w:val="22"/>
          <w:szCs w:val="22"/>
          <w:lang w:val="es-CO"/>
        </w:rPr>
        <w:t xml:space="preserve">10.951 </w:t>
      </w:r>
      <w:r w:rsidR="00C627A5" w:rsidRPr="001B7E14">
        <w:rPr>
          <w:rFonts w:ascii="Helvetica" w:hAnsi="Helvetica" w:cs="Helvetica"/>
          <w:sz w:val="22"/>
          <w:szCs w:val="22"/>
          <w:lang w:val="es-CO"/>
        </w:rPr>
        <w:t xml:space="preserve">millones </w:t>
      </w:r>
      <w:r w:rsidR="001D0887" w:rsidRPr="001B7E14">
        <w:rPr>
          <w:rFonts w:ascii="Helvetica" w:hAnsi="Helvetica" w:cs="Helvetica"/>
          <w:sz w:val="22"/>
          <w:szCs w:val="22"/>
          <w:lang w:val="es-CO"/>
        </w:rPr>
        <w:t xml:space="preserve">en el concepto </w:t>
      </w:r>
      <w:r w:rsidR="0044504E" w:rsidRPr="001B7E14">
        <w:rPr>
          <w:rFonts w:ascii="Helvetica" w:hAnsi="Helvetica" w:cs="Helvetica"/>
          <w:sz w:val="22"/>
          <w:szCs w:val="22"/>
          <w:lang w:val="es-CO"/>
        </w:rPr>
        <w:t>contrat</w:t>
      </w:r>
      <w:r w:rsidR="00567463" w:rsidRPr="001B7E14">
        <w:rPr>
          <w:rFonts w:ascii="Helvetica" w:hAnsi="Helvetica" w:cs="Helvetica"/>
          <w:sz w:val="22"/>
          <w:szCs w:val="22"/>
          <w:lang w:val="es-CO"/>
        </w:rPr>
        <w:t>ación de</w:t>
      </w:r>
      <w:r w:rsidR="0044504E" w:rsidRPr="001B7E14">
        <w:rPr>
          <w:rFonts w:ascii="Helvetica" w:hAnsi="Helvetica" w:cs="Helvetica"/>
          <w:sz w:val="22"/>
          <w:szCs w:val="22"/>
          <w:lang w:val="es-CO"/>
        </w:rPr>
        <w:t xml:space="preserve"> la prestación del </w:t>
      </w:r>
      <w:r w:rsidR="00567463" w:rsidRPr="001B7E14">
        <w:rPr>
          <w:rFonts w:ascii="Helvetica" w:hAnsi="Helvetica" w:cs="Helvetica"/>
          <w:sz w:val="22"/>
          <w:szCs w:val="22"/>
          <w:lang w:val="es-CO"/>
        </w:rPr>
        <w:t>servicio</w:t>
      </w:r>
      <w:r w:rsidR="0044504E" w:rsidRPr="001B7E14">
        <w:rPr>
          <w:rFonts w:ascii="Helvetica" w:hAnsi="Helvetica" w:cs="Helvetica"/>
          <w:sz w:val="22"/>
          <w:szCs w:val="22"/>
          <w:lang w:val="es-CO"/>
        </w:rPr>
        <w:t xml:space="preserve"> educativo </w:t>
      </w:r>
      <w:r w:rsidR="001D0887" w:rsidRPr="001B7E14">
        <w:rPr>
          <w:rFonts w:ascii="Helvetica" w:hAnsi="Helvetica" w:cs="Helvetica"/>
          <w:sz w:val="22"/>
          <w:szCs w:val="22"/>
          <w:lang w:val="es-CO"/>
        </w:rPr>
        <w:t>y</w:t>
      </w:r>
      <w:r w:rsidR="00567463" w:rsidRPr="001B7E14">
        <w:rPr>
          <w:rFonts w:ascii="Helvetica" w:hAnsi="Helvetica" w:cs="Helvetica"/>
          <w:sz w:val="22"/>
          <w:szCs w:val="22"/>
          <w:lang w:val="es-CO"/>
        </w:rPr>
        <w:t xml:space="preserve"> el resto bajo el</w:t>
      </w:r>
      <w:r w:rsidR="00BB02B2" w:rsidRPr="001B7E14">
        <w:rPr>
          <w:rFonts w:ascii="Helvetica" w:hAnsi="Helvetica" w:cs="Helvetica"/>
          <w:sz w:val="22"/>
          <w:szCs w:val="22"/>
          <w:lang w:val="es-CO"/>
        </w:rPr>
        <w:t xml:space="preserve"> </w:t>
      </w:r>
      <w:r w:rsidR="001D0887" w:rsidRPr="001B7E14">
        <w:rPr>
          <w:rFonts w:ascii="Helvetica" w:hAnsi="Helvetica" w:cs="Helvetica"/>
          <w:sz w:val="22"/>
          <w:szCs w:val="22"/>
          <w:lang w:val="es-CO"/>
        </w:rPr>
        <w:t>concepto de internados</w:t>
      </w:r>
      <w:r>
        <w:rPr>
          <w:rFonts w:ascii="Helvetica" w:hAnsi="Helvetica" w:cs="Helvetica"/>
          <w:sz w:val="22"/>
          <w:szCs w:val="22"/>
          <w:lang w:val="es-CO"/>
        </w:rPr>
        <w:t>)</w:t>
      </w:r>
      <w:r w:rsidR="00567463" w:rsidRPr="001B7E14">
        <w:rPr>
          <w:rFonts w:ascii="Helvetica" w:hAnsi="Helvetica" w:cs="Helvetica"/>
          <w:sz w:val="22"/>
          <w:szCs w:val="22"/>
          <w:lang w:val="es-CO"/>
        </w:rPr>
        <w:t xml:space="preserve">. Adicionalmente </w:t>
      </w:r>
      <w:r w:rsidR="00C627A5" w:rsidRPr="001B7E14">
        <w:rPr>
          <w:rFonts w:ascii="Helvetica" w:hAnsi="Helvetica" w:cs="Helvetica"/>
          <w:sz w:val="22"/>
          <w:szCs w:val="22"/>
          <w:lang w:val="es-CO"/>
        </w:rPr>
        <w:t xml:space="preserve">en el FUC se reportó para dicha vigencia </w:t>
      </w:r>
      <w:r w:rsidR="00567463" w:rsidRPr="001B7E14">
        <w:rPr>
          <w:rFonts w:ascii="Helvetica" w:hAnsi="Helvetica" w:cs="Helvetica"/>
          <w:sz w:val="22"/>
          <w:szCs w:val="22"/>
          <w:lang w:val="es-CO"/>
        </w:rPr>
        <w:t xml:space="preserve">otro contrato de población indígena por valor de </w:t>
      </w:r>
      <w:r w:rsidR="00C627A5" w:rsidRPr="001B7E14">
        <w:rPr>
          <w:rFonts w:ascii="Helvetica" w:hAnsi="Helvetica" w:cs="Helvetica"/>
          <w:sz w:val="22"/>
          <w:szCs w:val="22"/>
          <w:lang w:val="es-CO"/>
        </w:rPr>
        <w:t>$</w:t>
      </w:r>
      <w:r w:rsidR="00567463" w:rsidRPr="001B7E14">
        <w:rPr>
          <w:rFonts w:ascii="Helvetica" w:hAnsi="Helvetica" w:cs="Helvetica"/>
          <w:sz w:val="22"/>
          <w:szCs w:val="22"/>
          <w:lang w:val="es-CO"/>
        </w:rPr>
        <w:t>610 millones, el cual en la ejecución presupuestal no se identifica como contratación del servicio educativo, por tanto, teniendo en cuenta el reporte FUC, para la vigencia 2020 la contratación de la prestación del servicio educativo ascendió a $13.715</w:t>
      </w:r>
      <w:r w:rsidR="00C627A5" w:rsidRPr="001B7E14">
        <w:rPr>
          <w:rFonts w:ascii="Helvetica" w:hAnsi="Helvetica" w:cs="Helvetica"/>
          <w:sz w:val="22"/>
          <w:szCs w:val="22"/>
          <w:lang w:val="es-CO"/>
        </w:rPr>
        <w:t xml:space="preserve"> millones. </w:t>
      </w:r>
      <w:r w:rsidR="00816946">
        <w:rPr>
          <w:rFonts w:ascii="Helvetica" w:hAnsi="Helvetica" w:cs="Helvetica"/>
          <w:sz w:val="22"/>
          <w:szCs w:val="22"/>
          <w:lang w:val="es-CO"/>
        </w:rPr>
        <w:t xml:space="preserve">Mientras que </w:t>
      </w:r>
      <w:r w:rsidR="00C627A5" w:rsidRPr="001B7E14">
        <w:rPr>
          <w:rFonts w:ascii="Helvetica" w:hAnsi="Helvetica" w:cs="Helvetica"/>
          <w:sz w:val="22"/>
          <w:szCs w:val="22"/>
          <w:lang w:val="es-CO"/>
        </w:rPr>
        <w:t>en 2021 ascendió a $15.515 millones</w:t>
      </w:r>
      <w:r w:rsidR="00816946">
        <w:rPr>
          <w:rFonts w:ascii="Helvetica" w:hAnsi="Helvetica" w:cs="Helvetica"/>
          <w:sz w:val="22"/>
          <w:szCs w:val="22"/>
          <w:lang w:val="es-CO"/>
        </w:rPr>
        <w:t xml:space="preserve"> con </w:t>
      </w:r>
      <w:r w:rsidR="00C627A5" w:rsidRPr="001B7E14">
        <w:rPr>
          <w:rFonts w:ascii="Helvetica" w:hAnsi="Helvetica" w:cs="Helvetica"/>
          <w:sz w:val="22"/>
          <w:szCs w:val="22"/>
          <w:lang w:val="es-CO"/>
        </w:rPr>
        <w:t>un aumento de 13% con respecto a 2020</w:t>
      </w:r>
      <w:r w:rsidR="00816946">
        <w:rPr>
          <w:rFonts w:ascii="Helvetica" w:hAnsi="Helvetica" w:cs="Helvetica"/>
          <w:sz w:val="22"/>
          <w:szCs w:val="22"/>
          <w:lang w:val="es-CO"/>
        </w:rPr>
        <w:t>. A</w:t>
      </w:r>
      <w:r w:rsidR="00C627A5" w:rsidRPr="001B7E14">
        <w:rPr>
          <w:rFonts w:ascii="Helvetica" w:hAnsi="Helvetica" w:cs="Helvetica"/>
          <w:sz w:val="22"/>
          <w:szCs w:val="22"/>
          <w:lang w:val="es-CO"/>
        </w:rPr>
        <w:t>dicionalmente</w:t>
      </w:r>
      <w:r w:rsidR="00816946">
        <w:rPr>
          <w:rFonts w:ascii="Helvetica" w:hAnsi="Helvetica" w:cs="Helvetica"/>
          <w:sz w:val="22"/>
          <w:szCs w:val="22"/>
          <w:lang w:val="es-CO"/>
        </w:rPr>
        <w:t xml:space="preserve">, </w:t>
      </w:r>
      <w:r w:rsidR="00C627A5" w:rsidRPr="001B7E14">
        <w:rPr>
          <w:rFonts w:ascii="Helvetica" w:hAnsi="Helvetica" w:cs="Helvetica"/>
          <w:sz w:val="22"/>
          <w:szCs w:val="22"/>
          <w:lang w:val="es-CO"/>
        </w:rPr>
        <w:t xml:space="preserve">en 2021 el número de niños contratados aumentó en un 8%, </w:t>
      </w:r>
      <w:r w:rsidR="00816946">
        <w:rPr>
          <w:rFonts w:ascii="Helvetica" w:hAnsi="Helvetica" w:cs="Helvetica"/>
          <w:sz w:val="22"/>
          <w:szCs w:val="22"/>
          <w:lang w:val="es-CO"/>
        </w:rPr>
        <w:t>pasando de</w:t>
      </w:r>
      <w:r w:rsidR="00C627A5" w:rsidRPr="001B7E14">
        <w:rPr>
          <w:rFonts w:ascii="Helvetica" w:hAnsi="Helvetica" w:cs="Helvetica"/>
          <w:sz w:val="22"/>
          <w:szCs w:val="22"/>
          <w:lang w:val="es-CO"/>
        </w:rPr>
        <w:t xml:space="preserve"> 3.688 estudiantes</w:t>
      </w:r>
      <w:r w:rsidR="00816946">
        <w:rPr>
          <w:rFonts w:ascii="Helvetica" w:hAnsi="Helvetica" w:cs="Helvetica"/>
          <w:sz w:val="22"/>
          <w:szCs w:val="22"/>
          <w:lang w:val="es-CO"/>
        </w:rPr>
        <w:t xml:space="preserve"> en 2020 a </w:t>
      </w:r>
      <w:r w:rsidR="00C627A5" w:rsidRPr="001B7E14">
        <w:rPr>
          <w:rFonts w:ascii="Helvetica" w:hAnsi="Helvetica" w:cs="Helvetica"/>
          <w:sz w:val="22"/>
          <w:szCs w:val="22"/>
          <w:lang w:val="es-CO"/>
        </w:rPr>
        <w:t>4.000 estudiantes</w:t>
      </w:r>
      <w:r w:rsidR="00816946">
        <w:rPr>
          <w:rFonts w:ascii="Helvetica" w:hAnsi="Helvetica" w:cs="Helvetica"/>
          <w:sz w:val="22"/>
          <w:szCs w:val="22"/>
          <w:lang w:val="es-CO"/>
        </w:rPr>
        <w:t xml:space="preserve"> en 2021</w:t>
      </w:r>
      <w:r w:rsidR="00C627A5" w:rsidRPr="001B7E14">
        <w:rPr>
          <w:rFonts w:ascii="Helvetica" w:hAnsi="Helvetica" w:cs="Helvetica"/>
          <w:sz w:val="22"/>
          <w:szCs w:val="22"/>
          <w:lang w:val="es-CO"/>
        </w:rPr>
        <w:t>.</w:t>
      </w:r>
    </w:p>
    <w:p w14:paraId="38F05FF0" w14:textId="77777777" w:rsidR="00292651" w:rsidRPr="001B7E14" w:rsidRDefault="00292651" w:rsidP="00154433">
      <w:pPr>
        <w:pStyle w:val="Prrafodelista"/>
        <w:ind w:left="426" w:hanging="426"/>
        <w:jc w:val="both"/>
        <w:rPr>
          <w:rFonts w:ascii="Helvetica" w:hAnsi="Helvetica" w:cs="Helvetica"/>
          <w:sz w:val="22"/>
          <w:szCs w:val="22"/>
          <w:lang w:val="es-CO"/>
        </w:rPr>
      </w:pPr>
    </w:p>
    <w:p w14:paraId="789D3A2C" w14:textId="77777777" w:rsidR="00835D8A" w:rsidRPr="001B7E14" w:rsidRDefault="00292651" w:rsidP="00154433">
      <w:pPr>
        <w:pStyle w:val="Prrafodelista"/>
        <w:numPr>
          <w:ilvl w:val="0"/>
          <w:numId w:val="38"/>
        </w:numPr>
        <w:ind w:left="426" w:hanging="426"/>
        <w:jc w:val="both"/>
        <w:rPr>
          <w:rFonts w:ascii="Helvetica" w:hAnsi="Helvetica" w:cs="Helvetica"/>
          <w:sz w:val="22"/>
          <w:szCs w:val="22"/>
          <w:lang w:val="es-CO"/>
        </w:rPr>
      </w:pPr>
      <w:r w:rsidRPr="001B7E14">
        <w:rPr>
          <w:rFonts w:ascii="Helvetica" w:hAnsi="Helvetica" w:cs="Helvetica"/>
          <w:sz w:val="22"/>
          <w:szCs w:val="22"/>
          <w:lang w:val="es-CO"/>
        </w:rPr>
        <w:t xml:space="preserve">En cuanto </w:t>
      </w:r>
      <w:r w:rsidR="00835D8A" w:rsidRPr="001B7E14">
        <w:rPr>
          <w:rFonts w:ascii="Helvetica" w:hAnsi="Helvetica" w:cs="Helvetica"/>
          <w:sz w:val="22"/>
          <w:szCs w:val="22"/>
          <w:lang w:val="es-CO"/>
        </w:rPr>
        <w:t>al aumento del valor de la contratación de la prestación del servicio educativo en 2022 con resp</w:t>
      </w:r>
      <w:r w:rsidRPr="001B7E14">
        <w:rPr>
          <w:rFonts w:ascii="Helvetica" w:hAnsi="Helvetica" w:cs="Helvetica"/>
          <w:sz w:val="22"/>
          <w:szCs w:val="22"/>
          <w:lang w:val="es-CO"/>
        </w:rPr>
        <w:t>ecto a 2021</w:t>
      </w:r>
      <w:r w:rsidR="00816946">
        <w:rPr>
          <w:rFonts w:ascii="Helvetica" w:hAnsi="Helvetica" w:cs="Helvetica"/>
          <w:sz w:val="22"/>
          <w:szCs w:val="22"/>
          <w:lang w:val="es-CO"/>
        </w:rPr>
        <w:t>,</w:t>
      </w:r>
      <w:r w:rsidRPr="001B7E14">
        <w:rPr>
          <w:rFonts w:ascii="Helvetica" w:hAnsi="Helvetica" w:cs="Helvetica"/>
          <w:sz w:val="22"/>
          <w:szCs w:val="22"/>
          <w:lang w:val="es-CO"/>
        </w:rPr>
        <w:t xml:space="preserve"> </w:t>
      </w:r>
      <w:r w:rsidR="00835D8A" w:rsidRPr="001B7E14">
        <w:rPr>
          <w:rFonts w:ascii="Helvetica" w:hAnsi="Helvetica" w:cs="Helvetica"/>
          <w:sz w:val="22"/>
          <w:szCs w:val="22"/>
          <w:lang w:val="es-CO"/>
        </w:rPr>
        <w:t xml:space="preserve">se concluye que también obedeció al aumento de los </w:t>
      </w:r>
      <w:r w:rsidR="00835D8A" w:rsidRPr="001B7E14">
        <w:rPr>
          <w:rFonts w:ascii="Helvetica" w:hAnsi="Helvetica" w:cs="Helvetica"/>
          <w:sz w:val="22"/>
          <w:szCs w:val="22"/>
          <w:lang w:val="es-CO"/>
        </w:rPr>
        <w:lastRenderedPageBreak/>
        <w:t xml:space="preserve">niños </w:t>
      </w:r>
      <w:r w:rsidR="00816946">
        <w:rPr>
          <w:rFonts w:ascii="Helvetica" w:hAnsi="Helvetica" w:cs="Helvetica"/>
          <w:sz w:val="22"/>
          <w:szCs w:val="22"/>
          <w:lang w:val="es-CO"/>
        </w:rPr>
        <w:t xml:space="preserve">a </w:t>
      </w:r>
      <w:r w:rsidR="00835D8A" w:rsidRPr="001B7E14">
        <w:rPr>
          <w:rFonts w:ascii="Helvetica" w:hAnsi="Helvetica" w:cs="Helvetica"/>
          <w:sz w:val="22"/>
          <w:szCs w:val="22"/>
          <w:lang w:val="es-CO"/>
        </w:rPr>
        <w:t xml:space="preserve">atender en un 22%, </w:t>
      </w:r>
      <w:r w:rsidR="00816946">
        <w:rPr>
          <w:rFonts w:ascii="Helvetica" w:hAnsi="Helvetica" w:cs="Helvetica"/>
          <w:sz w:val="22"/>
          <w:szCs w:val="22"/>
          <w:lang w:val="es-CO"/>
        </w:rPr>
        <w:t xml:space="preserve">pues </w:t>
      </w:r>
      <w:r w:rsidR="00835D8A" w:rsidRPr="001B7E14">
        <w:rPr>
          <w:rFonts w:ascii="Helvetica" w:hAnsi="Helvetica" w:cs="Helvetica"/>
          <w:sz w:val="22"/>
          <w:szCs w:val="22"/>
          <w:lang w:val="es-CO"/>
        </w:rPr>
        <w:t xml:space="preserve">en </w:t>
      </w:r>
      <w:r w:rsidRPr="001B7E14">
        <w:rPr>
          <w:rFonts w:ascii="Helvetica" w:hAnsi="Helvetica" w:cs="Helvetica"/>
          <w:sz w:val="22"/>
          <w:szCs w:val="22"/>
          <w:lang w:val="es-CO"/>
        </w:rPr>
        <w:t>2022</w:t>
      </w:r>
      <w:r w:rsidR="00835D8A" w:rsidRPr="001B7E14">
        <w:rPr>
          <w:rFonts w:ascii="Helvetica" w:hAnsi="Helvetica" w:cs="Helvetica"/>
          <w:sz w:val="22"/>
          <w:szCs w:val="22"/>
          <w:lang w:val="es-CO"/>
        </w:rPr>
        <w:t xml:space="preserve"> se contrató la atención de </w:t>
      </w:r>
      <w:r w:rsidRPr="001B7E14">
        <w:rPr>
          <w:rFonts w:ascii="Helvetica" w:hAnsi="Helvetica" w:cs="Helvetica"/>
          <w:sz w:val="22"/>
          <w:szCs w:val="22"/>
          <w:lang w:val="es-CO"/>
        </w:rPr>
        <w:t>864 niños adicio</w:t>
      </w:r>
      <w:r w:rsidR="00835D8A" w:rsidRPr="001B7E14">
        <w:rPr>
          <w:rFonts w:ascii="Helvetica" w:hAnsi="Helvetica" w:cs="Helvetica"/>
          <w:sz w:val="22"/>
          <w:szCs w:val="22"/>
          <w:lang w:val="es-CO"/>
        </w:rPr>
        <w:t>nales a los de 2021.</w:t>
      </w:r>
    </w:p>
    <w:p w14:paraId="42CDAED5" w14:textId="77777777" w:rsidR="0044504E" w:rsidRPr="001B7E14" w:rsidRDefault="0044504E" w:rsidP="00154433">
      <w:pPr>
        <w:ind w:left="426" w:hanging="426"/>
        <w:jc w:val="both"/>
        <w:rPr>
          <w:rFonts w:ascii="Helvetica" w:hAnsi="Helvetica" w:cs="Helvetica"/>
          <w:sz w:val="22"/>
          <w:szCs w:val="22"/>
          <w:lang w:val="es-CO"/>
        </w:rPr>
      </w:pPr>
    </w:p>
    <w:p w14:paraId="67B8FD2A" w14:textId="77777777" w:rsidR="007F5852" w:rsidRPr="001B7E14" w:rsidRDefault="00816946" w:rsidP="001B7E14">
      <w:pPr>
        <w:pStyle w:val="Prrafodelista"/>
        <w:numPr>
          <w:ilvl w:val="0"/>
          <w:numId w:val="38"/>
        </w:numPr>
        <w:ind w:left="426" w:hanging="426"/>
        <w:jc w:val="both"/>
        <w:rPr>
          <w:rFonts w:ascii="Helvetica" w:hAnsi="Helvetica" w:cs="Helvetica"/>
          <w:sz w:val="22"/>
          <w:szCs w:val="22"/>
          <w:lang w:val="es-CO"/>
        </w:rPr>
      </w:pPr>
      <w:r>
        <w:rPr>
          <w:rFonts w:ascii="Helvetica" w:hAnsi="Helvetica" w:cs="Helvetica"/>
          <w:sz w:val="22"/>
          <w:szCs w:val="22"/>
          <w:lang w:val="es-CO"/>
        </w:rPr>
        <w:t xml:space="preserve">El aumento en </w:t>
      </w:r>
      <w:r w:rsidR="00BC72D0" w:rsidRPr="001B7E14">
        <w:rPr>
          <w:rFonts w:ascii="Helvetica" w:hAnsi="Helvetica" w:cs="Helvetica"/>
          <w:sz w:val="22"/>
          <w:szCs w:val="22"/>
          <w:lang w:val="es-CO"/>
        </w:rPr>
        <w:t xml:space="preserve">el gasto </w:t>
      </w:r>
      <w:r>
        <w:rPr>
          <w:rFonts w:ascii="Helvetica" w:hAnsi="Helvetica" w:cs="Helvetica"/>
          <w:sz w:val="22"/>
          <w:szCs w:val="22"/>
          <w:lang w:val="es-CO"/>
        </w:rPr>
        <w:t xml:space="preserve">por concepto </w:t>
      </w:r>
      <w:r w:rsidR="00BC72D0" w:rsidRPr="001B7E14">
        <w:rPr>
          <w:rFonts w:ascii="Helvetica" w:hAnsi="Helvetica" w:cs="Helvetica"/>
          <w:sz w:val="22"/>
          <w:szCs w:val="22"/>
          <w:lang w:val="es-CO"/>
        </w:rPr>
        <w:t xml:space="preserve">de calidad </w:t>
      </w:r>
      <w:r>
        <w:rPr>
          <w:rFonts w:ascii="Helvetica" w:hAnsi="Helvetica" w:cs="Helvetica"/>
          <w:sz w:val="22"/>
          <w:szCs w:val="22"/>
          <w:lang w:val="es-CO"/>
        </w:rPr>
        <w:t xml:space="preserve">entre 2020 y 2021 se evidencia en </w:t>
      </w:r>
      <w:r w:rsidR="007D5925" w:rsidRPr="001B7E14">
        <w:rPr>
          <w:rFonts w:ascii="Helvetica" w:hAnsi="Helvetica" w:cs="Helvetica"/>
          <w:sz w:val="22"/>
          <w:szCs w:val="22"/>
          <w:lang w:val="es-CO"/>
        </w:rPr>
        <w:t>el</w:t>
      </w:r>
      <w:r w:rsidR="005A4DDA" w:rsidRPr="001B7E14">
        <w:rPr>
          <w:rFonts w:ascii="Helvetica" w:hAnsi="Helvetica" w:cs="Helvetica"/>
          <w:sz w:val="22"/>
          <w:szCs w:val="22"/>
          <w:lang w:val="es-CO"/>
        </w:rPr>
        <w:t xml:space="preserve"> concepto de </w:t>
      </w:r>
      <w:r w:rsidR="00B875C5" w:rsidRPr="001B7E14">
        <w:rPr>
          <w:rFonts w:ascii="Helvetica" w:hAnsi="Helvetica" w:cs="Helvetica"/>
          <w:sz w:val="22"/>
          <w:szCs w:val="22"/>
          <w:lang w:val="es-CO"/>
        </w:rPr>
        <w:t>“</w:t>
      </w:r>
      <w:r w:rsidR="005A4DDA" w:rsidRPr="001B7E14">
        <w:rPr>
          <w:rFonts w:ascii="Helvetica" w:hAnsi="Helvetica" w:cs="Helvetica"/>
          <w:sz w:val="22"/>
          <w:szCs w:val="22"/>
          <w:lang w:val="es-CO"/>
        </w:rPr>
        <w:t>Construcción Ampliación y Adecuación de Infraestructura Educativa</w:t>
      </w:r>
      <w:r w:rsidR="00B875C5" w:rsidRPr="001B7E14">
        <w:rPr>
          <w:rFonts w:ascii="Helvetica" w:hAnsi="Helvetica" w:cs="Helvetica"/>
          <w:sz w:val="22"/>
          <w:szCs w:val="22"/>
          <w:lang w:val="es-CO"/>
        </w:rPr>
        <w:t>”</w:t>
      </w:r>
      <w:r>
        <w:rPr>
          <w:rFonts w:ascii="Helvetica" w:hAnsi="Helvetica" w:cs="Helvetica"/>
          <w:sz w:val="22"/>
          <w:szCs w:val="22"/>
          <w:lang w:val="es-CO"/>
        </w:rPr>
        <w:t>. A</w:t>
      </w:r>
      <w:r w:rsidR="007D5925" w:rsidRPr="001B7E14">
        <w:rPr>
          <w:rFonts w:ascii="Helvetica" w:hAnsi="Helvetica" w:cs="Helvetica"/>
          <w:sz w:val="22"/>
          <w:szCs w:val="22"/>
          <w:lang w:val="es-CO"/>
        </w:rPr>
        <w:t>simismo,</w:t>
      </w:r>
      <w:r w:rsidR="00BB02B2" w:rsidRPr="001B7E14">
        <w:rPr>
          <w:rFonts w:ascii="Helvetica" w:hAnsi="Helvetica" w:cs="Helvetica"/>
          <w:sz w:val="22"/>
          <w:szCs w:val="22"/>
          <w:lang w:val="es-CO"/>
        </w:rPr>
        <w:t xml:space="preserve"> </w:t>
      </w:r>
      <w:r w:rsidR="007F5852" w:rsidRPr="001B7E14">
        <w:rPr>
          <w:rFonts w:ascii="Helvetica" w:hAnsi="Helvetica" w:cs="Helvetica"/>
          <w:sz w:val="22"/>
          <w:szCs w:val="22"/>
          <w:lang w:val="es-CO"/>
        </w:rPr>
        <w:t xml:space="preserve">el listado de certificados de disponibilidad presupuestal </w:t>
      </w:r>
      <w:r w:rsidR="00A35F01" w:rsidRPr="001B7E14">
        <w:rPr>
          <w:rFonts w:ascii="Helvetica" w:hAnsi="Helvetica" w:cs="Helvetica"/>
          <w:sz w:val="22"/>
          <w:szCs w:val="22"/>
          <w:lang w:val="es-CO"/>
        </w:rPr>
        <w:t>incluye</w:t>
      </w:r>
      <w:r w:rsidR="007F5852" w:rsidRPr="001B7E14">
        <w:rPr>
          <w:rFonts w:ascii="Helvetica" w:hAnsi="Helvetica" w:cs="Helvetica"/>
          <w:sz w:val="22"/>
          <w:szCs w:val="22"/>
          <w:lang w:val="es-CO"/>
        </w:rPr>
        <w:t xml:space="preserve"> el CDP No. 280 para la “</w:t>
      </w:r>
      <w:r w:rsidR="00A35F01" w:rsidRPr="001B7E14">
        <w:rPr>
          <w:rFonts w:ascii="Helvetica" w:hAnsi="Helvetica" w:cs="Helvetica"/>
          <w:i/>
          <w:sz w:val="22"/>
          <w:szCs w:val="22"/>
          <w:lang w:val="es-CO"/>
        </w:rPr>
        <w:t>Construcción y mejoramiento de infraestructura educativa y residencias escolares en el municipio de Inírida y en resguardos indígenas del departamento del Guainia</w:t>
      </w:r>
      <w:r w:rsidR="007F5852" w:rsidRPr="001B7E14">
        <w:rPr>
          <w:rFonts w:ascii="Helvetica" w:hAnsi="Helvetica" w:cs="Helvetica"/>
          <w:sz w:val="22"/>
          <w:szCs w:val="22"/>
          <w:lang w:val="es-CO"/>
        </w:rPr>
        <w:t>” por</w:t>
      </w:r>
      <w:r w:rsidR="00BB02B2" w:rsidRPr="001B7E14">
        <w:rPr>
          <w:rFonts w:ascii="Helvetica" w:hAnsi="Helvetica" w:cs="Helvetica"/>
          <w:sz w:val="22"/>
          <w:szCs w:val="22"/>
          <w:lang w:val="es-CO"/>
        </w:rPr>
        <w:t xml:space="preserve"> </w:t>
      </w:r>
      <w:r w:rsidR="007F5852" w:rsidRPr="001B7E14">
        <w:rPr>
          <w:rFonts w:ascii="Helvetica" w:hAnsi="Helvetica" w:cs="Helvetica"/>
          <w:sz w:val="22"/>
          <w:szCs w:val="22"/>
          <w:lang w:val="es-CO"/>
        </w:rPr>
        <w:t xml:space="preserve">valor de </w:t>
      </w:r>
      <w:r w:rsidR="00A35F01" w:rsidRPr="001B7E14">
        <w:rPr>
          <w:rFonts w:ascii="Helvetica" w:hAnsi="Helvetica" w:cs="Helvetica"/>
          <w:sz w:val="22"/>
          <w:szCs w:val="22"/>
          <w:lang w:val="es-CO"/>
        </w:rPr>
        <w:t xml:space="preserve">$8.410 </w:t>
      </w:r>
      <w:r w:rsidR="007F5852" w:rsidRPr="001B7E14">
        <w:rPr>
          <w:rFonts w:ascii="Helvetica" w:hAnsi="Helvetica" w:cs="Helvetica"/>
          <w:sz w:val="22"/>
          <w:szCs w:val="22"/>
          <w:lang w:val="es-CO"/>
        </w:rPr>
        <w:t>millones y el CDP No. 281 para la "</w:t>
      </w:r>
      <w:r w:rsidR="00A35F01" w:rsidRPr="001B7E14">
        <w:rPr>
          <w:rFonts w:ascii="Helvetica" w:hAnsi="Helvetica" w:cs="Helvetica"/>
          <w:sz w:val="22"/>
          <w:szCs w:val="22"/>
          <w:lang w:val="es-CO"/>
        </w:rPr>
        <w:t>I</w:t>
      </w:r>
      <w:r w:rsidR="00A35F01" w:rsidRPr="001B7E14">
        <w:rPr>
          <w:rFonts w:ascii="Helvetica" w:hAnsi="Helvetica" w:cs="Helvetica"/>
          <w:i/>
          <w:sz w:val="22"/>
          <w:szCs w:val="22"/>
          <w:lang w:val="es-CO"/>
        </w:rPr>
        <w:t>nterventoría técnica, administrativa, contable, financiera, jurídica y ambiental para la construcción y mejoramiento de infraestructura educativa y residencias”</w:t>
      </w:r>
      <w:r w:rsidR="007F5852" w:rsidRPr="001B7E14">
        <w:rPr>
          <w:rFonts w:ascii="Helvetica" w:hAnsi="Helvetica" w:cs="Helvetica"/>
          <w:sz w:val="22"/>
          <w:szCs w:val="22"/>
          <w:lang w:val="es-CO"/>
        </w:rPr>
        <w:t>, por valor de $502 millones</w:t>
      </w:r>
      <w:r w:rsidR="007D5925" w:rsidRPr="001B7E14">
        <w:rPr>
          <w:rFonts w:ascii="Helvetica" w:hAnsi="Helvetica" w:cs="Helvetica"/>
          <w:sz w:val="22"/>
          <w:szCs w:val="22"/>
          <w:lang w:val="es-CO"/>
        </w:rPr>
        <w:t>,</w:t>
      </w:r>
      <w:r w:rsidR="007F5852" w:rsidRPr="001B7E14">
        <w:rPr>
          <w:rFonts w:ascii="Helvetica" w:hAnsi="Helvetica" w:cs="Helvetica"/>
          <w:sz w:val="22"/>
          <w:szCs w:val="22"/>
          <w:lang w:val="es-CO"/>
        </w:rPr>
        <w:t xml:space="preserve"> los cuales suman los $8.911</w:t>
      </w:r>
      <w:r w:rsidR="00BB02B2" w:rsidRPr="001B7E14">
        <w:rPr>
          <w:rFonts w:ascii="Helvetica" w:hAnsi="Helvetica" w:cs="Helvetica"/>
          <w:sz w:val="22"/>
          <w:szCs w:val="22"/>
          <w:lang w:val="es-CO"/>
        </w:rPr>
        <w:t xml:space="preserve"> </w:t>
      </w:r>
      <w:r w:rsidR="007F5852" w:rsidRPr="001B7E14">
        <w:rPr>
          <w:rFonts w:ascii="Helvetica" w:hAnsi="Helvetica" w:cs="Helvetica"/>
          <w:sz w:val="22"/>
          <w:szCs w:val="22"/>
          <w:lang w:val="es-CO"/>
        </w:rPr>
        <w:t xml:space="preserve">millones de compromisos reflejados en la ejecución presupuestal en el concepto de </w:t>
      </w:r>
      <w:r w:rsidR="00A35F01" w:rsidRPr="001B7E14">
        <w:rPr>
          <w:rFonts w:ascii="Helvetica" w:hAnsi="Helvetica" w:cs="Helvetica"/>
          <w:sz w:val="22"/>
          <w:szCs w:val="22"/>
          <w:lang w:val="es-CO"/>
        </w:rPr>
        <w:t>construcción</w:t>
      </w:r>
      <w:r w:rsidR="007F5852" w:rsidRPr="001B7E14">
        <w:rPr>
          <w:rFonts w:ascii="Helvetica" w:hAnsi="Helvetica" w:cs="Helvetica"/>
          <w:sz w:val="22"/>
          <w:szCs w:val="22"/>
          <w:lang w:val="es-CO"/>
        </w:rPr>
        <w:t xml:space="preserve"> de infraestructura. </w:t>
      </w:r>
      <w:r>
        <w:rPr>
          <w:rFonts w:ascii="Helvetica" w:hAnsi="Helvetica" w:cs="Helvetica"/>
          <w:sz w:val="22"/>
          <w:szCs w:val="22"/>
          <w:lang w:val="es-CO"/>
        </w:rPr>
        <w:t xml:space="preserve">Esto concuerda con el esfuerzo realizado por la entidad territorial para la financiación de </w:t>
      </w:r>
      <w:r w:rsidR="00A35F01" w:rsidRPr="001B7E14">
        <w:rPr>
          <w:rFonts w:ascii="Helvetica" w:hAnsi="Helvetica" w:cs="Helvetica"/>
          <w:sz w:val="22"/>
          <w:szCs w:val="22"/>
          <w:lang w:val="es-CO"/>
        </w:rPr>
        <w:t>varios contratos de construcción de infraestructura educativa</w:t>
      </w:r>
      <w:r w:rsidR="007D5925" w:rsidRPr="001B7E14">
        <w:rPr>
          <w:rFonts w:ascii="Helvetica" w:hAnsi="Helvetica" w:cs="Helvetica"/>
          <w:sz w:val="22"/>
          <w:szCs w:val="22"/>
          <w:lang w:val="es-CO"/>
        </w:rPr>
        <w:t xml:space="preserve"> con recursos del Sistema General de Regalías</w:t>
      </w:r>
      <w:r>
        <w:rPr>
          <w:rFonts w:ascii="Helvetica" w:hAnsi="Helvetica" w:cs="Helvetica"/>
          <w:sz w:val="22"/>
          <w:szCs w:val="22"/>
          <w:lang w:val="es-CO"/>
        </w:rPr>
        <w:t>, evidenciados en SECOP</w:t>
      </w:r>
      <w:r w:rsidR="00A35F01" w:rsidRPr="001B7E14">
        <w:rPr>
          <w:rFonts w:ascii="Helvetica" w:hAnsi="Helvetica" w:cs="Helvetica"/>
          <w:sz w:val="22"/>
          <w:szCs w:val="22"/>
          <w:lang w:val="es-CO"/>
        </w:rPr>
        <w:t>.</w:t>
      </w:r>
    </w:p>
    <w:p w14:paraId="3ED521A7" w14:textId="77777777" w:rsidR="005A4DDA" w:rsidRPr="001B7E14" w:rsidRDefault="005A4DDA" w:rsidP="005A4DDA">
      <w:pPr>
        <w:jc w:val="both"/>
        <w:rPr>
          <w:rFonts w:ascii="Helvetica" w:hAnsi="Helvetica" w:cs="Helvetica"/>
          <w:sz w:val="22"/>
          <w:szCs w:val="22"/>
          <w:lang w:val="es-CO"/>
        </w:rPr>
      </w:pPr>
    </w:p>
    <w:p w14:paraId="1178E501" w14:textId="77777777" w:rsidR="00AD0693" w:rsidRPr="001B7E14" w:rsidRDefault="00AD0693" w:rsidP="00FA42BB">
      <w:pPr>
        <w:pStyle w:val="Ttulo2"/>
        <w:spacing w:before="0"/>
        <w:rPr>
          <w:rFonts w:ascii="Helvetica" w:hAnsi="Helvetica" w:cs="Helvetica"/>
          <w:b/>
          <w:bCs/>
          <w:color w:val="auto"/>
          <w:sz w:val="22"/>
          <w:szCs w:val="22"/>
          <w:lang w:val="es-CO"/>
        </w:rPr>
      </w:pPr>
      <w:r w:rsidRPr="001B7E14">
        <w:rPr>
          <w:rFonts w:ascii="Helvetica" w:hAnsi="Helvetica" w:cs="Helvetica"/>
          <w:b/>
          <w:bCs/>
          <w:color w:val="auto"/>
          <w:sz w:val="22"/>
          <w:szCs w:val="22"/>
          <w:lang w:val="es-CO"/>
        </w:rPr>
        <w:t>Cierre Fiscal</w:t>
      </w:r>
    </w:p>
    <w:p w14:paraId="65F608F7" w14:textId="77777777" w:rsidR="00AD0693" w:rsidRPr="001B7E14" w:rsidRDefault="00AD0693" w:rsidP="00FA42BB">
      <w:pPr>
        <w:jc w:val="both"/>
        <w:rPr>
          <w:rFonts w:ascii="Helvetica" w:hAnsi="Helvetica" w:cs="Helvetica"/>
          <w:sz w:val="22"/>
          <w:szCs w:val="22"/>
          <w:lang w:val="es-CO"/>
        </w:rPr>
      </w:pPr>
    </w:p>
    <w:p w14:paraId="2AC2CF03" w14:textId="77777777" w:rsidR="00AD0693" w:rsidRPr="001B7E14" w:rsidRDefault="00A905BC" w:rsidP="00FA42BB">
      <w:pPr>
        <w:jc w:val="both"/>
        <w:rPr>
          <w:rFonts w:ascii="Helvetica" w:hAnsi="Helvetica" w:cs="Helvetica"/>
          <w:sz w:val="22"/>
          <w:szCs w:val="22"/>
          <w:lang w:val="es-CO"/>
        </w:rPr>
      </w:pPr>
      <w:r w:rsidRPr="001B7E14">
        <w:rPr>
          <w:rFonts w:ascii="Helvetica" w:hAnsi="Helvetica" w:cs="Helvetica"/>
          <w:sz w:val="22"/>
          <w:szCs w:val="22"/>
          <w:lang w:val="es-CO"/>
        </w:rPr>
        <w:t>Sobre el cierre de 2022</w:t>
      </w:r>
      <w:r w:rsidR="00AD0693" w:rsidRPr="001B7E14">
        <w:rPr>
          <w:rFonts w:ascii="Helvetica" w:hAnsi="Helvetica" w:cs="Helvetica"/>
          <w:sz w:val="22"/>
          <w:szCs w:val="22"/>
          <w:lang w:val="es-CO"/>
        </w:rPr>
        <w:t xml:space="preserve">, la ejecución presupuestal </w:t>
      </w:r>
      <w:r w:rsidR="009D32EA" w:rsidRPr="001B7E14">
        <w:rPr>
          <w:rFonts w:ascii="Helvetica" w:hAnsi="Helvetica" w:cs="Helvetica"/>
          <w:sz w:val="22"/>
          <w:szCs w:val="22"/>
          <w:lang w:val="es-CO"/>
        </w:rPr>
        <w:t>de ingresos y gastos</w:t>
      </w:r>
      <w:r w:rsidR="00AD0693" w:rsidRPr="001B7E14">
        <w:rPr>
          <w:rFonts w:ascii="Helvetica" w:hAnsi="Helvetica" w:cs="Helvetica"/>
          <w:sz w:val="22"/>
          <w:szCs w:val="22"/>
          <w:lang w:val="es-CO"/>
        </w:rPr>
        <w:t xml:space="preserve"> arrojó un resultado presupuestal superavitario para el sector educativo de $</w:t>
      </w:r>
      <w:r w:rsidR="00001861" w:rsidRPr="001B7E14">
        <w:rPr>
          <w:rFonts w:ascii="Helvetica" w:hAnsi="Helvetica" w:cs="Helvetica"/>
          <w:sz w:val="22"/>
          <w:szCs w:val="22"/>
          <w:lang w:val="es-CO"/>
        </w:rPr>
        <w:t>1</w:t>
      </w:r>
      <w:r w:rsidRPr="001B7E14">
        <w:rPr>
          <w:rFonts w:ascii="Helvetica" w:hAnsi="Helvetica" w:cs="Helvetica"/>
          <w:sz w:val="22"/>
          <w:szCs w:val="22"/>
          <w:lang w:val="es-CO"/>
        </w:rPr>
        <w:t>0</w:t>
      </w:r>
      <w:r w:rsidR="00001861" w:rsidRPr="001B7E14">
        <w:rPr>
          <w:rFonts w:ascii="Helvetica" w:hAnsi="Helvetica" w:cs="Helvetica"/>
          <w:sz w:val="22"/>
          <w:szCs w:val="22"/>
          <w:lang w:val="es-CO"/>
        </w:rPr>
        <w:t>.</w:t>
      </w:r>
      <w:r w:rsidRPr="001B7E14">
        <w:rPr>
          <w:rFonts w:ascii="Helvetica" w:hAnsi="Helvetica" w:cs="Helvetica"/>
          <w:sz w:val="22"/>
          <w:szCs w:val="22"/>
          <w:lang w:val="es-CO"/>
        </w:rPr>
        <w:t>046</w:t>
      </w:r>
      <w:r w:rsidR="00AD0693" w:rsidRPr="001B7E14">
        <w:rPr>
          <w:rFonts w:ascii="Helvetica" w:hAnsi="Helvetica" w:cs="Helvetica"/>
          <w:sz w:val="22"/>
          <w:szCs w:val="22"/>
          <w:lang w:val="es-CO"/>
        </w:rPr>
        <w:t xml:space="preserve"> millones y evidenció que la entidad debió constituir reservas por $</w:t>
      </w:r>
      <w:r w:rsidRPr="001B7E14">
        <w:rPr>
          <w:rFonts w:ascii="Helvetica" w:hAnsi="Helvetica" w:cs="Helvetica"/>
          <w:sz w:val="22"/>
          <w:szCs w:val="22"/>
          <w:lang w:val="es-CO"/>
        </w:rPr>
        <w:t xml:space="preserve">11.475 </w:t>
      </w:r>
      <w:r w:rsidR="00AD0693" w:rsidRPr="001B7E14">
        <w:rPr>
          <w:rFonts w:ascii="Helvetica" w:hAnsi="Helvetica" w:cs="Helvetica"/>
          <w:sz w:val="22"/>
          <w:szCs w:val="22"/>
          <w:lang w:val="es-CO"/>
        </w:rPr>
        <w:t>millones, cuentas por pagar por $</w:t>
      </w:r>
      <w:r w:rsidRPr="001B7E14">
        <w:rPr>
          <w:rFonts w:ascii="Helvetica" w:hAnsi="Helvetica" w:cs="Helvetica"/>
          <w:sz w:val="22"/>
          <w:szCs w:val="22"/>
          <w:lang w:val="es-CO"/>
        </w:rPr>
        <w:t xml:space="preserve">550 </w:t>
      </w:r>
      <w:r w:rsidR="00AD0693" w:rsidRPr="001B7E14">
        <w:rPr>
          <w:rFonts w:ascii="Helvetica" w:hAnsi="Helvetica" w:cs="Helvetica"/>
          <w:sz w:val="22"/>
          <w:szCs w:val="22"/>
          <w:lang w:val="es-CO"/>
        </w:rPr>
        <w:t>millones y tener como mínimo disponible en caja y bancos $</w:t>
      </w:r>
      <w:r w:rsidRPr="001B7E14">
        <w:rPr>
          <w:rFonts w:ascii="Helvetica" w:hAnsi="Helvetica" w:cs="Helvetica"/>
          <w:sz w:val="22"/>
          <w:szCs w:val="22"/>
          <w:lang w:val="es-CO"/>
        </w:rPr>
        <w:t xml:space="preserve">22.071 </w:t>
      </w:r>
      <w:r w:rsidR="00AD0693" w:rsidRPr="001B7E14">
        <w:rPr>
          <w:rFonts w:ascii="Helvetica" w:hAnsi="Helvetica" w:cs="Helvetica"/>
          <w:sz w:val="22"/>
          <w:szCs w:val="22"/>
          <w:lang w:val="es-CO"/>
        </w:rPr>
        <w:t xml:space="preserve">millones. Al comparar la información de tesorería contra la presupuestal, se encontró que ésta es </w:t>
      </w:r>
      <w:r w:rsidRPr="001B7E14">
        <w:rPr>
          <w:rFonts w:ascii="Helvetica" w:hAnsi="Helvetica" w:cs="Helvetica"/>
          <w:sz w:val="22"/>
          <w:szCs w:val="22"/>
          <w:lang w:val="es-CO"/>
        </w:rPr>
        <w:t xml:space="preserve">coherente </w:t>
      </w:r>
      <w:r w:rsidR="009D32EA" w:rsidRPr="001B7E14">
        <w:rPr>
          <w:rFonts w:ascii="Helvetica" w:hAnsi="Helvetica" w:cs="Helvetica"/>
          <w:sz w:val="22"/>
          <w:szCs w:val="22"/>
          <w:lang w:val="es-CO"/>
        </w:rPr>
        <w:t>ya</w:t>
      </w:r>
      <w:r w:rsidRPr="001B7E14">
        <w:rPr>
          <w:rFonts w:ascii="Helvetica" w:hAnsi="Helvetica" w:cs="Helvetica"/>
          <w:sz w:val="22"/>
          <w:szCs w:val="22"/>
          <w:lang w:val="es-CO"/>
        </w:rPr>
        <w:t xml:space="preserve"> que el superávit de tesorería respalda el resultado presupuestal, tal y como se evidencia en el siguiente detalle:</w:t>
      </w:r>
    </w:p>
    <w:p w14:paraId="0E8C736B" w14:textId="77777777" w:rsidR="00AD0693" w:rsidRPr="001B7E14" w:rsidRDefault="00AD0693" w:rsidP="00FA42BB">
      <w:pPr>
        <w:jc w:val="both"/>
        <w:rPr>
          <w:rFonts w:ascii="Helvetica" w:hAnsi="Helvetica" w:cs="Helvetica"/>
          <w:sz w:val="22"/>
          <w:szCs w:val="22"/>
          <w:lang w:val="es-CO"/>
        </w:rPr>
      </w:pPr>
    </w:p>
    <w:tbl>
      <w:tblPr>
        <w:tblW w:w="10065" w:type="dxa"/>
        <w:jc w:val="center"/>
        <w:tblLayout w:type="fixed"/>
        <w:tblCellMar>
          <w:left w:w="70" w:type="dxa"/>
          <w:right w:w="70" w:type="dxa"/>
        </w:tblCellMar>
        <w:tblLook w:val="04A0" w:firstRow="1" w:lastRow="0" w:firstColumn="1" w:lastColumn="0" w:noHBand="0" w:noVBand="1"/>
      </w:tblPr>
      <w:tblGrid>
        <w:gridCol w:w="2410"/>
        <w:gridCol w:w="851"/>
        <w:gridCol w:w="850"/>
        <w:gridCol w:w="851"/>
        <w:gridCol w:w="850"/>
        <w:gridCol w:w="851"/>
        <w:gridCol w:w="850"/>
        <w:gridCol w:w="851"/>
        <w:gridCol w:w="850"/>
        <w:gridCol w:w="851"/>
      </w:tblGrid>
      <w:tr w:rsidR="00BB02B2" w:rsidRPr="001B7E14" w14:paraId="2A6F86F7" w14:textId="77777777" w:rsidTr="001B7E14">
        <w:trPr>
          <w:trHeight w:val="20"/>
          <w:tblHeader/>
          <w:jc w:val="center"/>
        </w:trPr>
        <w:tc>
          <w:tcPr>
            <w:tcW w:w="2410" w:type="dxa"/>
            <w:vMerge w:val="restart"/>
            <w:tcBorders>
              <w:top w:val="single" w:sz="4" w:space="0" w:color="auto"/>
              <w:left w:val="single" w:sz="4" w:space="0" w:color="auto"/>
              <w:bottom w:val="single" w:sz="4" w:space="0" w:color="auto"/>
              <w:right w:val="single" w:sz="4" w:space="0" w:color="auto"/>
            </w:tcBorders>
            <w:shd w:val="clear" w:color="000000" w:fill="244061"/>
            <w:noWrap/>
            <w:vAlign w:val="center"/>
            <w:hideMark/>
          </w:tcPr>
          <w:p w14:paraId="3D3494BB" w14:textId="77777777" w:rsidR="007F0586" w:rsidRPr="001B7E14" w:rsidRDefault="007F0586" w:rsidP="007F0586">
            <w:pPr>
              <w:jc w:val="center"/>
              <w:rPr>
                <w:rFonts w:ascii="Helvetica" w:eastAsia="Times New Roman" w:hAnsi="Helvetica" w:cs="Helvetica"/>
                <w:b/>
                <w:bCs/>
                <w:color w:val="FFFFFF"/>
                <w:sz w:val="14"/>
                <w:szCs w:val="16"/>
                <w:lang w:val="es-CO" w:eastAsia="es-CO"/>
              </w:rPr>
            </w:pPr>
            <w:r w:rsidRPr="001B7E14">
              <w:rPr>
                <w:rFonts w:ascii="Helvetica" w:eastAsia="Times New Roman" w:hAnsi="Helvetica" w:cs="Helvetica"/>
                <w:b/>
                <w:bCs/>
                <w:color w:val="FFFFFF"/>
                <w:sz w:val="14"/>
                <w:szCs w:val="16"/>
                <w:lang w:val="es-CO" w:eastAsia="es-CO"/>
              </w:rPr>
              <w:t>CONCEPTO</w:t>
            </w:r>
          </w:p>
        </w:tc>
        <w:tc>
          <w:tcPr>
            <w:tcW w:w="2552" w:type="dxa"/>
            <w:gridSpan w:val="3"/>
            <w:tcBorders>
              <w:top w:val="single" w:sz="4" w:space="0" w:color="auto"/>
              <w:left w:val="nil"/>
              <w:bottom w:val="single" w:sz="4" w:space="0" w:color="auto"/>
              <w:right w:val="single" w:sz="4" w:space="0" w:color="auto"/>
            </w:tcBorders>
            <w:shd w:val="clear" w:color="000000" w:fill="244061"/>
            <w:noWrap/>
            <w:vAlign w:val="center"/>
            <w:hideMark/>
          </w:tcPr>
          <w:p w14:paraId="253AA101" w14:textId="77777777" w:rsidR="007F0586" w:rsidRPr="001B7E14" w:rsidRDefault="007F0586" w:rsidP="007F0586">
            <w:pPr>
              <w:jc w:val="center"/>
              <w:rPr>
                <w:rFonts w:ascii="Helvetica" w:eastAsia="Times New Roman" w:hAnsi="Helvetica" w:cs="Helvetica"/>
                <w:b/>
                <w:bCs/>
                <w:color w:val="FFFFFF"/>
                <w:sz w:val="14"/>
                <w:szCs w:val="16"/>
                <w:lang w:val="es-CO" w:eastAsia="es-CO"/>
              </w:rPr>
            </w:pPr>
            <w:r w:rsidRPr="001B7E14">
              <w:rPr>
                <w:rFonts w:ascii="Helvetica" w:eastAsia="Times New Roman" w:hAnsi="Helvetica" w:cs="Helvetica"/>
                <w:b/>
                <w:bCs/>
                <w:color w:val="FFFFFF"/>
                <w:sz w:val="14"/>
                <w:szCs w:val="16"/>
                <w:lang w:val="es-CO" w:eastAsia="es-CO"/>
              </w:rPr>
              <w:t>2020</w:t>
            </w:r>
          </w:p>
        </w:tc>
        <w:tc>
          <w:tcPr>
            <w:tcW w:w="2551" w:type="dxa"/>
            <w:gridSpan w:val="3"/>
            <w:tcBorders>
              <w:top w:val="single" w:sz="4" w:space="0" w:color="auto"/>
              <w:left w:val="nil"/>
              <w:bottom w:val="single" w:sz="4" w:space="0" w:color="auto"/>
              <w:right w:val="single" w:sz="4" w:space="0" w:color="auto"/>
            </w:tcBorders>
            <w:shd w:val="clear" w:color="000000" w:fill="244061"/>
            <w:noWrap/>
            <w:vAlign w:val="center"/>
            <w:hideMark/>
          </w:tcPr>
          <w:p w14:paraId="553F5963" w14:textId="77777777" w:rsidR="007F0586" w:rsidRPr="001B7E14" w:rsidRDefault="007F0586" w:rsidP="007F0586">
            <w:pPr>
              <w:jc w:val="center"/>
              <w:rPr>
                <w:rFonts w:ascii="Helvetica" w:eastAsia="Times New Roman" w:hAnsi="Helvetica" w:cs="Helvetica"/>
                <w:b/>
                <w:bCs/>
                <w:color w:val="FFFFFF"/>
                <w:sz w:val="14"/>
                <w:szCs w:val="16"/>
                <w:lang w:val="es-CO" w:eastAsia="es-CO"/>
              </w:rPr>
            </w:pPr>
            <w:r w:rsidRPr="001B7E14">
              <w:rPr>
                <w:rFonts w:ascii="Helvetica" w:eastAsia="Times New Roman" w:hAnsi="Helvetica" w:cs="Helvetica"/>
                <w:b/>
                <w:bCs/>
                <w:color w:val="FFFFFF"/>
                <w:sz w:val="14"/>
                <w:szCs w:val="16"/>
                <w:lang w:val="es-CO" w:eastAsia="es-CO"/>
              </w:rPr>
              <w:t>2021</w:t>
            </w:r>
          </w:p>
        </w:tc>
        <w:tc>
          <w:tcPr>
            <w:tcW w:w="2552" w:type="dxa"/>
            <w:gridSpan w:val="3"/>
            <w:tcBorders>
              <w:top w:val="single" w:sz="4" w:space="0" w:color="auto"/>
              <w:left w:val="nil"/>
              <w:bottom w:val="single" w:sz="4" w:space="0" w:color="auto"/>
              <w:right w:val="single" w:sz="4" w:space="0" w:color="auto"/>
            </w:tcBorders>
            <w:shd w:val="clear" w:color="000000" w:fill="244061"/>
            <w:noWrap/>
            <w:vAlign w:val="center"/>
            <w:hideMark/>
          </w:tcPr>
          <w:p w14:paraId="7A550361" w14:textId="77777777" w:rsidR="007F0586" w:rsidRPr="001B7E14" w:rsidRDefault="007F0586" w:rsidP="007F0586">
            <w:pPr>
              <w:jc w:val="center"/>
              <w:rPr>
                <w:rFonts w:ascii="Helvetica" w:eastAsia="Times New Roman" w:hAnsi="Helvetica" w:cs="Helvetica"/>
                <w:b/>
                <w:bCs/>
                <w:color w:val="FFFFFF"/>
                <w:sz w:val="14"/>
                <w:szCs w:val="16"/>
                <w:lang w:val="es-CO" w:eastAsia="es-CO"/>
              </w:rPr>
            </w:pPr>
            <w:r w:rsidRPr="001B7E14">
              <w:rPr>
                <w:rFonts w:ascii="Helvetica" w:eastAsia="Times New Roman" w:hAnsi="Helvetica" w:cs="Helvetica"/>
                <w:b/>
                <w:bCs/>
                <w:color w:val="FFFFFF"/>
                <w:sz w:val="14"/>
                <w:szCs w:val="16"/>
                <w:lang w:val="es-CO" w:eastAsia="es-CO"/>
              </w:rPr>
              <w:t>2022</w:t>
            </w:r>
          </w:p>
        </w:tc>
      </w:tr>
      <w:tr w:rsidR="00BB02B2" w:rsidRPr="001B7E14" w14:paraId="55FEAFD1" w14:textId="77777777" w:rsidTr="001B7E14">
        <w:trPr>
          <w:trHeight w:val="20"/>
          <w:tblHeader/>
          <w:jc w:val="center"/>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13998CC5" w14:textId="77777777" w:rsidR="007F0586" w:rsidRPr="001B7E14" w:rsidRDefault="007F0586" w:rsidP="007F0586">
            <w:pPr>
              <w:rPr>
                <w:rFonts w:ascii="Helvetica" w:eastAsia="Times New Roman" w:hAnsi="Helvetica" w:cs="Helvetica"/>
                <w:b/>
                <w:bCs/>
                <w:color w:val="FFFFFF"/>
                <w:sz w:val="14"/>
                <w:szCs w:val="16"/>
                <w:lang w:val="es-CO" w:eastAsia="es-CO"/>
              </w:rPr>
            </w:pPr>
          </w:p>
        </w:tc>
        <w:tc>
          <w:tcPr>
            <w:tcW w:w="851" w:type="dxa"/>
            <w:tcBorders>
              <w:top w:val="nil"/>
              <w:left w:val="nil"/>
              <w:bottom w:val="single" w:sz="4" w:space="0" w:color="auto"/>
              <w:right w:val="single" w:sz="4" w:space="0" w:color="auto"/>
            </w:tcBorders>
            <w:shd w:val="clear" w:color="000000" w:fill="244061"/>
            <w:noWrap/>
            <w:vAlign w:val="center"/>
            <w:hideMark/>
          </w:tcPr>
          <w:p w14:paraId="04BA2FA5" w14:textId="77777777" w:rsidR="007F0586" w:rsidRPr="001B7E14" w:rsidRDefault="007F0586" w:rsidP="007F0586">
            <w:pPr>
              <w:jc w:val="center"/>
              <w:rPr>
                <w:rFonts w:ascii="Helvetica" w:eastAsia="Times New Roman" w:hAnsi="Helvetica" w:cs="Helvetica"/>
                <w:b/>
                <w:bCs/>
                <w:color w:val="FFFFFF"/>
                <w:sz w:val="14"/>
                <w:szCs w:val="16"/>
                <w:lang w:val="es-CO" w:eastAsia="es-CO"/>
              </w:rPr>
            </w:pPr>
            <w:r w:rsidRPr="001B7E14">
              <w:rPr>
                <w:rFonts w:ascii="Helvetica" w:eastAsia="Times New Roman" w:hAnsi="Helvetica" w:cs="Helvetica"/>
                <w:b/>
                <w:bCs/>
                <w:color w:val="FFFFFF"/>
                <w:sz w:val="14"/>
                <w:szCs w:val="16"/>
                <w:lang w:val="es-CO" w:eastAsia="es-CO"/>
              </w:rPr>
              <w:t> INGRESO</w:t>
            </w:r>
          </w:p>
        </w:tc>
        <w:tc>
          <w:tcPr>
            <w:tcW w:w="850" w:type="dxa"/>
            <w:tcBorders>
              <w:top w:val="nil"/>
              <w:left w:val="nil"/>
              <w:bottom w:val="single" w:sz="4" w:space="0" w:color="auto"/>
              <w:right w:val="single" w:sz="4" w:space="0" w:color="auto"/>
            </w:tcBorders>
            <w:shd w:val="clear" w:color="000000" w:fill="244061"/>
            <w:noWrap/>
            <w:vAlign w:val="center"/>
            <w:hideMark/>
          </w:tcPr>
          <w:p w14:paraId="75C28AC1" w14:textId="77777777" w:rsidR="007F0586" w:rsidRPr="001B7E14" w:rsidRDefault="007F0586" w:rsidP="007F0586">
            <w:pPr>
              <w:jc w:val="center"/>
              <w:rPr>
                <w:rFonts w:ascii="Helvetica" w:eastAsia="Times New Roman" w:hAnsi="Helvetica" w:cs="Helvetica"/>
                <w:b/>
                <w:bCs/>
                <w:color w:val="FFFFFF"/>
                <w:sz w:val="14"/>
                <w:szCs w:val="16"/>
                <w:lang w:val="es-CO" w:eastAsia="es-CO"/>
              </w:rPr>
            </w:pPr>
            <w:r w:rsidRPr="001B7E14">
              <w:rPr>
                <w:rFonts w:ascii="Helvetica" w:eastAsia="Times New Roman" w:hAnsi="Helvetica" w:cs="Helvetica"/>
                <w:b/>
                <w:bCs/>
                <w:color w:val="FFFFFF"/>
                <w:sz w:val="14"/>
                <w:szCs w:val="16"/>
                <w:lang w:val="es-CO" w:eastAsia="es-CO"/>
              </w:rPr>
              <w:t> GASTOS</w:t>
            </w:r>
          </w:p>
        </w:tc>
        <w:tc>
          <w:tcPr>
            <w:tcW w:w="851" w:type="dxa"/>
            <w:tcBorders>
              <w:top w:val="nil"/>
              <w:left w:val="nil"/>
              <w:bottom w:val="single" w:sz="4" w:space="0" w:color="auto"/>
              <w:right w:val="single" w:sz="4" w:space="0" w:color="auto"/>
            </w:tcBorders>
            <w:shd w:val="clear" w:color="000000" w:fill="244061"/>
            <w:vAlign w:val="center"/>
            <w:hideMark/>
          </w:tcPr>
          <w:p w14:paraId="435208B2" w14:textId="77777777" w:rsidR="007F0586" w:rsidRPr="001B7E14" w:rsidRDefault="007F0586" w:rsidP="007F0586">
            <w:pPr>
              <w:jc w:val="center"/>
              <w:rPr>
                <w:rFonts w:ascii="Helvetica" w:eastAsia="Times New Roman" w:hAnsi="Helvetica" w:cs="Helvetica"/>
                <w:b/>
                <w:bCs/>
                <w:color w:val="FFFFFF"/>
                <w:sz w:val="14"/>
                <w:szCs w:val="16"/>
                <w:lang w:val="es-CO" w:eastAsia="es-CO"/>
              </w:rPr>
            </w:pPr>
            <w:r w:rsidRPr="001B7E14">
              <w:rPr>
                <w:rFonts w:ascii="Helvetica" w:eastAsia="Times New Roman" w:hAnsi="Helvetica" w:cs="Helvetica"/>
                <w:b/>
                <w:bCs/>
                <w:color w:val="FFFFFF"/>
                <w:sz w:val="14"/>
                <w:szCs w:val="16"/>
                <w:lang w:val="es-CO" w:eastAsia="es-CO"/>
              </w:rPr>
              <w:t>SUPERÁVIT/DÉFICIT</w:t>
            </w:r>
          </w:p>
        </w:tc>
        <w:tc>
          <w:tcPr>
            <w:tcW w:w="850" w:type="dxa"/>
            <w:tcBorders>
              <w:top w:val="nil"/>
              <w:left w:val="nil"/>
              <w:bottom w:val="single" w:sz="4" w:space="0" w:color="auto"/>
              <w:right w:val="single" w:sz="4" w:space="0" w:color="auto"/>
            </w:tcBorders>
            <w:shd w:val="clear" w:color="000000" w:fill="244061"/>
            <w:noWrap/>
            <w:vAlign w:val="center"/>
            <w:hideMark/>
          </w:tcPr>
          <w:p w14:paraId="3D2474CC" w14:textId="77777777" w:rsidR="007F0586" w:rsidRPr="001B7E14" w:rsidRDefault="007F0586" w:rsidP="007F0586">
            <w:pPr>
              <w:jc w:val="center"/>
              <w:rPr>
                <w:rFonts w:ascii="Helvetica" w:eastAsia="Times New Roman" w:hAnsi="Helvetica" w:cs="Helvetica"/>
                <w:b/>
                <w:bCs/>
                <w:color w:val="FFFFFF"/>
                <w:sz w:val="14"/>
                <w:szCs w:val="16"/>
                <w:lang w:val="es-CO" w:eastAsia="es-CO"/>
              </w:rPr>
            </w:pPr>
            <w:r w:rsidRPr="001B7E14">
              <w:rPr>
                <w:rFonts w:ascii="Helvetica" w:eastAsia="Times New Roman" w:hAnsi="Helvetica" w:cs="Helvetica"/>
                <w:b/>
                <w:bCs/>
                <w:color w:val="FFFFFF"/>
                <w:sz w:val="14"/>
                <w:szCs w:val="16"/>
                <w:lang w:val="es-CO" w:eastAsia="es-CO"/>
              </w:rPr>
              <w:t> INGRESO</w:t>
            </w:r>
          </w:p>
        </w:tc>
        <w:tc>
          <w:tcPr>
            <w:tcW w:w="851" w:type="dxa"/>
            <w:tcBorders>
              <w:top w:val="nil"/>
              <w:left w:val="nil"/>
              <w:bottom w:val="single" w:sz="4" w:space="0" w:color="auto"/>
              <w:right w:val="single" w:sz="4" w:space="0" w:color="auto"/>
            </w:tcBorders>
            <w:shd w:val="clear" w:color="000000" w:fill="244061"/>
            <w:noWrap/>
            <w:vAlign w:val="center"/>
            <w:hideMark/>
          </w:tcPr>
          <w:p w14:paraId="3AA191AC" w14:textId="77777777" w:rsidR="007F0586" w:rsidRPr="001B7E14" w:rsidRDefault="007F0586" w:rsidP="007F0586">
            <w:pPr>
              <w:jc w:val="center"/>
              <w:rPr>
                <w:rFonts w:ascii="Helvetica" w:eastAsia="Times New Roman" w:hAnsi="Helvetica" w:cs="Helvetica"/>
                <w:b/>
                <w:bCs/>
                <w:color w:val="FFFFFF"/>
                <w:sz w:val="14"/>
                <w:szCs w:val="16"/>
                <w:lang w:val="es-CO" w:eastAsia="es-CO"/>
              </w:rPr>
            </w:pPr>
            <w:r w:rsidRPr="001B7E14">
              <w:rPr>
                <w:rFonts w:ascii="Helvetica" w:eastAsia="Times New Roman" w:hAnsi="Helvetica" w:cs="Helvetica"/>
                <w:b/>
                <w:bCs/>
                <w:color w:val="FFFFFF"/>
                <w:sz w:val="14"/>
                <w:szCs w:val="16"/>
                <w:lang w:val="es-CO" w:eastAsia="es-CO"/>
              </w:rPr>
              <w:t> GASTOS</w:t>
            </w:r>
          </w:p>
        </w:tc>
        <w:tc>
          <w:tcPr>
            <w:tcW w:w="850" w:type="dxa"/>
            <w:tcBorders>
              <w:top w:val="nil"/>
              <w:left w:val="nil"/>
              <w:bottom w:val="single" w:sz="4" w:space="0" w:color="auto"/>
              <w:right w:val="single" w:sz="4" w:space="0" w:color="auto"/>
            </w:tcBorders>
            <w:shd w:val="clear" w:color="000000" w:fill="244061"/>
            <w:vAlign w:val="center"/>
            <w:hideMark/>
          </w:tcPr>
          <w:p w14:paraId="635E4BF9" w14:textId="77777777" w:rsidR="007F0586" w:rsidRPr="001B7E14" w:rsidRDefault="007F0586" w:rsidP="007F0586">
            <w:pPr>
              <w:jc w:val="center"/>
              <w:rPr>
                <w:rFonts w:ascii="Helvetica" w:eastAsia="Times New Roman" w:hAnsi="Helvetica" w:cs="Helvetica"/>
                <w:b/>
                <w:bCs/>
                <w:color w:val="FFFFFF"/>
                <w:sz w:val="14"/>
                <w:szCs w:val="16"/>
                <w:lang w:val="es-CO" w:eastAsia="es-CO"/>
              </w:rPr>
            </w:pPr>
            <w:r w:rsidRPr="001B7E14">
              <w:rPr>
                <w:rFonts w:ascii="Helvetica" w:eastAsia="Times New Roman" w:hAnsi="Helvetica" w:cs="Helvetica"/>
                <w:b/>
                <w:bCs/>
                <w:color w:val="FFFFFF"/>
                <w:sz w:val="14"/>
                <w:szCs w:val="16"/>
                <w:lang w:val="es-CO" w:eastAsia="es-CO"/>
              </w:rPr>
              <w:t>SUPERÁVIT/DÉFICIT</w:t>
            </w:r>
            <w:r w:rsidRPr="001B7E14">
              <w:rPr>
                <w:rFonts w:ascii="Helvetica" w:eastAsia="Times New Roman" w:hAnsi="Helvetica" w:cs="Helvetica"/>
                <w:color w:val="FFFFFF"/>
                <w:sz w:val="14"/>
                <w:szCs w:val="16"/>
                <w:lang w:val="es-CO" w:eastAsia="es-CO"/>
              </w:rPr>
              <w:t> </w:t>
            </w:r>
          </w:p>
        </w:tc>
        <w:tc>
          <w:tcPr>
            <w:tcW w:w="851" w:type="dxa"/>
            <w:tcBorders>
              <w:top w:val="nil"/>
              <w:left w:val="nil"/>
              <w:bottom w:val="single" w:sz="4" w:space="0" w:color="auto"/>
              <w:right w:val="single" w:sz="4" w:space="0" w:color="auto"/>
            </w:tcBorders>
            <w:shd w:val="clear" w:color="000000" w:fill="244061"/>
            <w:noWrap/>
            <w:vAlign w:val="center"/>
            <w:hideMark/>
          </w:tcPr>
          <w:p w14:paraId="33957D27" w14:textId="77777777" w:rsidR="007F0586" w:rsidRPr="001B7E14" w:rsidRDefault="007F0586" w:rsidP="007F0586">
            <w:pPr>
              <w:jc w:val="center"/>
              <w:rPr>
                <w:rFonts w:ascii="Helvetica" w:eastAsia="Times New Roman" w:hAnsi="Helvetica" w:cs="Helvetica"/>
                <w:b/>
                <w:bCs/>
                <w:color w:val="FFFFFF"/>
                <w:sz w:val="14"/>
                <w:szCs w:val="16"/>
                <w:lang w:val="es-CO" w:eastAsia="es-CO"/>
              </w:rPr>
            </w:pPr>
            <w:r w:rsidRPr="001B7E14">
              <w:rPr>
                <w:rFonts w:ascii="Helvetica" w:eastAsia="Times New Roman" w:hAnsi="Helvetica" w:cs="Helvetica"/>
                <w:b/>
                <w:bCs/>
                <w:color w:val="FFFFFF"/>
                <w:sz w:val="14"/>
                <w:szCs w:val="16"/>
                <w:lang w:val="es-CO" w:eastAsia="es-CO"/>
              </w:rPr>
              <w:t> INGRESO</w:t>
            </w:r>
          </w:p>
        </w:tc>
        <w:tc>
          <w:tcPr>
            <w:tcW w:w="850" w:type="dxa"/>
            <w:tcBorders>
              <w:top w:val="nil"/>
              <w:left w:val="nil"/>
              <w:bottom w:val="single" w:sz="4" w:space="0" w:color="auto"/>
              <w:right w:val="single" w:sz="4" w:space="0" w:color="auto"/>
            </w:tcBorders>
            <w:shd w:val="clear" w:color="000000" w:fill="244061"/>
            <w:noWrap/>
            <w:vAlign w:val="center"/>
            <w:hideMark/>
          </w:tcPr>
          <w:p w14:paraId="08EF1803" w14:textId="77777777" w:rsidR="007F0586" w:rsidRPr="001B7E14" w:rsidRDefault="007F0586" w:rsidP="007F0586">
            <w:pPr>
              <w:jc w:val="center"/>
              <w:rPr>
                <w:rFonts w:ascii="Helvetica" w:eastAsia="Times New Roman" w:hAnsi="Helvetica" w:cs="Helvetica"/>
                <w:b/>
                <w:bCs/>
                <w:color w:val="FFFFFF"/>
                <w:sz w:val="14"/>
                <w:szCs w:val="16"/>
                <w:lang w:val="es-CO" w:eastAsia="es-CO"/>
              </w:rPr>
            </w:pPr>
            <w:r w:rsidRPr="001B7E14">
              <w:rPr>
                <w:rFonts w:ascii="Helvetica" w:eastAsia="Times New Roman" w:hAnsi="Helvetica" w:cs="Helvetica"/>
                <w:b/>
                <w:bCs/>
                <w:color w:val="FFFFFF"/>
                <w:sz w:val="14"/>
                <w:szCs w:val="16"/>
                <w:lang w:val="es-CO" w:eastAsia="es-CO"/>
              </w:rPr>
              <w:t> GASTOS</w:t>
            </w:r>
          </w:p>
        </w:tc>
        <w:tc>
          <w:tcPr>
            <w:tcW w:w="851" w:type="dxa"/>
            <w:tcBorders>
              <w:top w:val="nil"/>
              <w:left w:val="nil"/>
              <w:bottom w:val="single" w:sz="4" w:space="0" w:color="auto"/>
              <w:right w:val="single" w:sz="4" w:space="0" w:color="auto"/>
            </w:tcBorders>
            <w:shd w:val="clear" w:color="000000" w:fill="244061"/>
            <w:vAlign w:val="center"/>
            <w:hideMark/>
          </w:tcPr>
          <w:p w14:paraId="5778F292" w14:textId="77777777" w:rsidR="007F0586" w:rsidRPr="001B7E14" w:rsidRDefault="007F0586" w:rsidP="007F0586">
            <w:pPr>
              <w:jc w:val="center"/>
              <w:rPr>
                <w:rFonts w:ascii="Helvetica" w:eastAsia="Times New Roman" w:hAnsi="Helvetica" w:cs="Helvetica"/>
                <w:b/>
                <w:bCs/>
                <w:color w:val="FFFFFF"/>
                <w:sz w:val="14"/>
                <w:szCs w:val="16"/>
                <w:lang w:val="es-CO" w:eastAsia="es-CO"/>
              </w:rPr>
            </w:pPr>
            <w:r w:rsidRPr="001B7E14">
              <w:rPr>
                <w:rFonts w:ascii="Helvetica" w:eastAsia="Times New Roman" w:hAnsi="Helvetica" w:cs="Helvetica"/>
                <w:b/>
                <w:bCs/>
                <w:color w:val="FFFFFF"/>
                <w:sz w:val="14"/>
                <w:szCs w:val="16"/>
                <w:lang w:val="es-CO" w:eastAsia="es-CO"/>
              </w:rPr>
              <w:t>SUPERÁVIT/DÉFICIT</w:t>
            </w:r>
            <w:r w:rsidRPr="001B7E14">
              <w:rPr>
                <w:rFonts w:ascii="Helvetica" w:eastAsia="Times New Roman" w:hAnsi="Helvetica" w:cs="Helvetica"/>
                <w:color w:val="FFFFFF"/>
                <w:sz w:val="14"/>
                <w:szCs w:val="16"/>
                <w:lang w:val="es-CO" w:eastAsia="es-CO"/>
              </w:rPr>
              <w:t> </w:t>
            </w:r>
          </w:p>
        </w:tc>
      </w:tr>
      <w:tr w:rsidR="00BB02B2" w:rsidRPr="001B7E14" w14:paraId="30A70290"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6ABCA88" w14:textId="77777777" w:rsidR="007F0586" w:rsidRPr="001B7E14" w:rsidRDefault="007F0586" w:rsidP="007F0586">
            <w:pPr>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Prestación de servicio CSF</w:t>
            </w:r>
          </w:p>
        </w:tc>
        <w:tc>
          <w:tcPr>
            <w:tcW w:w="851" w:type="dxa"/>
            <w:tcBorders>
              <w:top w:val="nil"/>
              <w:left w:val="nil"/>
              <w:bottom w:val="single" w:sz="4" w:space="0" w:color="auto"/>
              <w:right w:val="single" w:sz="4" w:space="0" w:color="auto"/>
            </w:tcBorders>
            <w:shd w:val="clear" w:color="auto" w:fill="auto"/>
            <w:noWrap/>
            <w:vAlign w:val="center"/>
            <w:hideMark/>
          </w:tcPr>
          <w:p w14:paraId="27858293"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53.618 </w:t>
            </w:r>
          </w:p>
        </w:tc>
        <w:tc>
          <w:tcPr>
            <w:tcW w:w="850" w:type="dxa"/>
            <w:tcBorders>
              <w:top w:val="nil"/>
              <w:left w:val="nil"/>
              <w:bottom w:val="single" w:sz="4" w:space="0" w:color="auto"/>
              <w:right w:val="single" w:sz="4" w:space="0" w:color="auto"/>
            </w:tcBorders>
            <w:shd w:val="clear" w:color="auto" w:fill="auto"/>
            <w:noWrap/>
            <w:vAlign w:val="center"/>
            <w:hideMark/>
          </w:tcPr>
          <w:p w14:paraId="47EEF999"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46.160 </w:t>
            </w:r>
          </w:p>
        </w:tc>
        <w:tc>
          <w:tcPr>
            <w:tcW w:w="851" w:type="dxa"/>
            <w:tcBorders>
              <w:top w:val="nil"/>
              <w:left w:val="nil"/>
              <w:bottom w:val="single" w:sz="4" w:space="0" w:color="auto"/>
              <w:right w:val="single" w:sz="4" w:space="0" w:color="auto"/>
            </w:tcBorders>
            <w:shd w:val="clear" w:color="auto" w:fill="auto"/>
            <w:noWrap/>
            <w:vAlign w:val="center"/>
            <w:hideMark/>
          </w:tcPr>
          <w:p w14:paraId="35EA4543"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7.458 </w:t>
            </w:r>
          </w:p>
        </w:tc>
        <w:tc>
          <w:tcPr>
            <w:tcW w:w="850" w:type="dxa"/>
            <w:tcBorders>
              <w:top w:val="nil"/>
              <w:left w:val="nil"/>
              <w:bottom w:val="single" w:sz="4" w:space="0" w:color="auto"/>
              <w:right w:val="single" w:sz="4" w:space="0" w:color="auto"/>
            </w:tcBorders>
            <w:shd w:val="clear" w:color="auto" w:fill="auto"/>
            <w:noWrap/>
            <w:vAlign w:val="center"/>
            <w:hideMark/>
          </w:tcPr>
          <w:p w14:paraId="776FFDA5"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61.775 </w:t>
            </w:r>
          </w:p>
        </w:tc>
        <w:tc>
          <w:tcPr>
            <w:tcW w:w="851" w:type="dxa"/>
            <w:tcBorders>
              <w:top w:val="nil"/>
              <w:left w:val="nil"/>
              <w:bottom w:val="single" w:sz="4" w:space="0" w:color="auto"/>
              <w:right w:val="single" w:sz="4" w:space="0" w:color="auto"/>
            </w:tcBorders>
            <w:shd w:val="clear" w:color="auto" w:fill="auto"/>
            <w:noWrap/>
            <w:vAlign w:val="center"/>
            <w:hideMark/>
          </w:tcPr>
          <w:p w14:paraId="1E6288C5"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51.834 </w:t>
            </w:r>
          </w:p>
        </w:tc>
        <w:tc>
          <w:tcPr>
            <w:tcW w:w="850" w:type="dxa"/>
            <w:tcBorders>
              <w:top w:val="nil"/>
              <w:left w:val="nil"/>
              <w:bottom w:val="single" w:sz="4" w:space="0" w:color="auto"/>
              <w:right w:val="single" w:sz="4" w:space="0" w:color="auto"/>
            </w:tcBorders>
            <w:shd w:val="clear" w:color="auto" w:fill="auto"/>
            <w:noWrap/>
            <w:vAlign w:val="center"/>
            <w:hideMark/>
          </w:tcPr>
          <w:p w14:paraId="4525C1B6"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9.941 </w:t>
            </w:r>
          </w:p>
        </w:tc>
        <w:tc>
          <w:tcPr>
            <w:tcW w:w="851" w:type="dxa"/>
            <w:tcBorders>
              <w:top w:val="nil"/>
              <w:left w:val="nil"/>
              <w:bottom w:val="single" w:sz="4" w:space="0" w:color="auto"/>
              <w:right w:val="single" w:sz="4" w:space="0" w:color="auto"/>
            </w:tcBorders>
            <w:shd w:val="clear" w:color="auto" w:fill="auto"/>
            <w:noWrap/>
            <w:vAlign w:val="bottom"/>
            <w:hideMark/>
          </w:tcPr>
          <w:p w14:paraId="54853C48" w14:textId="77777777" w:rsidR="007F0586" w:rsidRPr="001B7E14" w:rsidRDefault="00BB02B2"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66.733 </w:t>
            </w:r>
          </w:p>
        </w:tc>
        <w:tc>
          <w:tcPr>
            <w:tcW w:w="850" w:type="dxa"/>
            <w:tcBorders>
              <w:top w:val="nil"/>
              <w:left w:val="nil"/>
              <w:bottom w:val="single" w:sz="4" w:space="0" w:color="auto"/>
              <w:right w:val="single" w:sz="4" w:space="0" w:color="auto"/>
            </w:tcBorders>
            <w:shd w:val="clear" w:color="auto" w:fill="auto"/>
            <w:noWrap/>
            <w:vAlign w:val="bottom"/>
            <w:hideMark/>
          </w:tcPr>
          <w:p w14:paraId="166675D8" w14:textId="77777777" w:rsidR="007F0586" w:rsidRPr="001B7E14" w:rsidRDefault="00BB02B2"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59.838 </w:t>
            </w:r>
          </w:p>
        </w:tc>
        <w:tc>
          <w:tcPr>
            <w:tcW w:w="851" w:type="dxa"/>
            <w:tcBorders>
              <w:top w:val="nil"/>
              <w:left w:val="nil"/>
              <w:bottom w:val="single" w:sz="4" w:space="0" w:color="auto"/>
              <w:right w:val="single" w:sz="4" w:space="0" w:color="auto"/>
            </w:tcBorders>
            <w:shd w:val="clear" w:color="auto" w:fill="auto"/>
            <w:noWrap/>
            <w:vAlign w:val="center"/>
            <w:hideMark/>
          </w:tcPr>
          <w:p w14:paraId="73C39138" w14:textId="77777777" w:rsidR="007F0586" w:rsidRPr="001B7E14" w:rsidRDefault="00BB02B2"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6.895 </w:t>
            </w:r>
          </w:p>
        </w:tc>
      </w:tr>
      <w:tr w:rsidR="00BB02B2" w:rsidRPr="001B7E14" w14:paraId="4F8C1F57"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21A1379" w14:textId="77777777" w:rsidR="007F0586" w:rsidRPr="001B7E14" w:rsidRDefault="007F0586" w:rsidP="007F0586">
            <w:pPr>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Prestación de servicio SSF</w:t>
            </w:r>
          </w:p>
        </w:tc>
        <w:tc>
          <w:tcPr>
            <w:tcW w:w="851" w:type="dxa"/>
            <w:tcBorders>
              <w:top w:val="nil"/>
              <w:left w:val="nil"/>
              <w:bottom w:val="single" w:sz="4" w:space="0" w:color="auto"/>
              <w:right w:val="single" w:sz="4" w:space="0" w:color="auto"/>
            </w:tcBorders>
            <w:shd w:val="clear" w:color="auto" w:fill="auto"/>
            <w:noWrap/>
            <w:vAlign w:val="center"/>
            <w:hideMark/>
          </w:tcPr>
          <w:p w14:paraId="0D69D58A"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3.990 </w:t>
            </w:r>
          </w:p>
        </w:tc>
        <w:tc>
          <w:tcPr>
            <w:tcW w:w="850" w:type="dxa"/>
            <w:tcBorders>
              <w:top w:val="nil"/>
              <w:left w:val="nil"/>
              <w:bottom w:val="single" w:sz="4" w:space="0" w:color="auto"/>
              <w:right w:val="single" w:sz="4" w:space="0" w:color="auto"/>
            </w:tcBorders>
            <w:shd w:val="clear" w:color="auto" w:fill="auto"/>
            <w:noWrap/>
            <w:vAlign w:val="center"/>
            <w:hideMark/>
          </w:tcPr>
          <w:p w14:paraId="3031B4AC"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3.401 </w:t>
            </w:r>
          </w:p>
        </w:tc>
        <w:tc>
          <w:tcPr>
            <w:tcW w:w="851" w:type="dxa"/>
            <w:tcBorders>
              <w:top w:val="nil"/>
              <w:left w:val="nil"/>
              <w:bottom w:val="single" w:sz="4" w:space="0" w:color="auto"/>
              <w:right w:val="single" w:sz="4" w:space="0" w:color="auto"/>
            </w:tcBorders>
            <w:shd w:val="clear" w:color="auto" w:fill="auto"/>
            <w:noWrap/>
            <w:vAlign w:val="center"/>
            <w:hideMark/>
          </w:tcPr>
          <w:p w14:paraId="7DED0465"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589 </w:t>
            </w:r>
          </w:p>
        </w:tc>
        <w:tc>
          <w:tcPr>
            <w:tcW w:w="850" w:type="dxa"/>
            <w:tcBorders>
              <w:top w:val="nil"/>
              <w:left w:val="nil"/>
              <w:bottom w:val="single" w:sz="4" w:space="0" w:color="auto"/>
              <w:right w:val="single" w:sz="4" w:space="0" w:color="auto"/>
            </w:tcBorders>
            <w:shd w:val="clear" w:color="auto" w:fill="auto"/>
            <w:noWrap/>
            <w:vAlign w:val="center"/>
            <w:hideMark/>
          </w:tcPr>
          <w:p w14:paraId="08CE95B3"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3.739 </w:t>
            </w:r>
          </w:p>
        </w:tc>
        <w:tc>
          <w:tcPr>
            <w:tcW w:w="851" w:type="dxa"/>
            <w:tcBorders>
              <w:top w:val="nil"/>
              <w:left w:val="nil"/>
              <w:bottom w:val="single" w:sz="4" w:space="0" w:color="auto"/>
              <w:right w:val="single" w:sz="4" w:space="0" w:color="auto"/>
            </w:tcBorders>
            <w:shd w:val="clear" w:color="auto" w:fill="auto"/>
            <w:noWrap/>
            <w:vAlign w:val="center"/>
            <w:hideMark/>
          </w:tcPr>
          <w:p w14:paraId="7851A301"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3.748 </w:t>
            </w:r>
          </w:p>
        </w:tc>
        <w:tc>
          <w:tcPr>
            <w:tcW w:w="850" w:type="dxa"/>
            <w:tcBorders>
              <w:top w:val="nil"/>
              <w:left w:val="nil"/>
              <w:bottom w:val="single" w:sz="4" w:space="0" w:color="auto"/>
              <w:right w:val="single" w:sz="4" w:space="0" w:color="auto"/>
            </w:tcBorders>
            <w:shd w:val="clear" w:color="auto" w:fill="auto"/>
            <w:noWrap/>
            <w:vAlign w:val="center"/>
            <w:hideMark/>
          </w:tcPr>
          <w:p w14:paraId="6EE7594B" w14:textId="77777777" w:rsidR="007F0586" w:rsidRPr="001B7E14" w:rsidRDefault="007F0586"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w:t>
            </w:r>
            <w:r w:rsidR="00BB02B2" w:rsidRPr="001B7E14">
              <w:rPr>
                <w:rFonts w:ascii="Helvetica" w:eastAsia="Times New Roman" w:hAnsi="Helvetica" w:cs="Helvetica"/>
                <w:color w:val="000000"/>
                <w:sz w:val="14"/>
                <w:szCs w:val="16"/>
                <w:lang w:val="es-CO" w:eastAsia="es-CO"/>
              </w:rPr>
              <w:t xml:space="preserve"> </w:t>
            </w:r>
            <w:r w:rsidRPr="001B7E14">
              <w:rPr>
                <w:rFonts w:ascii="Helvetica" w:eastAsia="Times New Roman" w:hAnsi="Helvetica" w:cs="Helvetica"/>
                <w:color w:val="000000"/>
                <w:sz w:val="14"/>
                <w:szCs w:val="16"/>
                <w:lang w:val="es-CO" w:eastAsia="es-CO"/>
              </w:rPr>
              <w:t xml:space="preserve">9 </w:t>
            </w:r>
          </w:p>
        </w:tc>
        <w:tc>
          <w:tcPr>
            <w:tcW w:w="851" w:type="dxa"/>
            <w:tcBorders>
              <w:top w:val="nil"/>
              <w:left w:val="nil"/>
              <w:bottom w:val="single" w:sz="4" w:space="0" w:color="auto"/>
              <w:right w:val="single" w:sz="4" w:space="0" w:color="auto"/>
            </w:tcBorders>
            <w:shd w:val="clear" w:color="auto" w:fill="auto"/>
            <w:noWrap/>
            <w:vAlign w:val="bottom"/>
            <w:hideMark/>
          </w:tcPr>
          <w:p w14:paraId="3C597CDF" w14:textId="77777777" w:rsidR="007F0586" w:rsidRPr="001B7E14" w:rsidRDefault="00BB02B2"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3.357 </w:t>
            </w:r>
          </w:p>
        </w:tc>
        <w:tc>
          <w:tcPr>
            <w:tcW w:w="850" w:type="dxa"/>
            <w:tcBorders>
              <w:top w:val="nil"/>
              <w:left w:val="nil"/>
              <w:bottom w:val="single" w:sz="4" w:space="0" w:color="auto"/>
              <w:right w:val="single" w:sz="4" w:space="0" w:color="auto"/>
            </w:tcBorders>
            <w:shd w:val="clear" w:color="auto" w:fill="auto"/>
            <w:noWrap/>
            <w:vAlign w:val="bottom"/>
            <w:hideMark/>
          </w:tcPr>
          <w:p w14:paraId="50183CC5" w14:textId="77777777" w:rsidR="007F0586" w:rsidRPr="001B7E14" w:rsidRDefault="00BB02B2"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3.360 </w:t>
            </w:r>
          </w:p>
        </w:tc>
        <w:tc>
          <w:tcPr>
            <w:tcW w:w="851" w:type="dxa"/>
            <w:tcBorders>
              <w:top w:val="nil"/>
              <w:left w:val="nil"/>
              <w:bottom w:val="single" w:sz="4" w:space="0" w:color="auto"/>
              <w:right w:val="single" w:sz="4" w:space="0" w:color="auto"/>
            </w:tcBorders>
            <w:shd w:val="clear" w:color="auto" w:fill="auto"/>
            <w:noWrap/>
            <w:vAlign w:val="center"/>
            <w:hideMark/>
          </w:tcPr>
          <w:p w14:paraId="4CE02F87" w14:textId="77777777" w:rsidR="007F0586" w:rsidRPr="001B7E14" w:rsidRDefault="007F0586"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w:t>
            </w:r>
            <w:r w:rsidR="00BB02B2" w:rsidRPr="001B7E14">
              <w:rPr>
                <w:rFonts w:ascii="Helvetica" w:eastAsia="Times New Roman" w:hAnsi="Helvetica" w:cs="Helvetica"/>
                <w:color w:val="000000"/>
                <w:sz w:val="14"/>
                <w:szCs w:val="16"/>
                <w:lang w:val="es-CO" w:eastAsia="es-CO"/>
              </w:rPr>
              <w:t xml:space="preserve"> </w:t>
            </w:r>
            <w:r w:rsidRPr="001B7E14">
              <w:rPr>
                <w:rFonts w:ascii="Helvetica" w:eastAsia="Times New Roman" w:hAnsi="Helvetica" w:cs="Helvetica"/>
                <w:color w:val="000000"/>
                <w:sz w:val="14"/>
                <w:szCs w:val="16"/>
                <w:lang w:val="es-CO" w:eastAsia="es-CO"/>
              </w:rPr>
              <w:t xml:space="preserve">3 </w:t>
            </w:r>
          </w:p>
        </w:tc>
      </w:tr>
      <w:tr w:rsidR="00BB02B2" w:rsidRPr="001B7E14" w14:paraId="0FAD86D9"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D9B2984" w14:textId="77777777" w:rsidR="007F0586" w:rsidRPr="001B7E14" w:rsidRDefault="007F0586" w:rsidP="007F0586">
            <w:pPr>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Recursos del balance</w:t>
            </w:r>
          </w:p>
        </w:tc>
        <w:tc>
          <w:tcPr>
            <w:tcW w:w="851" w:type="dxa"/>
            <w:tcBorders>
              <w:top w:val="nil"/>
              <w:left w:val="nil"/>
              <w:bottom w:val="single" w:sz="4" w:space="0" w:color="auto"/>
              <w:right w:val="single" w:sz="4" w:space="0" w:color="auto"/>
            </w:tcBorders>
            <w:shd w:val="clear" w:color="auto" w:fill="auto"/>
            <w:noWrap/>
            <w:vAlign w:val="center"/>
            <w:hideMark/>
          </w:tcPr>
          <w:p w14:paraId="54948FC8"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25CDBE6"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1.421 </w:t>
            </w:r>
          </w:p>
        </w:tc>
        <w:tc>
          <w:tcPr>
            <w:tcW w:w="851" w:type="dxa"/>
            <w:tcBorders>
              <w:top w:val="nil"/>
              <w:left w:val="nil"/>
              <w:bottom w:val="single" w:sz="4" w:space="0" w:color="auto"/>
              <w:right w:val="single" w:sz="4" w:space="0" w:color="auto"/>
            </w:tcBorders>
            <w:shd w:val="clear" w:color="auto" w:fill="auto"/>
            <w:noWrap/>
            <w:vAlign w:val="center"/>
            <w:hideMark/>
          </w:tcPr>
          <w:p w14:paraId="1F6CE424" w14:textId="77777777" w:rsidR="007F0586" w:rsidRPr="001B7E14" w:rsidRDefault="007F0586"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w:t>
            </w:r>
            <w:r w:rsidR="00BB02B2" w:rsidRPr="001B7E14">
              <w:rPr>
                <w:rFonts w:ascii="Helvetica" w:eastAsia="Times New Roman" w:hAnsi="Helvetica" w:cs="Helvetica"/>
                <w:color w:val="000000"/>
                <w:sz w:val="14"/>
                <w:szCs w:val="16"/>
                <w:lang w:val="es-CO" w:eastAsia="es-CO"/>
              </w:rPr>
              <w:t xml:space="preserve"> </w:t>
            </w:r>
            <w:r w:rsidRPr="001B7E14">
              <w:rPr>
                <w:rFonts w:ascii="Helvetica" w:eastAsia="Times New Roman" w:hAnsi="Helvetica" w:cs="Helvetica"/>
                <w:color w:val="000000"/>
                <w:sz w:val="14"/>
                <w:szCs w:val="16"/>
                <w:lang w:val="es-CO" w:eastAsia="es-CO"/>
              </w:rPr>
              <w:t xml:space="preserve">1.421 </w:t>
            </w:r>
          </w:p>
        </w:tc>
        <w:tc>
          <w:tcPr>
            <w:tcW w:w="850" w:type="dxa"/>
            <w:tcBorders>
              <w:top w:val="nil"/>
              <w:left w:val="nil"/>
              <w:bottom w:val="single" w:sz="4" w:space="0" w:color="auto"/>
              <w:right w:val="single" w:sz="4" w:space="0" w:color="auto"/>
            </w:tcBorders>
            <w:shd w:val="clear" w:color="auto" w:fill="auto"/>
            <w:noWrap/>
            <w:vAlign w:val="center"/>
            <w:hideMark/>
          </w:tcPr>
          <w:p w14:paraId="2F790DE6"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13.098 </w:t>
            </w:r>
          </w:p>
        </w:tc>
        <w:tc>
          <w:tcPr>
            <w:tcW w:w="851" w:type="dxa"/>
            <w:tcBorders>
              <w:top w:val="nil"/>
              <w:left w:val="nil"/>
              <w:bottom w:val="single" w:sz="4" w:space="0" w:color="auto"/>
              <w:right w:val="single" w:sz="4" w:space="0" w:color="auto"/>
            </w:tcBorders>
            <w:shd w:val="clear" w:color="auto" w:fill="auto"/>
            <w:noWrap/>
            <w:vAlign w:val="center"/>
            <w:hideMark/>
          </w:tcPr>
          <w:p w14:paraId="5216FBB5"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11.128 </w:t>
            </w:r>
          </w:p>
        </w:tc>
        <w:tc>
          <w:tcPr>
            <w:tcW w:w="850" w:type="dxa"/>
            <w:tcBorders>
              <w:top w:val="nil"/>
              <w:left w:val="nil"/>
              <w:bottom w:val="single" w:sz="4" w:space="0" w:color="auto"/>
              <w:right w:val="single" w:sz="4" w:space="0" w:color="auto"/>
            </w:tcBorders>
            <w:shd w:val="clear" w:color="auto" w:fill="auto"/>
            <w:noWrap/>
            <w:vAlign w:val="center"/>
            <w:hideMark/>
          </w:tcPr>
          <w:p w14:paraId="56C32FB6"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1.969 </w:t>
            </w:r>
          </w:p>
        </w:tc>
        <w:tc>
          <w:tcPr>
            <w:tcW w:w="851" w:type="dxa"/>
            <w:tcBorders>
              <w:top w:val="nil"/>
              <w:left w:val="nil"/>
              <w:bottom w:val="single" w:sz="4" w:space="0" w:color="auto"/>
              <w:right w:val="single" w:sz="4" w:space="0" w:color="auto"/>
            </w:tcBorders>
            <w:shd w:val="clear" w:color="auto" w:fill="auto"/>
            <w:noWrap/>
            <w:vAlign w:val="bottom"/>
            <w:hideMark/>
          </w:tcPr>
          <w:p w14:paraId="190A349B" w14:textId="77777777" w:rsidR="007F0586" w:rsidRPr="001B7E14" w:rsidRDefault="00BB02B2"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12.603 </w:t>
            </w:r>
          </w:p>
        </w:tc>
        <w:tc>
          <w:tcPr>
            <w:tcW w:w="850" w:type="dxa"/>
            <w:tcBorders>
              <w:top w:val="nil"/>
              <w:left w:val="nil"/>
              <w:bottom w:val="single" w:sz="4" w:space="0" w:color="auto"/>
              <w:right w:val="single" w:sz="4" w:space="0" w:color="auto"/>
            </w:tcBorders>
            <w:shd w:val="clear" w:color="auto" w:fill="auto"/>
            <w:noWrap/>
            <w:vAlign w:val="bottom"/>
            <w:hideMark/>
          </w:tcPr>
          <w:p w14:paraId="3790EFD5" w14:textId="77777777" w:rsidR="007F0586" w:rsidRPr="001B7E14" w:rsidRDefault="00BB02B2"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10.102 </w:t>
            </w:r>
          </w:p>
        </w:tc>
        <w:tc>
          <w:tcPr>
            <w:tcW w:w="851" w:type="dxa"/>
            <w:tcBorders>
              <w:top w:val="nil"/>
              <w:left w:val="nil"/>
              <w:bottom w:val="single" w:sz="4" w:space="0" w:color="auto"/>
              <w:right w:val="single" w:sz="4" w:space="0" w:color="auto"/>
            </w:tcBorders>
            <w:shd w:val="clear" w:color="auto" w:fill="auto"/>
            <w:noWrap/>
            <w:vAlign w:val="center"/>
            <w:hideMark/>
          </w:tcPr>
          <w:p w14:paraId="4E4D89D5" w14:textId="77777777" w:rsidR="007F0586" w:rsidRPr="001B7E14" w:rsidRDefault="00BB02B2"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2.500 </w:t>
            </w:r>
          </w:p>
        </w:tc>
      </w:tr>
      <w:tr w:rsidR="00BB02B2" w:rsidRPr="001B7E14" w14:paraId="0365D853"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F1AFDD7" w14:textId="77777777" w:rsidR="007F0586" w:rsidRPr="001B7E14" w:rsidRDefault="007F0586" w:rsidP="007F0586">
            <w:pPr>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Cancelación de reservas</w:t>
            </w:r>
          </w:p>
        </w:tc>
        <w:tc>
          <w:tcPr>
            <w:tcW w:w="851" w:type="dxa"/>
            <w:tcBorders>
              <w:top w:val="nil"/>
              <w:left w:val="nil"/>
              <w:bottom w:val="single" w:sz="4" w:space="0" w:color="auto"/>
              <w:right w:val="single" w:sz="4" w:space="0" w:color="auto"/>
            </w:tcBorders>
            <w:shd w:val="clear" w:color="auto" w:fill="auto"/>
            <w:noWrap/>
            <w:vAlign w:val="center"/>
            <w:hideMark/>
          </w:tcPr>
          <w:p w14:paraId="1988CDC4"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04A9592"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3858D2D0"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29C480F"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08540C5"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3126677"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43F18CBE" w14:textId="77777777" w:rsidR="007F0586" w:rsidRPr="001B7E14" w:rsidRDefault="00BB02B2"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4B12C21" w14:textId="77777777" w:rsidR="007F0586" w:rsidRPr="001B7E14" w:rsidRDefault="00BB02B2"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3BF6BAB7" w14:textId="77777777" w:rsidR="007F0586" w:rsidRPr="001B7E14" w:rsidRDefault="00BB02B2"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r>
      <w:tr w:rsidR="00BB02B2" w:rsidRPr="001B7E14" w14:paraId="5F694334"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5289375" w14:textId="77777777" w:rsidR="007F0586" w:rsidRPr="001B7E14" w:rsidRDefault="007F0586" w:rsidP="007F0586">
            <w:pPr>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Reintegros Prestación del Servicio</w:t>
            </w:r>
          </w:p>
        </w:tc>
        <w:tc>
          <w:tcPr>
            <w:tcW w:w="851" w:type="dxa"/>
            <w:tcBorders>
              <w:top w:val="nil"/>
              <w:left w:val="nil"/>
              <w:bottom w:val="single" w:sz="4" w:space="0" w:color="auto"/>
              <w:right w:val="single" w:sz="4" w:space="0" w:color="auto"/>
            </w:tcBorders>
            <w:shd w:val="clear" w:color="auto" w:fill="auto"/>
            <w:noWrap/>
            <w:vAlign w:val="center"/>
            <w:hideMark/>
          </w:tcPr>
          <w:p w14:paraId="30ADEF42"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46 </w:t>
            </w:r>
          </w:p>
        </w:tc>
        <w:tc>
          <w:tcPr>
            <w:tcW w:w="850" w:type="dxa"/>
            <w:tcBorders>
              <w:top w:val="nil"/>
              <w:left w:val="nil"/>
              <w:bottom w:val="single" w:sz="4" w:space="0" w:color="auto"/>
              <w:right w:val="single" w:sz="4" w:space="0" w:color="auto"/>
            </w:tcBorders>
            <w:shd w:val="clear" w:color="auto" w:fill="auto"/>
            <w:noWrap/>
            <w:vAlign w:val="center"/>
            <w:hideMark/>
          </w:tcPr>
          <w:p w14:paraId="1BC08547"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43C5C784"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46 </w:t>
            </w:r>
          </w:p>
        </w:tc>
        <w:tc>
          <w:tcPr>
            <w:tcW w:w="850" w:type="dxa"/>
            <w:tcBorders>
              <w:top w:val="nil"/>
              <w:left w:val="nil"/>
              <w:bottom w:val="single" w:sz="4" w:space="0" w:color="auto"/>
              <w:right w:val="single" w:sz="4" w:space="0" w:color="auto"/>
            </w:tcBorders>
            <w:shd w:val="clear" w:color="auto" w:fill="auto"/>
            <w:noWrap/>
            <w:vAlign w:val="center"/>
            <w:hideMark/>
          </w:tcPr>
          <w:p w14:paraId="1583DAD0"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7E6E1874"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0AD1180"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6A8542F9" w14:textId="77777777" w:rsidR="007F0586" w:rsidRPr="001B7E14" w:rsidRDefault="00BB02B2"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2 </w:t>
            </w:r>
          </w:p>
        </w:tc>
        <w:tc>
          <w:tcPr>
            <w:tcW w:w="850" w:type="dxa"/>
            <w:tcBorders>
              <w:top w:val="nil"/>
              <w:left w:val="nil"/>
              <w:bottom w:val="single" w:sz="4" w:space="0" w:color="auto"/>
              <w:right w:val="single" w:sz="4" w:space="0" w:color="auto"/>
            </w:tcBorders>
            <w:shd w:val="clear" w:color="auto" w:fill="auto"/>
            <w:noWrap/>
            <w:vAlign w:val="center"/>
            <w:hideMark/>
          </w:tcPr>
          <w:p w14:paraId="156744BE" w14:textId="77777777" w:rsidR="007F0586" w:rsidRPr="001B7E14" w:rsidRDefault="00BB02B2"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35C4F149" w14:textId="77777777" w:rsidR="007F0586" w:rsidRPr="001B7E14" w:rsidRDefault="00BB02B2"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2 </w:t>
            </w:r>
          </w:p>
        </w:tc>
      </w:tr>
      <w:tr w:rsidR="00BB02B2" w:rsidRPr="001B7E14" w14:paraId="5A2D2581"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443F8E1" w14:textId="77777777" w:rsidR="007F0586" w:rsidRPr="001B7E14" w:rsidRDefault="007F0586" w:rsidP="007F0586">
            <w:pPr>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Rendimientos financieros prestación</w:t>
            </w:r>
          </w:p>
        </w:tc>
        <w:tc>
          <w:tcPr>
            <w:tcW w:w="851" w:type="dxa"/>
            <w:tcBorders>
              <w:top w:val="nil"/>
              <w:left w:val="nil"/>
              <w:bottom w:val="single" w:sz="4" w:space="0" w:color="auto"/>
              <w:right w:val="single" w:sz="4" w:space="0" w:color="auto"/>
            </w:tcBorders>
            <w:shd w:val="clear" w:color="auto" w:fill="auto"/>
            <w:noWrap/>
            <w:vAlign w:val="center"/>
            <w:hideMark/>
          </w:tcPr>
          <w:p w14:paraId="1EAFCB86"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91F89DA"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29F8568D"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71D1758"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13 </w:t>
            </w:r>
          </w:p>
        </w:tc>
        <w:tc>
          <w:tcPr>
            <w:tcW w:w="851" w:type="dxa"/>
            <w:tcBorders>
              <w:top w:val="nil"/>
              <w:left w:val="nil"/>
              <w:bottom w:val="single" w:sz="4" w:space="0" w:color="auto"/>
              <w:right w:val="single" w:sz="4" w:space="0" w:color="auto"/>
            </w:tcBorders>
            <w:shd w:val="clear" w:color="auto" w:fill="auto"/>
            <w:noWrap/>
            <w:vAlign w:val="center"/>
            <w:hideMark/>
          </w:tcPr>
          <w:p w14:paraId="721566AE"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A1107A3"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13 </w:t>
            </w:r>
          </w:p>
        </w:tc>
        <w:tc>
          <w:tcPr>
            <w:tcW w:w="851" w:type="dxa"/>
            <w:tcBorders>
              <w:top w:val="nil"/>
              <w:left w:val="nil"/>
              <w:bottom w:val="single" w:sz="4" w:space="0" w:color="auto"/>
              <w:right w:val="single" w:sz="4" w:space="0" w:color="auto"/>
            </w:tcBorders>
            <w:shd w:val="clear" w:color="auto" w:fill="auto"/>
            <w:noWrap/>
            <w:vAlign w:val="bottom"/>
            <w:hideMark/>
          </w:tcPr>
          <w:p w14:paraId="3A5EDDBE" w14:textId="77777777" w:rsidR="007F0586" w:rsidRPr="001B7E14" w:rsidRDefault="00BB02B2"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179 </w:t>
            </w:r>
          </w:p>
        </w:tc>
        <w:tc>
          <w:tcPr>
            <w:tcW w:w="850" w:type="dxa"/>
            <w:tcBorders>
              <w:top w:val="nil"/>
              <w:left w:val="nil"/>
              <w:bottom w:val="single" w:sz="4" w:space="0" w:color="auto"/>
              <w:right w:val="single" w:sz="4" w:space="0" w:color="auto"/>
            </w:tcBorders>
            <w:shd w:val="clear" w:color="auto" w:fill="auto"/>
            <w:noWrap/>
            <w:vAlign w:val="bottom"/>
            <w:hideMark/>
          </w:tcPr>
          <w:p w14:paraId="646DA095" w14:textId="77777777" w:rsidR="007F0586" w:rsidRPr="001B7E14" w:rsidRDefault="00BB02B2"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178 </w:t>
            </w:r>
          </w:p>
        </w:tc>
        <w:tc>
          <w:tcPr>
            <w:tcW w:w="851" w:type="dxa"/>
            <w:tcBorders>
              <w:top w:val="nil"/>
              <w:left w:val="nil"/>
              <w:bottom w:val="single" w:sz="4" w:space="0" w:color="auto"/>
              <w:right w:val="single" w:sz="4" w:space="0" w:color="auto"/>
            </w:tcBorders>
            <w:shd w:val="clear" w:color="auto" w:fill="auto"/>
            <w:noWrap/>
            <w:vAlign w:val="center"/>
            <w:hideMark/>
          </w:tcPr>
          <w:p w14:paraId="5CB656CF" w14:textId="77777777" w:rsidR="007F0586" w:rsidRPr="001B7E14" w:rsidRDefault="00BB02B2"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2 </w:t>
            </w:r>
          </w:p>
        </w:tc>
      </w:tr>
      <w:tr w:rsidR="00BB02B2" w:rsidRPr="001B7E14" w14:paraId="7A06FFDD"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000000" w:fill="9BC2E6"/>
            <w:noWrap/>
            <w:vAlign w:val="center"/>
            <w:hideMark/>
          </w:tcPr>
          <w:p w14:paraId="1104ABB2" w14:textId="77777777" w:rsidR="007F0586" w:rsidRPr="001B7E14" w:rsidRDefault="007F0586" w:rsidP="007F0586">
            <w:pPr>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TOTAL PRESTACION DEL SERVICIO</w:t>
            </w:r>
          </w:p>
        </w:tc>
        <w:tc>
          <w:tcPr>
            <w:tcW w:w="851" w:type="dxa"/>
            <w:tcBorders>
              <w:top w:val="nil"/>
              <w:left w:val="nil"/>
              <w:bottom w:val="single" w:sz="4" w:space="0" w:color="auto"/>
              <w:right w:val="single" w:sz="4" w:space="0" w:color="auto"/>
            </w:tcBorders>
            <w:shd w:val="clear" w:color="000000" w:fill="9BC2E6"/>
            <w:noWrap/>
            <w:vAlign w:val="center"/>
            <w:hideMark/>
          </w:tcPr>
          <w:p w14:paraId="7B3B795E"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57.654 </w:t>
            </w:r>
          </w:p>
        </w:tc>
        <w:tc>
          <w:tcPr>
            <w:tcW w:w="850" w:type="dxa"/>
            <w:tcBorders>
              <w:top w:val="nil"/>
              <w:left w:val="nil"/>
              <w:bottom w:val="single" w:sz="4" w:space="0" w:color="auto"/>
              <w:right w:val="single" w:sz="4" w:space="0" w:color="auto"/>
            </w:tcBorders>
            <w:shd w:val="clear" w:color="000000" w:fill="9BC2E6"/>
            <w:noWrap/>
            <w:vAlign w:val="center"/>
            <w:hideMark/>
          </w:tcPr>
          <w:p w14:paraId="33AC03B6"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50.982 </w:t>
            </w:r>
          </w:p>
        </w:tc>
        <w:tc>
          <w:tcPr>
            <w:tcW w:w="851" w:type="dxa"/>
            <w:tcBorders>
              <w:top w:val="nil"/>
              <w:left w:val="nil"/>
              <w:bottom w:val="single" w:sz="4" w:space="0" w:color="auto"/>
              <w:right w:val="single" w:sz="4" w:space="0" w:color="auto"/>
            </w:tcBorders>
            <w:shd w:val="clear" w:color="000000" w:fill="9BC2E6"/>
            <w:noWrap/>
            <w:vAlign w:val="center"/>
            <w:hideMark/>
          </w:tcPr>
          <w:p w14:paraId="69171AA2"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6.672 </w:t>
            </w:r>
          </w:p>
        </w:tc>
        <w:tc>
          <w:tcPr>
            <w:tcW w:w="850" w:type="dxa"/>
            <w:tcBorders>
              <w:top w:val="nil"/>
              <w:left w:val="nil"/>
              <w:bottom w:val="single" w:sz="4" w:space="0" w:color="auto"/>
              <w:right w:val="single" w:sz="4" w:space="0" w:color="auto"/>
            </w:tcBorders>
            <w:shd w:val="clear" w:color="000000" w:fill="9BC2E6"/>
            <w:noWrap/>
            <w:vAlign w:val="center"/>
            <w:hideMark/>
          </w:tcPr>
          <w:p w14:paraId="36659790"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78.625 </w:t>
            </w:r>
          </w:p>
        </w:tc>
        <w:tc>
          <w:tcPr>
            <w:tcW w:w="851" w:type="dxa"/>
            <w:tcBorders>
              <w:top w:val="nil"/>
              <w:left w:val="nil"/>
              <w:bottom w:val="single" w:sz="4" w:space="0" w:color="auto"/>
              <w:right w:val="single" w:sz="4" w:space="0" w:color="auto"/>
            </w:tcBorders>
            <w:shd w:val="clear" w:color="000000" w:fill="9BC2E6"/>
            <w:noWrap/>
            <w:vAlign w:val="center"/>
            <w:hideMark/>
          </w:tcPr>
          <w:p w14:paraId="72743990"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66.711 </w:t>
            </w:r>
          </w:p>
        </w:tc>
        <w:tc>
          <w:tcPr>
            <w:tcW w:w="850" w:type="dxa"/>
            <w:tcBorders>
              <w:top w:val="nil"/>
              <w:left w:val="nil"/>
              <w:bottom w:val="single" w:sz="4" w:space="0" w:color="auto"/>
              <w:right w:val="single" w:sz="4" w:space="0" w:color="auto"/>
            </w:tcBorders>
            <w:shd w:val="clear" w:color="000000" w:fill="9BC2E6"/>
            <w:noWrap/>
            <w:vAlign w:val="center"/>
            <w:hideMark/>
          </w:tcPr>
          <w:p w14:paraId="6FD149BD"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11.914 </w:t>
            </w:r>
          </w:p>
        </w:tc>
        <w:tc>
          <w:tcPr>
            <w:tcW w:w="851" w:type="dxa"/>
            <w:tcBorders>
              <w:top w:val="nil"/>
              <w:left w:val="nil"/>
              <w:bottom w:val="single" w:sz="4" w:space="0" w:color="auto"/>
              <w:right w:val="single" w:sz="4" w:space="0" w:color="auto"/>
            </w:tcBorders>
            <w:shd w:val="clear" w:color="000000" w:fill="9BC2E6"/>
            <w:noWrap/>
            <w:vAlign w:val="center"/>
            <w:hideMark/>
          </w:tcPr>
          <w:p w14:paraId="4B06BE63"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82.874 </w:t>
            </w:r>
          </w:p>
        </w:tc>
        <w:tc>
          <w:tcPr>
            <w:tcW w:w="850" w:type="dxa"/>
            <w:tcBorders>
              <w:top w:val="nil"/>
              <w:left w:val="nil"/>
              <w:bottom w:val="single" w:sz="4" w:space="0" w:color="auto"/>
              <w:right w:val="single" w:sz="4" w:space="0" w:color="auto"/>
            </w:tcBorders>
            <w:shd w:val="clear" w:color="000000" w:fill="9BC2E6"/>
            <w:noWrap/>
            <w:vAlign w:val="center"/>
            <w:hideMark/>
          </w:tcPr>
          <w:p w14:paraId="5CC2B700"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73.478 </w:t>
            </w:r>
          </w:p>
        </w:tc>
        <w:tc>
          <w:tcPr>
            <w:tcW w:w="851" w:type="dxa"/>
            <w:tcBorders>
              <w:top w:val="nil"/>
              <w:left w:val="nil"/>
              <w:bottom w:val="single" w:sz="4" w:space="0" w:color="auto"/>
              <w:right w:val="single" w:sz="4" w:space="0" w:color="auto"/>
            </w:tcBorders>
            <w:shd w:val="clear" w:color="000000" w:fill="9BC2E6"/>
            <w:noWrap/>
            <w:vAlign w:val="center"/>
            <w:hideMark/>
          </w:tcPr>
          <w:p w14:paraId="34F36F71"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9.396 </w:t>
            </w:r>
          </w:p>
        </w:tc>
      </w:tr>
      <w:tr w:rsidR="00BB02B2" w:rsidRPr="001B7E14" w14:paraId="1044E1F8"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000000" w:fill="9BC2E6"/>
            <w:noWrap/>
            <w:vAlign w:val="center"/>
            <w:hideMark/>
          </w:tcPr>
          <w:p w14:paraId="7992BBDD" w14:textId="77777777" w:rsidR="007F0586" w:rsidRPr="001B7E14" w:rsidRDefault="007F0586" w:rsidP="007F0586">
            <w:pPr>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TESORERÍA PRESTACIÓN DEL SERVICIO CSF</w:t>
            </w:r>
          </w:p>
        </w:tc>
        <w:tc>
          <w:tcPr>
            <w:tcW w:w="2552" w:type="dxa"/>
            <w:gridSpan w:val="3"/>
            <w:tcBorders>
              <w:top w:val="single" w:sz="4" w:space="0" w:color="auto"/>
              <w:left w:val="nil"/>
              <w:bottom w:val="single" w:sz="4" w:space="0" w:color="auto"/>
              <w:right w:val="single" w:sz="4" w:space="0" w:color="auto"/>
            </w:tcBorders>
            <w:shd w:val="clear" w:color="000000" w:fill="9BC2E6"/>
            <w:noWrap/>
            <w:vAlign w:val="center"/>
            <w:hideMark/>
          </w:tcPr>
          <w:p w14:paraId="0D3E13C9"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11.621 </w:t>
            </w:r>
          </w:p>
        </w:tc>
        <w:tc>
          <w:tcPr>
            <w:tcW w:w="2551" w:type="dxa"/>
            <w:gridSpan w:val="3"/>
            <w:tcBorders>
              <w:top w:val="single" w:sz="4" w:space="0" w:color="auto"/>
              <w:left w:val="nil"/>
              <w:bottom w:val="single" w:sz="4" w:space="0" w:color="auto"/>
              <w:right w:val="single" w:sz="4" w:space="0" w:color="auto"/>
            </w:tcBorders>
            <w:shd w:val="clear" w:color="000000" w:fill="9BC2E6"/>
            <w:noWrap/>
            <w:vAlign w:val="center"/>
            <w:hideMark/>
          </w:tcPr>
          <w:p w14:paraId="2189BB4C" w14:textId="77777777" w:rsidR="007F0586" w:rsidRPr="001B7E14" w:rsidRDefault="00BB02B2" w:rsidP="007F0586">
            <w:pPr>
              <w:ind w:firstLineChars="200" w:firstLine="281"/>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12.544</w:t>
            </w:r>
            <w:r w:rsidRPr="001B7E14">
              <w:rPr>
                <w:rFonts w:ascii="Helvetica" w:eastAsia="Times New Roman" w:hAnsi="Helvetica" w:cs="Helvetica"/>
                <w:b/>
                <w:bCs/>
                <w:color w:val="000000"/>
                <w:sz w:val="14"/>
                <w:szCs w:val="16"/>
                <w:lang w:val="es-CO" w:eastAsia="es-CO"/>
              </w:rPr>
              <w:t xml:space="preserve"> </w:t>
            </w:r>
          </w:p>
        </w:tc>
        <w:tc>
          <w:tcPr>
            <w:tcW w:w="2552" w:type="dxa"/>
            <w:gridSpan w:val="3"/>
            <w:tcBorders>
              <w:top w:val="single" w:sz="4" w:space="0" w:color="auto"/>
              <w:left w:val="nil"/>
              <w:bottom w:val="single" w:sz="4" w:space="0" w:color="auto"/>
              <w:right w:val="single" w:sz="4" w:space="0" w:color="auto"/>
            </w:tcBorders>
            <w:shd w:val="clear" w:color="000000" w:fill="9BC2E6"/>
            <w:noWrap/>
            <w:vAlign w:val="center"/>
            <w:hideMark/>
          </w:tcPr>
          <w:p w14:paraId="3BE30BB5" w14:textId="77777777" w:rsidR="007F0586" w:rsidRPr="001B7E14" w:rsidRDefault="00BB02B2" w:rsidP="00A905BC">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11.305</w:t>
            </w:r>
          </w:p>
        </w:tc>
      </w:tr>
      <w:tr w:rsidR="00BB02B2" w:rsidRPr="001B7E14" w14:paraId="3A72CBFB"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000000" w:fill="9BC2E6"/>
            <w:noWrap/>
            <w:vAlign w:val="center"/>
            <w:hideMark/>
          </w:tcPr>
          <w:p w14:paraId="3D9D97F3" w14:textId="77777777" w:rsidR="007F0586" w:rsidRPr="001B7E14" w:rsidRDefault="007F0586" w:rsidP="007F0586">
            <w:pPr>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DIFERENCIA CON TESORERÍA</w:t>
            </w:r>
          </w:p>
        </w:tc>
        <w:tc>
          <w:tcPr>
            <w:tcW w:w="2552" w:type="dxa"/>
            <w:gridSpan w:val="3"/>
            <w:tcBorders>
              <w:top w:val="single" w:sz="4" w:space="0" w:color="auto"/>
              <w:left w:val="nil"/>
              <w:bottom w:val="single" w:sz="4" w:space="0" w:color="auto"/>
              <w:right w:val="single" w:sz="4" w:space="0" w:color="auto"/>
            </w:tcBorders>
            <w:shd w:val="clear" w:color="000000" w:fill="9BC2E6"/>
            <w:noWrap/>
            <w:vAlign w:val="center"/>
            <w:hideMark/>
          </w:tcPr>
          <w:p w14:paraId="61DB093C" w14:textId="77777777" w:rsidR="007F0586" w:rsidRPr="001B7E14" w:rsidRDefault="007F0586"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w:t>
            </w:r>
            <w:r w:rsidR="00BB02B2" w:rsidRPr="001B7E14">
              <w:rPr>
                <w:rFonts w:ascii="Helvetica" w:eastAsia="Times New Roman" w:hAnsi="Helvetica" w:cs="Helvetica"/>
                <w:b/>
                <w:bCs/>
                <w:color w:val="000000"/>
                <w:sz w:val="14"/>
                <w:szCs w:val="16"/>
                <w:lang w:val="es-CO" w:eastAsia="es-CO"/>
              </w:rPr>
              <w:t xml:space="preserve"> </w:t>
            </w:r>
            <w:r w:rsidRPr="001B7E14">
              <w:rPr>
                <w:rFonts w:ascii="Helvetica" w:eastAsia="Times New Roman" w:hAnsi="Helvetica" w:cs="Helvetica"/>
                <w:b/>
                <w:bCs/>
                <w:color w:val="000000"/>
                <w:sz w:val="14"/>
                <w:szCs w:val="16"/>
                <w:lang w:val="es-CO" w:eastAsia="es-CO"/>
              </w:rPr>
              <w:t xml:space="preserve">4.949 </w:t>
            </w:r>
          </w:p>
        </w:tc>
        <w:tc>
          <w:tcPr>
            <w:tcW w:w="2551" w:type="dxa"/>
            <w:gridSpan w:val="3"/>
            <w:tcBorders>
              <w:top w:val="single" w:sz="4" w:space="0" w:color="auto"/>
              <w:left w:val="nil"/>
              <w:bottom w:val="single" w:sz="4" w:space="0" w:color="auto"/>
              <w:right w:val="single" w:sz="4" w:space="0" w:color="auto"/>
            </w:tcBorders>
            <w:shd w:val="clear" w:color="000000" w:fill="9BC2E6"/>
            <w:noWrap/>
            <w:vAlign w:val="center"/>
            <w:hideMark/>
          </w:tcPr>
          <w:p w14:paraId="2AFE3956" w14:textId="77777777" w:rsidR="007F0586" w:rsidRPr="001B7E14" w:rsidRDefault="007F0586" w:rsidP="007F0586">
            <w:pPr>
              <w:jc w:val="center"/>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w:t>
            </w:r>
            <w:r w:rsidR="00BB02B2" w:rsidRPr="001B7E14">
              <w:rPr>
                <w:rFonts w:ascii="Helvetica" w:eastAsia="Times New Roman" w:hAnsi="Helvetica" w:cs="Helvetica"/>
                <w:b/>
                <w:bCs/>
                <w:color w:val="000000"/>
                <w:sz w:val="14"/>
                <w:szCs w:val="16"/>
                <w:lang w:val="es-CO" w:eastAsia="es-CO"/>
              </w:rPr>
              <w:t xml:space="preserve"> 629</w:t>
            </w:r>
          </w:p>
        </w:tc>
        <w:tc>
          <w:tcPr>
            <w:tcW w:w="2552" w:type="dxa"/>
            <w:gridSpan w:val="3"/>
            <w:tcBorders>
              <w:top w:val="single" w:sz="4" w:space="0" w:color="auto"/>
              <w:left w:val="nil"/>
              <w:bottom w:val="single" w:sz="4" w:space="0" w:color="auto"/>
              <w:right w:val="single" w:sz="4" w:space="0" w:color="auto"/>
            </w:tcBorders>
            <w:shd w:val="clear" w:color="000000" w:fill="9BC2E6"/>
            <w:noWrap/>
            <w:vAlign w:val="center"/>
            <w:hideMark/>
          </w:tcPr>
          <w:p w14:paraId="75EA595A" w14:textId="77777777" w:rsidR="007F0586" w:rsidRPr="001B7E14" w:rsidRDefault="007F0586" w:rsidP="00A905BC">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w:t>
            </w:r>
            <w:r w:rsidR="00BB02B2" w:rsidRPr="001B7E14">
              <w:rPr>
                <w:rFonts w:ascii="Helvetica" w:eastAsia="Times New Roman" w:hAnsi="Helvetica" w:cs="Helvetica"/>
                <w:b/>
                <w:bCs/>
                <w:color w:val="000000"/>
                <w:sz w:val="14"/>
                <w:szCs w:val="16"/>
                <w:lang w:val="es-CO" w:eastAsia="es-CO"/>
              </w:rPr>
              <w:t xml:space="preserve"> 1.909</w:t>
            </w:r>
          </w:p>
        </w:tc>
      </w:tr>
      <w:tr w:rsidR="00BB02B2" w:rsidRPr="001B7E14" w14:paraId="381503AE"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1082071" w14:textId="77777777" w:rsidR="007F0586" w:rsidRPr="001B7E14" w:rsidRDefault="007F0586" w:rsidP="007F0586">
            <w:pPr>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Calidad Matrícula</w:t>
            </w:r>
          </w:p>
        </w:tc>
        <w:tc>
          <w:tcPr>
            <w:tcW w:w="851" w:type="dxa"/>
            <w:tcBorders>
              <w:top w:val="nil"/>
              <w:left w:val="nil"/>
              <w:bottom w:val="single" w:sz="4" w:space="0" w:color="auto"/>
              <w:right w:val="single" w:sz="4" w:space="0" w:color="auto"/>
            </w:tcBorders>
            <w:shd w:val="clear" w:color="auto" w:fill="auto"/>
            <w:noWrap/>
            <w:vAlign w:val="center"/>
            <w:hideMark/>
          </w:tcPr>
          <w:p w14:paraId="0FD17B1A"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380 </w:t>
            </w:r>
          </w:p>
        </w:tc>
        <w:tc>
          <w:tcPr>
            <w:tcW w:w="850" w:type="dxa"/>
            <w:tcBorders>
              <w:top w:val="nil"/>
              <w:left w:val="nil"/>
              <w:bottom w:val="single" w:sz="4" w:space="0" w:color="auto"/>
              <w:right w:val="single" w:sz="4" w:space="0" w:color="auto"/>
            </w:tcBorders>
            <w:shd w:val="clear" w:color="auto" w:fill="auto"/>
            <w:noWrap/>
            <w:vAlign w:val="center"/>
            <w:hideMark/>
          </w:tcPr>
          <w:p w14:paraId="726C4512"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177 </w:t>
            </w:r>
          </w:p>
        </w:tc>
        <w:tc>
          <w:tcPr>
            <w:tcW w:w="851" w:type="dxa"/>
            <w:tcBorders>
              <w:top w:val="nil"/>
              <w:left w:val="nil"/>
              <w:bottom w:val="single" w:sz="4" w:space="0" w:color="auto"/>
              <w:right w:val="single" w:sz="4" w:space="0" w:color="auto"/>
            </w:tcBorders>
            <w:shd w:val="clear" w:color="auto" w:fill="auto"/>
            <w:noWrap/>
            <w:vAlign w:val="center"/>
            <w:hideMark/>
          </w:tcPr>
          <w:p w14:paraId="3EA2BF52"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203 </w:t>
            </w:r>
          </w:p>
        </w:tc>
        <w:tc>
          <w:tcPr>
            <w:tcW w:w="850" w:type="dxa"/>
            <w:tcBorders>
              <w:top w:val="nil"/>
              <w:left w:val="nil"/>
              <w:bottom w:val="single" w:sz="4" w:space="0" w:color="auto"/>
              <w:right w:val="single" w:sz="4" w:space="0" w:color="auto"/>
            </w:tcBorders>
            <w:shd w:val="clear" w:color="auto" w:fill="auto"/>
            <w:noWrap/>
            <w:vAlign w:val="center"/>
            <w:hideMark/>
          </w:tcPr>
          <w:p w14:paraId="04928954"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378 </w:t>
            </w:r>
          </w:p>
        </w:tc>
        <w:tc>
          <w:tcPr>
            <w:tcW w:w="851" w:type="dxa"/>
            <w:tcBorders>
              <w:top w:val="nil"/>
              <w:left w:val="nil"/>
              <w:bottom w:val="single" w:sz="4" w:space="0" w:color="auto"/>
              <w:right w:val="single" w:sz="4" w:space="0" w:color="auto"/>
            </w:tcBorders>
            <w:shd w:val="clear" w:color="auto" w:fill="auto"/>
            <w:noWrap/>
            <w:vAlign w:val="center"/>
            <w:hideMark/>
          </w:tcPr>
          <w:p w14:paraId="04AB1B82"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341 </w:t>
            </w:r>
          </w:p>
        </w:tc>
        <w:tc>
          <w:tcPr>
            <w:tcW w:w="850" w:type="dxa"/>
            <w:tcBorders>
              <w:top w:val="nil"/>
              <w:left w:val="nil"/>
              <w:bottom w:val="single" w:sz="4" w:space="0" w:color="auto"/>
              <w:right w:val="single" w:sz="4" w:space="0" w:color="auto"/>
            </w:tcBorders>
            <w:shd w:val="clear" w:color="auto" w:fill="auto"/>
            <w:noWrap/>
            <w:vAlign w:val="center"/>
            <w:hideMark/>
          </w:tcPr>
          <w:p w14:paraId="334B0259"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37 </w:t>
            </w:r>
          </w:p>
        </w:tc>
        <w:tc>
          <w:tcPr>
            <w:tcW w:w="851" w:type="dxa"/>
            <w:tcBorders>
              <w:top w:val="nil"/>
              <w:left w:val="nil"/>
              <w:bottom w:val="single" w:sz="4" w:space="0" w:color="auto"/>
              <w:right w:val="single" w:sz="4" w:space="0" w:color="auto"/>
            </w:tcBorders>
            <w:shd w:val="clear" w:color="auto" w:fill="auto"/>
            <w:noWrap/>
            <w:vAlign w:val="bottom"/>
            <w:hideMark/>
          </w:tcPr>
          <w:p w14:paraId="5FA5EC0B" w14:textId="77777777" w:rsidR="007F0586" w:rsidRPr="001B7E14" w:rsidRDefault="007F0586"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443</w:t>
            </w:r>
          </w:p>
        </w:tc>
        <w:tc>
          <w:tcPr>
            <w:tcW w:w="850" w:type="dxa"/>
            <w:tcBorders>
              <w:top w:val="nil"/>
              <w:left w:val="nil"/>
              <w:bottom w:val="single" w:sz="4" w:space="0" w:color="auto"/>
              <w:right w:val="single" w:sz="4" w:space="0" w:color="auto"/>
            </w:tcBorders>
            <w:shd w:val="clear" w:color="auto" w:fill="auto"/>
            <w:noWrap/>
            <w:vAlign w:val="center"/>
            <w:hideMark/>
          </w:tcPr>
          <w:p w14:paraId="7B5D486B" w14:textId="77777777" w:rsidR="007F0586" w:rsidRPr="001B7E14" w:rsidRDefault="007F0586"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w:t>
            </w:r>
          </w:p>
        </w:tc>
        <w:tc>
          <w:tcPr>
            <w:tcW w:w="851" w:type="dxa"/>
            <w:tcBorders>
              <w:top w:val="nil"/>
              <w:left w:val="nil"/>
              <w:bottom w:val="single" w:sz="4" w:space="0" w:color="auto"/>
              <w:right w:val="single" w:sz="4" w:space="0" w:color="auto"/>
            </w:tcBorders>
            <w:shd w:val="clear" w:color="auto" w:fill="auto"/>
            <w:noWrap/>
            <w:vAlign w:val="center"/>
            <w:hideMark/>
          </w:tcPr>
          <w:p w14:paraId="44B03CB0" w14:textId="77777777" w:rsidR="007F0586" w:rsidRPr="001B7E14" w:rsidRDefault="007F0586"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443</w:t>
            </w:r>
          </w:p>
        </w:tc>
      </w:tr>
      <w:tr w:rsidR="00BB02B2" w:rsidRPr="001B7E14" w14:paraId="6DFE831E"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93AF897" w14:textId="77777777" w:rsidR="007F0586" w:rsidRPr="001B7E14" w:rsidRDefault="007F0586" w:rsidP="007F0586">
            <w:pPr>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Rendimientos financieros calidad</w:t>
            </w:r>
          </w:p>
        </w:tc>
        <w:tc>
          <w:tcPr>
            <w:tcW w:w="851" w:type="dxa"/>
            <w:tcBorders>
              <w:top w:val="nil"/>
              <w:left w:val="nil"/>
              <w:bottom w:val="single" w:sz="4" w:space="0" w:color="auto"/>
              <w:right w:val="single" w:sz="4" w:space="0" w:color="auto"/>
            </w:tcBorders>
            <w:shd w:val="clear" w:color="auto" w:fill="auto"/>
            <w:noWrap/>
            <w:vAlign w:val="center"/>
            <w:hideMark/>
          </w:tcPr>
          <w:p w14:paraId="065F6C2F"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192 </w:t>
            </w:r>
          </w:p>
        </w:tc>
        <w:tc>
          <w:tcPr>
            <w:tcW w:w="850" w:type="dxa"/>
            <w:tcBorders>
              <w:top w:val="nil"/>
              <w:left w:val="nil"/>
              <w:bottom w:val="single" w:sz="4" w:space="0" w:color="auto"/>
              <w:right w:val="single" w:sz="4" w:space="0" w:color="auto"/>
            </w:tcBorders>
            <w:shd w:val="clear" w:color="auto" w:fill="auto"/>
            <w:noWrap/>
            <w:vAlign w:val="center"/>
            <w:hideMark/>
          </w:tcPr>
          <w:p w14:paraId="15C60AD0"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211 </w:t>
            </w:r>
          </w:p>
        </w:tc>
        <w:tc>
          <w:tcPr>
            <w:tcW w:w="851" w:type="dxa"/>
            <w:tcBorders>
              <w:top w:val="nil"/>
              <w:left w:val="nil"/>
              <w:bottom w:val="single" w:sz="4" w:space="0" w:color="auto"/>
              <w:right w:val="single" w:sz="4" w:space="0" w:color="auto"/>
            </w:tcBorders>
            <w:shd w:val="clear" w:color="auto" w:fill="auto"/>
            <w:noWrap/>
            <w:vAlign w:val="center"/>
            <w:hideMark/>
          </w:tcPr>
          <w:p w14:paraId="699988D4" w14:textId="77777777" w:rsidR="007F0586" w:rsidRPr="001B7E14" w:rsidRDefault="007F0586"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w:t>
            </w:r>
            <w:r w:rsidR="00BB02B2" w:rsidRPr="001B7E14">
              <w:rPr>
                <w:rFonts w:ascii="Helvetica" w:eastAsia="Times New Roman" w:hAnsi="Helvetica" w:cs="Helvetica"/>
                <w:color w:val="000000"/>
                <w:sz w:val="14"/>
                <w:szCs w:val="16"/>
                <w:lang w:val="es-CO" w:eastAsia="es-CO"/>
              </w:rPr>
              <w:t xml:space="preserve"> </w:t>
            </w:r>
            <w:r w:rsidRPr="001B7E14">
              <w:rPr>
                <w:rFonts w:ascii="Helvetica" w:eastAsia="Times New Roman" w:hAnsi="Helvetica" w:cs="Helvetica"/>
                <w:color w:val="000000"/>
                <w:sz w:val="14"/>
                <w:szCs w:val="16"/>
                <w:lang w:val="es-CO" w:eastAsia="es-CO"/>
              </w:rPr>
              <w:t xml:space="preserve">18 </w:t>
            </w:r>
          </w:p>
        </w:tc>
        <w:tc>
          <w:tcPr>
            <w:tcW w:w="850" w:type="dxa"/>
            <w:tcBorders>
              <w:top w:val="nil"/>
              <w:left w:val="nil"/>
              <w:bottom w:val="single" w:sz="4" w:space="0" w:color="auto"/>
              <w:right w:val="single" w:sz="4" w:space="0" w:color="auto"/>
            </w:tcBorders>
            <w:shd w:val="clear" w:color="auto" w:fill="auto"/>
            <w:noWrap/>
            <w:vAlign w:val="center"/>
            <w:hideMark/>
          </w:tcPr>
          <w:p w14:paraId="422320DB"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128 </w:t>
            </w:r>
          </w:p>
        </w:tc>
        <w:tc>
          <w:tcPr>
            <w:tcW w:w="851" w:type="dxa"/>
            <w:tcBorders>
              <w:top w:val="nil"/>
              <w:left w:val="nil"/>
              <w:bottom w:val="single" w:sz="4" w:space="0" w:color="auto"/>
              <w:right w:val="single" w:sz="4" w:space="0" w:color="auto"/>
            </w:tcBorders>
            <w:shd w:val="clear" w:color="auto" w:fill="auto"/>
            <w:noWrap/>
            <w:vAlign w:val="center"/>
            <w:hideMark/>
          </w:tcPr>
          <w:p w14:paraId="58B0445A"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106 </w:t>
            </w:r>
          </w:p>
        </w:tc>
        <w:tc>
          <w:tcPr>
            <w:tcW w:w="850" w:type="dxa"/>
            <w:tcBorders>
              <w:top w:val="nil"/>
              <w:left w:val="nil"/>
              <w:bottom w:val="single" w:sz="4" w:space="0" w:color="auto"/>
              <w:right w:val="single" w:sz="4" w:space="0" w:color="auto"/>
            </w:tcBorders>
            <w:shd w:val="clear" w:color="auto" w:fill="auto"/>
            <w:noWrap/>
            <w:vAlign w:val="center"/>
            <w:hideMark/>
          </w:tcPr>
          <w:p w14:paraId="7D3B25E1"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22 </w:t>
            </w:r>
          </w:p>
        </w:tc>
        <w:tc>
          <w:tcPr>
            <w:tcW w:w="851" w:type="dxa"/>
            <w:tcBorders>
              <w:top w:val="nil"/>
              <w:left w:val="nil"/>
              <w:bottom w:val="single" w:sz="4" w:space="0" w:color="auto"/>
              <w:right w:val="single" w:sz="4" w:space="0" w:color="auto"/>
            </w:tcBorders>
            <w:shd w:val="clear" w:color="auto" w:fill="auto"/>
            <w:noWrap/>
            <w:vAlign w:val="bottom"/>
            <w:hideMark/>
          </w:tcPr>
          <w:p w14:paraId="61292C3C" w14:textId="77777777" w:rsidR="007F0586" w:rsidRPr="001B7E14" w:rsidRDefault="007F0586"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3</w:t>
            </w:r>
          </w:p>
        </w:tc>
        <w:tc>
          <w:tcPr>
            <w:tcW w:w="850" w:type="dxa"/>
            <w:tcBorders>
              <w:top w:val="nil"/>
              <w:left w:val="nil"/>
              <w:bottom w:val="single" w:sz="4" w:space="0" w:color="auto"/>
              <w:right w:val="single" w:sz="4" w:space="0" w:color="auto"/>
            </w:tcBorders>
            <w:shd w:val="clear" w:color="auto" w:fill="auto"/>
            <w:noWrap/>
            <w:vAlign w:val="bottom"/>
            <w:hideMark/>
          </w:tcPr>
          <w:p w14:paraId="0392F19C" w14:textId="77777777" w:rsidR="007F0586" w:rsidRPr="001B7E14" w:rsidRDefault="007F0586"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56</w:t>
            </w:r>
          </w:p>
        </w:tc>
        <w:tc>
          <w:tcPr>
            <w:tcW w:w="851" w:type="dxa"/>
            <w:tcBorders>
              <w:top w:val="nil"/>
              <w:left w:val="nil"/>
              <w:bottom w:val="single" w:sz="4" w:space="0" w:color="auto"/>
              <w:right w:val="single" w:sz="4" w:space="0" w:color="auto"/>
            </w:tcBorders>
            <w:shd w:val="clear" w:color="auto" w:fill="auto"/>
            <w:noWrap/>
            <w:vAlign w:val="center"/>
            <w:hideMark/>
          </w:tcPr>
          <w:p w14:paraId="374BB228" w14:textId="77777777" w:rsidR="007F0586" w:rsidRPr="001B7E14" w:rsidRDefault="007F0586"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w:t>
            </w:r>
            <w:r w:rsidR="00BB02B2" w:rsidRPr="001B7E14">
              <w:rPr>
                <w:rFonts w:ascii="Helvetica" w:eastAsia="Times New Roman" w:hAnsi="Helvetica" w:cs="Helvetica"/>
                <w:color w:val="000000"/>
                <w:sz w:val="14"/>
                <w:szCs w:val="16"/>
                <w:lang w:val="es-CO" w:eastAsia="es-CO"/>
              </w:rPr>
              <w:t xml:space="preserve"> </w:t>
            </w:r>
            <w:r w:rsidRPr="001B7E14">
              <w:rPr>
                <w:rFonts w:ascii="Helvetica" w:eastAsia="Times New Roman" w:hAnsi="Helvetica" w:cs="Helvetica"/>
                <w:color w:val="000000"/>
                <w:sz w:val="14"/>
                <w:szCs w:val="16"/>
                <w:lang w:val="es-CO" w:eastAsia="es-CO"/>
              </w:rPr>
              <w:t>53</w:t>
            </w:r>
          </w:p>
        </w:tc>
      </w:tr>
      <w:tr w:rsidR="00BB02B2" w:rsidRPr="001B7E14" w14:paraId="081915BD"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7F906E4" w14:textId="77777777" w:rsidR="007F0586" w:rsidRPr="001B7E14" w:rsidRDefault="007F0586" w:rsidP="007F0586">
            <w:pPr>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Recursos del balance</w:t>
            </w:r>
          </w:p>
        </w:tc>
        <w:tc>
          <w:tcPr>
            <w:tcW w:w="851" w:type="dxa"/>
            <w:tcBorders>
              <w:top w:val="nil"/>
              <w:left w:val="nil"/>
              <w:bottom w:val="single" w:sz="4" w:space="0" w:color="auto"/>
              <w:right w:val="single" w:sz="4" w:space="0" w:color="auto"/>
            </w:tcBorders>
            <w:shd w:val="clear" w:color="auto" w:fill="auto"/>
            <w:noWrap/>
            <w:vAlign w:val="center"/>
            <w:hideMark/>
          </w:tcPr>
          <w:p w14:paraId="078A2F60"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B48217B"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184 </w:t>
            </w:r>
          </w:p>
        </w:tc>
        <w:tc>
          <w:tcPr>
            <w:tcW w:w="851" w:type="dxa"/>
            <w:tcBorders>
              <w:top w:val="nil"/>
              <w:left w:val="nil"/>
              <w:bottom w:val="single" w:sz="4" w:space="0" w:color="auto"/>
              <w:right w:val="single" w:sz="4" w:space="0" w:color="auto"/>
            </w:tcBorders>
            <w:shd w:val="clear" w:color="auto" w:fill="auto"/>
            <w:noWrap/>
            <w:vAlign w:val="center"/>
            <w:hideMark/>
          </w:tcPr>
          <w:p w14:paraId="793960F1" w14:textId="77777777" w:rsidR="007F0586" w:rsidRPr="001B7E14" w:rsidRDefault="007F0586"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w:t>
            </w:r>
            <w:r w:rsidR="00BB02B2" w:rsidRPr="001B7E14">
              <w:rPr>
                <w:rFonts w:ascii="Helvetica" w:eastAsia="Times New Roman" w:hAnsi="Helvetica" w:cs="Helvetica"/>
                <w:color w:val="000000"/>
                <w:sz w:val="14"/>
                <w:szCs w:val="16"/>
                <w:lang w:val="es-CO" w:eastAsia="es-CO"/>
              </w:rPr>
              <w:t xml:space="preserve"> </w:t>
            </w:r>
            <w:r w:rsidRPr="001B7E14">
              <w:rPr>
                <w:rFonts w:ascii="Helvetica" w:eastAsia="Times New Roman" w:hAnsi="Helvetica" w:cs="Helvetica"/>
                <w:color w:val="000000"/>
                <w:sz w:val="14"/>
                <w:szCs w:val="16"/>
                <w:lang w:val="es-CO" w:eastAsia="es-CO"/>
              </w:rPr>
              <w:t xml:space="preserve">184 </w:t>
            </w:r>
          </w:p>
        </w:tc>
        <w:tc>
          <w:tcPr>
            <w:tcW w:w="850" w:type="dxa"/>
            <w:tcBorders>
              <w:top w:val="nil"/>
              <w:left w:val="nil"/>
              <w:bottom w:val="single" w:sz="4" w:space="0" w:color="auto"/>
              <w:right w:val="single" w:sz="4" w:space="0" w:color="auto"/>
            </w:tcBorders>
            <w:shd w:val="clear" w:color="auto" w:fill="auto"/>
            <w:noWrap/>
            <w:vAlign w:val="center"/>
            <w:hideMark/>
          </w:tcPr>
          <w:p w14:paraId="29490805"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546 </w:t>
            </w:r>
          </w:p>
        </w:tc>
        <w:tc>
          <w:tcPr>
            <w:tcW w:w="851" w:type="dxa"/>
            <w:tcBorders>
              <w:top w:val="nil"/>
              <w:left w:val="nil"/>
              <w:bottom w:val="single" w:sz="4" w:space="0" w:color="auto"/>
              <w:right w:val="single" w:sz="4" w:space="0" w:color="auto"/>
            </w:tcBorders>
            <w:shd w:val="clear" w:color="auto" w:fill="auto"/>
            <w:noWrap/>
            <w:vAlign w:val="center"/>
            <w:hideMark/>
          </w:tcPr>
          <w:p w14:paraId="71C57511"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363 </w:t>
            </w:r>
          </w:p>
        </w:tc>
        <w:tc>
          <w:tcPr>
            <w:tcW w:w="850" w:type="dxa"/>
            <w:tcBorders>
              <w:top w:val="nil"/>
              <w:left w:val="nil"/>
              <w:bottom w:val="single" w:sz="4" w:space="0" w:color="auto"/>
              <w:right w:val="single" w:sz="4" w:space="0" w:color="auto"/>
            </w:tcBorders>
            <w:shd w:val="clear" w:color="auto" w:fill="auto"/>
            <w:noWrap/>
            <w:vAlign w:val="center"/>
            <w:hideMark/>
          </w:tcPr>
          <w:p w14:paraId="3F28F16E"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182 </w:t>
            </w:r>
          </w:p>
        </w:tc>
        <w:tc>
          <w:tcPr>
            <w:tcW w:w="851" w:type="dxa"/>
            <w:tcBorders>
              <w:top w:val="nil"/>
              <w:left w:val="nil"/>
              <w:bottom w:val="single" w:sz="4" w:space="0" w:color="auto"/>
              <w:right w:val="single" w:sz="4" w:space="0" w:color="auto"/>
            </w:tcBorders>
            <w:shd w:val="clear" w:color="auto" w:fill="auto"/>
            <w:noWrap/>
            <w:vAlign w:val="bottom"/>
            <w:hideMark/>
          </w:tcPr>
          <w:p w14:paraId="20C2E44D" w14:textId="77777777" w:rsidR="007F0586" w:rsidRPr="001B7E14" w:rsidRDefault="007F0586"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255</w:t>
            </w:r>
          </w:p>
        </w:tc>
        <w:tc>
          <w:tcPr>
            <w:tcW w:w="850" w:type="dxa"/>
            <w:tcBorders>
              <w:top w:val="nil"/>
              <w:left w:val="nil"/>
              <w:bottom w:val="single" w:sz="4" w:space="0" w:color="auto"/>
              <w:right w:val="single" w:sz="4" w:space="0" w:color="auto"/>
            </w:tcBorders>
            <w:shd w:val="clear" w:color="auto" w:fill="auto"/>
            <w:noWrap/>
            <w:vAlign w:val="center"/>
            <w:hideMark/>
          </w:tcPr>
          <w:p w14:paraId="6FBD218E" w14:textId="77777777" w:rsidR="007F0586" w:rsidRPr="001B7E14" w:rsidRDefault="007F0586"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w:t>
            </w:r>
          </w:p>
        </w:tc>
        <w:tc>
          <w:tcPr>
            <w:tcW w:w="851" w:type="dxa"/>
            <w:tcBorders>
              <w:top w:val="nil"/>
              <w:left w:val="nil"/>
              <w:bottom w:val="single" w:sz="4" w:space="0" w:color="auto"/>
              <w:right w:val="single" w:sz="4" w:space="0" w:color="auto"/>
            </w:tcBorders>
            <w:shd w:val="clear" w:color="auto" w:fill="auto"/>
            <w:noWrap/>
            <w:vAlign w:val="center"/>
            <w:hideMark/>
          </w:tcPr>
          <w:p w14:paraId="45BD3EA5" w14:textId="77777777" w:rsidR="007F0586" w:rsidRPr="001B7E14" w:rsidRDefault="007F0586"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255</w:t>
            </w:r>
          </w:p>
        </w:tc>
      </w:tr>
      <w:tr w:rsidR="00BB02B2" w:rsidRPr="001B7E14" w14:paraId="7CBC3E32"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563A650" w14:textId="77777777" w:rsidR="007F0586" w:rsidRPr="001B7E14" w:rsidRDefault="007F0586" w:rsidP="007F0586">
            <w:pPr>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Cancelación de reservas</w:t>
            </w:r>
          </w:p>
        </w:tc>
        <w:tc>
          <w:tcPr>
            <w:tcW w:w="851" w:type="dxa"/>
            <w:tcBorders>
              <w:top w:val="nil"/>
              <w:left w:val="nil"/>
              <w:bottom w:val="single" w:sz="4" w:space="0" w:color="auto"/>
              <w:right w:val="single" w:sz="4" w:space="0" w:color="auto"/>
            </w:tcBorders>
            <w:shd w:val="clear" w:color="auto" w:fill="auto"/>
            <w:noWrap/>
            <w:vAlign w:val="center"/>
            <w:hideMark/>
          </w:tcPr>
          <w:p w14:paraId="1AF01CD0"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88E1190"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4D44650E"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3E59636"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29C08470"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9A588F7"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3E844220" w14:textId="77777777" w:rsidR="007F0586" w:rsidRPr="001B7E14" w:rsidRDefault="007F0586"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w:t>
            </w:r>
          </w:p>
        </w:tc>
        <w:tc>
          <w:tcPr>
            <w:tcW w:w="850" w:type="dxa"/>
            <w:tcBorders>
              <w:top w:val="nil"/>
              <w:left w:val="nil"/>
              <w:bottom w:val="single" w:sz="4" w:space="0" w:color="auto"/>
              <w:right w:val="single" w:sz="4" w:space="0" w:color="auto"/>
            </w:tcBorders>
            <w:shd w:val="clear" w:color="auto" w:fill="auto"/>
            <w:noWrap/>
            <w:vAlign w:val="center"/>
            <w:hideMark/>
          </w:tcPr>
          <w:p w14:paraId="72E989A8" w14:textId="77777777" w:rsidR="007F0586" w:rsidRPr="001B7E14" w:rsidRDefault="007F0586"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w:t>
            </w:r>
          </w:p>
        </w:tc>
        <w:tc>
          <w:tcPr>
            <w:tcW w:w="851" w:type="dxa"/>
            <w:tcBorders>
              <w:top w:val="nil"/>
              <w:left w:val="nil"/>
              <w:bottom w:val="single" w:sz="4" w:space="0" w:color="auto"/>
              <w:right w:val="single" w:sz="4" w:space="0" w:color="auto"/>
            </w:tcBorders>
            <w:shd w:val="clear" w:color="auto" w:fill="auto"/>
            <w:noWrap/>
            <w:vAlign w:val="center"/>
            <w:hideMark/>
          </w:tcPr>
          <w:p w14:paraId="0452EF8A" w14:textId="77777777" w:rsidR="007F0586" w:rsidRPr="001B7E14" w:rsidRDefault="007F0586"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w:t>
            </w:r>
          </w:p>
        </w:tc>
      </w:tr>
      <w:tr w:rsidR="00BB02B2" w:rsidRPr="001B7E14" w14:paraId="4D7E719C"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CAB05CA" w14:textId="77777777" w:rsidR="007F0586" w:rsidRPr="001B7E14" w:rsidRDefault="007F0586" w:rsidP="007F0586">
            <w:pPr>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Reintegros Calidad Matrícula</w:t>
            </w:r>
          </w:p>
        </w:tc>
        <w:tc>
          <w:tcPr>
            <w:tcW w:w="851" w:type="dxa"/>
            <w:tcBorders>
              <w:top w:val="nil"/>
              <w:left w:val="nil"/>
              <w:bottom w:val="single" w:sz="4" w:space="0" w:color="auto"/>
              <w:right w:val="single" w:sz="4" w:space="0" w:color="auto"/>
            </w:tcBorders>
            <w:shd w:val="clear" w:color="auto" w:fill="auto"/>
            <w:noWrap/>
            <w:vAlign w:val="center"/>
            <w:hideMark/>
          </w:tcPr>
          <w:p w14:paraId="2809F984"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1B5FC58"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5D9E8912"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5FD4DDC"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1A0ADFE"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C3F9E2D"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7FA3E0F6" w14:textId="77777777" w:rsidR="007F0586" w:rsidRPr="001B7E14" w:rsidRDefault="007F0586"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w:t>
            </w:r>
          </w:p>
        </w:tc>
        <w:tc>
          <w:tcPr>
            <w:tcW w:w="850" w:type="dxa"/>
            <w:tcBorders>
              <w:top w:val="nil"/>
              <w:left w:val="nil"/>
              <w:bottom w:val="single" w:sz="4" w:space="0" w:color="auto"/>
              <w:right w:val="single" w:sz="4" w:space="0" w:color="auto"/>
            </w:tcBorders>
            <w:shd w:val="clear" w:color="auto" w:fill="auto"/>
            <w:noWrap/>
            <w:vAlign w:val="bottom"/>
            <w:hideMark/>
          </w:tcPr>
          <w:p w14:paraId="4CFA470C" w14:textId="77777777" w:rsidR="007F0586" w:rsidRPr="001B7E14" w:rsidRDefault="007F0586"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44</w:t>
            </w:r>
          </w:p>
        </w:tc>
        <w:tc>
          <w:tcPr>
            <w:tcW w:w="851" w:type="dxa"/>
            <w:tcBorders>
              <w:top w:val="nil"/>
              <w:left w:val="nil"/>
              <w:bottom w:val="single" w:sz="4" w:space="0" w:color="auto"/>
              <w:right w:val="single" w:sz="4" w:space="0" w:color="auto"/>
            </w:tcBorders>
            <w:shd w:val="clear" w:color="auto" w:fill="auto"/>
            <w:noWrap/>
            <w:vAlign w:val="center"/>
            <w:hideMark/>
          </w:tcPr>
          <w:p w14:paraId="38847B64" w14:textId="77777777" w:rsidR="007F0586" w:rsidRPr="001B7E14" w:rsidRDefault="007F0586"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w:t>
            </w:r>
            <w:r w:rsidR="00BB02B2" w:rsidRPr="001B7E14">
              <w:rPr>
                <w:rFonts w:ascii="Helvetica" w:eastAsia="Times New Roman" w:hAnsi="Helvetica" w:cs="Helvetica"/>
                <w:color w:val="000000"/>
                <w:sz w:val="14"/>
                <w:szCs w:val="16"/>
                <w:lang w:val="es-CO" w:eastAsia="es-CO"/>
              </w:rPr>
              <w:t xml:space="preserve"> </w:t>
            </w:r>
            <w:r w:rsidRPr="001B7E14">
              <w:rPr>
                <w:rFonts w:ascii="Helvetica" w:eastAsia="Times New Roman" w:hAnsi="Helvetica" w:cs="Helvetica"/>
                <w:color w:val="000000"/>
                <w:sz w:val="14"/>
                <w:szCs w:val="16"/>
                <w:lang w:val="es-CO" w:eastAsia="es-CO"/>
              </w:rPr>
              <w:t>44</w:t>
            </w:r>
          </w:p>
        </w:tc>
      </w:tr>
      <w:tr w:rsidR="00BB02B2" w:rsidRPr="001B7E14" w14:paraId="598CE9F0"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6D9560D" w14:textId="77777777" w:rsidR="007F0586" w:rsidRPr="001B7E14" w:rsidRDefault="007F0586" w:rsidP="007F0586">
            <w:pPr>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Calidad Gratuidad SSF</w:t>
            </w:r>
          </w:p>
        </w:tc>
        <w:tc>
          <w:tcPr>
            <w:tcW w:w="851" w:type="dxa"/>
            <w:tcBorders>
              <w:top w:val="nil"/>
              <w:left w:val="nil"/>
              <w:bottom w:val="single" w:sz="4" w:space="0" w:color="auto"/>
              <w:right w:val="single" w:sz="4" w:space="0" w:color="auto"/>
            </w:tcBorders>
            <w:shd w:val="clear" w:color="auto" w:fill="auto"/>
            <w:noWrap/>
            <w:vAlign w:val="center"/>
            <w:hideMark/>
          </w:tcPr>
          <w:p w14:paraId="5AC6E52C"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105 </w:t>
            </w:r>
          </w:p>
        </w:tc>
        <w:tc>
          <w:tcPr>
            <w:tcW w:w="850" w:type="dxa"/>
            <w:tcBorders>
              <w:top w:val="nil"/>
              <w:left w:val="nil"/>
              <w:bottom w:val="single" w:sz="4" w:space="0" w:color="auto"/>
              <w:right w:val="single" w:sz="4" w:space="0" w:color="auto"/>
            </w:tcBorders>
            <w:shd w:val="clear" w:color="auto" w:fill="auto"/>
            <w:noWrap/>
            <w:vAlign w:val="center"/>
            <w:hideMark/>
          </w:tcPr>
          <w:p w14:paraId="1B52A885"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105 </w:t>
            </w:r>
          </w:p>
        </w:tc>
        <w:tc>
          <w:tcPr>
            <w:tcW w:w="851" w:type="dxa"/>
            <w:tcBorders>
              <w:top w:val="nil"/>
              <w:left w:val="nil"/>
              <w:bottom w:val="single" w:sz="4" w:space="0" w:color="auto"/>
              <w:right w:val="single" w:sz="4" w:space="0" w:color="auto"/>
            </w:tcBorders>
            <w:shd w:val="clear" w:color="auto" w:fill="auto"/>
            <w:noWrap/>
            <w:vAlign w:val="center"/>
            <w:hideMark/>
          </w:tcPr>
          <w:p w14:paraId="4D17C07F"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3409B3C"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41 </w:t>
            </w:r>
          </w:p>
        </w:tc>
        <w:tc>
          <w:tcPr>
            <w:tcW w:w="851" w:type="dxa"/>
            <w:tcBorders>
              <w:top w:val="nil"/>
              <w:left w:val="nil"/>
              <w:bottom w:val="single" w:sz="4" w:space="0" w:color="auto"/>
              <w:right w:val="single" w:sz="4" w:space="0" w:color="auto"/>
            </w:tcBorders>
            <w:shd w:val="clear" w:color="auto" w:fill="auto"/>
            <w:noWrap/>
            <w:vAlign w:val="center"/>
            <w:hideMark/>
          </w:tcPr>
          <w:p w14:paraId="00901123"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41 </w:t>
            </w:r>
          </w:p>
        </w:tc>
        <w:tc>
          <w:tcPr>
            <w:tcW w:w="850" w:type="dxa"/>
            <w:tcBorders>
              <w:top w:val="nil"/>
              <w:left w:val="nil"/>
              <w:bottom w:val="single" w:sz="4" w:space="0" w:color="auto"/>
              <w:right w:val="single" w:sz="4" w:space="0" w:color="auto"/>
            </w:tcBorders>
            <w:shd w:val="clear" w:color="auto" w:fill="auto"/>
            <w:noWrap/>
            <w:vAlign w:val="center"/>
            <w:hideMark/>
          </w:tcPr>
          <w:p w14:paraId="31EE1201"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1535833D" w14:textId="77777777" w:rsidR="007F0586" w:rsidRPr="001B7E14" w:rsidRDefault="007F0586"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132</w:t>
            </w:r>
          </w:p>
        </w:tc>
        <w:tc>
          <w:tcPr>
            <w:tcW w:w="850" w:type="dxa"/>
            <w:tcBorders>
              <w:top w:val="nil"/>
              <w:left w:val="nil"/>
              <w:bottom w:val="single" w:sz="4" w:space="0" w:color="auto"/>
              <w:right w:val="single" w:sz="4" w:space="0" w:color="auto"/>
            </w:tcBorders>
            <w:shd w:val="clear" w:color="auto" w:fill="auto"/>
            <w:noWrap/>
            <w:vAlign w:val="bottom"/>
            <w:hideMark/>
          </w:tcPr>
          <w:p w14:paraId="40F87617" w14:textId="77777777" w:rsidR="007F0586" w:rsidRPr="001B7E14" w:rsidRDefault="007F0586"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132</w:t>
            </w:r>
          </w:p>
        </w:tc>
        <w:tc>
          <w:tcPr>
            <w:tcW w:w="851" w:type="dxa"/>
            <w:tcBorders>
              <w:top w:val="nil"/>
              <w:left w:val="nil"/>
              <w:bottom w:val="single" w:sz="4" w:space="0" w:color="auto"/>
              <w:right w:val="single" w:sz="4" w:space="0" w:color="auto"/>
            </w:tcBorders>
            <w:shd w:val="clear" w:color="auto" w:fill="auto"/>
            <w:noWrap/>
            <w:vAlign w:val="center"/>
            <w:hideMark/>
          </w:tcPr>
          <w:p w14:paraId="16D73806" w14:textId="77777777" w:rsidR="007F0586" w:rsidRPr="001B7E14" w:rsidRDefault="007F0586"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w:t>
            </w:r>
          </w:p>
        </w:tc>
      </w:tr>
      <w:tr w:rsidR="00BB02B2" w:rsidRPr="001B7E14" w14:paraId="315940F4"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000000" w:fill="9BC2E6"/>
            <w:noWrap/>
            <w:vAlign w:val="center"/>
            <w:hideMark/>
          </w:tcPr>
          <w:p w14:paraId="0DF77907" w14:textId="77777777" w:rsidR="007F0586" w:rsidRPr="001B7E14" w:rsidRDefault="007F0586" w:rsidP="007F0586">
            <w:pPr>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TOTAL CALIDAD</w:t>
            </w:r>
          </w:p>
        </w:tc>
        <w:tc>
          <w:tcPr>
            <w:tcW w:w="851" w:type="dxa"/>
            <w:tcBorders>
              <w:top w:val="nil"/>
              <w:left w:val="nil"/>
              <w:bottom w:val="single" w:sz="4" w:space="0" w:color="auto"/>
              <w:right w:val="single" w:sz="4" w:space="0" w:color="auto"/>
            </w:tcBorders>
            <w:shd w:val="clear" w:color="000000" w:fill="9BC2E6"/>
            <w:noWrap/>
            <w:vAlign w:val="center"/>
            <w:hideMark/>
          </w:tcPr>
          <w:p w14:paraId="69EAB70A"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678 </w:t>
            </w:r>
          </w:p>
        </w:tc>
        <w:tc>
          <w:tcPr>
            <w:tcW w:w="850" w:type="dxa"/>
            <w:tcBorders>
              <w:top w:val="nil"/>
              <w:left w:val="nil"/>
              <w:bottom w:val="single" w:sz="4" w:space="0" w:color="auto"/>
              <w:right w:val="single" w:sz="4" w:space="0" w:color="auto"/>
            </w:tcBorders>
            <w:shd w:val="clear" w:color="000000" w:fill="9BC2E6"/>
            <w:noWrap/>
            <w:vAlign w:val="center"/>
            <w:hideMark/>
          </w:tcPr>
          <w:p w14:paraId="6C7CEEFE"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677 </w:t>
            </w:r>
          </w:p>
        </w:tc>
        <w:tc>
          <w:tcPr>
            <w:tcW w:w="851" w:type="dxa"/>
            <w:tcBorders>
              <w:top w:val="nil"/>
              <w:left w:val="nil"/>
              <w:bottom w:val="single" w:sz="4" w:space="0" w:color="auto"/>
              <w:right w:val="single" w:sz="4" w:space="0" w:color="auto"/>
            </w:tcBorders>
            <w:shd w:val="clear" w:color="000000" w:fill="9BC2E6"/>
            <w:noWrap/>
            <w:vAlign w:val="center"/>
            <w:hideMark/>
          </w:tcPr>
          <w:p w14:paraId="0FE989DA"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1 </w:t>
            </w:r>
          </w:p>
        </w:tc>
        <w:tc>
          <w:tcPr>
            <w:tcW w:w="850" w:type="dxa"/>
            <w:tcBorders>
              <w:top w:val="nil"/>
              <w:left w:val="nil"/>
              <w:bottom w:val="single" w:sz="4" w:space="0" w:color="auto"/>
              <w:right w:val="single" w:sz="4" w:space="0" w:color="auto"/>
            </w:tcBorders>
            <w:shd w:val="clear" w:color="000000" w:fill="9BC2E6"/>
            <w:noWrap/>
            <w:vAlign w:val="center"/>
            <w:hideMark/>
          </w:tcPr>
          <w:p w14:paraId="0D5A222D"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1.093 </w:t>
            </w:r>
          </w:p>
        </w:tc>
        <w:tc>
          <w:tcPr>
            <w:tcW w:w="851" w:type="dxa"/>
            <w:tcBorders>
              <w:top w:val="nil"/>
              <w:left w:val="nil"/>
              <w:bottom w:val="single" w:sz="4" w:space="0" w:color="auto"/>
              <w:right w:val="single" w:sz="4" w:space="0" w:color="auto"/>
            </w:tcBorders>
            <w:shd w:val="clear" w:color="000000" w:fill="9BC2E6"/>
            <w:noWrap/>
            <w:vAlign w:val="center"/>
            <w:hideMark/>
          </w:tcPr>
          <w:p w14:paraId="55DDD1BE"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852 </w:t>
            </w:r>
          </w:p>
        </w:tc>
        <w:tc>
          <w:tcPr>
            <w:tcW w:w="850" w:type="dxa"/>
            <w:tcBorders>
              <w:top w:val="nil"/>
              <w:left w:val="nil"/>
              <w:bottom w:val="single" w:sz="4" w:space="0" w:color="auto"/>
              <w:right w:val="single" w:sz="4" w:space="0" w:color="auto"/>
            </w:tcBorders>
            <w:shd w:val="clear" w:color="000000" w:fill="9BC2E6"/>
            <w:noWrap/>
            <w:vAlign w:val="center"/>
            <w:hideMark/>
          </w:tcPr>
          <w:p w14:paraId="39C4451C"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242 </w:t>
            </w:r>
          </w:p>
        </w:tc>
        <w:tc>
          <w:tcPr>
            <w:tcW w:w="851" w:type="dxa"/>
            <w:tcBorders>
              <w:top w:val="nil"/>
              <w:left w:val="nil"/>
              <w:bottom w:val="single" w:sz="4" w:space="0" w:color="auto"/>
              <w:right w:val="single" w:sz="4" w:space="0" w:color="auto"/>
            </w:tcBorders>
            <w:shd w:val="clear" w:color="000000" w:fill="9BC2E6"/>
            <w:noWrap/>
            <w:vAlign w:val="center"/>
            <w:hideMark/>
          </w:tcPr>
          <w:p w14:paraId="399C09E8"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832 </w:t>
            </w:r>
          </w:p>
        </w:tc>
        <w:tc>
          <w:tcPr>
            <w:tcW w:w="850" w:type="dxa"/>
            <w:tcBorders>
              <w:top w:val="nil"/>
              <w:left w:val="nil"/>
              <w:bottom w:val="single" w:sz="4" w:space="0" w:color="auto"/>
              <w:right w:val="single" w:sz="4" w:space="0" w:color="auto"/>
            </w:tcBorders>
            <w:shd w:val="clear" w:color="000000" w:fill="9BC2E6"/>
            <w:noWrap/>
            <w:vAlign w:val="center"/>
            <w:hideMark/>
          </w:tcPr>
          <w:p w14:paraId="3234CEBE"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231 </w:t>
            </w:r>
          </w:p>
        </w:tc>
        <w:tc>
          <w:tcPr>
            <w:tcW w:w="851" w:type="dxa"/>
            <w:tcBorders>
              <w:top w:val="nil"/>
              <w:left w:val="nil"/>
              <w:bottom w:val="single" w:sz="4" w:space="0" w:color="auto"/>
              <w:right w:val="single" w:sz="4" w:space="0" w:color="auto"/>
            </w:tcBorders>
            <w:shd w:val="clear" w:color="000000" w:fill="9BC2E6"/>
            <w:noWrap/>
            <w:vAlign w:val="center"/>
            <w:hideMark/>
          </w:tcPr>
          <w:p w14:paraId="2EEC111D"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601 </w:t>
            </w:r>
          </w:p>
        </w:tc>
      </w:tr>
      <w:tr w:rsidR="00BB02B2" w:rsidRPr="001B7E14" w14:paraId="1035A4DE"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000000" w:fill="9BC2E6"/>
            <w:noWrap/>
            <w:vAlign w:val="center"/>
            <w:hideMark/>
          </w:tcPr>
          <w:p w14:paraId="481DAC0E" w14:textId="77777777" w:rsidR="007F0586" w:rsidRPr="001B7E14" w:rsidRDefault="007F0586" w:rsidP="007F0586">
            <w:pPr>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lastRenderedPageBreak/>
              <w:t>TESORERÍA CALIDAD MATRÍCULA</w:t>
            </w:r>
          </w:p>
        </w:tc>
        <w:tc>
          <w:tcPr>
            <w:tcW w:w="2552" w:type="dxa"/>
            <w:gridSpan w:val="3"/>
            <w:tcBorders>
              <w:top w:val="single" w:sz="4" w:space="0" w:color="auto"/>
              <w:left w:val="nil"/>
              <w:bottom w:val="single" w:sz="4" w:space="0" w:color="auto"/>
              <w:right w:val="single" w:sz="4" w:space="0" w:color="auto"/>
            </w:tcBorders>
            <w:shd w:val="clear" w:color="000000" w:fill="9BC2E6"/>
            <w:noWrap/>
            <w:vAlign w:val="center"/>
            <w:hideMark/>
          </w:tcPr>
          <w:p w14:paraId="355E5FA4" w14:textId="77777777" w:rsidR="007F0586" w:rsidRPr="001B7E14" w:rsidRDefault="00BB02B2" w:rsidP="00A905BC">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547 </w:t>
            </w:r>
          </w:p>
        </w:tc>
        <w:tc>
          <w:tcPr>
            <w:tcW w:w="2551" w:type="dxa"/>
            <w:gridSpan w:val="3"/>
            <w:tcBorders>
              <w:top w:val="single" w:sz="4" w:space="0" w:color="auto"/>
              <w:left w:val="nil"/>
              <w:bottom w:val="single" w:sz="4" w:space="0" w:color="auto"/>
              <w:right w:val="single" w:sz="4" w:space="0" w:color="auto"/>
            </w:tcBorders>
            <w:shd w:val="clear" w:color="000000" w:fill="9BC2E6"/>
            <w:noWrap/>
            <w:vAlign w:val="center"/>
            <w:hideMark/>
          </w:tcPr>
          <w:p w14:paraId="0087E628" w14:textId="77777777" w:rsidR="007F0586" w:rsidRPr="001B7E14" w:rsidRDefault="007F0586" w:rsidP="00A905BC">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373</w:t>
            </w:r>
          </w:p>
        </w:tc>
        <w:tc>
          <w:tcPr>
            <w:tcW w:w="2552" w:type="dxa"/>
            <w:gridSpan w:val="3"/>
            <w:tcBorders>
              <w:top w:val="single" w:sz="4" w:space="0" w:color="auto"/>
              <w:left w:val="nil"/>
              <w:bottom w:val="single" w:sz="4" w:space="0" w:color="auto"/>
              <w:right w:val="single" w:sz="4" w:space="0" w:color="auto"/>
            </w:tcBorders>
            <w:shd w:val="clear" w:color="000000" w:fill="9BC2E6"/>
            <w:noWrap/>
            <w:vAlign w:val="center"/>
            <w:hideMark/>
          </w:tcPr>
          <w:p w14:paraId="78953C42" w14:textId="77777777" w:rsidR="007F0586" w:rsidRPr="001B7E14" w:rsidRDefault="00D92D80" w:rsidP="00A905BC">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470</w:t>
            </w:r>
            <w:r w:rsidR="007F0586" w:rsidRPr="001B7E14">
              <w:rPr>
                <w:rFonts w:ascii="Helvetica" w:eastAsia="Times New Roman" w:hAnsi="Helvetica" w:cs="Helvetica"/>
                <w:b/>
                <w:bCs/>
                <w:color w:val="000000"/>
                <w:sz w:val="14"/>
                <w:szCs w:val="16"/>
                <w:lang w:val="es-CO" w:eastAsia="es-CO"/>
              </w:rPr>
              <w:t xml:space="preserve"> </w:t>
            </w:r>
          </w:p>
        </w:tc>
      </w:tr>
      <w:tr w:rsidR="00BB02B2" w:rsidRPr="001B7E14" w14:paraId="0225FB03"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000000" w:fill="9BC2E6"/>
            <w:noWrap/>
            <w:vAlign w:val="center"/>
            <w:hideMark/>
          </w:tcPr>
          <w:p w14:paraId="7502A572" w14:textId="77777777" w:rsidR="007F0586" w:rsidRPr="001B7E14" w:rsidRDefault="007F0586" w:rsidP="007F0586">
            <w:pPr>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DIFERENCIA CON TESORERÍA</w:t>
            </w:r>
          </w:p>
        </w:tc>
        <w:tc>
          <w:tcPr>
            <w:tcW w:w="2552" w:type="dxa"/>
            <w:gridSpan w:val="3"/>
            <w:tcBorders>
              <w:top w:val="single" w:sz="4" w:space="0" w:color="auto"/>
              <w:left w:val="nil"/>
              <w:bottom w:val="single" w:sz="4" w:space="0" w:color="auto"/>
              <w:right w:val="single" w:sz="4" w:space="0" w:color="auto"/>
            </w:tcBorders>
            <w:shd w:val="clear" w:color="000000" w:fill="9BC2E6"/>
            <w:noWrap/>
            <w:vAlign w:val="center"/>
            <w:hideMark/>
          </w:tcPr>
          <w:p w14:paraId="01920D97" w14:textId="77777777" w:rsidR="007F0586" w:rsidRPr="001B7E14" w:rsidRDefault="007F0586" w:rsidP="00A905BC">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w:t>
            </w:r>
            <w:r w:rsidR="00BB02B2" w:rsidRPr="001B7E14">
              <w:rPr>
                <w:rFonts w:ascii="Helvetica" w:eastAsia="Times New Roman" w:hAnsi="Helvetica" w:cs="Helvetica"/>
                <w:b/>
                <w:bCs/>
                <w:color w:val="000000"/>
                <w:sz w:val="14"/>
                <w:szCs w:val="16"/>
                <w:lang w:val="es-CO" w:eastAsia="es-CO"/>
              </w:rPr>
              <w:t xml:space="preserve"> </w:t>
            </w:r>
            <w:r w:rsidRPr="001B7E14">
              <w:rPr>
                <w:rFonts w:ascii="Helvetica" w:eastAsia="Times New Roman" w:hAnsi="Helvetica" w:cs="Helvetica"/>
                <w:b/>
                <w:bCs/>
                <w:color w:val="000000"/>
                <w:sz w:val="14"/>
                <w:szCs w:val="16"/>
                <w:lang w:val="es-CO" w:eastAsia="es-CO"/>
              </w:rPr>
              <w:t xml:space="preserve">546 </w:t>
            </w:r>
          </w:p>
        </w:tc>
        <w:tc>
          <w:tcPr>
            <w:tcW w:w="2551" w:type="dxa"/>
            <w:gridSpan w:val="3"/>
            <w:tcBorders>
              <w:top w:val="single" w:sz="4" w:space="0" w:color="auto"/>
              <w:left w:val="nil"/>
              <w:bottom w:val="single" w:sz="4" w:space="0" w:color="auto"/>
              <w:right w:val="single" w:sz="4" w:space="0" w:color="auto"/>
            </w:tcBorders>
            <w:shd w:val="clear" w:color="000000" w:fill="9BC2E6"/>
            <w:noWrap/>
            <w:vAlign w:val="center"/>
            <w:hideMark/>
          </w:tcPr>
          <w:p w14:paraId="5B20010B" w14:textId="77777777" w:rsidR="007F0586" w:rsidRPr="001B7E14" w:rsidRDefault="007F0586" w:rsidP="00A905BC">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w:t>
            </w:r>
            <w:r w:rsidR="00BB02B2" w:rsidRPr="001B7E14">
              <w:rPr>
                <w:rFonts w:ascii="Helvetica" w:eastAsia="Times New Roman" w:hAnsi="Helvetica" w:cs="Helvetica"/>
                <w:b/>
                <w:bCs/>
                <w:color w:val="000000"/>
                <w:sz w:val="14"/>
                <w:szCs w:val="16"/>
                <w:lang w:val="es-CO" w:eastAsia="es-CO"/>
              </w:rPr>
              <w:t xml:space="preserve"> </w:t>
            </w:r>
            <w:r w:rsidRPr="001B7E14">
              <w:rPr>
                <w:rFonts w:ascii="Helvetica" w:eastAsia="Times New Roman" w:hAnsi="Helvetica" w:cs="Helvetica"/>
                <w:b/>
                <w:bCs/>
                <w:color w:val="000000"/>
                <w:sz w:val="14"/>
                <w:szCs w:val="16"/>
                <w:lang w:val="es-CO" w:eastAsia="es-CO"/>
              </w:rPr>
              <w:t xml:space="preserve">132 </w:t>
            </w:r>
          </w:p>
        </w:tc>
        <w:tc>
          <w:tcPr>
            <w:tcW w:w="2552" w:type="dxa"/>
            <w:gridSpan w:val="3"/>
            <w:tcBorders>
              <w:top w:val="single" w:sz="4" w:space="0" w:color="auto"/>
              <w:left w:val="nil"/>
              <w:bottom w:val="single" w:sz="4" w:space="0" w:color="auto"/>
              <w:right w:val="single" w:sz="4" w:space="0" w:color="auto"/>
            </w:tcBorders>
            <w:shd w:val="clear" w:color="000000" w:fill="9BC2E6"/>
            <w:noWrap/>
            <w:vAlign w:val="center"/>
            <w:hideMark/>
          </w:tcPr>
          <w:p w14:paraId="75D4DCC2" w14:textId="77777777" w:rsidR="007F0586" w:rsidRPr="001B7E14" w:rsidRDefault="007F0586" w:rsidP="00A905BC">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w:t>
            </w:r>
            <w:r w:rsidR="00BB02B2" w:rsidRPr="001B7E14">
              <w:rPr>
                <w:rFonts w:ascii="Helvetica" w:eastAsia="Times New Roman" w:hAnsi="Helvetica" w:cs="Helvetica"/>
                <w:b/>
                <w:bCs/>
                <w:color w:val="000000"/>
                <w:sz w:val="14"/>
                <w:szCs w:val="16"/>
                <w:lang w:val="es-CO" w:eastAsia="es-CO"/>
              </w:rPr>
              <w:t xml:space="preserve"> </w:t>
            </w:r>
            <w:r w:rsidRPr="001B7E14">
              <w:rPr>
                <w:rFonts w:ascii="Helvetica" w:eastAsia="Times New Roman" w:hAnsi="Helvetica" w:cs="Helvetica"/>
                <w:b/>
                <w:bCs/>
                <w:color w:val="000000"/>
                <w:sz w:val="14"/>
                <w:szCs w:val="16"/>
                <w:lang w:val="es-CO" w:eastAsia="es-CO"/>
              </w:rPr>
              <w:t xml:space="preserve">810 </w:t>
            </w:r>
          </w:p>
        </w:tc>
      </w:tr>
      <w:tr w:rsidR="00BB02B2" w:rsidRPr="001B7E14" w14:paraId="71920182"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61B5160" w14:textId="77777777" w:rsidR="007F0586" w:rsidRPr="001B7E14" w:rsidRDefault="007F0586" w:rsidP="007F0586">
            <w:pPr>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Cancelaciones</w:t>
            </w:r>
          </w:p>
        </w:tc>
        <w:tc>
          <w:tcPr>
            <w:tcW w:w="851" w:type="dxa"/>
            <w:tcBorders>
              <w:top w:val="nil"/>
              <w:left w:val="nil"/>
              <w:bottom w:val="single" w:sz="4" w:space="0" w:color="auto"/>
              <w:right w:val="single" w:sz="4" w:space="0" w:color="auto"/>
            </w:tcBorders>
            <w:shd w:val="clear" w:color="auto" w:fill="auto"/>
            <w:noWrap/>
            <w:vAlign w:val="center"/>
            <w:hideMark/>
          </w:tcPr>
          <w:p w14:paraId="610D7497"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217 </w:t>
            </w:r>
          </w:p>
        </w:tc>
        <w:tc>
          <w:tcPr>
            <w:tcW w:w="850" w:type="dxa"/>
            <w:tcBorders>
              <w:top w:val="nil"/>
              <w:left w:val="nil"/>
              <w:bottom w:val="single" w:sz="4" w:space="0" w:color="auto"/>
              <w:right w:val="single" w:sz="4" w:space="0" w:color="auto"/>
            </w:tcBorders>
            <w:shd w:val="clear" w:color="auto" w:fill="auto"/>
            <w:noWrap/>
            <w:vAlign w:val="center"/>
            <w:hideMark/>
          </w:tcPr>
          <w:p w14:paraId="5C3EB5D6"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196 </w:t>
            </w:r>
          </w:p>
        </w:tc>
        <w:tc>
          <w:tcPr>
            <w:tcW w:w="851" w:type="dxa"/>
            <w:tcBorders>
              <w:top w:val="nil"/>
              <w:left w:val="nil"/>
              <w:bottom w:val="single" w:sz="4" w:space="0" w:color="auto"/>
              <w:right w:val="single" w:sz="4" w:space="0" w:color="auto"/>
            </w:tcBorders>
            <w:shd w:val="clear" w:color="auto" w:fill="auto"/>
            <w:noWrap/>
            <w:vAlign w:val="center"/>
            <w:hideMark/>
          </w:tcPr>
          <w:p w14:paraId="6CD2C05C"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21 </w:t>
            </w:r>
          </w:p>
        </w:tc>
        <w:tc>
          <w:tcPr>
            <w:tcW w:w="850" w:type="dxa"/>
            <w:tcBorders>
              <w:top w:val="nil"/>
              <w:left w:val="nil"/>
              <w:bottom w:val="single" w:sz="4" w:space="0" w:color="auto"/>
              <w:right w:val="single" w:sz="4" w:space="0" w:color="auto"/>
            </w:tcBorders>
            <w:shd w:val="clear" w:color="auto" w:fill="auto"/>
            <w:noWrap/>
            <w:vAlign w:val="center"/>
            <w:hideMark/>
          </w:tcPr>
          <w:p w14:paraId="6C2A7FA8"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185 </w:t>
            </w:r>
          </w:p>
        </w:tc>
        <w:tc>
          <w:tcPr>
            <w:tcW w:w="851" w:type="dxa"/>
            <w:tcBorders>
              <w:top w:val="nil"/>
              <w:left w:val="nil"/>
              <w:bottom w:val="single" w:sz="4" w:space="0" w:color="auto"/>
              <w:right w:val="single" w:sz="4" w:space="0" w:color="auto"/>
            </w:tcBorders>
            <w:shd w:val="clear" w:color="auto" w:fill="auto"/>
            <w:noWrap/>
            <w:vAlign w:val="center"/>
            <w:hideMark/>
          </w:tcPr>
          <w:p w14:paraId="35704226"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185 </w:t>
            </w:r>
          </w:p>
        </w:tc>
        <w:tc>
          <w:tcPr>
            <w:tcW w:w="850" w:type="dxa"/>
            <w:tcBorders>
              <w:top w:val="nil"/>
              <w:left w:val="nil"/>
              <w:bottom w:val="single" w:sz="4" w:space="0" w:color="auto"/>
              <w:right w:val="single" w:sz="4" w:space="0" w:color="auto"/>
            </w:tcBorders>
            <w:shd w:val="clear" w:color="auto" w:fill="auto"/>
            <w:noWrap/>
            <w:vAlign w:val="center"/>
            <w:hideMark/>
          </w:tcPr>
          <w:p w14:paraId="2EA677DC"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4350F469"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216 </w:t>
            </w:r>
          </w:p>
        </w:tc>
        <w:tc>
          <w:tcPr>
            <w:tcW w:w="850" w:type="dxa"/>
            <w:tcBorders>
              <w:top w:val="nil"/>
              <w:left w:val="nil"/>
              <w:bottom w:val="single" w:sz="4" w:space="0" w:color="auto"/>
              <w:right w:val="single" w:sz="4" w:space="0" w:color="auto"/>
            </w:tcBorders>
            <w:shd w:val="clear" w:color="auto" w:fill="auto"/>
            <w:noWrap/>
            <w:vAlign w:val="center"/>
            <w:hideMark/>
          </w:tcPr>
          <w:p w14:paraId="13BD308C"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5BFC1A83"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216 </w:t>
            </w:r>
          </w:p>
        </w:tc>
      </w:tr>
      <w:tr w:rsidR="00BB02B2" w:rsidRPr="001B7E14" w14:paraId="1FA18214"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950C3FA" w14:textId="77777777" w:rsidR="007F0586" w:rsidRPr="001B7E14" w:rsidRDefault="007F0586" w:rsidP="007F0586">
            <w:pPr>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Rendimientos financieros cancelaciones</w:t>
            </w:r>
          </w:p>
        </w:tc>
        <w:tc>
          <w:tcPr>
            <w:tcW w:w="851" w:type="dxa"/>
            <w:tcBorders>
              <w:top w:val="nil"/>
              <w:left w:val="nil"/>
              <w:bottom w:val="single" w:sz="4" w:space="0" w:color="auto"/>
              <w:right w:val="single" w:sz="4" w:space="0" w:color="auto"/>
            </w:tcBorders>
            <w:shd w:val="clear" w:color="auto" w:fill="auto"/>
            <w:noWrap/>
            <w:vAlign w:val="center"/>
            <w:hideMark/>
          </w:tcPr>
          <w:p w14:paraId="7A7B0916"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0 </w:t>
            </w:r>
          </w:p>
        </w:tc>
        <w:tc>
          <w:tcPr>
            <w:tcW w:w="850" w:type="dxa"/>
            <w:tcBorders>
              <w:top w:val="nil"/>
              <w:left w:val="nil"/>
              <w:bottom w:val="single" w:sz="4" w:space="0" w:color="auto"/>
              <w:right w:val="single" w:sz="4" w:space="0" w:color="auto"/>
            </w:tcBorders>
            <w:shd w:val="clear" w:color="auto" w:fill="auto"/>
            <w:noWrap/>
            <w:vAlign w:val="center"/>
            <w:hideMark/>
          </w:tcPr>
          <w:p w14:paraId="5D1884D4"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10ACB254"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0 </w:t>
            </w:r>
          </w:p>
        </w:tc>
        <w:tc>
          <w:tcPr>
            <w:tcW w:w="850" w:type="dxa"/>
            <w:tcBorders>
              <w:top w:val="nil"/>
              <w:left w:val="nil"/>
              <w:bottom w:val="single" w:sz="4" w:space="0" w:color="auto"/>
              <w:right w:val="single" w:sz="4" w:space="0" w:color="auto"/>
            </w:tcBorders>
            <w:shd w:val="clear" w:color="auto" w:fill="auto"/>
            <w:noWrap/>
            <w:vAlign w:val="center"/>
            <w:hideMark/>
          </w:tcPr>
          <w:p w14:paraId="4C41F6EA"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19AA43E7" w14:textId="77777777" w:rsidR="007F0586" w:rsidRPr="001B7E14" w:rsidRDefault="007F0586"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w:t>
            </w:r>
          </w:p>
        </w:tc>
        <w:tc>
          <w:tcPr>
            <w:tcW w:w="850" w:type="dxa"/>
            <w:tcBorders>
              <w:top w:val="nil"/>
              <w:left w:val="nil"/>
              <w:bottom w:val="single" w:sz="4" w:space="0" w:color="auto"/>
              <w:right w:val="single" w:sz="4" w:space="0" w:color="auto"/>
            </w:tcBorders>
            <w:shd w:val="clear" w:color="auto" w:fill="auto"/>
            <w:noWrap/>
            <w:vAlign w:val="center"/>
            <w:hideMark/>
          </w:tcPr>
          <w:p w14:paraId="33FBC70A"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5D0FA778"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0 </w:t>
            </w:r>
          </w:p>
        </w:tc>
        <w:tc>
          <w:tcPr>
            <w:tcW w:w="850" w:type="dxa"/>
            <w:tcBorders>
              <w:top w:val="nil"/>
              <w:left w:val="nil"/>
              <w:bottom w:val="single" w:sz="4" w:space="0" w:color="auto"/>
              <w:right w:val="single" w:sz="4" w:space="0" w:color="auto"/>
            </w:tcBorders>
            <w:shd w:val="clear" w:color="auto" w:fill="auto"/>
            <w:noWrap/>
            <w:vAlign w:val="bottom"/>
            <w:hideMark/>
          </w:tcPr>
          <w:p w14:paraId="3C988275"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0 </w:t>
            </w:r>
          </w:p>
        </w:tc>
        <w:tc>
          <w:tcPr>
            <w:tcW w:w="851" w:type="dxa"/>
            <w:tcBorders>
              <w:top w:val="nil"/>
              <w:left w:val="nil"/>
              <w:bottom w:val="single" w:sz="4" w:space="0" w:color="auto"/>
              <w:right w:val="single" w:sz="4" w:space="0" w:color="auto"/>
            </w:tcBorders>
            <w:shd w:val="clear" w:color="auto" w:fill="auto"/>
            <w:noWrap/>
            <w:vAlign w:val="center"/>
            <w:hideMark/>
          </w:tcPr>
          <w:p w14:paraId="41D19081" w14:textId="77777777" w:rsidR="007F0586" w:rsidRPr="001B7E14" w:rsidRDefault="007F0586"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w:t>
            </w:r>
            <w:r w:rsidR="00BB02B2" w:rsidRPr="001B7E14">
              <w:rPr>
                <w:rFonts w:ascii="Helvetica" w:eastAsia="Times New Roman" w:hAnsi="Helvetica" w:cs="Helvetica"/>
                <w:color w:val="000000"/>
                <w:sz w:val="14"/>
                <w:szCs w:val="16"/>
                <w:lang w:val="es-CO" w:eastAsia="es-CO"/>
              </w:rPr>
              <w:t xml:space="preserve"> </w:t>
            </w:r>
            <w:r w:rsidRPr="001B7E14">
              <w:rPr>
                <w:rFonts w:ascii="Helvetica" w:eastAsia="Times New Roman" w:hAnsi="Helvetica" w:cs="Helvetica"/>
                <w:color w:val="000000"/>
                <w:sz w:val="14"/>
                <w:szCs w:val="16"/>
                <w:lang w:val="es-CO" w:eastAsia="es-CO"/>
              </w:rPr>
              <w:t xml:space="preserve">0 </w:t>
            </w:r>
          </w:p>
        </w:tc>
      </w:tr>
      <w:tr w:rsidR="00BB02B2" w:rsidRPr="001B7E14" w14:paraId="1A68CAA5"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207EB3F" w14:textId="77777777" w:rsidR="007F0586" w:rsidRPr="001B7E14" w:rsidRDefault="007F0586" w:rsidP="007F0586">
            <w:pPr>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Recursos del balance</w:t>
            </w:r>
          </w:p>
        </w:tc>
        <w:tc>
          <w:tcPr>
            <w:tcW w:w="851" w:type="dxa"/>
            <w:tcBorders>
              <w:top w:val="nil"/>
              <w:left w:val="nil"/>
              <w:bottom w:val="single" w:sz="4" w:space="0" w:color="auto"/>
              <w:right w:val="single" w:sz="4" w:space="0" w:color="auto"/>
            </w:tcBorders>
            <w:shd w:val="clear" w:color="auto" w:fill="auto"/>
            <w:noWrap/>
            <w:vAlign w:val="center"/>
            <w:hideMark/>
          </w:tcPr>
          <w:p w14:paraId="54D88948"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21 </w:t>
            </w:r>
          </w:p>
        </w:tc>
        <w:tc>
          <w:tcPr>
            <w:tcW w:w="850" w:type="dxa"/>
            <w:tcBorders>
              <w:top w:val="nil"/>
              <w:left w:val="nil"/>
              <w:bottom w:val="single" w:sz="4" w:space="0" w:color="auto"/>
              <w:right w:val="single" w:sz="4" w:space="0" w:color="auto"/>
            </w:tcBorders>
            <w:shd w:val="clear" w:color="auto" w:fill="auto"/>
            <w:noWrap/>
            <w:vAlign w:val="center"/>
            <w:hideMark/>
          </w:tcPr>
          <w:p w14:paraId="12176E3E"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15 </w:t>
            </w:r>
          </w:p>
        </w:tc>
        <w:tc>
          <w:tcPr>
            <w:tcW w:w="851" w:type="dxa"/>
            <w:tcBorders>
              <w:top w:val="nil"/>
              <w:left w:val="nil"/>
              <w:bottom w:val="single" w:sz="4" w:space="0" w:color="auto"/>
              <w:right w:val="single" w:sz="4" w:space="0" w:color="auto"/>
            </w:tcBorders>
            <w:shd w:val="clear" w:color="auto" w:fill="auto"/>
            <w:noWrap/>
            <w:vAlign w:val="center"/>
            <w:hideMark/>
          </w:tcPr>
          <w:p w14:paraId="27ED0742"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6 </w:t>
            </w:r>
          </w:p>
        </w:tc>
        <w:tc>
          <w:tcPr>
            <w:tcW w:w="850" w:type="dxa"/>
            <w:tcBorders>
              <w:top w:val="nil"/>
              <w:left w:val="nil"/>
              <w:bottom w:val="single" w:sz="4" w:space="0" w:color="auto"/>
              <w:right w:val="single" w:sz="4" w:space="0" w:color="auto"/>
            </w:tcBorders>
            <w:shd w:val="clear" w:color="auto" w:fill="auto"/>
            <w:vAlign w:val="center"/>
            <w:hideMark/>
          </w:tcPr>
          <w:p w14:paraId="4B3C346F"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35 </w:t>
            </w:r>
          </w:p>
        </w:tc>
        <w:tc>
          <w:tcPr>
            <w:tcW w:w="851" w:type="dxa"/>
            <w:tcBorders>
              <w:top w:val="nil"/>
              <w:left w:val="nil"/>
              <w:bottom w:val="single" w:sz="4" w:space="0" w:color="auto"/>
              <w:right w:val="single" w:sz="4" w:space="0" w:color="auto"/>
            </w:tcBorders>
            <w:shd w:val="clear" w:color="auto" w:fill="auto"/>
            <w:vAlign w:val="center"/>
            <w:hideMark/>
          </w:tcPr>
          <w:p w14:paraId="5FB46EC6"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29 </w:t>
            </w:r>
          </w:p>
        </w:tc>
        <w:tc>
          <w:tcPr>
            <w:tcW w:w="850" w:type="dxa"/>
            <w:tcBorders>
              <w:top w:val="nil"/>
              <w:left w:val="nil"/>
              <w:bottom w:val="single" w:sz="4" w:space="0" w:color="auto"/>
              <w:right w:val="single" w:sz="4" w:space="0" w:color="auto"/>
            </w:tcBorders>
            <w:shd w:val="clear" w:color="auto" w:fill="auto"/>
            <w:noWrap/>
            <w:vAlign w:val="center"/>
            <w:hideMark/>
          </w:tcPr>
          <w:p w14:paraId="280A83B7"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6 </w:t>
            </w:r>
          </w:p>
        </w:tc>
        <w:tc>
          <w:tcPr>
            <w:tcW w:w="851" w:type="dxa"/>
            <w:tcBorders>
              <w:top w:val="nil"/>
              <w:left w:val="nil"/>
              <w:bottom w:val="single" w:sz="4" w:space="0" w:color="auto"/>
              <w:right w:val="single" w:sz="4" w:space="0" w:color="auto"/>
            </w:tcBorders>
            <w:shd w:val="clear" w:color="auto" w:fill="auto"/>
            <w:noWrap/>
            <w:vAlign w:val="bottom"/>
            <w:hideMark/>
          </w:tcPr>
          <w:p w14:paraId="366BB888"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6 </w:t>
            </w:r>
          </w:p>
        </w:tc>
        <w:tc>
          <w:tcPr>
            <w:tcW w:w="850" w:type="dxa"/>
            <w:tcBorders>
              <w:top w:val="nil"/>
              <w:left w:val="nil"/>
              <w:bottom w:val="single" w:sz="4" w:space="0" w:color="auto"/>
              <w:right w:val="single" w:sz="4" w:space="0" w:color="auto"/>
            </w:tcBorders>
            <w:shd w:val="clear" w:color="auto" w:fill="auto"/>
            <w:noWrap/>
            <w:vAlign w:val="bottom"/>
            <w:hideMark/>
          </w:tcPr>
          <w:p w14:paraId="5D9303F5"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174 </w:t>
            </w:r>
          </w:p>
        </w:tc>
        <w:tc>
          <w:tcPr>
            <w:tcW w:w="851" w:type="dxa"/>
            <w:tcBorders>
              <w:top w:val="nil"/>
              <w:left w:val="nil"/>
              <w:bottom w:val="single" w:sz="4" w:space="0" w:color="auto"/>
              <w:right w:val="single" w:sz="4" w:space="0" w:color="auto"/>
            </w:tcBorders>
            <w:shd w:val="clear" w:color="auto" w:fill="auto"/>
            <w:noWrap/>
            <w:vAlign w:val="center"/>
            <w:hideMark/>
          </w:tcPr>
          <w:p w14:paraId="6C0BC3F0" w14:textId="77777777" w:rsidR="007F0586" w:rsidRPr="001B7E14" w:rsidRDefault="007F0586"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w:t>
            </w:r>
            <w:r w:rsidR="00BB02B2" w:rsidRPr="001B7E14">
              <w:rPr>
                <w:rFonts w:ascii="Helvetica" w:eastAsia="Times New Roman" w:hAnsi="Helvetica" w:cs="Helvetica"/>
                <w:color w:val="000000"/>
                <w:sz w:val="14"/>
                <w:szCs w:val="16"/>
                <w:lang w:val="es-CO" w:eastAsia="es-CO"/>
              </w:rPr>
              <w:t xml:space="preserve"> </w:t>
            </w:r>
            <w:r w:rsidRPr="001B7E14">
              <w:rPr>
                <w:rFonts w:ascii="Helvetica" w:eastAsia="Times New Roman" w:hAnsi="Helvetica" w:cs="Helvetica"/>
                <w:color w:val="000000"/>
                <w:sz w:val="14"/>
                <w:szCs w:val="16"/>
                <w:lang w:val="es-CO" w:eastAsia="es-CO"/>
              </w:rPr>
              <w:t xml:space="preserve">167 </w:t>
            </w:r>
          </w:p>
        </w:tc>
      </w:tr>
      <w:tr w:rsidR="00BB02B2" w:rsidRPr="001B7E14" w14:paraId="30E70DDB"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132EA8B" w14:textId="77777777" w:rsidR="007F0586" w:rsidRPr="001B7E14" w:rsidRDefault="007F0586" w:rsidP="007F0586">
            <w:pPr>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Cancelación de reservas</w:t>
            </w:r>
          </w:p>
        </w:tc>
        <w:tc>
          <w:tcPr>
            <w:tcW w:w="851" w:type="dxa"/>
            <w:tcBorders>
              <w:top w:val="nil"/>
              <w:left w:val="nil"/>
              <w:bottom w:val="single" w:sz="4" w:space="0" w:color="auto"/>
              <w:right w:val="single" w:sz="4" w:space="0" w:color="auto"/>
            </w:tcBorders>
            <w:shd w:val="clear" w:color="auto" w:fill="auto"/>
            <w:noWrap/>
            <w:vAlign w:val="center"/>
            <w:hideMark/>
          </w:tcPr>
          <w:p w14:paraId="595C9EBA" w14:textId="77777777" w:rsidR="007F0586" w:rsidRPr="001B7E14" w:rsidRDefault="007F0586"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w:t>
            </w:r>
          </w:p>
        </w:tc>
        <w:tc>
          <w:tcPr>
            <w:tcW w:w="850" w:type="dxa"/>
            <w:tcBorders>
              <w:top w:val="nil"/>
              <w:left w:val="nil"/>
              <w:bottom w:val="single" w:sz="4" w:space="0" w:color="auto"/>
              <w:right w:val="single" w:sz="4" w:space="0" w:color="auto"/>
            </w:tcBorders>
            <w:shd w:val="clear" w:color="auto" w:fill="auto"/>
            <w:noWrap/>
            <w:vAlign w:val="center"/>
            <w:hideMark/>
          </w:tcPr>
          <w:p w14:paraId="5142234E"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71514A17"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6943DA1" w14:textId="77777777" w:rsidR="007F0586" w:rsidRPr="001B7E14" w:rsidRDefault="007F0586"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w:t>
            </w:r>
          </w:p>
        </w:tc>
        <w:tc>
          <w:tcPr>
            <w:tcW w:w="851" w:type="dxa"/>
            <w:tcBorders>
              <w:top w:val="nil"/>
              <w:left w:val="nil"/>
              <w:bottom w:val="single" w:sz="4" w:space="0" w:color="auto"/>
              <w:right w:val="single" w:sz="4" w:space="0" w:color="auto"/>
            </w:tcBorders>
            <w:shd w:val="clear" w:color="auto" w:fill="auto"/>
            <w:noWrap/>
            <w:vAlign w:val="center"/>
            <w:hideMark/>
          </w:tcPr>
          <w:p w14:paraId="100D2B46"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441D17A"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4C0E263D"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5DDC1BC"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375E1F64"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r>
      <w:tr w:rsidR="00BB02B2" w:rsidRPr="001B7E14" w14:paraId="6C71EDA7"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B0B4BD3" w14:textId="77777777" w:rsidR="007F0586" w:rsidRPr="001B7E14" w:rsidRDefault="007F0586" w:rsidP="007F0586">
            <w:pPr>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Reintegros Cancelaciones</w:t>
            </w:r>
          </w:p>
        </w:tc>
        <w:tc>
          <w:tcPr>
            <w:tcW w:w="851" w:type="dxa"/>
            <w:tcBorders>
              <w:top w:val="nil"/>
              <w:left w:val="nil"/>
              <w:bottom w:val="single" w:sz="4" w:space="0" w:color="auto"/>
              <w:right w:val="single" w:sz="4" w:space="0" w:color="auto"/>
            </w:tcBorders>
            <w:shd w:val="clear" w:color="auto" w:fill="auto"/>
            <w:noWrap/>
            <w:vAlign w:val="center"/>
            <w:hideMark/>
          </w:tcPr>
          <w:p w14:paraId="6B689925"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6C802D3"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62211F28"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BB53ED0"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63378003"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336D3BF"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49662C5D"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FC0CDCA"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52A3AEB3"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r>
      <w:tr w:rsidR="00BB02B2" w:rsidRPr="001B7E14" w14:paraId="384E8E13"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000000" w:fill="9BC2E6"/>
            <w:noWrap/>
            <w:vAlign w:val="center"/>
            <w:hideMark/>
          </w:tcPr>
          <w:p w14:paraId="69B71DB2" w14:textId="77777777" w:rsidR="007F0586" w:rsidRPr="001B7E14" w:rsidRDefault="007F0586" w:rsidP="007F0586">
            <w:pPr>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TOTAL CANCELACIONES</w:t>
            </w:r>
          </w:p>
        </w:tc>
        <w:tc>
          <w:tcPr>
            <w:tcW w:w="851" w:type="dxa"/>
            <w:tcBorders>
              <w:top w:val="nil"/>
              <w:left w:val="nil"/>
              <w:bottom w:val="single" w:sz="4" w:space="0" w:color="auto"/>
              <w:right w:val="single" w:sz="4" w:space="0" w:color="auto"/>
            </w:tcBorders>
            <w:shd w:val="clear" w:color="000000" w:fill="9BC2E6"/>
            <w:noWrap/>
            <w:vAlign w:val="center"/>
            <w:hideMark/>
          </w:tcPr>
          <w:p w14:paraId="30FB2396"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238 </w:t>
            </w:r>
          </w:p>
        </w:tc>
        <w:tc>
          <w:tcPr>
            <w:tcW w:w="850" w:type="dxa"/>
            <w:tcBorders>
              <w:top w:val="nil"/>
              <w:left w:val="nil"/>
              <w:bottom w:val="single" w:sz="4" w:space="0" w:color="auto"/>
              <w:right w:val="single" w:sz="4" w:space="0" w:color="auto"/>
            </w:tcBorders>
            <w:shd w:val="clear" w:color="000000" w:fill="9BC2E6"/>
            <w:noWrap/>
            <w:vAlign w:val="center"/>
            <w:hideMark/>
          </w:tcPr>
          <w:p w14:paraId="2D90F6E1"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211 </w:t>
            </w:r>
          </w:p>
        </w:tc>
        <w:tc>
          <w:tcPr>
            <w:tcW w:w="851" w:type="dxa"/>
            <w:tcBorders>
              <w:top w:val="nil"/>
              <w:left w:val="nil"/>
              <w:bottom w:val="single" w:sz="4" w:space="0" w:color="auto"/>
              <w:right w:val="single" w:sz="4" w:space="0" w:color="auto"/>
            </w:tcBorders>
            <w:shd w:val="clear" w:color="000000" w:fill="9BC2E6"/>
            <w:noWrap/>
            <w:vAlign w:val="center"/>
            <w:hideMark/>
          </w:tcPr>
          <w:p w14:paraId="2D5BD0DC"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28 </w:t>
            </w:r>
          </w:p>
        </w:tc>
        <w:tc>
          <w:tcPr>
            <w:tcW w:w="850" w:type="dxa"/>
            <w:tcBorders>
              <w:top w:val="nil"/>
              <w:left w:val="nil"/>
              <w:bottom w:val="single" w:sz="4" w:space="0" w:color="auto"/>
              <w:right w:val="single" w:sz="4" w:space="0" w:color="auto"/>
            </w:tcBorders>
            <w:shd w:val="clear" w:color="000000" w:fill="9BC2E6"/>
            <w:noWrap/>
            <w:vAlign w:val="center"/>
            <w:hideMark/>
          </w:tcPr>
          <w:p w14:paraId="36684776"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220 </w:t>
            </w:r>
          </w:p>
        </w:tc>
        <w:tc>
          <w:tcPr>
            <w:tcW w:w="851" w:type="dxa"/>
            <w:tcBorders>
              <w:top w:val="nil"/>
              <w:left w:val="nil"/>
              <w:bottom w:val="single" w:sz="4" w:space="0" w:color="auto"/>
              <w:right w:val="single" w:sz="4" w:space="0" w:color="auto"/>
            </w:tcBorders>
            <w:shd w:val="clear" w:color="000000" w:fill="9BC2E6"/>
            <w:noWrap/>
            <w:vAlign w:val="center"/>
            <w:hideMark/>
          </w:tcPr>
          <w:p w14:paraId="598A54E7"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214 </w:t>
            </w:r>
          </w:p>
        </w:tc>
        <w:tc>
          <w:tcPr>
            <w:tcW w:w="850" w:type="dxa"/>
            <w:tcBorders>
              <w:top w:val="nil"/>
              <w:left w:val="nil"/>
              <w:bottom w:val="single" w:sz="4" w:space="0" w:color="auto"/>
              <w:right w:val="single" w:sz="4" w:space="0" w:color="auto"/>
            </w:tcBorders>
            <w:shd w:val="clear" w:color="000000" w:fill="9BC2E6"/>
            <w:noWrap/>
            <w:vAlign w:val="center"/>
            <w:hideMark/>
          </w:tcPr>
          <w:p w14:paraId="2AE8165C"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6 </w:t>
            </w:r>
          </w:p>
        </w:tc>
        <w:tc>
          <w:tcPr>
            <w:tcW w:w="851" w:type="dxa"/>
            <w:tcBorders>
              <w:top w:val="nil"/>
              <w:left w:val="nil"/>
              <w:bottom w:val="single" w:sz="4" w:space="0" w:color="auto"/>
              <w:right w:val="single" w:sz="4" w:space="0" w:color="auto"/>
            </w:tcBorders>
            <w:shd w:val="clear" w:color="000000" w:fill="9BC2E6"/>
            <w:noWrap/>
            <w:vAlign w:val="center"/>
            <w:hideMark/>
          </w:tcPr>
          <w:p w14:paraId="24AE853D"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222 </w:t>
            </w:r>
          </w:p>
        </w:tc>
        <w:tc>
          <w:tcPr>
            <w:tcW w:w="850" w:type="dxa"/>
            <w:tcBorders>
              <w:top w:val="nil"/>
              <w:left w:val="nil"/>
              <w:bottom w:val="single" w:sz="4" w:space="0" w:color="auto"/>
              <w:right w:val="single" w:sz="4" w:space="0" w:color="auto"/>
            </w:tcBorders>
            <w:shd w:val="clear" w:color="000000" w:fill="9BC2E6"/>
            <w:noWrap/>
            <w:vAlign w:val="center"/>
            <w:hideMark/>
          </w:tcPr>
          <w:p w14:paraId="563A4961"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174 </w:t>
            </w:r>
          </w:p>
        </w:tc>
        <w:tc>
          <w:tcPr>
            <w:tcW w:w="851" w:type="dxa"/>
            <w:tcBorders>
              <w:top w:val="nil"/>
              <w:left w:val="nil"/>
              <w:bottom w:val="single" w:sz="4" w:space="0" w:color="auto"/>
              <w:right w:val="single" w:sz="4" w:space="0" w:color="auto"/>
            </w:tcBorders>
            <w:shd w:val="clear" w:color="000000" w:fill="9BC2E6"/>
            <w:noWrap/>
            <w:vAlign w:val="center"/>
            <w:hideMark/>
          </w:tcPr>
          <w:p w14:paraId="151DEE60"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48 </w:t>
            </w:r>
          </w:p>
        </w:tc>
      </w:tr>
      <w:tr w:rsidR="00BB02B2" w:rsidRPr="001B7E14" w14:paraId="6D81FF52"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000000" w:fill="9BC2E6"/>
            <w:noWrap/>
            <w:vAlign w:val="center"/>
            <w:hideMark/>
          </w:tcPr>
          <w:p w14:paraId="38AD4765" w14:textId="77777777" w:rsidR="007F0586" w:rsidRPr="001B7E14" w:rsidRDefault="007F0586" w:rsidP="007F0586">
            <w:pPr>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TESORERÍA CANCELACIONES</w:t>
            </w:r>
          </w:p>
        </w:tc>
        <w:tc>
          <w:tcPr>
            <w:tcW w:w="2552" w:type="dxa"/>
            <w:gridSpan w:val="3"/>
            <w:tcBorders>
              <w:top w:val="single" w:sz="4" w:space="0" w:color="auto"/>
              <w:left w:val="nil"/>
              <w:bottom w:val="single" w:sz="4" w:space="0" w:color="auto"/>
              <w:right w:val="single" w:sz="4" w:space="0" w:color="auto"/>
            </w:tcBorders>
            <w:shd w:val="clear" w:color="000000" w:fill="9BC2E6"/>
            <w:noWrap/>
            <w:vAlign w:val="center"/>
            <w:hideMark/>
          </w:tcPr>
          <w:p w14:paraId="6A98B505" w14:textId="77777777" w:rsidR="007F0586" w:rsidRPr="001B7E14" w:rsidRDefault="00BB02B2" w:rsidP="00A905BC">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35 </w:t>
            </w:r>
          </w:p>
        </w:tc>
        <w:tc>
          <w:tcPr>
            <w:tcW w:w="2551" w:type="dxa"/>
            <w:gridSpan w:val="3"/>
            <w:tcBorders>
              <w:top w:val="single" w:sz="4" w:space="0" w:color="auto"/>
              <w:left w:val="nil"/>
              <w:bottom w:val="single" w:sz="4" w:space="0" w:color="auto"/>
              <w:right w:val="single" w:sz="4" w:space="0" w:color="auto"/>
            </w:tcBorders>
            <w:shd w:val="clear" w:color="000000" w:fill="9BC2E6"/>
            <w:noWrap/>
            <w:vAlign w:val="center"/>
            <w:hideMark/>
          </w:tcPr>
          <w:p w14:paraId="7F657E05" w14:textId="77777777" w:rsidR="007F0586" w:rsidRPr="001B7E14" w:rsidRDefault="007F0586" w:rsidP="00A905BC">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6</w:t>
            </w:r>
          </w:p>
        </w:tc>
        <w:tc>
          <w:tcPr>
            <w:tcW w:w="2552" w:type="dxa"/>
            <w:gridSpan w:val="3"/>
            <w:tcBorders>
              <w:top w:val="single" w:sz="4" w:space="0" w:color="auto"/>
              <w:left w:val="nil"/>
              <w:bottom w:val="single" w:sz="4" w:space="0" w:color="auto"/>
              <w:right w:val="single" w:sz="4" w:space="0" w:color="auto"/>
            </w:tcBorders>
            <w:shd w:val="clear" w:color="000000" w:fill="9BC2E6"/>
            <w:noWrap/>
            <w:vAlign w:val="center"/>
            <w:hideMark/>
          </w:tcPr>
          <w:p w14:paraId="73A073A9" w14:textId="77777777" w:rsidR="007F0586" w:rsidRPr="001B7E14" w:rsidRDefault="00BB02B2" w:rsidP="00A905BC">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49 </w:t>
            </w:r>
          </w:p>
        </w:tc>
      </w:tr>
      <w:tr w:rsidR="00BB02B2" w:rsidRPr="001B7E14" w14:paraId="4FDAF65A"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000000" w:fill="9BC2E6"/>
            <w:noWrap/>
            <w:vAlign w:val="center"/>
            <w:hideMark/>
          </w:tcPr>
          <w:p w14:paraId="2F2CE068" w14:textId="77777777" w:rsidR="007F0586" w:rsidRPr="001B7E14" w:rsidRDefault="007F0586" w:rsidP="007F0586">
            <w:pPr>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DIFERENCIA CON TESORERÍA</w:t>
            </w:r>
          </w:p>
        </w:tc>
        <w:tc>
          <w:tcPr>
            <w:tcW w:w="2552" w:type="dxa"/>
            <w:gridSpan w:val="3"/>
            <w:tcBorders>
              <w:top w:val="single" w:sz="4" w:space="0" w:color="auto"/>
              <w:left w:val="nil"/>
              <w:bottom w:val="single" w:sz="4" w:space="0" w:color="auto"/>
              <w:right w:val="single" w:sz="4" w:space="0" w:color="auto"/>
            </w:tcBorders>
            <w:shd w:val="clear" w:color="000000" w:fill="9BC2E6"/>
            <w:noWrap/>
            <w:vAlign w:val="center"/>
            <w:hideMark/>
          </w:tcPr>
          <w:p w14:paraId="67A9B3BF" w14:textId="77777777" w:rsidR="007F0586" w:rsidRPr="001B7E14" w:rsidRDefault="007F0586" w:rsidP="00A905BC">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w:t>
            </w:r>
            <w:r w:rsidR="00BB02B2" w:rsidRPr="001B7E14">
              <w:rPr>
                <w:rFonts w:ascii="Helvetica" w:eastAsia="Times New Roman" w:hAnsi="Helvetica" w:cs="Helvetica"/>
                <w:b/>
                <w:bCs/>
                <w:color w:val="000000"/>
                <w:sz w:val="14"/>
                <w:szCs w:val="16"/>
                <w:lang w:val="es-CO" w:eastAsia="es-CO"/>
              </w:rPr>
              <w:t xml:space="preserve"> </w:t>
            </w:r>
            <w:r w:rsidRPr="001B7E14">
              <w:rPr>
                <w:rFonts w:ascii="Helvetica" w:eastAsia="Times New Roman" w:hAnsi="Helvetica" w:cs="Helvetica"/>
                <w:b/>
                <w:bCs/>
                <w:color w:val="000000"/>
                <w:sz w:val="14"/>
                <w:szCs w:val="16"/>
                <w:lang w:val="es-CO" w:eastAsia="es-CO"/>
              </w:rPr>
              <w:t xml:space="preserve">8 </w:t>
            </w:r>
          </w:p>
        </w:tc>
        <w:tc>
          <w:tcPr>
            <w:tcW w:w="2551" w:type="dxa"/>
            <w:gridSpan w:val="3"/>
            <w:tcBorders>
              <w:top w:val="single" w:sz="4" w:space="0" w:color="auto"/>
              <w:left w:val="nil"/>
              <w:bottom w:val="single" w:sz="4" w:space="0" w:color="auto"/>
              <w:right w:val="single" w:sz="4" w:space="0" w:color="auto"/>
            </w:tcBorders>
            <w:shd w:val="clear" w:color="000000" w:fill="9BC2E6"/>
            <w:noWrap/>
            <w:vAlign w:val="center"/>
            <w:hideMark/>
          </w:tcPr>
          <w:p w14:paraId="7461888A" w14:textId="77777777" w:rsidR="007F0586" w:rsidRPr="001B7E14" w:rsidRDefault="00BB02B2" w:rsidP="00A905BC">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0,02 </w:t>
            </w:r>
          </w:p>
        </w:tc>
        <w:tc>
          <w:tcPr>
            <w:tcW w:w="2552" w:type="dxa"/>
            <w:gridSpan w:val="3"/>
            <w:tcBorders>
              <w:top w:val="single" w:sz="4" w:space="0" w:color="auto"/>
              <w:left w:val="nil"/>
              <w:bottom w:val="single" w:sz="4" w:space="0" w:color="auto"/>
              <w:right w:val="single" w:sz="4" w:space="0" w:color="auto"/>
            </w:tcBorders>
            <w:shd w:val="clear" w:color="000000" w:fill="9BC2E6"/>
            <w:noWrap/>
            <w:vAlign w:val="center"/>
            <w:hideMark/>
          </w:tcPr>
          <w:p w14:paraId="5CC01463" w14:textId="77777777" w:rsidR="007F0586" w:rsidRPr="001B7E14" w:rsidRDefault="007F0586" w:rsidP="00A905BC">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w:t>
            </w:r>
            <w:r w:rsidR="00BB02B2" w:rsidRPr="001B7E14">
              <w:rPr>
                <w:rFonts w:ascii="Helvetica" w:eastAsia="Times New Roman" w:hAnsi="Helvetica" w:cs="Helvetica"/>
                <w:b/>
                <w:bCs/>
                <w:color w:val="000000"/>
                <w:sz w:val="14"/>
                <w:szCs w:val="16"/>
                <w:lang w:val="es-CO" w:eastAsia="es-CO"/>
              </w:rPr>
              <w:t xml:space="preserve"> </w:t>
            </w:r>
            <w:r w:rsidRPr="001B7E14">
              <w:rPr>
                <w:rFonts w:ascii="Helvetica" w:eastAsia="Times New Roman" w:hAnsi="Helvetica" w:cs="Helvetica"/>
                <w:b/>
                <w:bCs/>
                <w:color w:val="000000"/>
                <w:sz w:val="14"/>
                <w:szCs w:val="16"/>
                <w:lang w:val="es-CO" w:eastAsia="es-CO"/>
              </w:rPr>
              <w:t xml:space="preserve">1,09 </w:t>
            </w:r>
          </w:p>
        </w:tc>
      </w:tr>
    </w:tbl>
    <w:p w14:paraId="1E29B31D" w14:textId="77777777" w:rsidR="00AD0693" w:rsidRPr="001B7E14" w:rsidRDefault="00AD0693" w:rsidP="00FA42BB">
      <w:pPr>
        <w:jc w:val="center"/>
        <w:rPr>
          <w:rFonts w:ascii="Helvetica" w:hAnsi="Helvetica" w:cs="Helvetica"/>
          <w:sz w:val="16"/>
          <w:szCs w:val="16"/>
          <w:lang w:val="es-CO"/>
        </w:rPr>
      </w:pPr>
      <w:r w:rsidRPr="001B7E14">
        <w:rPr>
          <w:rFonts w:ascii="Helvetica" w:hAnsi="Helvetica" w:cs="Helvetica"/>
          <w:sz w:val="16"/>
          <w:szCs w:val="16"/>
          <w:lang w:val="es-CO"/>
        </w:rPr>
        <w:t xml:space="preserve">Fuente: Ejecución presupuesta de ingresos de </w:t>
      </w:r>
      <w:r w:rsidR="0075340F" w:rsidRPr="001B7E14">
        <w:rPr>
          <w:rFonts w:ascii="Helvetica" w:hAnsi="Helvetica" w:cs="Helvetica"/>
          <w:sz w:val="16"/>
          <w:szCs w:val="16"/>
          <w:lang w:val="es-CO"/>
        </w:rPr>
        <w:t>la entidad de la vigencia 2020,</w:t>
      </w:r>
      <w:r w:rsidRPr="001B7E14">
        <w:rPr>
          <w:rFonts w:ascii="Helvetica" w:hAnsi="Helvetica" w:cs="Helvetica"/>
          <w:sz w:val="16"/>
          <w:szCs w:val="16"/>
          <w:lang w:val="es-CO"/>
        </w:rPr>
        <w:t xml:space="preserve"> 2021</w:t>
      </w:r>
      <w:r w:rsidR="0075340F" w:rsidRPr="001B7E14">
        <w:rPr>
          <w:rFonts w:ascii="Helvetica" w:hAnsi="Helvetica" w:cs="Helvetica"/>
          <w:sz w:val="16"/>
          <w:szCs w:val="16"/>
          <w:lang w:val="es-CO"/>
        </w:rPr>
        <w:t xml:space="preserve"> Y 2022</w:t>
      </w:r>
      <w:r w:rsidR="00BB02B2" w:rsidRPr="001B7E14">
        <w:rPr>
          <w:rFonts w:ascii="Helvetica" w:hAnsi="Helvetica" w:cs="Helvetica"/>
          <w:sz w:val="16"/>
          <w:szCs w:val="16"/>
          <w:lang w:val="es-CO"/>
        </w:rPr>
        <w:t xml:space="preserve"> </w:t>
      </w:r>
      <w:r w:rsidRPr="001B7E14">
        <w:rPr>
          <w:rFonts w:ascii="Helvetica" w:hAnsi="Helvetica" w:cs="Helvetica"/>
          <w:sz w:val="16"/>
          <w:szCs w:val="16"/>
          <w:lang w:val="es-CO"/>
        </w:rPr>
        <w:t xml:space="preserve">y certificación de </w:t>
      </w:r>
      <w:r w:rsidR="0075340F" w:rsidRPr="001B7E14">
        <w:rPr>
          <w:rFonts w:ascii="Helvetica" w:hAnsi="Helvetica" w:cs="Helvetica"/>
          <w:sz w:val="16"/>
          <w:szCs w:val="16"/>
          <w:lang w:val="es-CO"/>
        </w:rPr>
        <w:t xml:space="preserve">tesorería de la vigencia 2020, </w:t>
      </w:r>
      <w:r w:rsidRPr="001B7E14">
        <w:rPr>
          <w:rFonts w:ascii="Helvetica" w:hAnsi="Helvetica" w:cs="Helvetica"/>
          <w:sz w:val="16"/>
          <w:szCs w:val="16"/>
          <w:lang w:val="es-CO"/>
        </w:rPr>
        <w:t>2021</w:t>
      </w:r>
      <w:r w:rsidR="0075340F" w:rsidRPr="001B7E14">
        <w:rPr>
          <w:rFonts w:ascii="Helvetica" w:hAnsi="Helvetica" w:cs="Helvetica"/>
          <w:sz w:val="16"/>
          <w:szCs w:val="16"/>
          <w:lang w:val="es-CO"/>
        </w:rPr>
        <w:t xml:space="preserve"> Y 2022</w:t>
      </w:r>
      <w:r w:rsidRPr="001B7E14">
        <w:rPr>
          <w:rFonts w:ascii="Helvetica" w:hAnsi="Helvetica" w:cs="Helvetica"/>
          <w:sz w:val="16"/>
          <w:szCs w:val="16"/>
          <w:lang w:val="es-CO"/>
        </w:rPr>
        <w:t>.</w:t>
      </w:r>
    </w:p>
    <w:p w14:paraId="40C91FE6" w14:textId="77777777" w:rsidR="00687E3D" w:rsidRPr="001B7E14" w:rsidRDefault="00687E3D" w:rsidP="00FA42BB">
      <w:pPr>
        <w:jc w:val="center"/>
        <w:rPr>
          <w:rFonts w:ascii="Helvetica" w:hAnsi="Helvetica" w:cs="Helvetica"/>
          <w:sz w:val="16"/>
          <w:szCs w:val="16"/>
          <w:lang w:val="es-CO"/>
        </w:rPr>
      </w:pPr>
    </w:p>
    <w:p w14:paraId="7ED99584" w14:textId="77777777" w:rsidR="00687E3D" w:rsidRPr="001B7E14" w:rsidRDefault="00687E3D" w:rsidP="00687E3D">
      <w:pPr>
        <w:jc w:val="both"/>
        <w:rPr>
          <w:rFonts w:ascii="Helvetica" w:hAnsi="Helvetica" w:cs="Helvetica"/>
          <w:bCs/>
          <w:sz w:val="22"/>
          <w:szCs w:val="22"/>
          <w:lang w:val="es-MX"/>
        </w:rPr>
      </w:pPr>
      <w:r w:rsidRPr="001B7E14">
        <w:rPr>
          <w:rFonts w:ascii="Helvetica" w:hAnsi="Helvetica" w:cs="Helvetica"/>
          <w:bCs/>
          <w:sz w:val="22"/>
          <w:szCs w:val="22"/>
          <w:lang w:val="es-MX"/>
        </w:rPr>
        <w:t>D</w:t>
      </w:r>
      <w:r w:rsidR="00D92D80" w:rsidRPr="001B7E14">
        <w:rPr>
          <w:rFonts w:ascii="Helvetica" w:hAnsi="Helvetica" w:cs="Helvetica"/>
          <w:bCs/>
          <w:sz w:val="22"/>
          <w:szCs w:val="22"/>
          <w:lang w:val="es-MX"/>
        </w:rPr>
        <w:t xml:space="preserve">el saldo en </w:t>
      </w:r>
      <w:proofErr w:type="gramStart"/>
      <w:r w:rsidR="00D92D80" w:rsidRPr="001B7E14">
        <w:rPr>
          <w:rFonts w:ascii="Helvetica" w:hAnsi="Helvetica" w:cs="Helvetica"/>
          <w:bCs/>
          <w:sz w:val="22"/>
          <w:szCs w:val="22"/>
          <w:lang w:val="es-MX"/>
        </w:rPr>
        <w:t>caja</w:t>
      </w:r>
      <w:proofErr w:type="gramEnd"/>
      <w:r w:rsidR="00D92D80" w:rsidRPr="001B7E14">
        <w:rPr>
          <w:rFonts w:ascii="Helvetica" w:hAnsi="Helvetica" w:cs="Helvetica"/>
          <w:bCs/>
          <w:sz w:val="22"/>
          <w:szCs w:val="22"/>
          <w:lang w:val="es-MX"/>
        </w:rPr>
        <w:t xml:space="preserve"> y banco</w:t>
      </w:r>
      <w:r w:rsidR="001B7E14">
        <w:rPr>
          <w:rFonts w:ascii="Helvetica" w:hAnsi="Helvetica" w:cs="Helvetica"/>
          <w:bCs/>
          <w:sz w:val="22"/>
          <w:szCs w:val="22"/>
          <w:lang w:val="es-MX"/>
        </w:rPr>
        <w:t>s</w:t>
      </w:r>
      <w:r w:rsidR="00D92D80" w:rsidRPr="001B7E14">
        <w:rPr>
          <w:rFonts w:ascii="Helvetica" w:hAnsi="Helvetica" w:cs="Helvetica"/>
          <w:bCs/>
          <w:sz w:val="22"/>
          <w:szCs w:val="22"/>
          <w:lang w:val="es-MX"/>
        </w:rPr>
        <w:t xml:space="preserve"> de la vigencia 2022 </w:t>
      </w:r>
      <w:r w:rsidRPr="001B7E14">
        <w:rPr>
          <w:rFonts w:ascii="Helvetica" w:hAnsi="Helvetica" w:cs="Helvetica"/>
          <w:bCs/>
          <w:sz w:val="22"/>
          <w:szCs w:val="22"/>
          <w:lang w:val="es-MX"/>
        </w:rPr>
        <w:t>no se tiene certeza porque no se pudo acceder a los extractos bancarios</w:t>
      </w:r>
      <w:r w:rsidR="001B7E14">
        <w:rPr>
          <w:rFonts w:ascii="Helvetica" w:hAnsi="Helvetica" w:cs="Helvetica"/>
          <w:bCs/>
          <w:sz w:val="22"/>
          <w:szCs w:val="22"/>
          <w:lang w:val="es-MX"/>
        </w:rPr>
        <w:t>. P</w:t>
      </w:r>
      <w:r w:rsidRPr="001B7E14">
        <w:rPr>
          <w:rFonts w:ascii="Helvetica" w:hAnsi="Helvetica" w:cs="Helvetica"/>
          <w:bCs/>
          <w:sz w:val="22"/>
          <w:szCs w:val="22"/>
          <w:lang w:val="es-MX"/>
        </w:rPr>
        <w:t xml:space="preserve">ara determinar el superávit en el ejercicio de cierre </w:t>
      </w:r>
      <w:proofErr w:type="spellStart"/>
      <w:r w:rsidRPr="001B7E14">
        <w:rPr>
          <w:rFonts w:ascii="Helvetica" w:hAnsi="Helvetica" w:cs="Helvetica"/>
          <w:bCs/>
          <w:sz w:val="22"/>
          <w:szCs w:val="22"/>
          <w:lang w:val="es-MX"/>
        </w:rPr>
        <w:t>tesoral</w:t>
      </w:r>
      <w:proofErr w:type="spellEnd"/>
      <w:r w:rsidRPr="001B7E14">
        <w:rPr>
          <w:rFonts w:ascii="Helvetica" w:hAnsi="Helvetica" w:cs="Helvetica"/>
          <w:bCs/>
          <w:sz w:val="22"/>
          <w:szCs w:val="22"/>
          <w:lang w:val="es-MX"/>
        </w:rPr>
        <w:t xml:space="preserve"> se tuvo en cuenta el valor de saldo en </w:t>
      </w:r>
      <w:proofErr w:type="gramStart"/>
      <w:r w:rsidRPr="001B7E14">
        <w:rPr>
          <w:rFonts w:ascii="Helvetica" w:hAnsi="Helvetica" w:cs="Helvetica"/>
          <w:bCs/>
          <w:sz w:val="22"/>
          <w:szCs w:val="22"/>
          <w:lang w:val="es-MX"/>
        </w:rPr>
        <w:t>caja</w:t>
      </w:r>
      <w:proofErr w:type="gramEnd"/>
      <w:r w:rsidRPr="001B7E14">
        <w:rPr>
          <w:rFonts w:ascii="Helvetica" w:hAnsi="Helvetica" w:cs="Helvetica"/>
          <w:bCs/>
          <w:sz w:val="22"/>
          <w:szCs w:val="22"/>
          <w:lang w:val="es-MX"/>
        </w:rPr>
        <w:t xml:space="preserve"> y bancos reportado al FUT ($24.814 millones)</w:t>
      </w:r>
      <w:r w:rsidR="00D92D80" w:rsidRPr="001B7E14">
        <w:rPr>
          <w:rFonts w:ascii="Helvetica" w:hAnsi="Helvetica" w:cs="Helvetica"/>
          <w:bCs/>
          <w:sz w:val="22"/>
          <w:szCs w:val="22"/>
          <w:lang w:val="es-MX"/>
        </w:rPr>
        <w:t xml:space="preserve">, </w:t>
      </w:r>
      <w:r w:rsidRPr="001B7E14">
        <w:rPr>
          <w:rFonts w:ascii="Helvetica" w:hAnsi="Helvetica" w:cs="Helvetica"/>
          <w:bCs/>
          <w:sz w:val="22"/>
          <w:szCs w:val="22"/>
          <w:lang w:val="es-MX"/>
        </w:rPr>
        <w:t>los valores de cuentas por pagar ($573 millones) y reservas presupuestales ($11.475 millones) constituid</w:t>
      </w:r>
      <w:r w:rsidR="00FE5A3F" w:rsidRPr="001B7E14">
        <w:rPr>
          <w:rFonts w:ascii="Helvetica" w:hAnsi="Helvetica" w:cs="Helvetica"/>
          <w:bCs/>
          <w:sz w:val="22"/>
          <w:szCs w:val="22"/>
          <w:lang w:val="es-MX"/>
        </w:rPr>
        <w:t xml:space="preserve">as mediante acto administrativo y otras exigibilidades certificadas por la entidad por </w:t>
      </w:r>
      <w:r w:rsidR="00D92D80" w:rsidRPr="001B7E14">
        <w:rPr>
          <w:rFonts w:ascii="Helvetica" w:hAnsi="Helvetica" w:cs="Helvetica"/>
          <w:bCs/>
          <w:sz w:val="22"/>
          <w:szCs w:val="22"/>
          <w:lang w:val="es-MX"/>
        </w:rPr>
        <w:t>$</w:t>
      </w:r>
      <w:r w:rsidR="00FE5A3F" w:rsidRPr="001B7E14">
        <w:rPr>
          <w:rFonts w:ascii="Helvetica" w:hAnsi="Helvetica" w:cs="Helvetica"/>
          <w:bCs/>
          <w:sz w:val="22"/>
          <w:szCs w:val="22"/>
          <w:lang w:val="es-MX"/>
        </w:rPr>
        <w:t>942 millones.</w:t>
      </w:r>
      <w:r w:rsidR="00D92D80" w:rsidRPr="001B7E14">
        <w:rPr>
          <w:rFonts w:ascii="Helvetica" w:hAnsi="Helvetica" w:cs="Helvetica"/>
          <w:bCs/>
          <w:sz w:val="22"/>
          <w:szCs w:val="22"/>
          <w:lang w:val="es-MX"/>
        </w:rPr>
        <w:t xml:space="preserve"> </w:t>
      </w:r>
      <w:r w:rsidR="001B7E14">
        <w:rPr>
          <w:rFonts w:ascii="Helvetica" w:hAnsi="Helvetica" w:cs="Helvetica"/>
          <w:bCs/>
          <w:sz w:val="22"/>
          <w:szCs w:val="22"/>
          <w:lang w:val="es-MX"/>
        </w:rPr>
        <w:t xml:space="preserve">Este ejercicio </w:t>
      </w:r>
      <w:r w:rsidR="00D92D80" w:rsidRPr="001B7E14">
        <w:rPr>
          <w:rFonts w:ascii="Helvetica" w:hAnsi="Helvetica" w:cs="Helvetica"/>
          <w:bCs/>
          <w:sz w:val="22"/>
          <w:szCs w:val="22"/>
          <w:lang w:val="es-MX"/>
        </w:rPr>
        <w:t xml:space="preserve">arroja un superávit agregado de $11.824 millones. </w:t>
      </w:r>
    </w:p>
    <w:p w14:paraId="7C49D66C" w14:textId="77777777" w:rsidR="00687E3D" w:rsidRPr="001B7E14" w:rsidRDefault="00687E3D" w:rsidP="00687E3D">
      <w:pPr>
        <w:jc w:val="both"/>
        <w:rPr>
          <w:rFonts w:ascii="Helvetica" w:hAnsi="Helvetica" w:cs="Helvetica"/>
          <w:sz w:val="22"/>
          <w:szCs w:val="22"/>
          <w:lang w:val="es-CO"/>
        </w:rPr>
      </w:pPr>
    </w:p>
    <w:p w14:paraId="37B3D59C" w14:textId="77777777" w:rsidR="00AD0693" w:rsidRPr="001B7E14" w:rsidRDefault="00AD0693" w:rsidP="00FA42BB">
      <w:pPr>
        <w:pStyle w:val="Ttulo1"/>
        <w:numPr>
          <w:ilvl w:val="0"/>
          <w:numId w:val="22"/>
        </w:numPr>
        <w:spacing w:before="0"/>
        <w:ind w:left="426" w:hanging="426"/>
        <w:jc w:val="both"/>
        <w:rPr>
          <w:rFonts w:ascii="Helvetica" w:hAnsi="Helvetica" w:cs="Helvetica"/>
          <w:b/>
          <w:color w:val="auto"/>
          <w:sz w:val="22"/>
          <w:szCs w:val="22"/>
          <w:lang w:val="es-CO"/>
        </w:rPr>
      </w:pPr>
      <w:r w:rsidRPr="001B7E14">
        <w:rPr>
          <w:rFonts w:ascii="Helvetica" w:hAnsi="Helvetica" w:cs="Helvetica"/>
          <w:b/>
          <w:color w:val="auto"/>
          <w:sz w:val="22"/>
          <w:szCs w:val="22"/>
          <w:lang w:val="es-CO"/>
        </w:rPr>
        <w:t>PROBLEMATICA</w:t>
      </w:r>
    </w:p>
    <w:p w14:paraId="09169C90" w14:textId="77777777" w:rsidR="00AD0693" w:rsidRPr="001B7E14" w:rsidRDefault="00AD0693" w:rsidP="00FA42BB">
      <w:pPr>
        <w:jc w:val="both"/>
        <w:rPr>
          <w:rFonts w:ascii="Helvetica" w:hAnsi="Helvetica" w:cs="Helvetica"/>
          <w:sz w:val="22"/>
          <w:szCs w:val="22"/>
          <w:lang w:val="es-CO"/>
        </w:rPr>
      </w:pPr>
    </w:p>
    <w:p w14:paraId="43810074"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El diagnóstico de los principales temas del sector educación revisados con la información remitida por el Departamento de Guainía, según radicados 1-2019-097718,</w:t>
      </w:r>
      <w:r w:rsidR="002363E7" w:rsidRPr="001B7E14">
        <w:rPr>
          <w:rFonts w:ascii="Helvetica" w:hAnsi="Helvetica" w:cs="Helvetica"/>
          <w:sz w:val="22"/>
          <w:szCs w:val="22"/>
          <w:lang w:val="es-CO"/>
        </w:rPr>
        <w:t xml:space="preserve"> 1-2021-104463, 1-2021-110877, 1-2022-015922, </w:t>
      </w:r>
      <w:r w:rsidR="002363E7" w:rsidRPr="001B7E14">
        <w:rPr>
          <w:rFonts w:ascii="Helvetica" w:eastAsiaTheme="minorHAnsi" w:hAnsi="Helvetica" w:cs="Helvetica"/>
          <w:sz w:val="22"/>
          <w:szCs w:val="22"/>
          <w:lang w:eastAsia="es-ES_tradnl"/>
        </w:rPr>
        <w:t xml:space="preserve">1-2023-052134 y 2023-052076 </w:t>
      </w:r>
      <w:r w:rsidRPr="001B7E14">
        <w:rPr>
          <w:rFonts w:ascii="Helvetica" w:hAnsi="Helvetica" w:cs="Helvetica"/>
          <w:sz w:val="22"/>
          <w:szCs w:val="22"/>
          <w:lang w:val="es-CO"/>
        </w:rPr>
        <w:t xml:space="preserve">permitió que se identificaran inconvenientes que se describen a continuación: </w:t>
      </w:r>
    </w:p>
    <w:p w14:paraId="46FB2833" w14:textId="77777777" w:rsidR="00AD0693" w:rsidRPr="001B7E14" w:rsidRDefault="00AD0693" w:rsidP="00FA42BB">
      <w:pPr>
        <w:jc w:val="both"/>
        <w:rPr>
          <w:rFonts w:ascii="Helvetica" w:hAnsi="Helvetica" w:cs="Helvetica"/>
          <w:sz w:val="22"/>
          <w:szCs w:val="22"/>
          <w:lang w:val="es-CO"/>
        </w:rPr>
      </w:pPr>
    </w:p>
    <w:p w14:paraId="2C420000"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b/>
          <w:sz w:val="22"/>
          <w:szCs w:val="22"/>
          <w:lang w:val="es-CO"/>
        </w:rPr>
        <w:t xml:space="preserve">En relación con </w:t>
      </w:r>
      <w:r w:rsidRPr="001B7E14">
        <w:rPr>
          <w:rFonts w:ascii="Helvetica" w:hAnsi="Helvetica" w:cs="Helvetica"/>
          <w:b/>
          <w:sz w:val="22"/>
          <w:szCs w:val="22"/>
        </w:rPr>
        <w:t>reportes de información</w:t>
      </w:r>
      <w:r w:rsidRPr="001B7E14">
        <w:rPr>
          <w:rFonts w:ascii="Helvetica" w:hAnsi="Helvetica" w:cs="Helvetica"/>
          <w:b/>
          <w:sz w:val="22"/>
          <w:szCs w:val="22"/>
          <w:lang w:val="es-CO"/>
        </w:rPr>
        <w:t>:</w:t>
      </w:r>
      <w:r w:rsidR="00507D31" w:rsidRPr="001B7E14">
        <w:rPr>
          <w:rFonts w:ascii="Helvetica" w:hAnsi="Helvetica" w:cs="Helvetica"/>
          <w:b/>
          <w:sz w:val="22"/>
          <w:szCs w:val="22"/>
          <w:lang w:val="es-CO"/>
        </w:rPr>
        <w:t xml:space="preserve"> </w:t>
      </w:r>
      <w:r w:rsidRPr="001B7E14">
        <w:rPr>
          <w:rFonts w:ascii="Helvetica" w:hAnsi="Helvetica" w:cs="Helvetica"/>
          <w:sz w:val="22"/>
          <w:szCs w:val="22"/>
          <w:lang w:val="es-CO"/>
        </w:rPr>
        <w:t xml:space="preserve">el Departamento presentó </w:t>
      </w:r>
      <w:r w:rsidRPr="001B7E14">
        <w:rPr>
          <w:rFonts w:ascii="Helvetica" w:hAnsi="Helvetica" w:cs="Helvetica"/>
          <w:sz w:val="22"/>
          <w:szCs w:val="22"/>
        </w:rPr>
        <w:t xml:space="preserve">Inconsistencias en la información presupuestal y de tesorería reportada en el FUT e Inconsistencia en el reporte del Formulario Único de Contratación (FUC). </w:t>
      </w:r>
      <w:r w:rsidRPr="001B7E14">
        <w:rPr>
          <w:rFonts w:ascii="Helvetica" w:hAnsi="Helvetica" w:cs="Helvetica"/>
          <w:sz w:val="22"/>
          <w:szCs w:val="22"/>
          <w:lang w:val="es-CO"/>
        </w:rPr>
        <w:t>(Se configura evento de riesgo 9.1)</w:t>
      </w:r>
    </w:p>
    <w:p w14:paraId="7B06C0CF" w14:textId="77777777" w:rsidR="00FA42BB" w:rsidRPr="001B7E14" w:rsidRDefault="00FA42BB" w:rsidP="00FA42BB">
      <w:pPr>
        <w:jc w:val="both"/>
        <w:rPr>
          <w:rFonts w:ascii="Helvetica" w:hAnsi="Helvetica" w:cs="Helvetica"/>
          <w:b/>
          <w:sz w:val="22"/>
          <w:szCs w:val="22"/>
          <w:lang w:val="es-CO"/>
        </w:rPr>
      </w:pPr>
    </w:p>
    <w:p w14:paraId="4D1FC9F9"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b/>
          <w:sz w:val="22"/>
          <w:szCs w:val="22"/>
          <w:lang w:val="es-CO"/>
        </w:rPr>
        <w:t>Frente a los temas de contratación:</w:t>
      </w:r>
      <w:r w:rsidRPr="001B7E14">
        <w:rPr>
          <w:rFonts w:ascii="Helvetica" w:hAnsi="Helvetica" w:cs="Helvetica"/>
          <w:sz w:val="22"/>
          <w:szCs w:val="22"/>
          <w:lang w:val="es-CO"/>
        </w:rPr>
        <w:t xml:space="preserve"> El departamento presentó inconvenientes en la publicación de contratos e informes de supervisión en el SECOP, asimismo realizó la Contratación extemporánea del servicio educativo</w:t>
      </w:r>
      <w:r w:rsidR="003C2407" w:rsidRPr="001B7E14">
        <w:rPr>
          <w:rFonts w:ascii="Helvetica" w:hAnsi="Helvetica" w:cs="Helvetica"/>
          <w:sz w:val="22"/>
          <w:szCs w:val="22"/>
          <w:lang w:val="es-CO"/>
        </w:rPr>
        <w:t xml:space="preserve"> y por un mayor número de alumnos al requerido según el estudio de insuficiencia</w:t>
      </w:r>
      <w:r w:rsidRPr="001B7E14">
        <w:rPr>
          <w:rFonts w:ascii="Helvetica" w:hAnsi="Helvetica" w:cs="Helvetica"/>
          <w:sz w:val="22"/>
          <w:szCs w:val="22"/>
          <w:lang w:val="es-CO"/>
        </w:rPr>
        <w:t xml:space="preserve">. Falta de ejecución de los recursos </w:t>
      </w:r>
      <w:r w:rsidR="00001861" w:rsidRPr="001B7E14">
        <w:rPr>
          <w:rFonts w:ascii="Helvetica" w:hAnsi="Helvetica" w:cs="Helvetica"/>
          <w:sz w:val="22"/>
          <w:szCs w:val="22"/>
          <w:lang w:val="es-CO"/>
        </w:rPr>
        <w:t xml:space="preserve">de </w:t>
      </w:r>
      <w:r w:rsidRPr="001B7E14">
        <w:rPr>
          <w:rFonts w:ascii="Helvetica" w:hAnsi="Helvetica" w:cs="Helvetica"/>
          <w:sz w:val="22"/>
          <w:szCs w:val="22"/>
          <w:lang w:val="es-CO"/>
        </w:rPr>
        <w:t>conectividad e internados, (Se configura</w:t>
      </w:r>
      <w:r w:rsidR="00001861" w:rsidRPr="001B7E14">
        <w:rPr>
          <w:rFonts w:ascii="Helvetica" w:hAnsi="Helvetica" w:cs="Helvetica"/>
          <w:sz w:val="22"/>
          <w:szCs w:val="22"/>
          <w:lang w:val="es-CO"/>
        </w:rPr>
        <w:t>n</w:t>
      </w:r>
      <w:r w:rsidRPr="001B7E14">
        <w:rPr>
          <w:rFonts w:ascii="Helvetica" w:hAnsi="Helvetica" w:cs="Helvetica"/>
          <w:sz w:val="22"/>
          <w:szCs w:val="22"/>
          <w:lang w:val="es-CO"/>
        </w:rPr>
        <w:t xml:space="preserve"> evento</w:t>
      </w:r>
      <w:r w:rsidR="00001861" w:rsidRPr="001B7E14">
        <w:rPr>
          <w:rFonts w:ascii="Helvetica" w:hAnsi="Helvetica" w:cs="Helvetica"/>
          <w:sz w:val="22"/>
          <w:szCs w:val="22"/>
          <w:lang w:val="es-CO"/>
        </w:rPr>
        <w:t>s</w:t>
      </w:r>
      <w:r w:rsidRPr="001B7E14">
        <w:rPr>
          <w:rFonts w:ascii="Helvetica" w:hAnsi="Helvetica" w:cs="Helvetica"/>
          <w:sz w:val="22"/>
          <w:szCs w:val="22"/>
          <w:lang w:val="es-CO"/>
        </w:rPr>
        <w:t xml:space="preserve"> de riesgo 9.10, 9.17 y 9.18)</w:t>
      </w:r>
    </w:p>
    <w:p w14:paraId="57942A33" w14:textId="77777777" w:rsidR="00AD0693" w:rsidRPr="001B7E14" w:rsidRDefault="00AD0693" w:rsidP="00FA42BB">
      <w:pPr>
        <w:jc w:val="both"/>
        <w:rPr>
          <w:rFonts w:ascii="Helvetica" w:hAnsi="Helvetica" w:cs="Helvetica"/>
          <w:sz w:val="22"/>
          <w:szCs w:val="22"/>
          <w:lang w:val="es-CO"/>
        </w:rPr>
      </w:pPr>
    </w:p>
    <w:p w14:paraId="6A23D113"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b/>
          <w:sz w:val="22"/>
          <w:szCs w:val="22"/>
          <w:lang w:val="es-CO"/>
        </w:rPr>
        <w:t xml:space="preserve">En materia de recursos humanos del Sector: </w:t>
      </w:r>
      <w:r w:rsidRPr="001B7E14">
        <w:rPr>
          <w:rFonts w:ascii="Helvetica" w:hAnsi="Helvetica" w:cs="Helvetica"/>
          <w:sz w:val="22"/>
          <w:szCs w:val="22"/>
          <w:lang w:val="es-CO"/>
        </w:rPr>
        <w:t>la distribución de la planta no cumple con los parámetros establecidos legalmente y se evidencia</w:t>
      </w:r>
      <w:r w:rsidR="00001861" w:rsidRPr="001B7E14">
        <w:rPr>
          <w:rFonts w:ascii="Helvetica" w:hAnsi="Helvetica" w:cs="Helvetica"/>
          <w:sz w:val="22"/>
          <w:szCs w:val="22"/>
          <w:lang w:val="es-CO"/>
        </w:rPr>
        <w:t xml:space="preserve"> la </w:t>
      </w:r>
      <w:r w:rsidRPr="001B7E14">
        <w:rPr>
          <w:rFonts w:ascii="Helvetica" w:hAnsi="Helvetica" w:cs="Helvetica"/>
          <w:sz w:val="22"/>
          <w:szCs w:val="22"/>
          <w:lang w:val="es-CO"/>
        </w:rPr>
        <w:t>omisión en la expedición del decreto de distribución de planta y la entrega oportuna de la dotación de personal. (Se configura evento de riesgo 9.18)</w:t>
      </w:r>
    </w:p>
    <w:p w14:paraId="7B18AAFA" w14:textId="77777777" w:rsidR="00AD0693" w:rsidRPr="001B7E14" w:rsidRDefault="00AD0693" w:rsidP="00FA42BB">
      <w:pPr>
        <w:jc w:val="both"/>
        <w:rPr>
          <w:rFonts w:ascii="Helvetica" w:hAnsi="Helvetica" w:cs="Helvetica"/>
          <w:sz w:val="22"/>
          <w:szCs w:val="22"/>
          <w:lang w:val="es-CO"/>
        </w:rPr>
      </w:pPr>
    </w:p>
    <w:p w14:paraId="7C643A4B"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b/>
          <w:bCs/>
          <w:sz w:val="22"/>
          <w:szCs w:val="22"/>
          <w:lang w:val="es-CO"/>
        </w:rPr>
        <w:t>DEUDAS DEL SECTOR EDUCACIÓN</w:t>
      </w:r>
      <w:r w:rsidRPr="001B7E14">
        <w:rPr>
          <w:rFonts w:ascii="Helvetica" w:hAnsi="Helvetica" w:cs="Helvetica"/>
          <w:sz w:val="22"/>
          <w:szCs w:val="22"/>
          <w:lang w:val="es-CO"/>
        </w:rPr>
        <w:t xml:space="preserve"> </w:t>
      </w:r>
    </w:p>
    <w:p w14:paraId="2C1D4AA8" w14:textId="77777777" w:rsidR="00AD0693" w:rsidRPr="001B7E14" w:rsidRDefault="00AD0693" w:rsidP="00FA42BB">
      <w:pPr>
        <w:jc w:val="both"/>
        <w:rPr>
          <w:rFonts w:ascii="Helvetica" w:hAnsi="Helvetica" w:cs="Helvetica"/>
          <w:sz w:val="22"/>
          <w:szCs w:val="22"/>
          <w:lang w:val="es-CO"/>
        </w:rPr>
      </w:pPr>
    </w:p>
    <w:p w14:paraId="7AC5C8CC"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 xml:space="preserve">El departamento de Guainía mediante comunicación No. 1-2021-104463 informó que a 2021 no se han pagado deudas con cargo a los recursos del SGP, sin embargo, no se pronunció frente a la existencia o no de deudas del sector educativo, por lo cual, se procedió a analizar la información remitida por el Ministerio de Educación Nacional y al respecto se evidencia que se han pagado los siguientes conceptos de deuda: </w:t>
      </w:r>
    </w:p>
    <w:p w14:paraId="10B53C0A" w14:textId="77777777" w:rsidR="00AD0693" w:rsidRPr="001B7E14" w:rsidRDefault="00AD0693" w:rsidP="00FA42BB">
      <w:pPr>
        <w:jc w:val="both"/>
        <w:rPr>
          <w:rFonts w:ascii="Helvetica" w:hAnsi="Helvetica" w:cs="Helvetica"/>
          <w:sz w:val="22"/>
          <w:szCs w:val="22"/>
          <w:lang w:val="es-CO"/>
        </w:rPr>
      </w:pPr>
    </w:p>
    <w:p w14:paraId="13CCFDEA"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En 2007 se pagaron $10.315 millones por concepto de homologación del personal administrativo de los cuales $2.101 millones fueron con cargo al Presupuesto General de la Nación, $7.435 millones con recursos del SGP de la vigencia y $779 millones con excedentes mediante acuerdo de pago suscrito entre la Nación y la entidad territorial.</w:t>
      </w:r>
    </w:p>
    <w:p w14:paraId="3A35A8EA" w14:textId="77777777" w:rsidR="00AD0693" w:rsidRPr="001B7E14" w:rsidRDefault="00AD0693" w:rsidP="00FA42BB">
      <w:pPr>
        <w:jc w:val="both"/>
        <w:rPr>
          <w:rFonts w:ascii="Helvetica" w:hAnsi="Helvetica" w:cs="Helvetica"/>
          <w:sz w:val="22"/>
          <w:szCs w:val="22"/>
          <w:lang w:val="es-CO"/>
        </w:rPr>
      </w:pPr>
    </w:p>
    <w:p w14:paraId="379DE79C"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 xml:space="preserve">De la misma manera en 2014 se aprobó la deuda por concepto de ascensos en el escalafón del período 2013 por $32.6 millones y otras deudas salariales y dotaciones por $511 millones. </w:t>
      </w:r>
    </w:p>
    <w:p w14:paraId="3FCB13E7" w14:textId="77777777" w:rsidR="00AD0693" w:rsidRPr="001B7E14" w:rsidRDefault="00AD0693" w:rsidP="00FA42BB">
      <w:pPr>
        <w:jc w:val="both"/>
        <w:rPr>
          <w:rFonts w:ascii="Helvetica" w:hAnsi="Helvetica" w:cs="Helvetica"/>
          <w:sz w:val="22"/>
          <w:szCs w:val="22"/>
          <w:lang w:val="es-CO"/>
        </w:rPr>
      </w:pPr>
    </w:p>
    <w:p w14:paraId="6CC762A7" w14:textId="77777777" w:rsidR="00AD0693" w:rsidRPr="001B7E14" w:rsidRDefault="00001861" w:rsidP="00FA42BB">
      <w:pPr>
        <w:jc w:val="both"/>
        <w:rPr>
          <w:rFonts w:ascii="Helvetica" w:hAnsi="Helvetica" w:cs="Helvetica"/>
          <w:sz w:val="22"/>
          <w:szCs w:val="22"/>
          <w:lang w:val="es-CO"/>
        </w:rPr>
      </w:pPr>
      <w:r w:rsidRPr="001B7E14">
        <w:rPr>
          <w:rFonts w:ascii="Helvetica" w:hAnsi="Helvetica" w:cs="Helvetica"/>
          <w:sz w:val="22"/>
          <w:szCs w:val="22"/>
          <w:lang w:val="es-CO"/>
        </w:rPr>
        <w:t xml:space="preserve">En </w:t>
      </w:r>
      <w:r w:rsidR="00AD0693" w:rsidRPr="001B7E14">
        <w:rPr>
          <w:rFonts w:ascii="Helvetica" w:hAnsi="Helvetica" w:cs="Helvetica"/>
          <w:sz w:val="22"/>
          <w:szCs w:val="22"/>
          <w:lang w:val="es-CO"/>
        </w:rPr>
        <w:t xml:space="preserve">relación </w:t>
      </w:r>
      <w:r w:rsidRPr="001B7E14">
        <w:rPr>
          <w:rFonts w:ascii="Helvetica" w:hAnsi="Helvetica" w:cs="Helvetica"/>
          <w:sz w:val="22"/>
          <w:szCs w:val="22"/>
          <w:lang w:val="es-CO"/>
        </w:rPr>
        <w:t>con e</w:t>
      </w:r>
      <w:r w:rsidR="00AD0693" w:rsidRPr="001B7E14">
        <w:rPr>
          <w:rFonts w:ascii="Helvetica" w:hAnsi="Helvetica" w:cs="Helvetica"/>
          <w:sz w:val="22"/>
          <w:szCs w:val="22"/>
          <w:lang w:val="es-CO"/>
        </w:rPr>
        <w:t>l Régimen Retroactivo de Cesantías, se tiene la proyección del personal administrativo activo (79 funcionarios).</w:t>
      </w:r>
    </w:p>
    <w:p w14:paraId="3820836D" w14:textId="77777777" w:rsidR="00AD0693" w:rsidRPr="001B7E14" w:rsidRDefault="00AD0693" w:rsidP="00FA42BB">
      <w:pPr>
        <w:jc w:val="both"/>
        <w:rPr>
          <w:rFonts w:ascii="Helvetica" w:hAnsi="Helvetica" w:cs="Helvetica"/>
          <w:sz w:val="22"/>
          <w:szCs w:val="22"/>
          <w:lang w:val="es-CO"/>
        </w:rPr>
      </w:pPr>
    </w:p>
    <w:p w14:paraId="525EAFA8"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 xml:space="preserve">En cuanto al estado de la deuda con la Fiduprevisora, la entidad remitió un acta de conciliación del 22 de julio de 2021 en la que se menciona que la entidad </w:t>
      </w:r>
      <w:r w:rsidR="00F36CA9" w:rsidRPr="001B7E14">
        <w:rPr>
          <w:rFonts w:ascii="Helvetica" w:hAnsi="Helvetica" w:cs="Helvetica"/>
          <w:sz w:val="22"/>
          <w:szCs w:val="22"/>
          <w:lang w:val="es-CO"/>
        </w:rPr>
        <w:t xml:space="preserve">adeuda </w:t>
      </w:r>
      <w:r w:rsidR="00001861" w:rsidRPr="001B7E14">
        <w:rPr>
          <w:rFonts w:ascii="Helvetica" w:hAnsi="Helvetica" w:cs="Helvetica"/>
          <w:sz w:val="22"/>
          <w:szCs w:val="22"/>
          <w:lang w:val="es-CO"/>
        </w:rPr>
        <w:t xml:space="preserve">el valor de $29 millones </w:t>
      </w:r>
      <w:r w:rsidR="00F36CA9" w:rsidRPr="001B7E14">
        <w:rPr>
          <w:rFonts w:ascii="Helvetica" w:hAnsi="Helvetica" w:cs="Helvetica"/>
          <w:sz w:val="22"/>
          <w:szCs w:val="22"/>
          <w:lang w:val="es-CO"/>
        </w:rPr>
        <w:t>por</w:t>
      </w:r>
      <w:r w:rsidRPr="001B7E14">
        <w:rPr>
          <w:rFonts w:ascii="Helvetica" w:hAnsi="Helvetica" w:cs="Helvetica"/>
          <w:sz w:val="22"/>
          <w:szCs w:val="22"/>
          <w:lang w:val="es-CO"/>
        </w:rPr>
        <w:t xml:space="preserve"> </w:t>
      </w:r>
      <w:r w:rsidR="00001861" w:rsidRPr="001B7E14">
        <w:rPr>
          <w:rFonts w:ascii="Helvetica" w:hAnsi="Helvetica" w:cs="Helvetica"/>
          <w:sz w:val="22"/>
          <w:szCs w:val="22"/>
          <w:lang w:val="es-CO"/>
        </w:rPr>
        <w:t xml:space="preserve">concepto de </w:t>
      </w:r>
      <w:r w:rsidRPr="001B7E14">
        <w:rPr>
          <w:rFonts w:ascii="Helvetica" w:hAnsi="Helvetica" w:cs="Helvetica"/>
          <w:sz w:val="22"/>
          <w:szCs w:val="22"/>
          <w:lang w:val="es-CO"/>
        </w:rPr>
        <w:t>sanción mora</w:t>
      </w:r>
      <w:r w:rsidR="00001861" w:rsidRPr="001B7E14">
        <w:rPr>
          <w:rFonts w:ascii="Helvetica" w:hAnsi="Helvetica" w:cs="Helvetica"/>
          <w:sz w:val="22"/>
          <w:szCs w:val="22"/>
          <w:lang w:val="es-CO"/>
        </w:rPr>
        <w:t>toria de</w:t>
      </w:r>
      <w:r w:rsidRPr="001B7E14">
        <w:rPr>
          <w:rFonts w:ascii="Helvetica" w:hAnsi="Helvetica" w:cs="Helvetica"/>
          <w:sz w:val="22"/>
          <w:szCs w:val="22"/>
          <w:lang w:val="es-CO"/>
        </w:rPr>
        <w:t xml:space="preserve"> las vigencias 2017, 2018 y </w:t>
      </w:r>
      <w:r w:rsidR="00F36CA9" w:rsidRPr="001B7E14">
        <w:rPr>
          <w:rFonts w:ascii="Helvetica" w:hAnsi="Helvetica" w:cs="Helvetica"/>
          <w:sz w:val="22"/>
          <w:szCs w:val="22"/>
          <w:lang w:val="es-CO"/>
        </w:rPr>
        <w:t>2019</w:t>
      </w:r>
      <w:r w:rsidRPr="001B7E14">
        <w:rPr>
          <w:rFonts w:ascii="Helvetica" w:hAnsi="Helvetica" w:cs="Helvetica"/>
          <w:sz w:val="22"/>
          <w:szCs w:val="22"/>
          <w:lang w:val="es-CO"/>
        </w:rPr>
        <w:t xml:space="preserve">. </w:t>
      </w:r>
    </w:p>
    <w:p w14:paraId="1585AFAD" w14:textId="77777777" w:rsidR="00AD0693" w:rsidRPr="001B7E14" w:rsidRDefault="00AD0693" w:rsidP="00FA42BB">
      <w:pPr>
        <w:pStyle w:val="Sinespaciado"/>
        <w:jc w:val="both"/>
        <w:rPr>
          <w:rFonts w:ascii="Helvetica" w:hAnsi="Helvetica" w:cs="Helvetica"/>
        </w:rPr>
      </w:pPr>
    </w:p>
    <w:p w14:paraId="44B14C0D" w14:textId="77777777" w:rsidR="00AD0693" w:rsidRPr="001B7E14" w:rsidRDefault="00AD0693" w:rsidP="00FA42BB">
      <w:pPr>
        <w:pStyle w:val="Ttulo1"/>
        <w:numPr>
          <w:ilvl w:val="0"/>
          <w:numId w:val="22"/>
        </w:numPr>
        <w:spacing w:before="0"/>
        <w:ind w:left="426" w:hanging="426"/>
        <w:jc w:val="both"/>
        <w:rPr>
          <w:rFonts w:ascii="Helvetica" w:hAnsi="Helvetica" w:cs="Helvetica"/>
          <w:b/>
          <w:color w:val="auto"/>
          <w:sz w:val="22"/>
          <w:szCs w:val="22"/>
          <w:lang w:val="es-CO"/>
        </w:rPr>
      </w:pPr>
      <w:r w:rsidRPr="001B7E14">
        <w:rPr>
          <w:rFonts w:ascii="Helvetica" w:hAnsi="Helvetica" w:cs="Helvetica"/>
          <w:b/>
          <w:color w:val="auto"/>
          <w:sz w:val="22"/>
          <w:szCs w:val="22"/>
          <w:lang w:val="es-CO"/>
        </w:rPr>
        <w:t>CONCLUSIONES Y RECOMENDACIONES.</w:t>
      </w:r>
    </w:p>
    <w:p w14:paraId="60BF5E25" w14:textId="77777777" w:rsidR="00AD0693" w:rsidRPr="001B7E14" w:rsidRDefault="00AD0693" w:rsidP="00FA42BB">
      <w:pPr>
        <w:pStyle w:val="Sinespaciado"/>
        <w:jc w:val="both"/>
        <w:rPr>
          <w:rFonts w:ascii="Helvetica" w:hAnsi="Helvetica" w:cs="Helvetica"/>
          <w:b/>
        </w:rPr>
      </w:pPr>
    </w:p>
    <w:p w14:paraId="288B9FF6"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A partir del análisis de la información remitida por el Departamento de Guainía, se evidenció la existencia de los siguientes eventos de riesgo, definidos en el artículo 9 del Decreto 028 de 2009, en relación con el uso de los recursos del Sistema General de Participaciones en el sector educación:</w:t>
      </w:r>
    </w:p>
    <w:p w14:paraId="0F847723" w14:textId="77777777" w:rsidR="00AD0693" w:rsidRPr="001B7E14" w:rsidRDefault="00AD0693" w:rsidP="00FA42BB">
      <w:pPr>
        <w:jc w:val="both"/>
        <w:rPr>
          <w:rFonts w:ascii="Helvetica" w:hAnsi="Helvetica" w:cs="Helvetica"/>
          <w:sz w:val="22"/>
          <w:szCs w:val="22"/>
          <w:lang w:val="es-CO"/>
        </w:rPr>
      </w:pPr>
    </w:p>
    <w:p w14:paraId="67DB3A3A"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9.1 (No envío de información); 9.10 (no publicar los actos administrativos, contratos); 9.17 (Suscripción, modificación o ejecución de contratos cuyo objeto o actividades contractuales no aseguren la prestación del servicio en las condiciones definidas por la normatividad vigente); y, 9.18 (situaciones que constituyen desviación, uso indebido, ineficiente o inadecuado de los recursos del Sistema General de Participaciones).</w:t>
      </w:r>
    </w:p>
    <w:p w14:paraId="6055ABF8" w14:textId="77777777" w:rsidR="00AD0693" w:rsidRPr="001B7E14" w:rsidRDefault="00AD0693" w:rsidP="00FA42BB">
      <w:pPr>
        <w:jc w:val="both"/>
        <w:rPr>
          <w:rFonts w:ascii="Helvetica" w:hAnsi="Helvetica" w:cs="Helvetica"/>
          <w:sz w:val="22"/>
          <w:szCs w:val="22"/>
          <w:lang w:val="es-CO"/>
        </w:rPr>
      </w:pPr>
    </w:p>
    <w:p w14:paraId="51B32E52"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 xml:space="preserve">Con base en los riesgos identificados y en el marco de las funciones asignadas en los Decretos 028 de 2008 y 1068 de 2015, relacionadas con la coordinación de la ejecución de las actividades de monitoreo, seguimiento y control al uso de recursos del SGP, se </w:t>
      </w:r>
      <w:r w:rsidRPr="001B7E14">
        <w:rPr>
          <w:rFonts w:ascii="Helvetica" w:hAnsi="Helvetica" w:cs="Helvetica"/>
          <w:sz w:val="22"/>
          <w:szCs w:val="22"/>
          <w:lang w:val="es-CO"/>
        </w:rPr>
        <w:lastRenderedPageBreak/>
        <w:t>recomienda la adopción de la medida Preventiva Plan de Desempeño, una vez se reciban los comentarios del Ministerio de Educación frente al informe de reconocimiento.</w:t>
      </w:r>
    </w:p>
    <w:p w14:paraId="6204E8D6" w14:textId="77777777" w:rsidR="00AD0693" w:rsidRPr="001B7E14" w:rsidRDefault="00AD0693" w:rsidP="00FA42BB">
      <w:pPr>
        <w:jc w:val="both"/>
        <w:rPr>
          <w:rFonts w:ascii="Helvetica" w:hAnsi="Helvetica" w:cs="Helvetica"/>
          <w:sz w:val="22"/>
          <w:szCs w:val="22"/>
          <w:lang w:val="es-CO"/>
        </w:rPr>
      </w:pPr>
    </w:p>
    <w:p w14:paraId="71654CE7" w14:textId="77777777" w:rsidR="00AD0693" w:rsidRPr="001B7E14" w:rsidRDefault="00AD0693" w:rsidP="00FA42BB">
      <w:pPr>
        <w:pStyle w:val="Ttulo1"/>
        <w:numPr>
          <w:ilvl w:val="0"/>
          <w:numId w:val="22"/>
        </w:numPr>
        <w:spacing w:before="0"/>
        <w:ind w:left="426" w:hanging="426"/>
        <w:jc w:val="both"/>
        <w:rPr>
          <w:rFonts w:ascii="Helvetica" w:hAnsi="Helvetica" w:cs="Helvetica"/>
          <w:b/>
          <w:color w:val="auto"/>
          <w:sz w:val="22"/>
          <w:szCs w:val="22"/>
          <w:lang w:val="es-CO"/>
        </w:rPr>
      </w:pPr>
      <w:r w:rsidRPr="001B7E14">
        <w:rPr>
          <w:rFonts w:ascii="Helvetica" w:hAnsi="Helvetica" w:cs="Helvetica"/>
          <w:b/>
          <w:color w:val="auto"/>
          <w:sz w:val="22"/>
          <w:szCs w:val="22"/>
          <w:lang w:val="es-CO"/>
        </w:rPr>
        <w:t>EVENTOS DE RIESGO IDENTIFICADOS EN EL MARCO DEL DECRETO 028 DE 2008</w:t>
      </w:r>
    </w:p>
    <w:p w14:paraId="56444116" w14:textId="77777777" w:rsidR="00AD0693" w:rsidRPr="001B7E14" w:rsidRDefault="00AD0693" w:rsidP="00FA42BB">
      <w:pPr>
        <w:rPr>
          <w:rFonts w:ascii="Helvetica" w:hAnsi="Helvetica" w:cs="Helvetica"/>
          <w:sz w:val="22"/>
          <w:szCs w:val="22"/>
          <w:lang w:val="es-CO"/>
        </w:rPr>
      </w:pPr>
    </w:p>
    <w:p w14:paraId="1381DCE9" w14:textId="77777777" w:rsidR="00AD0693" w:rsidRPr="001B7E14" w:rsidRDefault="00AD0693" w:rsidP="00FA42BB">
      <w:pPr>
        <w:tabs>
          <w:tab w:val="left" w:pos="8460"/>
        </w:tabs>
        <w:jc w:val="both"/>
        <w:rPr>
          <w:rFonts w:ascii="Helvetica" w:hAnsi="Helvetica" w:cs="Helvetica"/>
          <w:sz w:val="22"/>
          <w:szCs w:val="22"/>
          <w:lang w:val="es-CO"/>
        </w:rPr>
      </w:pPr>
      <w:r w:rsidRPr="001B7E14">
        <w:rPr>
          <w:rFonts w:ascii="Helvetica" w:hAnsi="Helvetica" w:cs="Helvetica"/>
          <w:sz w:val="22"/>
          <w:szCs w:val="22"/>
          <w:lang w:val="es-CO"/>
        </w:rPr>
        <w:t>A partir del análisis de la información remitida por el Departamento de</w:t>
      </w:r>
      <w:r w:rsidR="00F35AA4" w:rsidRPr="001B7E14">
        <w:rPr>
          <w:rFonts w:ascii="Helvetica" w:hAnsi="Helvetica" w:cs="Helvetica"/>
          <w:sz w:val="22"/>
          <w:szCs w:val="22"/>
          <w:lang w:val="es-CO"/>
        </w:rPr>
        <w:t>l</w:t>
      </w:r>
      <w:r w:rsidRPr="001B7E14">
        <w:rPr>
          <w:rFonts w:ascii="Helvetica" w:hAnsi="Helvetica" w:cs="Helvetica"/>
          <w:sz w:val="22"/>
          <w:szCs w:val="22"/>
          <w:lang w:val="es-CO"/>
        </w:rPr>
        <w:t xml:space="preserve"> Guainía y de la recopilada durante </w:t>
      </w:r>
      <w:r w:rsidR="00001861" w:rsidRPr="001B7E14">
        <w:rPr>
          <w:rFonts w:ascii="Helvetica" w:hAnsi="Helvetica" w:cs="Helvetica"/>
          <w:sz w:val="22"/>
          <w:szCs w:val="22"/>
          <w:lang w:val="es-CO"/>
        </w:rPr>
        <w:t xml:space="preserve">la etapa </w:t>
      </w:r>
      <w:r w:rsidRPr="001B7E14">
        <w:rPr>
          <w:rFonts w:ascii="Helvetica" w:hAnsi="Helvetica" w:cs="Helvetica"/>
          <w:sz w:val="22"/>
          <w:szCs w:val="22"/>
          <w:lang w:val="es-CO"/>
        </w:rPr>
        <w:t>de reconocimiento institucional, se determinó la existencia de los siguientes eventos de riesgo, definidos en el artículo 9 del Decreto 028 de 2008, en relación con el uso de los recursos del Sistema General de Participaciones en el Sector Educación.</w:t>
      </w:r>
    </w:p>
    <w:p w14:paraId="78048A0B" w14:textId="77777777" w:rsidR="00AD0693" w:rsidRPr="001B7E14" w:rsidRDefault="00AD0693" w:rsidP="00FA42BB">
      <w:pPr>
        <w:rPr>
          <w:rFonts w:ascii="Helvetica" w:eastAsiaTheme="minorHAnsi" w:hAnsi="Helvetica" w:cs="Helvetica"/>
          <w:sz w:val="22"/>
          <w:szCs w:val="22"/>
          <w:lang w:val="es-CO"/>
        </w:rPr>
      </w:pPr>
    </w:p>
    <w:p w14:paraId="6130B910" w14:textId="77777777" w:rsidR="00AD0693" w:rsidRPr="001B7E14" w:rsidRDefault="00AD0693" w:rsidP="00FA42BB">
      <w:pPr>
        <w:pStyle w:val="Ttulo2"/>
        <w:spacing w:before="0"/>
        <w:jc w:val="both"/>
        <w:rPr>
          <w:rFonts w:ascii="Helvetica" w:hAnsi="Helvetica" w:cs="Helvetica"/>
          <w:i/>
          <w:color w:val="auto"/>
          <w:sz w:val="22"/>
          <w:szCs w:val="22"/>
          <w:lang w:val="es-CO"/>
        </w:rPr>
      </w:pPr>
      <w:r w:rsidRPr="001B7E14">
        <w:rPr>
          <w:rFonts w:ascii="Helvetica" w:hAnsi="Helvetica" w:cs="Helvetica"/>
          <w:b/>
          <w:bCs/>
          <w:i/>
          <w:color w:val="auto"/>
          <w:sz w:val="22"/>
          <w:szCs w:val="22"/>
          <w:lang w:val="es-CO"/>
        </w:rPr>
        <w:t xml:space="preserve">EVENTO DE RIESGO 9.1. </w:t>
      </w:r>
      <w:r w:rsidRPr="001B7E14">
        <w:rPr>
          <w:rFonts w:ascii="Helvetica" w:hAnsi="Helvetica" w:cs="Helvetica"/>
          <w:bCs/>
          <w:i/>
          <w:iCs/>
          <w:color w:val="auto"/>
          <w:sz w:val="22"/>
          <w:szCs w:val="22"/>
          <w:lang w:val="es-CO"/>
        </w:rPr>
        <w:t>“</w:t>
      </w:r>
      <w:r w:rsidRPr="001B7E14">
        <w:rPr>
          <w:rFonts w:ascii="Helvetica" w:hAnsi="Helvetica" w:cs="Helvetica"/>
          <w:i/>
          <w:color w:val="auto"/>
          <w:sz w:val="22"/>
          <w:szCs w:val="22"/>
          <w:lang w:val="es-CO"/>
        </w:rPr>
        <w:t>No envío de información conforme a los plazos. condiciones y formatos indicados por el gobierno nacional. y/o haber remitido o entregado información incompleta o errónea”.</w:t>
      </w:r>
    </w:p>
    <w:p w14:paraId="25387866" w14:textId="77777777" w:rsidR="00AD0693" w:rsidRPr="001B7E14" w:rsidRDefault="00AD0693" w:rsidP="00FA42BB">
      <w:pPr>
        <w:rPr>
          <w:rFonts w:ascii="Helvetica" w:hAnsi="Helvetica" w:cs="Helvetica"/>
          <w:sz w:val="22"/>
          <w:szCs w:val="22"/>
          <w:lang w:val="es-CO"/>
        </w:rPr>
      </w:pPr>
    </w:p>
    <w:p w14:paraId="026FB5E1" w14:textId="77777777" w:rsidR="00AD0693" w:rsidRPr="001B7E14" w:rsidRDefault="00AD0693" w:rsidP="00FA42BB">
      <w:pPr>
        <w:pStyle w:val="Ttulo"/>
        <w:numPr>
          <w:ilvl w:val="0"/>
          <w:numId w:val="20"/>
        </w:numPr>
        <w:rPr>
          <w:rFonts w:ascii="Helvetica" w:hAnsi="Helvetica" w:cs="Helvetica"/>
          <w:szCs w:val="22"/>
        </w:rPr>
      </w:pPr>
      <w:r w:rsidRPr="001B7E14">
        <w:rPr>
          <w:rFonts w:ascii="Helvetica" w:hAnsi="Helvetica" w:cs="Helvetica"/>
          <w:szCs w:val="22"/>
        </w:rPr>
        <w:t>Inconsistencias en la información presupuestal y de tesorería reportada en el FUT</w:t>
      </w:r>
      <w:r w:rsidR="00E938D7" w:rsidRPr="001B7E14">
        <w:rPr>
          <w:rFonts w:ascii="Helvetica" w:hAnsi="Helvetica" w:cs="Helvetica"/>
          <w:szCs w:val="22"/>
        </w:rPr>
        <w:t xml:space="preserve"> y en el CUIPO</w:t>
      </w:r>
    </w:p>
    <w:p w14:paraId="12A11D88" w14:textId="77777777" w:rsidR="00AD0693" w:rsidRPr="001B7E14" w:rsidRDefault="00AD0693" w:rsidP="00FA42BB">
      <w:pPr>
        <w:rPr>
          <w:rFonts w:ascii="Helvetica" w:hAnsi="Helvetica" w:cs="Helvetica"/>
          <w:sz w:val="22"/>
          <w:szCs w:val="22"/>
          <w:lang w:val="es-CO"/>
        </w:rPr>
      </w:pPr>
    </w:p>
    <w:p w14:paraId="49F6A501"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El inciso 3 del artículo 2.6.4.1 del Decreto 1068 de 2015, modificado por el artículo 1 del Decreto 1536 de 2016, establece que la información de la ejecución presupuestal de ingresos y gastos reportada a través del FUT, debe ser consistente y coherente con la información contable reconocida y revelada en los términos definidos en el Régimen de Contabilidad Pública. Asimismo, artículo el artículo 39 de la Resolución 706 de 2016 menciona que se presume que la información contable reportada a la Contaduría General de la Nación a través del CHIP es la que corresponde a la entidad.</w:t>
      </w:r>
    </w:p>
    <w:p w14:paraId="1624E37E" w14:textId="77777777" w:rsidR="00AD0693" w:rsidRPr="001B7E14" w:rsidRDefault="00AD0693" w:rsidP="00FA42BB">
      <w:pPr>
        <w:jc w:val="both"/>
        <w:rPr>
          <w:rFonts w:ascii="Helvetica" w:hAnsi="Helvetica" w:cs="Helvetica"/>
          <w:sz w:val="22"/>
          <w:szCs w:val="22"/>
          <w:lang w:val="es-CO"/>
        </w:rPr>
      </w:pPr>
    </w:p>
    <w:p w14:paraId="2038213B"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En observancia de la normatividad anterior se encontraron las siguientes irregularidades frente al reporte de información al FUT:</w:t>
      </w:r>
    </w:p>
    <w:p w14:paraId="245FA0B6" w14:textId="77777777" w:rsidR="00AD0693" w:rsidRPr="001B7E14" w:rsidRDefault="00AD0693" w:rsidP="00FA42BB">
      <w:pPr>
        <w:jc w:val="both"/>
        <w:rPr>
          <w:rFonts w:ascii="Helvetica" w:hAnsi="Helvetica" w:cs="Helvetica"/>
          <w:sz w:val="22"/>
          <w:szCs w:val="22"/>
          <w:lang w:val="es-CO"/>
        </w:rPr>
      </w:pPr>
    </w:p>
    <w:p w14:paraId="03A53C83" w14:textId="77777777" w:rsidR="00AD0693" w:rsidRPr="001B7E14" w:rsidRDefault="00AD0693" w:rsidP="00FA42BB">
      <w:pPr>
        <w:jc w:val="both"/>
        <w:rPr>
          <w:rFonts w:ascii="Helvetica" w:hAnsi="Helvetica" w:cs="Helvetica"/>
          <w:b/>
          <w:sz w:val="22"/>
          <w:szCs w:val="22"/>
          <w:lang w:val="es-CO"/>
        </w:rPr>
      </w:pPr>
      <w:r w:rsidRPr="001B7E14">
        <w:rPr>
          <w:rFonts w:ascii="Helvetica" w:hAnsi="Helvetica" w:cs="Helvetica"/>
          <w:b/>
          <w:sz w:val="22"/>
          <w:szCs w:val="22"/>
          <w:lang w:val="es-CO"/>
        </w:rPr>
        <w:t>Vigencia 2020</w:t>
      </w:r>
    </w:p>
    <w:p w14:paraId="750F319F" w14:textId="77777777" w:rsidR="00AD0693" w:rsidRPr="001B7E14" w:rsidRDefault="00AD0693" w:rsidP="00FA42BB">
      <w:pPr>
        <w:jc w:val="both"/>
        <w:rPr>
          <w:rFonts w:ascii="Helvetica" w:hAnsi="Helvetica" w:cs="Helvetica"/>
          <w:b/>
          <w:sz w:val="22"/>
          <w:szCs w:val="22"/>
          <w:lang w:val="es-CO"/>
        </w:rPr>
      </w:pPr>
    </w:p>
    <w:p w14:paraId="62EF9E44" w14:textId="77777777" w:rsidR="00AD0693" w:rsidRPr="001B7E14" w:rsidRDefault="00AD0693" w:rsidP="00FA42BB">
      <w:pPr>
        <w:jc w:val="both"/>
        <w:rPr>
          <w:rFonts w:ascii="Helvetica" w:eastAsia="Times New Roman" w:hAnsi="Helvetica" w:cs="Helvetica"/>
          <w:sz w:val="22"/>
          <w:szCs w:val="22"/>
          <w:bdr w:val="none" w:sz="0" w:space="0" w:color="auto" w:frame="1"/>
          <w:lang w:val="es-ES_tradnl" w:eastAsia="es-CO"/>
        </w:rPr>
      </w:pPr>
      <w:r w:rsidRPr="001B7E14">
        <w:rPr>
          <w:rFonts w:ascii="Helvetica" w:eastAsia="Times New Roman" w:hAnsi="Helvetica" w:cs="Helvetica"/>
          <w:sz w:val="22"/>
          <w:szCs w:val="22"/>
          <w:bdr w:val="none" w:sz="0" w:space="0" w:color="auto" w:frame="1"/>
          <w:lang w:val="es-ES_tradnl" w:eastAsia="es-CO"/>
        </w:rPr>
        <w:t>Con respecto al reporte de gastos al FUT de 2020 se evidenció que si bien tanto en el FUT como en la ejecución presupuestal el valor total comprometido es igual a $51.869 millones, el reporte no coincide en algunos conceptos, es decir, se evidencia que existen fallas de reporte en los compromisos desagregados, tal y como se presenta a continuación:</w:t>
      </w:r>
    </w:p>
    <w:p w14:paraId="1D977A23" w14:textId="77777777" w:rsidR="00AD0693" w:rsidRPr="001B7E14" w:rsidRDefault="00AD0693" w:rsidP="00FA42BB">
      <w:pPr>
        <w:jc w:val="both"/>
        <w:rPr>
          <w:rFonts w:ascii="Helvetica" w:eastAsia="Times New Roman" w:hAnsi="Helvetica" w:cs="Helvetica"/>
          <w:sz w:val="22"/>
          <w:szCs w:val="22"/>
          <w:bdr w:val="none" w:sz="0" w:space="0" w:color="auto" w:frame="1"/>
          <w:lang w:val="es-ES_tradnl" w:eastAsia="es-CO"/>
        </w:rPr>
      </w:pPr>
    </w:p>
    <w:p w14:paraId="5735459D" w14:textId="77777777" w:rsidR="00AD0693" w:rsidRPr="001B7E14" w:rsidRDefault="00AD0693" w:rsidP="00FA42BB">
      <w:pPr>
        <w:pStyle w:val="Prrafodelista"/>
        <w:numPr>
          <w:ilvl w:val="0"/>
          <w:numId w:val="24"/>
        </w:numPr>
        <w:ind w:left="284" w:hanging="284"/>
        <w:jc w:val="both"/>
        <w:rPr>
          <w:rFonts w:ascii="Helvetica" w:eastAsia="Times New Roman" w:hAnsi="Helvetica" w:cs="Helvetica"/>
          <w:sz w:val="22"/>
          <w:szCs w:val="22"/>
          <w:bdr w:val="none" w:sz="0" w:space="0" w:color="auto" w:frame="1"/>
          <w:lang w:val="es-ES_tradnl" w:eastAsia="es-CO"/>
        </w:rPr>
      </w:pPr>
      <w:r w:rsidRPr="001B7E14">
        <w:rPr>
          <w:rFonts w:ascii="Helvetica" w:eastAsia="Times New Roman" w:hAnsi="Helvetica" w:cs="Helvetica"/>
          <w:b/>
          <w:bCs/>
          <w:sz w:val="22"/>
          <w:szCs w:val="22"/>
          <w:bdr w:val="none" w:sz="0" w:space="0" w:color="auto" w:frame="1"/>
          <w:lang w:val="es-ES_tradnl" w:eastAsia="es-CO"/>
        </w:rPr>
        <w:t>Gastos de Personal Docente:</w:t>
      </w:r>
      <w:r w:rsidRPr="001B7E14">
        <w:rPr>
          <w:rFonts w:ascii="Helvetica" w:eastAsia="Times New Roman" w:hAnsi="Helvetica" w:cs="Helvetica"/>
          <w:sz w:val="22"/>
          <w:szCs w:val="22"/>
          <w:bdr w:val="none" w:sz="0" w:space="0" w:color="auto" w:frame="1"/>
          <w:lang w:val="es-ES_tradnl" w:eastAsia="es-CO"/>
        </w:rPr>
        <w:t xml:space="preserve"> Se comprometi</w:t>
      </w:r>
      <w:r w:rsidR="00E40A9F" w:rsidRPr="001B7E14">
        <w:rPr>
          <w:rFonts w:ascii="Helvetica" w:eastAsia="Times New Roman" w:hAnsi="Helvetica" w:cs="Helvetica"/>
          <w:sz w:val="22"/>
          <w:szCs w:val="22"/>
          <w:bdr w:val="none" w:sz="0" w:space="0" w:color="auto" w:frame="1"/>
          <w:lang w:val="es-ES_tradnl" w:eastAsia="es-CO"/>
        </w:rPr>
        <w:t>eron</w:t>
      </w:r>
      <w:r w:rsidRPr="001B7E14">
        <w:rPr>
          <w:rFonts w:ascii="Helvetica" w:eastAsia="Times New Roman" w:hAnsi="Helvetica" w:cs="Helvetica"/>
          <w:sz w:val="22"/>
          <w:szCs w:val="22"/>
          <w:bdr w:val="none" w:sz="0" w:space="0" w:color="auto" w:frame="1"/>
          <w:lang w:val="es-ES_tradnl" w:eastAsia="es-CO"/>
        </w:rPr>
        <w:t xml:space="preserve"> en la ejecución presupuestal $14.031 millones y la entidad reportó en el FUT $13.871 millones. </w:t>
      </w:r>
    </w:p>
    <w:p w14:paraId="31BC7B04" w14:textId="77777777" w:rsidR="00AD0693" w:rsidRPr="001B7E14" w:rsidRDefault="00AD0693" w:rsidP="00FA42BB">
      <w:pPr>
        <w:pStyle w:val="xmsonormal"/>
        <w:numPr>
          <w:ilvl w:val="0"/>
          <w:numId w:val="24"/>
        </w:numPr>
        <w:shd w:val="clear" w:color="auto" w:fill="FFFFFF"/>
        <w:spacing w:before="0" w:beforeAutospacing="0" w:after="0" w:afterAutospacing="0"/>
        <w:ind w:left="284" w:hanging="284"/>
        <w:jc w:val="both"/>
        <w:rPr>
          <w:rFonts w:ascii="Helvetica" w:eastAsiaTheme="minorHAnsi" w:hAnsi="Helvetica" w:cs="Helvetica"/>
          <w:sz w:val="22"/>
          <w:szCs w:val="22"/>
          <w:lang w:val="es-MX" w:eastAsia="en-US"/>
        </w:rPr>
      </w:pPr>
      <w:r w:rsidRPr="001B7E14">
        <w:rPr>
          <w:rFonts w:ascii="Helvetica" w:eastAsiaTheme="minorHAnsi" w:hAnsi="Helvetica" w:cs="Helvetica"/>
          <w:b/>
          <w:bCs/>
          <w:sz w:val="22"/>
          <w:szCs w:val="22"/>
          <w:lang w:val="es-MX" w:eastAsia="en-US"/>
        </w:rPr>
        <w:t>Gastos de Directivo – Docente</w:t>
      </w:r>
      <w:r w:rsidRPr="001B7E14">
        <w:rPr>
          <w:rFonts w:ascii="Helvetica" w:eastAsiaTheme="minorHAnsi" w:hAnsi="Helvetica" w:cs="Helvetica"/>
          <w:sz w:val="22"/>
          <w:szCs w:val="22"/>
          <w:lang w:val="es-MX" w:eastAsia="en-US"/>
        </w:rPr>
        <w:t>: Se comprometi</w:t>
      </w:r>
      <w:r w:rsidR="00E40A9F" w:rsidRPr="001B7E14">
        <w:rPr>
          <w:rFonts w:ascii="Helvetica" w:eastAsiaTheme="minorHAnsi" w:hAnsi="Helvetica" w:cs="Helvetica"/>
          <w:sz w:val="22"/>
          <w:szCs w:val="22"/>
          <w:lang w:val="es-MX" w:eastAsia="en-US"/>
        </w:rPr>
        <w:t>eron</w:t>
      </w:r>
      <w:r w:rsidRPr="001B7E14">
        <w:rPr>
          <w:rFonts w:ascii="Helvetica" w:eastAsiaTheme="minorHAnsi" w:hAnsi="Helvetica" w:cs="Helvetica"/>
          <w:sz w:val="22"/>
          <w:szCs w:val="22"/>
          <w:lang w:val="es-MX" w:eastAsia="en-US"/>
        </w:rPr>
        <w:t xml:space="preserve"> en la ejecución presupuestal $1.653 millones y la entidad reportó en el FUT $1.855 millones.</w:t>
      </w:r>
    </w:p>
    <w:p w14:paraId="26C82045" w14:textId="77777777" w:rsidR="00AD0693" w:rsidRPr="001B7E14" w:rsidRDefault="00AD0693" w:rsidP="00FA42BB">
      <w:pPr>
        <w:pStyle w:val="xmsonormal"/>
        <w:numPr>
          <w:ilvl w:val="0"/>
          <w:numId w:val="24"/>
        </w:numPr>
        <w:shd w:val="clear" w:color="auto" w:fill="FFFFFF"/>
        <w:spacing w:before="0" w:beforeAutospacing="0" w:after="0" w:afterAutospacing="0"/>
        <w:ind w:left="284" w:hanging="284"/>
        <w:jc w:val="both"/>
        <w:rPr>
          <w:rFonts w:ascii="Helvetica" w:eastAsiaTheme="minorHAnsi" w:hAnsi="Helvetica" w:cs="Helvetica"/>
          <w:sz w:val="22"/>
          <w:szCs w:val="22"/>
          <w:lang w:val="es-MX" w:eastAsia="en-US"/>
        </w:rPr>
      </w:pPr>
      <w:r w:rsidRPr="001B7E14">
        <w:rPr>
          <w:rFonts w:ascii="Helvetica" w:eastAsiaTheme="minorHAnsi" w:hAnsi="Helvetica" w:cs="Helvetica"/>
          <w:b/>
          <w:bCs/>
          <w:sz w:val="22"/>
          <w:szCs w:val="22"/>
          <w:lang w:val="es-MX" w:eastAsia="en-US"/>
        </w:rPr>
        <w:lastRenderedPageBreak/>
        <w:t xml:space="preserve">Recursos SSF: </w:t>
      </w:r>
      <w:r w:rsidRPr="001B7E14">
        <w:rPr>
          <w:rFonts w:ascii="Helvetica" w:eastAsiaTheme="minorHAnsi" w:hAnsi="Helvetica" w:cs="Helvetica"/>
          <w:sz w:val="22"/>
          <w:szCs w:val="22"/>
          <w:lang w:val="es-MX" w:eastAsia="en-US"/>
        </w:rPr>
        <w:t>Se comprometi</w:t>
      </w:r>
      <w:r w:rsidR="00E40A9F" w:rsidRPr="001B7E14">
        <w:rPr>
          <w:rFonts w:ascii="Helvetica" w:eastAsiaTheme="minorHAnsi" w:hAnsi="Helvetica" w:cs="Helvetica"/>
          <w:sz w:val="22"/>
          <w:szCs w:val="22"/>
          <w:lang w:val="es-MX" w:eastAsia="en-US"/>
        </w:rPr>
        <w:t xml:space="preserve">eron </w:t>
      </w:r>
      <w:r w:rsidRPr="001B7E14">
        <w:rPr>
          <w:rFonts w:ascii="Helvetica" w:eastAsiaTheme="minorHAnsi" w:hAnsi="Helvetica" w:cs="Helvetica"/>
          <w:sz w:val="22"/>
          <w:szCs w:val="22"/>
          <w:lang w:val="es-MX" w:eastAsia="en-US"/>
        </w:rPr>
        <w:t xml:space="preserve">en la ejecución presupuestal $3.400 millones y la entidad reportó en el FUT $2.632 millones. </w:t>
      </w:r>
    </w:p>
    <w:p w14:paraId="668ACC68" w14:textId="77777777" w:rsidR="00AD0693" w:rsidRPr="001B7E14" w:rsidRDefault="00AD0693" w:rsidP="00FA42BB">
      <w:pPr>
        <w:pStyle w:val="xmsonormal"/>
        <w:numPr>
          <w:ilvl w:val="0"/>
          <w:numId w:val="24"/>
        </w:numPr>
        <w:shd w:val="clear" w:color="auto" w:fill="FFFFFF"/>
        <w:spacing w:before="0" w:beforeAutospacing="0" w:after="0" w:afterAutospacing="0"/>
        <w:ind w:left="284" w:hanging="284"/>
        <w:jc w:val="both"/>
        <w:rPr>
          <w:rFonts w:ascii="Helvetica" w:eastAsiaTheme="minorHAnsi" w:hAnsi="Helvetica" w:cs="Helvetica"/>
          <w:sz w:val="22"/>
          <w:szCs w:val="22"/>
          <w:lang w:val="es-MX" w:eastAsia="en-US"/>
        </w:rPr>
      </w:pPr>
      <w:r w:rsidRPr="001B7E14">
        <w:rPr>
          <w:rFonts w:ascii="Helvetica" w:eastAsiaTheme="minorHAnsi" w:hAnsi="Helvetica" w:cs="Helvetica"/>
          <w:b/>
          <w:bCs/>
          <w:sz w:val="22"/>
          <w:szCs w:val="22"/>
          <w:lang w:val="es-MX" w:eastAsia="en-US"/>
        </w:rPr>
        <w:t xml:space="preserve">Recursos CSF: </w:t>
      </w:r>
      <w:r w:rsidRPr="001B7E14">
        <w:rPr>
          <w:rFonts w:ascii="Helvetica" w:eastAsiaTheme="minorHAnsi" w:hAnsi="Helvetica" w:cs="Helvetica"/>
          <w:sz w:val="22"/>
          <w:szCs w:val="22"/>
          <w:lang w:val="es-MX" w:eastAsia="en-US"/>
        </w:rPr>
        <w:t>Se comprometi</w:t>
      </w:r>
      <w:r w:rsidR="00E40A9F" w:rsidRPr="001B7E14">
        <w:rPr>
          <w:rFonts w:ascii="Helvetica" w:eastAsiaTheme="minorHAnsi" w:hAnsi="Helvetica" w:cs="Helvetica"/>
          <w:sz w:val="22"/>
          <w:szCs w:val="22"/>
          <w:lang w:val="es-MX" w:eastAsia="en-US"/>
        </w:rPr>
        <w:t xml:space="preserve">eron </w:t>
      </w:r>
      <w:r w:rsidRPr="001B7E14">
        <w:rPr>
          <w:rFonts w:ascii="Helvetica" w:eastAsiaTheme="minorHAnsi" w:hAnsi="Helvetica" w:cs="Helvetica"/>
          <w:sz w:val="22"/>
          <w:szCs w:val="22"/>
          <w:lang w:val="es-MX" w:eastAsia="en-US"/>
        </w:rPr>
        <w:t>en la ejecución presupuestal $1.875 millones y la entidad reportó en el FUT $2.601 millones.</w:t>
      </w:r>
    </w:p>
    <w:p w14:paraId="75D0ADB6" w14:textId="77777777" w:rsidR="00AD0693" w:rsidRPr="001B7E14" w:rsidRDefault="00AD0693" w:rsidP="00FA42BB">
      <w:pPr>
        <w:pStyle w:val="xmsonormal"/>
        <w:numPr>
          <w:ilvl w:val="0"/>
          <w:numId w:val="24"/>
        </w:numPr>
        <w:shd w:val="clear" w:color="auto" w:fill="FFFFFF"/>
        <w:spacing w:before="0" w:beforeAutospacing="0" w:after="0" w:afterAutospacing="0"/>
        <w:ind w:left="284" w:hanging="284"/>
        <w:jc w:val="both"/>
        <w:rPr>
          <w:rFonts w:ascii="Helvetica" w:eastAsiaTheme="minorHAnsi" w:hAnsi="Helvetica" w:cs="Helvetica"/>
          <w:sz w:val="22"/>
          <w:szCs w:val="22"/>
          <w:lang w:val="es-MX" w:eastAsia="en-US"/>
        </w:rPr>
      </w:pPr>
      <w:r w:rsidRPr="001B7E14">
        <w:rPr>
          <w:rFonts w:ascii="Helvetica" w:eastAsiaTheme="minorHAnsi" w:hAnsi="Helvetica" w:cs="Helvetica"/>
          <w:b/>
          <w:bCs/>
          <w:sz w:val="22"/>
          <w:szCs w:val="22"/>
          <w:lang w:val="es-MX" w:eastAsia="en-US"/>
        </w:rPr>
        <w:t xml:space="preserve">Conectividad: </w:t>
      </w:r>
      <w:r w:rsidRPr="001B7E14">
        <w:rPr>
          <w:rFonts w:ascii="Helvetica" w:eastAsiaTheme="minorHAnsi" w:hAnsi="Helvetica" w:cs="Helvetica"/>
          <w:sz w:val="22"/>
          <w:szCs w:val="22"/>
          <w:lang w:val="es-MX" w:eastAsia="en-US"/>
        </w:rPr>
        <w:t>Se comprometi</w:t>
      </w:r>
      <w:r w:rsidR="00E40A9F" w:rsidRPr="001B7E14">
        <w:rPr>
          <w:rFonts w:ascii="Helvetica" w:eastAsiaTheme="minorHAnsi" w:hAnsi="Helvetica" w:cs="Helvetica"/>
          <w:sz w:val="22"/>
          <w:szCs w:val="22"/>
          <w:lang w:val="es-MX" w:eastAsia="en-US"/>
        </w:rPr>
        <w:t xml:space="preserve">eron </w:t>
      </w:r>
      <w:r w:rsidRPr="001B7E14">
        <w:rPr>
          <w:rFonts w:ascii="Helvetica" w:eastAsiaTheme="minorHAnsi" w:hAnsi="Helvetica" w:cs="Helvetica"/>
          <w:sz w:val="22"/>
          <w:szCs w:val="22"/>
          <w:lang w:val="es-MX" w:eastAsia="en-US"/>
        </w:rPr>
        <w:t xml:space="preserve">en la ejecución presupuestal $42 millones y la entidad reportó en el FUT $0 millones. </w:t>
      </w:r>
    </w:p>
    <w:p w14:paraId="61A50997" w14:textId="77777777" w:rsidR="00AD0693" w:rsidRPr="001B7E14" w:rsidRDefault="00AD0693" w:rsidP="00FA42BB">
      <w:pPr>
        <w:pStyle w:val="xmsonormal"/>
        <w:numPr>
          <w:ilvl w:val="0"/>
          <w:numId w:val="24"/>
        </w:numPr>
        <w:shd w:val="clear" w:color="auto" w:fill="FFFFFF"/>
        <w:spacing w:before="0" w:beforeAutospacing="0" w:after="0" w:afterAutospacing="0"/>
        <w:ind w:left="284" w:hanging="284"/>
        <w:jc w:val="both"/>
        <w:rPr>
          <w:rFonts w:ascii="Helvetica" w:eastAsiaTheme="minorHAnsi" w:hAnsi="Helvetica" w:cs="Helvetica"/>
          <w:sz w:val="22"/>
          <w:szCs w:val="22"/>
          <w:lang w:val="es-MX" w:eastAsia="en-US"/>
        </w:rPr>
      </w:pPr>
      <w:r w:rsidRPr="001B7E14">
        <w:rPr>
          <w:rFonts w:ascii="Helvetica" w:eastAsiaTheme="minorHAnsi" w:hAnsi="Helvetica" w:cs="Helvetica"/>
          <w:b/>
          <w:bCs/>
          <w:sz w:val="22"/>
          <w:szCs w:val="22"/>
          <w:lang w:val="es-MX" w:eastAsia="en-US"/>
        </w:rPr>
        <w:t xml:space="preserve">Internados: </w:t>
      </w:r>
      <w:r w:rsidRPr="001B7E14">
        <w:rPr>
          <w:rFonts w:ascii="Helvetica" w:eastAsiaTheme="minorHAnsi" w:hAnsi="Helvetica" w:cs="Helvetica"/>
          <w:sz w:val="22"/>
          <w:szCs w:val="22"/>
          <w:lang w:val="es-MX" w:eastAsia="en-US"/>
        </w:rPr>
        <w:t>Se comprometi</w:t>
      </w:r>
      <w:r w:rsidR="00E40A9F" w:rsidRPr="001B7E14">
        <w:rPr>
          <w:rFonts w:ascii="Helvetica" w:eastAsiaTheme="minorHAnsi" w:hAnsi="Helvetica" w:cs="Helvetica"/>
          <w:sz w:val="22"/>
          <w:szCs w:val="22"/>
          <w:lang w:val="es-MX" w:eastAsia="en-US"/>
        </w:rPr>
        <w:t>eron</w:t>
      </w:r>
      <w:r w:rsidRPr="001B7E14">
        <w:rPr>
          <w:rFonts w:ascii="Helvetica" w:eastAsiaTheme="minorHAnsi" w:hAnsi="Helvetica" w:cs="Helvetica"/>
          <w:sz w:val="22"/>
          <w:szCs w:val="22"/>
          <w:lang w:val="es-MX" w:eastAsia="en-US"/>
        </w:rPr>
        <w:t xml:space="preserve"> en la ejecución presupuestal $8.209 millones y la entidad reportó en el FUT $6.699 millones. </w:t>
      </w:r>
    </w:p>
    <w:p w14:paraId="136DC40B" w14:textId="77777777" w:rsidR="00AD0693" w:rsidRPr="001B7E14" w:rsidRDefault="00AD0693" w:rsidP="00FA42BB">
      <w:pPr>
        <w:jc w:val="both"/>
        <w:rPr>
          <w:rFonts w:ascii="Helvetica" w:hAnsi="Helvetica" w:cs="Helvetica"/>
          <w:b/>
          <w:sz w:val="22"/>
          <w:szCs w:val="22"/>
          <w:lang w:val="es-CO"/>
        </w:rPr>
      </w:pPr>
    </w:p>
    <w:p w14:paraId="750699D5" w14:textId="77777777" w:rsidR="00AD0693" w:rsidRPr="001B7E14" w:rsidRDefault="00AD0693" w:rsidP="00FA42BB">
      <w:pPr>
        <w:jc w:val="both"/>
        <w:rPr>
          <w:rFonts w:ascii="Helvetica" w:hAnsi="Helvetica" w:cs="Helvetica"/>
          <w:sz w:val="22"/>
          <w:szCs w:val="22"/>
        </w:rPr>
      </w:pPr>
      <w:r w:rsidRPr="001B7E14">
        <w:rPr>
          <w:rFonts w:ascii="Helvetica" w:hAnsi="Helvetica" w:cs="Helvetica"/>
          <w:sz w:val="22"/>
          <w:szCs w:val="22"/>
        </w:rPr>
        <w:t>Con respecto al reporte de la categoría de cierre fiscal en el FUT de la vigencia 2020, se observa que los valores de las exigibilidades $1.087 millones, las reservas $1.910 millones y el superávit $13.514 millones no coinciden con el valor certificado por tesorería</w:t>
      </w:r>
      <w:r w:rsidR="00E40A9F" w:rsidRPr="001B7E14">
        <w:rPr>
          <w:rFonts w:ascii="Helvetica" w:hAnsi="Helvetica" w:cs="Helvetica"/>
          <w:sz w:val="22"/>
          <w:szCs w:val="22"/>
        </w:rPr>
        <w:t>:</w:t>
      </w:r>
      <w:r w:rsidRPr="001B7E14">
        <w:rPr>
          <w:rFonts w:ascii="Helvetica" w:hAnsi="Helvetica" w:cs="Helvetica"/>
          <w:sz w:val="22"/>
          <w:szCs w:val="22"/>
        </w:rPr>
        <w:t xml:space="preserve"> exigibilidades por $2.746 millones, reservas por $1.765 millones y un superávit de $12.203 millones.</w:t>
      </w:r>
    </w:p>
    <w:p w14:paraId="1948774B" w14:textId="77777777" w:rsidR="00AD0693" w:rsidRPr="001B7E14" w:rsidRDefault="00AD0693" w:rsidP="00FA42BB">
      <w:pPr>
        <w:jc w:val="both"/>
        <w:rPr>
          <w:rFonts w:ascii="Helvetica" w:hAnsi="Helvetica" w:cs="Helvetica"/>
          <w:b/>
          <w:sz w:val="22"/>
          <w:szCs w:val="22"/>
          <w:lang w:val="es-CO"/>
        </w:rPr>
      </w:pPr>
    </w:p>
    <w:p w14:paraId="0C1535EA" w14:textId="77777777" w:rsidR="00AD0693" w:rsidRPr="001B7E14" w:rsidRDefault="00AD0693" w:rsidP="00FA42BB">
      <w:pPr>
        <w:jc w:val="both"/>
        <w:rPr>
          <w:rFonts w:ascii="Helvetica" w:hAnsi="Helvetica" w:cs="Helvetica"/>
          <w:b/>
          <w:sz w:val="22"/>
          <w:szCs w:val="22"/>
          <w:lang w:val="es-CO"/>
        </w:rPr>
      </w:pPr>
      <w:r w:rsidRPr="001B7E14">
        <w:rPr>
          <w:rFonts w:ascii="Helvetica" w:hAnsi="Helvetica" w:cs="Helvetica"/>
          <w:b/>
          <w:sz w:val="22"/>
          <w:szCs w:val="22"/>
          <w:lang w:val="es-CO"/>
        </w:rPr>
        <w:t>Vigencia 2021</w:t>
      </w:r>
    </w:p>
    <w:p w14:paraId="24C2184B" w14:textId="77777777" w:rsidR="00AD0693" w:rsidRPr="001B7E14" w:rsidRDefault="00AD0693" w:rsidP="00FA42BB">
      <w:pPr>
        <w:jc w:val="both"/>
        <w:rPr>
          <w:rFonts w:ascii="Helvetica" w:hAnsi="Helvetica" w:cs="Helvetica"/>
          <w:b/>
          <w:sz w:val="22"/>
          <w:szCs w:val="22"/>
          <w:lang w:val="es-CO"/>
        </w:rPr>
      </w:pPr>
    </w:p>
    <w:p w14:paraId="452AB742" w14:textId="77777777" w:rsidR="00AD0693" w:rsidRPr="001B7E14" w:rsidRDefault="00AD0693" w:rsidP="00FA42BB">
      <w:pPr>
        <w:jc w:val="both"/>
        <w:rPr>
          <w:rFonts w:ascii="Helvetica" w:hAnsi="Helvetica" w:cs="Helvetica"/>
          <w:sz w:val="22"/>
          <w:szCs w:val="22"/>
        </w:rPr>
      </w:pPr>
      <w:r w:rsidRPr="001B7E14">
        <w:rPr>
          <w:rFonts w:ascii="Helvetica" w:hAnsi="Helvetica" w:cs="Helvetica"/>
          <w:sz w:val="22"/>
          <w:szCs w:val="22"/>
        </w:rPr>
        <w:t>Con respecto al reporte de ingresos en el FUT de la vigencia 2021</w:t>
      </w:r>
      <w:r w:rsidR="00E40A9F" w:rsidRPr="001B7E14">
        <w:rPr>
          <w:rFonts w:ascii="Helvetica" w:hAnsi="Helvetica" w:cs="Helvetica"/>
          <w:sz w:val="22"/>
          <w:szCs w:val="22"/>
        </w:rPr>
        <w:t>,</w:t>
      </w:r>
      <w:r w:rsidRPr="001B7E14">
        <w:rPr>
          <w:rFonts w:ascii="Helvetica" w:hAnsi="Helvetica" w:cs="Helvetica"/>
          <w:sz w:val="22"/>
          <w:szCs w:val="22"/>
        </w:rPr>
        <w:t xml:space="preserve"> se evidenció que el valor total reportado </w:t>
      </w:r>
      <w:r w:rsidR="00E40A9F" w:rsidRPr="001B7E14">
        <w:rPr>
          <w:rFonts w:ascii="Helvetica" w:hAnsi="Helvetica" w:cs="Helvetica"/>
          <w:sz w:val="22"/>
          <w:szCs w:val="22"/>
        </w:rPr>
        <w:t xml:space="preserve">($78.625 millones) </w:t>
      </w:r>
      <w:r w:rsidRPr="001B7E14">
        <w:rPr>
          <w:rFonts w:ascii="Helvetica" w:hAnsi="Helvetica" w:cs="Helvetica"/>
          <w:sz w:val="22"/>
          <w:szCs w:val="22"/>
        </w:rPr>
        <w:t>no coincide con el valor recaudado en la ejecución presupuestal</w:t>
      </w:r>
      <w:r w:rsidR="00E40A9F" w:rsidRPr="001B7E14">
        <w:rPr>
          <w:rFonts w:ascii="Helvetica" w:hAnsi="Helvetica" w:cs="Helvetica"/>
          <w:sz w:val="22"/>
          <w:szCs w:val="22"/>
        </w:rPr>
        <w:t xml:space="preserve"> (</w:t>
      </w:r>
      <w:r w:rsidRPr="001B7E14">
        <w:rPr>
          <w:rFonts w:ascii="Helvetica" w:hAnsi="Helvetica" w:cs="Helvetica"/>
          <w:sz w:val="22"/>
          <w:szCs w:val="22"/>
        </w:rPr>
        <w:t>$79.768 millones</w:t>
      </w:r>
      <w:r w:rsidR="00E40A9F" w:rsidRPr="001B7E14">
        <w:rPr>
          <w:rFonts w:ascii="Helvetica" w:hAnsi="Helvetica" w:cs="Helvetica"/>
          <w:sz w:val="22"/>
          <w:szCs w:val="22"/>
        </w:rPr>
        <w:t>)</w:t>
      </w:r>
      <w:r w:rsidRPr="001B7E14">
        <w:rPr>
          <w:rFonts w:ascii="Helvetica" w:hAnsi="Helvetica" w:cs="Helvetica"/>
          <w:sz w:val="22"/>
          <w:szCs w:val="22"/>
        </w:rPr>
        <w:t>, presentándose una diferencia de $1.143 millones. A nivel desagregado se destacan las siguientes diferencias:</w:t>
      </w:r>
    </w:p>
    <w:p w14:paraId="12C539CB" w14:textId="77777777" w:rsidR="00AD0693" w:rsidRPr="001B7E14" w:rsidRDefault="00AD0693" w:rsidP="00FA42BB">
      <w:pPr>
        <w:jc w:val="both"/>
        <w:rPr>
          <w:rFonts w:ascii="Helvetica" w:hAnsi="Helvetica" w:cs="Helvetica"/>
          <w:sz w:val="22"/>
          <w:szCs w:val="22"/>
        </w:rPr>
      </w:pPr>
    </w:p>
    <w:p w14:paraId="3346D9EB" w14:textId="77777777" w:rsidR="00AD0693" w:rsidRPr="001B7E14" w:rsidRDefault="00AD0693" w:rsidP="00FA42BB">
      <w:pPr>
        <w:pStyle w:val="Prrafodelista"/>
        <w:numPr>
          <w:ilvl w:val="0"/>
          <w:numId w:val="26"/>
        </w:numPr>
        <w:ind w:left="284" w:hanging="284"/>
        <w:jc w:val="both"/>
        <w:rPr>
          <w:rFonts w:ascii="Helvetica" w:hAnsi="Helvetica" w:cs="Helvetica"/>
          <w:b/>
          <w:bCs/>
          <w:sz w:val="22"/>
          <w:szCs w:val="22"/>
          <w:lang w:val="es-MX"/>
        </w:rPr>
      </w:pPr>
      <w:r w:rsidRPr="001B7E14">
        <w:rPr>
          <w:rFonts w:ascii="Helvetica" w:hAnsi="Helvetica" w:cs="Helvetica"/>
          <w:b/>
          <w:bCs/>
          <w:sz w:val="22"/>
          <w:szCs w:val="22"/>
          <w:lang w:val="es-MX"/>
        </w:rPr>
        <w:t xml:space="preserve">Prestación de servicio SSF: </w:t>
      </w:r>
      <w:r w:rsidRPr="001B7E14">
        <w:rPr>
          <w:rFonts w:ascii="Helvetica" w:hAnsi="Helvetica" w:cs="Helvetica"/>
          <w:sz w:val="22"/>
          <w:szCs w:val="22"/>
          <w:lang w:val="es-MX"/>
        </w:rPr>
        <w:t>En la ejecución presupuestal se recaudaron $3.739 millones y en la categoría de ingresos no se reportaron recaudos sin situación de fondos.</w:t>
      </w:r>
    </w:p>
    <w:p w14:paraId="4022D68D" w14:textId="77777777" w:rsidR="00AD0693" w:rsidRPr="001B7E14" w:rsidRDefault="00AD0693" w:rsidP="00FA42BB">
      <w:pPr>
        <w:pStyle w:val="Prrafodelista"/>
        <w:numPr>
          <w:ilvl w:val="0"/>
          <w:numId w:val="26"/>
        </w:numPr>
        <w:ind w:left="284" w:hanging="284"/>
        <w:jc w:val="both"/>
        <w:rPr>
          <w:rFonts w:ascii="Helvetica" w:hAnsi="Helvetica" w:cs="Helvetica"/>
          <w:b/>
          <w:bCs/>
          <w:sz w:val="22"/>
          <w:szCs w:val="22"/>
          <w:lang w:val="es-MX"/>
        </w:rPr>
      </w:pPr>
      <w:r w:rsidRPr="001B7E14">
        <w:rPr>
          <w:rFonts w:ascii="Helvetica" w:hAnsi="Helvetica" w:cs="Helvetica"/>
          <w:b/>
          <w:bCs/>
          <w:sz w:val="22"/>
          <w:szCs w:val="22"/>
          <w:lang w:val="es-MX"/>
        </w:rPr>
        <w:t xml:space="preserve">Prestación de servicio CSF: </w:t>
      </w:r>
      <w:r w:rsidRPr="001B7E14">
        <w:rPr>
          <w:rFonts w:ascii="Helvetica" w:hAnsi="Helvetica" w:cs="Helvetica"/>
          <w:sz w:val="22"/>
          <w:szCs w:val="22"/>
          <w:lang w:val="es-MX"/>
        </w:rPr>
        <w:t>Se recaudaron en la ejecución presupuestal $61.775 millones y se report</w:t>
      </w:r>
      <w:r w:rsidR="00E40A9F" w:rsidRPr="001B7E14">
        <w:rPr>
          <w:rFonts w:ascii="Helvetica" w:hAnsi="Helvetica" w:cs="Helvetica"/>
          <w:sz w:val="22"/>
          <w:szCs w:val="22"/>
          <w:lang w:val="es-MX"/>
        </w:rPr>
        <w:t xml:space="preserve">aron </w:t>
      </w:r>
      <w:r w:rsidRPr="001B7E14">
        <w:rPr>
          <w:rFonts w:ascii="Helvetica" w:hAnsi="Helvetica" w:cs="Helvetica"/>
          <w:sz w:val="22"/>
          <w:szCs w:val="22"/>
          <w:lang w:val="es-MX"/>
        </w:rPr>
        <w:t>al FUT ingresos por este concepto por $61.832 millones, presentándose una diferencia de $56 millones.</w:t>
      </w:r>
    </w:p>
    <w:p w14:paraId="138DB252" w14:textId="77777777" w:rsidR="00AD0693" w:rsidRPr="001B7E14" w:rsidRDefault="00AD0693" w:rsidP="00FA42BB">
      <w:pPr>
        <w:pStyle w:val="Prrafodelista"/>
        <w:numPr>
          <w:ilvl w:val="0"/>
          <w:numId w:val="26"/>
        </w:numPr>
        <w:ind w:left="284" w:hanging="284"/>
        <w:jc w:val="both"/>
        <w:rPr>
          <w:rFonts w:ascii="Helvetica" w:hAnsi="Helvetica" w:cs="Helvetica"/>
          <w:sz w:val="22"/>
          <w:szCs w:val="22"/>
          <w:lang w:val="es-MX"/>
        </w:rPr>
      </w:pPr>
      <w:r w:rsidRPr="001B7E14">
        <w:rPr>
          <w:rFonts w:ascii="Helvetica" w:hAnsi="Helvetica" w:cs="Helvetica"/>
          <w:b/>
          <w:bCs/>
          <w:sz w:val="22"/>
          <w:szCs w:val="22"/>
          <w:lang w:val="es-MX"/>
        </w:rPr>
        <w:t>Calidad:</w:t>
      </w:r>
      <w:r w:rsidR="00507D31" w:rsidRPr="001B7E14">
        <w:rPr>
          <w:rFonts w:ascii="Helvetica" w:hAnsi="Helvetica" w:cs="Helvetica"/>
          <w:b/>
          <w:bCs/>
          <w:sz w:val="22"/>
          <w:szCs w:val="22"/>
          <w:lang w:val="es-MX"/>
        </w:rPr>
        <w:t xml:space="preserve"> </w:t>
      </w:r>
      <w:r w:rsidRPr="001B7E14">
        <w:rPr>
          <w:rFonts w:ascii="Helvetica" w:hAnsi="Helvetica" w:cs="Helvetica"/>
          <w:sz w:val="22"/>
          <w:szCs w:val="22"/>
          <w:lang w:val="es-MX"/>
        </w:rPr>
        <w:t>En la ejecución presupuestal se recaudaron $378 millones de recursos corrientes de calidad, sin embargo, en el FUT reportaron en los recursos corrientes de calidad ingresos por $753 millones, es decir 374 millones adicionales los cuales corresponden a recursos del balance, dado que en la ejecución presupuestal se re</w:t>
      </w:r>
      <w:r w:rsidR="00E40A9F" w:rsidRPr="001B7E14">
        <w:rPr>
          <w:rFonts w:ascii="Helvetica" w:hAnsi="Helvetica" w:cs="Helvetica"/>
          <w:sz w:val="22"/>
          <w:szCs w:val="22"/>
          <w:lang w:val="es-MX"/>
        </w:rPr>
        <w:t xml:space="preserve">gistró el recaudo del </w:t>
      </w:r>
      <w:r w:rsidRPr="001B7E14">
        <w:rPr>
          <w:rFonts w:ascii="Helvetica" w:hAnsi="Helvetica" w:cs="Helvetica"/>
          <w:sz w:val="22"/>
          <w:szCs w:val="22"/>
          <w:lang w:val="es-MX"/>
        </w:rPr>
        <w:t xml:space="preserve">superávit de calidad </w:t>
      </w:r>
      <w:r w:rsidR="00E40A9F" w:rsidRPr="001B7E14">
        <w:rPr>
          <w:rFonts w:ascii="Helvetica" w:hAnsi="Helvetica" w:cs="Helvetica"/>
          <w:sz w:val="22"/>
          <w:szCs w:val="22"/>
          <w:lang w:val="es-MX"/>
        </w:rPr>
        <w:t xml:space="preserve">por </w:t>
      </w:r>
      <w:r w:rsidRPr="001B7E14">
        <w:rPr>
          <w:rFonts w:ascii="Helvetica" w:hAnsi="Helvetica" w:cs="Helvetica"/>
          <w:sz w:val="22"/>
          <w:szCs w:val="22"/>
          <w:lang w:val="es-MX"/>
        </w:rPr>
        <w:t>$374 millones y en el FUT se reportó por este concepto $171 millones.</w:t>
      </w:r>
    </w:p>
    <w:p w14:paraId="3DFEB820" w14:textId="77777777" w:rsidR="00AD0693" w:rsidRPr="001B7E14" w:rsidRDefault="00AD0693" w:rsidP="00FA42BB">
      <w:pPr>
        <w:pStyle w:val="Prrafodelista"/>
        <w:numPr>
          <w:ilvl w:val="0"/>
          <w:numId w:val="26"/>
        </w:numPr>
        <w:ind w:left="284" w:hanging="284"/>
        <w:jc w:val="both"/>
        <w:rPr>
          <w:rFonts w:ascii="Helvetica" w:hAnsi="Helvetica" w:cs="Helvetica"/>
          <w:sz w:val="22"/>
          <w:szCs w:val="22"/>
          <w:lang w:val="es-MX"/>
        </w:rPr>
      </w:pPr>
      <w:r w:rsidRPr="001B7E14">
        <w:rPr>
          <w:rFonts w:ascii="Helvetica" w:hAnsi="Helvetica" w:cs="Helvetica"/>
          <w:b/>
          <w:bCs/>
          <w:sz w:val="22"/>
          <w:szCs w:val="22"/>
          <w:lang w:val="es-MX"/>
        </w:rPr>
        <w:t xml:space="preserve">Cancelación de reservas prestación de servicios: </w:t>
      </w:r>
      <w:r w:rsidRPr="001B7E14">
        <w:rPr>
          <w:rFonts w:ascii="Helvetica" w:hAnsi="Helvetica" w:cs="Helvetica"/>
          <w:sz w:val="22"/>
          <w:szCs w:val="22"/>
          <w:lang w:val="es-MX"/>
        </w:rPr>
        <w:t>en el FUT se reportaron $2.382 millones por este concepto, el cual no se incorporó en la ejecución presupuestal.</w:t>
      </w:r>
    </w:p>
    <w:p w14:paraId="6FEA7046" w14:textId="77777777" w:rsidR="00FA42BB" w:rsidRPr="001B7E14" w:rsidRDefault="00FA42BB" w:rsidP="00FA42BB">
      <w:pPr>
        <w:rPr>
          <w:rFonts w:ascii="Helvetica" w:hAnsi="Helvetica" w:cs="Helvetica"/>
          <w:sz w:val="22"/>
          <w:szCs w:val="22"/>
          <w:lang w:val="es-MX"/>
        </w:rPr>
      </w:pPr>
    </w:p>
    <w:p w14:paraId="0FE226AB" w14:textId="77777777" w:rsidR="00AD0693" w:rsidRPr="001B7E14" w:rsidRDefault="00AD0693" w:rsidP="00E40A9F">
      <w:pPr>
        <w:jc w:val="both"/>
        <w:rPr>
          <w:rFonts w:ascii="Helvetica" w:hAnsi="Helvetica" w:cs="Helvetica"/>
          <w:sz w:val="22"/>
          <w:szCs w:val="22"/>
          <w:lang w:val="es-MX"/>
        </w:rPr>
      </w:pPr>
      <w:r w:rsidRPr="001B7E14">
        <w:rPr>
          <w:rFonts w:ascii="Helvetica" w:hAnsi="Helvetica" w:cs="Helvetica"/>
          <w:sz w:val="22"/>
          <w:szCs w:val="22"/>
          <w:lang w:val="es-MX"/>
        </w:rPr>
        <w:t>En el análisis del reporte de gastos en el FUT 2021, si bien el valor total de gastos de la vigencia 2021 coincide tanto en el FUT como en la ejecución presupuestal, hay valores desagradados que no concuerdan, de acuerdo con el siguiente detalle:</w:t>
      </w:r>
    </w:p>
    <w:p w14:paraId="71F21DB3" w14:textId="77777777" w:rsidR="00AD0693" w:rsidRPr="001B7E14" w:rsidRDefault="00AD0693" w:rsidP="00FA42BB">
      <w:pPr>
        <w:rPr>
          <w:rFonts w:ascii="Helvetica" w:hAnsi="Helvetica" w:cs="Helvetica"/>
          <w:b/>
          <w:bCs/>
          <w:sz w:val="22"/>
          <w:szCs w:val="22"/>
        </w:rPr>
      </w:pPr>
    </w:p>
    <w:p w14:paraId="706A42FA" w14:textId="77777777" w:rsidR="00AD0693" w:rsidRPr="001B7E14" w:rsidRDefault="00AD0693" w:rsidP="00FA42BB">
      <w:pPr>
        <w:pStyle w:val="Prrafodelista"/>
        <w:numPr>
          <w:ilvl w:val="0"/>
          <w:numId w:val="26"/>
        </w:numPr>
        <w:ind w:left="284" w:hanging="284"/>
        <w:jc w:val="both"/>
        <w:rPr>
          <w:rFonts w:ascii="Helvetica" w:hAnsi="Helvetica" w:cs="Helvetica"/>
          <w:sz w:val="22"/>
          <w:szCs w:val="22"/>
          <w:lang w:val="es-MX"/>
        </w:rPr>
      </w:pPr>
      <w:r w:rsidRPr="001B7E14">
        <w:rPr>
          <w:rFonts w:ascii="Helvetica" w:hAnsi="Helvetica" w:cs="Helvetica"/>
          <w:b/>
          <w:bCs/>
          <w:sz w:val="22"/>
          <w:szCs w:val="22"/>
          <w:lang w:val="es-MX"/>
        </w:rPr>
        <w:t xml:space="preserve">Personal Docente: </w:t>
      </w:r>
      <w:r w:rsidRPr="001B7E14">
        <w:rPr>
          <w:rFonts w:ascii="Helvetica" w:hAnsi="Helvetica" w:cs="Helvetica"/>
          <w:sz w:val="22"/>
          <w:szCs w:val="22"/>
          <w:lang w:val="es-MX"/>
        </w:rPr>
        <w:t>se comprometieron en la ejecución presupuestal $14.931 millones y se reportaron al FUT $14.288 millones.</w:t>
      </w:r>
    </w:p>
    <w:p w14:paraId="379860D7" w14:textId="77777777" w:rsidR="00AD0693" w:rsidRPr="001B7E14" w:rsidRDefault="00AD0693" w:rsidP="00FA42BB">
      <w:pPr>
        <w:pStyle w:val="Prrafodelista"/>
        <w:numPr>
          <w:ilvl w:val="0"/>
          <w:numId w:val="26"/>
        </w:numPr>
        <w:ind w:left="284" w:hanging="284"/>
        <w:jc w:val="both"/>
        <w:rPr>
          <w:rFonts w:ascii="Helvetica" w:hAnsi="Helvetica" w:cs="Helvetica"/>
          <w:sz w:val="22"/>
          <w:szCs w:val="22"/>
          <w:lang w:val="es-MX"/>
        </w:rPr>
      </w:pPr>
      <w:r w:rsidRPr="001B7E14">
        <w:rPr>
          <w:rFonts w:ascii="Helvetica" w:hAnsi="Helvetica" w:cs="Helvetica"/>
          <w:b/>
          <w:bCs/>
          <w:sz w:val="22"/>
          <w:szCs w:val="22"/>
          <w:lang w:val="es-MX"/>
        </w:rPr>
        <w:lastRenderedPageBreak/>
        <w:t xml:space="preserve">Personal Directivo Docente: </w:t>
      </w:r>
      <w:r w:rsidRPr="001B7E14">
        <w:rPr>
          <w:rFonts w:ascii="Helvetica" w:hAnsi="Helvetica" w:cs="Helvetica"/>
          <w:sz w:val="22"/>
          <w:szCs w:val="22"/>
          <w:lang w:val="es-MX"/>
        </w:rPr>
        <w:t>se comprometieron en la ejecución presupuestal $1.666 millones y se reportaron al FUT $1.617 millones.</w:t>
      </w:r>
    </w:p>
    <w:p w14:paraId="6BC7E0DC" w14:textId="77777777" w:rsidR="00AD0693" w:rsidRPr="001B7E14" w:rsidRDefault="00AD0693" w:rsidP="00FA42BB">
      <w:pPr>
        <w:pStyle w:val="Prrafodelista"/>
        <w:numPr>
          <w:ilvl w:val="0"/>
          <w:numId w:val="26"/>
        </w:numPr>
        <w:ind w:left="284" w:hanging="284"/>
        <w:jc w:val="both"/>
        <w:rPr>
          <w:rFonts w:ascii="Helvetica" w:hAnsi="Helvetica" w:cs="Helvetica"/>
          <w:sz w:val="22"/>
          <w:szCs w:val="22"/>
          <w:lang w:val="es-MX"/>
        </w:rPr>
      </w:pPr>
      <w:r w:rsidRPr="001B7E14">
        <w:rPr>
          <w:rFonts w:ascii="Helvetica" w:hAnsi="Helvetica" w:cs="Helvetica"/>
          <w:b/>
          <w:bCs/>
          <w:sz w:val="22"/>
          <w:szCs w:val="22"/>
          <w:lang w:val="es-MX"/>
        </w:rPr>
        <w:t xml:space="preserve">Necesidades Educativas Especiales: </w:t>
      </w:r>
      <w:r w:rsidRPr="001B7E14">
        <w:rPr>
          <w:rFonts w:ascii="Helvetica" w:hAnsi="Helvetica" w:cs="Helvetica"/>
          <w:sz w:val="22"/>
          <w:szCs w:val="22"/>
          <w:lang w:val="es-MX"/>
        </w:rPr>
        <w:t>se comprometieron en la ejecución presupuestal 196 millones y se reportaron al FUT $64 millones.</w:t>
      </w:r>
    </w:p>
    <w:p w14:paraId="6E0A4012" w14:textId="77777777" w:rsidR="00AD0693" w:rsidRPr="001B7E14" w:rsidRDefault="00AD0693" w:rsidP="00FA42BB">
      <w:pPr>
        <w:pStyle w:val="Prrafodelista"/>
        <w:numPr>
          <w:ilvl w:val="0"/>
          <w:numId w:val="26"/>
        </w:numPr>
        <w:ind w:left="284" w:hanging="284"/>
        <w:jc w:val="both"/>
        <w:rPr>
          <w:rFonts w:ascii="Helvetica" w:hAnsi="Helvetica" w:cs="Helvetica"/>
          <w:sz w:val="22"/>
          <w:szCs w:val="22"/>
          <w:lang w:val="es-MX"/>
        </w:rPr>
      </w:pPr>
      <w:r w:rsidRPr="001B7E14">
        <w:rPr>
          <w:rFonts w:ascii="Helvetica" w:hAnsi="Helvetica" w:cs="Helvetica"/>
          <w:b/>
          <w:bCs/>
          <w:sz w:val="22"/>
          <w:szCs w:val="22"/>
          <w:lang w:val="es-MX"/>
        </w:rPr>
        <w:t xml:space="preserve">Internados: </w:t>
      </w:r>
      <w:r w:rsidRPr="001B7E14">
        <w:rPr>
          <w:rFonts w:ascii="Helvetica" w:hAnsi="Helvetica" w:cs="Helvetica"/>
          <w:sz w:val="22"/>
          <w:szCs w:val="22"/>
          <w:lang w:val="es-MX"/>
        </w:rPr>
        <w:t>se comprometieron en la ejecución presupuestal $8.931 millones y se reportaron al FUT $8.265 millones</w:t>
      </w:r>
    </w:p>
    <w:p w14:paraId="1A48DEF7" w14:textId="77777777" w:rsidR="00AD0693" w:rsidRPr="001B7E14" w:rsidRDefault="00AD0693" w:rsidP="00FA42BB">
      <w:pPr>
        <w:pStyle w:val="Prrafodelista"/>
        <w:numPr>
          <w:ilvl w:val="0"/>
          <w:numId w:val="26"/>
        </w:numPr>
        <w:ind w:left="284" w:hanging="284"/>
        <w:jc w:val="both"/>
        <w:rPr>
          <w:rFonts w:ascii="Helvetica" w:hAnsi="Helvetica" w:cs="Helvetica"/>
          <w:sz w:val="22"/>
          <w:szCs w:val="22"/>
          <w:lang w:val="es-MX"/>
        </w:rPr>
      </w:pPr>
      <w:r w:rsidRPr="001B7E14">
        <w:rPr>
          <w:rFonts w:ascii="Helvetica" w:hAnsi="Helvetica" w:cs="Helvetica"/>
          <w:b/>
          <w:bCs/>
          <w:sz w:val="22"/>
          <w:szCs w:val="22"/>
          <w:lang w:val="es-MX"/>
        </w:rPr>
        <w:t xml:space="preserve">Gastos Generales: </w:t>
      </w:r>
      <w:r w:rsidRPr="001B7E14">
        <w:rPr>
          <w:rFonts w:ascii="Helvetica" w:hAnsi="Helvetica" w:cs="Helvetica"/>
          <w:sz w:val="22"/>
          <w:szCs w:val="22"/>
          <w:lang w:val="es-MX"/>
        </w:rPr>
        <w:t>se comprometieron en la ejecución presupuestal $135 millones y bajo este concepto no se reportó ninguna cuenta en el FUT.</w:t>
      </w:r>
    </w:p>
    <w:p w14:paraId="789E56E9" w14:textId="77777777" w:rsidR="00AD0693" w:rsidRPr="001B7E14" w:rsidRDefault="00AD0693" w:rsidP="00FA42BB">
      <w:pPr>
        <w:pStyle w:val="Prrafodelista"/>
        <w:numPr>
          <w:ilvl w:val="0"/>
          <w:numId w:val="26"/>
        </w:numPr>
        <w:ind w:left="284" w:hanging="284"/>
        <w:jc w:val="both"/>
        <w:rPr>
          <w:rFonts w:ascii="Helvetica" w:hAnsi="Helvetica" w:cs="Helvetica"/>
          <w:b/>
          <w:sz w:val="22"/>
          <w:szCs w:val="22"/>
          <w:lang w:val="es-CO"/>
        </w:rPr>
      </w:pPr>
      <w:r w:rsidRPr="001B7E14">
        <w:rPr>
          <w:rFonts w:ascii="Helvetica" w:hAnsi="Helvetica" w:cs="Helvetica"/>
          <w:b/>
          <w:bCs/>
          <w:sz w:val="22"/>
          <w:szCs w:val="22"/>
          <w:lang w:val="es-MX"/>
        </w:rPr>
        <w:t xml:space="preserve">Funcionamiento básico de los establecimientos educativos: </w:t>
      </w:r>
      <w:r w:rsidRPr="001B7E14">
        <w:rPr>
          <w:rFonts w:ascii="Helvetica" w:hAnsi="Helvetica" w:cs="Helvetica"/>
          <w:sz w:val="22"/>
          <w:szCs w:val="22"/>
          <w:lang w:val="es-MX"/>
        </w:rPr>
        <w:t>se reportaron al FUT $1.374 millones, sin embargo, los rubros que se identifican en la ejecución presupuestal no hacen referencia al funcionamiento de los establecimientos educativo</w:t>
      </w:r>
      <w:r w:rsidR="00E40A9F" w:rsidRPr="001B7E14">
        <w:rPr>
          <w:rFonts w:ascii="Helvetica" w:hAnsi="Helvetica" w:cs="Helvetica"/>
          <w:sz w:val="22"/>
          <w:szCs w:val="22"/>
          <w:lang w:val="es-MX"/>
        </w:rPr>
        <w:t>s</w:t>
      </w:r>
      <w:r w:rsidRPr="001B7E14">
        <w:rPr>
          <w:rFonts w:ascii="Helvetica" w:hAnsi="Helvetica" w:cs="Helvetica"/>
          <w:sz w:val="22"/>
          <w:szCs w:val="22"/>
          <w:lang w:val="es-MX"/>
        </w:rPr>
        <w:t>.</w:t>
      </w:r>
    </w:p>
    <w:p w14:paraId="6D7916C9" w14:textId="77777777" w:rsidR="00AD0693" w:rsidRPr="001B7E14" w:rsidRDefault="00AD0693" w:rsidP="00FA42BB">
      <w:pPr>
        <w:jc w:val="both"/>
        <w:rPr>
          <w:rFonts w:ascii="Helvetica" w:hAnsi="Helvetica" w:cs="Helvetica"/>
          <w:sz w:val="22"/>
          <w:szCs w:val="22"/>
        </w:rPr>
      </w:pPr>
    </w:p>
    <w:p w14:paraId="596C1DD2" w14:textId="77777777" w:rsidR="00AD0693" w:rsidRPr="001B7E14" w:rsidRDefault="00AD0693" w:rsidP="00FA42BB">
      <w:pPr>
        <w:jc w:val="both"/>
        <w:rPr>
          <w:rFonts w:ascii="Helvetica" w:hAnsi="Helvetica" w:cs="Helvetica"/>
          <w:sz w:val="22"/>
          <w:szCs w:val="22"/>
        </w:rPr>
      </w:pPr>
      <w:r w:rsidRPr="001B7E14">
        <w:rPr>
          <w:rFonts w:ascii="Helvetica" w:hAnsi="Helvetica" w:cs="Helvetica"/>
          <w:sz w:val="22"/>
          <w:szCs w:val="22"/>
        </w:rPr>
        <w:t>Respecto de las cuentas por pagar</w:t>
      </w:r>
      <w:r w:rsidR="00E40A9F" w:rsidRPr="001B7E14">
        <w:rPr>
          <w:rFonts w:ascii="Helvetica" w:hAnsi="Helvetica" w:cs="Helvetica"/>
          <w:sz w:val="22"/>
          <w:szCs w:val="22"/>
        </w:rPr>
        <w:t>,</w:t>
      </w:r>
      <w:r w:rsidRPr="001B7E14">
        <w:rPr>
          <w:rFonts w:ascii="Helvetica" w:hAnsi="Helvetica" w:cs="Helvetica"/>
          <w:sz w:val="22"/>
          <w:szCs w:val="22"/>
        </w:rPr>
        <w:t xml:space="preserve"> el ejercicio presupuestal evidencia que </w:t>
      </w:r>
      <w:r w:rsidR="00E40A9F" w:rsidRPr="001B7E14">
        <w:rPr>
          <w:rFonts w:ascii="Helvetica" w:hAnsi="Helvetica" w:cs="Helvetica"/>
          <w:sz w:val="22"/>
          <w:szCs w:val="22"/>
        </w:rPr>
        <w:t xml:space="preserve">éstas </w:t>
      </w:r>
      <w:r w:rsidRPr="001B7E14">
        <w:rPr>
          <w:rFonts w:ascii="Helvetica" w:hAnsi="Helvetica" w:cs="Helvetica"/>
          <w:sz w:val="22"/>
          <w:szCs w:val="22"/>
        </w:rPr>
        <w:t>se debieron constituir por $74 millones, mientras que en el cierre fiscal del FUT se reportaron $11 millones</w:t>
      </w:r>
      <w:r w:rsidR="00E40A9F" w:rsidRPr="001B7E14">
        <w:rPr>
          <w:rFonts w:ascii="Helvetica" w:hAnsi="Helvetica" w:cs="Helvetica"/>
          <w:sz w:val="22"/>
          <w:szCs w:val="22"/>
        </w:rPr>
        <w:t xml:space="preserve"> por este concepto</w:t>
      </w:r>
      <w:r w:rsidRPr="001B7E14">
        <w:rPr>
          <w:rFonts w:ascii="Helvetica" w:hAnsi="Helvetica" w:cs="Helvetica"/>
          <w:sz w:val="22"/>
          <w:szCs w:val="22"/>
        </w:rPr>
        <w:t xml:space="preserve">. </w:t>
      </w:r>
    </w:p>
    <w:p w14:paraId="23C0E46C" w14:textId="77777777" w:rsidR="00AD0693" w:rsidRPr="001B7E14" w:rsidRDefault="00AD0693" w:rsidP="00FA42BB">
      <w:pPr>
        <w:jc w:val="both"/>
        <w:rPr>
          <w:rFonts w:ascii="Helvetica" w:hAnsi="Helvetica" w:cs="Helvetica"/>
          <w:sz w:val="22"/>
          <w:szCs w:val="22"/>
        </w:rPr>
      </w:pPr>
    </w:p>
    <w:p w14:paraId="3A07C2A0" w14:textId="77777777" w:rsidR="00AD0693" w:rsidRPr="001B7E14" w:rsidRDefault="00AD0693" w:rsidP="00FA42BB">
      <w:pPr>
        <w:jc w:val="both"/>
        <w:rPr>
          <w:rFonts w:ascii="Helvetica" w:hAnsi="Helvetica" w:cs="Helvetica"/>
          <w:sz w:val="22"/>
          <w:szCs w:val="22"/>
        </w:rPr>
      </w:pPr>
      <w:r w:rsidRPr="001B7E14">
        <w:rPr>
          <w:rFonts w:ascii="Helvetica" w:hAnsi="Helvetica" w:cs="Helvetica"/>
          <w:sz w:val="22"/>
          <w:szCs w:val="22"/>
        </w:rPr>
        <w:t xml:space="preserve">En cuanto al superávit, en el cierre fiscal del FUT se reportó un valor de $12.921 millones. </w:t>
      </w:r>
      <w:r w:rsidR="002058BB" w:rsidRPr="001B7E14">
        <w:rPr>
          <w:rFonts w:ascii="Helvetica" w:hAnsi="Helvetica" w:cs="Helvetica"/>
          <w:sz w:val="22"/>
          <w:szCs w:val="22"/>
        </w:rPr>
        <w:t>Sin embargo, la</w:t>
      </w:r>
      <w:r w:rsidRPr="001B7E14">
        <w:rPr>
          <w:rFonts w:ascii="Helvetica" w:hAnsi="Helvetica" w:cs="Helvetica"/>
          <w:sz w:val="22"/>
          <w:szCs w:val="22"/>
        </w:rPr>
        <w:t xml:space="preserve"> entidad remitió el Decreto 037 de 2022 </w:t>
      </w:r>
      <w:r w:rsidRPr="001B7E14">
        <w:rPr>
          <w:rFonts w:ascii="Helvetica" w:hAnsi="Helvetica" w:cs="Helvetica"/>
          <w:i/>
          <w:iCs/>
          <w:sz w:val="22"/>
          <w:szCs w:val="22"/>
        </w:rPr>
        <w:t>“por el cual se efectúa el cierre del presupuesto de ingresos y gastos de la gobernación del Guain</w:t>
      </w:r>
      <w:r w:rsidR="00E40A9F" w:rsidRPr="001B7E14">
        <w:rPr>
          <w:rFonts w:ascii="Helvetica" w:hAnsi="Helvetica" w:cs="Helvetica"/>
          <w:i/>
          <w:iCs/>
          <w:sz w:val="22"/>
          <w:szCs w:val="22"/>
        </w:rPr>
        <w:t>í</w:t>
      </w:r>
      <w:r w:rsidRPr="001B7E14">
        <w:rPr>
          <w:rFonts w:ascii="Helvetica" w:hAnsi="Helvetica" w:cs="Helvetica"/>
          <w:i/>
          <w:iCs/>
          <w:sz w:val="22"/>
          <w:szCs w:val="22"/>
        </w:rPr>
        <w:t>a correspondiente al año fiscal de 2021"</w:t>
      </w:r>
      <w:r w:rsidR="00E40A9F" w:rsidRPr="001B7E14">
        <w:rPr>
          <w:rFonts w:ascii="Helvetica" w:hAnsi="Helvetica" w:cs="Helvetica"/>
          <w:sz w:val="22"/>
          <w:szCs w:val="22"/>
        </w:rPr>
        <w:t>,</w:t>
      </w:r>
      <w:r w:rsidRPr="001B7E14">
        <w:rPr>
          <w:rFonts w:ascii="Helvetica" w:hAnsi="Helvetica" w:cs="Helvetica"/>
          <w:sz w:val="22"/>
          <w:szCs w:val="22"/>
        </w:rPr>
        <w:t xml:space="preserve"> en el que se estableció un superávit de recursos con situación de fondos de 12.171 millones, de estos $11.945 millones corresponden a prestación de servicios, $219 millones a calidad y $6 millones a cancelaciones.</w:t>
      </w:r>
    </w:p>
    <w:p w14:paraId="56C2413A" w14:textId="77777777" w:rsidR="00AD0693" w:rsidRPr="001B7E14" w:rsidRDefault="00AD0693" w:rsidP="00FA42BB">
      <w:pPr>
        <w:jc w:val="both"/>
        <w:rPr>
          <w:rFonts w:ascii="Helvetica" w:hAnsi="Helvetica" w:cs="Helvetica"/>
          <w:sz w:val="22"/>
          <w:szCs w:val="22"/>
        </w:rPr>
      </w:pPr>
    </w:p>
    <w:p w14:paraId="754D2463" w14:textId="77777777" w:rsidR="00AD0693" w:rsidRPr="001B7E14" w:rsidRDefault="00AD0693" w:rsidP="00FA42BB">
      <w:pPr>
        <w:jc w:val="both"/>
        <w:rPr>
          <w:rFonts w:ascii="Helvetica" w:hAnsi="Helvetica" w:cs="Helvetica"/>
          <w:sz w:val="22"/>
          <w:szCs w:val="22"/>
        </w:rPr>
      </w:pPr>
      <w:r w:rsidRPr="001B7E14">
        <w:rPr>
          <w:rFonts w:ascii="Helvetica" w:hAnsi="Helvetica" w:cs="Helvetica"/>
          <w:sz w:val="22"/>
          <w:szCs w:val="22"/>
        </w:rPr>
        <w:t>Por lo anterior, se concluye que los valores de cierre fiscal reportados al FUT no concuerda</w:t>
      </w:r>
      <w:r w:rsidR="00E40A9F" w:rsidRPr="001B7E14">
        <w:rPr>
          <w:rFonts w:ascii="Helvetica" w:hAnsi="Helvetica" w:cs="Helvetica"/>
          <w:sz w:val="22"/>
          <w:szCs w:val="22"/>
        </w:rPr>
        <w:t>n</w:t>
      </w:r>
      <w:r w:rsidRPr="001B7E14">
        <w:rPr>
          <w:rFonts w:ascii="Helvetica" w:hAnsi="Helvetica" w:cs="Helvetica"/>
          <w:sz w:val="22"/>
          <w:szCs w:val="22"/>
        </w:rPr>
        <w:t xml:space="preserve"> con los valores del superávit establecido en el Decreto 037 de 2022.</w:t>
      </w:r>
    </w:p>
    <w:p w14:paraId="2B79CD65" w14:textId="77777777" w:rsidR="00E938D7" w:rsidRPr="001B7E14" w:rsidRDefault="00E938D7" w:rsidP="00FA42BB">
      <w:pPr>
        <w:jc w:val="both"/>
        <w:rPr>
          <w:rFonts w:ascii="Helvetica" w:hAnsi="Helvetica" w:cs="Helvetica"/>
          <w:sz w:val="22"/>
          <w:szCs w:val="22"/>
        </w:rPr>
      </w:pPr>
    </w:p>
    <w:p w14:paraId="7AC97707" w14:textId="77777777" w:rsidR="00E938D7" w:rsidRPr="001B7E14" w:rsidRDefault="00E938D7" w:rsidP="00FA42BB">
      <w:pPr>
        <w:jc w:val="both"/>
        <w:rPr>
          <w:rFonts w:ascii="Helvetica" w:hAnsi="Helvetica" w:cs="Helvetica"/>
          <w:sz w:val="22"/>
          <w:szCs w:val="22"/>
        </w:rPr>
      </w:pPr>
      <w:r w:rsidRPr="001B7E14">
        <w:rPr>
          <w:rFonts w:ascii="Helvetica" w:hAnsi="Helvetica" w:cs="Helvetica"/>
          <w:sz w:val="22"/>
          <w:szCs w:val="22"/>
        </w:rPr>
        <w:t xml:space="preserve">Con respecto a la vigencia 2022 se evidencia que </w:t>
      </w:r>
      <w:r w:rsidR="005910B9">
        <w:rPr>
          <w:rFonts w:ascii="Helvetica" w:hAnsi="Helvetica" w:cs="Helvetica"/>
          <w:sz w:val="22"/>
          <w:szCs w:val="22"/>
        </w:rPr>
        <w:t xml:space="preserve">en </w:t>
      </w:r>
      <w:r w:rsidRPr="001B7E14">
        <w:rPr>
          <w:rFonts w:ascii="Helvetica" w:hAnsi="Helvetica" w:cs="Helvetica"/>
          <w:sz w:val="22"/>
          <w:szCs w:val="22"/>
        </w:rPr>
        <w:t xml:space="preserve">la ejecución presupuestal </w:t>
      </w:r>
      <w:r w:rsidR="005910B9">
        <w:rPr>
          <w:rFonts w:ascii="Helvetica" w:hAnsi="Helvetica" w:cs="Helvetica"/>
          <w:sz w:val="22"/>
          <w:szCs w:val="22"/>
        </w:rPr>
        <w:t xml:space="preserve">se registraron </w:t>
      </w:r>
      <w:r w:rsidRPr="001B7E14">
        <w:rPr>
          <w:rFonts w:ascii="Helvetica" w:hAnsi="Helvetica" w:cs="Helvetica"/>
          <w:sz w:val="22"/>
          <w:szCs w:val="22"/>
        </w:rPr>
        <w:t>compromisos por valor de $73.883</w:t>
      </w:r>
      <w:r w:rsidR="00AE526A" w:rsidRPr="001B7E14">
        <w:rPr>
          <w:rFonts w:ascii="Helvetica" w:hAnsi="Helvetica" w:cs="Helvetica"/>
          <w:sz w:val="22"/>
          <w:szCs w:val="22"/>
        </w:rPr>
        <w:t xml:space="preserve"> millones</w:t>
      </w:r>
      <w:r w:rsidR="005910B9">
        <w:rPr>
          <w:rFonts w:ascii="Helvetica" w:hAnsi="Helvetica" w:cs="Helvetica"/>
          <w:sz w:val="22"/>
          <w:szCs w:val="22"/>
        </w:rPr>
        <w:t>. A</w:t>
      </w:r>
      <w:r w:rsidR="00AE526A" w:rsidRPr="001B7E14">
        <w:rPr>
          <w:rFonts w:ascii="Helvetica" w:hAnsi="Helvetica" w:cs="Helvetica"/>
          <w:sz w:val="22"/>
          <w:szCs w:val="22"/>
        </w:rPr>
        <w:t xml:space="preserve">simismo, </w:t>
      </w:r>
      <w:r w:rsidRPr="001B7E14">
        <w:rPr>
          <w:rFonts w:ascii="Helvetica" w:hAnsi="Helvetica" w:cs="Helvetica"/>
          <w:sz w:val="22"/>
          <w:szCs w:val="22"/>
        </w:rPr>
        <w:t xml:space="preserve">el total de los compromisos que se reportaron en la categoría CUIPO </w:t>
      </w:r>
      <w:r w:rsidR="00AE526A" w:rsidRPr="001B7E14">
        <w:rPr>
          <w:rFonts w:ascii="Helvetica" w:hAnsi="Helvetica" w:cs="Helvetica"/>
          <w:sz w:val="22"/>
          <w:szCs w:val="22"/>
        </w:rPr>
        <w:t>fue de $73</w:t>
      </w:r>
      <w:r w:rsidRPr="001B7E14">
        <w:rPr>
          <w:rFonts w:ascii="Helvetica" w:hAnsi="Helvetica" w:cs="Helvetica"/>
          <w:sz w:val="22"/>
          <w:szCs w:val="22"/>
        </w:rPr>
        <w:t>.883</w:t>
      </w:r>
      <w:r w:rsidR="00AE526A" w:rsidRPr="001B7E14">
        <w:rPr>
          <w:rFonts w:ascii="Helvetica" w:hAnsi="Helvetica" w:cs="Helvetica"/>
          <w:sz w:val="22"/>
          <w:szCs w:val="22"/>
        </w:rPr>
        <w:t xml:space="preserve"> millones.</w:t>
      </w:r>
      <w:r w:rsidR="005910B9">
        <w:rPr>
          <w:rFonts w:ascii="Helvetica" w:hAnsi="Helvetica" w:cs="Helvetica"/>
          <w:sz w:val="22"/>
          <w:szCs w:val="22"/>
        </w:rPr>
        <w:t xml:space="preserve"> </w:t>
      </w:r>
      <w:r w:rsidR="00AE526A" w:rsidRPr="001B7E14">
        <w:rPr>
          <w:rFonts w:ascii="Helvetica" w:hAnsi="Helvetica" w:cs="Helvetica"/>
          <w:sz w:val="22"/>
          <w:szCs w:val="22"/>
        </w:rPr>
        <w:t>Sin embargo, se encuentran errores en la desagregación del reporte, así:</w:t>
      </w:r>
      <w:r w:rsidR="005910B9">
        <w:rPr>
          <w:rFonts w:ascii="Helvetica" w:hAnsi="Helvetica" w:cs="Helvetica"/>
          <w:sz w:val="22"/>
          <w:szCs w:val="22"/>
        </w:rPr>
        <w:t xml:space="preserve"> </w:t>
      </w:r>
    </w:p>
    <w:p w14:paraId="1DE8317E" w14:textId="77777777" w:rsidR="00E40A9F" w:rsidRPr="001B7E14" w:rsidRDefault="00E40A9F" w:rsidP="00FA42BB">
      <w:pPr>
        <w:jc w:val="both"/>
        <w:rPr>
          <w:rFonts w:ascii="Helvetica" w:hAnsi="Helvetica" w:cs="Helvetica"/>
          <w:sz w:val="22"/>
          <w:szCs w:val="22"/>
        </w:rPr>
      </w:pPr>
    </w:p>
    <w:p w14:paraId="6FBF829E" w14:textId="77777777" w:rsidR="00AE526A" w:rsidRPr="005910B9" w:rsidRDefault="00D4590F" w:rsidP="005910B9">
      <w:pPr>
        <w:pStyle w:val="Prrafodelista"/>
        <w:numPr>
          <w:ilvl w:val="0"/>
          <w:numId w:val="26"/>
        </w:numPr>
        <w:ind w:left="284" w:hanging="284"/>
        <w:jc w:val="both"/>
        <w:rPr>
          <w:rFonts w:ascii="Helvetica" w:hAnsi="Helvetica" w:cs="Helvetica"/>
          <w:b/>
          <w:bCs/>
          <w:sz w:val="22"/>
          <w:szCs w:val="22"/>
          <w:lang w:val="es-MX"/>
        </w:rPr>
      </w:pPr>
      <w:r w:rsidRPr="001B7E14">
        <w:rPr>
          <w:rFonts w:ascii="Helvetica" w:hAnsi="Helvetica" w:cs="Helvetica"/>
          <w:b/>
          <w:bCs/>
          <w:sz w:val="22"/>
          <w:szCs w:val="22"/>
          <w:lang w:val="es-MX"/>
        </w:rPr>
        <w:t xml:space="preserve">Personal Docente: </w:t>
      </w:r>
      <w:r w:rsidR="00AE526A" w:rsidRPr="005910B9">
        <w:rPr>
          <w:rFonts w:ascii="Helvetica" w:hAnsi="Helvetica" w:cs="Helvetica"/>
          <w:sz w:val="22"/>
          <w:szCs w:val="22"/>
          <w:lang w:val="es-MX"/>
        </w:rPr>
        <w:t xml:space="preserve">En lo correspondiente al gasto de personal docente incluyendo los aportes patronales en la ejecución presupuestal se comprometieron $21.873 millones y en el </w:t>
      </w:r>
      <w:r w:rsidRPr="005910B9">
        <w:rPr>
          <w:rFonts w:ascii="Helvetica" w:hAnsi="Helvetica" w:cs="Helvetica"/>
          <w:sz w:val="22"/>
          <w:szCs w:val="22"/>
          <w:lang w:val="es-MX"/>
        </w:rPr>
        <w:t xml:space="preserve">CUIPO </w:t>
      </w:r>
      <w:r w:rsidR="00AE526A" w:rsidRPr="005910B9">
        <w:rPr>
          <w:rFonts w:ascii="Helvetica" w:hAnsi="Helvetica" w:cs="Helvetica"/>
          <w:sz w:val="22"/>
          <w:szCs w:val="22"/>
          <w:lang w:val="es-MX"/>
        </w:rPr>
        <w:t xml:space="preserve">en </w:t>
      </w:r>
      <w:r w:rsidRPr="005910B9">
        <w:rPr>
          <w:rFonts w:ascii="Helvetica" w:hAnsi="Helvetica" w:cs="Helvetica"/>
          <w:sz w:val="22"/>
          <w:szCs w:val="22"/>
          <w:lang w:val="es-MX"/>
        </w:rPr>
        <w:t>el detalle sectorial de “docente</w:t>
      </w:r>
      <w:r w:rsidR="005910B9">
        <w:rPr>
          <w:rFonts w:ascii="Helvetica" w:hAnsi="Helvetica" w:cs="Helvetica"/>
          <w:sz w:val="22"/>
          <w:szCs w:val="22"/>
          <w:lang w:val="es-MX"/>
        </w:rPr>
        <w:t>s</w:t>
      </w:r>
      <w:r w:rsidRPr="005910B9">
        <w:rPr>
          <w:rFonts w:ascii="Helvetica" w:hAnsi="Helvetica" w:cs="Helvetica"/>
          <w:sz w:val="22"/>
          <w:szCs w:val="22"/>
          <w:lang w:val="es-MX"/>
        </w:rPr>
        <w:t xml:space="preserve">” en el gasto de </w:t>
      </w:r>
      <w:r w:rsidR="00C57070" w:rsidRPr="005910B9">
        <w:rPr>
          <w:rFonts w:ascii="Helvetica" w:hAnsi="Helvetica" w:cs="Helvetica"/>
          <w:sz w:val="22"/>
          <w:szCs w:val="22"/>
          <w:lang w:val="es-MX"/>
        </w:rPr>
        <w:t>personal se</w:t>
      </w:r>
      <w:r w:rsidRPr="005910B9">
        <w:rPr>
          <w:rFonts w:ascii="Helvetica" w:hAnsi="Helvetica" w:cs="Helvetica"/>
          <w:sz w:val="22"/>
          <w:szCs w:val="22"/>
          <w:lang w:val="es-MX"/>
        </w:rPr>
        <w:t xml:space="preserve"> reportaron compromisos por $21.002 millones.</w:t>
      </w:r>
    </w:p>
    <w:p w14:paraId="2102CB0E" w14:textId="77777777" w:rsidR="00D4590F" w:rsidRPr="005910B9" w:rsidRDefault="00D4590F" w:rsidP="005910B9">
      <w:pPr>
        <w:pStyle w:val="Prrafodelista"/>
        <w:numPr>
          <w:ilvl w:val="0"/>
          <w:numId w:val="26"/>
        </w:numPr>
        <w:ind w:left="284" w:hanging="284"/>
        <w:jc w:val="both"/>
        <w:rPr>
          <w:rFonts w:ascii="Helvetica" w:hAnsi="Helvetica" w:cs="Helvetica"/>
          <w:sz w:val="22"/>
          <w:szCs w:val="22"/>
          <w:lang w:val="es-MX"/>
        </w:rPr>
      </w:pPr>
      <w:r w:rsidRPr="001B7E14">
        <w:rPr>
          <w:rFonts w:ascii="Helvetica" w:hAnsi="Helvetica" w:cs="Helvetica"/>
          <w:b/>
          <w:bCs/>
          <w:sz w:val="22"/>
          <w:szCs w:val="22"/>
          <w:lang w:val="es-MX"/>
        </w:rPr>
        <w:t>Internados:</w:t>
      </w:r>
      <w:r w:rsidRPr="005910B9">
        <w:rPr>
          <w:rFonts w:ascii="Helvetica" w:hAnsi="Helvetica" w:cs="Helvetica"/>
          <w:sz w:val="22"/>
          <w:szCs w:val="22"/>
          <w:lang w:val="es-MX"/>
        </w:rPr>
        <w:t xml:space="preserve"> en la ejecución presupuestal se evidencian compromisos por este concepto por valor de $11.302 millones mientras que en el reporte al CUIPO se observa un report</w:t>
      </w:r>
      <w:r w:rsidR="00C57070" w:rsidRPr="005910B9">
        <w:rPr>
          <w:rFonts w:ascii="Helvetica" w:hAnsi="Helvetica" w:cs="Helvetica"/>
          <w:sz w:val="22"/>
          <w:szCs w:val="22"/>
          <w:lang w:val="es-MX"/>
        </w:rPr>
        <w:t>e de compromisos en los detalles sectoriales que tienen que ver con residencias escolares por valor de $10.197 millones.</w:t>
      </w:r>
    </w:p>
    <w:p w14:paraId="0334A20B" w14:textId="77777777" w:rsidR="00C57070" w:rsidRPr="001B7E14" w:rsidRDefault="00C57070" w:rsidP="005910B9">
      <w:pPr>
        <w:pStyle w:val="Prrafodelista"/>
        <w:numPr>
          <w:ilvl w:val="0"/>
          <w:numId w:val="26"/>
        </w:numPr>
        <w:ind w:left="284" w:hanging="284"/>
        <w:jc w:val="both"/>
        <w:rPr>
          <w:rFonts w:ascii="Helvetica" w:hAnsi="Helvetica" w:cs="Helvetica"/>
          <w:bCs/>
          <w:sz w:val="22"/>
          <w:szCs w:val="22"/>
          <w:lang w:val="es-MX"/>
        </w:rPr>
      </w:pPr>
      <w:r w:rsidRPr="001B7E14">
        <w:rPr>
          <w:rFonts w:ascii="Helvetica" w:hAnsi="Helvetica" w:cs="Helvetica"/>
          <w:b/>
          <w:bCs/>
          <w:sz w:val="22"/>
          <w:szCs w:val="22"/>
          <w:lang w:val="es-MX"/>
        </w:rPr>
        <w:t>Necesidades Educativas Especiales:</w:t>
      </w:r>
      <w:r w:rsidRPr="005910B9">
        <w:rPr>
          <w:rFonts w:ascii="Helvetica" w:hAnsi="Helvetica" w:cs="Helvetica"/>
          <w:sz w:val="22"/>
          <w:szCs w:val="22"/>
          <w:lang w:val="es-MX"/>
        </w:rPr>
        <w:t xml:space="preserve"> en la ejecución </w:t>
      </w:r>
      <w:r w:rsidR="00795FCC" w:rsidRPr="005910B9">
        <w:rPr>
          <w:rFonts w:ascii="Helvetica" w:hAnsi="Helvetica" w:cs="Helvetica"/>
          <w:sz w:val="22"/>
          <w:szCs w:val="22"/>
          <w:lang w:val="es-MX"/>
        </w:rPr>
        <w:t xml:space="preserve">presupuestal hay compromisos </w:t>
      </w:r>
      <w:r w:rsidRPr="005910B9">
        <w:rPr>
          <w:rFonts w:ascii="Helvetica" w:hAnsi="Helvetica" w:cs="Helvetica"/>
          <w:sz w:val="22"/>
          <w:szCs w:val="22"/>
          <w:lang w:val="es-MX"/>
        </w:rPr>
        <w:t xml:space="preserve">relacionados con Necesidades educativas especiales por </w:t>
      </w:r>
      <w:r w:rsidR="00795FCC" w:rsidRPr="005910B9">
        <w:rPr>
          <w:rFonts w:ascii="Helvetica" w:hAnsi="Helvetica" w:cs="Helvetica"/>
          <w:sz w:val="22"/>
          <w:szCs w:val="22"/>
          <w:lang w:val="es-MX"/>
        </w:rPr>
        <w:t>$</w:t>
      </w:r>
      <w:r w:rsidRPr="005910B9">
        <w:rPr>
          <w:rFonts w:ascii="Helvetica" w:hAnsi="Helvetica" w:cs="Helvetica"/>
          <w:sz w:val="22"/>
          <w:szCs w:val="22"/>
          <w:lang w:val="es-MX"/>
        </w:rPr>
        <w:t xml:space="preserve">172 millones mientras que el reporte en CUIPO hay </w:t>
      </w:r>
      <w:r w:rsidR="00795FCC" w:rsidRPr="005910B9">
        <w:rPr>
          <w:rFonts w:ascii="Helvetica" w:hAnsi="Helvetica" w:cs="Helvetica"/>
          <w:sz w:val="22"/>
          <w:szCs w:val="22"/>
          <w:lang w:val="es-MX"/>
        </w:rPr>
        <w:t>compromisos</w:t>
      </w:r>
      <w:r w:rsidRPr="005910B9">
        <w:rPr>
          <w:rFonts w:ascii="Helvetica" w:hAnsi="Helvetica" w:cs="Helvetica"/>
          <w:sz w:val="22"/>
          <w:szCs w:val="22"/>
          <w:lang w:val="es-MX"/>
        </w:rPr>
        <w:t xml:space="preserve"> en el detalle sectorial</w:t>
      </w:r>
      <w:r w:rsidR="00795FCC" w:rsidRPr="005910B9">
        <w:rPr>
          <w:rFonts w:ascii="Helvetica" w:hAnsi="Helvetica" w:cs="Helvetica"/>
          <w:sz w:val="22"/>
          <w:szCs w:val="22"/>
          <w:lang w:val="es-MX"/>
        </w:rPr>
        <w:t>:</w:t>
      </w:r>
      <w:r w:rsidRPr="005910B9">
        <w:rPr>
          <w:rFonts w:ascii="Helvetica" w:hAnsi="Helvetica" w:cs="Helvetica"/>
          <w:sz w:val="22"/>
          <w:szCs w:val="22"/>
          <w:lang w:val="es-MX"/>
        </w:rPr>
        <w:t xml:space="preserve"> “personal de apoyo </w:t>
      </w:r>
      <w:r w:rsidRPr="005910B9">
        <w:rPr>
          <w:rFonts w:ascii="Helvetica" w:hAnsi="Helvetica" w:cs="Helvetica"/>
          <w:sz w:val="22"/>
          <w:szCs w:val="22"/>
          <w:lang w:val="es-MX"/>
        </w:rPr>
        <w:lastRenderedPageBreak/>
        <w:t>pedagógico. AEPD atención educativa personas con discapacidad” por $22 millones</w:t>
      </w:r>
      <w:r w:rsidR="00795FCC" w:rsidRPr="005910B9">
        <w:rPr>
          <w:rFonts w:ascii="Helvetica" w:hAnsi="Helvetica" w:cs="Helvetica"/>
          <w:sz w:val="22"/>
          <w:szCs w:val="22"/>
          <w:lang w:val="es-MX"/>
        </w:rPr>
        <w:t>, los cuale</w:t>
      </w:r>
      <w:r w:rsidR="00795FCC" w:rsidRPr="001B7E14">
        <w:rPr>
          <w:rFonts w:ascii="Helvetica" w:hAnsi="Helvetica" w:cs="Helvetica"/>
          <w:bCs/>
          <w:sz w:val="22"/>
          <w:szCs w:val="22"/>
          <w:lang w:val="es-MX"/>
        </w:rPr>
        <w:t>s todos están relacionados con gastos de personal, los $172 millones de la ejecución presupuestal se reportan en CUIPO con otro detalle sectorial que no hace referencia a NEE, denominado: “servicios técnicos, profesionales y honorarios”</w:t>
      </w:r>
    </w:p>
    <w:p w14:paraId="15393E31" w14:textId="77777777" w:rsidR="00D93B84" w:rsidRPr="001B7E14" w:rsidRDefault="00D93B84" w:rsidP="00D93B84">
      <w:pPr>
        <w:jc w:val="both"/>
        <w:rPr>
          <w:rFonts w:ascii="Helvetica" w:hAnsi="Helvetica" w:cs="Helvetica"/>
          <w:bCs/>
          <w:sz w:val="22"/>
          <w:szCs w:val="22"/>
          <w:lang w:val="es-MX"/>
        </w:rPr>
      </w:pPr>
    </w:p>
    <w:p w14:paraId="50138823" w14:textId="77777777" w:rsidR="00DD16BD" w:rsidRPr="001B7E14" w:rsidRDefault="00D93B84" w:rsidP="00DD16BD">
      <w:pPr>
        <w:jc w:val="both"/>
        <w:rPr>
          <w:rFonts w:ascii="Helvetica" w:hAnsi="Helvetica" w:cs="Helvetica"/>
          <w:bCs/>
          <w:sz w:val="22"/>
          <w:szCs w:val="22"/>
          <w:lang w:val="es-MX"/>
        </w:rPr>
      </w:pPr>
      <w:r w:rsidRPr="001B7E14">
        <w:rPr>
          <w:rFonts w:ascii="Helvetica" w:hAnsi="Helvetica" w:cs="Helvetica"/>
          <w:bCs/>
          <w:sz w:val="22"/>
          <w:szCs w:val="22"/>
          <w:lang w:val="es-MX"/>
        </w:rPr>
        <w:t xml:space="preserve">En cuanto al cierre fiscal </w:t>
      </w:r>
      <w:r w:rsidR="005910B9">
        <w:rPr>
          <w:rFonts w:ascii="Helvetica" w:hAnsi="Helvetica" w:cs="Helvetica"/>
          <w:bCs/>
          <w:sz w:val="22"/>
          <w:szCs w:val="22"/>
          <w:lang w:val="es-MX"/>
        </w:rPr>
        <w:t xml:space="preserve">de 2022 </w:t>
      </w:r>
      <w:r w:rsidRPr="001B7E14">
        <w:rPr>
          <w:rFonts w:ascii="Helvetica" w:hAnsi="Helvetica" w:cs="Helvetica"/>
          <w:bCs/>
          <w:sz w:val="22"/>
          <w:szCs w:val="22"/>
          <w:lang w:val="es-MX"/>
        </w:rPr>
        <w:t xml:space="preserve">que se reporta en el FUT frente a los valores constituidos mediante acto </w:t>
      </w:r>
      <w:r w:rsidR="00687E3D" w:rsidRPr="001B7E14">
        <w:rPr>
          <w:rFonts w:ascii="Helvetica" w:hAnsi="Helvetica" w:cs="Helvetica"/>
          <w:bCs/>
          <w:sz w:val="22"/>
          <w:szCs w:val="22"/>
          <w:lang w:val="es-MX"/>
        </w:rPr>
        <w:t>administrativo</w:t>
      </w:r>
      <w:r w:rsidRPr="001B7E14">
        <w:rPr>
          <w:rFonts w:ascii="Helvetica" w:hAnsi="Helvetica" w:cs="Helvetica"/>
          <w:bCs/>
          <w:sz w:val="22"/>
          <w:szCs w:val="22"/>
          <w:lang w:val="es-MX"/>
        </w:rPr>
        <w:t>, se evidencia inconsistencia en el reporte de</w:t>
      </w:r>
      <w:r w:rsidR="005910B9">
        <w:rPr>
          <w:rFonts w:ascii="Helvetica" w:hAnsi="Helvetica" w:cs="Helvetica"/>
          <w:bCs/>
          <w:sz w:val="22"/>
          <w:szCs w:val="22"/>
          <w:lang w:val="es-MX"/>
        </w:rPr>
        <w:t xml:space="preserve"> </w:t>
      </w:r>
      <w:r w:rsidRPr="001B7E14">
        <w:rPr>
          <w:rFonts w:ascii="Helvetica" w:hAnsi="Helvetica" w:cs="Helvetica"/>
          <w:bCs/>
          <w:sz w:val="22"/>
          <w:szCs w:val="22"/>
          <w:lang w:val="es-MX"/>
        </w:rPr>
        <w:t xml:space="preserve">cuentas por pagar </w:t>
      </w:r>
      <w:r w:rsidR="00DD16BD" w:rsidRPr="001B7E14">
        <w:rPr>
          <w:rFonts w:ascii="Helvetica" w:hAnsi="Helvetica" w:cs="Helvetica"/>
          <w:bCs/>
          <w:sz w:val="22"/>
          <w:szCs w:val="22"/>
          <w:lang w:val="es-MX"/>
        </w:rPr>
        <w:t>ya que mediante Resolución 0004</w:t>
      </w:r>
      <w:r w:rsidR="005910B9">
        <w:rPr>
          <w:rFonts w:ascii="Helvetica" w:hAnsi="Helvetica" w:cs="Helvetica"/>
          <w:bCs/>
          <w:sz w:val="22"/>
          <w:szCs w:val="22"/>
          <w:lang w:val="es-MX"/>
        </w:rPr>
        <w:t xml:space="preserve"> </w:t>
      </w:r>
      <w:r w:rsidR="00DD16BD" w:rsidRPr="001B7E14">
        <w:rPr>
          <w:rFonts w:ascii="Helvetica" w:hAnsi="Helvetica" w:cs="Helvetica"/>
          <w:bCs/>
          <w:sz w:val="22"/>
          <w:szCs w:val="22"/>
          <w:lang w:val="es-MX"/>
        </w:rPr>
        <w:t>de 2023 y 0552 del 12 de</w:t>
      </w:r>
      <w:r w:rsidR="005910B9">
        <w:rPr>
          <w:rFonts w:ascii="Helvetica" w:hAnsi="Helvetica" w:cs="Helvetica"/>
          <w:bCs/>
          <w:sz w:val="22"/>
          <w:szCs w:val="22"/>
          <w:lang w:val="es-MX"/>
        </w:rPr>
        <w:t xml:space="preserve"> </w:t>
      </w:r>
      <w:r w:rsidR="00DD16BD" w:rsidRPr="001B7E14">
        <w:rPr>
          <w:rFonts w:ascii="Helvetica" w:hAnsi="Helvetica" w:cs="Helvetica"/>
          <w:bCs/>
          <w:sz w:val="22"/>
          <w:szCs w:val="22"/>
          <w:lang w:val="es-MX"/>
        </w:rPr>
        <w:t>mayo de 2023 se constituyeron</w:t>
      </w:r>
      <w:r w:rsidR="005910B9">
        <w:rPr>
          <w:rFonts w:ascii="Helvetica" w:hAnsi="Helvetica" w:cs="Helvetica"/>
          <w:bCs/>
          <w:sz w:val="22"/>
          <w:szCs w:val="22"/>
          <w:lang w:val="es-MX"/>
        </w:rPr>
        <w:t xml:space="preserve"> </w:t>
      </w:r>
      <w:r w:rsidR="00687E3D" w:rsidRPr="001B7E14">
        <w:rPr>
          <w:rFonts w:ascii="Helvetica" w:eastAsia="Times New Roman" w:hAnsi="Helvetica" w:cs="Helvetica"/>
          <w:b/>
          <w:bCs/>
          <w:color w:val="000000"/>
          <w:sz w:val="22"/>
          <w:szCs w:val="22"/>
          <w:lang w:val="es-CO" w:eastAsia="es-CO"/>
        </w:rPr>
        <w:t>$</w:t>
      </w:r>
      <w:r w:rsidR="00DD16BD" w:rsidRPr="001B7E14">
        <w:rPr>
          <w:rFonts w:ascii="Helvetica" w:hAnsi="Helvetica" w:cs="Helvetica"/>
          <w:bCs/>
          <w:sz w:val="22"/>
          <w:szCs w:val="22"/>
          <w:lang w:val="es-MX"/>
        </w:rPr>
        <w:t xml:space="preserve">573 millones </w:t>
      </w:r>
      <w:r w:rsidR="00687E3D" w:rsidRPr="001B7E14">
        <w:rPr>
          <w:rFonts w:ascii="Helvetica" w:hAnsi="Helvetica" w:cs="Helvetica"/>
          <w:bCs/>
          <w:sz w:val="22"/>
          <w:szCs w:val="22"/>
          <w:lang w:val="es-MX"/>
        </w:rPr>
        <w:t>de cuentas por pagar y se reportaron al FUT</w:t>
      </w:r>
      <w:r w:rsidR="00DD16BD" w:rsidRPr="001B7E14">
        <w:rPr>
          <w:rFonts w:ascii="Helvetica" w:hAnsi="Helvetica" w:cs="Helvetica"/>
          <w:bCs/>
          <w:sz w:val="22"/>
          <w:szCs w:val="22"/>
          <w:lang w:val="es-MX"/>
        </w:rPr>
        <w:t xml:space="preserve"> $527 millones</w:t>
      </w:r>
      <w:r w:rsidR="005910B9">
        <w:rPr>
          <w:rFonts w:ascii="Helvetica" w:hAnsi="Helvetica" w:cs="Helvetica"/>
          <w:bCs/>
          <w:sz w:val="22"/>
          <w:szCs w:val="22"/>
          <w:lang w:val="es-MX"/>
        </w:rPr>
        <w:t>. A</w:t>
      </w:r>
      <w:r w:rsidR="00DD16BD" w:rsidRPr="001B7E14">
        <w:rPr>
          <w:rFonts w:ascii="Helvetica" w:hAnsi="Helvetica" w:cs="Helvetica"/>
          <w:bCs/>
          <w:sz w:val="22"/>
          <w:szCs w:val="22"/>
          <w:lang w:val="es-MX"/>
        </w:rPr>
        <w:t>simismo en las certificaciones de tesorería la entidad presenta o</w:t>
      </w:r>
      <w:r w:rsidR="00687E3D" w:rsidRPr="001B7E14">
        <w:rPr>
          <w:rFonts w:ascii="Helvetica" w:hAnsi="Helvetica" w:cs="Helvetica"/>
          <w:bCs/>
          <w:sz w:val="22"/>
          <w:szCs w:val="22"/>
          <w:lang w:val="es-MX"/>
        </w:rPr>
        <w:t>t</w:t>
      </w:r>
      <w:r w:rsidR="00DD16BD" w:rsidRPr="001B7E14">
        <w:rPr>
          <w:rFonts w:ascii="Helvetica" w:hAnsi="Helvetica" w:cs="Helvetica"/>
          <w:bCs/>
          <w:sz w:val="22"/>
          <w:szCs w:val="22"/>
          <w:lang w:val="es-MX"/>
        </w:rPr>
        <w:t>ras exigibilidades por valor de $942 millones las cuales no fueron reporta</w:t>
      </w:r>
      <w:r w:rsidR="000200A8" w:rsidRPr="001B7E14">
        <w:rPr>
          <w:rFonts w:ascii="Helvetica" w:hAnsi="Helvetica" w:cs="Helvetica"/>
          <w:bCs/>
          <w:sz w:val="22"/>
          <w:szCs w:val="22"/>
          <w:lang w:val="es-MX"/>
        </w:rPr>
        <w:t>das en el cierre fiscal del FUT;</w:t>
      </w:r>
      <w:r w:rsidR="00DD16BD" w:rsidRPr="001B7E14">
        <w:rPr>
          <w:rFonts w:ascii="Helvetica" w:hAnsi="Helvetica" w:cs="Helvetica"/>
          <w:bCs/>
          <w:sz w:val="22"/>
          <w:szCs w:val="22"/>
          <w:lang w:val="es-MX"/>
        </w:rPr>
        <w:t xml:space="preserve"> </w:t>
      </w:r>
      <w:r w:rsidR="00687E3D" w:rsidRPr="001B7E14">
        <w:rPr>
          <w:rFonts w:ascii="Helvetica" w:hAnsi="Helvetica" w:cs="Helvetica"/>
          <w:bCs/>
          <w:sz w:val="22"/>
          <w:szCs w:val="22"/>
          <w:lang w:val="es-MX"/>
        </w:rPr>
        <w:t>del saldo en caja y banco no se tiene certeza porque no se pudo acceder a los extractos bancarios</w:t>
      </w:r>
      <w:r w:rsidR="005910B9">
        <w:rPr>
          <w:rFonts w:ascii="Helvetica" w:hAnsi="Helvetica" w:cs="Helvetica"/>
          <w:bCs/>
          <w:sz w:val="22"/>
          <w:szCs w:val="22"/>
          <w:lang w:val="es-MX"/>
        </w:rPr>
        <w:t>. P</w:t>
      </w:r>
      <w:r w:rsidR="00687E3D" w:rsidRPr="001B7E14">
        <w:rPr>
          <w:rFonts w:ascii="Helvetica" w:hAnsi="Helvetica" w:cs="Helvetica"/>
          <w:bCs/>
          <w:sz w:val="22"/>
          <w:szCs w:val="22"/>
          <w:lang w:val="es-MX"/>
        </w:rPr>
        <w:t xml:space="preserve">ara el ejercicio de cierre </w:t>
      </w:r>
      <w:proofErr w:type="spellStart"/>
      <w:r w:rsidR="00687E3D" w:rsidRPr="001B7E14">
        <w:rPr>
          <w:rFonts w:ascii="Helvetica" w:hAnsi="Helvetica" w:cs="Helvetica"/>
          <w:bCs/>
          <w:sz w:val="22"/>
          <w:szCs w:val="22"/>
          <w:lang w:val="es-MX"/>
        </w:rPr>
        <w:t>tesoral</w:t>
      </w:r>
      <w:proofErr w:type="spellEnd"/>
      <w:r w:rsidR="00687E3D" w:rsidRPr="001B7E14">
        <w:rPr>
          <w:rFonts w:ascii="Helvetica" w:hAnsi="Helvetica" w:cs="Helvetica"/>
          <w:bCs/>
          <w:sz w:val="22"/>
          <w:szCs w:val="22"/>
          <w:lang w:val="es-MX"/>
        </w:rPr>
        <w:t xml:space="preserve"> se tuvo en cuenta</w:t>
      </w:r>
      <w:r w:rsidR="005910B9">
        <w:rPr>
          <w:rFonts w:ascii="Helvetica" w:hAnsi="Helvetica" w:cs="Helvetica"/>
          <w:bCs/>
          <w:sz w:val="22"/>
          <w:szCs w:val="22"/>
          <w:lang w:val="es-MX"/>
        </w:rPr>
        <w:t xml:space="preserve"> </w:t>
      </w:r>
      <w:r w:rsidR="00687E3D" w:rsidRPr="001B7E14">
        <w:rPr>
          <w:rFonts w:ascii="Helvetica" w:hAnsi="Helvetica" w:cs="Helvetica"/>
          <w:bCs/>
          <w:sz w:val="22"/>
          <w:szCs w:val="22"/>
          <w:lang w:val="es-MX"/>
        </w:rPr>
        <w:t xml:space="preserve">el valor de saldo en </w:t>
      </w:r>
      <w:proofErr w:type="gramStart"/>
      <w:r w:rsidR="00687E3D" w:rsidRPr="001B7E14">
        <w:rPr>
          <w:rFonts w:ascii="Helvetica" w:hAnsi="Helvetica" w:cs="Helvetica"/>
          <w:bCs/>
          <w:sz w:val="22"/>
          <w:szCs w:val="22"/>
          <w:lang w:val="es-MX"/>
        </w:rPr>
        <w:t>caja</w:t>
      </w:r>
      <w:proofErr w:type="gramEnd"/>
      <w:r w:rsidR="00687E3D" w:rsidRPr="001B7E14">
        <w:rPr>
          <w:rFonts w:ascii="Helvetica" w:hAnsi="Helvetica" w:cs="Helvetica"/>
          <w:bCs/>
          <w:sz w:val="22"/>
          <w:szCs w:val="22"/>
          <w:lang w:val="es-MX"/>
        </w:rPr>
        <w:t xml:space="preserve"> y bancos reportado al</w:t>
      </w:r>
      <w:r w:rsidR="00DD16BD" w:rsidRPr="001B7E14">
        <w:rPr>
          <w:rFonts w:ascii="Helvetica" w:hAnsi="Helvetica" w:cs="Helvetica"/>
          <w:bCs/>
          <w:sz w:val="22"/>
          <w:szCs w:val="22"/>
          <w:lang w:val="es-MX"/>
        </w:rPr>
        <w:t xml:space="preserve"> FUT</w:t>
      </w:r>
      <w:r w:rsidR="005910B9">
        <w:rPr>
          <w:rFonts w:ascii="Helvetica" w:hAnsi="Helvetica" w:cs="Helvetica"/>
          <w:bCs/>
          <w:sz w:val="22"/>
          <w:szCs w:val="22"/>
          <w:lang w:val="es-MX"/>
        </w:rPr>
        <w:t xml:space="preserve"> </w:t>
      </w:r>
      <w:r w:rsidR="00DD16BD" w:rsidRPr="001B7E14">
        <w:rPr>
          <w:rFonts w:ascii="Helvetica" w:hAnsi="Helvetica" w:cs="Helvetica"/>
          <w:bCs/>
          <w:sz w:val="22"/>
          <w:szCs w:val="22"/>
          <w:lang w:val="es-MX"/>
        </w:rPr>
        <w:t xml:space="preserve">y los valores de cuentas por pagar </w:t>
      </w:r>
      <w:r w:rsidR="00687E3D" w:rsidRPr="001B7E14">
        <w:rPr>
          <w:rFonts w:ascii="Helvetica" w:hAnsi="Helvetica" w:cs="Helvetica"/>
          <w:bCs/>
          <w:sz w:val="22"/>
          <w:szCs w:val="22"/>
          <w:lang w:val="es-MX"/>
        </w:rPr>
        <w:t>y reservas presupuestales</w:t>
      </w:r>
      <w:r w:rsidR="005910B9">
        <w:rPr>
          <w:rFonts w:ascii="Helvetica" w:hAnsi="Helvetica" w:cs="Helvetica"/>
          <w:bCs/>
          <w:sz w:val="22"/>
          <w:szCs w:val="22"/>
          <w:lang w:val="es-MX"/>
        </w:rPr>
        <w:t xml:space="preserve"> </w:t>
      </w:r>
      <w:r w:rsidR="00687E3D" w:rsidRPr="001B7E14">
        <w:rPr>
          <w:rFonts w:ascii="Helvetica" w:hAnsi="Helvetica" w:cs="Helvetica"/>
          <w:bCs/>
          <w:sz w:val="22"/>
          <w:szCs w:val="22"/>
          <w:lang w:val="es-MX"/>
        </w:rPr>
        <w:t>constituidas mediante acto administrativo</w:t>
      </w:r>
      <w:r w:rsidR="000200A8" w:rsidRPr="001B7E14">
        <w:rPr>
          <w:rFonts w:ascii="Helvetica" w:hAnsi="Helvetica" w:cs="Helvetica"/>
          <w:bCs/>
          <w:sz w:val="22"/>
          <w:szCs w:val="22"/>
          <w:lang w:val="es-MX"/>
        </w:rPr>
        <w:t xml:space="preserve"> y las exigibilidades certificadas por la entidad</w:t>
      </w:r>
      <w:r w:rsidR="00687E3D" w:rsidRPr="001B7E14">
        <w:rPr>
          <w:rFonts w:ascii="Helvetica" w:hAnsi="Helvetica" w:cs="Helvetica"/>
          <w:bCs/>
          <w:sz w:val="22"/>
          <w:szCs w:val="22"/>
          <w:lang w:val="es-MX"/>
        </w:rPr>
        <w:t>.</w:t>
      </w:r>
    </w:p>
    <w:p w14:paraId="185A8940" w14:textId="77777777" w:rsidR="00795FCC" w:rsidRPr="001B7E14" w:rsidRDefault="00DD16BD" w:rsidP="00687E3D">
      <w:pPr>
        <w:jc w:val="both"/>
        <w:rPr>
          <w:rFonts w:ascii="Helvetica" w:hAnsi="Helvetica" w:cs="Helvetica"/>
          <w:bCs/>
          <w:sz w:val="22"/>
          <w:szCs w:val="22"/>
          <w:lang w:val="es-MX"/>
        </w:rPr>
      </w:pPr>
      <w:r w:rsidRPr="001B7E14">
        <w:rPr>
          <w:rFonts w:ascii="Helvetica" w:hAnsi="Helvetica" w:cs="Helvetica"/>
          <w:bCs/>
          <w:sz w:val="22"/>
          <w:szCs w:val="22"/>
          <w:lang w:val="es-MX"/>
        </w:rPr>
        <w:t xml:space="preserve"> </w:t>
      </w:r>
    </w:p>
    <w:p w14:paraId="64500A41" w14:textId="77777777" w:rsidR="00E40A9F" w:rsidRPr="001B7E14" w:rsidRDefault="00E40A9F" w:rsidP="00E40A9F">
      <w:pPr>
        <w:jc w:val="both"/>
        <w:rPr>
          <w:rFonts w:ascii="Helvetica" w:hAnsi="Helvetica" w:cs="Helvetica"/>
          <w:sz w:val="22"/>
          <w:szCs w:val="22"/>
          <w:lang w:val="es-CO"/>
        </w:rPr>
      </w:pPr>
      <w:r w:rsidRPr="001B7E14">
        <w:rPr>
          <w:rFonts w:ascii="Helvetica" w:hAnsi="Helvetica" w:cs="Helvetica"/>
          <w:sz w:val="22"/>
          <w:szCs w:val="22"/>
          <w:lang w:val="es-CO"/>
        </w:rPr>
        <w:t>Las inconsistencias presentadas evidencian que los procesos de administración y reporte de información financiera por parte de la Entidad Territorial incumplen los requerimientos de la ley en términos de calidad, coherencia y confiabilidad de las cifras frente a otras fuentes oficiales de información y en consecuencia se constituyen como una situación de riesgo que afecta el uso de los recursos del Sistema General de Participaciones - Educación.</w:t>
      </w:r>
    </w:p>
    <w:p w14:paraId="6DA64DAE" w14:textId="77777777" w:rsidR="00E40A9F" w:rsidRPr="001B7E14" w:rsidRDefault="00E40A9F" w:rsidP="00E40A9F">
      <w:pPr>
        <w:jc w:val="both"/>
        <w:rPr>
          <w:rFonts w:ascii="Helvetica" w:hAnsi="Helvetica" w:cs="Helvetica"/>
          <w:b/>
          <w:sz w:val="22"/>
          <w:szCs w:val="22"/>
          <w:lang w:val="es-CO"/>
        </w:rPr>
      </w:pPr>
    </w:p>
    <w:p w14:paraId="1FFF05E6" w14:textId="77777777" w:rsidR="00AD0693" w:rsidRPr="001B7E14" w:rsidRDefault="00AD0693" w:rsidP="00FA42BB">
      <w:pPr>
        <w:jc w:val="both"/>
        <w:rPr>
          <w:rFonts w:ascii="Helvetica" w:hAnsi="Helvetica" w:cs="Helvetica"/>
          <w:sz w:val="22"/>
          <w:szCs w:val="22"/>
        </w:rPr>
      </w:pPr>
      <w:r w:rsidRPr="001B7E14">
        <w:rPr>
          <w:rFonts w:ascii="Helvetica" w:hAnsi="Helvetica" w:cs="Helvetica"/>
          <w:sz w:val="22"/>
          <w:szCs w:val="22"/>
        </w:rPr>
        <w:t>Evidencia: Obra en el expediente el siguiente material probatorio:</w:t>
      </w:r>
    </w:p>
    <w:p w14:paraId="1591FB6F" w14:textId="77777777" w:rsidR="00AD0693" w:rsidRPr="001B7E14" w:rsidRDefault="00AD0693" w:rsidP="00FA42BB">
      <w:pPr>
        <w:pStyle w:val="Prrafodelista"/>
        <w:numPr>
          <w:ilvl w:val="0"/>
          <w:numId w:val="28"/>
        </w:numPr>
        <w:ind w:left="284" w:hanging="284"/>
        <w:jc w:val="both"/>
        <w:rPr>
          <w:rFonts w:ascii="Helvetica" w:hAnsi="Helvetica" w:cs="Helvetica"/>
          <w:sz w:val="22"/>
          <w:szCs w:val="22"/>
          <w:lang w:val="es-CO"/>
        </w:rPr>
      </w:pPr>
      <w:r w:rsidRPr="001B7E14">
        <w:rPr>
          <w:rFonts w:ascii="Helvetica" w:hAnsi="Helvetica" w:cs="Helvetica"/>
          <w:sz w:val="22"/>
          <w:szCs w:val="22"/>
        </w:rPr>
        <w:t>Reporte de la categoría de gastos de inversión FUT de la vigencia 2020.</w:t>
      </w:r>
      <w:r w:rsidRPr="001B7E14">
        <w:rPr>
          <w:rFonts w:ascii="Helvetica" w:eastAsiaTheme="minorHAnsi" w:hAnsi="Helvetica" w:cs="Helvetica"/>
          <w:sz w:val="22"/>
          <w:szCs w:val="22"/>
          <w:lang w:eastAsia="es-ES_tradnl"/>
        </w:rPr>
        <w:t xml:space="preserve"> Sector Educación. Departamento de </w:t>
      </w:r>
      <w:r w:rsidR="00342952" w:rsidRPr="001B7E14">
        <w:rPr>
          <w:rFonts w:ascii="Helvetica" w:eastAsiaTheme="minorHAnsi" w:hAnsi="Helvetica" w:cs="Helvetica"/>
          <w:sz w:val="22"/>
          <w:szCs w:val="22"/>
          <w:lang w:eastAsia="es-ES_tradnl"/>
        </w:rPr>
        <w:t>Guainía</w:t>
      </w:r>
      <w:r w:rsidRPr="001B7E14">
        <w:rPr>
          <w:rFonts w:ascii="Helvetica" w:eastAsiaTheme="minorHAnsi" w:hAnsi="Helvetica" w:cs="Helvetica"/>
          <w:sz w:val="22"/>
          <w:szCs w:val="22"/>
          <w:lang w:eastAsia="es-ES_tradnl"/>
        </w:rPr>
        <w:t>. Serie "Historial de seguimiento y control a los recursos del Sistema General de Participaciones - Antecedentes de la medida". Expediente digital No. 135/2017/D028-PREDI. Enlace:</w:t>
      </w:r>
      <w:r w:rsidR="00507D31" w:rsidRPr="001B7E14">
        <w:rPr>
          <w:rFonts w:ascii="Helvetica" w:eastAsiaTheme="minorHAnsi" w:hAnsi="Helvetica" w:cs="Helvetica"/>
          <w:sz w:val="22"/>
          <w:szCs w:val="22"/>
          <w:lang w:eastAsia="es-ES_tradnl"/>
        </w:rPr>
        <w:t xml:space="preserve"> </w:t>
      </w:r>
      <w:hyperlink r:id="rId12" w:history="1">
        <w:r w:rsidRPr="001B7E14">
          <w:rPr>
            <w:rStyle w:val="Hipervnculo"/>
            <w:rFonts w:ascii="Helvetica" w:eastAsiaTheme="minorHAnsi" w:hAnsi="Helvetica" w:cs="Helvetica"/>
            <w:color w:val="auto"/>
            <w:sz w:val="22"/>
            <w:szCs w:val="22"/>
            <w:lang w:eastAsia="es-ES_tradnl"/>
          </w:rPr>
          <w:t>https://bit.ly/3Ptjhao</w:t>
        </w:r>
      </w:hyperlink>
    </w:p>
    <w:p w14:paraId="1C67919D" w14:textId="77777777" w:rsidR="00AD0693" w:rsidRPr="001B7E14" w:rsidRDefault="00AD0693" w:rsidP="00FA42BB">
      <w:pPr>
        <w:pStyle w:val="Prrafodelista"/>
        <w:numPr>
          <w:ilvl w:val="0"/>
          <w:numId w:val="28"/>
        </w:numPr>
        <w:ind w:left="284" w:hanging="284"/>
        <w:jc w:val="both"/>
        <w:rPr>
          <w:rFonts w:ascii="Helvetica" w:hAnsi="Helvetica" w:cs="Helvetica"/>
          <w:sz w:val="22"/>
          <w:szCs w:val="22"/>
          <w:lang w:val="es-CO"/>
        </w:rPr>
      </w:pPr>
      <w:r w:rsidRPr="001B7E14">
        <w:rPr>
          <w:rFonts w:ascii="Helvetica" w:hAnsi="Helvetica" w:cs="Helvetica"/>
          <w:sz w:val="22"/>
          <w:szCs w:val="22"/>
        </w:rPr>
        <w:t>Ejecución de gastos de la vigencia 2020. Se</w:t>
      </w:r>
      <w:r w:rsidRPr="001B7E14">
        <w:rPr>
          <w:rFonts w:ascii="Helvetica" w:eastAsiaTheme="minorHAnsi" w:hAnsi="Helvetica" w:cs="Helvetica"/>
          <w:sz w:val="22"/>
          <w:szCs w:val="22"/>
          <w:lang w:eastAsia="es-ES_tradnl"/>
        </w:rPr>
        <w:t xml:space="preserve">ctor Educación. Departamento de </w:t>
      </w:r>
      <w:r w:rsidR="00342952" w:rsidRPr="001B7E14">
        <w:rPr>
          <w:rFonts w:ascii="Helvetica" w:eastAsiaTheme="minorHAnsi" w:hAnsi="Helvetica" w:cs="Helvetica"/>
          <w:sz w:val="22"/>
          <w:szCs w:val="22"/>
          <w:lang w:eastAsia="es-ES_tradnl"/>
        </w:rPr>
        <w:t>Guainía</w:t>
      </w:r>
      <w:r w:rsidRPr="001B7E14">
        <w:rPr>
          <w:rFonts w:ascii="Helvetica" w:eastAsiaTheme="minorHAnsi" w:hAnsi="Helvetica" w:cs="Helvetica"/>
          <w:sz w:val="22"/>
          <w:szCs w:val="22"/>
          <w:lang w:eastAsia="es-ES_tradnl"/>
        </w:rPr>
        <w:t xml:space="preserve">. Serie "Historial de seguimiento y control a los recursos del Sistema General de Participaciones - Antecedentes de la medida". Expediente digital No. 135/2017/D028-PREDI, radicado 1-2021-104463 22 de noviembre 2021. Enlace: </w:t>
      </w:r>
      <w:hyperlink r:id="rId13" w:history="1">
        <w:r w:rsidRPr="001B7E14">
          <w:rPr>
            <w:rStyle w:val="Hipervnculo"/>
            <w:rFonts w:ascii="Helvetica" w:hAnsi="Helvetica" w:cs="Helvetica"/>
            <w:color w:val="auto"/>
            <w:sz w:val="22"/>
            <w:szCs w:val="22"/>
            <w:lang w:val="es-CO"/>
          </w:rPr>
          <w:t>https://bit.ly/39QcmJ6</w:t>
        </w:r>
      </w:hyperlink>
    </w:p>
    <w:p w14:paraId="4C4A0808" w14:textId="77777777" w:rsidR="00AD0693" w:rsidRPr="001B7E14" w:rsidRDefault="00AD0693" w:rsidP="00FA42BB">
      <w:pPr>
        <w:pStyle w:val="Prrafodelista"/>
        <w:numPr>
          <w:ilvl w:val="0"/>
          <w:numId w:val="28"/>
        </w:numPr>
        <w:ind w:left="284" w:hanging="284"/>
        <w:jc w:val="both"/>
        <w:rPr>
          <w:rFonts w:ascii="Helvetica" w:hAnsi="Helvetica" w:cs="Helvetica"/>
          <w:sz w:val="22"/>
          <w:szCs w:val="22"/>
          <w:lang w:val="es-CO"/>
        </w:rPr>
      </w:pPr>
      <w:r w:rsidRPr="001B7E14">
        <w:rPr>
          <w:rFonts w:ascii="Helvetica" w:hAnsi="Helvetica" w:cs="Helvetica"/>
          <w:sz w:val="22"/>
          <w:szCs w:val="22"/>
        </w:rPr>
        <w:t>Reporte de la categoría de cierre fiscal al FUT de la vigencia 2020.</w:t>
      </w:r>
      <w:r w:rsidR="00507D31" w:rsidRPr="001B7E14">
        <w:rPr>
          <w:rFonts w:ascii="Helvetica" w:eastAsiaTheme="minorHAnsi" w:hAnsi="Helvetica" w:cs="Helvetica"/>
          <w:sz w:val="22"/>
          <w:szCs w:val="22"/>
          <w:lang w:eastAsia="es-ES_tradnl"/>
        </w:rPr>
        <w:t xml:space="preserve"> </w:t>
      </w:r>
      <w:r w:rsidRPr="001B7E14">
        <w:rPr>
          <w:rFonts w:ascii="Helvetica" w:eastAsiaTheme="minorHAnsi" w:hAnsi="Helvetica" w:cs="Helvetica"/>
          <w:sz w:val="22"/>
          <w:szCs w:val="22"/>
          <w:lang w:eastAsia="es-ES_tradnl"/>
        </w:rPr>
        <w:t xml:space="preserve">Departamento de </w:t>
      </w:r>
      <w:r w:rsidR="00E40A9F" w:rsidRPr="001B7E14">
        <w:rPr>
          <w:rFonts w:ascii="Helvetica" w:eastAsiaTheme="minorHAnsi" w:hAnsi="Helvetica" w:cs="Helvetica"/>
          <w:sz w:val="22"/>
          <w:szCs w:val="22"/>
          <w:lang w:eastAsia="es-ES_tradnl"/>
        </w:rPr>
        <w:t>Guainía</w:t>
      </w:r>
      <w:r w:rsidRPr="001B7E14">
        <w:rPr>
          <w:rFonts w:ascii="Helvetica" w:eastAsiaTheme="minorHAnsi" w:hAnsi="Helvetica" w:cs="Helvetica"/>
          <w:sz w:val="22"/>
          <w:szCs w:val="22"/>
          <w:lang w:eastAsia="es-ES_tradnl"/>
        </w:rPr>
        <w:t>. Serie "Historial de seguimiento y control a los recursos del Sistema General de Participaciones - Antecedentes de la medida". Expediente digital No. 135/2017/D028-PREDI. Enlace:</w:t>
      </w:r>
      <w:r w:rsidRPr="001B7E14">
        <w:rPr>
          <w:rFonts w:ascii="Helvetica" w:hAnsi="Helvetica" w:cs="Helvetica"/>
          <w:sz w:val="22"/>
          <w:szCs w:val="22"/>
        </w:rPr>
        <w:t xml:space="preserve"> </w:t>
      </w:r>
      <w:hyperlink r:id="rId14" w:history="1">
        <w:r w:rsidRPr="001B7E14">
          <w:rPr>
            <w:rStyle w:val="Hipervnculo"/>
            <w:rFonts w:ascii="Helvetica" w:eastAsiaTheme="minorHAnsi" w:hAnsi="Helvetica" w:cs="Helvetica"/>
            <w:color w:val="auto"/>
            <w:sz w:val="22"/>
            <w:szCs w:val="22"/>
            <w:lang w:eastAsia="es-ES_tradnl"/>
          </w:rPr>
          <w:t>https://bit.ly/3P3N8WW</w:t>
        </w:r>
      </w:hyperlink>
    </w:p>
    <w:p w14:paraId="4F22E622" w14:textId="77777777" w:rsidR="00AD0693" w:rsidRPr="001B7E14" w:rsidRDefault="00AD0693" w:rsidP="00FA42BB">
      <w:pPr>
        <w:pStyle w:val="Prrafodelista"/>
        <w:numPr>
          <w:ilvl w:val="0"/>
          <w:numId w:val="28"/>
        </w:numPr>
        <w:ind w:left="284" w:hanging="284"/>
        <w:jc w:val="both"/>
        <w:rPr>
          <w:rFonts w:ascii="Helvetica" w:hAnsi="Helvetica" w:cs="Helvetica"/>
          <w:sz w:val="22"/>
          <w:szCs w:val="22"/>
          <w:lang w:val="es-CO"/>
        </w:rPr>
      </w:pPr>
      <w:r w:rsidRPr="001B7E14">
        <w:rPr>
          <w:rFonts w:ascii="Helvetica" w:hAnsi="Helvetica" w:cs="Helvetica"/>
          <w:sz w:val="22"/>
          <w:szCs w:val="22"/>
        </w:rPr>
        <w:t>Certificación de tesorería de la vigencia 2020. Se</w:t>
      </w:r>
      <w:r w:rsidRPr="001B7E14">
        <w:rPr>
          <w:rFonts w:ascii="Helvetica" w:eastAsiaTheme="minorHAnsi" w:hAnsi="Helvetica" w:cs="Helvetica"/>
          <w:sz w:val="22"/>
          <w:szCs w:val="22"/>
          <w:lang w:eastAsia="es-ES_tradnl"/>
        </w:rPr>
        <w:t xml:space="preserve">ctor Educación. Departamento de </w:t>
      </w:r>
      <w:r w:rsidR="00342952" w:rsidRPr="001B7E14">
        <w:rPr>
          <w:rFonts w:ascii="Helvetica" w:eastAsiaTheme="minorHAnsi" w:hAnsi="Helvetica" w:cs="Helvetica"/>
          <w:sz w:val="22"/>
          <w:szCs w:val="22"/>
          <w:lang w:eastAsia="es-ES_tradnl"/>
        </w:rPr>
        <w:t>Guainía</w:t>
      </w:r>
      <w:r w:rsidRPr="001B7E14">
        <w:rPr>
          <w:rFonts w:ascii="Helvetica" w:eastAsiaTheme="minorHAnsi" w:hAnsi="Helvetica" w:cs="Helvetica"/>
          <w:sz w:val="22"/>
          <w:szCs w:val="22"/>
          <w:lang w:eastAsia="es-ES_tradnl"/>
        </w:rPr>
        <w:t>. Serie "Historial de seguimiento y control a los recursos del Sistema General de Participaciones - Antecedentes de la medida". Expediente digital No. 135/2017/D028-PREDI, radicado 1-2021-104463 22 de noviembre 2021. Enlace:</w:t>
      </w:r>
      <w:r w:rsidR="00507D31" w:rsidRPr="001B7E14">
        <w:rPr>
          <w:rFonts w:ascii="Helvetica" w:eastAsiaTheme="minorHAnsi" w:hAnsi="Helvetica" w:cs="Helvetica"/>
          <w:sz w:val="22"/>
          <w:szCs w:val="22"/>
          <w:lang w:eastAsia="es-ES_tradnl"/>
        </w:rPr>
        <w:t xml:space="preserve"> </w:t>
      </w:r>
      <w:hyperlink r:id="rId15" w:history="1">
        <w:r w:rsidRPr="001B7E14">
          <w:rPr>
            <w:rStyle w:val="Hipervnculo"/>
            <w:rFonts w:ascii="Helvetica" w:hAnsi="Helvetica" w:cs="Helvetica"/>
            <w:color w:val="auto"/>
            <w:sz w:val="22"/>
            <w:szCs w:val="22"/>
          </w:rPr>
          <w:t>https://bit.ly/3xSbH1N</w:t>
        </w:r>
      </w:hyperlink>
    </w:p>
    <w:p w14:paraId="08E38E48" w14:textId="77777777" w:rsidR="00AD0693" w:rsidRPr="001B7E14" w:rsidRDefault="00AD0693" w:rsidP="00FA42BB">
      <w:pPr>
        <w:pStyle w:val="Prrafodelista"/>
        <w:numPr>
          <w:ilvl w:val="0"/>
          <w:numId w:val="28"/>
        </w:numPr>
        <w:ind w:left="284" w:hanging="284"/>
        <w:jc w:val="both"/>
        <w:rPr>
          <w:rFonts w:ascii="Helvetica" w:hAnsi="Helvetica" w:cs="Helvetica"/>
          <w:sz w:val="22"/>
          <w:szCs w:val="22"/>
          <w:lang w:val="es-CO"/>
        </w:rPr>
      </w:pPr>
      <w:r w:rsidRPr="001B7E14">
        <w:rPr>
          <w:rFonts w:ascii="Helvetica" w:hAnsi="Helvetica" w:cs="Helvetica"/>
          <w:sz w:val="22"/>
          <w:szCs w:val="22"/>
        </w:rPr>
        <w:t xml:space="preserve">Reporte de ingresos en el FUT de la vigencia 2021. </w:t>
      </w:r>
      <w:r w:rsidRPr="001B7E14">
        <w:rPr>
          <w:rFonts w:ascii="Helvetica" w:eastAsiaTheme="minorHAnsi" w:hAnsi="Helvetica" w:cs="Helvetica"/>
          <w:sz w:val="22"/>
          <w:szCs w:val="22"/>
          <w:lang w:eastAsia="es-ES_tradnl"/>
        </w:rPr>
        <w:t xml:space="preserve">Sector Educación. Departamento de </w:t>
      </w:r>
      <w:r w:rsidR="00342952" w:rsidRPr="001B7E14">
        <w:rPr>
          <w:rFonts w:ascii="Helvetica" w:eastAsiaTheme="minorHAnsi" w:hAnsi="Helvetica" w:cs="Helvetica"/>
          <w:sz w:val="22"/>
          <w:szCs w:val="22"/>
          <w:lang w:eastAsia="es-ES_tradnl"/>
        </w:rPr>
        <w:t>Guainía</w:t>
      </w:r>
      <w:r w:rsidRPr="001B7E14">
        <w:rPr>
          <w:rFonts w:ascii="Helvetica" w:eastAsiaTheme="minorHAnsi" w:hAnsi="Helvetica" w:cs="Helvetica"/>
          <w:sz w:val="22"/>
          <w:szCs w:val="22"/>
          <w:lang w:eastAsia="es-ES_tradnl"/>
        </w:rPr>
        <w:t xml:space="preserve">. Serie "Historial de seguimiento y control a los recursos del Sistema General de </w:t>
      </w:r>
      <w:r w:rsidRPr="001B7E14">
        <w:rPr>
          <w:rFonts w:ascii="Helvetica" w:eastAsiaTheme="minorHAnsi" w:hAnsi="Helvetica" w:cs="Helvetica"/>
          <w:sz w:val="22"/>
          <w:szCs w:val="22"/>
          <w:lang w:eastAsia="es-ES_tradnl"/>
        </w:rPr>
        <w:lastRenderedPageBreak/>
        <w:t>Participaciones - Antecedentes de la medida". Expediente digital No. 135/2017/D028-PREDI. Enlace:</w:t>
      </w:r>
      <w:r w:rsidR="00507D31" w:rsidRPr="001B7E14">
        <w:rPr>
          <w:rFonts w:ascii="Helvetica" w:eastAsiaTheme="minorHAnsi" w:hAnsi="Helvetica" w:cs="Helvetica"/>
          <w:sz w:val="22"/>
          <w:szCs w:val="22"/>
          <w:lang w:eastAsia="es-ES_tradnl"/>
        </w:rPr>
        <w:t xml:space="preserve"> </w:t>
      </w:r>
      <w:hyperlink r:id="rId16" w:history="1">
        <w:r w:rsidRPr="001B7E14">
          <w:rPr>
            <w:rStyle w:val="Hipervnculo"/>
            <w:rFonts w:ascii="Helvetica" w:eastAsiaTheme="minorHAnsi" w:hAnsi="Helvetica" w:cs="Helvetica"/>
            <w:color w:val="auto"/>
            <w:sz w:val="22"/>
            <w:szCs w:val="22"/>
            <w:lang w:eastAsia="es-ES_tradnl"/>
          </w:rPr>
          <w:t>https://bit.ly/3IzevWk</w:t>
        </w:r>
      </w:hyperlink>
    </w:p>
    <w:p w14:paraId="1CD61129" w14:textId="77777777" w:rsidR="00AD0693" w:rsidRPr="001B7E14" w:rsidRDefault="00AD0693" w:rsidP="00FA42BB">
      <w:pPr>
        <w:pStyle w:val="Prrafodelista"/>
        <w:numPr>
          <w:ilvl w:val="0"/>
          <w:numId w:val="28"/>
        </w:numPr>
        <w:ind w:left="284" w:hanging="284"/>
        <w:jc w:val="both"/>
        <w:rPr>
          <w:rFonts w:ascii="Helvetica" w:hAnsi="Helvetica" w:cs="Helvetica"/>
          <w:sz w:val="22"/>
          <w:szCs w:val="22"/>
          <w:lang w:val="es-CO"/>
        </w:rPr>
      </w:pPr>
      <w:r w:rsidRPr="001B7E14">
        <w:rPr>
          <w:rFonts w:ascii="Helvetica" w:hAnsi="Helvetica" w:cs="Helvetica"/>
          <w:sz w:val="22"/>
          <w:szCs w:val="22"/>
        </w:rPr>
        <w:t>Ejecución de ingresos de la vigencia 2021. Se</w:t>
      </w:r>
      <w:r w:rsidRPr="001B7E14">
        <w:rPr>
          <w:rFonts w:ascii="Helvetica" w:eastAsiaTheme="minorHAnsi" w:hAnsi="Helvetica" w:cs="Helvetica"/>
          <w:sz w:val="22"/>
          <w:szCs w:val="22"/>
          <w:lang w:eastAsia="es-ES_tradnl"/>
        </w:rPr>
        <w:t xml:space="preserve">ctor Educación. Departamento de </w:t>
      </w:r>
      <w:r w:rsidR="00342952" w:rsidRPr="001B7E14">
        <w:rPr>
          <w:rFonts w:ascii="Helvetica" w:eastAsiaTheme="minorHAnsi" w:hAnsi="Helvetica" w:cs="Helvetica"/>
          <w:sz w:val="22"/>
          <w:szCs w:val="22"/>
          <w:lang w:eastAsia="es-ES_tradnl"/>
        </w:rPr>
        <w:t>Guainía</w:t>
      </w:r>
      <w:r w:rsidRPr="001B7E14">
        <w:rPr>
          <w:rFonts w:ascii="Helvetica" w:eastAsiaTheme="minorHAnsi" w:hAnsi="Helvetica" w:cs="Helvetica"/>
          <w:sz w:val="22"/>
          <w:szCs w:val="22"/>
          <w:lang w:eastAsia="es-ES_tradnl"/>
        </w:rPr>
        <w:t xml:space="preserve">. Serie "Historial de seguimiento y control a los recursos del Sistema General de Participaciones - Antecedentes de la medida". Expediente digital No. 135/2017/D028-PREDI, radicado 1-2022-015922 del 01 de marzo 2022. Enlace </w:t>
      </w:r>
      <w:hyperlink r:id="rId17" w:history="1">
        <w:r w:rsidRPr="001B7E14">
          <w:rPr>
            <w:rStyle w:val="Hipervnculo"/>
            <w:rFonts w:ascii="Helvetica" w:eastAsiaTheme="minorHAnsi" w:hAnsi="Helvetica" w:cs="Helvetica"/>
            <w:color w:val="auto"/>
            <w:sz w:val="22"/>
            <w:szCs w:val="22"/>
            <w:lang w:eastAsia="es-ES_tradnl"/>
          </w:rPr>
          <w:t>https://bit.ly/3z3THDk</w:t>
        </w:r>
      </w:hyperlink>
    </w:p>
    <w:p w14:paraId="5B5D23CA" w14:textId="77777777" w:rsidR="00AD0693" w:rsidRPr="001B7E14" w:rsidRDefault="00AD0693" w:rsidP="00FA42BB">
      <w:pPr>
        <w:numPr>
          <w:ilvl w:val="0"/>
          <w:numId w:val="28"/>
        </w:numPr>
        <w:ind w:left="284" w:hanging="284"/>
        <w:contextualSpacing/>
        <w:jc w:val="both"/>
        <w:rPr>
          <w:rFonts w:ascii="Helvetica" w:hAnsi="Helvetica" w:cs="Helvetica"/>
          <w:sz w:val="22"/>
          <w:szCs w:val="22"/>
          <w:lang w:val="es-CO"/>
        </w:rPr>
      </w:pPr>
      <w:r w:rsidRPr="001B7E14">
        <w:rPr>
          <w:rFonts w:ascii="Helvetica" w:hAnsi="Helvetica" w:cs="Helvetica"/>
          <w:sz w:val="22"/>
          <w:szCs w:val="22"/>
        </w:rPr>
        <w:t>Ejecución de gastos de la vigencia 2021. Se</w:t>
      </w:r>
      <w:r w:rsidRPr="001B7E14">
        <w:rPr>
          <w:rFonts w:ascii="Helvetica" w:eastAsiaTheme="minorHAnsi" w:hAnsi="Helvetica" w:cs="Helvetica"/>
          <w:sz w:val="22"/>
          <w:szCs w:val="22"/>
          <w:lang w:eastAsia="es-ES_tradnl"/>
        </w:rPr>
        <w:t xml:space="preserve">ctor Educación. Departamento de </w:t>
      </w:r>
      <w:r w:rsidR="00342952" w:rsidRPr="001B7E14">
        <w:rPr>
          <w:rFonts w:ascii="Helvetica" w:eastAsiaTheme="minorHAnsi" w:hAnsi="Helvetica" w:cs="Helvetica"/>
          <w:sz w:val="22"/>
          <w:szCs w:val="22"/>
          <w:lang w:eastAsia="es-ES_tradnl"/>
        </w:rPr>
        <w:t>Guainía</w:t>
      </w:r>
      <w:r w:rsidRPr="001B7E14">
        <w:rPr>
          <w:rFonts w:ascii="Helvetica" w:eastAsiaTheme="minorHAnsi" w:hAnsi="Helvetica" w:cs="Helvetica"/>
          <w:sz w:val="22"/>
          <w:szCs w:val="22"/>
          <w:lang w:eastAsia="es-ES_tradnl"/>
        </w:rPr>
        <w:t xml:space="preserve">. Serie "Historial de seguimiento y control a los recursos del Sistema General de Participaciones - Antecedentes de la medida". Expediente digital No. 135/2017/D028-PREDI, radicado 1-2022-015922 del 01 de marzo 2022. Enlace: </w:t>
      </w:r>
      <w:hyperlink r:id="rId18" w:history="1">
        <w:r w:rsidRPr="001B7E14">
          <w:rPr>
            <w:rStyle w:val="Hipervnculo"/>
            <w:rFonts w:ascii="Helvetica" w:hAnsi="Helvetica" w:cs="Helvetica"/>
            <w:color w:val="auto"/>
            <w:sz w:val="22"/>
            <w:szCs w:val="22"/>
            <w:lang w:val="es-CO"/>
          </w:rPr>
          <w:t>https://bit.ly/3RIB8Mk</w:t>
        </w:r>
      </w:hyperlink>
    </w:p>
    <w:p w14:paraId="1F32EAAE" w14:textId="77777777" w:rsidR="00AD0693" w:rsidRPr="001B7E14" w:rsidRDefault="00AD0693" w:rsidP="00FA42BB">
      <w:pPr>
        <w:numPr>
          <w:ilvl w:val="0"/>
          <w:numId w:val="28"/>
        </w:numPr>
        <w:ind w:left="284" w:hanging="284"/>
        <w:contextualSpacing/>
        <w:jc w:val="both"/>
        <w:rPr>
          <w:rStyle w:val="Hipervnculo"/>
          <w:rFonts w:ascii="Helvetica" w:hAnsi="Helvetica" w:cs="Helvetica"/>
          <w:color w:val="auto"/>
          <w:sz w:val="22"/>
          <w:szCs w:val="22"/>
          <w:u w:val="none"/>
          <w:lang w:val="es-CO"/>
        </w:rPr>
      </w:pPr>
      <w:r w:rsidRPr="001B7E14">
        <w:rPr>
          <w:rFonts w:ascii="Helvetica" w:hAnsi="Helvetica" w:cs="Helvetica"/>
          <w:sz w:val="22"/>
          <w:szCs w:val="22"/>
        </w:rPr>
        <w:t>Reporte de la categoría de gastos de inversión FUT de la vigencia 2021.</w:t>
      </w:r>
      <w:r w:rsidRPr="001B7E14">
        <w:rPr>
          <w:rFonts w:ascii="Helvetica" w:eastAsiaTheme="minorHAnsi" w:hAnsi="Helvetica" w:cs="Helvetica"/>
          <w:sz w:val="22"/>
          <w:szCs w:val="22"/>
          <w:lang w:eastAsia="es-ES_tradnl"/>
        </w:rPr>
        <w:t xml:space="preserve"> Sector Educación. Departamento de </w:t>
      </w:r>
      <w:r w:rsidR="00342952" w:rsidRPr="001B7E14">
        <w:rPr>
          <w:rFonts w:ascii="Helvetica" w:eastAsiaTheme="minorHAnsi" w:hAnsi="Helvetica" w:cs="Helvetica"/>
          <w:sz w:val="22"/>
          <w:szCs w:val="22"/>
          <w:lang w:eastAsia="es-ES_tradnl"/>
        </w:rPr>
        <w:t>Guainía</w:t>
      </w:r>
      <w:r w:rsidRPr="001B7E14">
        <w:rPr>
          <w:rFonts w:ascii="Helvetica" w:eastAsiaTheme="minorHAnsi" w:hAnsi="Helvetica" w:cs="Helvetica"/>
          <w:sz w:val="22"/>
          <w:szCs w:val="22"/>
          <w:lang w:eastAsia="es-ES_tradnl"/>
        </w:rPr>
        <w:t xml:space="preserve">. Serie "Historial de seguimiento y control a los recursos del Sistema General de Participaciones - Antecedentes de la medida". Expediente digital No. 135/2017/D028-PREDI. Enlace: </w:t>
      </w:r>
      <w:hyperlink r:id="rId19" w:history="1">
        <w:r w:rsidRPr="001B7E14">
          <w:rPr>
            <w:rStyle w:val="Hipervnculo"/>
            <w:rFonts w:ascii="Helvetica" w:hAnsi="Helvetica" w:cs="Helvetica"/>
            <w:color w:val="auto"/>
            <w:sz w:val="22"/>
            <w:szCs w:val="22"/>
            <w:lang w:val="es-CO"/>
          </w:rPr>
          <w:t>https://bit.ly/3OEcTMJ</w:t>
        </w:r>
      </w:hyperlink>
    </w:p>
    <w:p w14:paraId="7F61D712" w14:textId="77777777" w:rsidR="000200A8" w:rsidRPr="001B7E14" w:rsidRDefault="000200A8" w:rsidP="00FA42BB">
      <w:pPr>
        <w:numPr>
          <w:ilvl w:val="0"/>
          <w:numId w:val="28"/>
        </w:numPr>
        <w:ind w:left="284" w:hanging="284"/>
        <w:contextualSpacing/>
        <w:jc w:val="both"/>
        <w:rPr>
          <w:rFonts w:ascii="Helvetica" w:hAnsi="Helvetica" w:cs="Helvetica"/>
          <w:sz w:val="22"/>
          <w:szCs w:val="22"/>
          <w:lang w:val="es-CO"/>
        </w:rPr>
      </w:pPr>
      <w:r w:rsidRPr="001B7E14">
        <w:rPr>
          <w:rStyle w:val="Hipervnculo"/>
          <w:rFonts w:ascii="Helvetica" w:hAnsi="Helvetica" w:cs="Helvetica"/>
          <w:color w:val="auto"/>
          <w:sz w:val="22"/>
          <w:szCs w:val="22"/>
          <w:u w:val="none"/>
          <w:lang w:val="es-CO"/>
        </w:rPr>
        <w:t xml:space="preserve">Ejecución presupuestal de gastos de la vigencia 2022. </w:t>
      </w:r>
      <w:r w:rsidRPr="001B7E14">
        <w:rPr>
          <w:rFonts w:ascii="Helvetica" w:eastAsiaTheme="minorHAnsi" w:hAnsi="Helvetica" w:cs="Helvetica"/>
          <w:sz w:val="22"/>
          <w:szCs w:val="22"/>
          <w:lang w:eastAsia="es-ES_tradnl"/>
        </w:rPr>
        <w:t>Sector Educación. Departamento de Guainía. Serie "Historial de seguimiento y control a los recursos del Sistema General de Participaciones - Antecedentes de la medida". Expediente digital No. 135/2017/D028-PREDI. Enlace:</w:t>
      </w:r>
    </w:p>
    <w:p w14:paraId="6784C0C7" w14:textId="77777777" w:rsidR="000200A8" w:rsidRPr="001B7E14" w:rsidRDefault="000200A8" w:rsidP="000200A8">
      <w:pPr>
        <w:numPr>
          <w:ilvl w:val="0"/>
          <w:numId w:val="28"/>
        </w:numPr>
        <w:ind w:left="284" w:hanging="284"/>
        <w:contextualSpacing/>
        <w:jc w:val="both"/>
        <w:rPr>
          <w:rFonts w:ascii="Helvetica" w:hAnsi="Helvetica" w:cs="Helvetica"/>
          <w:sz w:val="22"/>
          <w:szCs w:val="22"/>
          <w:lang w:val="es-CO"/>
        </w:rPr>
      </w:pPr>
      <w:r w:rsidRPr="001B7E14">
        <w:rPr>
          <w:rFonts w:ascii="Helvetica" w:eastAsiaTheme="minorHAnsi" w:hAnsi="Helvetica" w:cs="Helvetica"/>
          <w:sz w:val="22"/>
          <w:szCs w:val="22"/>
          <w:lang w:eastAsia="es-ES_tradnl"/>
        </w:rPr>
        <w:t>Certificaciones de tesorería sobre exigibilidades al cierre de la vigencia 2022. Sector Educación. Departamento de Guainía. Serie "Historial de seguimiento y control a los recursos del Sistema General de Participaciones - Antecedentes de la medida". Expediente digital No. 135/2017/D028-PREDI. Enlace:</w:t>
      </w:r>
    </w:p>
    <w:p w14:paraId="6AE47A37" w14:textId="77777777" w:rsidR="000200A8" w:rsidRPr="001B7E14" w:rsidRDefault="000200A8" w:rsidP="000200A8">
      <w:pPr>
        <w:numPr>
          <w:ilvl w:val="0"/>
          <w:numId w:val="28"/>
        </w:numPr>
        <w:ind w:left="284" w:hanging="284"/>
        <w:contextualSpacing/>
        <w:jc w:val="both"/>
        <w:rPr>
          <w:rFonts w:ascii="Helvetica" w:hAnsi="Helvetica" w:cs="Helvetica"/>
          <w:sz w:val="22"/>
          <w:szCs w:val="22"/>
          <w:lang w:val="es-CO"/>
        </w:rPr>
      </w:pPr>
      <w:r w:rsidRPr="001B7E14">
        <w:rPr>
          <w:rFonts w:ascii="Helvetica" w:eastAsiaTheme="minorHAnsi" w:hAnsi="Helvetica" w:cs="Helvetica"/>
          <w:sz w:val="22"/>
          <w:szCs w:val="22"/>
          <w:lang w:eastAsia="es-ES_tradnl"/>
        </w:rPr>
        <w:t xml:space="preserve">Reporte de la </w:t>
      </w:r>
      <w:r w:rsidR="00A51360" w:rsidRPr="001B7E14">
        <w:rPr>
          <w:rFonts w:ascii="Helvetica" w:eastAsiaTheme="minorHAnsi" w:hAnsi="Helvetica" w:cs="Helvetica"/>
          <w:sz w:val="22"/>
          <w:szCs w:val="22"/>
          <w:lang w:eastAsia="es-ES_tradnl"/>
        </w:rPr>
        <w:t xml:space="preserve">vigencia 2022 de la </w:t>
      </w:r>
      <w:r w:rsidRPr="001B7E14">
        <w:rPr>
          <w:rFonts w:ascii="Helvetica" w:eastAsiaTheme="minorHAnsi" w:hAnsi="Helvetica" w:cs="Helvetica"/>
          <w:sz w:val="22"/>
          <w:szCs w:val="22"/>
          <w:lang w:eastAsia="es-ES_tradnl"/>
        </w:rPr>
        <w:t>Categoría Única De Información del Presupuesto Ordinario – CUIPO. Sector Educación. Departamento de Guainía. Serie "Historial de seguimiento y control a los recursos del Sistema General de Participaciones - Antecedentes de la medida". Expediente digital No. 135/2017/D028-PREDI. Enlace:</w:t>
      </w:r>
    </w:p>
    <w:p w14:paraId="5A318DB5" w14:textId="77777777" w:rsidR="00A51360" w:rsidRPr="001B7E14" w:rsidRDefault="00A51360" w:rsidP="000200A8">
      <w:pPr>
        <w:numPr>
          <w:ilvl w:val="0"/>
          <w:numId w:val="28"/>
        </w:numPr>
        <w:ind w:left="284" w:hanging="284"/>
        <w:contextualSpacing/>
        <w:jc w:val="both"/>
        <w:rPr>
          <w:rFonts w:ascii="Helvetica" w:hAnsi="Helvetica" w:cs="Helvetica"/>
          <w:sz w:val="22"/>
          <w:szCs w:val="22"/>
          <w:lang w:val="es-CO"/>
        </w:rPr>
      </w:pPr>
      <w:r w:rsidRPr="001B7E14">
        <w:rPr>
          <w:rFonts w:ascii="Helvetica" w:hAnsi="Helvetica" w:cs="Helvetica"/>
          <w:sz w:val="22"/>
          <w:szCs w:val="22"/>
        </w:rPr>
        <w:t>Reporte de la categoría de cierre fiscal al FUT de la vigencia 2022.</w:t>
      </w:r>
      <w:r w:rsidRPr="001B7E14">
        <w:rPr>
          <w:rFonts w:ascii="Helvetica" w:eastAsiaTheme="minorHAnsi" w:hAnsi="Helvetica" w:cs="Helvetica"/>
          <w:sz w:val="22"/>
          <w:szCs w:val="22"/>
          <w:lang w:eastAsia="es-ES_tradnl"/>
        </w:rPr>
        <w:t xml:space="preserve"> Departamento de Guainía. Serie "Historial de seguimiento y control a los recursos del Sistema General de Participaciones - Antecedentes de la medida". Expediente digital No. 135/2017/D028-PREDI. Enlace:</w:t>
      </w:r>
    </w:p>
    <w:p w14:paraId="3A16512A" w14:textId="77777777" w:rsidR="00EB1ADA" w:rsidRPr="001B7E14" w:rsidRDefault="00EB1ADA" w:rsidP="00EB1ADA">
      <w:pPr>
        <w:numPr>
          <w:ilvl w:val="0"/>
          <w:numId w:val="28"/>
        </w:numPr>
        <w:ind w:left="284" w:hanging="284"/>
        <w:contextualSpacing/>
        <w:jc w:val="both"/>
        <w:rPr>
          <w:rFonts w:ascii="Helvetica" w:hAnsi="Helvetica" w:cs="Helvetica"/>
          <w:sz w:val="22"/>
          <w:szCs w:val="22"/>
          <w:lang w:val="es-CO"/>
        </w:rPr>
      </w:pPr>
      <w:r w:rsidRPr="001B7E14">
        <w:rPr>
          <w:rFonts w:ascii="Helvetica" w:hAnsi="Helvetica" w:cs="Helvetica"/>
          <w:bCs/>
          <w:sz w:val="22"/>
          <w:szCs w:val="22"/>
          <w:lang w:val="es-MX"/>
        </w:rPr>
        <w:t xml:space="preserve">Resolución 0004 </w:t>
      </w:r>
      <w:r w:rsidR="00A51360" w:rsidRPr="001B7E14">
        <w:rPr>
          <w:rFonts w:ascii="Helvetica" w:hAnsi="Helvetica" w:cs="Helvetica"/>
          <w:bCs/>
          <w:sz w:val="22"/>
          <w:szCs w:val="22"/>
          <w:lang w:val="es-MX"/>
        </w:rPr>
        <w:t xml:space="preserve">de 2023 y Resolución 0552 del 12 </w:t>
      </w:r>
      <w:r w:rsidRPr="001B7E14">
        <w:rPr>
          <w:rFonts w:ascii="Helvetica" w:hAnsi="Helvetica" w:cs="Helvetica"/>
          <w:bCs/>
          <w:sz w:val="22"/>
          <w:szCs w:val="22"/>
          <w:lang w:val="es-MX"/>
        </w:rPr>
        <w:t>de mayo</w:t>
      </w:r>
      <w:r w:rsidR="00A51360" w:rsidRPr="001B7E14">
        <w:rPr>
          <w:rFonts w:ascii="Helvetica" w:hAnsi="Helvetica" w:cs="Helvetica"/>
          <w:bCs/>
          <w:sz w:val="22"/>
          <w:szCs w:val="22"/>
          <w:lang w:val="es-MX"/>
        </w:rPr>
        <w:t xml:space="preserve"> de 2023 de cuentas por pagar de la vigencia 2022.</w:t>
      </w:r>
      <w:r w:rsidRPr="001B7E14">
        <w:rPr>
          <w:rFonts w:ascii="Helvetica" w:hAnsi="Helvetica" w:cs="Helvetica"/>
          <w:bCs/>
          <w:sz w:val="22"/>
          <w:szCs w:val="22"/>
          <w:lang w:val="es-MX"/>
        </w:rPr>
        <w:t xml:space="preserve"> </w:t>
      </w:r>
      <w:r w:rsidRPr="001B7E14">
        <w:rPr>
          <w:rFonts w:ascii="Helvetica" w:eastAsiaTheme="minorHAnsi" w:hAnsi="Helvetica" w:cs="Helvetica"/>
          <w:sz w:val="22"/>
          <w:szCs w:val="22"/>
          <w:lang w:eastAsia="es-ES_tradnl"/>
        </w:rPr>
        <w:t>Sector Educación. Departamento de Guainía. Serie "Historial de seguimiento y control a los recursos del Sistema General de Participaciones - Antecedentes de la medida". Expediente digital No. 135/2017/D028-PREDI. Enlace:</w:t>
      </w:r>
    </w:p>
    <w:p w14:paraId="05348E21" w14:textId="77777777" w:rsidR="000200A8" w:rsidRPr="001B7E14" w:rsidRDefault="000200A8" w:rsidP="00EB1ADA">
      <w:pPr>
        <w:ind w:left="284"/>
        <w:contextualSpacing/>
        <w:jc w:val="both"/>
        <w:rPr>
          <w:rFonts w:ascii="Helvetica" w:eastAsiaTheme="minorHAnsi" w:hAnsi="Helvetica" w:cs="Helvetica"/>
          <w:sz w:val="22"/>
          <w:szCs w:val="22"/>
          <w:lang w:eastAsia="es-ES_tradnl"/>
        </w:rPr>
      </w:pPr>
    </w:p>
    <w:p w14:paraId="4C3D419C" w14:textId="77777777" w:rsidR="00AD0693" w:rsidRPr="001B7E14" w:rsidRDefault="00AD0693" w:rsidP="00FA42BB">
      <w:pPr>
        <w:pStyle w:val="Ttulo"/>
        <w:numPr>
          <w:ilvl w:val="0"/>
          <w:numId w:val="20"/>
        </w:numPr>
        <w:rPr>
          <w:rFonts w:ascii="Helvetica" w:hAnsi="Helvetica" w:cs="Helvetica"/>
          <w:szCs w:val="22"/>
        </w:rPr>
      </w:pPr>
      <w:r w:rsidRPr="001B7E14">
        <w:rPr>
          <w:rFonts w:ascii="Helvetica" w:hAnsi="Helvetica" w:cs="Helvetica"/>
          <w:szCs w:val="22"/>
        </w:rPr>
        <w:t xml:space="preserve">Inconsistencia en el reporte del Formulario Único de Contratación (FUC) </w:t>
      </w:r>
    </w:p>
    <w:p w14:paraId="650ACB4C" w14:textId="77777777" w:rsidR="00AD0693" w:rsidRPr="001B7E14" w:rsidRDefault="00AD0693" w:rsidP="00FA42BB">
      <w:pPr>
        <w:jc w:val="both"/>
        <w:rPr>
          <w:rFonts w:ascii="Helvetica" w:eastAsia="Arial" w:hAnsi="Helvetica" w:cs="Helvetica"/>
          <w:sz w:val="22"/>
          <w:szCs w:val="22"/>
          <w:lang w:val="es-CO"/>
        </w:rPr>
      </w:pPr>
    </w:p>
    <w:p w14:paraId="6A260357" w14:textId="77777777" w:rsidR="00201FB0" w:rsidRPr="001B7E14" w:rsidRDefault="00201FB0" w:rsidP="00201FB0">
      <w:pPr>
        <w:jc w:val="both"/>
        <w:rPr>
          <w:rFonts w:ascii="Helvetica" w:hAnsi="Helvetica" w:cs="Helvetica"/>
          <w:sz w:val="22"/>
          <w:szCs w:val="22"/>
          <w:lang w:val="es-CO"/>
        </w:rPr>
      </w:pPr>
      <w:r w:rsidRPr="001B7E14">
        <w:rPr>
          <w:rFonts w:ascii="Helvetica" w:eastAsia="Arial" w:hAnsi="Helvetica" w:cs="Helvetica"/>
          <w:sz w:val="22"/>
          <w:szCs w:val="22"/>
          <w:lang w:val="es-CO"/>
        </w:rPr>
        <w:t xml:space="preserve">Los Departamentos deben cumplir las obligaciones asignadas a las entidades territoriales certificadas en educación mediante el numeral 6.1.2 del artículo 6 de la Ley 715 de 2001, relativas a </w:t>
      </w:r>
      <w:r w:rsidRPr="001B7E14">
        <w:rPr>
          <w:rFonts w:ascii="Helvetica" w:eastAsia="Arial" w:hAnsi="Helvetica" w:cs="Helvetica"/>
          <w:i/>
          <w:sz w:val="22"/>
          <w:szCs w:val="22"/>
          <w:lang w:val="es-CO"/>
        </w:rPr>
        <w:t>“Administrar y responder por el funcionamiento, oportunidad y calidad de la información educativa departamental y suministrar la información a la Nación en las condiciones que se requiera”</w:t>
      </w:r>
      <w:r w:rsidRPr="001B7E14">
        <w:rPr>
          <w:rFonts w:ascii="Helvetica" w:eastAsia="Arial" w:hAnsi="Helvetica" w:cs="Helvetica"/>
          <w:sz w:val="22"/>
          <w:szCs w:val="22"/>
          <w:lang w:val="es-CO"/>
        </w:rPr>
        <w:t>.</w:t>
      </w:r>
    </w:p>
    <w:p w14:paraId="4F5B0D8D" w14:textId="77777777" w:rsidR="00201FB0" w:rsidRPr="001B7E14" w:rsidRDefault="00201FB0" w:rsidP="00FA42BB">
      <w:pPr>
        <w:jc w:val="both"/>
        <w:rPr>
          <w:rFonts w:ascii="Helvetica" w:eastAsia="Arial" w:hAnsi="Helvetica" w:cs="Helvetica"/>
          <w:sz w:val="22"/>
          <w:szCs w:val="22"/>
          <w:lang w:val="es-CO"/>
        </w:rPr>
      </w:pPr>
    </w:p>
    <w:p w14:paraId="7323B81B" w14:textId="77777777" w:rsidR="00AD0693" w:rsidRPr="001B7E14" w:rsidRDefault="00AD0693" w:rsidP="00FA42BB">
      <w:pPr>
        <w:jc w:val="both"/>
        <w:rPr>
          <w:rFonts w:ascii="Helvetica" w:eastAsia="Arial" w:hAnsi="Helvetica" w:cs="Helvetica"/>
          <w:sz w:val="22"/>
          <w:szCs w:val="22"/>
          <w:lang w:val="es-CO"/>
        </w:rPr>
      </w:pPr>
      <w:r w:rsidRPr="001B7E14">
        <w:rPr>
          <w:rFonts w:ascii="Helvetica" w:eastAsia="Arial" w:hAnsi="Helvetica" w:cs="Helvetica"/>
          <w:sz w:val="22"/>
          <w:szCs w:val="22"/>
          <w:lang w:val="es-CO"/>
        </w:rPr>
        <w:t>Los artículos 2.3.1.3.7.6 y 2.3.1.3.7.7 del Decreto 1075 de 2015 establecen las condiciones de calidad del reporte de información relativa a la contratación del Servicio Educativo. Así mismo, el a</w:t>
      </w:r>
      <w:r w:rsidRPr="001B7E14">
        <w:rPr>
          <w:rFonts w:ascii="Helvetica" w:hAnsi="Helvetica" w:cs="Helvetica"/>
          <w:sz w:val="22"/>
          <w:szCs w:val="22"/>
          <w:shd w:val="clear" w:color="auto" w:fill="FFFFFF"/>
          <w:lang w:val="es-CO"/>
        </w:rPr>
        <w:t>rtículo 2.3.1.3.7.8 sobre el Formato Único de Contratación. Establece que “</w:t>
      </w:r>
      <w:r w:rsidRPr="001B7E14">
        <w:rPr>
          <w:rFonts w:ascii="Helvetica" w:hAnsi="Helvetica" w:cs="Helvetica"/>
          <w:i/>
          <w:sz w:val="22"/>
          <w:szCs w:val="22"/>
          <w:shd w:val="clear" w:color="auto" w:fill="FFFFFF"/>
          <w:lang w:val="es-CO"/>
        </w:rPr>
        <w:t>[…]</w:t>
      </w:r>
      <w:r w:rsidRPr="001B7E14">
        <w:rPr>
          <w:rFonts w:ascii="Helvetica" w:hAnsi="Helvetica" w:cs="Helvetica"/>
          <w:i/>
          <w:sz w:val="22"/>
          <w:szCs w:val="22"/>
          <w:u w:val="single"/>
          <w:shd w:val="clear" w:color="auto" w:fill="FFFFFF"/>
          <w:lang w:val="es-CO"/>
        </w:rPr>
        <w:t xml:space="preserve">: </w:t>
      </w:r>
      <w:r w:rsidRPr="001B7E14">
        <w:rPr>
          <w:rFonts w:ascii="Helvetica" w:hAnsi="Helvetica" w:cs="Helvetica"/>
          <w:i/>
          <w:sz w:val="22"/>
          <w:szCs w:val="22"/>
          <w:shd w:val="clear" w:color="auto" w:fill="FFFFFF"/>
          <w:lang w:val="es-CO"/>
        </w:rPr>
        <w:t>la información reportada en el FUC deberá ser consistente con la reportada en el SIMAT o en el sistema de información que determine el Ministerio de Educación Nacional”.</w:t>
      </w:r>
      <w:r w:rsidRPr="001B7E14">
        <w:rPr>
          <w:rFonts w:ascii="Helvetica" w:eastAsia="Arial" w:hAnsi="Helvetica" w:cs="Helvetica"/>
          <w:sz w:val="22"/>
          <w:szCs w:val="22"/>
          <w:lang w:val="es-CO"/>
        </w:rPr>
        <w:t xml:space="preserve"> Adicionalmente, el parágrafo 1 del artículo 2.3.1.3.7.6 del Decreto 1075 de 2015, menciona que </w:t>
      </w:r>
      <w:r w:rsidRPr="001B7E14">
        <w:rPr>
          <w:rFonts w:ascii="Helvetica" w:eastAsia="Arial" w:hAnsi="Helvetica" w:cs="Helvetica"/>
          <w:i/>
          <w:sz w:val="22"/>
          <w:szCs w:val="22"/>
          <w:lang w:val="es-CO"/>
        </w:rPr>
        <w:t>“P</w:t>
      </w:r>
      <w:r w:rsidRPr="001B7E14">
        <w:rPr>
          <w:rFonts w:ascii="Helvetica" w:hAnsi="Helvetica" w:cs="Helvetica"/>
          <w:i/>
          <w:sz w:val="22"/>
          <w:szCs w:val="22"/>
          <w:lang w:val="es-CO"/>
        </w:rPr>
        <w:t xml:space="preserve">ara los contratos de servicio educativo con iglesias y confesiones religiosas, la matrícula se registrará como </w:t>
      </w:r>
      <w:r w:rsidRPr="001B7E14">
        <w:rPr>
          <w:rFonts w:ascii="Helvetica" w:hAnsi="Helvetica" w:cs="Helvetica"/>
          <w:i/>
          <w:iCs/>
          <w:sz w:val="22"/>
          <w:szCs w:val="22"/>
          <w:lang w:val="es-CO"/>
        </w:rPr>
        <w:t>"No Contratada"</w:t>
      </w:r>
      <w:r w:rsidRPr="001B7E14">
        <w:rPr>
          <w:rFonts w:ascii="Helvetica" w:hAnsi="Helvetica" w:cs="Helvetica"/>
          <w:i/>
          <w:sz w:val="22"/>
          <w:szCs w:val="22"/>
          <w:lang w:val="es-CO"/>
        </w:rPr>
        <w:t xml:space="preserve">, en caso de que el estudiante sea atendido por un docente oficial; si es atendido por un docente contratado, la matrícula se registrará como </w:t>
      </w:r>
      <w:r w:rsidRPr="001B7E14">
        <w:rPr>
          <w:rFonts w:ascii="Helvetica" w:hAnsi="Helvetica" w:cs="Helvetica"/>
          <w:i/>
          <w:iCs/>
          <w:sz w:val="22"/>
          <w:szCs w:val="22"/>
          <w:lang w:val="es-CO"/>
        </w:rPr>
        <w:t>"Contratada"</w:t>
      </w:r>
      <w:r w:rsidRPr="001B7E14">
        <w:rPr>
          <w:rFonts w:ascii="Helvetica" w:hAnsi="Helvetica" w:cs="Helvetica"/>
          <w:i/>
          <w:sz w:val="22"/>
          <w:szCs w:val="22"/>
          <w:lang w:val="es-CO"/>
        </w:rPr>
        <w:t>. Lo anterior para efectos estadísticos y de seguimiento a la planta de personal docente oficial”</w:t>
      </w:r>
      <w:r w:rsidRPr="001B7E14">
        <w:rPr>
          <w:rFonts w:ascii="Helvetica" w:hAnsi="Helvetica" w:cs="Helvetica"/>
          <w:sz w:val="22"/>
          <w:szCs w:val="22"/>
          <w:lang w:val="es-CO"/>
        </w:rPr>
        <w:t>.</w:t>
      </w:r>
    </w:p>
    <w:p w14:paraId="3C5AD480" w14:textId="77777777" w:rsidR="00AD0693" w:rsidRPr="001B7E14" w:rsidRDefault="00AD0693" w:rsidP="00FA42BB">
      <w:pPr>
        <w:jc w:val="both"/>
        <w:rPr>
          <w:rFonts w:ascii="Helvetica" w:hAnsi="Helvetica" w:cs="Helvetica"/>
          <w:b/>
          <w:sz w:val="22"/>
          <w:szCs w:val="22"/>
          <w:shd w:val="clear" w:color="auto" w:fill="FFFFFF"/>
          <w:lang w:val="es-CO" w:eastAsia="es-ES_tradnl"/>
        </w:rPr>
      </w:pPr>
    </w:p>
    <w:p w14:paraId="03971389" w14:textId="77777777" w:rsidR="00AD0693" w:rsidRPr="001B7E14" w:rsidRDefault="00AD0693" w:rsidP="00FA42BB">
      <w:pPr>
        <w:jc w:val="both"/>
        <w:rPr>
          <w:rFonts w:ascii="Helvetica" w:hAnsi="Helvetica" w:cs="Helvetica"/>
          <w:sz w:val="22"/>
          <w:szCs w:val="22"/>
          <w:shd w:val="clear" w:color="auto" w:fill="FFFFFF"/>
          <w:lang w:val="es-CO"/>
        </w:rPr>
      </w:pPr>
      <w:r w:rsidRPr="001B7E14">
        <w:rPr>
          <w:rFonts w:ascii="Helvetica" w:hAnsi="Helvetica" w:cs="Helvetica"/>
          <w:sz w:val="22"/>
          <w:szCs w:val="22"/>
          <w:shd w:val="clear" w:color="auto" w:fill="FFFFFF"/>
          <w:lang w:val="es-CO"/>
        </w:rPr>
        <w:t>En contravía de lo establecido en la normatividad descrita, en la vigencia 2021 se encontraron diferencias en la información del Formulario Único de Contratación y el reporte de matrícula del anexo 6A del Departamento</w:t>
      </w:r>
      <w:r w:rsidR="00201FB0" w:rsidRPr="001B7E14">
        <w:rPr>
          <w:rFonts w:ascii="Helvetica" w:hAnsi="Helvetica" w:cs="Helvetica"/>
          <w:sz w:val="22"/>
          <w:szCs w:val="22"/>
          <w:shd w:val="clear" w:color="auto" w:fill="FFFFFF"/>
          <w:lang w:val="es-CO"/>
        </w:rPr>
        <w:t>,</w:t>
      </w:r>
      <w:r w:rsidRPr="001B7E14">
        <w:rPr>
          <w:rFonts w:ascii="Helvetica" w:hAnsi="Helvetica" w:cs="Helvetica"/>
          <w:sz w:val="22"/>
          <w:szCs w:val="22"/>
          <w:shd w:val="clear" w:color="auto" w:fill="FFFFFF"/>
          <w:lang w:val="es-CO"/>
        </w:rPr>
        <w:t xml:space="preserve"> de acuerdo </w:t>
      </w:r>
      <w:r w:rsidR="00201FB0" w:rsidRPr="001B7E14">
        <w:rPr>
          <w:rFonts w:ascii="Helvetica" w:hAnsi="Helvetica" w:cs="Helvetica"/>
          <w:sz w:val="22"/>
          <w:szCs w:val="22"/>
          <w:shd w:val="clear" w:color="auto" w:fill="FFFFFF"/>
          <w:lang w:val="es-CO"/>
        </w:rPr>
        <w:t>con e</w:t>
      </w:r>
      <w:r w:rsidRPr="001B7E14">
        <w:rPr>
          <w:rFonts w:ascii="Helvetica" w:hAnsi="Helvetica" w:cs="Helvetica"/>
          <w:sz w:val="22"/>
          <w:szCs w:val="22"/>
          <w:shd w:val="clear" w:color="auto" w:fill="FFFFFF"/>
          <w:lang w:val="es-CO"/>
        </w:rPr>
        <w:t xml:space="preserve">l siguiente detalle: </w:t>
      </w:r>
    </w:p>
    <w:p w14:paraId="55D52ADC" w14:textId="77777777" w:rsidR="00AD0693" w:rsidRPr="001B7E14" w:rsidRDefault="00AD0693" w:rsidP="00FA42BB">
      <w:pPr>
        <w:jc w:val="both"/>
        <w:rPr>
          <w:rFonts w:ascii="Helvetica" w:hAnsi="Helvetica" w:cs="Helvetica"/>
          <w:sz w:val="22"/>
          <w:szCs w:val="22"/>
          <w:shd w:val="clear" w:color="auto" w:fill="FFFFFF"/>
          <w:lang w:val="es-CO"/>
        </w:rPr>
      </w:pPr>
    </w:p>
    <w:p w14:paraId="6DDA2DAF" w14:textId="77777777" w:rsidR="00AD0693" w:rsidRPr="001B7E14" w:rsidRDefault="00AD0693" w:rsidP="00FA42BB">
      <w:pPr>
        <w:jc w:val="center"/>
        <w:rPr>
          <w:rFonts w:ascii="Helvetica" w:hAnsi="Helvetica" w:cs="Helvetica"/>
          <w:sz w:val="16"/>
          <w:szCs w:val="16"/>
          <w:shd w:val="clear" w:color="auto" w:fill="FFFFFF"/>
          <w:lang w:val="es-CO"/>
        </w:rPr>
      </w:pPr>
      <w:r w:rsidRPr="001B7E14">
        <w:rPr>
          <w:rFonts w:ascii="Helvetica" w:hAnsi="Helvetica" w:cs="Helvetica"/>
          <w:noProof/>
          <w:sz w:val="22"/>
          <w:szCs w:val="22"/>
          <w:lang w:val="es-CO" w:eastAsia="es-CO"/>
        </w:rPr>
        <w:lastRenderedPageBreak/>
        <w:drawing>
          <wp:inline distT="0" distB="0" distL="0" distR="0" wp14:anchorId="2135C882" wp14:editId="2759DBF3">
            <wp:extent cx="5686425" cy="62388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0">
                      <a:extLst>
                        <a:ext uri="{28A0092B-C50C-407E-A947-70E740481C1C}">
                          <a14:useLocalDpi xmlns:a14="http://schemas.microsoft.com/office/drawing/2010/main" val="0"/>
                        </a:ext>
                      </a:extLst>
                    </a:blip>
                    <a:srcRect r="32478" b="32820"/>
                    <a:stretch>
                      <a:fillRect/>
                    </a:stretch>
                  </pic:blipFill>
                  <pic:spPr bwMode="auto">
                    <a:xfrm>
                      <a:off x="0" y="0"/>
                      <a:ext cx="5688614" cy="6241277"/>
                    </a:xfrm>
                    <a:prstGeom prst="rect">
                      <a:avLst/>
                    </a:prstGeom>
                    <a:noFill/>
                    <a:ln>
                      <a:noFill/>
                    </a:ln>
                  </pic:spPr>
                </pic:pic>
              </a:graphicData>
            </a:graphic>
          </wp:inline>
        </w:drawing>
      </w:r>
      <w:r w:rsidRPr="001B7E14">
        <w:rPr>
          <w:rFonts w:ascii="Helvetica" w:hAnsi="Helvetica" w:cs="Helvetica"/>
          <w:sz w:val="16"/>
          <w:szCs w:val="16"/>
          <w:shd w:val="clear" w:color="auto" w:fill="FFFFFF"/>
          <w:lang w:val="es-CO"/>
        </w:rPr>
        <w:t>Fuente: Construcción DAF - FUC y Reporte anexo 6 A del Departamento de Guainía.</w:t>
      </w:r>
    </w:p>
    <w:p w14:paraId="661784C3" w14:textId="77777777" w:rsidR="00AD0693" w:rsidRPr="001B7E14" w:rsidRDefault="00AD0693" w:rsidP="00FA42BB">
      <w:pPr>
        <w:jc w:val="both"/>
        <w:rPr>
          <w:rFonts w:ascii="Helvetica" w:hAnsi="Helvetica" w:cs="Helvetica"/>
          <w:sz w:val="22"/>
          <w:szCs w:val="22"/>
          <w:shd w:val="clear" w:color="auto" w:fill="FFFFFF"/>
          <w:lang w:val="es-CO"/>
        </w:rPr>
      </w:pPr>
    </w:p>
    <w:p w14:paraId="2F4D2626" w14:textId="77777777" w:rsidR="00AD0693" w:rsidRPr="001B7E14" w:rsidRDefault="00AD0693" w:rsidP="00FA42BB">
      <w:pPr>
        <w:jc w:val="both"/>
        <w:rPr>
          <w:rFonts w:ascii="Helvetica" w:hAnsi="Helvetica" w:cs="Helvetica"/>
          <w:sz w:val="22"/>
          <w:szCs w:val="22"/>
          <w:shd w:val="clear" w:color="auto" w:fill="FFFFFF"/>
          <w:lang w:val="es-CO"/>
        </w:rPr>
      </w:pPr>
      <w:r w:rsidRPr="001B7E14">
        <w:rPr>
          <w:rFonts w:ascii="Helvetica" w:hAnsi="Helvetica" w:cs="Helvetica"/>
          <w:sz w:val="22"/>
          <w:szCs w:val="22"/>
          <w:shd w:val="clear" w:color="auto" w:fill="FFFFFF"/>
          <w:lang w:val="es-CO"/>
        </w:rPr>
        <w:lastRenderedPageBreak/>
        <w:t>Del cuadro anterior, se puede evidencia</w:t>
      </w:r>
      <w:r w:rsidR="00201FB0" w:rsidRPr="001B7E14">
        <w:rPr>
          <w:rFonts w:ascii="Helvetica" w:hAnsi="Helvetica" w:cs="Helvetica"/>
          <w:sz w:val="22"/>
          <w:szCs w:val="22"/>
          <w:shd w:val="clear" w:color="auto" w:fill="FFFFFF"/>
          <w:lang w:val="es-CO"/>
        </w:rPr>
        <w:t>r</w:t>
      </w:r>
      <w:r w:rsidRPr="001B7E14">
        <w:rPr>
          <w:rFonts w:ascii="Helvetica" w:hAnsi="Helvetica" w:cs="Helvetica"/>
          <w:sz w:val="22"/>
          <w:szCs w:val="22"/>
          <w:shd w:val="clear" w:color="auto" w:fill="FFFFFF"/>
          <w:lang w:val="es-CO"/>
        </w:rPr>
        <w:t xml:space="preserve"> que en las sedes del contrato No. 471 </w:t>
      </w:r>
      <w:r w:rsidR="00A93A46" w:rsidRPr="001B7E14">
        <w:rPr>
          <w:rFonts w:ascii="Helvetica" w:hAnsi="Helvetica" w:cs="Helvetica"/>
          <w:sz w:val="22"/>
          <w:szCs w:val="22"/>
          <w:shd w:val="clear" w:color="auto" w:fill="FFFFFF"/>
          <w:lang w:val="es-CO"/>
        </w:rPr>
        <w:t xml:space="preserve">de 2021 </w:t>
      </w:r>
      <w:r w:rsidRPr="001B7E14">
        <w:rPr>
          <w:rFonts w:ascii="Helvetica" w:hAnsi="Helvetica" w:cs="Helvetica"/>
          <w:sz w:val="22"/>
          <w:szCs w:val="22"/>
          <w:shd w:val="clear" w:color="auto" w:fill="FFFFFF"/>
          <w:lang w:val="es-CO"/>
        </w:rPr>
        <w:t>se reportaron al FUC 2.867 estudiantes atendidos por docentes vinculados por el contratista y en estas mismas sedes en el SIMAT se reportaron 2.747 estudiantes contratados, presentándose una diferencia</w:t>
      </w:r>
      <w:r w:rsidR="004C651D" w:rsidRPr="001B7E14">
        <w:rPr>
          <w:rFonts w:ascii="Helvetica" w:hAnsi="Helvetica" w:cs="Helvetica"/>
          <w:sz w:val="22"/>
          <w:szCs w:val="22"/>
          <w:shd w:val="clear" w:color="auto" w:fill="FFFFFF"/>
          <w:lang w:val="es-CO"/>
        </w:rPr>
        <w:t xml:space="preserve"> de</w:t>
      </w:r>
      <w:r w:rsidRPr="001B7E14">
        <w:rPr>
          <w:rFonts w:ascii="Helvetica" w:hAnsi="Helvetica" w:cs="Helvetica"/>
          <w:sz w:val="22"/>
          <w:szCs w:val="22"/>
          <w:shd w:val="clear" w:color="auto" w:fill="FFFFFF"/>
          <w:lang w:val="es-CO"/>
        </w:rPr>
        <w:t xml:space="preserve"> 120 niños, sin que mediara una modificación contractual. Con respecto al contrato No. 558 </w:t>
      </w:r>
      <w:r w:rsidR="00A93A46" w:rsidRPr="001B7E14">
        <w:rPr>
          <w:rFonts w:ascii="Helvetica" w:hAnsi="Helvetica" w:cs="Helvetica"/>
          <w:sz w:val="22"/>
          <w:szCs w:val="22"/>
          <w:shd w:val="clear" w:color="auto" w:fill="FFFFFF"/>
          <w:lang w:val="es-CO"/>
        </w:rPr>
        <w:t xml:space="preserve">de 2021 </w:t>
      </w:r>
      <w:r w:rsidRPr="001B7E14">
        <w:rPr>
          <w:rFonts w:ascii="Helvetica" w:hAnsi="Helvetica" w:cs="Helvetica"/>
          <w:sz w:val="22"/>
          <w:szCs w:val="22"/>
          <w:shd w:val="clear" w:color="auto" w:fill="FFFFFF"/>
          <w:lang w:val="es-CO"/>
        </w:rPr>
        <w:t>se reportaron al FUC 434 estudiantes atendidos por docentes vinculados por el contratista y en el SIMAT se reportaron 317</w:t>
      </w:r>
      <w:r w:rsidR="004C651D" w:rsidRPr="001B7E14">
        <w:rPr>
          <w:rFonts w:ascii="Helvetica" w:hAnsi="Helvetica" w:cs="Helvetica"/>
          <w:sz w:val="22"/>
          <w:szCs w:val="22"/>
          <w:shd w:val="clear" w:color="auto" w:fill="FFFFFF"/>
          <w:lang w:val="es-CO"/>
        </w:rPr>
        <w:t>,</w:t>
      </w:r>
      <w:r w:rsidRPr="001B7E14">
        <w:rPr>
          <w:rFonts w:ascii="Helvetica" w:hAnsi="Helvetica" w:cs="Helvetica"/>
          <w:sz w:val="22"/>
          <w:szCs w:val="22"/>
          <w:shd w:val="clear" w:color="auto" w:fill="FFFFFF"/>
          <w:lang w:val="es-CO"/>
        </w:rPr>
        <w:t xml:space="preserve"> diferenciándose en 117 niños.</w:t>
      </w:r>
    </w:p>
    <w:p w14:paraId="3DBD5C91" w14:textId="77777777" w:rsidR="00304F6A" w:rsidRPr="001B7E14" w:rsidRDefault="00304F6A" w:rsidP="00FA42BB">
      <w:pPr>
        <w:jc w:val="both"/>
        <w:rPr>
          <w:rFonts w:ascii="Helvetica" w:hAnsi="Helvetica" w:cs="Helvetica"/>
          <w:sz w:val="22"/>
          <w:szCs w:val="22"/>
          <w:shd w:val="clear" w:color="auto" w:fill="FFFFFF"/>
          <w:lang w:val="es-CO"/>
        </w:rPr>
      </w:pPr>
    </w:p>
    <w:p w14:paraId="2494FB92" w14:textId="77777777" w:rsidR="00304F6A" w:rsidRPr="001B7E14" w:rsidRDefault="00181161" w:rsidP="00FA42BB">
      <w:pPr>
        <w:jc w:val="both"/>
        <w:rPr>
          <w:rFonts w:ascii="Helvetica" w:hAnsi="Helvetica" w:cs="Helvetica"/>
          <w:sz w:val="22"/>
          <w:szCs w:val="22"/>
          <w:shd w:val="clear" w:color="auto" w:fill="FFFFFF"/>
          <w:lang w:val="es-CO"/>
        </w:rPr>
      </w:pPr>
      <w:r w:rsidRPr="001B7E14">
        <w:rPr>
          <w:rFonts w:ascii="Helvetica" w:hAnsi="Helvetica" w:cs="Helvetica"/>
          <w:sz w:val="22"/>
          <w:szCs w:val="22"/>
          <w:shd w:val="clear" w:color="auto" w:fill="FFFFFF"/>
          <w:lang w:val="es-CO"/>
        </w:rPr>
        <w:t>Para la vigencia 2022, se consideran los estudiantes del contrato No. 573 en el que se reportaron 819 estudiantes atendidos por docentes vinculados por el contratista al FUC</w:t>
      </w:r>
      <w:r w:rsidR="005910B9">
        <w:rPr>
          <w:rFonts w:ascii="Helvetica" w:hAnsi="Helvetica" w:cs="Helvetica"/>
          <w:sz w:val="22"/>
          <w:szCs w:val="22"/>
          <w:shd w:val="clear" w:color="auto" w:fill="FFFFFF"/>
          <w:lang w:val="es-CO"/>
        </w:rPr>
        <w:t xml:space="preserve">, mientras </w:t>
      </w:r>
      <w:r w:rsidRPr="001B7E14">
        <w:rPr>
          <w:rFonts w:ascii="Helvetica" w:hAnsi="Helvetica" w:cs="Helvetica"/>
          <w:sz w:val="22"/>
          <w:szCs w:val="22"/>
          <w:shd w:val="clear" w:color="auto" w:fill="FFFFFF"/>
          <w:lang w:val="es-CO"/>
        </w:rPr>
        <w:t xml:space="preserve">que </w:t>
      </w:r>
      <w:r w:rsidR="005910B9">
        <w:rPr>
          <w:rFonts w:ascii="Helvetica" w:hAnsi="Helvetica" w:cs="Helvetica"/>
          <w:sz w:val="22"/>
          <w:szCs w:val="22"/>
          <w:shd w:val="clear" w:color="auto" w:fill="FFFFFF"/>
          <w:lang w:val="es-CO"/>
        </w:rPr>
        <w:t xml:space="preserve">en el </w:t>
      </w:r>
      <w:r w:rsidRPr="001B7E14">
        <w:rPr>
          <w:rFonts w:ascii="Helvetica" w:hAnsi="Helvetica" w:cs="Helvetica"/>
          <w:sz w:val="22"/>
          <w:szCs w:val="22"/>
          <w:shd w:val="clear" w:color="auto" w:fill="FFFFFF"/>
          <w:lang w:val="es-CO"/>
        </w:rPr>
        <w:t>SIMAT se reportan 537</w:t>
      </w:r>
      <w:r w:rsidR="005910B9" w:rsidRPr="005910B9">
        <w:rPr>
          <w:rFonts w:ascii="Helvetica" w:hAnsi="Helvetica" w:cs="Helvetica"/>
          <w:sz w:val="22"/>
          <w:szCs w:val="22"/>
          <w:shd w:val="clear" w:color="auto" w:fill="FFFFFF"/>
          <w:lang w:val="es-CO"/>
        </w:rPr>
        <w:t xml:space="preserve"> </w:t>
      </w:r>
      <w:r w:rsidR="005910B9" w:rsidRPr="001B7E14">
        <w:rPr>
          <w:rFonts w:ascii="Helvetica" w:hAnsi="Helvetica" w:cs="Helvetica"/>
          <w:sz w:val="22"/>
          <w:szCs w:val="22"/>
          <w:shd w:val="clear" w:color="auto" w:fill="FFFFFF"/>
          <w:lang w:val="es-CO"/>
        </w:rPr>
        <w:t>estudiantes contratados</w:t>
      </w:r>
      <w:r w:rsidRPr="001B7E14">
        <w:rPr>
          <w:rFonts w:ascii="Helvetica" w:hAnsi="Helvetica" w:cs="Helvetica"/>
          <w:sz w:val="22"/>
          <w:szCs w:val="22"/>
          <w:shd w:val="clear" w:color="auto" w:fill="FFFFFF"/>
          <w:lang w:val="es-CO"/>
        </w:rPr>
        <w:t xml:space="preserve">, evidenciándose una diferencia de 282 alumnos, esto sin que mediara una modificación contractual. En cuanto al contrato No. 610 de esta vigencia, al FUC se reportaron 2.995 estudiantes atendidos por docentes vinculados por el contratista, </w:t>
      </w:r>
      <w:r w:rsidR="005910B9">
        <w:rPr>
          <w:rFonts w:ascii="Helvetica" w:hAnsi="Helvetica" w:cs="Helvetica"/>
          <w:sz w:val="22"/>
          <w:szCs w:val="22"/>
          <w:shd w:val="clear" w:color="auto" w:fill="FFFFFF"/>
          <w:lang w:val="es-CO"/>
        </w:rPr>
        <w:t xml:space="preserve">y </w:t>
      </w:r>
      <w:r w:rsidRPr="001B7E14">
        <w:rPr>
          <w:rFonts w:ascii="Helvetica" w:hAnsi="Helvetica" w:cs="Helvetica"/>
          <w:sz w:val="22"/>
          <w:szCs w:val="22"/>
          <w:shd w:val="clear" w:color="auto" w:fill="FFFFFF"/>
          <w:lang w:val="es-CO"/>
        </w:rPr>
        <w:t xml:space="preserve">se registraron 2.581 estudiantes contratados al SIMAT, </w:t>
      </w:r>
      <w:r w:rsidR="005910B9">
        <w:rPr>
          <w:rFonts w:ascii="Helvetica" w:hAnsi="Helvetica" w:cs="Helvetica"/>
          <w:sz w:val="22"/>
          <w:szCs w:val="22"/>
          <w:shd w:val="clear" w:color="auto" w:fill="FFFFFF"/>
          <w:lang w:val="es-CO"/>
        </w:rPr>
        <w:t xml:space="preserve">con </w:t>
      </w:r>
      <w:r w:rsidRPr="001B7E14">
        <w:rPr>
          <w:rFonts w:ascii="Helvetica" w:hAnsi="Helvetica" w:cs="Helvetica"/>
          <w:sz w:val="22"/>
          <w:szCs w:val="22"/>
          <w:shd w:val="clear" w:color="auto" w:fill="FFFFFF"/>
          <w:lang w:val="es-CO"/>
        </w:rPr>
        <w:t>una diferencia de 414 alumnos. En total en el FUC se reportaron 3.814 estudiantes atendidos por docentes vinculados por el contratista, en cambio, al SIMAT se evidencian solo 3.118 estudiantes, dando una diferencia de 696 estudiantes entre ambos reportes.</w:t>
      </w:r>
    </w:p>
    <w:p w14:paraId="0283E22A" w14:textId="77777777" w:rsidR="00304F6A" w:rsidRPr="001B7E14" w:rsidRDefault="00304F6A" w:rsidP="00FA42BB">
      <w:pPr>
        <w:jc w:val="both"/>
        <w:rPr>
          <w:rFonts w:ascii="Helvetica" w:hAnsi="Helvetica" w:cs="Helvetica"/>
          <w:sz w:val="22"/>
          <w:szCs w:val="22"/>
          <w:shd w:val="clear" w:color="auto" w:fill="FFFFFF"/>
          <w:lang w:val="es-CO"/>
        </w:rPr>
      </w:pPr>
    </w:p>
    <w:p w14:paraId="18881BBC" w14:textId="77777777" w:rsidR="00AD0693" w:rsidRPr="001B7E14" w:rsidRDefault="00AD0693" w:rsidP="00FA42BB">
      <w:pPr>
        <w:jc w:val="both"/>
        <w:rPr>
          <w:rFonts w:ascii="Helvetica" w:hAnsi="Helvetica" w:cs="Helvetica"/>
          <w:sz w:val="22"/>
          <w:szCs w:val="22"/>
          <w:shd w:val="clear" w:color="auto" w:fill="FFFFFF"/>
          <w:lang w:val="es-CO"/>
        </w:rPr>
      </w:pPr>
      <w:r w:rsidRPr="001B7E14">
        <w:rPr>
          <w:rFonts w:ascii="Helvetica" w:hAnsi="Helvetica" w:cs="Helvetica"/>
          <w:sz w:val="22"/>
          <w:szCs w:val="22"/>
          <w:shd w:val="clear" w:color="auto" w:fill="FFFFFF"/>
          <w:lang w:val="es-CO"/>
        </w:rPr>
        <w:t>Teniendo en cuenta lo anterior, las diferencias presentadas vulneran lo establecido en la normatividad vigente frente a la consistencia de la información reportada en los sistemas de información del sector. Adicionalmente, dichas inconsistencias ponen en riesgo los recursos del SGP que se asignan a las Entidades Territoriales</w:t>
      </w:r>
      <w:r w:rsidR="0028174A" w:rsidRPr="001B7E14">
        <w:rPr>
          <w:rFonts w:ascii="Helvetica" w:hAnsi="Helvetica" w:cs="Helvetica"/>
          <w:sz w:val="22"/>
          <w:szCs w:val="22"/>
          <w:shd w:val="clear" w:color="auto" w:fill="FFFFFF"/>
          <w:lang w:val="es-CO"/>
        </w:rPr>
        <w:t xml:space="preserve"> ya que la información de los contratos se tiene en cuenta para estimar los </w:t>
      </w:r>
      <w:r w:rsidR="00DA23C5" w:rsidRPr="001B7E14">
        <w:rPr>
          <w:rFonts w:ascii="Helvetica" w:hAnsi="Helvetica" w:cs="Helvetica"/>
          <w:sz w:val="22"/>
          <w:szCs w:val="22"/>
          <w:shd w:val="clear" w:color="auto" w:fill="FFFFFF"/>
          <w:lang w:val="es-CO"/>
        </w:rPr>
        <w:t xml:space="preserve">costos de la prestación del servicio educativo de </w:t>
      </w:r>
      <w:r w:rsidR="0028174A" w:rsidRPr="001B7E14">
        <w:rPr>
          <w:rFonts w:ascii="Helvetica" w:hAnsi="Helvetica" w:cs="Helvetica"/>
          <w:sz w:val="22"/>
          <w:szCs w:val="22"/>
          <w:shd w:val="clear" w:color="auto" w:fill="FFFFFF"/>
          <w:lang w:val="es-CO"/>
        </w:rPr>
        <w:t xml:space="preserve">las entidades y en este caso se </w:t>
      </w:r>
      <w:r w:rsidR="00342952" w:rsidRPr="001B7E14">
        <w:rPr>
          <w:rFonts w:ascii="Helvetica" w:hAnsi="Helvetica" w:cs="Helvetica"/>
          <w:sz w:val="22"/>
          <w:szCs w:val="22"/>
          <w:shd w:val="clear" w:color="auto" w:fill="FFFFFF"/>
          <w:lang w:val="es-CO"/>
        </w:rPr>
        <w:t>está contratando</w:t>
      </w:r>
      <w:r w:rsidR="0028174A" w:rsidRPr="001B7E14">
        <w:rPr>
          <w:rFonts w:ascii="Helvetica" w:hAnsi="Helvetica" w:cs="Helvetica"/>
          <w:sz w:val="22"/>
          <w:szCs w:val="22"/>
          <w:shd w:val="clear" w:color="auto" w:fill="FFFFFF"/>
          <w:lang w:val="es-CO"/>
        </w:rPr>
        <w:t xml:space="preserve"> </w:t>
      </w:r>
      <w:r w:rsidR="00DA23C5" w:rsidRPr="001B7E14">
        <w:rPr>
          <w:rFonts w:ascii="Helvetica" w:hAnsi="Helvetica" w:cs="Helvetica"/>
          <w:sz w:val="22"/>
          <w:szCs w:val="22"/>
          <w:shd w:val="clear" w:color="auto" w:fill="FFFFFF"/>
          <w:lang w:val="es-CO"/>
        </w:rPr>
        <w:t xml:space="preserve">y pagando </w:t>
      </w:r>
      <w:r w:rsidR="0028174A" w:rsidRPr="001B7E14">
        <w:rPr>
          <w:rFonts w:ascii="Helvetica" w:hAnsi="Helvetica" w:cs="Helvetica"/>
          <w:sz w:val="22"/>
          <w:szCs w:val="22"/>
          <w:shd w:val="clear" w:color="auto" w:fill="FFFFFF"/>
          <w:lang w:val="es-CO"/>
        </w:rPr>
        <w:t>un número de niños mayor al realmente atendido.</w:t>
      </w:r>
    </w:p>
    <w:p w14:paraId="389CB0CC" w14:textId="77777777" w:rsidR="00342952" w:rsidRPr="001B7E14" w:rsidRDefault="00342952" w:rsidP="00FA42BB">
      <w:pPr>
        <w:jc w:val="both"/>
        <w:rPr>
          <w:rFonts w:ascii="Helvetica" w:hAnsi="Helvetica" w:cs="Helvetica"/>
          <w:i/>
          <w:sz w:val="22"/>
          <w:szCs w:val="22"/>
          <w:shd w:val="clear" w:color="auto" w:fill="FFFFFF"/>
          <w:lang w:val="es-CO"/>
        </w:rPr>
      </w:pPr>
    </w:p>
    <w:p w14:paraId="6E37671C" w14:textId="77777777" w:rsidR="00AD0693" w:rsidRPr="001B7E14" w:rsidRDefault="00AD0693" w:rsidP="00FA42BB">
      <w:pPr>
        <w:jc w:val="both"/>
        <w:rPr>
          <w:rFonts w:ascii="Helvetica" w:hAnsi="Helvetica" w:cs="Helvetica"/>
          <w:sz w:val="22"/>
          <w:szCs w:val="22"/>
          <w:lang w:val="es-CO"/>
        </w:rPr>
      </w:pPr>
      <w:r w:rsidRPr="001B7E14">
        <w:rPr>
          <w:rFonts w:ascii="Helvetica" w:eastAsia="Calibri" w:hAnsi="Helvetica" w:cs="Helvetica"/>
          <w:b/>
          <w:sz w:val="22"/>
          <w:szCs w:val="22"/>
          <w:lang w:val="es-CO" w:eastAsia="en-US"/>
        </w:rPr>
        <w:t xml:space="preserve">Evidencia: </w:t>
      </w:r>
      <w:r w:rsidRPr="001B7E14">
        <w:rPr>
          <w:rFonts w:ascii="Helvetica" w:hAnsi="Helvetica" w:cs="Helvetica"/>
          <w:sz w:val="22"/>
          <w:szCs w:val="22"/>
          <w:lang w:val="es-CO"/>
        </w:rPr>
        <w:t>Obra en el expediente el siguiente material probatorio:</w:t>
      </w:r>
    </w:p>
    <w:p w14:paraId="5E7B97AE" w14:textId="77777777" w:rsidR="00AD0693" w:rsidRPr="001B7E14" w:rsidRDefault="00AD0693" w:rsidP="00FA42BB">
      <w:pPr>
        <w:pStyle w:val="Prrafodelista"/>
        <w:numPr>
          <w:ilvl w:val="0"/>
          <w:numId w:val="28"/>
        </w:numPr>
        <w:ind w:left="284" w:hanging="284"/>
        <w:jc w:val="both"/>
        <w:rPr>
          <w:rFonts w:ascii="Helvetica" w:hAnsi="Helvetica" w:cs="Helvetica"/>
          <w:sz w:val="22"/>
          <w:szCs w:val="22"/>
          <w:lang w:val="es-CO"/>
        </w:rPr>
      </w:pPr>
      <w:r w:rsidRPr="001B7E14">
        <w:rPr>
          <w:rFonts w:ascii="Helvetica" w:eastAsiaTheme="minorHAnsi" w:hAnsi="Helvetica" w:cs="Helvetica"/>
          <w:sz w:val="22"/>
          <w:szCs w:val="22"/>
          <w:lang w:eastAsia="es-ES_tradnl"/>
        </w:rPr>
        <w:t xml:space="preserve">Anexo 6 A de matrícula del Departamento de Guainía 2021. Sector Educación. Departamento de </w:t>
      </w:r>
      <w:r w:rsidR="00342952" w:rsidRPr="001B7E14">
        <w:rPr>
          <w:rFonts w:ascii="Helvetica" w:eastAsiaTheme="minorHAnsi" w:hAnsi="Helvetica" w:cs="Helvetica"/>
          <w:sz w:val="22"/>
          <w:szCs w:val="22"/>
          <w:lang w:eastAsia="es-ES_tradnl"/>
        </w:rPr>
        <w:t>Guainía</w:t>
      </w:r>
      <w:r w:rsidRPr="001B7E14">
        <w:rPr>
          <w:rFonts w:ascii="Helvetica" w:eastAsiaTheme="minorHAnsi" w:hAnsi="Helvetica" w:cs="Helvetica"/>
          <w:sz w:val="22"/>
          <w:szCs w:val="22"/>
          <w:lang w:eastAsia="es-ES_tradnl"/>
        </w:rPr>
        <w:t>. Serie "Historial de seguimiento y control a los recursos del Sistema General de Participaciones - Antecedentes de la medida". Expediente digital No. 135/2017/D028-PREDI, radicado 1-2021-104463 22 de noviembre 2021. Enlace https://bit.ly/3zAO2Fj</w:t>
      </w:r>
    </w:p>
    <w:p w14:paraId="4676C773" w14:textId="77777777" w:rsidR="0075712E" w:rsidRPr="001B7E14" w:rsidRDefault="00AD0693" w:rsidP="0075712E">
      <w:pPr>
        <w:pStyle w:val="Prrafodelista"/>
        <w:numPr>
          <w:ilvl w:val="0"/>
          <w:numId w:val="28"/>
        </w:numPr>
        <w:ind w:left="284" w:hanging="284"/>
        <w:jc w:val="both"/>
        <w:rPr>
          <w:rStyle w:val="Hipervnculo"/>
          <w:rFonts w:ascii="Helvetica" w:hAnsi="Helvetica" w:cs="Helvetica"/>
          <w:color w:val="auto"/>
          <w:sz w:val="22"/>
          <w:szCs w:val="22"/>
          <w:u w:val="none"/>
          <w:lang w:val="es-CO"/>
        </w:rPr>
      </w:pPr>
      <w:r w:rsidRPr="001B7E14">
        <w:rPr>
          <w:rFonts w:ascii="Helvetica" w:eastAsiaTheme="minorHAnsi" w:hAnsi="Helvetica" w:cs="Helvetica"/>
          <w:sz w:val="22"/>
          <w:szCs w:val="22"/>
          <w:lang w:eastAsia="es-ES_tradnl"/>
        </w:rPr>
        <w:t xml:space="preserve">Formato Único de Contratación (FUC) de la vigencia 2021. Sector Educación. Departamento de </w:t>
      </w:r>
      <w:r w:rsidR="00342952" w:rsidRPr="001B7E14">
        <w:rPr>
          <w:rFonts w:ascii="Helvetica" w:eastAsiaTheme="minorHAnsi" w:hAnsi="Helvetica" w:cs="Helvetica"/>
          <w:sz w:val="22"/>
          <w:szCs w:val="22"/>
          <w:lang w:eastAsia="es-ES_tradnl"/>
        </w:rPr>
        <w:t>Guainía</w:t>
      </w:r>
      <w:r w:rsidRPr="001B7E14">
        <w:rPr>
          <w:rFonts w:ascii="Helvetica" w:eastAsiaTheme="minorHAnsi" w:hAnsi="Helvetica" w:cs="Helvetica"/>
          <w:sz w:val="22"/>
          <w:szCs w:val="22"/>
          <w:lang w:eastAsia="es-ES_tradnl"/>
        </w:rPr>
        <w:t xml:space="preserve">. Serie "Historial de seguimiento y control a los recursos del Sistema General de Participaciones - Antecedentes de la medida". Expediente digital No. 135/2017/D028-PREDI. Enlace: </w:t>
      </w:r>
      <w:hyperlink r:id="rId21" w:history="1">
        <w:r w:rsidRPr="001B7E14">
          <w:rPr>
            <w:rStyle w:val="Hipervnculo"/>
            <w:rFonts w:ascii="Helvetica" w:hAnsi="Helvetica" w:cs="Helvetica"/>
            <w:color w:val="auto"/>
            <w:sz w:val="22"/>
            <w:szCs w:val="22"/>
            <w:lang w:val="es-CO"/>
          </w:rPr>
          <w:t>https://bit.ly/3IFib9b</w:t>
        </w:r>
      </w:hyperlink>
    </w:p>
    <w:p w14:paraId="55CE6D6E" w14:textId="77777777" w:rsidR="0075712E" w:rsidRPr="001B7E14" w:rsidRDefault="009B3A22" w:rsidP="0075712E">
      <w:pPr>
        <w:pStyle w:val="Prrafodelista"/>
        <w:numPr>
          <w:ilvl w:val="0"/>
          <w:numId w:val="28"/>
        </w:numPr>
        <w:ind w:left="284" w:hanging="284"/>
        <w:jc w:val="both"/>
        <w:rPr>
          <w:rFonts w:ascii="Helvetica" w:hAnsi="Helvetica" w:cs="Helvetica"/>
          <w:sz w:val="22"/>
          <w:szCs w:val="22"/>
          <w:lang w:val="es-CO"/>
        </w:rPr>
      </w:pPr>
      <w:r w:rsidRPr="001B7E14">
        <w:rPr>
          <w:rFonts w:ascii="Helvetica" w:eastAsiaTheme="minorHAnsi" w:hAnsi="Helvetica" w:cs="Helvetica"/>
          <w:sz w:val="22"/>
          <w:szCs w:val="22"/>
          <w:lang w:eastAsia="es-ES_tradnl"/>
        </w:rPr>
        <w:t>Formato Único de Contratación (FUC) de la vigencia 2022. Sector Educación. Departamento de Guainía. Serie "Historial de seguimiento y control a los recursos del Sistema General de Participaciones - Antecedentes de la medida". Expediente d</w:t>
      </w:r>
      <w:r w:rsidR="0075712E" w:rsidRPr="001B7E14">
        <w:rPr>
          <w:rFonts w:ascii="Helvetica" w:eastAsiaTheme="minorHAnsi" w:hAnsi="Helvetica" w:cs="Helvetica"/>
          <w:sz w:val="22"/>
          <w:szCs w:val="22"/>
          <w:lang w:eastAsia="es-ES_tradnl"/>
        </w:rPr>
        <w:t>igital No. 135/2017/D028-PREDI radicado 1.2023-036593 del 03 de mayo de 2023</w:t>
      </w:r>
      <w:r w:rsidRPr="001B7E14">
        <w:rPr>
          <w:rFonts w:ascii="Helvetica" w:eastAsiaTheme="minorHAnsi" w:hAnsi="Helvetica" w:cs="Helvetica"/>
          <w:sz w:val="22"/>
          <w:szCs w:val="22"/>
          <w:lang w:eastAsia="es-ES_tradnl"/>
        </w:rPr>
        <w:t>Enlace</w:t>
      </w:r>
      <w:r w:rsidR="0075712E" w:rsidRPr="001B7E14">
        <w:rPr>
          <w:rFonts w:ascii="Helvetica" w:eastAsiaTheme="minorHAnsi" w:hAnsi="Helvetica" w:cs="Helvetica"/>
          <w:sz w:val="22"/>
          <w:szCs w:val="22"/>
          <w:lang w:eastAsia="es-ES_tradnl"/>
        </w:rPr>
        <w:t xml:space="preserve"> </w:t>
      </w:r>
      <w:hyperlink r:id="rId22" w:history="1">
        <w:r w:rsidR="0075712E" w:rsidRPr="001B7E14">
          <w:rPr>
            <w:rStyle w:val="Hipervnculo"/>
            <w:rFonts w:ascii="Helvetica" w:eastAsiaTheme="minorHAnsi" w:hAnsi="Helvetica" w:cs="Helvetica"/>
            <w:sz w:val="22"/>
            <w:szCs w:val="22"/>
            <w:lang w:eastAsia="es-ES_tradnl"/>
          </w:rPr>
          <w:t>https://onx.la/e80ca</w:t>
        </w:r>
      </w:hyperlink>
    </w:p>
    <w:p w14:paraId="6B48E8F4" w14:textId="77777777" w:rsidR="009B3A22" w:rsidRPr="001B7E14" w:rsidRDefault="009B3A22" w:rsidP="0095210A">
      <w:pPr>
        <w:pStyle w:val="Prrafodelista"/>
        <w:numPr>
          <w:ilvl w:val="0"/>
          <w:numId w:val="28"/>
        </w:numPr>
        <w:ind w:left="284" w:hanging="284"/>
        <w:jc w:val="both"/>
        <w:rPr>
          <w:rFonts w:ascii="Helvetica" w:hAnsi="Helvetica" w:cs="Helvetica"/>
          <w:sz w:val="22"/>
          <w:szCs w:val="22"/>
          <w:lang w:val="es-CO"/>
        </w:rPr>
      </w:pPr>
      <w:r w:rsidRPr="001B7E14">
        <w:rPr>
          <w:rFonts w:ascii="Helvetica" w:eastAsiaTheme="minorHAnsi" w:hAnsi="Helvetica" w:cs="Helvetica"/>
          <w:sz w:val="22"/>
          <w:szCs w:val="22"/>
          <w:lang w:eastAsia="es-ES_tradnl"/>
        </w:rPr>
        <w:lastRenderedPageBreak/>
        <w:t>Reporte de matrícula</w:t>
      </w:r>
      <w:r w:rsidR="005910B9">
        <w:rPr>
          <w:rFonts w:ascii="Helvetica" w:eastAsiaTheme="minorHAnsi" w:hAnsi="Helvetica" w:cs="Helvetica"/>
          <w:sz w:val="22"/>
          <w:szCs w:val="22"/>
          <w:lang w:eastAsia="es-ES_tradnl"/>
        </w:rPr>
        <w:t xml:space="preserve"> </w:t>
      </w:r>
      <w:r w:rsidR="00446B48" w:rsidRPr="001B7E14">
        <w:rPr>
          <w:rFonts w:ascii="Helvetica" w:eastAsiaTheme="minorHAnsi" w:hAnsi="Helvetica" w:cs="Helvetica"/>
          <w:sz w:val="22"/>
          <w:szCs w:val="22"/>
          <w:lang w:eastAsia="es-ES_tradnl"/>
        </w:rPr>
        <w:t>de</w:t>
      </w:r>
      <w:r w:rsidRPr="001B7E14">
        <w:rPr>
          <w:rFonts w:ascii="Helvetica" w:eastAsiaTheme="minorHAnsi" w:hAnsi="Helvetica" w:cs="Helvetica"/>
          <w:sz w:val="22"/>
          <w:szCs w:val="22"/>
          <w:lang w:eastAsia="es-ES_tradnl"/>
        </w:rPr>
        <w:t xml:space="preserve"> 2022 enviado por el MEN. Sector Educación. Departamento de Guainía. Serie "Historial de seguimiento y control a los recursos del Sistema General de Participaciones - Antecedentes de la medida". Expediente digital No. 135/2017/D028-PREDI</w:t>
      </w:r>
      <w:r w:rsidR="0095210A" w:rsidRPr="001B7E14">
        <w:rPr>
          <w:rFonts w:ascii="Helvetica" w:eastAsiaTheme="minorHAnsi" w:hAnsi="Helvetica" w:cs="Helvetica"/>
          <w:sz w:val="22"/>
          <w:szCs w:val="22"/>
          <w:lang w:eastAsia="es-ES_tradnl"/>
        </w:rPr>
        <w:t xml:space="preserve"> radicado 1.2023-036593 del 03 de mayo de 2023</w:t>
      </w:r>
      <w:r w:rsidRPr="001B7E14">
        <w:rPr>
          <w:rFonts w:ascii="Helvetica" w:eastAsiaTheme="minorHAnsi" w:hAnsi="Helvetica" w:cs="Helvetica"/>
          <w:sz w:val="22"/>
          <w:szCs w:val="22"/>
          <w:lang w:eastAsia="es-ES_tradnl"/>
        </w:rPr>
        <w:t>. Enlace</w:t>
      </w:r>
      <w:r w:rsidR="0095210A" w:rsidRPr="001B7E14">
        <w:rPr>
          <w:rFonts w:ascii="Helvetica" w:eastAsiaTheme="minorHAnsi" w:hAnsi="Helvetica" w:cs="Helvetica"/>
          <w:sz w:val="22"/>
          <w:szCs w:val="22"/>
          <w:lang w:eastAsia="es-ES_tradnl"/>
        </w:rPr>
        <w:t xml:space="preserve"> </w:t>
      </w:r>
      <w:hyperlink r:id="rId23" w:history="1">
        <w:r w:rsidR="0095210A" w:rsidRPr="001B7E14">
          <w:rPr>
            <w:rStyle w:val="Hipervnculo"/>
            <w:rFonts w:ascii="Helvetica" w:eastAsiaTheme="minorHAnsi" w:hAnsi="Helvetica" w:cs="Helvetica"/>
            <w:sz w:val="22"/>
            <w:szCs w:val="22"/>
            <w:lang w:eastAsia="es-ES_tradnl"/>
          </w:rPr>
          <w:t>https://onx.la/1eca9</w:t>
        </w:r>
      </w:hyperlink>
    </w:p>
    <w:p w14:paraId="671DCA3B" w14:textId="77777777" w:rsidR="00AD0693" w:rsidRPr="001B7E14" w:rsidRDefault="00AD0693" w:rsidP="00FA42BB">
      <w:pPr>
        <w:jc w:val="both"/>
        <w:rPr>
          <w:rFonts w:ascii="Helvetica" w:hAnsi="Helvetica" w:cs="Helvetica"/>
          <w:sz w:val="22"/>
          <w:szCs w:val="22"/>
          <w:lang w:val="es-CO"/>
        </w:rPr>
      </w:pPr>
    </w:p>
    <w:p w14:paraId="7CE4215B" w14:textId="77777777" w:rsidR="00AD0693" w:rsidRPr="001B7E14" w:rsidRDefault="00AD0693" w:rsidP="00FA42BB">
      <w:pPr>
        <w:pStyle w:val="Ttulo2"/>
        <w:spacing w:before="0"/>
        <w:jc w:val="both"/>
        <w:rPr>
          <w:rFonts w:ascii="Helvetica" w:hAnsi="Helvetica" w:cs="Helvetica"/>
          <w:b/>
          <w:i/>
          <w:color w:val="auto"/>
          <w:sz w:val="22"/>
          <w:szCs w:val="22"/>
          <w:lang w:val="es-CO"/>
        </w:rPr>
      </w:pPr>
      <w:r w:rsidRPr="001B7E14">
        <w:rPr>
          <w:rFonts w:ascii="Helvetica" w:hAnsi="Helvetica" w:cs="Helvetica"/>
          <w:b/>
          <w:i/>
          <w:color w:val="auto"/>
          <w:sz w:val="22"/>
          <w:szCs w:val="22"/>
          <w:lang w:val="es-CO"/>
        </w:rPr>
        <w:t xml:space="preserve">EVENTO DE RIESGO 9.10. </w:t>
      </w:r>
      <w:r w:rsidRPr="001B7E14">
        <w:rPr>
          <w:rFonts w:ascii="Helvetica" w:hAnsi="Helvetica" w:cs="Helvetica"/>
          <w:i/>
          <w:color w:val="auto"/>
          <w:sz w:val="22"/>
          <w:szCs w:val="22"/>
          <w:lang w:val="es-CO"/>
        </w:rPr>
        <w:t>“No publicar los actos administrativos, contratos, convenios e informes, cuando la ley lo exija”.</w:t>
      </w:r>
    </w:p>
    <w:p w14:paraId="56E09DCA" w14:textId="77777777" w:rsidR="00AD0693" w:rsidRPr="001B7E14" w:rsidRDefault="00AD0693" w:rsidP="00FA42BB">
      <w:pPr>
        <w:jc w:val="both"/>
        <w:rPr>
          <w:rFonts w:ascii="Helvetica" w:hAnsi="Helvetica" w:cs="Helvetica"/>
          <w:sz w:val="22"/>
          <w:szCs w:val="22"/>
          <w:lang w:val="es-CO"/>
        </w:rPr>
      </w:pPr>
    </w:p>
    <w:p w14:paraId="0212206F" w14:textId="77777777" w:rsidR="00AD0693" w:rsidRPr="001B7E14" w:rsidRDefault="00AD0693" w:rsidP="00FA42BB">
      <w:pPr>
        <w:pStyle w:val="Ttulo"/>
        <w:numPr>
          <w:ilvl w:val="0"/>
          <w:numId w:val="29"/>
        </w:numPr>
        <w:rPr>
          <w:rFonts w:ascii="Helvetica" w:hAnsi="Helvetica" w:cs="Helvetica"/>
          <w:szCs w:val="22"/>
          <w:lang w:eastAsia="en-US"/>
        </w:rPr>
      </w:pPr>
      <w:r w:rsidRPr="001B7E14">
        <w:rPr>
          <w:rFonts w:ascii="Helvetica" w:hAnsi="Helvetica" w:cs="Helvetica"/>
          <w:szCs w:val="22"/>
          <w:lang w:eastAsia="en-US"/>
        </w:rPr>
        <w:t>No publicación de contratos e informes de supervisión en el SECOP</w:t>
      </w:r>
    </w:p>
    <w:p w14:paraId="0C72F1D5" w14:textId="77777777" w:rsidR="00AD0693" w:rsidRPr="001B7E14" w:rsidRDefault="00AD0693" w:rsidP="00FA42BB">
      <w:pPr>
        <w:jc w:val="both"/>
        <w:rPr>
          <w:rFonts w:ascii="Helvetica" w:hAnsi="Helvetica" w:cs="Helvetica"/>
          <w:b/>
          <w:sz w:val="22"/>
          <w:szCs w:val="22"/>
          <w:lang w:val="es-CO"/>
        </w:rPr>
      </w:pPr>
    </w:p>
    <w:p w14:paraId="30B43201" w14:textId="77777777" w:rsidR="00AD0693" w:rsidRPr="001B7E14" w:rsidRDefault="00AD0693" w:rsidP="00FA42BB">
      <w:pPr>
        <w:ind w:right="49"/>
        <w:jc w:val="both"/>
        <w:rPr>
          <w:rFonts w:ascii="Helvetica" w:hAnsi="Helvetica" w:cs="Helvetica"/>
          <w:sz w:val="22"/>
          <w:szCs w:val="22"/>
          <w:lang w:val="es-CO"/>
        </w:rPr>
      </w:pPr>
      <w:r w:rsidRPr="001B7E14">
        <w:rPr>
          <w:rFonts w:ascii="Helvetica" w:hAnsi="Helvetica" w:cs="Helvetica"/>
          <w:sz w:val="22"/>
          <w:szCs w:val="22"/>
          <w:lang w:val="es-CO"/>
        </w:rPr>
        <w:t>El artículo 2.2.1.1.1.7.1 del Decreto 1082 de 2015 señala que las entidades estatales deben publicar en el Sistema Electrónico de Contratación Pública dentro de los tres (3) días hábiles siguientes a su expedición</w:t>
      </w:r>
      <w:r w:rsidR="00201FB0" w:rsidRPr="001B7E14">
        <w:rPr>
          <w:rFonts w:ascii="Helvetica" w:hAnsi="Helvetica" w:cs="Helvetica"/>
          <w:sz w:val="22"/>
          <w:szCs w:val="22"/>
          <w:lang w:val="es-CO"/>
        </w:rPr>
        <w:t>,</w:t>
      </w:r>
      <w:r w:rsidRPr="001B7E14">
        <w:rPr>
          <w:rFonts w:ascii="Helvetica" w:hAnsi="Helvetica" w:cs="Helvetica"/>
          <w:sz w:val="22"/>
          <w:szCs w:val="22"/>
          <w:lang w:val="es-CO"/>
        </w:rPr>
        <w:t xml:space="preserve"> la totalidad de documentos y actos relacionados con el proceso de contratación. Además, el artículo 2.1.1.2.1.8 del Decreto 1081 de 2015 establece que el sujeto obligado a realizar el reporte de la información en el SECOP debe publicar las aprobaciones, autorizaciones, requerimientos o informes del supervisor o del interventor de los contratos suscritos, que prueben su ejecución.</w:t>
      </w:r>
    </w:p>
    <w:p w14:paraId="0BEF0E9F" w14:textId="77777777" w:rsidR="00AD0693" w:rsidRPr="001B7E14" w:rsidRDefault="00AD0693" w:rsidP="00FA42BB">
      <w:pPr>
        <w:jc w:val="both"/>
        <w:rPr>
          <w:rFonts w:ascii="Helvetica" w:eastAsiaTheme="minorHAnsi" w:hAnsi="Helvetica" w:cs="Helvetica"/>
          <w:sz w:val="22"/>
          <w:szCs w:val="22"/>
          <w:lang w:val="es-CO" w:eastAsia="es-ES_tradnl"/>
        </w:rPr>
      </w:pPr>
    </w:p>
    <w:p w14:paraId="6D10B22D" w14:textId="77777777" w:rsidR="00AD0693" w:rsidRPr="001B7E14" w:rsidRDefault="00AD0693" w:rsidP="005145C1">
      <w:pPr>
        <w:pStyle w:val="paragraph"/>
        <w:spacing w:before="0" w:beforeAutospacing="0" w:after="0" w:afterAutospacing="0"/>
        <w:jc w:val="both"/>
        <w:textAlignment w:val="baseline"/>
        <w:rPr>
          <w:rStyle w:val="eop"/>
          <w:rFonts w:ascii="Helvetica" w:hAnsi="Helvetica" w:cs="Helvetica"/>
          <w:sz w:val="22"/>
          <w:szCs w:val="22"/>
        </w:rPr>
      </w:pPr>
      <w:r w:rsidRPr="001B7E14">
        <w:rPr>
          <w:rFonts w:ascii="Helvetica" w:hAnsi="Helvetica" w:cs="Helvetica"/>
          <w:sz w:val="22"/>
          <w:szCs w:val="22"/>
        </w:rPr>
        <w:t xml:space="preserve">Frente a la publicación de los contratos en SECOP, </w:t>
      </w:r>
      <w:r w:rsidRPr="001B7E14">
        <w:rPr>
          <w:rStyle w:val="eop"/>
          <w:rFonts w:ascii="Helvetica" w:hAnsi="Helvetica" w:cs="Helvetica"/>
          <w:sz w:val="22"/>
          <w:szCs w:val="22"/>
        </w:rPr>
        <w:t>la Entidad Territorial emitió un reporte con procesos de contratación en el sector educación para la vigencia 2020, financiados con fuentes de recursos propios</w:t>
      </w:r>
      <w:r w:rsidR="00201FB0" w:rsidRPr="001B7E14">
        <w:rPr>
          <w:rStyle w:val="eop"/>
          <w:rFonts w:ascii="Helvetica" w:hAnsi="Helvetica" w:cs="Helvetica"/>
          <w:sz w:val="22"/>
          <w:szCs w:val="22"/>
        </w:rPr>
        <w:t xml:space="preserve"> y </w:t>
      </w:r>
      <w:r w:rsidRPr="001B7E14">
        <w:rPr>
          <w:rStyle w:val="eop"/>
          <w:rFonts w:ascii="Helvetica" w:hAnsi="Helvetica" w:cs="Helvetica"/>
          <w:sz w:val="22"/>
          <w:szCs w:val="22"/>
        </w:rPr>
        <w:t xml:space="preserve">Sistema General de Participaciones (SGP). Teniendo como horizonte los lineamientos del Decreto 028 de 2008 se </w:t>
      </w:r>
      <w:r w:rsidR="005145C1" w:rsidRPr="001B7E14">
        <w:rPr>
          <w:rStyle w:val="eop"/>
          <w:rFonts w:ascii="Helvetica" w:hAnsi="Helvetica" w:cs="Helvetica"/>
          <w:sz w:val="22"/>
          <w:szCs w:val="22"/>
        </w:rPr>
        <w:t>tomó</w:t>
      </w:r>
      <w:r w:rsidRPr="001B7E14">
        <w:rPr>
          <w:rStyle w:val="eop"/>
          <w:rFonts w:ascii="Helvetica" w:hAnsi="Helvetica" w:cs="Helvetica"/>
          <w:sz w:val="22"/>
          <w:szCs w:val="22"/>
        </w:rPr>
        <w:t xml:space="preserve"> una muestra de los relacionados con SG</w:t>
      </w:r>
      <w:r w:rsidR="005145C1" w:rsidRPr="001B7E14">
        <w:rPr>
          <w:rStyle w:val="eop"/>
          <w:rFonts w:ascii="Helvetica" w:hAnsi="Helvetica" w:cs="Helvetica"/>
          <w:sz w:val="22"/>
          <w:szCs w:val="22"/>
        </w:rPr>
        <w:t>P</w:t>
      </w:r>
      <w:r w:rsidR="00342952" w:rsidRPr="001B7E14">
        <w:rPr>
          <w:rStyle w:val="eop"/>
          <w:rFonts w:ascii="Helvetica" w:hAnsi="Helvetica" w:cs="Helvetica"/>
          <w:sz w:val="22"/>
          <w:szCs w:val="22"/>
        </w:rPr>
        <w:t xml:space="preserve">, </w:t>
      </w:r>
      <w:r w:rsidR="005145C1" w:rsidRPr="001B7E14">
        <w:rPr>
          <w:rStyle w:val="normaltextrun"/>
          <w:rFonts w:ascii="Helvetica" w:hAnsi="Helvetica" w:cs="Helvetica"/>
          <w:sz w:val="22"/>
          <w:szCs w:val="22"/>
        </w:rPr>
        <w:t>evidenciándose que la Entidad no publicó</w:t>
      </w:r>
      <w:r w:rsidRPr="001B7E14">
        <w:rPr>
          <w:rStyle w:val="normaltextrun"/>
          <w:rFonts w:ascii="Helvetica" w:hAnsi="Helvetica" w:cs="Helvetica"/>
          <w:sz w:val="22"/>
          <w:szCs w:val="22"/>
        </w:rPr>
        <w:t xml:space="preserve"> toda la información relevante y necesaria de los procesos contractuales. A continuación, se citan algunos de los casos estudiados:</w:t>
      </w:r>
      <w:r w:rsidRPr="001B7E14">
        <w:rPr>
          <w:rStyle w:val="eop"/>
          <w:rFonts w:ascii="Helvetica" w:hAnsi="Helvetica" w:cs="Helvetica"/>
          <w:sz w:val="22"/>
          <w:szCs w:val="22"/>
        </w:rPr>
        <w:t> </w:t>
      </w:r>
    </w:p>
    <w:p w14:paraId="34906AB0" w14:textId="77777777" w:rsidR="00AD0693" w:rsidRPr="001B7E14" w:rsidRDefault="00AD0693" w:rsidP="00FA42BB">
      <w:pPr>
        <w:pStyle w:val="paragraph"/>
        <w:spacing w:before="0" w:beforeAutospacing="0" w:after="0" w:afterAutospacing="0"/>
        <w:jc w:val="both"/>
        <w:textAlignment w:val="baseline"/>
        <w:rPr>
          <w:rStyle w:val="eop"/>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07"/>
        <w:gridCol w:w="2207"/>
        <w:gridCol w:w="2207"/>
        <w:gridCol w:w="2207"/>
      </w:tblGrid>
      <w:tr w:rsidR="00AD0693" w:rsidRPr="001B7E14" w14:paraId="035D2A10" w14:textId="77777777" w:rsidTr="00B944D8">
        <w:trPr>
          <w:trHeight w:val="20"/>
          <w:tblHeader/>
          <w:jc w:val="center"/>
        </w:trPr>
        <w:tc>
          <w:tcPr>
            <w:tcW w:w="1250" w:type="pct"/>
            <w:vAlign w:val="center"/>
            <w:hideMark/>
          </w:tcPr>
          <w:p w14:paraId="2359A740" w14:textId="77777777" w:rsidR="00AD0693" w:rsidRPr="001B7E14" w:rsidRDefault="00AD0693" w:rsidP="00FA42BB">
            <w:pPr>
              <w:jc w:val="center"/>
              <w:rPr>
                <w:rFonts w:ascii="Helvetica" w:eastAsia="Times New Roman" w:hAnsi="Helvetica" w:cs="Helvetica"/>
                <w:b/>
                <w:sz w:val="18"/>
                <w:szCs w:val="18"/>
                <w:lang w:eastAsia="es-CO"/>
              </w:rPr>
            </w:pPr>
            <w:r w:rsidRPr="001B7E14">
              <w:rPr>
                <w:rFonts w:ascii="Helvetica" w:eastAsia="Times New Roman" w:hAnsi="Helvetica" w:cs="Helvetica"/>
                <w:b/>
                <w:sz w:val="18"/>
                <w:szCs w:val="18"/>
                <w:lang w:eastAsia="es-CO"/>
              </w:rPr>
              <w:t>Número de Contrato</w:t>
            </w:r>
          </w:p>
        </w:tc>
        <w:tc>
          <w:tcPr>
            <w:tcW w:w="1250" w:type="pct"/>
            <w:vAlign w:val="center"/>
            <w:hideMark/>
          </w:tcPr>
          <w:p w14:paraId="4171F666" w14:textId="77777777" w:rsidR="00AD0693" w:rsidRPr="001B7E14" w:rsidRDefault="00AD0693" w:rsidP="00FA42BB">
            <w:pPr>
              <w:jc w:val="center"/>
              <w:rPr>
                <w:rFonts w:ascii="Helvetica" w:eastAsia="Times New Roman" w:hAnsi="Helvetica" w:cs="Helvetica"/>
                <w:b/>
                <w:sz w:val="18"/>
                <w:szCs w:val="18"/>
                <w:lang w:eastAsia="es-CO"/>
              </w:rPr>
            </w:pPr>
            <w:r w:rsidRPr="001B7E14">
              <w:rPr>
                <w:rFonts w:ascii="Helvetica" w:eastAsia="Times New Roman" w:hAnsi="Helvetica" w:cs="Helvetica"/>
                <w:b/>
                <w:sz w:val="18"/>
                <w:szCs w:val="18"/>
                <w:lang w:eastAsia="es-CO"/>
              </w:rPr>
              <w:t>Objeto contractual</w:t>
            </w:r>
          </w:p>
        </w:tc>
        <w:tc>
          <w:tcPr>
            <w:tcW w:w="1250" w:type="pct"/>
            <w:vAlign w:val="center"/>
            <w:hideMark/>
          </w:tcPr>
          <w:p w14:paraId="4C069114" w14:textId="77777777" w:rsidR="00AD0693" w:rsidRPr="001B7E14" w:rsidRDefault="00AD0693" w:rsidP="00FA42BB">
            <w:pPr>
              <w:jc w:val="center"/>
              <w:rPr>
                <w:rFonts w:ascii="Helvetica" w:eastAsia="Times New Roman" w:hAnsi="Helvetica" w:cs="Helvetica"/>
                <w:b/>
                <w:sz w:val="18"/>
                <w:szCs w:val="18"/>
                <w:lang w:eastAsia="es-CO"/>
              </w:rPr>
            </w:pPr>
            <w:r w:rsidRPr="001B7E14">
              <w:rPr>
                <w:rFonts w:ascii="Helvetica" w:eastAsia="Times New Roman" w:hAnsi="Helvetica" w:cs="Helvetica"/>
                <w:b/>
                <w:sz w:val="18"/>
                <w:szCs w:val="18"/>
                <w:lang w:eastAsia="es-CO"/>
              </w:rPr>
              <w:t>Enlace SECOP</w:t>
            </w:r>
          </w:p>
        </w:tc>
        <w:tc>
          <w:tcPr>
            <w:tcW w:w="1250" w:type="pct"/>
            <w:vAlign w:val="center"/>
            <w:hideMark/>
          </w:tcPr>
          <w:p w14:paraId="32F886EE" w14:textId="77777777" w:rsidR="00AD0693" w:rsidRPr="001B7E14" w:rsidRDefault="00AD0693" w:rsidP="00FA42BB">
            <w:pPr>
              <w:jc w:val="center"/>
              <w:rPr>
                <w:rFonts w:ascii="Helvetica" w:eastAsia="Times New Roman" w:hAnsi="Helvetica" w:cs="Helvetica"/>
                <w:b/>
                <w:sz w:val="18"/>
                <w:szCs w:val="18"/>
                <w:lang w:eastAsia="es-CO"/>
              </w:rPr>
            </w:pPr>
            <w:r w:rsidRPr="001B7E14">
              <w:rPr>
                <w:rFonts w:ascii="Helvetica" w:eastAsia="Times New Roman" w:hAnsi="Helvetica" w:cs="Helvetica"/>
                <w:b/>
                <w:sz w:val="18"/>
                <w:szCs w:val="18"/>
                <w:lang w:eastAsia="es-CO"/>
              </w:rPr>
              <w:t>Documentos faltantes</w:t>
            </w:r>
          </w:p>
        </w:tc>
      </w:tr>
      <w:tr w:rsidR="00AD0693" w:rsidRPr="001B7E14" w14:paraId="13344FD4" w14:textId="77777777" w:rsidTr="00B944D8">
        <w:trPr>
          <w:trHeight w:val="20"/>
          <w:jc w:val="center"/>
        </w:trPr>
        <w:tc>
          <w:tcPr>
            <w:tcW w:w="1250" w:type="pct"/>
            <w:noWrap/>
            <w:vAlign w:val="bottom"/>
          </w:tcPr>
          <w:p w14:paraId="282353DF" w14:textId="77777777" w:rsidR="00AD0693" w:rsidRPr="001B7E14" w:rsidRDefault="00AD0693" w:rsidP="00FA42BB">
            <w:pPr>
              <w:rPr>
                <w:rFonts w:ascii="Helvetica" w:eastAsia="Times New Roman" w:hAnsi="Helvetica" w:cs="Helvetica"/>
                <w:sz w:val="18"/>
                <w:szCs w:val="18"/>
                <w:lang w:eastAsia="es-CO"/>
              </w:rPr>
            </w:pPr>
          </w:p>
          <w:p w14:paraId="6E55645B" w14:textId="77777777" w:rsidR="00AD0693" w:rsidRPr="001B7E14" w:rsidRDefault="00AD0693" w:rsidP="00FA42BB">
            <w:pPr>
              <w:jc w:val="center"/>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Contrato No. 1122 del 18 de diciembre de 2020.</w:t>
            </w:r>
          </w:p>
          <w:p w14:paraId="5CF7E8CC" w14:textId="77777777" w:rsidR="00AD0693" w:rsidRPr="001B7E14" w:rsidRDefault="00AD0693" w:rsidP="00FA42BB">
            <w:pPr>
              <w:jc w:val="center"/>
              <w:rPr>
                <w:rFonts w:ascii="Helvetica" w:eastAsia="Times New Roman" w:hAnsi="Helvetica" w:cs="Helvetica"/>
                <w:sz w:val="18"/>
                <w:szCs w:val="18"/>
                <w:lang w:eastAsia="es-CO"/>
              </w:rPr>
            </w:pPr>
          </w:p>
          <w:p w14:paraId="2DAAD01F" w14:textId="77777777" w:rsidR="00AD0693" w:rsidRPr="001B7E14" w:rsidRDefault="00AD0693" w:rsidP="00FA42BB">
            <w:pPr>
              <w:jc w:val="center"/>
              <w:rPr>
                <w:rFonts w:ascii="Helvetica" w:eastAsia="Times New Roman" w:hAnsi="Helvetica" w:cs="Helvetica"/>
                <w:sz w:val="18"/>
                <w:szCs w:val="18"/>
                <w:lang w:eastAsia="es-CO"/>
              </w:rPr>
            </w:pPr>
          </w:p>
        </w:tc>
        <w:tc>
          <w:tcPr>
            <w:tcW w:w="1250" w:type="pct"/>
            <w:vAlign w:val="center"/>
            <w:hideMark/>
          </w:tcPr>
          <w:p w14:paraId="0CFF1253" w14:textId="77777777" w:rsidR="00AD0693" w:rsidRPr="001B7E14" w:rsidRDefault="00AD0693" w:rsidP="00FA42BB">
            <w:pPr>
              <w:jc w:val="both"/>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Suministro de dotación de elementos para el aprovechamiento del tiempo libre con destino a las residencias escolares focalizadas de las sedes educativas del Departamento.</w:t>
            </w:r>
          </w:p>
        </w:tc>
        <w:tc>
          <w:tcPr>
            <w:tcW w:w="1250" w:type="pct"/>
            <w:noWrap/>
            <w:vAlign w:val="center"/>
            <w:hideMark/>
          </w:tcPr>
          <w:p w14:paraId="306EC48F" w14:textId="77777777" w:rsidR="00AD0693" w:rsidRPr="001B7E14" w:rsidRDefault="00AD0693" w:rsidP="00FA42BB">
            <w:pPr>
              <w:rPr>
                <w:rFonts w:ascii="Helvetica" w:hAnsi="Helvetica" w:cs="Helvetica"/>
                <w:sz w:val="18"/>
                <w:szCs w:val="18"/>
              </w:rPr>
            </w:pPr>
            <w:r w:rsidRPr="001B7E14">
              <w:rPr>
                <w:rFonts w:ascii="Helvetica" w:eastAsia="Times New Roman" w:hAnsi="Helvetica" w:cs="Helvetica"/>
                <w:sz w:val="18"/>
                <w:szCs w:val="18"/>
                <w:u w:val="single"/>
                <w:lang w:eastAsia="es-CO"/>
              </w:rPr>
              <w:t>https://bit.ly/3x8Iuiy</w:t>
            </w:r>
          </w:p>
        </w:tc>
        <w:tc>
          <w:tcPr>
            <w:tcW w:w="1250" w:type="pct"/>
            <w:vAlign w:val="center"/>
            <w:hideMark/>
          </w:tcPr>
          <w:p w14:paraId="24776397" w14:textId="77777777" w:rsidR="00AD0693" w:rsidRPr="001B7E14" w:rsidRDefault="00AD0693" w:rsidP="00FA42BB">
            <w:pPr>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 Informes de supervisión</w:t>
            </w:r>
          </w:p>
        </w:tc>
      </w:tr>
      <w:tr w:rsidR="00AD0693" w:rsidRPr="001B7E14" w14:paraId="6FABDD81" w14:textId="77777777" w:rsidTr="00B944D8">
        <w:trPr>
          <w:trHeight w:val="20"/>
          <w:jc w:val="center"/>
        </w:trPr>
        <w:tc>
          <w:tcPr>
            <w:tcW w:w="1250" w:type="pct"/>
            <w:noWrap/>
            <w:vAlign w:val="bottom"/>
          </w:tcPr>
          <w:p w14:paraId="58E745CA" w14:textId="77777777" w:rsidR="00AD0693" w:rsidRPr="001B7E14" w:rsidRDefault="00AD0693" w:rsidP="00FA42BB">
            <w:pPr>
              <w:rPr>
                <w:rFonts w:ascii="Helvetica" w:eastAsia="Times New Roman" w:hAnsi="Helvetica" w:cs="Helvetica"/>
                <w:sz w:val="18"/>
                <w:szCs w:val="18"/>
                <w:lang w:eastAsia="es-CO"/>
              </w:rPr>
            </w:pPr>
          </w:p>
          <w:p w14:paraId="3B6D450D" w14:textId="77777777" w:rsidR="00AD0693" w:rsidRPr="001B7E14" w:rsidRDefault="00AD0693" w:rsidP="00FA42BB">
            <w:pPr>
              <w:jc w:val="center"/>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Contrato No. 1083 del 23 de noviembre 2020.</w:t>
            </w:r>
          </w:p>
          <w:p w14:paraId="69FEE86D" w14:textId="77777777" w:rsidR="00AD0693" w:rsidRPr="001B7E14" w:rsidRDefault="00AD0693" w:rsidP="00FA42BB">
            <w:pPr>
              <w:jc w:val="center"/>
              <w:rPr>
                <w:rFonts w:ascii="Helvetica" w:eastAsia="Times New Roman" w:hAnsi="Helvetica" w:cs="Helvetica"/>
                <w:sz w:val="18"/>
                <w:szCs w:val="18"/>
                <w:lang w:eastAsia="es-CO"/>
              </w:rPr>
            </w:pPr>
          </w:p>
        </w:tc>
        <w:tc>
          <w:tcPr>
            <w:tcW w:w="1250" w:type="pct"/>
            <w:vAlign w:val="center"/>
            <w:hideMark/>
          </w:tcPr>
          <w:p w14:paraId="73277C3B" w14:textId="77777777" w:rsidR="00AD0693" w:rsidRPr="001B7E14" w:rsidRDefault="00AD0693" w:rsidP="00FA42BB">
            <w:pPr>
              <w:jc w:val="both"/>
              <w:rPr>
                <w:rFonts w:ascii="Helvetica" w:eastAsia="Times New Roman" w:hAnsi="Helvetica" w:cs="Helvetica"/>
                <w:sz w:val="18"/>
                <w:szCs w:val="18"/>
                <w:lang w:eastAsia="es-CO"/>
              </w:rPr>
            </w:pPr>
            <w:r w:rsidRPr="001B7E14">
              <w:rPr>
                <w:rFonts w:ascii="Helvetica" w:hAnsi="Helvetica" w:cs="Helvetica"/>
                <w:sz w:val="18"/>
                <w:szCs w:val="18"/>
                <w:shd w:val="clear" w:color="auto" w:fill="FFFFFF"/>
              </w:rPr>
              <w:t>Adquisición de material didáctico para las instituciones educativas del área urbana y rural adscritas a la secretaría de educación departamental del Guainía.</w:t>
            </w:r>
          </w:p>
        </w:tc>
        <w:tc>
          <w:tcPr>
            <w:tcW w:w="1250" w:type="pct"/>
            <w:noWrap/>
            <w:vAlign w:val="center"/>
            <w:hideMark/>
          </w:tcPr>
          <w:p w14:paraId="4CD5CD15" w14:textId="77777777" w:rsidR="00AD0693" w:rsidRPr="001B7E14" w:rsidRDefault="00AD0693" w:rsidP="00FA42BB">
            <w:pPr>
              <w:rPr>
                <w:rFonts w:ascii="Helvetica" w:eastAsia="Times New Roman" w:hAnsi="Helvetica" w:cs="Helvetica"/>
                <w:sz w:val="18"/>
                <w:szCs w:val="18"/>
                <w:u w:val="single"/>
                <w:lang w:eastAsia="es-CO"/>
              </w:rPr>
            </w:pPr>
            <w:r w:rsidRPr="001B7E14">
              <w:rPr>
                <w:rFonts w:ascii="Helvetica" w:eastAsia="Times New Roman" w:hAnsi="Helvetica" w:cs="Helvetica"/>
                <w:sz w:val="18"/>
                <w:szCs w:val="18"/>
                <w:u w:val="single"/>
                <w:lang w:eastAsia="es-CO"/>
              </w:rPr>
              <w:t>https://bit.ly/3H2lPcB</w:t>
            </w:r>
          </w:p>
        </w:tc>
        <w:tc>
          <w:tcPr>
            <w:tcW w:w="1250" w:type="pct"/>
            <w:vAlign w:val="center"/>
            <w:hideMark/>
          </w:tcPr>
          <w:p w14:paraId="41297CF7" w14:textId="77777777" w:rsidR="00AD0693" w:rsidRPr="001B7E14" w:rsidRDefault="00AD0693" w:rsidP="00FA42BB">
            <w:pPr>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 Informes de supervisión</w:t>
            </w:r>
          </w:p>
        </w:tc>
      </w:tr>
      <w:tr w:rsidR="00AD0693" w:rsidRPr="001B7E14" w14:paraId="3E582559" w14:textId="77777777" w:rsidTr="00B944D8">
        <w:trPr>
          <w:trHeight w:val="20"/>
          <w:jc w:val="center"/>
        </w:trPr>
        <w:tc>
          <w:tcPr>
            <w:tcW w:w="1250" w:type="pct"/>
            <w:noWrap/>
            <w:vAlign w:val="bottom"/>
          </w:tcPr>
          <w:p w14:paraId="2F5D8C89" w14:textId="77777777" w:rsidR="00AD0693" w:rsidRPr="001B7E14" w:rsidRDefault="00AD0693" w:rsidP="00FA42BB">
            <w:pPr>
              <w:jc w:val="center"/>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Contrato No. 1125 del 21 de diciembre 2020.</w:t>
            </w:r>
          </w:p>
          <w:p w14:paraId="32E52230" w14:textId="77777777" w:rsidR="00AD0693" w:rsidRPr="001B7E14" w:rsidRDefault="00AD0693" w:rsidP="00FA42BB">
            <w:pPr>
              <w:jc w:val="center"/>
              <w:rPr>
                <w:rFonts w:ascii="Helvetica" w:eastAsia="Times New Roman" w:hAnsi="Helvetica" w:cs="Helvetica"/>
                <w:sz w:val="18"/>
                <w:szCs w:val="18"/>
                <w:lang w:eastAsia="es-CO"/>
              </w:rPr>
            </w:pPr>
          </w:p>
          <w:p w14:paraId="1B5D4AAE" w14:textId="77777777" w:rsidR="00AD0693" w:rsidRPr="001B7E14" w:rsidRDefault="00AD0693" w:rsidP="00FA42BB">
            <w:pPr>
              <w:jc w:val="center"/>
              <w:rPr>
                <w:rFonts w:ascii="Helvetica" w:eastAsia="Times New Roman" w:hAnsi="Helvetica" w:cs="Helvetica"/>
                <w:sz w:val="18"/>
                <w:szCs w:val="18"/>
                <w:lang w:eastAsia="es-CO"/>
              </w:rPr>
            </w:pPr>
          </w:p>
        </w:tc>
        <w:tc>
          <w:tcPr>
            <w:tcW w:w="1250" w:type="pct"/>
            <w:vAlign w:val="center"/>
            <w:hideMark/>
          </w:tcPr>
          <w:p w14:paraId="6506B460" w14:textId="77777777" w:rsidR="00AD0693" w:rsidRPr="001B7E14" w:rsidRDefault="00AD0693" w:rsidP="00FA42BB">
            <w:pPr>
              <w:jc w:val="both"/>
              <w:rPr>
                <w:rFonts w:ascii="Helvetica" w:hAnsi="Helvetica" w:cs="Helvetica"/>
                <w:sz w:val="18"/>
                <w:szCs w:val="18"/>
                <w:shd w:val="clear" w:color="auto" w:fill="FFFFFF"/>
              </w:rPr>
            </w:pPr>
            <w:r w:rsidRPr="001B7E14">
              <w:rPr>
                <w:rFonts w:ascii="Helvetica" w:hAnsi="Helvetica" w:cs="Helvetica"/>
                <w:sz w:val="18"/>
                <w:szCs w:val="18"/>
                <w:shd w:val="clear" w:color="auto" w:fill="FFFFFF"/>
              </w:rPr>
              <w:lastRenderedPageBreak/>
              <w:t xml:space="preserve">Adquisición de elementos fonoaudiológicos para la </w:t>
            </w:r>
            <w:r w:rsidRPr="001B7E14">
              <w:rPr>
                <w:rFonts w:ascii="Helvetica" w:hAnsi="Helvetica" w:cs="Helvetica"/>
                <w:sz w:val="18"/>
                <w:szCs w:val="18"/>
                <w:shd w:val="clear" w:color="auto" w:fill="FFFFFF"/>
              </w:rPr>
              <w:lastRenderedPageBreak/>
              <w:t>valoración de personas con discapacidad comunicativa para el apoyo pedagógico y psicosocial del programa de necesidades educativas especiales.</w:t>
            </w:r>
          </w:p>
        </w:tc>
        <w:tc>
          <w:tcPr>
            <w:tcW w:w="1250" w:type="pct"/>
            <w:noWrap/>
            <w:vAlign w:val="center"/>
            <w:hideMark/>
          </w:tcPr>
          <w:p w14:paraId="4D42A56F" w14:textId="77777777" w:rsidR="00AD0693" w:rsidRPr="001B7E14" w:rsidRDefault="00AD0693" w:rsidP="00FA42BB">
            <w:pPr>
              <w:rPr>
                <w:rFonts w:ascii="Helvetica" w:eastAsia="Times New Roman" w:hAnsi="Helvetica" w:cs="Helvetica"/>
                <w:sz w:val="18"/>
                <w:szCs w:val="18"/>
                <w:u w:val="single"/>
                <w:lang w:eastAsia="es-CO"/>
              </w:rPr>
            </w:pPr>
            <w:r w:rsidRPr="001B7E14">
              <w:rPr>
                <w:rFonts w:ascii="Helvetica" w:eastAsia="Times New Roman" w:hAnsi="Helvetica" w:cs="Helvetica"/>
                <w:sz w:val="18"/>
                <w:szCs w:val="18"/>
                <w:u w:val="single"/>
                <w:lang w:eastAsia="es-CO"/>
              </w:rPr>
              <w:lastRenderedPageBreak/>
              <w:t>https://bit.ly/3mcNJZz</w:t>
            </w:r>
          </w:p>
        </w:tc>
        <w:tc>
          <w:tcPr>
            <w:tcW w:w="1250" w:type="pct"/>
            <w:vAlign w:val="center"/>
          </w:tcPr>
          <w:p w14:paraId="10D17602" w14:textId="77777777" w:rsidR="00AD0693" w:rsidRPr="001B7E14" w:rsidRDefault="00AD0693" w:rsidP="00FA42BB">
            <w:pPr>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 Registro presupuestal</w:t>
            </w:r>
          </w:p>
          <w:p w14:paraId="4EA8E6AB" w14:textId="77777777" w:rsidR="00AD0693" w:rsidRPr="001B7E14" w:rsidRDefault="00AD0693" w:rsidP="00FA42BB">
            <w:pPr>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 Informes de supervisión</w:t>
            </w:r>
          </w:p>
          <w:p w14:paraId="40A613F3" w14:textId="77777777" w:rsidR="00AD0693" w:rsidRPr="001B7E14" w:rsidRDefault="00AD0693" w:rsidP="00FA42BB">
            <w:pPr>
              <w:rPr>
                <w:rFonts w:ascii="Helvetica" w:eastAsia="Times New Roman" w:hAnsi="Helvetica" w:cs="Helvetica"/>
                <w:sz w:val="18"/>
                <w:szCs w:val="18"/>
                <w:lang w:eastAsia="es-CO"/>
              </w:rPr>
            </w:pPr>
          </w:p>
        </w:tc>
      </w:tr>
      <w:tr w:rsidR="00AD0693" w:rsidRPr="001B7E14" w14:paraId="5F79BF06" w14:textId="77777777" w:rsidTr="00B944D8">
        <w:trPr>
          <w:trHeight w:val="20"/>
          <w:jc w:val="center"/>
        </w:trPr>
        <w:tc>
          <w:tcPr>
            <w:tcW w:w="1250" w:type="pct"/>
            <w:noWrap/>
            <w:vAlign w:val="bottom"/>
          </w:tcPr>
          <w:p w14:paraId="569D9987" w14:textId="77777777" w:rsidR="00AD0693" w:rsidRPr="001B7E14" w:rsidRDefault="00AD0693" w:rsidP="00FA42BB">
            <w:pPr>
              <w:jc w:val="center"/>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lastRenderedPageBreak/>
              <w:t>Contrato No. 481 del 15 de mayo 2020.</w:t>
            </w:r>
          </w:p>
          <w:p w14:paraId="7717B3D8" w14:textId="77777777" w:rsidR="00AD0693" w:rsidRPr="001B7E14" w:rsidRDefault="00AD0693" w:rsidP="00FA42BB">
            <w:pPr>
              <w:jc w:val="center"/>
              <w:rPr>
                <w:rFonts w:ascii="Helvetica" w:eastAsia="Times New Roman" w:hAnsi="Helvetica" w:cs="Helvetica"/>
                <w:sz w:val="18"/>
                <w:szCs w:val="18"/>
                <w:lang w:eastAsia="es-CO"/>
              </w:rPr>
            </w:pPr>
          </w:p>
          <w:p w14:paraId="635B6392" w14:textId="77777777" w:rsidR="00AD0693" w:rsidRPr="001B7E14" w:rsidRDefault="00AD0693" w:rsidP="00FA42BB">
            <w:pPr>
              <w:jc w:val="center"/>
              <w:rPr>
                <w:rFonts w:ascii="Helvetica" w:eastAsia="Times New Roman" w:hAnsi="Helvetica" w:cs="Helvetica"/>
                <w:sz w:val="18"/>
                <w:szCs w:val="18"/>
                <w:lang w:eastAsia="es-CO"/>
              </w:rPr>
            </w:pPr>
          </w:p>
        </w:tc>
        <w:tc>
          <w:tcPr>
            <w:tcW w:w="1250" w:type="pct"/>
            <w:vAlign w:val="center"/>
            <w:hideMark/>
          </w:tcPr>
          <w:p w14:paraId="4407CCDA" w14:textId="77777777" w:rsidR="00AD0693" w:rsidRPr="001B7E14" w:rsidRDefault="00AD0693" w:rsidP="00FA42BB">
            <w:pPr>
              <w:jc w:val="both"/>
              <w:rPr>
                <w:rFonts w:ascii="Helvetica" w:hAnsi="Helvetica" w:cs="Helvetica"/>
                <w:sz w:val="18"/>
                <w:szCs w:val="18"/>
                <w:shd w:val="clear" w:color="auto" w:fill="FFFFFF"/>
              </w:rPr>
            </w:pPr>
            <w:r w:rsidRPr="001B7E14">
              <w:rPr>
                <w:rFonts w:ascii="Helvetica" w:hAnsi="Helvetica" w:cs="Helvetica"/>
                <w:sz w:val="18"/>
                <w:szCs w:val="18"/>
                <w:shd w:val="clear" w:color="auto" w:fill="FFFFFF"/>
              </w:rPr>
              <w:t xml:space="preserve">Asociación de autoridades tradicionales indígenas – capitanes – de las comunidades curripaco del resguardo puerto Colombia, tonina, san José, sejal del medio rio Guainía – </w:t>
            </w:r>
          </w:p>
        </w:tc>
        <w:tc>
          <w:tcPr>
            <w:tcW w:w="1250" w:type="pct"/>
            <w:noWrap/>
            <w:vAlign w:val="center"/>
            <w:hideMark/>
          </w:tcPr>
          <w:p w14:paraId="7A4AA7D9" w14:textId="77777777" w:rsidR="00AD0693" w:rsidRPr="001B7E14" w:rsidRDefault="00AD0693" w:rsidP="00FA42BB">
            <w:pPr>
              <w:rPr>
                <w:rFonts w:ascii="Helvetica" w:eastAsia="Times New Roman" w:hAnsi="Helvetica" w:cs="Helvetica"/>
                <w:sz w:val="18"/>
                <w:szCs w:val="18"/>
                <w:u w:val="single"/>
                <w:lang w:eastAsia="es-CO"/>
              </w:rPr>
            </w:pPr>
            <w:r w:rsidRPr="001B7E14">
              <w:rPr>
                <w:rFonts w:ascii="Helvetica" w:eastAsia="Times New Roman" w:hAnsi="Helvetica" w:cs="Helvetica"/>
                <w:sz w:val="18"/>
                <w:szCs w:val="18"/>
                <w:u w:val="single"/>
                <w:lang w:eastAsia="es-CO"/>
              </w:rPr>
              <w:t>https://bit.ly/3zgWeuC</w:t>
            </w:r>
          </w:p>
        </w:tc>
        <w:tc>
          <w:tcPr>
            <w:tcW w:w="1250" w:type="pct"/>
            <w:vAlign w:val="center"/>
          </w:tcPr>
          <w:p w14:paraId="1D163C2D" w14:textId="77777777" w:rsidR="00AD0693" w:rsidRPr="001B7E14" w:rsidRDefault="00AD0693" w:rsidP="00FA42BB">
            <w:pPr>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 Registro presupuestal</w:t>
            </w:r>
          </w:p>
          <w:p w14:paraId="790F4610" w14:textId="77777777" w:rsidR="00AD0693" w:rsidRPr="001B7E14" w:rsidRDefault="00AD0693" w:rsidP="00FA42BB">
            <w:pPr>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 Acta de inicio</w:t>
            </w:r>
          </w:p>
          <w:p w14:paraId="59FFCB19" w14:textId="77777777" w:rsidR="00AD0693" w:rsidRPr="001B7E14" w:rsidRDefault="00AD0693" w:rsidP="00FA42BB">
            <w:pPr>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 Informes de supervisión</w:t>
            </w:r>
          </w:p>
          <w:p w14:paraId="451F5E84" w14:textId="77777777" w:rsidR="00AD0693" w:rsidRPr="001B7E14" w:rsidRDefault="00AD0693" w:rsidP="00FA42BB">
            <w:pPr>
              <w:rPr>
                <w:rFonts w:ascii="Helvetica" w:eastAsia="Times New Roman" w:hAnsi="Helvetica" w:cs="Helvetica"/>
                <w:sz w:val="18"/>
                <w:szCs w:val="18"/>
                <w:lang w:eastAsia="es-CO"/>
              </w:rPr>
            </w:pPr>
          </w:p>
        </w:tc>
      </w:tr>
      <w:tr w:rsidR="00DD1021" w:rsidRPr="001B7E14" w14:paraId="5DEE0E00" w14:textId="77777777" w:rsidTr="00DD1021">
        <w:trPr>
          <w:trHeight w:val="20"/>
          <w:jc w:val="center"/>
        </w:trPr>
        <w:tc>
          <w:tcPr>
            <w:tcW w:w="1250" w:type="pct"/>
            <w:tcBorders>
              <w:top w:val="single" w:sz="4" w:space="0" w:color="auto"/>
              <w:left w:val="single" w:sz="4" w:space="0" w:color="auto"/>
              <w:bottom w:val="single" w:sz="4" w:space="0" w:color="auto"/>
              <w:right w:val="single" w:sz="4" w:space="0" w:color="auto"/>
            </w:tcBorders>
            <w:noWrap/>
            <w:vAlign w:val="bottom"/>
          </w:tcPr>
          <w:p w14:paraId="5CA2378C" w14:textId="77777777" w:rsidR="00DD1021" w:rsidRPr="001B7E14" w:rsidRDefault="00DD1021" w:rsidP="00DD1021">
            <w:pPr>
              <w:jc w:val="center"/>
              <w:rPr>
                <w:rFonts w:ascii="Helvetica" w:eastAsia="Times New Roman" w:hAnsi="Helvetica" w:cs="Helvetica"/>
                <w:sz w:val="18"/>
                <w:szCs w:val="18"/>
                <w:lang w:eastAsia="es-CO"/>
              </w:rPr>
            </w:pPr>
          </w:p>
          <w:p w14:paraId="5639E50D" w14:textId="77777777" w:rsidR="00DD1021" w:rsidRPr="001B7E14" w:rsidRDefault="00DD1021" w:rsidP="00DD1021">
            <w:pPr>
              <w:jc w:val="center"/>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Contrato No. 471 del 08 de marzo de 2021.</w:t>
            </w:r>
          </w:p>
          <w:p w14:paraId="061512D8" w14:textId="77777777" w:rsidR="00DD1021" w:rsidRPr="001B7E14" w:rsidRDefault="00DD1021" w:rsidP="00DD1021">
            <w:pPr>
              <w:jc w:val="center"/>
              <w:rPr>
                <w:rFonts w:ascii="Helvetica" w:eastAsia="Times New Roman" w:hAnsi="Helvetica" w:cs="Helvetica"/>
                <w:sz w:val="18"/>
                <w:szCs w:val="18"/>
                <w:lang w:eastAsia="es-CO"/>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7180AA41" w14:textId="77777777" w:rsidR="00DD1021" w:rsidRPr="001B7E14" w:rsidRDefault="00DD1021" w:rsidP="00DD1021">
            <w:pPr>
              <w:jc w:val="both"/>
              <w:rPr>
                <w:rFonts w:ascii="Helvetica" w:hAnsi="Helvetica" w:cs="Helvetica"/>
                <w:sz w:val="18"/>
                <w:szCs w:val="18"/>
                <w:shd w:val="clear" w:color="auto" w:fill="FFFFFF"/>
              </w:rPr>
            </w:pPr>
            <w:r w:rsidRPr="001B7E14">
              <w:rPr>
                <w:rFonts w:ascii="Helvetica" w:hAnsi="Helvetica" w:cs="Helvetica"/>
                <w:sz w:val="18"/>
                <w:szCs w:val="18"/>
                <w:shd w:val="clear" w:color="auto" w:fill="FFFFFF"/>
              </w:rPr>
              <w:t xml:space="preserve">Implementación de la estrategia pedagógica </w:t>
            </w:r>
            <w:proofErr w:type="spellStart"/>
            <w:r w:rsidRPr="001B7E14">
              <w:rPr>
                <w:rFonts w:ascii="Helvetica" w:hAnsi="Helvetica" w:cs="Helvetica"/>
                <w:sz w:val="18"/>
                <w:szCs w:val="18"/>
                <w:shd w:val="clear" w:color="auto" w:fill="FFFFFF"/>
              </w:rPr>
              <w:t>etnoeducativa</w:t>
            </w:r>
            <w:proofErr w:type="spellEnd"/>
            <w:r w:rsidRPr="001B7E14">
              <w:rPr>
                <w:rFonts w:ascii="Helvetica" w:hAnsi="Helvetica" w:cs="Helvetica"/>
                <w:sz w:val="18"/>
                <w:szCs w:val="18"/>
                <w:shd w:val="clear" w:color="auto" w:fill="FFFFFF"/>
              </w:rPr>
              <w:t xml:space="preserve"> con confesiones religiosas</w:t>
            </w:r>
          </w:p>
        </w:tc>
        <w:tc>
          <w:tcPr>
            <w:tcW w:w="1250" w:type="pct"/>
            <w:tcBorders>
              <w:top w:val="single" w:sz="4" w:space="0" w:color="auto"/>
              <w:left w:val="single" w:sz="4" w:space="0" w:color="auto"/>
              <w:bottom w:val="single" w:sz="4" w:space="0" w:color="auto"/>
              <w:right w:val="single" w:sz="4" w:space="0" w:color="auto"/>
            </w:tcBorders>
            <w:noWrap/>
            <w:vAlign w:val="center"/>
            <w:hideMark/>
          </w:tcPr>
          <w:p w14:paraId="70106BE2" w14:textId="77777777" w:rsidR="00DD1021" w:rsidRPr="001B7E14" w:rsidRDefault="00DD1021" w:rsidP="00DD1021">
            <w:pPr>
              <w:rPr>
                <w:rFonts w:ascii="Helvetica" w:eastAsia="Times New Roman" w:hAnsi="Helvetica" w:cs="Helvetica"/>
                <w:sz w:val="18"/>
                <w:szCs w:val="18"/>
                <w:u w:val="single"/>
                <w:lang w:eastAsia="es-CO"/>
              </w:rPr>
            </w:pPr>
            <w:r w:rsidRPr="001B7E14">
              <w:rPr>
                <w:rFonts w:ascii="Helvetica" w:eastAsia="Times New Roman" w:hAnsi="Helvetica" w:cs="Helvetica"/>
                <w:sz w:val="18"/>
                <w:szCs w:val="18"/>
                <w:u w:val="single"/>
                <w:lang w:eastAsia="es-CO"/>
              </w:rPr>
              <w:t>https://bit.ly/3MSrV3v</w:t>
            </w:r>
          </w:p>
        </w:tc>
        <w:tc>
          <w:tcPr>
            <w:tcW w:w="1250" w:type="pct"/>
            <w:tcBorders>
              <w:top w:val="single" w:sz="4" w:space="0" w:color="auto"/>
              <w:left w:val="single" w:sz="4" w:space="0" w:color="auto"/>
              <w:bottom w:val="single" w:sz="4" w:space="0" w:color="auto"/>
              <w:right w:val="single" w:sz="4" w:space="0" w:color="auto"/>
            </w:tcBorders>
            <w:vAlign w:val="center"/>
          </w:tcPr>
          <w:p w14:paraId="4107A913" w14:textId="77777777" w:rsidR="00DD1021" w:rsidRPr="001B7E14" w:rsidRDefault="00DD1021" w:rsidP="00DD1021">
            <w:pPr>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 Informes de supervisión</w:t>
            </w:r>
          </w:p>
        </w:tc>
      </w:tr>
      <w:tr w:rsidR="00DD1021" w:rsidRPr="001B7E14" w14:paraId="251C5BE2" w14:textId="77777777" w:rsidTr="00DD1021">
        <w:trPr>
          <w:trHeight w:val="20"/>
          <w:jc w:val="center"/>
        </w:trPr>
        <w:tc>
          <w:tcPr>
            <w:tcW w:w="1250" w:type="pct"/>
            <w:tcBorders>
              <w:top w:val="single" w:sz="4" w:space="0" w:color="auto"/>
              <w:left w:val="single" w:sz="4" w:space="0" w:color="auto"/>
              <w:bottom w:val="single" w:sz="4" w:space="0" w:color="auto"/>
              <w:right w:val="single" w:sz="4" w:space="0" w:color="auto"/>
            </w:tcBorders>
            <w:noWrap/>
            <w:vAlign w:val="bottom"/>
          </w:tcPr>
          <w:p w14:paraId="109BF683" w14:textId="77777777" w:rsidR="00DD1021" w:rsidRPr="001B7E14" w:rsidRDefault="00DD1021" w:rsidP="00DD1021">
            <w:pPr>
              <w:jc w:val="center"/>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Contrato No. 558 del 15 de abril de 2021.</w:t>
            </w:r>
          </w:p>
          <w:p w14:paraId="4A4CB144" w14:textId="77777777" w:rsidR="00DD1021" w:rsidRPr="001B7E14" w:rsidRDefault="00DD1021" w:rsidP="00DD1021">
            <w:pPr>
              <w:jc w:val="center"/>
              <w:rPr>
                <w:rFonts w:ascii="Helvetica" w:eastAsia="Times New Roman" w:hAnsi="Helvetica" w:cs="Helvetica"/>
                <w:sz w:val="18"/>
                <w:szCs w:val="18"/>
                <w:lang w:eastAsia="es-CO"/>
              </w:rPr>
            </w:pPr>
          </w:p>
          <w:p w14:paraId="7B3967F3" w14:textId="77777777" w:rsidR="00DD1021" w:rsidRPr="001B7E14" w:rsidRDefault="00DD1021" w:rsidP="00DD1021">
            <w:pPr>
              <w:jc w:val="center"/>
              <w:rPr>
                <w:rFonts w:ascii="Helvetica" w:eastAsia="Times New Roman" w:hAnsi="Helvetica" w:cs="Helvetica"/>
                <w:sz w:val="18"/>
                <w:szCs w:val="18"/>
                <w:lang w:eastAsia="es-CO"/>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6455C4D8" w14:textId="77777777" w:rsidR="00DD1021" w:rsidRPr="001B7E14" w:rsidRDefault="00DD1021" w:rsidP="00DD1021">
            <w:pPr>
              <w:jc w:val="both"/>
              <w:rPr>
                <w:rFonts w:ascii="Helvetica" w:hAnsi="Helvetica" w:cs="Helvetica"/>
                <w:sz w:val="18"/>
                <w:szCs w:val="18"/>
                <w:shd w:val="clear" w:color="auto" w:fill="FFFFFF"/>
              </w:rPr>
            </w:pPr>
            <w:r w:rsidRPr="001B7E14">
              <w:rPr>
                <w:rFonts w:ascii="Helvetica" w:hAnsi="Helvetica" w:cs="Helvetica"/>
                <w:sz w:val="18"/>
                <w:szCs w:val="18"/>
                <w:shd w:val="clear" w:color="auto" w:fill="FFFFFF"/>
              </w:rPr>
              <w:t xml:space="preserve">Prestación del servicio educativo para la implementación una estrategia pedagógica </w:t>
            </w:r>
            <w:proofErr w:type="spellStart"/>
            <w:r w:rsidRPr="001B7E14">
              <w:rPr>
                <w:rFonts w:ascii="Helvetica" w:hAnsi="Helvetica" w:cs="Helvetica"/>
                <w:sz w:val="18"/>
                <w:szCs w:val="18"/>
                <w:shd w:val="clear" w:color="auto" w:fill="FFFFFF"/>
              </w:rPr>
              <w:t>etnoeducativa</w:t>
            </w:r>
            <w:proofErr w:type="spellEnd"/>
            <w:r w:rsidRPr="001B7E14">
              <w:rPr>
                <w:rFonts w:ascii="Helvetica" w:hAnsi="Helvetica" w:cs="Helvetica"/>
                <w:sz w:val="18"/>
                <w:szCs w:val="18"/>
                <w:shd w:val="clear" w:color="auto" w:fill="FFFFFF"/>
              </w:rPr>
              <w:t xml:space="preserve"> con "asociación de autoridades tradicionales indígenas para la vigencia 2021.</w:t>
            </w:r>
          </w:p>
        </w:tc>
        <w:tc>
          <w:tcPr>
            <w:tcW w:w="1250" w:type="pct"/>
            <w:tcBorders>
              <w:top w:val="single" w:sz="4" w:space="0" w:color="auto"/>
              <w:left w:val="single" w:sz="4" w:space="0" w:color="auto"/>
              <w:bottom w:val="single" w:sz="4" w:space="0" w:color="auto"/>
              <w:right w:val="single" w:sz="4" w:space="0" w:color="auto"/>
            </w:tcBorders>
            <w:noWrap/>
            <w:vAlign w:val="center"/>
            <w:hideMark/>
          </w:tcPr>
          <w:p w14:paraId="496D7E24" w14:textId="77777777" w:rsidR="00DD1021" w:rsidRPr="001B7E14" w:rsidRDefault="00FA6614" w:rsidP="00DD1021">
            <w:pPr>
              <w:rPr>
                <w:rFonts w:ascii="Helvetica" w:eastAsia="Times New Roman" w:hAnsi="Helvetica" w:cs="Helvetica"/>
                <w:sz w:val="18"/>
                <w:szCs w:val="18"/>
                <w:u w:val="single"/>
                <w:lang w:eastAsia="es-CO"/>
              </w:rPr>
            </w:pPr>
            <w:hyperlink r:id="rId24" w:history="1">
              <w:r w:rsidR="00DD1021" w:rsidRPr="001B7E14">
                <w:rPr>
                  <w:rStyle w:val="Hipervnculo"/>
                  <w:rFonts w:ascii="Helvetica" w:eastAsia="Times New Roman" w:hAnsi="Helvetica" w:cs="Helvetica"/>
                  <w:sz w:val="18"/>
                  <w:szCs w:val="18"/>
                  <w:lang w:eastAsia="es-CO"/>
                </w:rPr>
                <w:t>https://bit.ly/3zgWeuC</w:t>
              </w:r>
            </w:hyperlink>
          </w:p>
        </w:tc>
        <w:tc>
          <w:tcPr>
            <w:tcW w:w="1250" w:type="pct"/>
            <w:tcBorders>
              <w:top w:val="single" w:sz="4" w:space="0" w:color="auto"/>
              <w:left w:val="single" w:sz="4" w:space="0" w:color="auto"/>
              <w:bottom w:val="single" w:sz="4" w:space="0" w:color="auto"/>
              <w:right w:val="single" w:sz="4" w:space="0" w:color="auto"/>
            </w:tcBorders>
            <w:vAlign w:val="center"/>
          </w:tcPr>
          <w:p w14:paraId="088D0598" w14:textId="77777777" w:rsidR="00DD1021" w:rsidRPr="001B7E14" w:rsidRDefault="00DD1021" w:rsidP="00DD1021">
            <w:pPr>
              <w:pStyle w:val="Prrafodelista"/>
              <w:numPr>
                <w:ilvl w:val="0"/>
                <w:numId w:val="27"/>
              </w:numPr>
              <w:ind w:left="108" w:hanging="108"/>
              <w:jc w:val="center"/>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Informes de supervisión</w:t>
            </w:r>
          </w:p>
        </w:tc>
      </w:tr>
      <w:tr w:rsidR="00DD1021" w:rsidRPr="001B7E14" w14:paraId="037B8148" w14:textId="77777777" w:rsidTr="00DD1021">
        <w:trPr>
          <w:trHeight w:val="20"/>
          <w:jc w:val="center"/>
        </w:trPr>
        <w:tc>
          <w:tcPr>
            <w:tcW w:w="1250" w:type="pct"/>
            <w:tcBorders>
              <w:top w:val="single" w:sz="4" w:space="0" w:color="auto"/>
              <w:left w:val="single" w:sz="4" w:space="0" w:color="auto"/>
              <w:bottom w:val="single" w:sz="4" w:space="0" w:color="auto"/>
              <w:right w:val="single" w:sz="4" w:space="0" w:color="auto"/>
            </w:tcBorders>
            <w:noWrap/>
            <w:vAlign w:val="bottom"/>
          </w:tcPr>
          <w:p w14:paraId="4BFDA167" w14:textId="77777777" w:rsidR="00DD1021" w:rsidRPr="001B7E14" w:rsidRDefault="00DD1021" w:rsidP="00DD1021">
            <w:pPr>
              <w:jc w:val="center"/>
              <w:rPr>
                <w:rFonts w:ascii="Helvetica" w:eastAsia="Times New Roman" w:hAnsi="Helvetica" w:cs="Helvetica"/>
                <w:sz w:val="18"/>
                <w:szCs w:val="18"/>
                <w:lang w:eastAsia="es-CO"/>
              </w:rPr>
            </w:pPr>
          </w:p>
          <w:p w14:paraId="5C25BE03" w14:textId="77777777" w:rsidR="00DD1021" w:rsidRPr="001B7E14" w:rsidRDefault="00DD1021" w:rsidP="00DD1021">
            <w:pPr>
              <w:jc w:val="center"/>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Contrato No. 610 del 29 de enero de 2022.</w:t>
            </w:r>
          </w:p>
          <w:p w14:paraId="2EF771E0" w14:textId="77777777" w:rsidR="00DD1021" w:rsidRPr="001B7E14" w:rsidRDefault="00DD1021" w:rsidP="00DD1021">
            <w:pPr>
              <w:jc w:val="center"/>
              <w:rPr>
                <w:rFonts w:ascii="Helvetica" w:eastAsia="Times New Roman" w:hAnsi="Helvetica" w:cs="Helvetica"/>
                <w:sz w:val="18"/>
                <w:szCs w:val="18"/>
                <w:lang w:eastAsia="es-CO"/>
              </w:rPr>
            </w:pPr>
          </w:p>
          <w:p w14:paraId="65D870B8" w14:textId="77777777" w:rsidR="00DD1021" w:rsidRPr="001B7E14" w:rsidRDefault="00DD1021" w:rsidP="00DD1021">
            <w:pPr>
              <w:jc w:val="center"/>
              <w:rPr>
                <w:rFonts w:ascii="Helvetica" w:eastAsia="Times New Roman" w:hAnsi="Helvetica" w:cs="Helvetica"/>
                <w:sz w:val="18"/>
                <w:szCs w:val="18"/>
                <w:lang w:eastAsia="es-CO"/>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3B693496" w14:textId="77777777" w:rsidR="00DD1021" w:rsidRPr="001B7E14" w:rsidRDefault="00DD1021" w:rsidP="00DD1021">
            <w:pPr>
              <w:jc w:val="both"/>
              <w:rPr>
                <w:rFonts w:ascii="Helvetica" w:hAnsi="Helvetica" w:cs="Helvetica"/>
                <w:sz w:val="18"/>
                <w:szCs w:val="18"/>
                <w:shd w:val="clear" w:color="auto" w:fill="FFFFFF"/>
              </w:rPr>
            </w:pPr>
            <w:r w:rsidRPr="001B7E14">
              <w:rPr>
                <w:rFonts w:ascii="Helvetica" w:hAnsi="Helvetica" w:cs="Helvetica"/>
                <w:sz w:val="18"/>
                <w:szCs w:val="18"/>
                <w:shd w:val="clear" w:color="auto" w:fill="FFFFFF"/>
              </w:rPr>
              <w:t xml:space="preserve">Prestación de servicio educativo para la implementación de una estrategia pedagógica </w:t>
            </w:r>
            <w:proofErr w:type="spellStart"/>
            <w:r w:rsidRPr="001B7E14">
              <w:rPr>
                <w:rFonts w:ascii="Helvetica" w:hAnsi="Helvetica" w:cs="Helvetica"/>
                <w:sz w:val="18"/>
                <w:szCs w:val="18"/>
                <w:shd w:val="clear" w:color="auto" w:fill="FFFFFF"/>
              </w:rPr>
              <w:t>etnoeducativa</w:t>
            </w:r>
            <w:proofErr w:type="spellEnd"/>
            <w:r w:rsidRPr="001B7E14">
              <w:rPr>
                <w:rFonts w:ascii="Helvetica" w:hAnsi="Helvetica" w:cs="Helvetica"/>
                <w:sz w:val="18"/>
                <w:szCs w:val="18"/>
                <w:shd w:val="clear" w:color="auto" w:fill="FFFFFF"/>
              </w:rPr>
              <w:t xml:space="preserve"> con confesión religiosa.</w:t>
            </w:r>
          </w:p>
        </w:tc>
        <w:tc>
          <w:tcPr>
            <w:tcW w:w="1250" w:type="pct"/>
            <w:tcBorders>
              <w:top w:val="single" w:sz="4" w:space="0" w:color="auto"/>
              <w:left w:val="single" w:sz="4" w:space="0" w:color="auto"/>
              <w:bottom w:val="single" w:sz="4" w:space="0" w:color="auto"/>
              <w:right w:val="single" w:sz="4" w:space="0" w:color="auto"/>
            </w:tcBorders>
            <w:noWrap/>
            <w:vAlign w:val="center"/>
            <w:hideMark/>
          </w:tcPr>
          <w:p w14:paraId="4E132DFE" w14:textId="77777777" w:rsidR="00DD1021" w:rsidRPr="001B7E14" w:rsidRDefault="00FA6614" w:rsidP="00DD1021">
            <w:pPr>
              <w:rPr>
                <w:rFonts w:ascii="Helvetica" w:eastAsia="Times New Roman" w:hAnsi="Helvetica" w:cs="Helvetica"/>
                <w:sz w:val="18"/>
                <w:szCs w:val="18"/>
                <w:u w:val="single"/>
                <w:lang w:eastAsia="es-CO"/>
              </w:rPr>
            </w:pPr>
            <w:hyperlink r:id="rId25" w:history="1">
              <w:r w:rsidR="00DD1021" w:rsidRPr="001B7E14">
                <w:rPr>
                  <w:rStyle w:val="Hipervnculo"/>
                  <w:rFonts w:ascii="Helvetica" w:eastAsia="Times New Roman" w:hAnsi="Helvetica" w:cs="Helvetica"/>
                  <w:sz w:val="18"/>
                  <w:szCs w:val="18"/>
                  <w:lang w:eastAsia="es-CO"/>
                </w:rPr>
                <w:t>https://bit.ly/45rTl7G</w:t>
              </w:r>
            </w:hyperlink>
          </w:p>
          <w:p w14:paraId="50D83866" w14:textId="77777777" w:rsidR="00DD1021" w:rsidRPr="001B7E14" w:rsidRDefault="00DD1021" w:rsidP="00DD1021">
            <w:pPr>
              <w:rPr>
                <w:rFonts w:ascii="Helvetica" w:eastAsia="Times New Roman" w:hAnsi="Helvetica" w:cs="Helvetica"/>
                <w:sz w:val="18"/>
                <w:szCs w:val="18"/>
                <w:u w:val="single"/>
                <w:lang w:eastAsia="es-CO"/>
              </w:rPr>
            </w:pPr>
          </w:p>
        </w:tc>
        <w:tc>
          <w:tcPr>
            <w:tcW w:w="1250" w:type="pct"/>
            <w:tcBorders>
              <w:top w:val="single" w:sz="4" w:space="0" w:color="auto"/>
              <w:left w:val="single" w:sz="4" w:space="0" w:color="auto"/>
              <w:bottom w:val="single" w:sz="4" w:space="0" w:color="auto"/>
              <w:right w:val="single" w:sz="4" w:space="0" w:color="auto"/>
            </w:tcBorders>
            <w:vAlign w:val="center"/>
          </w:tcPr>
          <w:p w14:paraId="11F873B4" w14:textId="77777777" w:rsidR="00DD1021" w:rsidRPr="001B7E14" w:rsidRDefault="00DD1021" w:rsidP="00DD1021">
            <w:pPr>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 Informes de supervisión</w:t>
            </w:r>
          </w:p>
        </w:tc>
      </w:tr>
      <w:tr w:rsidR="00DD1021" w:rsidRPr="001B7E14" w14:paraId="4A27701B" w14:textId="77777777" w:rsidTr="00DD1021">
        <w:trPr>
          <w:trHeight w:val="20"/>
          <w:jc w:val="center"/>
        </w:trPr>
        <w:tc>
          <w:tcPr>
            <w:tcW w:w="1250" w:type="pct"/>
            <w:tcBorders>
              <w:top w:val="single" w:sz="4" w:space="0" w:color="auto"/>
              <w:left w:val="single" w:sz="4" w:space="0" w:color="auto"/>
              <w:bottom w:val="single" w:sz="4" w:space="0" w:color="auto"/>
              <w:right w:val="single" w:sz="4" w:space="0" w:color="auto"/>
            </w:tcBorders>
            <w:noWrap/>
            <w:vAlign w:val="bottom"/>
          </w:tcPr>
          <w:p w14:paraId="341B662C" w14:textId="77777777" w:rsidR="00DD1021" w:rsidRPr="001B7E14" w:rsidRDefault="00DD1021" w:rsidP="00DD1021">
            <w:pPr>
              <w:jc w:val="center"/>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Contrato No. 573 del 21 de diciembre de 2022.</w:t>
            </w:r>
          </w:p>
          <w:p w14:paraId="1A2B769C" w14:textId="77777777" w:rsidR="00DD1021" w:rsidRPr="001B7E14" w:rsidRDefault="00DD1021" w:rsidP="00DD1021">
            <w:pPr>
              <w:jc w:val="center"/>
              <w:rPr>
                <w:rFonts w:ascii="Helvetica" w:eastAsia="Times New Roman" w:hAnsi="Helvetica" w:cs="Helvetica"/>
                <w:sz w:val="18"/>
                <w:szCs w:val="18"/>
                <w:lang w:eastAsia="es-CO"/>
              </w:rPr>
            </w:pPr>
          </w:p>
          <w:p w14:paraId="1072033C" w14:textId="77777777" w:rsidR="00DD1021" w:rsidRPr="001B7E14" w:rsidRDefault="00DD1021" w:rsidP="00DD1021">
            <w:pPr>
              <w:jc w:val="center"/>
              <w:rPr>
                <w:rFonts w:ascii="Helvetica" w:eastAsia="Times New Roman" w:hAnsi="Helvetica" w:cs="Helvetica"/>
                <w:sz w:val="18"/>
                <w:szCs w:val="18"/>
                <w:lang w:eastAsia="es-CO"/>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00F2CFFF" w14:textId="77777777" w:rsidR="00DD1021" w:rsidRPr="001B7E14" w:rsidRDefault="00DD1021" w:rsidP="00DD1021">
            <w:pPr>
              <w:jc w:val="both"/>
              <w:rPr>
                <w:rFonts w:ascii="Helvetica" w:hAnsi="Helvetica" w:cs="Helvetica"/>
                <w:sz w:val="18"/>
                <w:szCs w:val="18"/>
                <w:shd w:val="clear" w:color="auto" w:fill="FFFFFF"/>
              </w:rPr>
            </w:pPr>
            <w:r w:rsidRPr="001B7E14">
              <w:rPr>
                <w:rFonts w:ascii="Helvetica" w:hAnsi="Helvetica" w:cs="Helvetica"/>
                <w:sz w:val="18"/>
                <w:szCs w:val="18"/>
                <w:shd w:val="clear" w:color="auto" w:fill="FFFFFF"/>
              </w:rPr>
              <w:t xml:space="preserve">Prestación de servicios educativo para la implementación de una estrategia pedagógica </w:t>
            </w:r>
            <w:proofErr w:type="spellStart"/>
            <w:r w:rsidRPr="001B7E14">
              <w:rPr>
                <w:rFonts w:ascii="Helvetica" w:hAnsi="Helvetica" w:cs="Helvetica"/>
                <w:sz w:val="18"/>
                <w:szCs w:val="18"/>
                <w:shd w:val="clear" w:color="auto" w:fill="FFFFFF"/>
              </w:rPr>
              <w:t>etnoeductiva</w:t>
            </w:r>
            <w:proofErr w:type="spellEnd"/>
            <w:r w:rsidRPr="001B7E14">
              <w:rPr>
                <w:rFonts w:ascii="Helvetica" w:hAnsi="Helvetica" w:cs="Helvetica"/>
                <w:sz w:val="18"/>
                <w:szCs w:val="18"/>
                <w:shd w:val="clear" w:color="auto" w:fill="FFFFFF"/>
              </w:rPr>
              <w:t xml:space="preserve"> con asociación de autoridades tradicionales indígenas y confesiones religiosas para la vigencia 2022.</w:t>
            </w:r>
          </w:p>
        </w:tc>
        <w:tc>
          <w:tcPr>
            <w:tcW w:w="1250" w:type="pct"/>
            <w:tcBorders>
              <w:top w:val="single" w:sz="4" w:space="0" w:color="auto"/>
              <w:left w:val="single" w:sz="4" w:space="0" w:color="auto"/>
              <w:bottom w:val="single" w:sz="4" w:space="0" w:color="auto"/>
              <w:right w:val="single" w:sz="4" w:space="0" w:color="auto"/>
            </w:tcBorders>
            <w:noWrap/>
            <w:vAlign w:val="center"/>
            <w:hideMark/>
          </w:tcPr>
          <w:p w14:paraId="7E2209C7" w14:textId="77777777" w:rsidR="00DD1021" w:rsidRPr="001B7E14" w:rsidRDefault="00FA6614" w:rsidP="00DD1021">
            <w:pPr>
              <w:rPr>
                <w:rFonts w:ascii="Helvetica" w:eastAsia="Times New Roman" w:hAnsi="Helvetica" w:cs="Helvetica"/>
                <w:sz w:val="18"/>
                <w:szCs w:val="18"/>
                <w:u w:val="single"/>
                <w:lang w:eastAsia="es-CO"/>
              </w:rPr>
            </w:pPr>
            <w:hyperlink r:id="rId26" w:history="1">
              <w:r w:rsidR="00DD1021" w:rsidRPr="001B7E14">
                <w:rPr>
                  <w:rStyle w:val="Hipervnculo"/>
                  <w:rFonts w:ascii="Helvetica" w:eastAsia="Times New Roman" w:hAnsi="Helvetica" w:cs="Helvetica"/>
                  <w:sz w:val="18"/>
                  <w:szCs w:val="18"/>
                  <w:lang w:eastAsia="es-CO"/>
                </w:rPr>
                <w:t>https://bit.ly/3MSIsEJ</w:t>
              </w:r>
            </w:hyperlink>
          </w:p>
          <w:p w14:paraId="7ADE1492" w14:textId="77777777" w:rsidR="00DD1021" w:rsidRPr="001B7E14" w:rsidRDefault="00DD1021" w:rsidP="00DD1021">
            <w:pPr>
              <w:rPr>
                <w:rFonts w:ascii="Helvetica" w:eastAsia="Times New Roman" w:hAnsi="Helvetica" w:cs="Helvetica"/>
                <w:sz w:val="18"/>
                <w:szCs w:val="18"/>
                <w:u w:val="single"/>
                <w:lang w:eastAsia="es-CO"/>
              </w:rPr>
            </w:pPr>
          </w:p>
          <w:p w14:paraId="34C82564" w14:textId="77777777" w:rsidR="00DD1021" w:rsidRPr="001B7E14" w:rsidRDefault="00DD1021" w:rsidP="00DD1021">
            <w:pPr>
              <w:rPr>
                <w:rFonts w:ascii="Helvetica" w:eastAsia="Times New Roman" w:hAnsi="Helvetica" w:cs="Helvetica"/>
                <w:sz w:val="18"/>
                <w:szCs w:val="18"/>
                <w:u w:val="single"/>
                <w:lang w:eastAsia="es-CO"/>
              </w:rPr>
            </w:pPr>
          </w:p>
        </w:tc>
        <w:tc>
          <w:tcPr>
            <w:tcW w:w="1250" w:type="pct"/>
            <w:tcBorders>
              <w:top w:val="single" w:sz="4" w:space="0" w:color="auto"/>
              <w:left w:val="single" w:sz="4" w:space="0" w:color="auto"/>
              <w:bottom w:val="single" w:sz="4" w:space="0" w:color="auto"/>
              <w:right w:val="single" w:sz="4" w:space="0" w:color="auto"/>
            </w:tcBorders>
            <w:vAlign w:val="center"/>
          </w:tcPr>
          <w:p w14:paraId="7D4F4D02" w14:textId="77777777" w:rsidR="00DD1021" w:rsidRPr="001B7E14" w:rsidRDefault="00DD1021" w:rsidP="00DD1021">
            <w:pPr>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 Informes de supervisión</w:t>
            </w:r>
          </w:p>
          <w:p w14:paraId="664A4434" w14:textId="77777777" w:rsidR="00DD1021" w:rsidRPr="001B7E14" w:rsidRDefault="00DD1021" w:rsidP="00DD1021">
            <w:pPr>
              <w:rPr>
                <w:rFonts w:ascii="Helvetica" w:eastAsia="Times New Roman" w:hAnsi="Helvetica" w:cs="Helvetica"/>
                <w:sz w:val="18"/>
                <w:szCs w:val="18"/>
                <w:lang w:eastAsia="es-CO"/>
              </w:rPr>
            </w:pPr>
          </w:p>
        </w:tc>
      </w:tr>
    </w:tbl>
    <w:p w14:paraId="6604A741" w14:textId="77777777" w:rsidR="00AD0693" w:rsidRPr="001B7E14" w:rsidRDefault="00AD0693" w:rsidP="00FA42BB">
      <w:pPr>
        <w:rPr>
          <w:rFonts w:ascii="Helvetica" w:hAnsi="Helvetica" w:cs="Helvetica"/>
          <w:sz w:val="22"/>
          <w:szCs w:val="22"/>
        </w:rPr>
      </w:pPr>
    </w:p>
    <w:p w14:paraId="5B915495" w14:textId="77777777" w:rsidR="004F1FA5" w:rsidRPr="001B7E14" w:rsidRDefault="004F1FA5" w:rsidP="00FA42BB">
      <w:pPr>
        <w:jc w:val="both"/>
        <w:rPr>
          <w:rFonts w:ascii="Helvetica" w:eastAsiaTheme="minorHAnsi" w:hAnsi="Helvetica" w:cs="Helvetica"/>
          <w:sz w:val="22"/>
          <w:szCs w:val="22"/>
          <w:lang w:eastAsia="es-ES_tradnl"/>
        </w:rPr>
      </w:pPr>
      <w:r w:rsidRPr="001B7E14">
        <w:rPr>
          <w:rFonts w:ascii="Helvetica" w:eastAsiaTheme="minorHAnsi" w:hAnsi="Helvetica" w:cs="Helvetica"/>
          <w:sz w:val="22"/>
          <w:szCs w:val="22"/>
          <w:lang w:eastAsia="es-ES_tradnl"/>
        </w:rPr>
        <w:t>Por lo tanto, la Entidad Territorial está incumpliendo con lo expuesto en el artículo 2.2.1.1.1.7.1 del Decreto 1082 del 2015 y el artículo 2.1.1.2.1.8 del Decreto 1081 de 2015, sobre la obligación de publicar en la plataforma SECOP.</w:t>
      </w:r>
    </w:p>
    <w:p w14:paraId="7166CE83" w14:textId="77777777" w:rsidR="00AD0693" w:rsidRPr="001B7E14" w:rsidRDefault="00AD0693" w:rsidP="00FA42BB">
      <w:pPr>
        <w:jc w:val="both"/>
        <w:rPr>
          <w:rFonts w:ascii="Helvetica" w:eastAsiaTheme="minorHAnsi" w:hAnsi="Helvetica" w:cs="Helvetica"/>
          <w:sz w:val="22"/>
          <w:szCs w:val="22"/>
          <w:lang w:eastAsia="es-ES_tradnl"/>
        </w:rPr>
      </w:pPr>
    </w:p>
    <w:p w14:paraId="100D777F" w14:textId="77777777" w:rsidR="00AD0693" w:rsidRPr="001B7E14" w:rsidRDefault="00AD0693" w:rsidP="00FA42BB">
      <w:pPr>
        <w:jc w:val="both"/>
        <w:rPr>
          <w:rFonts w:ascii="Helvetica" w:hAnsi="Helvetica" w:cs="Helvetica"/>
          <w:sz w:val="22"/>
          <w:szCs w:val="22"/>
          <w:lang w:val="es-CO"/>
        </w:rPr>
      </w:pPr>
      <w:r w:rsidRPr="001B7E14">
        <w:rPr>
          <w:rFonts w:ascii="Helvetica" w:eastAsia="Calibri" w:hAnsi="Helvetica" w:cs="Helvetica"/>
          <w:b/>
          <w:sz w:val="22"/>
          <w:szCs w:val="22"/>
          <w:lang w:val="es-CO" w:eastAsia="en-US"/>
        </w:rPr>
        <w:t xml:space="preserve">Evidencia: </w:t>
      </w:r>
      <w:r w:rsidRPr="001B7E14">
        <w:rPr>
          <w:rFonts w:ascii="Helvetica" w:hAnsi="Helvetica" w:cs="Helvetica"/>
          <w:sz w:val="22"/>
          <w:szCs w:val="22"/>
          <w:lang w:val="es-CO"/>
        </w:rPr>
        <w:t>Obra en el expediente el siguiente material probatorio:</w:t>
      </w:r>
    </w:p>
    <w:p w14:paraId="6FADF902" w14:textId="77777777" w:rsidR="00AD0693" w:rsidRPr="001B7E14" w:rsidRDefault="00AD0693" w:rsidP="00FA42BB">
      <w:pPr>
        <w:numPr>
          <w:ilvl w:val="0"/>
          <w:numId w:val="31"/>
        </w:numPr>
        <w:ind w:left="284" w:hanging="284"/>
        <w:contextualSpacing/>
        <w:jc w:val="both"/>
        <w:rPr>
          <w:rFonts w:ascii="Helvetica" w:eastAsiaTheme="minorHAnsi" w:hAnsi="Helvetica" w:cs="Helvetica"/>
          <w:sz w:val="22"/>
          <w:szCs w:val="22"/>
          <w:lang w:eastAsia="es-ES_tradnl"/>
        </w:rPr>
      </w:pPr>
      <w:r w:rsidRPr="001B7E14">
        <w:rPr>
          <w:rFonts w:ascii="Helvetica" w:eastAsiaTheme="minorHAnsi" w:hAnsi="Helvetica" w:cs="Helvetica"/>
          <w:sz w:val="22"/>
          <w:szCs w:val="22"/>
          <w:lang w:eastAsia="es-ES_tradnl"/>
        </w:rPr>
        <w:lastRenderedPageBreak/>
        <w:t xml:space="preserve">Relación de contratos de la vigencia 2020 y 2021. Sector Educación. Departamento de </w:t>
      </w:r>
      <w:r w:rsidR="00342952" w:rsidRPr="001B7E14">
        <w:rPr>
          <w:rFonts w:ascii="Helvetica" w:eastAsiaTheme="minorHAnsi" w:hAnsi="Helvetica" w:cs="Helvetica"/>
          <w:sz w:val="22"/>
          <w:szCs w:val="22"/>
          <w:lang w:eastAsia="es-ES_tradnl"/>
        </w:rPr>
        <w:t>Guainía</w:t>
      </w:r>
      <w:r w:rsidRPr="001B7E14">
        <w:rPr>
          <w:rFonts w:ascii="Helvetica" w:eastAsiaTheme="minorHAnsi" w:hAnsi="Helvetica" w:cs="Helvetica"/>
          <w:sz w:val="22"/>
          <w:szCs w:val="22"/>
          <w:lang w:eastAsia="es-ES_tradnl"/>
        </w:rPr>
        <w:t xml:space="preserve">. Serie "Historial de seguimiento y control a los recursos del Sistema General de Participaciones - Antecedentes de la medida". Expediente digital No. 135/2017/D028-PREDI, radicado 1-2021-104463 22 de noviembre 2021. Enlace: </w:t>
      </w:r>
      <w:hyperlink r:id="rId27" w:history="1">
        <w:r w:rsidRPr="001B7E14">
          <w:rPr>
            <w:rStyle w:val="Hipervnculo"/>
            <w:rFonts w:ascii="Helvetica" w:hAnsi="Helvetica" w:cs="Helvetica"/>
            <w:color w:val="auto"/>
            <w:sz w:val="22"/>
            <w:szCs w:val="22"/>
          </w:rPr>
          <w:t>https://bit.ly/3GUSFvJ</w:t>
        </w:r>
      </w:hyperlink>
      <w:r w:rsidRPr="001B7E14">
        <w:rPr>
          <w:rFonts w:ascii="Helvetica" w:eastAsiaTheme="minorHAnsi" w:hAnsi="Helvetica" w:cs="Helvetica"/>
          <w:sz w:val="22"/>
          <w:szCs w:val="22"/>
          <w:lang w:eastAsia="es-ES_tradnl"/>
        </w:rPr>
        <w:t>.</w:t>
      </w:r>
    </w:p>
    <w:p w14:paraId="0036B293" w14:textId="77777777" w:rsidR="0075712E" w:rsidRPr="001B7E14" w:rsidRDefault="00AD0693" w:rsidP="0075712E">
      <w:pPr>
        <w:numPr>
          <w:ilvl w:val="0"/>
          <w:numId w:val="31"/>
        </w:numPr>
        <w:ind w:left="284" w:hanging="284"/>
        <w:contextualSpacing/>
        <w:jc w:val="both"/>
        <w:rPr>
          <w:rFonts w:ascii="Helvetica" w:eastAsiaTheme="minorHAnsi" w:hAnsi="Helvetica" w:cs="Helvetica"/>
          <w:sz w:val="22"/>
          <w:szCs w:val="22"/>
          <w:lang w:eastAsia="es-ES_tradnl"/>
        </w:rPr>
      </w:pPr>
      <w:r w:rsidRPr="001B7E14">
        <w:rPr>
          <w:rFonts w:ascii="Helvetica" w:eastAsiaTheme="minorHAnsi" w:hAnsi="Helvetica" w:cs="Helvetica"/>
          <w:sz w:val="22"/>
          <w:szCs w:val="22"/>
          <w:lang w:eastAsia="es-ES_tradnl"/>
        </w:rPr>
        <w:t xml:space="preserve">Pantallazo de reporte al SECOP II. Sector Educación. Departamento de </w:t>
      </w:r>
      <w:r w:rsidR="00342952" w:rsidRPr="001B7E14">
        <w:rPr>
          <w:rFonts w:ascii="Helvetica" w:eastAsiaTheme="minorHAnsi" w:hAnsi="Helvetica" w:cs="Helvetica"/>
          <w:sz w:val="22"/>
          <w:szCs w:val="22"/>
          <w:lang w:eastAsia="es-ES_tradnl"/>
        </w:rPr>
        <w:t>Guainía</w:t>
      </w:r>
      <w:r w:rsidRPr="001B7E14">
        <w:rPr>
          <w:rFonts w:ascii="Helvetica" w:eastAsiaTheme="minorHAnsi" w:hAnsi="Helvetica" w:cs="Helvetica"/>
          <w:sz w:val="22"/>
          <w:szCs w:val="22"/>
          <w:lang w:eastAsia="es-ES_tradnl"/>
        </w:rPr>
        <w:t>. Serie "Historial de seguimiento y control a los recursos del Siste</w:t>
      </w:r>
      <w:r w:rsidR="0075712E" w:rsidRPr="001B7E14">
        <w:rPr>
          <w:rFonts w:ascii="Helvetica" w:eastAsiaTheme="minorHAnsi" w:hAnsi="Helvetica" w:cs="Helvetica"/>
          <w:sz w:val="22"/>
          <w:szCs w:val="22"/>
          <w:lang w:eastAsia="es-ES_tradnl"/>
        </w:rPr>
        <w:t xml:space="preserve">ma General de Participaciones </w:t>
      </w:r>
      <w:r w:rsidRPr="001B7E14">
        <w:rPr>
          <w:rFonts w:ascii="Helvetica" w:eastAsiaTheme="minorHAnsi" w:hAnsi="Helvetica" w:cs="Helvetica"/>
          <w:sz w:val="22"/>
          <w:szCs w:val="22"/>
          <w:lang w:eastAsia="es-ES_tradnl"/>
        </w:rPr>
        <w:t>Antecedentes de la medida". Expediente digital No. 135/2017/D028-PREDI. Enlace: </w:t>
      </w:r>
      <w:hyperlink r:id="rId28" w:tgtFrame="_blank" w:tooltip="https://bit.ly/3psmiu6" w:history="1">
        <w:r w:rsidRPr="001B7E14">
          <w:rPr>
            <w:rStyle w:val="Hipervnculo"/>
            <w:rFonts w:ascii="Helvetica" w:hAnsi="Helvetica" w:cs="Helvetica"/>
            <w:color w:val="auto"/>
            <w:sz w:val="22"/>
            <w:szCs w:val="22"/>
          </w:rPr>
          <w:t>https://bit.ly/3PSMIU6</w:t>
        </w:r>
      </w:hyperlink>
      <w:r w:rsidRPr="001B7E14">
        <w:rPr>
          <w:rFonts w:ascii="Helvetica" w:eastAsiaTheme="minorHAnsi" w:hAnsi="Helvetica" w:cs="Helvetica"/>
          <w:sz w:val="22"/>
          <w:szCs w:val="22"/>
          <w:lang w:eastAsia="es-ES_tradnl"/>
        </w:rPr>
        <w:t>.</w:t>
      </w:r>
    </w:p>
    <w:p w14:paraId="4D6D53CB" w14:textId="77777777" w:rsidR="004401E6" w:rsidRPr="001B7E14" w:rsidRDefault="004401E6" w:rsidP="0075712E">
      <w:pPr>
        <w:numPr>
          <w:ilvl w:val="0"/>
          <w:numId w:val="31"/>
        </w:numPr>
        <w:ind w:left="284" w:hanging="284"/>
        <w:contextualSpacing/>
        <w:jc w:val="both"/>
        <w:rPr>
          <w:rFonts w:ascii="Helvetica" w:eastAsiaTheme="minorHAnsi" w:hAnsi="Helvetica" w:cs="Helvetica"/>
          <w:sz w:val="22"/>
          <w:szCs w:val="22"/>
          <w:lang w:eastAsia="es-ES_tradnl"/>
        </w:rPr>
      </w:pPr>
      <w:r w:rsidRPr="001B7E14">
        <w:rPr>
          <w:rFonts w:ascii="Helvetica" w:eastAsiaTheme="minorHAnsi" w:hAnsi="Helvetica" w:cs="Helvetica"/>
          <w:sz w:val="22"/>
          <w:szCs w:val="22"/>
          <w:lang w:eastAsia="es-ES_tradnl"/>
        </w:rPr>
        <w:t>Pantallazo de reporte al SECOP II 2021 y 2022. Sector Educación. Departamento de Guainía. Serie "Historial de seguimiento y control a los recursos del Sistema General de Participaciones - Antecedentes de la medida". Expediente digital No. 135/2017/D028-PREDI. Enlace: </w:t>
      </w:r>
      <w:hyperlink r:id="rId29" w:history="1">
        <w:r w:rsidR="0075712E" w:rsidRPr="001B7E14">
          <w:rPr>
            <w:rStyle w:val="Hipervnculo"/>
            <w:rFonts w:ascii="Helvetica" w:eastAsiaTheme="minorHAnsi" w:hAnsi="Helvetica" w:cs="Helvetica"/>
            <w:sz w:val="22"/>
            <w:szCs w:val="22"/>
            <w:lang w:eastAsia="es-ES_tradnl"/>
          </w:rPr>
          <w:t>https://onx.la/41285</w:t>
        </w:r>
      </w:hyperlink>
    </w:p>
    <w:p w14:paraId="76347AE5" w14:textId="77777777" w:rsidR="0075712E" w:rsidRPr="001B7E14" w:rsidRDefault="0075712E" w:rsidP="0075712E">
      <w:pPr>
        <w:ind w:left="720"/>
        <w:contextualSpacing/>
        <w:jc w:val="both"/>
        <w:rPr>
          <w:rFonts w:ascii="Helvetica" w:eastAsiaTheme="minorHAnsi" w:hAnsi="Helvetica" w:cs="Helvetica"/>
          <w:sz w:val="22"/>
          <w:szCs w:val="22"/>
          <w:lang w:eastAsia="es-ES_tradnl"/>
        </w:rPr>
      </w:pPr>
    </w:p>
    <w:p w14:paraId="565B9DD9" w14:textId="77777777" w:rsidR="00AD0693" w:rsidRPr="001B7E14" w:rsidRDefault="00AD0693" w:rsidP="00FA42BB">
      <w:pPr>
        <w:pStyle w:val="Ttulo2"/>
        <w:spacing w:before="0"/>
        <w:jc w:val="both"/>
        <w:rPr>
          <w:rFonts w:ascii="Helvetica" w:hAnsi="Helvetica" w:cs="Helvetica"/>
          <w:b/>
          <w:bCs/>
          <w:i/>
          <w:color w:val="auto"/>
          <w:sz w:val="22"/>
          <w:szCs w:val="22"/>
          <w:lang w:val="es-CO"/>
        </w:rPr>
      </w:pPr>
      <w:r w:rsidRPr="001B7E14">
        <w:rPr>
          <w:rFonts w:ascii="Helvetica" w:hAnsi="Helvetica" w:cs="Helvetica"/>
          <w:b/>
          <w:bCs/>
          <w:i/>
          <w:color w:val="auto"/>
          <w:sz w:val="22"/>
          <w:szCs w:val="22"/>
          <w:lang w:val="es-CO"/>
        </w:rPr>
        <w:t xml:space="preserve">EVENTO DE RIESGO 9.17. </w:t>
      </w:r>
      <w:r w:rsidRPr="001B7E14">
        <w:rPr>
          <w:rFonts w:ascii="Helvetica" w:hAnsi="Helvetica" w:cs="Helvetica"/>
          <w:bCs/>
          <w:i/>
          <w:color w:val="auto"/>
          <w:sz w:val="22"/>
          <w:szCs w:val="22"/>
          <w:lang w:val="es-CO"/>
        </w:rPr>
        <w:t>“Suscripción, modificación o ejecución de contratos cuyo objeto o actividades contractuales no aseguren la prestación del servicio en las condiciones definidas por la normatividad vigente, no cumplan con los fines para los cuales están destinados los recursos, o no aseguren el cumplimiento de metas de continuidad, cobertura y calidad en los servicios”.</w:t>
      </w:r>
    </w:p>
    <w:p w14:paraId="13C37503" w14:textId="77777777" w:rsidR="00AD0693" w:rsidRPr="001B7E14" w:rsidRDefault="00AD0693" w:rsidP="00FA42BB">
      <w:pPr>
        <w:pStyle w:val="Sinespaciado"/>
        <w:jc w:val="both"/>
        <w:rPr>
          <w:rFonts w:ascii="Helvetica" w:hAnsi="Helvetica" w:cs="Helvetica"/>
        </w:rPr>
      </w:pPr>
    </w:p>
    <w:p w14:paraId="4C6CAC23" w14:textId="77777777" w:rsidR="00AD0693" w:rsidRPr="001B7E14" w:rsidRDefault="00AD0693" w:rsidP="00FA42BB">
      <w:pPr>
        <w:pStyle w:val="Ttulo"/>
        <w:numPr>
          <w:ilvl w:val="0"/>
          <w:numId w:val="32"/>
        </w:numPr>
        <w:rPr>
          <w:rFonts w:ascii="Helvetica" w:hAnsi="Helvetica" w:cs="Helvetica"/>
          <w:szCs w:val="22"/>
          <w:lang w:eastAsia="en-US"/>
        </w:rPr>
      </w:pPr>
      <w:r w:rsidRPr="001B7E14">
        <w:rPr>
          <w:rFonts w:ascii="Helvetica" w:hAnsi="Helvetica" w:cs="Helvetica"/>
          <w:szCs w:val="22"/>
          <w:lang w:eastAsia="en-US"/>
        </w:rPr>
        <w:t>Contratación extemporánea del servicio educativo.</w:t>
      </w:r>
    </w:p>
    <w:p w14:paraId="00148F77" w14:textId="77777777" w:rsidR="00AD0693" w:rsidRPr="001B7E14" w:rsidRDefault="00AD0693" w:rsidP="00FA42BB">
      <w:pPr>
        <w:jc w:val="both"/>
        <w:rPr>
          <w:rFonts w:ascii="Helvetica" w:eastAsiaTheme="minorHAnsi" w:hAnsi="Helvetica" w:cs="Helvetica"/>
          <w:sz w:val="22"/>
          <w:szCs w:val="22"/>
          <w:lang w:val="es-CO" w:eastAsia="es-ES_tradnl"/>
        </w:rPr>
      </w:pPr>
    </w:p>
    <w:p w14:paraId="2FD0660E"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En materia de contratación de la prestación del Servicio Educativo</w:t>
      </w:r>
      <w:r w:rsidR="00201FB0" w:rsidRPr="001B7E14">
        <w:rPr>
          <w:rFonts w:ascii="Helvetica" w:hAnsi="Helvetica" w:cs="Helvetica"/>
          <w:sz w:val="22"/>
          <w:szCs w:val="22"/>
          <w:lang w:val="es-CO"/>
        </w:rPr>
        <w:t>,</w:t>
      </w:r>
      <w:r w:rsidRPr="001B7E14">
        <w:rPr>
          <w:rFonts w:ascii="Helvetica" w:hAnsi="Helvetica" w:cs="Helvetica"/>
          <w:sz w:val="22"/>
          <w:szCs w:val="22"/>
          <w:lang w:val="es-CO"/>
        </w:rPr>
        <w:t xml:space="preserve"> el numeral 6 del artículo 2.3.1.3.1.4 del Decreto 1075 de 2015 estable</w:t>
      </w:r>
      <w:r w:rsidR="00E548B2" w:rsidRPr="001B7E14">
        <w:rPr>
          <w:rFonts w:ascii="Helvetica" w:hAnsi="Helvetica" w:cs="Helvetica"/>
          <w:sz w:val="22"/>
          <w:szCs w:val="22"/>
          <w:lang w:val="es-CO"/>
        </w:rPr>
        <w:t>ce</w:t>
      </w:r>
      <w:r w:rsidRPr="001B7E14">
        <w:rPr>
          <w:rFonts w:ascii="Helvetica" w:hAnsi="Helvetica" w:cs="Helvetica"/>
          <w:sz w:val="22"/>
          <w:szCs w:val="22"/>
          <w:lang w:val="es-CO"/>
        </w:rPr>
        <w:t xml:space="preserve"> la obligatoriedad de que las entidades territoriales garanticen el inicio de dicha contratación de forma simultánea con el calendario académico </w:t>
      </w:r>
      <w:r w:rsidR="00E548B2" w:rsidRPr="001B7E14">
        <w:rPr>
          <w:rFonts w:ascii="Helvetica" w:hAnsi="Helvetica" w:cs="Helvetica"/>
          <w:sz w:val="22"/>
          <w:szCs w:val="22"/>
          <w:lang w:val="es-CO"/>
        </w:rPr>
        <w:t xml:space="preserve">definido </w:t>
      </w:r>
      <w:r w:rsidRPr="001B7E14">
        <w:rPr>
          <w:rFonts w:ascii="Helvetica" w:hAnsi="Helvetica" w:cs="Helvetica"/>
          <w:sz w:val="22"/>
          <w:szCs w:val="22"/>
          <w:lang w:val="es-CO"/>
        </w:rPr>
        <w:t xml:space="preserve">para los establecimientos educativos oficiales de su jurisdicción. En este mismo sentido se han pronunciado las Directivas Ministeriales No. 11 del 07 de julio de 2005, 9 de 2008 y 24 de 2009, haciendo énfasis en la necesidad de que la planeación contractual de la prestación del Servicio Educativo sea preliminar al inicio del calendario académico. </w:t>
      </w:r>
    </w:p>
    <w:p w14:paraId="68E7E5CD" w14:textId="77777777" w:rsidR="00AD0693" w:rsidRPr="001B7E14" w:rsidRDefault="00AD0693" w:rsidP="00FA42BB">
      <w:pPr>
        <w:jc w:val="both"/>
        <w:rPr>
          <w:rFonts w:ascii="Helvetica" w:hAnsi="Helvetica" w:cs="Helvetica"/>
          <w:sz w:val="22"/>
          <w:szCs w:val="22"/>
          <w:lang w:val="es-CO"/>
        </w:rPr>
      </w:pPr>
    </w:p>
    <w:p w14:paraId="2367D239"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Adicionalmente, en concordancia con los artículos 2.4.3.4.1. 2.3.1.3.1.4. 2.3.1.3.2.12. y 2.3.1.3.2.13 del Decreto 1075 de 2015, los cuales establecen que se debe garantizar el cumplimiento de las 40 semanas lectivas obligatorias, la Resolución 1730 de 2004 y la Directiva No. 16 de 12 de junio de 2013 del Ministerio de Educación Nacional indican que la jornada escolar de los estudiantes deberá estar compuesta por 40 semanas lectivas de intensidades académicas mínimas de 20 horas en Preescolar, 25 horas en Primaria y 30 horas en Secundaria</w:t>
      </w:r>
      <w:r w:rsidR="00201FB0" w:rsidRPr="001B7E14">
        <w:rPr>
          <w:rFonts w:ascii="Helvetica" w:hAnsi="Helvetica" w:cs="Helvetica"/>
          <w:sz w:val="22"/>
          <w:szCs w:val="22"/>
          <w:lang w:val="es-CO"/>
        </w:rPr>
        <w:t>.</w:t>
      </w:r>
      <w:r w:rsidRPr="001B7E14">
        <w:rPr>
          <w:rFonts w:ascii="Helvetica" w:hAnsi="Helvetica" w:cs="Helvetica"/>
          <w:sz w:val="22"/>
          <w:szCs w:val="22"/>
          <w:lang w:val="es-CO"/>
        </w:rPr>
        <w:t xml:space="preserve"> </w:t>
      </w:r>
    </w:p>
    <w:p w14:paraId="60F8ABFF" w14:textId="77777777" w:rsidR="00AD0693" w:rsidRPr="001B7E14" w:rsidRDefault="00AD0693" w:rsidP="00FA42BB">
      <w:pPr>
        <w:jc w:val="both"/>
        <w:rPr>
          <w:rFonts w:ascii="Helvetica" w:hAnsi="Helvetica" w:cs="Helvetica"/>
          <w:sz w:val="22"/>
          <w:szCs w:val="22"/>
          <w:lang w:val="es-CO"/>
        </w:rPr>
      </w:pPr>
    </w:p>
    <w:p w14:paraId="3EEB46EE"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 xml:space="preserve">Ahora bien, mediante la Resolución No. 0999 del 27 de julio de 2017 </w:t>
      </w:r>
      <w:r w:rsidRPr="001B7E14">
        <w:rPr>
          <w:rFonts w:ascii="Helvetica" w:hAnsi="Helvetica" w:cs="Helvetica"/>
          <w:i/>
          <w:sz w:val="22"/>
          <w:szCs w:val="22"/>
          <w:lang w:val="es-CO"/>
        </w:rPr>
        <w:t xml:space="preserve">“Por la cual se modifica parcialmente la Resolución No. 1845 del 25 de octubre de 2016 calendario académico “A” y “A-1” para los establecimientos educativos oficiales y no oficiales de educación formal, que funcionan en las cinco (5) zonas escolares del Departamento de Guainía, modificado </w:t>
      </w:r>
      <w:r w:rsidRPr="001B7E14">
        <w:rPr>
          <w:rFonts w:ascii="Helvetica" w:hAnsi="Helvetica" w:cs="Helvetica"/>
          <w:i/>
          <w:sz w:val="22"/>
          <w:szCs w:val="22"/>
          <w:lang w:val="es-CO"/>
        </w:rPr>
        <w:lastRenderedPageBreak/>
        <w:t>por la Resolución No. 0873 del 30 de junio de 2017, para el año lectivo 2017”</w:t>
      </w:r>
      <w:r w:rsidRPr="001B7E14">
        <w:rPr>
          <w:rFonts w:ascii="Helvetica" w:hAnsi="Helvetica" w:cs="Helvetica"/>
          <w:sz w:val="22"/>
          <w:szCs w:val="22"/>
          <w:lang w:val="es-CO"/>
        </w:rPr>
        <w:t xml:space="preserve"> la Entidad Territorial estableció el calendario académico para la vigencia 2017, determinando el inicio de las actividades pedagógicas para el calendario académico A 1 – Rural el 6 de febrero y culminando el 10 de diciembre de 2017. </w:t>
      </w:r>
    </w:p>
    <w:p w14:paraId="630CE483" w14:textId="77777777" w:rsidR="00AD0693" w:rsidRPr="001B7E14" w:rsidRDefault="00AD0693" w:rsidP="00FA42BB">
      <w:pPr>
        <w:jc w:val="both"/>
        <w:rPr>
          <w:rFonts w:ascii="Helvetica" w:hAnsi="Helvetica" w:cs="Helvetica"/>
          <w:sz w:val="22"/>
          <w:szCs w:val="22"/>
          <w:lang w:val="es-CO"/>
        </w:rPr>
      </w:pPr>
    </w:p>
    <w:p w14:paraId="00A75D72" w14:textId="77777777" w:rsidR="00AD0693" w:rsidRPr="001B7E14" w:rsidRDefault="00AD0693" w:rsidP="00FA42BB">
      <w:pPr>
        <w:jc w:val="both"/>
        <w:rPr>
          <w:rFonts w:ascii="Helvetica" w:hAnsi="Helvetica" w:cs="Helvetica"/>
          <w:sz w:val="22"/>
          <w:szCs w:val="22"/>
          <w:shd w:val="clear" w:color="auto" w:fill="FFFFFF"/>
          <w:lang w:val="es-CO"/>
        </w:rPr>
      </w:pPr>
      <w:r w:rsidRPr="001B7E14">
        <w:rPr>
          <w:rFonts w:ascii="Helvetica" w:hAnsi="Helvetica" w:cs="Helvetica"/>
          <w:sz w:val="22"/>
          <w:szCs w:val="22"/>
          <w:lang w:val="es-CO"/>
        </w:rPr>
        <w:t xml:space="preserve">Sin embargo, el Departamento suscribió los </w:t>
      </w:r>
      <w:r w:rsidRPr="001B7E14">
        <w:rPr>
          <w:rFonts w:ascii="Helvetica" w:hAnsi="Helvetica" w:cs="Helvetica"/>
          <w:sz w:val="22"/>
          <w:szCs w:val="22"/>
          <w:shd w:val="clear" w:color="auto" w:fill="FFFFFF"/>
          <w:lang w:val="es-CO"/>
        </w:rPr>
        <w:t>contratos No. 392 de 2017 el 16 de marzo de 2017</w:t>
      </w:r>
      <w:r w:rsidRPr="001B7E14">
        <w:rPr>
          <w:rFonts w:ascii="Helvetica" w:hAnsi="Helvetica" w:cs="Helvetica"/>
          <w:sz w:val="22"/>
          <w:szCs w:val="22"/>
          <w:lang w:val="es-CO"/>
        </w:rPr>
        <w:t>,</w:t>
      </w:r>
      <w:r w:rsidRPr="001B7E14">
        <w:rPr>
          <w:rFonts w:ascii="Helvetica" w:hAnsi="Helvetica" w:cs="Helvetica"/>
          <w:sz w:val="22"/>
          <w:szCs w:val="22"/>
          <w:shd w:val="clear" w:color="auto" w:fill="FFFFFF"/>
          <w:lang w:val="es-CO"/>
        </w:rPr>
        <w:t xml:space="preserve"> para la Administración del servicio educativo de 1.384 estudiantes, por valor de $4.027 millones, y el contrato No. 326 el 21 de febrero de 2017 para la prestación del servicio educativo a 2.750 estudiantes por valor de $7.642 millones, que fueron financiados con recursos de la Participación de Educación del Sistema General de Participaciones.</w:t>
      </w:r>
    </w:p>
    <w:p w14:paraId="2FB88873" w14:textId="77777777" w:rsidR="00AD0693" w:rsidRPr="001B7E14" w:rsidRDefault="00AD0693" w:rsidP="00FA42BB">
      <w:pPr>
        <w:jc w:val="both"/>
        <w:rPr>
          <w:rFonts w:ascii="Helvetica" w:hAnsi="Helvetica" w:cs="Helvetica"/>
          <w:sz w:val="22"/>
          <w:szCs w:val="22"/>
          <w:shd w:val="clear" w:color="auto" w:fill="FFFFFF"/>
          <w:lang w:val="es-CO"/>
        </w:rPr>
      </w:pPr>
    </w:p>
    <w:p w14:paraId="555779CC" w14:textId="77777777" w:rsidR="00AD0693" w:rsidRPr="001B7E14" w:rsidRDefault="00AD0693" w:rsidP="00FA42BB">
      <w:pPr>
        <w:shd w:val="clear" w:color="auto" w:fill="FFFFFF"/>
        <w:jc w:val="both"/>
        <w:rPr>
          <w:rFonts w:ascii="Helvetica" w:hAnsi="Helvetica" w:cs="Helvetica"/>
          <w:sz w:val="22"/>
          <w:szCs w:val="22"/>
          <w:shd w:val="clear" w:color="auto" w:fill="FFFFFF"/>
          <w:lang w:val="es-CO"/>
        </w:rPr>
      </w:pPr>
      <w:r w:rsidRPr="001B7E14">
        <w:rPr>
          <w:rFonts w:ascii="Helvetica" w:hAnsi="Helvetica" w:cs="Helvetica"/>
          <w:sz w:val="22"/>
          <w:szCs w:val="22"/>
          <w:shd w:val="clear" w:color="auto" w:fill="FFFFFF"/>
          <w:lang w:val="es-CO"/>
        </w:rPr>
        <w:t>Asimismo, mediante la Resolución No. 1495 del 02 de octubre de 2019, la Entidad Territorial estableció el calendario académico para la vigencia 2020, determinando el inicio de las actividades académicas para calendario “A” periodos zonas 1, 2 y 5 parte baja del rio Guaviare el 27 de enero de 2020 y culminando el 29 de noviembre de 2020 y para calendario -1 periodo zonas 3,4 y 5 parte media y alta del rio Guaviare el 10 de febrero de 2020 y culminando el 29 de noviembre de 2020.</w:t>
      </w:r>
    </w:p>
    <w:p w14:paraId="17E85A2C" w14:textId="77777777" w:rsidR="00AD0693" w:rsidRPr="001B7E14" w:rsidRDefault="00AD0693" w:rsidP="00FA42BB">
      <w:pPr>
        <w:shd w:val="clear" w:color="auto" w:fill="FFFFFF"/>
        <w:jc w:val="both"/>
        <w:rPr>
          <w:rFonts w:ascii="Helvetica" w:hAnsi="Helvetica" w:cs="Helvetica"/>
          <w:sz w:val="22"/>
          <w:szCs w:val="22"/>
          <w:shd w:val="clear" w:color="auto" w:fill="FFFFFF"/>
          <w:lang w:val="es-CO"/>
        </w:rPr>
      </w:pPr>
    </w:p>
    <w:p w14:paraId="47D7F7B1" w14:textId="77777777" w:rsidR="00AD0693" w:rsidRPr="001B7E14" w:rsidRDefault="00AD0693" w:rsidP="00FA42BB">
      <w:pPr>
        <w:shd w:val="clear" w:color="auto" w:fill="FFFFFF"/>
        <w:jc w:val="both"/>
        <w:rPr>
          <w:rFonts w:ascii="Helvetica" w:hAnsi="Helvetica" w:cs="Helvetica"/>
          <w:sz w:val="22"/>
          <w:szCs w:val="22"/>
          <w:shd w:val="clear" w:color="auto" w:fill="FFFFFF"/>
          <w:lang w:val="es-CO"/>
        </w:rPr>
      </w:pPr>
      <w:r w:rsidRPr="001B7E14">
        <w:rPr>
          <w:rFonts w:ascii="Helvetica" w:hAnsi="Helvetica" w:cs="Helvetica"/>
          <w:sz w:val="22"/>
          <w:szCs w:val="22"/>
          <w:shd w:val="clear" w:color="auto" w:fill="FFFFFF"/>
          <w:lang w:val="es-CO"/>
        </w:rPr>
        <w:t>Sin embargo, durante la vigencia 2020, según el Formulario Único de Contratación – FUC y la minuta contractual, el Departamento inició los contratos No. 343 de 2020 el 28 de febrero de 2020, para la Administración del servicio educativo de 3.509 estudiantes, por valor de $13.105 millones, y el contrato No. 481 de 2020 el 22 de mayo de 2020 para la prestación del servicio educativo a 179 estudiantes por valor de $610 millones, que fueron financiados con recursos de la Participación de Educación del Sistema General de Participaciones.</w:t>
      </w:r>
    </w:p>
    <w:p w14:paraId="4346137F" w14:textId="77777777" w:rsidR="00AD0693" w:rsidRPr="001B7E14" w:rsidRDefault="00AD0693" w:rsidP="00FA42BB">
      <w:pPr>
        <w:shd w:val="clear" w:color="auto" w:fill="FFFFFF"/>
        <w:jc w:val="both"/>
        <w:rPr>
          <w:rFonts w:ascii="Helvetica" w:hAnsi="Helvetica" w:cs="Helvetica"/>
          <w:sz w:val="22"/>
          <w:szCs w:val="22"/>
          <w:shd w:val="clear" w:color="auto" w:fill="FFFFFF"/>
          <w:lang w:val="es-CO"/>
        </w:rPr>
      </w:pPr>
    </w:p>
    <w:p w14:paraId="7266D2F0" w14:textId="77777777" w:rsidR="00AD0693" w:rsidRPr="001B7E14" w:rsidRDefault="00AD0693" w:rsidP="00FA42BB">
      <w:pPr>
        <w:shd w:val="clear" w:color="auto" w:fill="FFFFFF"/>
        <w:jc w:val="both"/>
        <w:rPr>
          <w:rFonts w:ascii="Helvetica" w:hAnsi="Helvetica" w:cs="Helvetica"/>
          <w:sz w:val="22"/>
          <w:szCs w:val="22"/>
          <w:shd w:val="clear" w:color="auto" w:fill="FFFFFF"/>
          <w:lang w:val="es-CO"/>
        </w:rPr>
      </w:pPr>
      <w:r w:rsidRPr="001B7E14">
        <w:rPr>
          <w:rFonts w:ascii="Helvetica" w:hAnsi="Helvetica" w:cs="Helvetica"/>
          <w:sz w:val="22"/>
          <w:szCs w:val="22"/>
          <w:shd w:val="clear" w:color="auto" w:fill="FFFFFF"/>
          <w:lang w:val="es-CO"/>
        </w:rPr>
        <w:t>De igual manera, mediante la Resolución No. 0882 del 15 de octubre de 2020, la Entidad Territorial estableció el calendario académico para la vigencia 2021, determinando el inicio de las actividades académicas para calendario “A” periodos zonas 1, 2 y 5</w:t>
      </w:r>
      <w:r w:rsidR="00507D31" w:rsidRPr="001B7E14">
        <w:rPr>
          <w:rFonts w:ascii="Helvetica" w:hAnsi="Helvetica" w:cs="Helvetica"/>
          <w:sz w:val="22"/>
          <w:szCs w:val="22"/>
          <w:shd w:val="clear" w:color="auto" w:fill="FFFFFF"/>
          <w:lang w:val="es-CO"/>
        </w:rPr>
        <w:t xml:space="preserve"> </w:t>
      </w:r>
      <w:r w:rsidRPr="001B7E14">
        <w:rPr>
          <w:rFonts w:ascii="Helvetica" w:hAnsi="Helvetica" w:cs="Helvetica"/>
          <w:sz w:val="22"/>
          <w:szCs w:val="22"/>
          <w:shd w:val="clear" w:color="auto" w:fill="FFFFFF"/>
          <w:lang w:val="es-CO"/>
        </w:rPr>
        <w:t>parte baja del rio Guaviare el 25 de enero de 2021 y culminando el 28 de noviembre de 2021 y para calendario -1 periodo zonas 3,4 y 5 parte media y alta del rio Guaviare el 01 de febrero de 2021 y culminando el 21 de noviembre de 2020.</w:t>
      </w:r>
    </w:p>
    <w:p w14:paraId="6DB73F4A" w14:textId="77777777" w:rsidR="00AD0693" w:rsidRPr="001B7E14" w:rsidRDefault="00AD0693" w:rsidP="00FA42BB">
      <w:pPr>
        <w:shd w:val="clear" w:color="auto" w:fill="FFFFFF"/>
        <w:jc w:val="both"/>
        <w:rPr>
          <w:rFonts w:ascii="Helvetica" w:hAnsi="Helvetica" w:cs="Helvetica"/>
          <w:sz w:val="22"/>
          <w:szCs w:val="22"/>
          <w:shd w:val="clear" w:color="auto" w:fill="FFFFFF"/>
          <w:lang w:val="es-CO"/>
        </w:rPr>
      </w:pPr>
    </w:p>
    <w:p w14:paraId="2A03EEB3" w14:textId="77777777" w:rsidR="00AD0693" w:rsidRPr="001B7E14" w:rsidRDefault="00AD0693" w:rsidP="00FA42BB">
      <w:pPr>
        <w:shd w:val="clear" w:color="auto" w:fill="FFFFFF"/>
        <w:jc w:val="both"/>
        <w:rPr>
          <w:rFonts w:ascii="Helvetica" w:hAnsi="Helvetica" w:cs="Helvetica"/>
          <w:sz w:val="22"/>
          <w:szCs w:val="22"/>
          <w:shd w:val="clear" w:color="auto" w:fill="FFFFFF"/>
          <w:lang w:val="es-CO"/>
        </w:rPr>
      </w:pPr>
      <w:r w:rsidRPr="001B7E14">
        <w:rPr>
          <w:rFonts w:ascii="Helvetica" w:hAnsi="Helvetica" w:cs="Helvetica"/>
          <w:sz w:val="22"/>
          <w:szCs w:val="22"/>
          <w:shd w:val="clear" w:color="auto" w:fill="FFFFFF"/>
          <w:lang w:val="es-CO"/>
        </w:rPr>
        <w:t>Asimismo, durante la vigencia 2021, según el Formulario Único de Contratación – FUC y la minuta contractual, el Departamento inició los contratos No. 471 de 2021 el 08 de marzo de 2021, para la Administración del servicio educativo de 3.566 estudiantes, por valor de $13.819 millones, y el contrato No. 558 de 2021 el 15 de abril de 2021 para la prestación del servicio educativo a 434 estudiantes por valor de $1.541 millones, que fueron financiados con recursos de la Participación de Educación del Sistema General de Participaciones.</w:t>
      </w:r>
    </w:p>
    <w:p w14:paraId="73E90365" w14:textId="77777777" w:rsidR="00E71C3E" w:rsidRPr="001B7E14" w:rsidRDefault="00E71C3E" w:rsidP="00FA42BB">
      <w:pPr>
        <w:shd w:val="clear" w:color="auto" w:fill="FFFFFF"/>
        <w:jc w:val="both"/>
        <w:rPr>
          <w:rFonts w:ascii="Helvetica" w:hAnsi="Helvetica" w:cs="Helvetica"/>
          <w:sz w:val="22"/>
          <w:szCs w:val="22"/>
          <w:shd w:val="clear" w:color="auto" w:fill="FFFFFF"/>
          <w:lang w:val="es-CO"/>
        </w:rPr>
      </w:pPr>
    </w:p>
    <w:p w14:paraId="4D3426A3" w14:textId="77777777" w:rsidR="00E71C3E" w:rsidRPr="001B7E14" w:rsidRDefault="00E71C3E" w:rsidP="003F1AA8">
      <w:pPr>
        <w:jc w:val="both"/>
        <w:rPr>
          <w:rFonts w:ascii="Helvetica" w:hAnsi="Helvetica" w:cs="Helvetica"/>
          <w:sz w:val="22"/>
          <w:szCs w:val="22"/>
          <w:shd w:val="clear" w:color="auto" w:fill="FFFFFF"/>
          <w:lang w:val="es-CO"/>
        </w:rPr>
      </w:pPr>
      <w:r w:rsidRPr="001B7E14">
        <w:rPr>
          <w:rFonts w:ascii="Helvetica" w:hAnsi="Helvetica" w:cs="Helvetica"/>
          <w:sz w:val="22"/>
          <w:szCs w:val="22"/>
          <w:shd w:val="clear" w:color="auto" w:fill="FFFFFF"/>
          <w:lang w:val="es-CO"/>
        </w:rPr>
        <w:lastRenderedPageBreak/>
        <w:t>Del mismo modo, en el transc</w:t>
      </w:r>
      <w:r w:rsidR="004401E6" w:rsidRPr="001B7E14">
        <w:rPr>
          <w:rFonts w:ascii="Helvetica" w:hAnsi="Helvetica" w:cs="Helvetica"/>
          <w:sz w:val="22"/>
          <w:szCs w:val="22"/>
          <w:shd w:val="clear" w:color="auto" w:fill="FFFFFF"/>
          <w:lang w:val="es-CO"/>
        </w:rPr>
        <w:t>urso de la vigencia 2022, de acuerdo con</w:t>
      </w:r>
      <w:r w:rsidRPr="001B7E14">
        <w:rPr>
          <w:rFonts w:ascii="Helvetica" w:hAnsi="Helvetica" w:cs="Helvetica"/>
          <w:sz w:val="22"/>
          <w:szCs w:val="22"/>
          <w:shd w:val="clear" w:color="auto" w:fill="FFFFFF"/>
          <w:lang w:val="es-CO"/>
        </w:rPr>
        <w:t xml:space="preserve"> reporte del FUC, la Gobernación suscribió el contrato No. 573 de 2022 el </w:t>
      </w:r>
      <w:r w:rsidR="001B226B" w:rsidRPr="001B7E14">
        <w:rPr>
          <w:rFonts w:ascii="Helvetica" w:hAnsi="Helvetica" w:cs="Helvetica"/>
          <w:sz w:val="22"/>
          <w:szCs w:val="22"/>
          <w:shd w:val="clear" w:color="auto" w:fill="FFFFFF"/>
          <w:lang w:val="es-CO"/>
        </w:rPr>
        <w:t>28</w:t>
      </w:r>
      <w:r w:rsidRPr="001B7E14">
        <w:rPr>
          <w:rFonts w:ascii="Helvetica" w:hAnsi="Helvetica" w:cs="Helvetica"/>
          <w:sz w:val="22"/>
          <w:szCs w:val="22"/>
          <w:shd w:val="clear" w:color="auto" w:fill="FFFFFF"/>
          <w:lang w:val="es-CO"/>
        </w:rPr>
        <w:t xml:space="preserve"> de </w:t>
      </w:r>
      <w:r w:rsidR="001B226B" w:rsidRPr="001B7E14">
        <w:rPr>
          <w:rFonts w:ascii="Helvetica" w:hAnsi="Helvetica" w:cs="Helvetica"/>
          <w:sz w:val="22"/>
          <w:szCs w:val="22"/>
          <w:shd w:val="clear" w:color="auto" w:fill="FFFFFF"/>
          <w:lang w:val="es-CO"/>
        </w:rPr>
        <w:t>enero</w:t>
      </w:r>
      <w:r w:rsidRPr="001B7E14">
        <w:rPr>
          <w:rFonts w:ascii="Helvetica" w:hAnsi="Helvetica" w:cs="Helvetica"/>
          <w:sz w:val="22"/>
          <w:szCs w:val="22"/>
          <w:shd w:val="clear" w:color="auto" w:fill="FFFFFF"/>
          <w:lang w:val="es-CO"/>
        </w:rPr>
        <w:t xml:space="preserve"> de 2022,</w:t>
      </w:r>
      <w:r w:rsidR="007940D5" w:rsidRPr="001B7E14">
        <w:rPr>
          <w:rFonts w:ascii="Helvetica" w:hAnsi="Helvetica" w:cs="Helvetica"/>
          <w:sz w:val="22"/>
          <w:szCs w:val="22"/>
          <w:shd w:val="clear" w:color="auto" w:fill="FFFFFF"/>
          <w:lang w:val="es-CO"/>
        </w:rPr>
        <w:t xml:space="preserve"> con una fecha de inicio del 10 de febrero,</w:t>
      </w:r>
      <w:r w:rsidRPr="001B7E14">
        <w:rPr>
          <w:rFonts w:ascii="Helvetica" w:hAnsi="Helvetica" w:cs="Helvetica"/>
          <w:sz w:val="22"/>
          <w:szCs w:val="22"/>
          <w:shd w:val="clear" w:color="auto" w:fill="FFFFFF"/>
          <w:lang w:val="es-CO"/>
        </w:rPr>
        <w:t xml:space="preserve"> para la Administración del Servicio Educativo de 819 estudiantes por valor de 2.936 millones; </w:t>
      </w:r>
      <w:r w:rsidR="0079746C">
        <w:rPr>
          <w:rFonts w:ascii="Helvetica" w:hAnsi="Helvetica" w:cs="Helvetica"/>
          <w:sz w:val="22"/>
          <w:szCs w:val="22"/>
          <w:shd w:val="clear" w:color="auto" w:fill="FFFFFF"/>
          <w:lang w:val="es-CO"/>
        </w:rPr>
        <w:t xml:space="preserve">así mismo suscribió </w:t>
      </w:r>
      <w:r w:rsidRPr="001B7E14">
        <w:rPr>
          <w:rFonts w:ascii="Helvetica" w:hAnsi="Helvetica" w:cs="Helvetica"/>
          <w:sz w:val="22"/>
          <w:szCs w:val="22"/>
          <w:shd w:val="clear" w:color="auto" w:fill="FFFFFF"/>
          <w:lang w:val="es-CO"/>
        </w:rPr>
        <w:t xml:space="preserve">el contrato No. 610 de 2022 el </w:t>
      </w:r>
      <w:r w:rsidR="001B226B" w:rsidRPr="001B7E14">
        <w:rPr>
          <w:rFonts w:ascii="Helvetica" w:hAnsi="Helvetica" w:cs="Helvetica"/>
          <w:sz w:val="22"/>
          <w:szCs w:val="22"/>
          <w:shd w:val="clear" w:color="auto" w:fill="FFFFFF"/>
          <w:lang w:val="es-CO"/>
        </w:rPr>
        <w:t>2</w:t>
      </w:r>
      <w:r w:rsidRPr="001B7E14">
        <w:rPr>
          <w:rFonts w:ascii="Helvetica" w:hAnsi="Helvetica" w:cs="Helvetica"/>
          <w:sz w:val="22"/>
          <w:szCs w:val="22"/>
          <w:shd w:val="clear" w:color="auto" w:fill="FFFFFF"/>
          <w:lang w:val="es-CO"/>
        </w:rPr>
        <w:t xml:space="preserve">8 de </w:t>
      </w:r>
      <w:r w:rsidR="001B226B" w:rsidRPr="001B7E14">
        <w:rPr>
          <w:rFonts w:ascii="Helvetica" w:hAnsi="Helvetica" w:cs="Helvetica"/>
          <w:sz w:val="22"/>
          <w:szCs w:val="22"/>
          <w:shd w:val="clear" w:color="auto" w:fill="FFFFFF"/>
          <w:lang w:val="es-CO"/>
        </w:rPr>
        <w:t>enero</w:t>
      </w:r>
      <w:r w:rsidRPr="001B7E14">
        <w:rPr>
          <w:rFonts w:ascii="Helvetica" w:hAnsi="Helvetica" w:cs="Helvetica"/>
          <w:sz w:val="22"/>
          <w:szCs w:val="22"/>
          <w:shd w:val="clear" w:color="auto" w:fill="FFFFFF"/>
          <w:lang w:val="es-CO"/>
        </w:rPr>
        <w:t xml:space="preserve"> de 2022, </w:t>
      </w:r>
      <w:r w:rsidR="007940D5" w:rsidRPr="001B7E14">
        <w:rPr>
          <w:rFonts w:ascii="Helvetica" w:hAnsi="Helvetica" w:cs="Helvetica"/>
          <w:sz w:val="22"/>
          <w:szCs w:val="22"/>
          <w:shd w:val="clear" w:color="auto" w:fill="FFFFFF"/>
          <w:lang w:val="es-CO"/>
        </w:rPr>
        <w:t xml:space="preserve">con fecha de inicio del 08 de febrero de 2022, </w:t>
      </w:r>
      <w:r w:rsidRPr="001B7E14">
        <w:rPr>
          <w:rFonts w:ascii="Helvetica" w:hAnsi="Helvetica" w:cs="Helvetica"/>
          <w:sz w:val="22"/>
          <w:szCs w:val="22"/>
          <w:shd w:val="clear" w:color="auto" w:fill="FFFFFF"/>
          <w:lang w:val="es-CO"/>
        </w:rPr>
        <w:t>para la Administración del Servicio Educativo de 4.04</w:t>
      </w:r>
      <w:r w:rsidR="001B226B" w:rsidRPr="001B7E14">
        <w:rPr>
          <w:rFonts w:ascii="Helvetica" w:hAnsi="Helvetica" w:cs="Helvetica"/>
          <w:sz w:val="22"/>
          <w:szCs w:val="22"/>
          <w:shd w:val="clear" w:color="auto" w:fill="FFFFFF"/>
          <w:lang w:val="es-CO"/>
        </w:rPr>
        <w:t>5 estudiantes por valor de 16.715</w:t>
      </w:r>
      <w:r w:rsidRPr="001B7E14">
        <w:rPr>
          <w:rFonts w:ascii="Helvetica" w:hAnsi="Helvetica" w:cs="Helvetica"/>
          <w:sz w:val="22"/>
          <w:szCs w:val="22"/>
          <w:shd w:val="clear" w:color="auto" w:fill="FFFFFF"/>
          <w:lang w:val="es-CO"/>
        </w:rPr>
        <w:t xml:space="preserve"> millones de pesos. Los contratos fueron costeados con recursos de la Participación de Educación del Sistema General de Participaciones.</w:t>
      </w:r>
    </w:p>
    <w:p w14:paraId="64BB193F" w14:textId="77777777" w:rsidR="00E71C3E" w:rsidRPr="001B7E14" w:rsidRDefault="00E71C3E" w:rsidP="003F1AA8">
      <w:pPr>
        <w:jc w:val="both"/>
        <w:rPr>
          <w:rFonts w:ascii="Helvetica" w:hAnsi="Helvetica" w:cs="Helvetica"/>
          <w:sz w:val="22"/>
          <w:szCs w:val="22"/>
          <w:shd w:val="clear" w:color="auto" w:fill="FFFFFF"/>
          <w:lang w:val="es-CO"/>
        </w:rPr>
      </w:pPr>
    </w:p>
    <w:p w14:paraId="78C48483" w14:textId="77777777" w:rsidR="00E71C3E" w:rsidRPr="001B7E14" w:rsidRDefault="00E71C3E" w:rsidP="003F1AA8">
      <w:pPr>
        <w:jc w:val="both"/>
        <w:rPr>
          <w:rFonts w:ascii="Helvetica" w:hAnsi="Helvetica" w:cs="Helvetica"/>
          <w:sz w:val="22"/>
          <w:szCs w:val="22"/>
          <w:shd w:val="clear" w:color="auto" w:fill="FFFFFF"/>
          <w:lang w:val="es-CO"/>
        </w:rPr>
      </w:pPr>
      <w:r w:rsidRPr="001B7E14">
        <w:rPr>
          <w:rFonts w:ascii="Helvetica" w:hAnsi="Helvetica" w:cs="Helvetica"/>
          <w:sz w:val="22"/>
          <w:szCs w:val="22"/>
          <w:shd w:val="clear" w:color="auto" w:fill="FFFFFF"/>
          <w:lang w:val="es-CO"/>
        </w:rPr>
        <w:t>A su vez, la Entidad Territorial expidió la Resolución No. 1541 del 29 de octubre de 2021, por el cuál estableció el calendario académico para el año 2022 e instaura el comienzo de las actividades de desarrollo institucional para calendario “A” periodos zonas 1, 2 y 5 parte baja del rio Guaviare y para calendario -1 periodo zonas 3,4 y 5 parte media y alta del rio Guaviare el 31 de enero de 2022 y ultimando el 27 de noviembre de 2022.</w:t>
      </w:r>
    </w:p>
    <w:p w14:paraId="261C94BF" w14:textId="77777777" w:rsidR="00AD0693" w:rsidRPr="001B7E14" w:rsidRDefault="00AD0693" w:rsidP="00FA42BB">
      <w:pPr>
        <w:jc w:val="both"/>
        <w:rPr>
          <w:rFonts w:ascii="Helvetica" w:hAnsi="Helvetica" w:cs="Helvetica"/>
          <w:sz w:val="22"/>
          <w:szCs w:val="22"/>
          <w:shd w:val="clear" w:color="auto" w:fill="FFFFFF"/>
          <w:lang w:val="es-CO"/>
        </w:rPr>
      </w:pPr>
    </w:p>
    <w:p w14:paraId="3183204E"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Por lo anterior, la suscripción tardía de estos contratos del servicio educativo no cumple con el inicio oportuno del calendario académico y por ende no garantiza el cumplimiento de las 40 semanas lectivas obligatorias, dejando en desventaja a los alumnos atendidos mediante la contratación del servicio, frente a aquellos atendidos por docentes oficiales en el Departamento.</w:t>
      </w:r>
    </w:p>
    <w:p w14:paraId="0E7B1DAA" w14:textId="77777777" w:rsidR="00AD0693" w:rsidRPr="001B7E14" w:rsidRDefault="00AD0693" w:rsidP="00FA42BB">
      <w:pPr>
        <w:jc w:val="both"/>
        <w:rPr>
          <w:rFonts w:ascii="Helvetica" w:hAnsi="Helvetica" w:cs="Helvetica"/>
          <w:sz w:val="22"/>
          <w:szCs w:val="22"/>
          <w:lang w:val="es-CO"/>
        </w:rPr>
      </w:pPr>
    </w:p>
    <w:p w14:paraId="242DC79E" w14:textId="77777777" w:rsidR="00AD0693" w:rsidRPr="001B7E14" w:rsidRDefault="00AD0693" w:rsidP="00FA42BB">
      <w:pPr>
        <w:jc w:val="both"/>
        <w:rPr>
          <w:rFonts w:ascii="Helvetica" w:hAnsi="Helvetica" w:cs="Helvetica"/>
          <w:sz w:val="22"/>
          <w:szCs w:val="22"/>
          <w:lang w:val="es-CO"/>
        </w:rPr>
      </w:pPr>
      <w:r w:rsidRPr="001B7E14">
        <w:rPr>
          <w:rFonts w:ascii="Helvetica" w:eastAsia="Calibri" w:hAnsi="Helvetica" w:cs="Helvetica"/>
          <w:b/>
          <w:sz w:val="22"/>
          <w:szCs w:val="22"/>
          <w:lang w:val="es-CO"/>
        </w:rPr>
        <w:t xml:space="preserve">Evidencia: </w:t>
      </w:r>
      <w:r w:rsidRPr="001B7E14">
        <w:rPr>
          <w:rFonts w:ascii="Helvetica" w:hAnsi="Helvetica" w:cs="Helvetica"/>
          <w:sz w:val="22"/>
          <w:szCs w:val="22"/>
          <w:lang w:val="es-CO"/>
        </w:rPr>
        <w:t>Obra en el expediente el siguiente material probatorio:</w:t>
      </w:r>
    </w:p>
    <w:p w14:paraId="0B4FCF78" w14:textId="77777777" w:rsidR="00AD0693" w:rsidRPr="001B7E14" w:rsidRDefault="00AD0693" w:rsidP="00FA42BB">
      <w:pPr>
        <w:numPr>
          <w:ilvl w:val="0"/>
          <w:numId w:val="31"/>
        </w:numPr>
        <w:ind w:left="284" w:hanging="284"/>
        <w:contextualSpacing/>
        <w:jc w:val="both"/>
        <w:rPr>
          <w:rFonts w:ascii="Helvetica" w:hAnsi="Helvetica" w:cs="Helvetica"/>
          <w:sz w:val="22"/>
          <w:szCs w:val="22"/>
          <w:lang w:val="es-CO"/>
        </w:rPr>
      </w:pPr>
      <w:r w:rsidRPr="001B7E14">
        <w:rPr>
          <w:rFonts w:ascii="Helvetica" w:hAnsi="Helvetica" w:cs="Helvetica"/>
          <w:sz w:val="22"/>
          <w:szCs w:val="22"/>
          <w:lang w:val="es-CO"/>
        </w:rPr>
        <w:t>Resolución No. 0999 del 27 de julio de 2017. (Carpeta de antecedentes No. 1- Departamento de Guainía. Sector Educación, medio magnético, CD No. 1 Referencia cruzada folio 7).</w:t>
      </w:r>
    </w:p>
    <w:p w14:paraId="0FD6E49F" w14:textId="77777777" w:rsidR="00AD0693" w:rsidRPr="001B7E14" w:rsidRDefault="00AD0693" w:rsidP="00FA42BB">
      <w:pPr>
        <w:numPr>
          <w:ilvl w:val="0"/>
          <w:numId w:val="31"/>
        </w:numPr>
        <w:ind w:left="284" w:hanging="284"/>
        <w:contextualSpacing/>
        <w:jc w:val="both"/>
        <w:rPr>
          <w:rFonts w:ascii="Helvetica" w:hAnsi="Helvetica" w:cs="Helvetica"/>
          <w:sz w:val="22"/>
          <w:szCs w:val="22"/>
          <w:lang w:val="es-CO"/>
        </w:rPr>
      </w:pPr>
      <w:r w:rsidRPr="001B7E14">
        <w:rPr>
          <w:rFonts w:ascii="Helvetica" w:hAnsi="Helvetica" w:cs="Helvetica"/>
          <w:sz w:val="22"/>
          <w:szCs w:val="22"/>
          <w:lang w:val="es-CO"/>
        </w:rPr>
        <w:t>Reporte FUC de Guainía 2017. (Carpeta de antecedentes No. 1- Departamento de Guainía, Sector Educación, medio magnético, CD No. 1 Referencia cruzada folio 7).</w:t>
      </w:r>
    </w:p>
    <w:p w14:paraId="420D59D0" w14:textId="77777777" w:rsidR="00AD0693" w:rsidRPr="001B7E14" w:rsidRDefault="00AD0693" w:rsidP="00FA42BB">
      <w:pPr>
        <w:numPr>
          <w:ilvl w:val="0"/>
          <w:numId w:val="31"/>
        </w:numPr>
        <w:ind w:left="284" w:hanging="284"/>
        <w:contextualSpacing/>
        <w:jc w:val="both"/>
        <w:rPr>
          <w:rFonts w:ascii="Helvetica" w:hAnsi="Helvetica" w:cs="Helvetica"/>
          <w:sz w:val="22"/>
          <w:szCs w:val="22"/>
          <w:lang w:val="es-CO"/>
        </w:rPr>
      </w:pPr>
      <w:r w:rsidRPr="001B7E14">
        <w:rPr>
          <w:rFonts w:ascii="Helvetica" w:hAnsi="Helvetica" w:cs="Helvetica"/>
          <w:sz w:val="22"/>
          <w:szCs w:val="22"/>
          <w:lang w:val="es-CO"/>
        </w:rPr>
        <w:t>Contrato No.326 del 21 de febrero de 2017(Carpeta de antecedentes No. 1- Departamento de Guainía, Sector Educación, medio magnético, CD No. 1 Referencia cruzada folio 7).</w:t>
      </w:r>
    </w:p>
    <w:p w14:paraId="153B674B" w14:textId="77777777" w:rsidR="00AD0693" w:rsidRPr="001B7E14" w:rsidRDefault="00AD0693" w:rsidP="00FA42BB">
      <w:pPr>
        <w:numPr>
          <w:ilvl w:val="0"/>
          <w:numId w:val="31"/>
        </w:numPr>
        <w:ind w:left="284" w:hanging="284"/>
        <w:contextualSpacing/>
        <w:jc w:val="both"/>
        <w:rPr>
          <w:rFonts w:ascii="Helvetica" w:hAnsi="Helvetica" w:cs="Helvetica"/>
          <w:sz w:val="22"/>
          <w:szCs w:val="22"/>
          <w:lang w:val="es-CO"/>
        </w:rPr>
      </w:pPr>
      <w:r w:rsidRPr="001B7E14">
        <w:rPr>
          <w:rFonts w:ascii="Helvetica" w:hAnsi="Helvetica" w:cs="Helvetica"/>
          <w:sz w:val="22"/>
          <w:szCs w:val="22"/>
          <w:shd w:val="clear" w:color="auto" w:fill="FFFFFF"/>
          <w:lang w:val="es-CO"/>
        </w:rPr>
        <w:t>Resolución No. 1495 del 02 de octubre de 2019.</w:t>
      </w:r>
      <w:r w:rsidRPr="001B7E14">
        <w:rPr>
          <w:rFonts w:ascii="Helvetica" w:hAnsi="Helvetica" w:cs="Helvetica"/>
          <w:sz w:val="22"/>
          <w:szCs w:val="22"/>
          <w:shd w:val="clear" w:color="auto" w:fill="FFFFFF"/>
        </w:rPr>
        <w:t xml:space="preserve">Sector Educación. Departamento de </w:t>
      </w:r>
      <w:r w:rsidR="00342952" w:rsidRPr="001B7E14">
        <w:rPr>
          <w:rFonts w:ascii="Helvetica" w:hAnsi="Helvetica" w:cs="Helvetica"/>
          <w:sz w:val="22"/>
          <w:szCs w:val="22"/>
          <w:shd w:val="clear" w:color="auto" w:fill="FFFFFF"/>
        </w:rPr>
        <w:t>Guainía</w:t>
      </w:r>
      <w:r w:rsidRPr="001B7E14">
        <w:rPr>
          <w:rFonts w:ascii="Helvetica" w:hAnsi="Helvetica" w:cs="Helvetica"/>
          <w:sz w:val="22"/>
          <w:szCs w:val="22"/>
          <w:shd w:val="clear" w:color="auto" w:fill="FFFFFF"/>
        </w:rPr>
        <w:t xml:space="preserve">. Serie "Historial de seguimiento y control a los recursos del Sistema General de Participaciones - Antecedentes de la medida". Expediente digital No. 135/2017/D028-PREDI, radicado 1-2021-104463 22 de noviembre 2021. Enlace: </w:t>
      </w:r>
      <w:hyperlink r:id="rId30" w:tgtFrame="_blank" w:tooltip="https://bit.ly/3zgiule" w:history="1">
        <w:r w:rsidRPr="001B7E14">
          <w:rPr>
            <w:rStyle w:val="Hipervnculo"/>
            <w:rFonts w:ascii="Helvetica" w:hAnsi="Helvetica" w:cs="Helvetica"/>
            <w:color w:val="auto"/>
            <w:sz w:val="22"/>
            <w:szCs w:val="22"/>
            <w:shd w:val="clear" w:color="auto" w:fill="FFFFFF"/>
          </w:rPr>
          <w:t>https://bit.ly/3zgiULe</w:t>
        </w:r>
      </w:hyperlink>
      <w:r w:rsidRPr="001B7E14">
        <w:rPr>
          <w:rFonts w:ascii="Helvetica" w:hAnsi="Helvetica" w:cs="Helvetica"/>
          <w:sz w:val="22"/>
          <w:szCs w:val="22"/>
        </w:rPr>
        <w:t>.</w:t>
      </w:r>
    </w:p>
    <w:p w14:paraId="22F65CD9" w14:textId="77777777" w:rsidR="00AD0693" w:rsidRPr="001B7E14" w:rsidRDefault="00AD0693" w:rsidP="00FA42BB">
      <w:pPr>
        <w:numPr>
          <w:ilvl w:val="0"/>
          <w:numId w:val="31"/>
        </w:numPr>
        <w:ind w:left="284" w:hanging="284"/>
        <w:contextualSpacing/>
        <w:jc w:val="both"/>
        <w:rPr>
          <w:rFonts w:ascii="Helvetica" w:hAnsi="Helvetica" w:cs="Helvetica"/>
          <w:sz w:val="22"/>
          <w:szCs w:val="22"/>
          <w:lang w:val="es-CO"/>
        </w:rPr>
      </w:pPr>
      <w:r w:rsidRPr="001B7E14">
        <w:rPr>
          <w:rFonts w:ascii="Helvetica" w:hAnsi="Helvetica" w:cs="Helvetica"/>
          <w:sz w:val="22"/>
          <w:szCs w:val="22"/>
          <w:shd w:val="clear" w:color="auto" w:fill="FFFFFF"/>
          <w:lang w:val="es-CO"/>
        </w:rPr>
        <w:t xml:space="preserve">Resolución No 0882 del 15 de octubre de 2020. </w:t>
      </w:r>
      <w:r w:rsidRPr="001B7E14">
        <w:rPr>
          <w:rFonts w:ascii="Helvetica" w:hAnsi="Helvetica" w:cs="Helvetica"/>
          <w:sz w:val="22"/>
          <w:szCs w:val="22"/>
          <w:shd w:val="clear" w:color="auto" w:fill="FFFFFF"/>
        </w:rPr>
        <w:t xml:space="preserve">Sector Educación. Departamento de </w:t>
      </w:r>
      <w:r w:rsidR="00342952" w:rsidRPr="001B7E14">
        <w:rPr>
          <w:rFonts w:ascii="Helvetica" w:hAnsi="Helvetica" w:cs="Helvetica"/>
          <w:sz w:val="22"/>
          <w:szCs w:val="22"/>
          <w:shd w:val="clear" w:color="auto" w:fill="FFFFFF"/>
        </w:rPr>
        <w:t>Guainía</w:t>
      </w:r>
      <w:r w:rsidRPr="001B7E14">
        <w:rPr>
          <w:rFonts w:ascii="Helvetica" w:hAnsi="Helvetica" w:cs="Helvetica"/>
          <w:sz w:val="22"/>
          <w:szCs w:val="22"/>
          <w:shd w:val="clear" w:color="auto" w:fill="FFFFFF"/>
        </w:rPr>
        <w:t xml:space="preserve">. Serie "Historial de seguimiento y control a los recursos del Sistema General de Participaciones - Antecedentes de la medida". Expediente digital No. 135/2017/D028-PREDI, radicado 1-2021-104463 22 de noviembre 2021. Enlace: </w:t>
      </w:r>
      <w:hyperlink r:id="rId31" w:tgtFrame="_blank" w:tooltip="https://bit.ly/3zgiule" w:history="1">
        <w:r w:rsidRPr="001B7E14">
          <w:rPr>
            <w:rStyle w:val="Hipervnculo"/>
            <w:rFonts w:ascii="Helvetica" w:hAnsi="Helvetica" w:cs="Helvetica"/>
            <w:color w:val="auto"/>
            <w:sz w:val="22"/>
            <w:szCs w:val="22"/>
            <w:shd w:val="clear" w:color="auto" w:fill="FFFFFF"/>
          </w:rPr>
          <w:t>https://bit.ly/3zgiULe</w:t>
        </w:r>
      </w:hyperlink>
      <w:r w:rsidRPr="001B7E14">
        <w:rPr>
          <w:rFonts w:ascii="Helvetica" w:hAnsi="Helvetica" w:cs="Helvetica"/>
          <w:sz w:val="22"/>
          <w:szCs w:val="22"/>
        </w:rPr>
        <w:t>.</w:t>
      </w:r>
    </w:p>
    <w:p w14:paraId="6054B7F0" w14:textId="77777777" w:rsidR="00AD0693" w:rsidRPr="001B7E14" w:rsidRDefault="00AD0693" w:rsidP="00FA42BB">
      <w:pPr>
        <w:numPr>
          <w:ilvl w:val="0"/>
          <w:numId w:val="31"/>
        </w:numPr>
        <w:ind w:left="284" w:hanging="284"/>
        <w:contextualSpacing/>
        <w:jc w:val="both"/>
        <w:rPr>
          <w:rFonts w:ascii="Helvetica" w:hAnsi="Helvetica" w:cs="Helvetica"/>
          <w:sz w:val="22"/>
          <w:szCs w:val="22"/>
          <w:lang w:val="es-CO"/>
        </w:rPr>
      </w:pPr>
      <w:r w:rsidRPr="001B7E14">
        <w:rPr>
          <w:rFonts w:ascii="Helvetica" w:eastAsiaTheme="minorHAnsi" w:hAnsi="Helvetica" w:cs="Helvetica"/>
          <w:sz w:val="22"/>
          <w:szCs w:val="22"/>
          <w:lang w:eastAsia="es-ES_tradnl"/>
        </w:rPr>
        <w:t xml:space="preserve">Formato Único de Contratación (FUC) de la vigencia </w:t>
      </w:r>
      <w:r w:rsidRPr="001B7E14">
        <w:rPr>
          <w:rFonts w:ascii="Helvetica" w:hAnsi="Helvetica" w:cs="Helvetica"/>
          <w:sz w:val="22"/>
          <w:szCs w:val="22"/>
          <w:lang w:val="es-CO"/>
        </w:rPr>
        <w:t xml:space="preserve">2020. </w:t>
      </w:r>
      <w:r w:rsidRPr="001B7E14">
        <w:rPr>
          <w:rFonts w:ascii="Helvetica" w:hAnsi="Helvetica" w:cs="Helvetica"/>
          <w:sz w:val="22"/>
          <w:szCs w:val="22"/>
          <w:shd w:val="clear" w:color="auto" w:fill="FFFFFF"/>
        </w:rPr>
        <w:t xml:space="preserve">Sector Educación. Departamento de </w:t>
      </w:r>
      <w:r w:rsidR="00342952" w:rsidRPr="001B7E14">
        <w:rPr>
          <w:rFonts w:ascii="Helvetica" w:hAnsi="Helvetica" w:cs="Helvetica"/>
          <w:sz w:val="22"/>
          <w:szCs w:val="22"/>
          <w:shd w:val="clear" w:color="auto" w:fill="FFFFFF"/>
        </w:rPr>
        <w:t>Guainía</w:t>
      </w:r>
      <w:r w:rsidRPr="001B7E14">
        <w:rPr>
          <w:rFonts w:ascii="Helvetica" w:hAnsi="Helvetica" w:cs="Helvetica"/>
          <w:sz w:val="22"/>
          <w:szCs w:val="22"/>
          <w:shd w:val="clear" w:color="auto" w:fill="FFFFFF"/>
        </w:rPr>
        <w:t xml:space="preserve">. Serie "Historial de seguimiento y control a los recursos del Sistema General de Participaciones - Antecedentes de la medida". Expediente digital </w:t>
      </w:r>
      <w:r w:rsidRPr="001B7E14">
        <w:rPr>
          <w:rFonts w:ascii="Helvetica" w:hAnsi="Helvetica" w:cs="Helvetica"/>
          <w:sz w:val="22"/>
          <w:szCs w:val="22"/>
          <w:shd w:val="clear" w:color="auto" w:fill="FFFFFF"/>
        </w:rPr>
        <w:lastRenderedPageBreak/>
        <w:t xml:space="preserve">No. 135/2017/D028-PREDI, radicado 1-2021-104463 22 de noviembre 2021. Enlace: </w:t>
      </w:r>
      <w:hyperlink r:id="rId32" w:tgtFrame="_blank" w:tooltip="https://bit.ly/3nqceym" w:history="1">
        <w:r w:rsidRPr="001B7E14">
          <w:rPr>
            <w:rStyle w:val="Hipervnculo"/>
            <w:rFonts w:ascii="Helvetica" w:hAnsi="Helvetica" w:cs="Helvetica"/>
            <w:color w:val="auto"/>
            <w:sz w:val="22"/>
            <w:szCs w:val="22"/>
            <w:shd w:val="clear" w:color="auto" w:fill="FFFFFF"/>
          </w:rPr>
          <w:t>https://bit.ly/3NQceYm</w:t>
        </w:r>
      </w:hyperlink>
      <w:r w:rsidRPr="001B7E14">
        <w:rPr>
          <w:rFonts w:ascii="Helvetica" w:hAnsi="Helvetica" w:cs="Helvetica"/>
          <w:sz w:val="22"/>
          <w:szCs w:val="22"/>
        </w:rPr>
        <w:t>.</w:t>
      </w:r>
    </w:p>
    <w:p w14:paraId="2D215A7D" w14:textId="77777777" w:rsidR="00446B48" w:rsidRPr="001B7E14" w:rsidRDefault="00AD0693" w:rsidP="00446B48">
      <w:pPr>
        <w:numPr>
          <w:ilvl w:val="0"/>
          <w:numId w:val="31"/>
        </w:numPr>
        <w:ind w:left="284" w:hanging="284"/>
        <w:contextualSpacing/>
        <w:jc w:val="both"/>
        <w:rPr>
          <w:rStyle w:val="Hipervnculo"/>
          <w:rFonts w:ascii="Helvetica" w:hAnsi="Helvetica" w:cs="Helvetica"/>
          <w:color w:val="auto"/>
          <w:sz w:val="22"/>
          <w:szCs w:val="22"/>
          <w:u w:val="none"/>
          <w:lang w:val="es-CO"/>
        </w:rPr>
      </w:pPr>
      <w:r w:rsidRPr="001B7E14">
        <w:rPr>
          <w:rFonts w:ascii="Helvetica" w:eastAsiaTheme="minorHAnsi" w:hAnsi="Helvetica" w:cs="Helvetica"/>
          <w:sz w:val="22"/>
          <w:szCs w:val="22"/>
          <w:lang w:eastAsia="es-ES_tradnl"/>
        </w:rPr>
        <w:t xml:space="preserve">Formato Único de Contratación (FUC) de la vigencia 2021. Sector Educación. Departamento de </w:t>
      </w:r>
      <w:r w:rsidR="00342952" w:rsidRPr="001B7E14">
        <w:rPr>
          <w:rFonts w:ascii="Helvetica" w:eastAsiaTheme="minorHAnsi" w:hAnsi="Helvetica" w:cs="Helvetica"/>
          <w:sz w:val="22"/>
          <w:szCs w:val="22"/>
          <w:lang w:eastAsia="es-ES_tradnl"/>
        </w:rPr>
        <w:t>Guainía</w:t>
      </w:r>
      <w:r w:rsidRPr="001B7E14">
        <w:rPr>
          <w:rFonts w:ascii="Helvetica" w:eastAsiaTheme="minorHAnsi" w:hAnsi="Helvetica" w:cs="Helvetica"/>
          <w:sz w:val="22"/>
          <w:szCs w:val="22"/>
          <w:lang w:eastAsia="es-ES_tradnl"/>
        </w:rPr>
        <w:t xml:space="preserve">. Serie "Historial de seguimiento y control a los recursos del Sistema General de Participaciones - Antecedentes de la medida". Expediente digital No. 135/2017/D028-PREDI. Enlace: </w:t>
      </w:r>
      <w:hyperlink r:id="rId33" w:history="1">
        <w:r w:rsidRPr="001B7E14">
          <w:rPr>
            <w:rStyle w:val="Hipervnculo"/>
            <w:rFonts w:ascii="Helvetica" w:hAnsi="Helvetica" w:cs="Helvetica"/>
            <w:color w:val="auto"/>
            <w:sz w:val="22"/>
            <w:szCs w:val="22"/>
            <w:lang w:val="es-CO"/>
          </w:rPr>
          <w:t>https://bit.ly/3IFib9b</w:t>
        </w:r>
      </w:hyperlink>
    </w:p>
    <w:p w14:paraId="73994141" w14:textId="77777777" w:rsidR="00446B48" w:rsidRPr="001B7E14" w:rsidRDefault="00446B48" w:rsidP="00446B48">
      <w:pPr>
        <w:numPr>
          <w:ilvl w:val="0"/>
          <w:numId w:val="31"/>
        </w:numPr>
        <w:ind w:left="284" w:hanging="284"/>
        <w:contextualSpacing/>
        <w:jc w:val="both"/>
        <w:rPr>
          <w:rFonts w:ascii="Helvetica" w:hAnsi="Helvetica" w:cs="Helvetica"/>
          <w:sz w:val="22"/>
          <w:szCs w:val="22"/>
          <w:lang w:val="es-CO"/>
        </w:rPr>
      </w:pPr>
      <w:r w:rsidRPr="001B7E14">
        <w:rPr>
          <w:rFonts w:ascii="Helvetica" w:eastAsiaTheme="minorHAnsi" w:hAnsi="Helvetica" w:cs="Helvetica"/>
          <w:sz w:val="22"/>
          <w:szCs w:val="22"/>
          <w:lang w:eastAsia="es-ES_tradnl"/>
        </w:rPr>
        <w:t xml:space="preserve">Formato Único de Contratación (FUC) de la vigencia 2022. Sector Educación. Departamento de Guainía. Serie "Historial de seguimiento y control a los recursos del Sistema General de Participaciones - Antecedentes de la medida". Expediente digital No. 135/2017/D028-PREDI radicado 1.2023-036593 del 03 de mayo de 2023Enlace </w:t>
      </w:r>
      <w:hyperlink r:id="rId34" w:history="1">
        <w:r w:rsidRPr="001B7E14">
          <w:rPr>
            <w:rStyle w:val="Hipervnculo"/>
            <w:rFonts w:ascii="Helvetica" w:eastAsiaTheme="minorHAnsi" w:hAnsi="Helvetica" w:cs="Helvetica"/>
            <w:sz w:val="22"/>
            <w:szCs w:val="22"/>
            <w:lang w:eastAsia="es-ES_tradnl"/>
          </w:rPr>
          <w:t>https://onx.la/e80ca</w:t>
        </w:r>
      </w:hyperlink>
    </w:p>
    <w:p w14:paraId="59693E44" w14:textId="77777777" w:rsidR="00BE4802" w:rsidRPr="001B7E14" w:rsidRDefault="003F1AA8" w:rsidP="00BE4802">
      <w:pPr>
        <w:numPr>
          <w:ilvl w:val="0"/>
          <w:numId w:val="31"/>
        </w:numPr>
        <w:ind w:left="284" w:hanging="284"/>
        <w:contextualSpacing/>
        <w:jc w:val="both"/>
        <w:rPr>
          <w:rFonts w:ascii="Helvetica" w:hAnsi="Helvetica" w:cs="Helvetica"/>
          <w:sz w:val="22"/>
          <w:szCs w:val="22"/>
          <w:lang w:val="es-CO"/>
        </w:rPr>
      </w:pPr>
      <w:r w:rsidRPr="001B7E14">
        <w:rPr>
          <w:rFonts w:ascii="Helvetica" w:hAnsi="Helvetica" w:cs="Helvetica"/>
          <w:sz w:val="22"/>
          <w:szCs w:val="22"/>
          <w:lang w:val="es-CO"/>
        </w:rPr>
        <w:t>Acta de inicio</w:t>
      </w:r>
      <w:r w:rsidR="00446B48" w:rsidRPr="001B7E14">
        <w:rPr>
          <w:rFonts w:ascii="Helvetica" w:hAnsi="Helvetica" w:cs="Helvetica"/>
          <w:sz w:val="22"/>
          <w:szCs w:val="22"/>
          <w:lang w:val="es-CO"/>
        </w:rPr>
        <w:t xml:space="preserve"> contrato No. 573</w:t>
      </w:r>
      <w:r w:rsidRPr="001B7E14">
        <w:rPr>
          <w:rFonts w:ascii="Helvetica" w:hAnsi="Helvetica" w:cs="Helvetica"/>
          <w:sz w:val="22"/>
          <w:szCs w:val="22"/>
          <w:lang w:val="es-CO"/>
        </w:rPr>
        <w:t xml:space="preserve"> </w:t>
      </w:r>
      <w:r w:rsidR="00446B48" w:rsidRPr="001B7E14">
        <w:rPr>
          <w:rFonts w:ascii="Helvetica" w:eastAsiaTheme="minorHAnsi" w:hAnsi="Helvetica" w:cs="Helvetica"/>
          <w:sz w:val="22"/>
          <w:szCs w:val="22"/>
          <w:lang w:eastAsia="es-ES_tradnl"/>
        </w:rPr>
        <w:t xml:space="preserve">Sector Educación. Departamento de Guainía. Serie "Historial de seguimiento y control a los recursos del Sistema General de Participaciones Antecedentes de la medida". Expediente digital No. 135/2017/D028-PREDI. Enlace: </w:t>
      </w:r>
      <w:hyperlink r:id="rId35" w:history="1">
        <w:r w:rsidR="00446B48" w:rsidRPr="001B7E14">
          <w:rPr>
            <w:rStyle w:val="Hipervnculo"/>
            <w:rFonts w:ascii="Helvetica" w:eastAsiaTheme="minorHAnsi" w:hAnsi="Helvetica" w:cs="Helvetica"/>
            <w:sz w:val="22"/>
            <w:szCs w:val="22"/>
            <w:lang w:eastAsia="es-ES_tradnl"/>
          </w:rPr>
          <w:t>https://onx.la/e823f</w:t>
        </w:r>
      </w:hyperlink>
    </w:p>
    <w:p w14:paraId="3586A706" w14:textId="77777777" w:rsidR="00BE4802" w:rsidRPr="001B7E14" w:rsidRDefault="00446B48" w:rsidP="00BE4802">
      <w:pPr>
        <w:numPr>
          <w:ilvl w:val="0"/>
          <w:numId w:val="31"/>
        </w:numPr>
        <w:ind w:left="284" w:hanging="284"/>
        <w:contextualSpacing/>
        <w:jc w:val="both"/>
        <w:rPr>
          <w:rFonts w:ascii="Helvetica" w:hAnsi="Helvetica" w:cs="Helvetica"/>
          <w:sz w:val="22"/>
          <w:szCs w:val="22"/>
          <w:lang w:val="es-CO"/>
        </w:rPr>
      </w:pPr>
      <w:r w:rsidRPr="001B7E14">
        <w:rPr>
          <w:rFonts w:ascii="Helvetica" w:hAnsi="Helvetica" w:cs="Helvetica"/>
          <w:sz w:val="22"/>
          <w:szCs w:val="22"/>
          <w:lang w:val="es-CO"/>
        </w:rPr>
        <w:t xml:space="preserve">Acta de inicio </w:t>
      </w:r>
      <w:r w:rsidR="00BE4802" w:rsidRPr="001B7E14">
        <w:rPr>
          <w:rFonts w:ascii="Helvetica" w:hAnsi="Helvetica" w:cs="Helvetica"/>
          <w:sz w:val="22"/>
          <w:szCs w:val="22"/>
          <w:lang w:val="es-CO"/>
        </w:rPr>
        <w:t xml:space="preserve">contrato 610. </w:t>
      </w:r>
      <w:r w:rsidRPr="001B7E14">
        <w:rPr>
          <w:rFonts w:ascii="Helvetica" w:eastAsiaTheme="minorHAnsi" w:hAnsi="Helvetica" w:cs="Helvetica"/>
          <w:sz w:val="22"/>
          <w:szCs w:val="22"/>
          <w:lang w:eastAsia="es-ES_tradnl"/>
        </w:rPr>
        <w:t>Sector Educación. Departamento de Guainía. Serie "Historial de seguimiento y control a los recursos del Sistema General de Participaciones - Antecedentes de la medida". Expediente digital No. 135/2017/D028-PREDI. Enlace:</w:t>
      </w:r>
      <w:r w:rsidR="00BE4802" w:rsidRPr="001B7E14">
        <w:rPr>
          <w:rFonts w:ascii="Helvetica" w:hAnsi="Helvetica" w:cs="Helvetica"/>
        </w:rPr>
        <w:t xml:space="preserve"> </w:t>
      </w:r>
      <w:hyperlink r:id="rId36" w:history="1">
        <w:r w:rsidR="00BE4802" w:rsidRPr="001B7E14">
          <w:rPr>
            <w:rStyle w:val="Hipervnculo"/>
            <w:rFonts w:ascii="Helvetica" w:eastAsiaTheme="minorHAnsi" w:hAnsi="Helvetica" w:cs="Helvetica"/>
            <w:sz w:val="22"/>
            <w:szCs w:val="22"/>
            <w:lang w:eastAsia="es-ES_tradnl"/>
          </w:rPr>
          <w:t>https://onx.la/ed42f</w:t>
        </w:r>
      </w:hyperlink>
    </w:p>
    <w:p w14:paraId="09C24F60" w14:textId="77777777" w:rsidR="00446B48" w:rsidRPr="001B7E14" w:rsidRDefault="00446B48" w:rsidP="00BE4802">
      <w:pPr>
        <w:ind w:left="720"/>
        <w:contextualSpacing/>
        <w:jc w:val="both"/>
        <w:rPr>
          <w:rFonts w:ascii="Helvetica" w:hAnsi="Helvetica" w:cs="Helvetica"/>
          <w:sz w:val="22"/>
          <w:szCs w:val="22"/>
          <w:lang w:val="es-CO"/>
        </w:rPr>
      </w:pPr>
      <w:r w:rsidRPr="001B7E14">
        <w:rPr>
          <w:rFonts w:ascii="Helvetica" w:eastAsiaTheme="minorHAnsi" w:hAnsi="Helvetica" w:cs="Helvetica"/>
          <w:sz w:val="22"/>
          <w:szCs w:val="22"/>
          <w:lang w:eastAsia="es-ES_tradnl"/>
        </w:rPr>
        <w:t xml:space="preserve"> </w:t>
      </w:r>
    </w:p>
    <w:p w14:paraId="7E6BC035" w14:textId="77777777" w:rsidR="00AD0693" w:rsidRPr="001B7E14" w:rsidRDefault="00AD0693" w:rsidP="00FA42BB">
      <w:pPr>
        <w:pStyle w:val="Ttulo2"/>
        <w:spacing w:before="0"/>
        <w:jc w:val="both"/>
        <w:rPr>
          <w:rFonts w:ascii="Helvetica" w:hAnsi="Helvetica" w:cs="Helvetica"/>
          <w:b/>
          <w:bCs/>
          <w:i/>
          <w:color w:val="auto"/>
          <w:sz w:val="22"/>
          <w:szCs w:val="22"/>
          <w:lang w:val="es-CO"/>
        </w:rPr>
      </w:pPr>
      <w:r w:rsidRPr="001B7E14">
        <w:rPr>
          <w:rFonts w:ascii="Helvetica" w:hAnsi="Helvetica" w:cs="Helvetica"/>
          <w:b/>
          <w:bCs/>
          <w:i/>
          <w:color w:val="auto"/>
          <w:sz w:val="22"/>
          <w:szCs w:val="22"/>
          <w:lang w:val="es-CO"/>
        </w:rPr>
        <w:t xml:space="preserve">EVENTO DE RIESGO 9.18. </w:t>
      </w:r>
      <w:r w:rsidRPr="001B7E14">
        <w:rPr>
          <w:rFonts w:ascii="Helvetica" w:hAnsi="Helvetica" w:cs="Helvetica"/>
          <w:bCs/>
          <w:i/>
          <w:color w:val="auto"/>
          <w:sz w:val="22"/>
          <w:szCs w:val="22"/>
          <w:lang w:val="es-CO"/>
        </w:rPr>
        <w:t>“Aquella situación que, del análisis de la información obtenida en cualquier tiempo, resulte de inminente riesgo para la prestación adecuada del servicio, el cumplimiento de las metas de continuidad, cobertura y calidad en los servicios, o constituya desviación, uso indebido, ineficiente o inadecuado de los recursos del Sistema General de Participaciones”.</w:t>
      </w:r>
    </w:p>
    <w:p w14:paraId="06B9A326" w14:textId="77777777" w:rsidR="00AD0693" w:rsidRPr="001B7E14" w:rsidRDefault="00AD0693" w:rsidP="00FA42BB">
      <w:pPr>
        <w:ind w:left="284"/>
        <w:contextualSpacing/>
        <w:jc w:val="both"/>
        <w:rPr>
          <w:rFonts w:ascii="Helvetica" w:hAnsi="Helvetica" w:cs="Helvetica"/>
          <w:sz w:val="22"/>
          <w:szCs w:val="22"/>
          <w:lang w:val="es-CO"/>
        </w:rPr>
      </w:pPr>
    </w:p>
    <w:p w14:paraId="1AB49FE1" w14:textId="77777777" w:rsidR="00AD0693" w:rsidRPr="001B7E14" w:rsidRDefault="000D09F2" w:rsidP="00FA42BB">
      <w:pPr>
        <w:pStyle w:val="Ttulo"/>
        <w:numPr>
          <w:ilvl w:val="0"/>
          <w:numId w:val="33"/>
        </w:numPr>
        <w:rPr>
          <w:rFonts w:ascii="Helvetica" w:hAnsi="Helvetica" w:cs="Helvetica"/>
          <w:szCs w:val="22"/>
          <w:lang w:eastAsia="en-US"/>
        </w:rPr>
      </w:pPr>
      <w:r w:rsidRPr="001B7E14">
        <w:rPr>
          <w:rFonts w:ascii="Helvetica" w:hAnsi="Helvetica" w:cs="Helvetica"/>
          <w:lang w:eastAsia="en-US"/>
        </w:rPr>
        <w:t>Uso ineficiente de los recursos del Sistema General de Participaciones</w:t>
      </w:r>
      <w:r w:rsidR="00AD0693" w:rsidRPr="001B7E14">
        <w:rPr>
          <w:rFonts w:ascii="Helvetica" w:hAnsi="Helvetica" w:cs="Helvetica"/>
          <w:szCs w:val="22"/>
          <w:lang w:eastAsia="en-US"/>
        </w:rPr>
        <w:t>.</w:t>
      </w:r>
    </w:p>
    <w:p w14:paraId="1E66419F" w14:textId="77777777" w:rsidR="00AD0693" w:rsidRPr="001B7E14" w:rsidRDefault="00AD0693" w:rsidP="00FA42BB">
      <w:pPr>
        <w:rPr>
          <w:rFonts w:ascii="Helvetica" w:hAnsi="Helvetica" w:cs="Helvetica"/>
          <w:sz w:val="22"/>
          <w:szCs w:val="22"/>
          <w:lang w:val="es-CO" w:eastAsia="en-US"/>
        </w:rPr>
      </w:pPr>
    </w:p>
    <w:p w14:paraId="53F04428" w14:textId="77777777" w:rsidR="003C2407" w:rsidRPr="001B7E14" w:rsidRDefault="003C2407" w:rsidP="003C2407">
      <w:pPr>
        <w:jc w:val="both"/>
        <w:rPr>
          <w:rFonts w:ascii="Helvetica" w:hAnsi="Helvetica" w:cs="Helvetica"/>
          <w:sz w:val="22"/>
          <w:lang w:val="es-CO" w:eastAsia="en-US"/>
        </w:rPr>
      </w:pPr>
      <w:r w:rsidRPr="001B7E14">
        <w:rPr>
          <w:rFonts w:ascii="Helvetica" w:hAnsi="Helvetica" w:cs="Helvetica"/>
          <w:sz w:val="22"/>
          <w:lang w:val="es-CO" w:eastAsia="en-US"/>
        </w:rPr>
        <w:t xml:space="preserve">El artículo 30 de la Ley 1176 de 2007 modificado por el artículo 1 de la Ley 1294 de 2009 y el Decreto </w:t>
      </w:r>
      <w:r w:rsidRPr="001B7E14">
        <w:rPr>
          <w:rFonts w:ascii="Helvetica" w:hAnsi="Helvetica" w:cs="Helvetica"/>
          <w:sz w:val="22"/>
          <w:lang w:val="es-MX"/>
        </w:rPr>
        <w:t xml:space="preserve">1851 de 2015, </w:t>
      </w:r>
      <w:r w:rsidRPr="001B7E14">
        <w:rPr>
          <w:rFonts w:ascii="Helvetica" w:hAnsi="Helvetica" w:cs="Helvetica"/>
          <w:sz w:val="22"/>
          <w:lang w:val="es-CO" w:eastAsia="en-US"/>
        </w:rPr>
        <w:t xml:space="preserve">establecen que las Entidades Territoriales certificadas sólo podrán contratar el Servicio Educativo </w:t>
      </w:r>
      <w:r w:rsidR="00EE28AF" w:rsidRPr="001B7E14">
        <w:rPr>
          <w:rFonts w:ascii="Helvetica" w:hAnsi="Helvetica" w:cs="Helvetica"/>
          <w:sz w:val="22"/>
          <w:lang w:val="es-CO" w:eastAsia="en-US"/>
        </w:rPr>
        <w:t xml:space="preserve">con terceros </w:t>
      </w:r>
      <w:r w:rsidRPr="001B7E14">
        <w:rPr>
          <w:rFonts w:ascii="Helvetica" w:hAnsi="Helvetica" w:cs="Helvetica"/>
          <w:sz w:val="22"/>
          <w:lang w:val="es-CO" w:eastAsia="en-US"/>
        </w:rPr>
        <w:t>cuando demuestre</w:t>
      </w:r>
      <w:r w:rsidR="00EE28AF" w:rsidRPr="001B7E14">
        <w:rPr>
          <w:rFonts w:ascii="Helvetica" w:hAnsi="Helvetica" w:cs="Helvetica"/>
          <w:sz w:val="22"/>
          <w:lang w:val="es-CO" w:eastAsia="en-US"/>
        </w:rPr>
        <w:t>n</w:t>
      </w:r>
      <w:r w:rsidRPr="001B7E14">
        <w:rPr>
          <w:rFonts w:ascii="Helvetica" w:hAnsi="Helvetica" w:cs="Helvetica"/>
          <w:sz w:val="22"/>
          <w:lang w:val="es-CO" w:eastAsia="en-US"/>
        </w:rPr>
        <w:t xml:space="preserve"> insuficiencia </w:t>
      </w:r>
      <w:r w:rsidR="00EE28AF" w:rsidRPr="001B7E14">
        <w:rPr>
          <w:rFonts w:ascii="Helvetica" w:hAnsi="Helvetica" w:cs="Helvetica"/>
          <w:sz w:val="22"/>
          <w:lang w:val="es-CO" w:eastAsia="en-US"/>
        </w:rPr>
        <w:t xml:space="preserve">o limitaciones </w:t>
      </w:r>
      <w:r w:rsidRPr="001B7E14">
        <w:rPr>
          <w:rFonts w:ascii="Helvetica" w:hAnsi="Helvetica" w:cs="Helvetica"/>
          <w:sz w:val="22"/>
          <w:lang w:val="es-CO" w:eastAsia="en-US"/>
        </w:rPr>
        <w:t>en l</w:t>
      </w:r>
      <w:r w:rsidR="00EE28AF" w:rsidRPr="001B7E14">
        <w:rPr>
          <w:rFonts w:ascii="Helvetica" w:hAnsi="Helvetica" w:cs="Helvetica"/>
          <w:sz w:val="22"/>
          <w:lang w:val="es-CO" w:eastAsia="en-US"/>
        </w:rPr>
        <w:t xml:space="preserve">as instituciones </w:t>
      </w:r>
      <w:r w:rsidRPr="001B7E14">
        <w:rPr>
          <w:rFonts w:ascii="Helvetica" w:hAnsi="Helvetica" w:cs="Helvetica"/>
          <w:sz w:val="22"/>
          <w:lang w:val="es-CO" w:eastAsia="en-US"/>
        </w:rPr>
        <w:t>educativ</w:t>
      </w:r>
      <w:r w:rsidR="00EE28AF" w:rsidRPr="001B7E14">
        <w:rPr>
          <w:rFonts w:ascii="Helvetica" w:hAnsi="Helvetica" w:cs="Helvetica"/>
          <w:sz w:val="22"/>
          <w:lang w:val="es-CO" w:eastAsia="en-US"/>
        </w:rPr>
        <w:t>a</w:t>
      </w:r>
      <w:r w:rsidRPr="001B7E14">
        <w:rPr>
          <w:rFonts w:ascii="Helvetica" w:hAnsi="Helvetica" w:cs="Helvetica"/>
          <w:sz w:val="22"/>
          <w:lang w:val="es-CO" w:eastAsia="en-US"/>
        </w:rPr>
        <w:t xml:space="preserve">s del </w:t>
      </w:r>
      <w:r w:rsidR="00EE28AF" w:rsidRPr="001B7E14">
        <w:rPr>
          <w:rFonts w:ascii="Helvetica" w:hAnsi="Helvetica" w:cs="Helvetica"/>
          <w:sz w:val="22"/>
          <w:lang w:val="es-CO" w:eastAsia="en-US"/>
        </w:rPr>
        <w:t>Sistema Educativo Oficial de su jurisdicción</w:t>
      </w:r>
      <w:r w:rsidRPr="001B7E14">
        <w:rPr>
          <w:rFonts w:ascii="Helvetica" w:hAnsi="Helvetica" w:cs="Helvetica"/>
          <w:sz w:val="22"/>
          <w:lang w:val="es-CO" w:eastAsia="en-US"/>
        </w:rPr>
        <w:t>.</w:t>
      </w:r>
    </w:p>
    <w:p w14:paraId="437392BD" w14:textId="77777777" w:rsidR="003C2407" w:rsidRPr="001B7E14" w:rsidRDefault="003C2407" w:rsidP="00FA42BB">
      <w:pPr>
        <w:jc w:val="both"/>
        <w:rPr>
          <w:rFonts w:ascii="Helvetica" w:hAnsi="Helvetica" w:cs="Helvetica"/>
          <w:sz w:val="22"/>
          <w:szCs w:val="22"/>
          <w:lang w:val="es-CO"/>
        </w:rPr>
      </w:pPr>
    </w:p>
    <w:p w14:paraId="43D13F31" w14:textId="77777777" w:rsidR="00AD0693" w:rsidRPr="001B7E14" w:rsidRDefault="00AD0693" w:rsidP="00FA42BB">
      <w:pPr>
        <w:jc w:val="both"/>
        <w:rPr>
          <w:rFonts w:ascii="Helvetica" w:hAnsi="Helvetica" w:cs="Helvetica"/>
          <w:i/>
          <w:iCs/>
          <w:sz w:val="22"/>
          <w:szCs w:val="22"/>
          <w:lang w:val="es-CO"/>
        </w:rPr>
      </w:pPr>
      <w:r w:rsidRPr="001B7E14">
        <w:rPr>
          <w:rFonts w:ascii="Helvetica" w:hAnsi="Helvetica" w:cs="Helvetica"/>
          <w:sz w:val="22"/>
          <w:szCs w:val="22"/>
          <w:lang w:val="es-CO"/>
        </w:rPr>
        <w:t xml:space="preserve">Asimismo, el </w:t>
      </w:r>
      <w:r w:rsidR="009A43E0" w:rsidRPr="001B7E14">
        <w:rPr>
          <w:rFonts w:ascii="Helvetica" w:hAnsi="Helvetica" w:cs="Helvetica"/>
          <w:sz w:val="22"/>
          <w:szCs w:val="22"/>
          <w:lang w:val="es-CO"/>
        </w:rPr>
        <w:t xml:space="preserve">artículo 2.3.1.3.2.6 del </w:t>
      </w:r>
      <w:r w:rsidRPr="001B7E14">
        <w:rPr>
          <w:rFonts w:ascii="Helvetica" w:hAnsi="Helvetica" w:cs="Helvetica"/>
          <w:sz w:val="22"/>
          <w:szCs w:val="22"/>
          <w:lang w:val="es-CO"/>
        </w:rPr>
        <w:t xml:space="preserve">decreto 1075 </w:t>
      </w:r>
      <w:r w:rsidR="00EE28AF" w:rsidRPr="001B7E14">
        <w:rPr>
          <w:rFonts w:ascii="Helvetica" w:hAnsi="Helvetica" w:cs="Helvetica"/>
          <w:sz w:val="22"/>
          <w:szCs w:val="22"/>
          <w:lang w:val="es-CO"/>
        </w:rPr>
        <w:t xml:space="preserve">de 2015 </w:t>
      </w:r>
      <w:r w:rsidRPr="001B7E14">
        <w:rPr>
          <w:rFonts w:ascii="Helvetica" w:hAnsi="Helvetica" w:cs="Helvetica"/>
          <w:sz w:val="22"/>
          <w:szCs w:val="22"/>
          <w:lang w:val="es-CO"/>
        </w:rPr>
        <w:t xml:space="preserve">establece que </w:t>
      </w:r>
      <w:r w:rsidR="00EE28AF" w:rsidRPr="001B7E14">
        <w:rPr>
          <w:rFonts w:ascii="Helvetica" w:hAnsi="Helvetica" w:cs="Helvetica"/>
          <w:sz w:val="22"/>
          <w:szCs w:val="22"/>
          <w:lang w:val="es-CO"/>
        </w:rPr>
        <w:t xml:space="preserve">esta demostración se realizará </w:t>
      </w:r>
      <w:r w:rsidR="009A43E0" w:rsidRPr="001B7E14">
        <w:rPr>
          <w:rFonts w:ascii="Helvetica" w:hAnsi="Helvetica" w:cs="Helvetica"/>
          <w:sz w:val="22"/>
          <w:szCs w:val="22"/>
          <w:lang w:val="es-CO"/>
        </w:rPr>
        <w:t xml:space="preserve">con anterioridad a la celebración de tales contratos, mediante un estudio de insuficiencia y limitaciones, </w:t>
      </w:r>
      <w:r w:rsidR="009A43E0" w:rsidRPr="001B7E14">
        <w:rPr>
          <w:rFonts w:ascii="Helvetica" w:hAnsi="Helvetica" w:cs="Helvetica"/>
          <w:i/>
          <w:iCs/>
          <w:sz w:val="22"/>
          <w:szCs w:val="22"/>
          <w:lang w:val="es-CO"/>
        </w:rPr>
        <w:t xml:space="preserve">“a través del cual se evidencie técnicamente la necesidad de acudir a la contratación del servicio público educativo”. </w:t>
      </w:r>
    </w:p>
    <w:p w14:paraId="4D720F2B" w14:textId="77777777" w:rsidR="009A43E0" w:rsidRPr="001B7E14" w:rsidRDefault="009A43E0" w:rsidP="00FA42BB">
      <w:pPr>
        <w:jc w:val="both"/>
        <w:rPr>
          <w:rFonts w:ascii="Helvetica" w:hAnsi="Helvetica" w:cs="Helvetica"/>
          <w:i/>
          <w:iCs/>
          <w:sz w:val="22"/>
          <w:szCs w:val="22"/>
          <w:lang w:val="es-CO"/>
        </w:rPr>
      </w:pPr>
    </w:p>
    <w:p w14:paraId="2BBCD2B1" w14:textId="77777777" w:rsidR="009A43E0" w:rsidRPr="001B7E14" w:rsidRDefault="009A43E0" w:rsidP="00FA42BB">
      <w:pPr>
        <w:jc w:val="both"/>
        <w:rPr>
          <w:rFonts w:ascii="Helvetica" w:hAnsi="Helvetica" w:cs="Helvetica"/>
          <w:sz w:val="22"/>
          <w:szCs w:val="22"/>
          <w:lang w:val="es-CO"/>
        </w:rPr>
      </w:pPr>
      <w:r w:rsidRPr="001B7E14">
        <w:rPr>
          <w:rFonts w:ascii="Helvetica" w:hAnsi="Helvetica" w:cs="Helvetica"/>
          <w:sz w:val="22"/>
          <w:szCs w:val="22"/>
          <w:lang w:val="es-CO"/>
        </w:rPr>
        <w:t xml:space="preserve">Este mismo cuerpo normativo, en su artículo 2.3.1.3.2.15, </w:t>
      </w:r>
      <w:r w:rsidR="00C80D7A" w:rsidRPr="001B7E14">
        <w:rPr>
          <w:rFonts w:ascii="Helvetica" w:hAnsi="Helvetica" w:cs="Helvetica"/>
          <w:sz w:val="22"/>
          <w:szCs w:val="22"/>
          <w:lang w:val="es-CO"/>
        </w:rPr>
        <w:t xml:space="preserve">asigna a la entidad territorial certificada en educación la responsabilidad de </w:t>
      </w:r>
      <w:r w:rsidR="00C80D7A" w:rsidRPr="001B7E14">
        <w:rPr>
          <w:rFonts w:ascii="Helvetica" w:hAnsi="Helvetica" w:cs="Helvetica"/>
          <w:i/>
          <w:iCs/>
          <w:sz w:val="22"/>
          <w:szCs w:val="22"/>
          <w:lang w:val="es-CO"/>
        </w:rPr>
        <w:t xml:space="preserve">“identificar previamente y asignar a cada contratista la población que será atendida en desarrollo de los contratos (…). Como producto de la identificación, la entidad territorial certificada elaborará el listado de </w:t>
      </w:r>
      <w:r w:rsidR="00C80D7A" w:rsidRPr="001B7E14">
        <w:rPr>
          <w:rFonts w:ascii="Helvetica" w:hAnsi="Helvetica" w:cs="Helvetica"/>
          <w:i/>
          <w:iCs/>
          <w:sz w:val="22"/>
          <w:szCs w:val="22"/>
          <w:lang w:val="es-CO"/>
        </w:rPr>
        <w:lastRenderedPageBreak/>
        <w:t>estudiantes a atender, el cual será entregado a cada contratista y hará parte integral del contrato”.</w:t>
      </w:r>
      <w:r w:rsidRPr="001B7E14">
        <w:rPr>
          <w:rFonts w:ascii="Helvetica" w:hAnsi="Helvetica" w:cs="Helvetica"/>
          <w:sz w:val="22"/>
          <w:szCs w:val="22"/>
          <w:lang w:val="es-CO"/>
        </w:rPr>
        <w:t xml:space="preserve"> </w:t>
      </w:r>
    </w:p>
    <w:p w14:paraId="05EBA3A0" w14:textId="77777777" w:rsidR="00AD0693" w:rsidRPr="001B7E14" w:rsidRDefault="00AD0693" w:rsidP="00FA42BB">
      <w:pPr>
        <w:jc w:val="both"/>
        <w:rPr>
          <w:rFonts w:ascii="Helvetica" w:hAnsi="Helvetica" w:cs="Helvetica"/>
          <w:sz w:val="22"/>
          <w:szCs w:val="22"/>
          <w:lang w:val="es-CO"/>
        </w:rPr>
      </w:pPr>
    </w:p>
    <w:p w14:paraId="3BF0E400" w14:textId="77777777" w:rsidR="003C2407"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 xml:space="preserve">Ahora bien, en el contrato 471 </w:t>
      </w:r>
      <w:r w:rsidR="00A93A46" w:rsidRPr="001B7E14">
        <w:rPr>
          <w:rFonts w:ascii="Helvetica" w:hAnsi="Helvetica" w:cs="Helvetica"/>
          <w:sz w:val="22"/>
          <w:szCs w:val="22"/>
          <w:lang w:val="es-CO"/>
        </w:rPr>
        <w:t xml:space="preserve">de 2021 </w:t>
      </w:r>
      <w:r w:rsidRPr="001B7E14">
        <w:rPr>
          <w:rFonts w:ascii="Helvetica" w:hAnsi="Helvetica" w:cs="Helvetica"/>
          <w:sz w:val="22"/>
          <w:szCs w:val="22"/>
          <w:lang w:val="es-CO"/>
        </w:rPr>
        <w:t>no se identifica un número de estudiantes, sin embargo, en los estudios previos (estudio de insuficiencia) se pudo constatar que se requería</w:t>
      </w:r>
      <w:r w:rsidR="00A93A46" w:rsidRPr="001B7E14">
        <w:rPr>
          <w:rFonts w:ascii="Helvetica" w:hAnsi="Helvetica" w:cs="Helvetica"/>
          <w:sz w:val="22"/>
          <w:szCs w:val="22"/>
          <w:lang w:val="es-CO"/>
        </w:rPr>
        <w:t xml:space="preserve"> contratar la atención de </w:t>
      </w:r>
      <w:r w:rsidRPr="001B7E14">
        <w:rPr>
          <w:rFonts w:ascii="Helvetica" w:hAnsi="Helvetica" w:cs="Helvetica"/>
          <w:sz w:val="22"/>
          <w:szCs w:val="22"/>
          <w:lang w:val="es-CO"/>
        </w:rPr>
        <w:t xml:space="preserve">2.400 alumnos, </w:t>
      </w:r>
      <w:r w:rsidR="00A93A46" w:rsidRPr="001B7E14">
        <w:rPr>
          <w:rFonts w:ascii="Helvetica" w:hAnsi="Helvetica" w:cs="Helvetica"/>
          <w:sz w:val="22"/>
          <w:szCs w:val="22"/>
          <w:lang w:val="es-CO"/>
        </w:rPr>
        <w:t xml:space="preserve">bajo esta modalidad, </w:t>
      </w:r>
      <w:r w:rsidRPr="001B7E14">
        <w:rPr>
          <w:rFonts w:ascii="Helvetica" w:hAnsi="Helvetica" w:cs="Helvetica"/>
          <w:sz w:val="22"/>
          <w:szCs w:val="22"/>
          <w:lang w:val="es-CO"/>
        </w:rPr>
        <w:t xml:space="preserve">por lo que se entendería que dicho número de estudiantes </w:t>
      </w:r>
      <w:r w:rsidR="003C2407" w:rsidRPr="001B7E14">
        <w:rPr>
          <w:rFonts w:ascii="Helvetica" w:hAnsi="Helvetica" w:cs="Helvetica"/>
          <w:sz w:val="22"/>
          <w:szCs w:val="22"/>
          <w:lang w:val="es-CO"/>
        </w:rPr>
        <w:t>constituye la necesidad a satisfacer mediante la contratación del servicio educativo con terceros</w:t>
      </w:r>
      <w:r w:rsidRPr="001B7E14">
        <w:rPr>
          <w:rFonts w:ascii="Helvetica" w:hAnsi="Helvetica" w:cs="Helvetica"/>
          <w:sz w:val="22"/>
          <w:szCs w:val="22"/>
          <w:lang w:val="es-CO"/>
        </w:rPr>
        <w:t xml:space="preserve">. </w:t>
      </w:r>
    </w:p>
    <w:p w14:paraId="2367BAA7" w14:textId="77777777" w:rsidR="003C2407" w:rsidRPr="001B7E14" w:rsidRDefault="003C2407" w:rsidP="00FA42BB">
      <w:pPr>
        <w:jc w:val="both"/>
        <w:rPr>
          <w:rFonts w:ascii="Helvetica" w:hAnsi="Helvetica" w:cs="Helvetica"/>
          <w:sz w:val="22"/>
          <w:szCs w:val="22"/>
          <w:lang w:val="es-CO"/>
        </w:rPr>
      </w:pPr>
    </w:p>
    <w:p w14:paraId="5D706CA9" w14:textId="77777777" w:rsidR="00AD0693" w:rsidRPr="001B7E14" w:rsidRDefault="003C2407" w:rsidP="00FA42BB">
      <w:pPr>
        <w:jc w:val="both"/>
        <w:rPr>
          <w:rFonts w:ascii="Helvetica" w:hAnsi="Helvetica" w:cs="Helvetica"/>
          <w:sz w:val="22"/>
          <w:szCs w:val="22"/>
          <w:lang w:val="es-CO"/>
        </w:rPr>
      </w:pPr>
      <w:r w:rsidRPr="001B7E14">
        <w:rPr>
          <w:rFonts w:ascii="Helvetica" w:hAnsi="Helvetica" w:cs="Helvetica"/>
          <w:sz w:val="22"/>
          <w:szCs w:val="22"/>
          <w:lang w:val="es-CO"/>
        </w:rPr>
        <w:t xml:space="preserve">No obstante, </w:t>
      </w:r>
      <w:r w:rsidR="00AD0693" w:rsidRPr="001B7E14">
        <w:rPr>
          <w:rFonts w:ascii="Helvetica" w:hAnsi="Helvetica" w:cs="Helvetica"/>
          <w:sz w:val="22"/>
          <w:szCs w:val="22"/>
          <w:lang w:val="es-CO"/>
        </w:rPr>
        <w:t>en el reporte FUC se identificó la atención de 2.867 niños atendidos y en el reporté SIMAT se registraron</w:t>
      </w:r>
      <w:r w:rsidR="00507D31" w:rsidRPr="001B7E14">
        <w:rPr>
          <w:rFonts w:ascii="Helvetica" w:hAnsi="Helvetica" w:cs="Helvetica"/>
          <w:sz w:val="22"/>
          <w:szCs w:val="22"/>
          <w:lang w:val="es-CO"/>
        </w:rPr>
        <w:t xml:space="preserve"> </w:t>
      </w:r>
      <w:r w:rsidR="00AD0693" w:rsidRPr="001B7E14">
        <w:rPr>
          <w:rFonts w:ascii="Helvetica" w:hAnsi="Helvetica" w:cs="Helvetica"/>
          <w:sz w:val="22"/>
          <w:szCs w:val="22"/>
          <w:lang w:val="es-CO"/>
        </w:rPr>
        <w:t>2.747 estudiantes contratados en las sedes del contrato 471</w:t>
      </w:r>
      <w:r w:rsidR="00A93A46" w:rsidRPr="001B7E14">
        <w:rPr>
          <w:rFonts w:ascii="Helvetica" w:hAnsi="Helvetica" w:cs="Helvetica"/>
          <w:sz w:val="22"/>
          <w:szCs w:val="22"/>
          <w:lang w:val="es-CO"/>
        </w:rPr>
        <w:t xml:space="preserve"> de 2021</w:t>
      </w:r>
      <w:r w:rsidR="00AD0693" w:rsidRPr="001B7E14">
        <w:rPr>
          <w:rFonts w:ascii="Helvetica" w:hAnsi="Helvetica" w:cs="Helvetica"/>
          <w:sz w:val="22"/>
          <w:szCs w:val="22"/>
          <w:lang w:val="es-CO"/>
        </w:rPr>
        <w:t xml:space="preserve">, evidenciándose que se atendió un número mayor de estudiantes a lo establecido en los estudios previos sin que mediara una modificación relacionada con el número de </w:t>
      </w:r>
      <w:r w:rsidRPr="001B7E14">
        <w:rPr>
          <w:rFonts w:ascii="Helvetica" w:hAnsi="Helvetica" w:cs="Helvetica"/>
          <w:sz w:val="22"/>
          <w:szCs w:val="22"/>
          <w:lang w:val="es-CO"/>
        </w:rPr>
        <w:t>alumnos</w:t>
      </w:r>
      <w:r w:rsidR="00AD0693" w:rsidRPr="001B7E14">
        <w:rPr>
          <w:rFonts w:ascii="Helvetica" w:hAnsi="Helvetica" w:cs="Helvetica"/>
          <w:sz w:val="22"/>
          <w:szCs w:val="22"/>
          <w:lang w:val="es-CO"/>
        </w:rPr>
        <w:t>.</w:t>
      </w:r>
    </w:p>
    <w:p w14:paraId="3D0580FC" w14:textId="77777777" w:rsidR="00AD0693" w:rsidRPr="001B7E14" w:rsidRDefault="00AD0693" w:rsidP="00FA42BB">
      <w:pPr>
        <w:jc w:val="both"/>
        <w:rPr>
          <w:rFonts w:ascii="Helvetica" w:hAnsi="Helvetica" w:cs="Helvetica"/>
          <w:sz w:val="22"/>
          <w:szCs w:val="22"/>
          <w:lang w:val="es-CO"/>
        </w:rPr>
      </w:pPr>
    </w:p>
    <w:p w14:paraId="17322B7A"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En caso de que el valor pactado fuese el número de estudiantes reportados al FUC el pago del contrato debía descontar los estudiantes que no aparecen en SIMAT es decir 120.</w:t>
      </w:r>
    </w:p>
    <w:p w14:paraId="7ABA9852" w14:textId="77777777" w:rsidR="00AD0693" w:rsidRPr="001B7E14" w:rsidRDefault="00AD0693" w:rsidP="00FA42BB">
      <w:pPr>
        <w:jc w:val="both"/>
        <w:rPr>
          <w:rFonts w:ascii="Helvetica" w:hAnsi="Helvetica" w:cs="Helvetica"/>
          <w:sz w:val="22"/>
          <w:szCs w:val="22"/>
          <w:lang w:val="es-CO"/>
        </w:rPr>
      </w:pPr>
    </w:p>
    <w:p w14:paraId="63727A0C"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Cabe aclarar que en el análisis de la liquidación del contrato se pagó lo que inicialmente se pactó en el contrato $13.819 millones, de los cuales 11.064 millones fueron para atender la prestación del servicio y $2.755 millones para internados.</w:t>
      </w:r>
    </w:p>
    <w:p w14:paraId="39C10CBB" w14:textId="77777777" w:rsidR="00AD0693" w:rsidRPr="001B7E14" w:rsidRDefault="00AD0693" w:rsidP="00FA42BB">
      <w:pPr>
        <w:jc w:val="both"/>
        <w:rPr>
          <w:rFonts w:ascii="Helvetica" w:hAnsi="Helvetica" w:cs="Helvetica"/>
          <w:sz w:val="22"/>
          <w:szCs w:val="22"/>
          <w:lang w:val="es-CO"/>
        </w:rPr>
      </w:pPr>
    </w:p>
    <w:p w14:paraId="3E122AC4" w14:textId="77777777" w:rsidR="003C2407" w:rsidRPr="001B7E14" w:rsidRDefault="00C80D7A" w:rsidP="003C2407">
      <w:pPr>
        <w:jc w:val="both"/>
        <w:rPr>
          <w:rFonts w:ascii="Helvetica" w:hAnsi="Helvetica" w:cs="Helvetica"/>
          <w:sz w:val="22"/>
          <w:lang w:val="es-CO" w:eastAsia="en-US"/>
        </w:rPr>
      </w:pPr>
      <w:r w:rsidRPr="001B7E14">
        <w:rPr>
          <w:rFonts w:ascii="Helvetica" w:hAnsi="Helvetica" w:cs="Helvetica"/>
          <w:sz w:val="22"/>
          <w:lang w:val="es-CO" w:eastAsia="en-US"/>
        </w:rPr>
        <w:t xml:space="preserve">Por lo anterior, </w:t>
      </w:r>
      <w:r w:rsidR="003C2407" w:rsidRPr="001B7E14">
        <w:rPr>
          <w:rFonts w:ascii="Helvetica" w:hAnsi="Helvetica" w:cs="Helvetica"/>
          <w:sz w:val="22"/>
          <w:lang w:val="es-CO" w:eastAsia="en-US"/>
        </w:rPr>
        <w:t>se colige que el estudio para demostrar la insuficiencia en los establecimientos educativos de la Entidad Territorial y justificar la contratación del Servicio Educativo no es idóneo y difiere del número real de estudiantes efectivamente tenidos en cuenta en los contratos</w:t>
      </w:r>
      <w:r w:rsidRPr="001B7E14">
        <w:rPr>
          <w:rFonts w:ascii="Helvetica" w:hAnsi="Helvetica" w:cs="Helvetica"/>
          <w:sz w:val="22"/>
          <w:lang w:val="es-CO" w:eastAsia="en-US"/>
        </w:rPr>
        <w:t xml:space="preserve"> suscritos</w:t>
      </w:r>
      <w:r w:rsidR="003C2407" w:rsidRPr="001B7E14">
        <w:rPr>
          <w:rFonts w:ascii="Helvetica" w:hAnsi="Helvetica" w:cs="Helvetica"/>
          <w:sz w:val="22"/>
          <w:lang w:val="es-CO" w:eastAsia="en-US"/>
        </w:rPr>
        <w:t>.</w:t>
      </w:r>
    </w:p>
    <w:p w14:paraId="59FF69F5" w14:textId="77777777" w:rsidR="003C2407" w:rsidRPr="001B7E14" w:rsidRDefault="003C2407" w:rsidP="003C2407">
      <w:pPr>
        <w:jc w:val="both"/>
        <w:rPr>
          <w:rFonts w:ascii="Helvetica" w:hAnsi="Helvetica" w:cs="Helvetica"/>
          <w:sz w:val="22"/>
          <w:lang w:val="es-CO" w:eastAsia="en-US"/>
        </w:rPr>
      </w:pPr>
    </w:p>
    <w:p w14:paraId="3690C428" w14:textId="77777777" w:rsidR="003C2407" w:rsidRPr="001B7E14" w:rsidRDefault="003C2407" w:rsidP="003C2407">
      <w:pPr>
        <w:jc w:val="both"/>
        <w:rPr>
          <w:rFonts w:ascii="Helvetica" w:eastAsia="Times New Roman" w:hAnsi="Helvetica" w:cs="Helvetica"/>
          <w:sz w:val="22"/>
          <w:lang w:val="es-ES_tradnl"/>
        </w:rPr>
      </w:pPr>
      <w:r w:rsidRPr="001B7E14">
        <w:rPr>
          <w:rFonts w:ascii="Helvetica" w:hAnsi="Helvetica" w:cs="Helvetica"/>
          <w:sz w:val="22"/>
          <w:lang w:val="es-CO" w:eastAsia="en-US"/>
        </w:rPr>
        <w:t xml:space="preserve">En consecuencia, el </w:t>
      </w:r>
      <w:r w:rsidR="005145C1" w:rsidRPr="001B7E14">
        <w:rPr>
          <w:rFonts w:ascii="Helvetica" w:hAnsi="Helvetica" w:cs="Helvetica"/>
          <w:sz w:val="22"/>
          <w:lang w:val="es-CO" w:eastAsia="en-US"/>
        </w:rPr>
        <w:t xml:space="preserve">Departamento de Guainía </w:t>
      </w:r>
      <w:r w:rsidRPr="001B7E14">
        <w:rPr>
          <w:rFonts w:ascii="Helvetica" w:hAnsi="Helvetica" w:cs="Helvetica"/>
          <w:sz w:val="22"/>
          <w:lang w:val="es-CO" w:eastAsia="en-US"/>
        </w:rPr>
        <w:t>viola el Principio de Planeación que rige la etapa precontractual en el Régimen de Contratación Estatal y en especial el numeral 12 del artículo 25 de la Ley 80 de 1993 modificado por el artículo 87 de la Ley 1474 de 2011.</w:t>
      </w:r>
      <w:r w:rsidR="004F1FA5" w:rsidRPr="001B7E14">
        <w:rPr>
          <w:rFonts w:ascii="Helvetica" w:hAnsi="Helvetica" w:cs="Helvetica"/>
          <w:sz w:val="22"/>
          <w:lang w:val="es-CO" w:eastAsia="en-US"/>
        </w:rPr>
        <w:t xml:space="preserve"> Con estas actuaciones se evidencia un uso ineficiente de los recursos del Sistema General de Participaciones por parte del Departamento de la Entidad Territorial.</w:t>
      </w:r>
    </w:p>
    <w:p w14:paraId="6AC1F870" w14:textId="77777777" w:rsidR="003C2407" w:rsidRPr="001B7E14" w:rsidRDefault="003C2407" w:rsidP="003C2407">
      <w:pPr>
        <w:jc w:val="both"/>
        <w:rPr>
          <w:rFonts w:ascii="Helvetica" w:eastAsia="Times New Roman" w:hAnsi="Helvetica" w:cs="Helvetica"/>
          <w:sz w:val="22"/>
          <w:lang w:val="es-ES_tradnl"/>
        </w:rPr>
      </w:pPr>
    </w:p>
    <w:p w14:paraId="2E64CC96" w14:textId="77777777" w:rsidR="00AD0693" w:rsidRPr="001B7E14" w:rsidRDefault="00AD0693" w:rsidP="00FA42BB">
      <w:pPr>
        <w:jc w:val="both"/>
        <w:rPr>
          <w:rFonts w:ascii="Helvetica" w:hAnsi="Helvetica" w:cs="Helvetica"/>
          <w:sz w:val="22"/>
          <w:szCs w:val="22"/>
          <w:lang w:val="es-CO"/>
        </w:rPr>
      </w:pPr>
      <w:r w:rsidRPr="001B7E14">
        <w:rPr>
          <w:rFonts w:ascii="Helvetica" w:eastAsia="Calibri" w:hAnsi="Helvetica" w:cs="Helvetica"/>
          <w:b/>
          <w:sz w:val="22"/>
          <w:szCs w:val="22"/>
          <w:lang w:val="es-CO" w:eastAsia="en-US"/>
        </w:rPr>
        <w:t xml:space="preserve">Evidencia: </w:t>
      </w:r>
      <w:r w:rsidRPr="001B7E14">
        <w:rPr>
          <w:rFonts w:ascii="Helvetica" w:hAnsi="Helvetica" w:cs="Helvetica"/>
          <w:sz w:val="22"/>
          <w:szCs w:val="22"/>
          <w:lang w:val="es-CO"/>
        </w:rPr>
        <w:t>Obra en el expediente el siguiente material probatorio:</w:t>
      </w:r>
    </w:p>
    <w:p w14:paraId="6C095F8B" w14:textId="77777777" w:rsidR="00AD0693" w:rsidRPr="001B7E14" w:rsidRDefault="00AD0693" w:rsidP="00FA42BB">
      <w:pPr>
        <w:numPr>
          <w:ilvl w:val="0"/>
          <w:numId w:val="31"/>
        </w:numPr>
        <w:ind w:left="284" w:hanging="284"/>
        <w:contextualSpacing/>
        <w:jc w:val="both"/>
        <w:rPr>
          <w:rFonts w:ascii="Helvetica" w:eastAsiaTheme="minorHAnsi" w:hAnsi="Helvetica" w:cs="Helvetica"/>
          <w:sz w:val="22"/>
          <w:szCs w:val="22"/>
          <w:lang w:eastAsia="es-ES_tradnl"/>
        </w:rPr>
      </w:pPr>
      <w:r w:rsidRPr="001B7E14">
        <w:rPr>
          <w:rFonts w:ascii="Helvetica" w:eastAsiaTheme="minorHAnsi" w:hAnsi="Helvetica" w:cs="Helvetica"/>
          <w:sz w:val="22"/>
          <w:szCs w:val="22"/>
          <w:lang w:eastAsia="es-ES_tradnl"/>
        </w:rPr>
        <w:t xml:space="preserve">Contrato No. 471 de 2021 para la promoción e implementación de estrategias de desarrollo pedagógico. Sector Educación. Departamento de </w:t>
      </w:r>
      <w:r w:rsidR="00342952" w:rsidRPr="001B7E14">
        <w:rPr>
          <w:rFonts w:ascii="Helvetica" w:eastAsiaTheme="minorHAnsi" w:hAnsi="Helvetica" w:cs="Helvetica"/>
          <w:sz w:val="22"/>
          <w:szCs w:val="22"/>
          <w:lang w:eastAsia="es-ES_tradnl"/>
        </w:rPr>
        <w:t>Guainía</w:t>
      </w:r>
      <w:r w:rsidRPr="001B7E14">
        <w:rPr>
          <w:rFonts w:ascii="Helvetica" w:eastAsiaTheme="minorHAnsi" w:hAnsi="Helvetica" w:cs="Helvetica"/>
          <w:sz w:val="22"/>
          <w:szCs w:val="22"/>
          <w:lang w:eastAsia="es-ES_tradnl"/>
        </w:rPr>
        <w:t>. Serie "Historial de seguimiento y control a los recursos del Sistema General de Participaciones - Antecedentes de la medida". Expediente digital No. 135/2017/D028-PREDI, radicado 1-2021-104463 22 de noviembre 2021. Enlace: https://bit.ly/3OnrR9y</w:t>
      </w:r>
    </w:p>
    <w:p w14:paraId="3EA35B85" w14:textId="77777777" w:rsidR="00AD0693" w:rsidRPr="001B7E14" w:rsidRDefault="00AD0693" w:rsidP="00FA42BB">
      <w:pPr>
        <w:numPr>
          <w:ilvl w:val="0"/>
          <w:numId w:val="31"/>
        </w:numPr>
        <w:ind w:left="284" w:hanging="284"/>
        <w:contextualSpacing/>
        <w:jc w:val="both"/>
        <w:rPr>
          <w:rFonts w:ascii="Helvetica" w:eastAsiaTheme="minorHAnsi" w:hAnsi="Helvetica" w:cs="Helvetica"/>
          <w:sz w:val="22"/>
          <w:szCs w:val="22"/>
          <w:lang w:eastAsia="es-ES_tradnl"/>
        </w:rPr>
      </w:pPr>
      <w:r w:rsidRPr="001B7E14">
        <w:rPr>
          <w:rFonts w:ascii="Helvetica" w:eastAsiaTheme="minorHAnsi" w:hAnsi="Helvetica" w:cs="Helvetica"/>
          <w:sz w:val="22"/>
          <w:szCs w:val="22"/>
          <w:lang w:eastAsia="es-ES_tradnl"/>
        </w:rPr>
        <w:t xml:space="preserve">Formato Único de Contratación (FUC) de la vigencia 2021. Sector Educación. Departamento de </w:t>
      </w:r>
      <w:r w:rsidR="00342952" w:rsidRPr="001B7E14">
        <w:rPr>
          <w:rFonts w:ascii="Helvetica" w:eastAsiaTheme="minorHAnsi" w:hAnsi="Helvetica" w:cs="Helvetica"/>
          <w:sz w:val="22"/>
          <w:szCs w:val="22"/>
          <w:lang w:eastAsia="es-ES_tradnl"/>
        </w:rPr>
        <w:t>Guainía</w:t>
      </w:r>
      <w:r w:rsidRPr="001B7E14">
        <w:rPr>
          <w:rFonts w:ascii="Helvetica" w:eastAsiaTheme="minorHAnsi" w:hAnsi="Helvetica" w:cs="Helvetica"/>
          <w:sz w:val="22"/>
          <w:szCs w:val="22"/>
          <w:lang w:eastAsia="es-ES_tradnl"/>
        </w:rPr>
        <w:t xml:space="preserve">. Serie "Historial de seguimiento y control a los recursos del </w:t>
      </w:r>
      <w:r w:rsidRPr="001B7E14">
        <w:rPr>
          <w:rFonts w:ascii="Helvetica" w:eastAsiaTheme="minorHAnsi" w:hAnsi="Helvetica" w:cs="Helvetica"/>
          <w:sz w:val="22"/>
          <w:szCs w:val="22"/>
          <w:lang w:eastAsia="es-ES_tradnl"/>
        </w:rPr>
        <w:lastRenderedPageBreak/>
        <w:t xml:space="preserve">Sistema General de Participaciones - Antecedentes de la medida". Expediente digital No. 135/2017/D028-PREDI. Enlace: </w:t>
      </w:r>
      <w:hyperlink r:id="rId37" w:history="1">
        <w:r w:rsidRPr="001B7E14">
          <w:rPr>
            <w:rStyle w:val="Hipervnculo"/>
            <w:rFonts w:ascii="Helvetica" w:eastAsiaTheme="minorHAnsi" w:hAnsi="Helvetica" w:cs="Helvetica"/>
            <w:color w:val="auto"/>
            <w:sz w:val="22"/>
            <w:szCs w:val="22"/>
            <w:lang w:eastAsia="es-ES_tradnl"/>
          </w:rPr>
          <w:t>https://bit.ly/3IFib9b</w:t>
        </w:r>
      </w:hyperlink>
    </w:p>
    <w:p w14:paraId="1BFAD942" w14:textId="77777777" w:rsidR="00AD0693" w:rsidRPr="001B7E14" w:rsidRDefault="00AD0693" w:rsidP="00FA42BB">
      <w:pPr>
        <w:numPr>
          <w:ilvl w:val="0"/>
          <w:numId w:val="31"/>
        </w:numPr>
        <w:ind w:left="284" w:hanging="284"/>
        <w:contextualSpacing/>
        <w:jc w:val="both"/>
        <w:rPr>
          <w:rFonts w:ascii="Helvetica" w:eastAsiaTheme="minorHAnsi" w:hAnsi="Helvetica" w:cs="Helvetica"/>
          <w:sz w:val="22"/>
          <w:szCs w:val="22"/>
          <w:lang w:eastAsia="es-ES_tradnl"/>
        </w:rPr>
      </w:pPr>
      <w:r w:rsidRPr="001B7E14">
        <w:rPr>
          <w:rFonts w:ascii="Helvetica" w:eastAsiaTheme="minorHAnsi" w:hAnsi="Helvetica" w:cs="Helvetica"/>
          <w:sz w:val="22"/>
          <w:szCs w:val="22"/>
          <w:lang w:eastAsia="es-ES_tradnl"/>
        </w:rPr>
        <w:t xml:space="preserve">Estudios de insuficiencia, reportados al SECOP como estudios previos del contrato 471 de 2021, Sector Educación. Departamento de </w:t>
      </w:r>
      <w:r w:rsidR="00342952" w:rsidRPr="001B7E14">
        <w:rPr>
          <w:rFonts w:ascii="Helvetica" w:eastAsiaTheme="minorHAnsi" w:hAnsi="Helvetica" w:cs="Helvetica"/>
          <w:sz w:val="22"/>
          <w:szCs w:val="22"/>
          <w:lang w:eastAsia="es-ES_tradnl"/>
        </w:rPr>
        <w:t>Guainía</w:t>
      </w:r>
      <w:r w:rsidRPr="001B7E14">
        <w:rPr>
          <w:rFonts w:ascii="Helvetica" w:eastAsiaTheme="minorHAnsi" w:hAnsi="Helvetica" w:cs="Helvetica"/>
          <w:sz w:val="22"/>
          <w:szCs w:val="22"/>
          <w:lang w:eastAsia="es-ES_tradnl"/>
        </w:rPr>
        <w:t>. Serie "Historial de seguimiento y control a los recursos del Sistema General de Participaciones - Antecedentes de la medida". Expediente digital No. 135/2017/D028-PREDI, radicado 1-2021-104463 22 de noviembre 2021. Enlace: https://bit.ly/3Pv3Mz2</w:t>
      </w:r>
    </w:p>
    <w:p w14:paraId="016D6796" w14:textId="77777777" w:rsidR="00AD0693" w:rsidRPr="001B7E14" w:rsidRDefault="00AD0693" w:rsidP="00FA42BB">
      <w:pPr>
        <w:numPr>
          <w:ilvl w:val="0"/>
          <w:numId w:val="31"/>
        </w:numPr>
        <w:ind w:left="284" w:hanging="284"/>
        <w:contextualSpacing/>
        <w:jc w:val="both"/>
        <w:rPr>
          <w:rFonts w:ascii="Helvetica" w:eastAsiaTheme="minorHAnsi" w:hAnsi="Helvetica" w:cs="Helvetica"/>
          <w:sz w:val="22"/>
          <w:szCs w:val="22"/>
          <w:lang w:eastAsia="es-ES_tradnl"/>
        </w:rPr>
      </w:pPr>
      <w:r w:rsidRPr="001B7E14">
        <w:rPr>
          <w:rFonts w:ascii="Helvetica" w:eastAsiaTheme="minorHAnsi" w:hAnsi="Helvetica" w:cs="Helvetica"/>
          <w:sz w:val="22"/>
          <w:szCs w:val="22"/>
          <w:lang w:eastAsia="es-ES_tradnl"/>
        </w:rPr>
        <w:t xml:space="preserve">Liquidación del contrato 471 de 2021. Sector Educación. Departamento de </w:t>
      </w:r>
      <w:r w:rsidR="00342952" w:rsidRPr="001B7E14">
        <w:rPr>
          <w:rFonts w:ascii="Helvetica" w:eastAsiaTheme="minorHAnsi" w:hAnsi="Helvetica" w:cs="Helvetica"/>
          <w:sz w:val="22"/>
          <w:szCs w:val="22"/>
          <w:lang w:eastAsia="es-ES_tradnl"/>
        </w:rPr>
        <w:t>Guainía</w:t>
      </w:r>
      <w:r w:rsidRPr="001B7E14">
        <w:rPr>
          <w:rFonts w:ascii="Helvetica" w:eastAsiaTheme="minorHAnsi" w:hAnsi="Helvetica" w:cs="Helvetica"/>
          <w:sz w:val="22"/>
          <w:szCs w:val="22"/>
          <w:lang w:eastAsia="es-ES_tradnl"/>
        </w:rPr>
        <w:t>. Serie "Historial de seguimiento y control a los recursos del Sistema General de Participaciones - Antecedentes de la medida". Expediente digital No. 135/2017/D028-PREDI. Enlace:</w:t>
      </w:r>
      <w:r w:rsidR="00507D31" w:rsidRPr="001B7E14">
        <w:rPr>
          <w:rFonts w:ascii="Helvetica" w:eastAsiaTheme="minorHAnsi" w:hAnsi="Helvetica" w:cs="Helvetica"/>
          <w:sz w:val="22"/>
          <w:szCs w:val="22"/>
          <w:lang w:eastAsia="es-ES_tradnl"/>
        </w:rPr>
        <w:t xml:space="preserve"> </w:t>
      </w:r>
      <w:hyperlink r:id="rId38" w:history="1">
        <w:r w:rsidRPr="001B7E14">
          <w:rPr>
            <w:rStyle w:val="Hipervnculo"/>
            <w:rFonts w:ascii="Helvetica" w:eastAsiaTheme="minorHAnsi" w:hAnsi="Helvetica" w:cs="Helvetica"/>
            <w:color w:val="auto"/>
            <w:sz w:val="22"/>
            <w:szCs w:val="22"/>
            <w:lang w:eastAsia="es-ES_tradnl"/>
          </w:rPr>
          <w:t>https://bit.ly/3zaAG26</w:t>
        </w:r>
      </w:hyperlink>
    </w:p>
    <w:p w14:paraId="5D2B9838" w14:textId="77777777" w:rsidR="00AD0693" w:rsidRPr="001B7E14" w:rsidRDefault="00AD0693" w:rsidP="00FA42BB">
      <w:pPr>
        <w:ind w:left="284"/>
        <w:contextualSpacing/>
        <w:jc w:val="both"/>
        <w:rPr>
          <w:rFonts w:ascii="Helvetica" w:hAnsi="Helvetica" w:cs="Helvetica"/>
          <w:sz w:val="22"/>
          <w:szCs w:val="22"/>
          <w:lang w:val="es-CO"/>
        </w:rPr>
      </w:pPr>
    </w:p>
    <w:p w14:paraId="6C7B750F" w14:textId="77777777" w:rsidR="00AD0693" w:rsidRPr="001B7E14" w:rsidRDefault="00AD0693" w:rsidP="00FA42BB">
      <w:pPr>
        <w:pStyle w:val="Ttulo"/>
        <w:numPr>
          <w:ilvl w:val="0"/>
          <w:numId w:val="33"/>
        </w:numPr>
        <w:rPr>
          <w:rFonts w:ascii="Helvetica" w:hAnsi="Helvetica" w:cs="Helvetica"/>
          <w:szCs w:val="22"/>
          <w:lang w:eastAsia="en-US"/>
        </w:rPr>
      </w:pPr>
      <w:r w:rsidRPr="001B7E14">
        <w:rPr>
          <w:rFonts w:ascii="Helvetica" w:hAnsi="Helvetica" w:cs="Helvetica"/>
          <w:szCs w:val="22"/>
          <w:lang w:eastAsia="en-US"/>
        </w:rPr>
        <w:t>Incumplimiento en la entrega de dotación según la Ley 70 de 1988</w:t>
      </w:r>
    </w:p>
    <w:p w14:paraId="5746A826" w14:textId="77777777" w:rsidR="00AD0693" w:rsidRPr="001B7E14" w:rsidRDefault="00AD0693" w:rsidP="00FA42BB">
      <w:pPr>
        <w:jc w:val="both"/>
        <w:rPr>
          <w:rFonts w:ascii="Helvetica" w:hAnsi="Helvetica" w:cs="Helvetica"/>
          <w:sz w:val="22"/>
          <w:szCs w:val="22"/>
          <w:lang w:val="es-CO"/>
        </w:rPr>
      </w:pPr>
    </w:p>
    <w:p w14:paraId="4CADA2A1"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 xml:space="preserve">La dotación es un derecho de recibir de forma material calzado y vestido apropiado para las labores que desempeñen los empleados públicos del nivel territorial del Sector Educación que devenguen una remuneración mensual inferior a dos veces el salario mínimo legal mensual vigente a partir de la expedición del Decreto 1919 de 2002, en los términos previstos en la Ley 70 de 1988 y el Decreto reglamentario 1978 de 1989, este último, determina en el artículo 2 que el suministro de la dotación deberá hacerse los días 30 de abril, 30 de agosto y 30 de diciembre de cada año. </w:t>
      </w:r>
    </w:p>
    <w:p w14:paraId="3C44D8C0" w14:textId="77777777" w:rsidR="00AD0693" w:rsidRPr="001B7E14" w:rsidRDefault="00AD0693" w:rsidP="00FA42BB">
      <w:pPr>
        <w:jc w:val="both"/>
        <w:rPr>
          <w:rFonts w:ascii="Helvetica" w:hAnsi="Helvetica" w:cs="Helvetica"/>
          <w:sz w:val="22"/>
          <w:szCs w:val="22"/>
          <w:lang w:val="es-CO"/>
        </w:rPr>
      </w:pPr>
    </w:p>
    <w:p w14:paraId="383C048F" w14:textId="77777777" w:rsidR="00AD0693" w:rsidRPr="001B7E14" w:rsidRDefault="00AD0693" w:rsidP="00FA42BB">
      <w:pPr>
        <w:autoSpaceDE w:val="0"/>
        <w:autoSpaceDN w:val="0"/>
        <w:adjustRightInd w:val="0"/>
        <w:jc w:val="both"/>
        <w:rPr>
          <w:rFonts w:ascii="Helvetica" w:hAnsi="Helvetica" w:cs="Helvetica"/>
          <w:sz w:val="22"/>
          <w:szCs w:val="22"/>
          <w:lang w:val="es-CO"/>
        </w:rPr>
      </w:pPr>
      <w:r w:rsidRPr="001B7E14">
        <w:rPr>
          <w:rFonts w:ascii="Helvetica" w:hAnsi="Helvetica" w:cs="Helvetica"/>
          <w:sz w:val="22"/>
          <w:szCs w:val="22"/>
          <w:lang w:val="es-CO"/>
        </w:rPr>
        <w:t>Para lo cual, el Ministerio de Educación Nacional en virtud del artículo 15 de la Ley 715 de 2001 gira mensualmente los recursos del Sistema General de Participaciones del Sector Educación en el Componente Prestación de Servicios para el pago de personal docente y administrativo de las instituciones educativas públicas y las contribuciones inherentes a la nómina y sus prestaciones sociales, con lo cual se debe financiar entre otros conceptos la dotación para los empleados públicos del nivel territorial que devenguen una remuneración mensual inferior a dos veces el salario mínimo legal mensual vigente. Al respecto el Ministerio de Educación Nacional mediante la Directiva 04 de 2003 señaló:</w:t>
      </w:r>
    </w:p>
    <w:p w14:paraId="7187AE60" w14:textId="77777777" w:rsidR="00AD0693" w:rsidRPr="001B7E14" w:rsidRDefault="00AD0693" w:rsidP="00FA42BB">
      <w:pPr>
        <w:autoSpaceDE w:val="0"/>
        <w:autoSpaceDN w:val="0"/>
        <w:adjustRightInd w:val="0"/>
        <w:jc w:val="both"/>
        <w:rPr>
          <w:rFonts w:ascii="Helvetica" w:hAnsi="Helvetica" w:cs="Helvetica"/>
          <w:sz w:val="22"/>
          <w:szCs w:val="22"/>
          <w:lang w:val="es-CO"/>
        </w:rPr>
      </w:pPr>
    </w:p>
    <w:p w14:paraId="7D397D33" w14:textId="77777777" w:rsidR="00AD0693" w:rsidRPr="001B7E14" w:rsidRDefault="00AD0693" w:rsidP="00B944D8">
      <w:pPr>
        <w:autoSpaceDE w:val="0"/>
        <w:autoSpaceDN w:val="0"/>
        <w:adjustRightInd w:val="0"/>
        <w:ind w:left="567" w:right="49"/>
        <w:jc w:val="both"/>
        <w:rPr>
          <w:rFonts w:ascii="Helvetica" w:hAnsi="Helvetica" w:cs="Helvetica"/>
          <w:sz w:val="20"/>
          <w:szCs w:val="20"/>
          <w:lang w:val="es-CO"/>
        </w:rPr>
      </w:pPr>
      <w:r w:rsidRPr="001B7E14">
        <w:rPr>
          <w:rFonts w:ascii="Helvetica" w:hAnsi="Helvetica" w:cs="Helvetica"/>
          <w:sz w:val="20"/>
          <w:szCs w:val="20"/>
          <w:lang w:val="es-CO"/>
        </w:rPr>
        <w:t>“</w:t>
      </w:r>
      <w:r w:rsidRPr="001B7E14">
        <w:rPr>
          <w:rFonts w:ascii="Helvetica" w:hAnsi="Helvetica" w:cs="Helvetica"/>
          <w:i/>
          <w:sz w:val="20"/>
          <w:szCs w:val="20"/>
          <w:lang w:val="es-CO"/>
        </w:rPr>
        <w:t>Los Departamentos y municipios certificados, con los recursos que se giran mensualmente para prestación de servicios, deberán hacer las respectivas reservas y provisiones para las prestaciones sociales que no son de exigibilidad mensual, tales como: primas de vacaciones, de navidad y dotación del personal docente y administrativo según Ley 70 de 1988</w:t>
      </w:r>
      <w:r w:rsidRPr="001B7E14">
        <w:rPr>
          <w:rFonts w:ascii="Helvetica" w:hAnsi="Helvetica" w:cs="Helvetica"/>
          <w:sz w:val="20"/>
          <w:szCs w:val="20"/>
          <w:lang w:val="es-CO"/>
        </w:rPr>
        <w:t>”.</w:t>
      </w:r>
    </w:p>
    <w:p w14:paraId="21851620" w14:textId="77777777" w:rsidR="00AD0693" w:rsidRPr="001B7E14" w:rsidRDefault="00AD0693" w:rsidP="00FA42BB">
      <w:pPr>
        <w:jc w:val="both"/>
        <w:rPr>
          <w:rFonts w:ascii="Helvetica" w:hAnsi="Helvetica" w:cs="Helvetica"/>
          <w:sz w:val="22"/>
          <w:szCs w:val="22"/>
          <w:lang w:val="es-CO"/>
        </w:rPr>
      </w:pPr>
    </w:p>
    <w:p w14:paraId="09AE8233"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 xml:space="preserve">Si la Entidad Territorial por falta de planeación y administración del recurso para la entrega del calzado y vestuario conforme la ley, genera deudas por este concepto, estos pasivos no deben ser financiados con recursos excedentes del Sistema General de Participaciones, ni con cargo a los recursos del Presupuesto General de la Nación, al carecer de fundamento legal y constitucional de acuerdo </w:t>
      </w:r>
      <w:r w:rsidR="00C80D7A" w:rsidRPr="001B7E14">
        <w:rPr>
          <w:rFonts w:ascii="Helvetica" w:hAnsi="Helvetica" w:cs="Helvetica"/>
          <w:sz w:val="22"/>
          <w:szCs w:val="22"/>
          <w:lang w:val="es-CO"/>
        </w:rPr>
        <w:t>con e</w:t>
      </w:r>
      <w:r w:rsidRPr="001B7E14">
        <w:rPr>
          <w:rFonts w:ascii="Helvetica" w:hAnsi="Helvetica" w:cs="Helvetica"/>
          <w:sz w:val="22"/>
          <w:szCs w:val="22"/>
          <w:lang w:val="es-CO"/>
        </w:rPr>
        <w:t>l artículo 148 de la Ley 1450 de 2011, dado que se origin</w:t>
      </w:r>
      <w:r w:rsidR="00C80D7A" w:rsidRPr="001B7E14">
        <w:rPr>
          <w:rFonts w:ascii="Helvetica" w:hAnsi="Helvetica" w:cs="Helvetica"/>
          <w:sz w:val="22"/>
          <w:szCs w:val="22"/>
          <w:lang w:val="es-CO"/>
        </w:rPr>
        <w:t xml:space="preserve">aron </w:t>
      </w:r>
      <w:r w:rsidRPr="001B7E14">
        <w:rPr>
          <w:rFonts w:ascii="Helvetica" w:hAnsi="Helvetica" w:cs="Helvetica"/>
          <w:sz w:val="22"/>
          <w:szCs w:val="22"/>
          <w:lang w:val="es-CO"/>
        </w:rPr>
        <w:t xml:space="preserve">por la omisión de la Entidad Territorial que contradijo el ordenamiento jurídico, </w:t>
      </w:r>
      <w:r w:rsidRPr="001B7E14">
        <w:rPr>
          <w:rFonts w:ascii="Helvetica" w:hAnsi="Helvetica" w:cs="Helvetica"/>
          <w:sz w:val="22"/>
          <w:szCs w:val="22"/>
          <w:lang w:val="es-CO"/>
        </w:rPr>
        <w:lastRenderedPageBreak/>
        <w:t>posición que recogió el Ministerio de Educación Nacional hasta la expedición de la Circular 18 de 2016.</w:t>
      </w:r>
    </w:p>
    <w:p w14:paraId="06C59754" w14:textId="77777777" w:rsidR="00AD0693" w:rsidRPr="001B7E14" w:rsidRDefault="00AD0693" w:rsidP="00FA42BB">
      <w:pPr>
        <w:jc w:val="both"/>
        <w:rPr>
          <w:rFonts w:ascii="Helvetica" w:hAnsi="Helvetica" w:cs="Helvetica"/>
          <w:sz w:val="22"/>
          <w:szCs w:val="22"/>
          <w:lang w:val="es-CO"/>
        </w:rPr>
      </w:pPr>
    </w:p>
    <w:p w14:paraId="654B18DA"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Adicionalmente, no es posible financiar deudas originadas por la no entrega de la dotación de la vigencia anterior con cargo a los recursos corrientes del Sistema General de Participaciones del Sector Educación, por tratarse de un gasto causado en la vigencia anterior.</w:t>
      </w:r>
    </w:p>
    <w:p w14:paraId="0D054AE6" w14:textId="77777777" w:rsidR="00AD0693" w:rsidRPr="001B7E14" w:rsidRDefault="00AD0693" w:rsidP="00FA42BB">
      <w:pPr>
        <w:jc w:val="both"/>
        <w:rPr>
          <w:rFonts w:ascii="Helvetica" w:hAnsi="Helvetica" w:cs="Helvetica"/>
          <w:sz w:val="22"/>
          <w:szCs w:val="22"/>
          <w:lang w:val="es-CO"/>
        </w:rPr>
      </w:pPr>
    </w:p>
    <w:p w14:paraId="1F171C05" w14:textId="77777777" w:rsidR="00AD0693" w:rsidRPr="001B7E14" w:rsidRDefault="00AD0693" w:rsidP="00FA42BB">
      <w:pPr>
        <w:autoSpaceDE w:val="0"/>
        <w:autoSpaceDN w:val="0"/>
        <w:adjustRightInd w:val="0"/>
        <w:jc w:val="both"/>
        <w:rPr>
          <w:rFonts w:ascii="Helvetica" w:hAnsi="Helvetica" w:cs="Helvetica"/>
          <w:sz w:val="22"/>
          <w:szCs w:val="22"/>
          <w:lang w:val="es-CO"/>
        </w:rPr>
      </w:pPr>
      <w:r w:rsidRPr="001B7E14">
        <w:rPr>
          <w:rFonts w:ascii="Helvetica" w:hAnsi="Helvetica" w:cs="Helvetica"/>
          <w:sz w:val="22"/>
          <w:szCs w:val="22"/>
          <w:lang w:val="es-CO"/>
        </w:rPr>
        <w:t>Ahora bien, en la vigencia 2016 el departamento de Guainía suscribió el Contrato de Dotación No. 854 del 7 de octubre de 2016 por un valor de $405.019.389 con recursos del Sistema General de Participaciones, con el objeto de “</w:t>
      </w:r>
      <w:r w:rsidRPr="001B7E14">
        <w:rPr>
          <w:rFonts w:ascii="Helvetica" w:hAnsi="Helvetica" w:cs="Helvetica"/>
          <w:i/>
          <w:sz w:val="22"/>
          <w:szCs w:val="22"/>
          <w:lang w:val="es-CO"/>
        </w:rPr>
        <w:t>Contratar el suministro de la dotación: calzado y vestido de labor para el personal docente, directivo docente y administrativo de la Secretaría de Educación Departamental del Guainía de la vigencia fiscal 2016”;</w:t>
      </w:r>
      <w:r w:rsidRPr="001B7E14">
        <w:rPr>
          <w:rFonts w:ascii="Helvetica" w:hAnsi="Helvetica" w:cs="Helvetica"/>
          <w:sz w:val="22"/>
          <w:szCs w:val="22"/>
          <w:lang w:val="es-CO"/>
        </w:rPr>
        <w:t xml:space="preserve"> de acuerdo con la fecha de suscripción del contrato se concluye que los dos primeros cuatrimestres se entregaron de forma extemporánea. </w:t>
      </w:r>
    </w:p>
    <w:p w14:paraId="549AA3B6" w14:textId="77777777" w:rsidR="00AD0693" w:rsidRPr="001B7E14" w:rsidRDefault="00AD0693" w:rsidP="00FA42BB">
      <w:pPr>
        <w:autoSpaceDE w:val="0"/>
        <w:autoSpaceDN w:val="0"/>
        <w:adjustRightInd w:val="0"/>
        <w:jc w:val="both"/>
        <w:rPr>
          <w:rFonts w:ascii="Helvetica" w:hAnsi="Helvetica" w:cs="Helvetica"/>
          <w:sz w:val="22"/>
          <w:szCs w:val="22"/>
          <w:lang w:val="es-CO"/>
        </w:rPr>
      </w:pPr>
    </w:p>
    <w:p w14:paraId="4B876A4A" w14:textId="77777777" w:rsidR="00AD0693" w:rsidRPr="001B7E14" w:rsidRDefault="00AD0693" w:rsidP="00FA42BB">
      <w:pPr>
        <w:autoSpaceDE w:val="0"/>
        <w:autoSpaceDN w:val="0"/>
        <w:adjustRightInd w:val="0"/>
        <w:jc w:val="both"/>
        <w:rPr>
          <w:rFonts w:ascii="Helvetica" w:hAnsi="Helvetica" w:cs="Helvetica"/>
          <w:sz w:val="22"/>
          <w:szCs w:val="22"/>
          <w:lang w:val="es-CO"/>
        </w:rPr>
      </w:pPr>
      <w:r w:rsidRPr="001B7E14">
        <w:rPr>
          <w:rFonts w:ascii="Helvetica" w:hAnsi="Helvetica" w:cs="Helvetica"/>
          <w:sz w:val="22"/>
          <w:szCs w:val="22"/>
          <w:lang w:val="es-CO"/>
        </w:rPr>
        <w:t>Para la vigencia de 2017, se encontró publicado en el SECOP el Contrato No. 853 del 12 de octubre 2017 suscrito con el señor Milton Alfonso Varón Suarez, por un valor de $408.001.515 con recursos del Sistema General de Participaciones, con el objeto: “</w:t>
      </w:r>
      <w:r w:rsidRPr="001B7E14">
        <w:rPr>
          <w:rFonts w:ascii="Helvetica" w:hAnsi="Helvetica" w:cs="Helvetica"/>
          <w:i/>
          <w:sz w:val="22"/>
          <w:szCs w:val="22"/>
          <w:lang w:val="es-CO"/>
        </w:rPr>
        <w:t>Suministro de la dotación para el personal docente, directivo docente y administrativo de la Secretaría de Educación Departamental para la vigencia 2017”</w:t>
      </w:r>
      <w:r w:rsidRPr="001B7E14">
        <w:rPr>
          <w:rFonts w:ascii="Helvetica" w:hAnsi="Helvetica" w:cs="Helvetica"/>
          <w:sz w:val="22"/>
          <w:szCs w:val="22"/>
          <w:lang w:val="es-CO"/>
        </w:rPr>
        <w:t xml:space="preserve">, evidenciándose que la entrega de la dotación se hizo de forma extemporánea para los primeros dos cuatrimestres ya que no cumplió con las fechas estipuladas en la Ley. </w:t>
      </w:r>
    </w:p>
    <w:p w14:paraId="25056550" w14:textId="77777777" w:rsidR="00AD0693" w:rsidRPr="001B7E14" w:rsidRDefault="00AD0693" w:rsidP="00FA42BB">
      <w:pPr>
        <w:jc w:val="both"/>
        <w:rPr>
          <w:rFonts w:ascii="Helvetica" w:hAnsi="Helvetica" w:cs="Helvetica"/>
          <w:sz w:val="22"/>
          <w:szCs w:val="22"/>
          <w:lang w:val="es-CO"/>
        </w:rPr>
      </w:pPr>
    </w:p>
    <w:p w14:paraId="5B0C6C07"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 xml:space="preserve">Para 2018, de acuerdo con los reportes del SECOP el 07 de diciembre de 2018 el departamento de Guainía suscribió el contrato No. 660, por $472.004.850 con el objeto de </w:t>
      </w:r>
      <w:r w:rsidRPr="001B7E14">
        <w:rPr>
          <w:rFonts w:ascii="Helvetica" w:hAnsi="Helvetica" w:cs="Helvetica"/>
          <w:i/>
          <w:sz w:val="22"/>
          <w:szCs w:val="22"/>
          <w:lang w:val="es-CO"/>
        </w:rPr>
        <w:t>“Suministro de dotación para el personal que labora en el departamento de Guainía para la vigencia 2018”</w:t>
      </w:r>
      <w:r w:rsidR="004F1FA5" w:rsidRPr="001B7E14">
        <w:rPr>
          <w:rFonts w:ascii="Helvetica" w:hAnsi="Helvetica" w:cs="Helvetica"/>
          <w:i/>
          <w:sz w:val="22"/>
          <w:szCs w:val="22"/>
          <w:lang w:val="es-CO"/>
        </w:rPr>
        <w:t xml:space="preserve">. </w:t>
      </w:r>
      <w:r w:rsidR="004F1FA5" w:rsidRPr="001B7E14">
        <w:rPr>
          <w:rFonts w:ascii="Helvetica" w:hAnsi="Helvetica" w:cs="Helvetica"/>
          <w:iCs/>
          <w:sz w:val="22"/>
          <w:szCs w:val="22"/>
          <w:lang w:val="es-CO"/>
        </w:rPr>
        <w:t>P</w:t>
      </w:r>
      <w:r w:rsidRPr="001B7E14">
        <w:rPr>
          <w:rFonts w:ascii="Helvetica" w:hAnsi="Helvetica" w:cs="Helvetica"/>
          <w:sz w:val="22"/>
          <w:szCs w:val="22"/>
          <w:lang w:val="es-CO"/>
        </w:rPr>
        <w:t xml:space="preserve">or lo tanto, en 2018 al igual que las vigencias anteriores, se incumplió con la entrega oportuna de la dotación. </w:t>
      </w:r>
    </w:p>
    <w:p w14:paraId="06992AB4" w14:textId="77777777" w:rsidR="00AD0693" w:rsidRPr="001B7E14" w:rsidRDefault="00AD0693" w:rsidP="00FA42BB">
      <w:pPr>
        <w:rPr>
          <w:rFonts w:ascii="Helvetica" w:hAnsi="Helvetica" w:cs="Helvetica"/>
          <w:sz w:val="22"/>
          <w:szCs w:val="22"/>
          <w:lang w:val="es-CO"/>
        </w:rPr>
      </w:pPr>
    </w:p>
    <w:p w14:paraId="3D07ECEB" w14:textId="77777777" w:rsidR="00AD0693" w:rsidRPr="001B7E14" w:rsidRDefault="00AD0693" w:rsidP="00FA42BB">
      <w:pPr>
        <w:jc w:val="both"/>
        <w:rPr>
          <w:rFonts w:ascii="Helvetica" w:hAnsi="Helvetica" w:cs="Helvetica"/>
          <w:iCs/>
          <w:sz w:val="22"/>
          <w:szCs w:val="22"/>
          <w:lang w:val="es-CO"/>
        </w:rPr>
      </w:pPr>
      <w:r w:rsidRPr="001B7E14">
        <w:rPr>
          <w:rFonts w:ascii="Helvetica" w:hAnsi="Helvetica" w:cs="Helvetica"/>
          <w:sz w:val="22"/>
          <w:szCs w:val="22"/>
          <w:lang w:val="es-CO"/>
        </w:rPr>
        <w:t>Respecto a la vigencia 2019 se pudo evidenciar que la entidad suscribió el contrato No. 619, con el objeto “</w:t>
      </w:r>
      <w:r w:rsidRPr="001B7E14">
        <w:rPr>
          <w:rFonts w:ascii="Helvetica" w:hAnsi="Helvetica" w:cs="Helvetica"/>
          <w:i/>
          <w:sz w:val="22"/>
          <w:szCs w:val="22"/>
          <w:lang w:val="es-CO"/>
        </w:rPr>
        <w:t xml:space="preserve">Suministro de dotación de labor para el personal administrativo, docente y directivo docente que labora en la Secretaría de Educación Departamental de la gobernación de </w:t>
      </w:r>
      <w:r w:rsidR="00342952" w:rsidRPr="001B7E14">
        <w:rPr>
          <w:rFonts w:ascii="Helvetica" w:hAnsi="Helvetica" w:cs="Helvetica"/>
          <w:i/>
          <w:sz w:val="22"/>
          <w:szCs w:val="22"/>
          <w:lang w:val="es-CO"/>
        </w:rPr>
        <w:t>Guainía</w:t>
      </w:r>
      <w:r w:rsidRPr="001B7E14">
        <w:rPr>
          <w:rFonts w:ascii="Helvetica" w:hAnsi="Helvetica" w:cs="Helvetica"/>
          <w:i/>
          <w:sz w:val="22"/>
          <w:szCs w:val="22"/>
          <w:lang w:val="es-CO"/>
        </w:rPr>
        <w:t>, de vigencia fiscal 2019 bajo la modalidad de bonos”</w:t>
      </w:r>
      <w:r w:rsidR="004F1FA5" w:rsidRPr="001B7E14">
        <w:rPr>
          <w:rFonts w:ascii="Helvetica" w:hAnsi="Helvetica" w:cs="Helvetica"/>
          <w:iCs/>
          <w:sz w:val="22"/>
          <w:szCs w:val="22"/>
          <w:lang w:val="es-CO"/>
        </w:rPr>
        <w:t>, p</w:t>
      </w:r>
      <w:r w:rsidRPr="001B7E14">
        <w:rPr>
          <w:rFonts w:ascii="Helvetica" w:hAnsi="Helvetica" w:cs="Helvetica"/>
          <w:iCs/>
          <w:sz w:val="22"/>
          <w:szCs w:val="22"/>
          <w:lang w:val="es-CO"/>
        </w:rPr>
        <w:t>or valor de $396.535.31, dicho contrato fue suscrito el 28 de octubre de 2019 por lo que se concluye que las dos primaras entregas se hicieron de forma extemporánea.</w:t>
      </w:r>
    </w:p>
    <w:p w14:paraId="7418CFAE" w14:textId="77777777" w:rsidR="00AD0693" w:rsidRPr="001B7E14" w:rsidRDefault="00AD0693" w:rsidP="00FA42BB">
      <w:pPr>
        <w:jc w:val="both"/>
        <w:rPr>
          <w:rFonts w:ascii="Helvetica" w:hAnsi="Helvetica" w:cs="Helvetica"/>
          <w:sz w:val="22"/>
          <w:szCs w:val="22"/>
          <w:lang w:val="es-CO"/>
        </w:rPr>
      </w:pPr>
    </w:p>
    <w:p w14:paraId="76E43E05" w14:textId="77777777" w:rsidR="00AD0693" w:rsidRPr="001B7E14" w:rsidRDefault="00AD0693" w:rsidP="00FA42BB">
      <w:pPr>
        <w:autoSpaceDE w:val="0"/>
        <w:autoSpaceDN w:val="0"/>
        <w:adjustRightInd w:val="0"/>
        <w:jc w:val="both"/>
        <w:rPr>
          <w:rFonts w:ascii="Helvetica" w:hAnsi="Helvetica" w:cs="Helvetica"/>
          <w:sz w:val="22"/>
          <w:szCs w:val="22"/>
          <w:lang w:val="es-CO"/>
        </w:rPr>
      </w:pPr>
      <w:r w:rsidRPr="001B7E14">
        <w:rPr>
          <w:rFonts w:ascii="Helvetica" w:hAnsi="Helvetica" w:cs="Helvetica"/>
          <w:sz w:val="22"/>
          <w:szCs w:val="22"/>
          <w:lang w:val="es-CO"/>
        </w:rPr>
        <w:t xml:space="preserve">Ahora bien, en la vigencia 2020 el departamento de Guainía suscribió el Contrato de Dotación No. 1135 del 30 de diciembre de 2020, por un valor de $363.899.991 con recursos del Sistema General de Participaciones, con el objeto de </w:t>
      </w:r>
      <w:r w:rsidRPr="001B7E14">
        <w:rPr>
          <w:rFonts w:ascii="Helvetica" w:hAnsi="Helvetica" w:cs="Helvetica"/>
          <w:i/>
          <w:iCs/>
          <w:sz w:val="22"/>
          <w:szCs w:val="22"/>
          <w:lang w:val="es-CO"/>
        </w:rPr>
        <w:t xml:space="preserve">“Suministro de dotación de labor para el personal administrativo, docente y directivo docente que labora en la secretaría de educación departamental, personal administrativo de la secretaría de salud departamental </w:t>
      </w:r>
      <w:r w:rsidRPr="001B7E14">
        <w:rPr>
          <w:rFonts w:ascii="Helvetica" w:hAnsi="Helvetica" w:cs="Helvetica"/>
          <w:i/>
          <w:iCs/>
          <w:sz w:val="22"/>
          <w:szCs w:val="22"/>
          <w:lang w:val="es-CO"/>
        </w:rPr>
        <w:lastRenderedPageBreak/>
        <w:t>y secretaría de gobierno, de la gobernación del Guainía vigencia fiscal 2020 bajo la modalidad de bonos</w:t>
      </w:r>
      <w:r w:rsidRPr="001B7E14">
        <w:rPr>
          <w:rFonts w:ascii="Helvetica" w:hAnsi="Helvetica" w:cs="Helvetica"/>
          <w:i/>
          <w:sz w:val="22"/>
          <w:szCs w:val="22"/>
          <w:lang w:val="es-CO"/>
        </w:rPr>
        <w:t>”;</w:t>
      </w:r>
      <w:r w:rsidRPr="001B7E14">
        <w:rPr>
          <w:rFonts w:ascii="Helvetica" w:hAnsi="Helvetica" w:cs="Helvetica"/>
          <w:sz w:val="22"/>
          <w:szCs w:val="22"/>
          <w:lang w:val="es-CO"/>
        </w:rPr>
        <w:t xml:space="preserve"> de acuerdo con la fecha de suscripción del contrato y las actas de entrega, se concluye que los tres cuatrimestres se entregaron de forma extemporánea. </w:t>
      </w:r>
    </w:p>
    <w:p w14:paraId="2D2C30BE" w14:textId="77777777" w:rsidR="00AD0693" w:rsidRPr="001B7E14" w:rsidRDefault="00AD0693" w:rsidP="00FA42BB">
      <w:pPr>
        <w:autoSpaceDE w:val="0"/>
        <w:autoSpaceDN w:val="0"/>
        <w:adjustRightInd w:val="0"/>
        <w:jc w:val="both"/>
        <w:rPr>
          <w:rFonts w:ascii="Helvetica" w:hAnsi="Helvetica" w:cs="Helvetica"/>
          <w:sz w:val="22"/>
          <w:szCs w:val="22"/>
          <w:lang w:val="es-CO"/>
        </w:rPr>
      </w:pPr>
    </w:p>
    <w:p w14:paraId="1356A44B" w14:textId="77777777" w:rsidR="00AD0693" w:rsidRPr="001B7E14" w:rsidRDefault="00AD0693" w:rsidP="00FA42BB">
      <w:pPr>
        <w:autoSpaceDE w:val="0"/>
        <w:autoSpaceDN w:val="0"/>
        <w:adjustRightInd w:val="0"/>
        <w:jc w:val="both"/>
        <w:rPr>
          <w:rFonts w:ascii="Helvetica" w:hAnsi="Helvetica" w:cs="Helvetica"/>
          <w:sz w:val="22"/>
          <w:szCs w:val="22"/>
          <w:lang w:val="es-CO"/>
        </w:rPr>
      </w:pPr>
      <w:r w:rsidRPr="001B7E14">
        <w:rPr>
          <w:rFonts w:ascii="Helvetica" w:hAnsi="Helvetica" w:cs="Helvetica"/>
          <w:sz w:val="22"/>
          <w:szCs w:val="22"/>
          <w:lang w:val="es-CO"/>
        </w:rPr>
        <w:t xml:space="preserve">Para la vigencia de 2021, el departamento de Guainía suscribió el Contrato de Dotación No. 1005 del 16 de septiembre de 2021 con Ingridt Johana Nuvan Padron con NIT No 42547504-1, por un valor de $520.981.000 con recursos del Sistema General de Participaciones, con el objeto de </w:t>
      </w:r>
      <w:r w:rsidRPr="001B7E14">
        <w:rPr>
          <w:rFonts w:ascii="Helvetica" w:hAnsi="Helvetica" w:cs="Helvetica"/>
          <w:i/>
          <w:iCs/>
          <w:sz w:val="22"/>
          <w:szCs w:val="22"/>
          <w:lang w:val="es-CO"/>
        </w:rPr>
        <w:t>“Suministro de dotación de labor para el personal administrativo, docente y directivo docente que labora en la secretaría de educación departamental, personal administrativo de la secretaría de salud departamental y secretaría de gobierno, de la gobernación del Guainía vigencia fiscal 2021 bajo la modalidad de bonos</w:t>
      </w:r>
      <w:r w:rsidRPr="001B7E14">
        <w:rPr>
          <w:rFonts w:ascii="Helvetica" w:hAnsi="Helvetica" w:cs="Helvetica"/>
          <w:i/>
          <w:sz w:val="22"/>
          <w:szCs w:val="22"/>
          <w:lang w:val="es-CO"/>
        </w:rPr>
        <w:t>”;</w:t>
      </w:r>
      <w:r w:rsidRPr="001B7E14">
        <w:rPr>
          <w:rFonts w:ascii="Helvetica" w:hAnsi="Helvetica" w:cs="Helvetica"/>
          <w:sz w:val="22"/>
          <w:szCs w:val="22"/>
          <w:lang w:val="es-CO"/>
        </w:rPr>
        <w:t xml:space="preserve"> de acuerdo con la fecha de suscripción del contrato</w:t>
      </w:r>
      <w:r w:rsidR="004F1FA5" w:rsidRPr="001B7E14">
        <w:rPr>
          <w:rFonts w:ascii="Helvetica" w:hAnsi="Helvetica" w:cs="Helvetica"/>
          <w:sz w:val="22"/>
          <w:szCs w:val="22"/>
          <w:lang w:val="es-CO"/>
        </w:rPr>
        <w:t xml:space="preserve">, </w:t>
      </w:r>
      <w:r w:rsidRPr="001B7E14">
        <w:rPr>
          <w:rFonts w:ascii="Helvetica" w:hAnsi="Helvetica" w:cs="Helvetica"/>
          <w:sz w:val="22"/>
          <w:szCs w:val="22"/>
          <w:lang w:val="es-CO"/>
        </w:rPr>
        <w:t>la primera y segunda entrega</w:t>
      </w:r>
      <w:r w:rsidR="004F1FA5" w:rsidRPr="001B7E14">
        <w:rPr>
          <w:rFonts w:ascii="Helvetica" w:hAnsi="Helvetica" w:cs="Helvetica"/>
          <w:sz w:val="22"/>
          <w:szCs w:val="22"/>
          <w:lang w:val="es-CO"/>
        </w:rPr>
        <w:t>s</w:t>
      </w:r>
      <w:r w:rsidR="00507D31" w:rsidRPr="001B7E14">
        <w:rPr>
          <w:rFonts w:ascii="Helvetica" w:hAnsi="Helvetica" w:cs="Helvetica"/>
          <w:sz w:val="22"/>
          <w:szCs w:val="22"/>
          <w:lang w:val="es-CO"/>
        </w:rPr>
        <w:t xml:space="preserve"> </w:t>
      </w:r>
      <w:r w:rsidRPr="001B7E14">
        <w:rPr>
          <w:rFonts w:ascii="Helvetica" w:hAnsi="Helvetica" w:cs="Helvetica"/>
          <w:sz w:val="22"/>
          <w:szCs w:val="22"/>
          <w:lang w:val="es-CO"/>
        </w:rPr>
        <w:t>también</w:t>
      </w:r>
      <w:r w:rsidR="00507D31" w:rsidRPr="001B7E14">
        <w:rPr>
          <w:rFonts w:ascii="Helvetica" w:hAnsi="Helvetica" w:cs="Helvetica"/>
          <w:sz w:val="22"/>
          <w:szCs w:val="22"/>
          <w:lang w:val="es-CO"/>
        </w:rPr>
        <w:t xml:space="preserve"> </w:t>
      </w:r>
      <w:r w:rsidR="004F1FA5" w:rsidRPr="001B7E14">
        <w:rPr>
          <w:rFonts w:ascii="Helvetica" w:hAnsi="Helvetica" w:cs="Helvetica"/>
          <w:sz w:val="22"/>
          <w:szCs w:val="22"/>
          <w:lang w:val="es-CO"/>
        </w:rPr>
        <w:t>se realizaron de por fuera de los términos definidos en la normatividad vigente</w:t>
      </w:r>
      <w:r w:rsidRPr="001B7E14">
        <w:rPr>
          <w:rFonts w:ascii="Helvetica" w:hAnsi="Helvetica" w:cs="Helvetica"/>
          <w:sz w:val="22"/>
          <w:szCs w:val="22"/>
          <w:lang w:val="es-CO"/>
        </w:rPr>
        <w:t>.</w:t>
      </w:r>
    </w:p>
    <w:p w14:paraId="7DE99EB8" w14:textId="77777777" w:rsidR="00F65426" w:rsidRPr="001B7E14" w:rsidRDefault="00F65426" w:rsidP="00FA42BB">
      <w:pPr>
        <w:autoSpaceDE w:val="0"/>
        <w:autoSpaceDN w:val="0"/>
        <w:adjustRightInd w:val="0"/>
        <w:jc w:val="both"/>
        <w:rPr>
          <w:rFonts w:ascii="Helvetica" w:hAnsi="Helvetica" w:cs="Helvetica"/>
          <w:sz w:val="22"/>
          <w:szCs w:val="22"/>
          <w:lang w:val="es-CO"/>
        </w:rPr>
      </w:pPr>
    </w:p>
    <w:p w14:paraId="067AF202" w14:textId="77777777" w:rsidR="00E71C3E" w:rsidRPr="001B7E14" w:rsidRDefault="00BE4802" w:rsidP="00FA42BB">
      <w:pPr>
        <w:autoSpaceDE w:val="0"/>
        <w:autoSpaceDN w:val="0"/>
        <w:adjustRightInd w:val="0"/>
        <w:jc w:val="both"/>
        <w:rPr>
          <w:rFonts w:ascii="Helvetica" w:hAnsi="Helvetica" w:cs="Helvetica"/>
          <w:sz w:val="22"/>
          <w:szCs w:val="22"/>
          <w:lang w:val="es-CO"/>
        </w:rPr>
      </w:pPr>
      <w:r w:rsidRPr="001B7E14">
        <w:rPr>
          <w:rFonts w:ascii="Helvetica" w:hAnsi="Helvetica" w:cs="Helvetica"/>
          <w:sz w:val="22"/>
          <w:szCs w:val="22"/>
          <w:lang w:val="es-CO"/>
        </w:rPr>
        <w:t>Con respecto a</w:t>
      </w:r>
      <w:r w:rsidR="00E71C3E" w:rsidRPr="001B7E14">
        <w:rPr>
          <w:rFonts w:ascii="Helvetica" w:hAnsi="Helvetica" w:cs="Helvetica"/>
          <w:sz w:val="22"/>
          <w:szCs w:val="22"/>
          <w:lang w:val="es-CO"/>
        </w:rPr>
        <w:t xml:space="preserve"> la vigencia de 2022, la Gobernación suscribió el Contrato de Dotación No. 1015 del 30 se septiembre de 2022 con </w:t>
      </w:r>
      <w:proofErr w:type="spellStart"/>
      <w:r w:rsidR="00E71C3E" w:rsidRPr="001B7E14">
        <w:rPr>
          <w:rFonts w:ascii="Helvetica" w:hAnsi="Helvetica" w:cs="Helvetica"/>
          <w:sz w:val="22"/>
          <w:szCs w:val="22"/>
          <w:lang w:val="es-CO"/>
        </w:rPr>
        <w:t>Ingridt</w:t>
      </w:r>
      <w:proofErr w:type="spellEnd"/>
      <w:r w:rsidR="00E71C3E" w:rsidRPr="001B7E14">
        <w:rPr>
          <w:rFonts w:ascii="Helvetica" w:hAnsi="Helvetica" w:cs="Helvetica"/>
          <w:sz w:val="22"/>
          <w:szCs w:val="22"/>
          <w:lang w:val="es-CO"/>
        </w:rPr>
        <w:t xml:space="preserve"> Johana </w:t>
      </w:r>
      <w:proofErr w:type="spellStart"/>
      <w:r w:rsidR="00E71C3E" w:rsidRPr="001B7E14">
        <w:rPr>
          <w:rFonts w:ascii="Helvetica" w:hAnsi="Helvetica" w:cs="Helvetica"/>
          <w:sz w:val="22"/>
          <w:szCs w:val="22"/>
          <w:lang w:val="es-CO"/>
        </w:rPr>
        <w:t>Nuvan</w:t>
      </w:r>
      <w:proofErr w:type="spellEnd"/>
      <w:r w:rsidR="00E71C3E" w:rsidRPr="001B7E14">
        <w:rPr>
          <w:rFonts w:ascii="Helvetica" w:hAnsi="Helvetica" w:cs="Helvetica"/>
          <w:sz w:val="22"/>
          <w:szCs w:val="22"/>
          <w:lang w:val="es-CO"/>
        </w:rPr>
        <w:t xml:space="preserve"> </w:t>
      </w:r>
      <w:proofErr w:type="spellStart"/>
      <w:r w:rsidR="00E71C3E" w:rsidRPr="001B7E14">
        <w:rPr>
          <w:rFonts w:ascii="Helvetica" w:hAnsi="Helvetica" w:cs="Helvetica"/>
          <w:sz w:val="22"/>
          <w:szCs w:val="22"/>
          <w:lang w:val="es-CO"/>
        </w:rPr>
        <w:t>Padron</w:t>
      </w:r>
      <w:proofErr w:type="spellEnd"/>
      <w:r w:rsidR="00E71C3E" w:rsidRPr="001B7E14">
        <w:rPr>
          <w:rFonts w:ascii="Helvetica" w:hAnsi="Helvetica" w:cs="Helvetica"/>
          <w:sz w:val="22"/>
          <w:szCs w:val="22"/>
          <w:lang w:val="es-CO"/>
        </w:rPr>
        <w:t xml:space="preserve"> con</w:t>
      </w:r>
      <w:r w:rsidRPr="001B7E14">
        <w:rPr>
          <w:rFonts w:ascii="Helvetica" w:hAnsi="Helvetica" w:cs="Helvetica"/>
          <w:sz w:val="22"/>
          <w:szCs w:val="22"/>
          <w:lang w:val="es-CO"/>
        </w:rPr>
        <w:t xml:space="preserve"> NIT No 42547504-1, por</w:t>
      </w:r>
      <w:r w:rsidR="005910B9">
        <w:rPr>
          <w:rFonts w:ascii="Helvetica" w:hAnsi="Helvetica" w:cs="Helvetica"/>
          <w:sz w:val="22"/>
          <w:szCs w:val="22"/>
          <w:lang w:val="es-CO"/>
        </w:rPr>
        <w:t xml:space="preserve"> </w:t>
      </w:r>
      <w:r w:rsidR="00E71C3E" w:rsidRPr="001B7E14">
        <w:rPr>
          <w:rFonts w:ascii="Helvetica" w:hAnsi="Helvetica" w:cs="Helvetica"/>
          <w:sz w:val="22"/>
          <w:szCs w:val="22"/>
          <w:lang w:val="es-CO"/>
        </w:rPr>
        <w:t xml:space="preserve">$552.255.000 </w:t>
      </w:r>
      <w:r w:rsidR="0079746C">
        <w:rPr>
          <w:rFonts w:ascii="Helvetica" w:hAnsi="Helvetica" w:cs="Helvetica"/>
          <w:sz w:val="22"/>
          <w:szCs w:val="22"/>
          <w:lang w:val="es-CO"/>
        </w:rPr>
        <w:t xml:space="preserve">financiado </w:t>
      </w:r>
      <w:r w:rsidR="00E71C3E" w:rsidRPr="001B7E14">
        <w:rPr>
          <w:rFonts w:ascii="Helvetica" w:hAnsi="Helvetica" w:cs="Helvetica"/>
          <w:sz w:val="22"/>
          <w:szCs w:val="22"/>
          <w:lang w:val="es-CO"/>
        </w:rPr>
        <w:t>con recursos del Sistema General de Participaciones, c</w:t>
      </w:r>
      <w:r w:rsidRPr="001B7E14">
        <w:rPr>
          <w:rFonts w:ascii="Helvetica" w:hAnsi="Helvetica" w:cs="Helvetica"/>
          <w:sz w:val="22"/>
          <w:szCs w:val="22"/>
          <w:lang w:val="es-CO"/>
        </w:rPr>
        <w:t>uyo</w:t>
      </w:r>
      <w:r w:rsidR="005910B9">
        <w:rPr>
          <w:rFonts w:ascii="Helvetica" w:hAnsi="Helvetica" w:cs="Helvetica"/>
          <w:sz w:val="22"/>
          <w:szCs w:val="22"/>
          <w:lang w:val="es-CO"/>
        </w:rPr>
        <w:t xml:space="preserve"> </w:t>
      </w:r>
      <w:r w:rsidRPr="001B7E14">
        <w:rPr>
          <w:rFonts w:ascii="Helvetica" w:hAnsi="Helvetica" w:cs="Helvetica"/>
          <w:sz w:val="22"/>
          <w:szCs w:val="22"/>
          <w:lang w:val="es-CO"/>
        </w:rPr>
        <w:t>objeto es el</w:t>
      </w:r>
      <w:r w:rsidR="00E71C3E" w:rsidRPr="001B7E14">
        <w:rPr>
          <w:rFonts w:ascii="Helvetica" w:hAnsi="Helvetica" w:cs="Helvetica"/>
          <w:sz w:val="22"/>
          <w:szCs w:val="22"/>
          <w:lang w:val="es-CO"/>
        </w:rPr>
        <w:t xml:space="preserve"> “Suministro de dotación de labor para el personal administrativo, docente y directivo docente que labora en la secretaría de educación departamental, personal administrativo de la secretaría de salud departamental y secretaría de gobierno, de la gobernación del Guainía, vigencia fiscal 2022 bajo la modalidad de bonos”; de acuerdo con la fecha de suscripción del contrato, la primera y segunda entregas también se realizaron de por fuera de los términos definidos en la normatividad vigente.</w:t>
      </w:r>
    </w:p>
    <w:p w14:paraId="35A2DF44" w14:textId="77777777" w:rsidR="00AD0693" w:rsidRPr="001B7E14" w:rsidRDefault="00AD0693" w:rsidP="00FA42BB">
      <w:pPr>
        <w:jc w:val="both"/>
        <w:rPr>
          <w:rFonts w:ascii="Helvetica" w:hAnsi="Helvetica" w:cs="Helvetica"/>
          <w:sz w:val="22"/>
          <w:szCs w:val="22"/>
          <w:lang w:val="es-CO"/>
        </w:rPr>
      </w:pPr>
    </w:p>
    <w:p w14:paraId="445BF172" w14:textId="77777777" w:rsidR="00AD0693" w:rsidRPr="001B7E14" w:rsidRDefault="004F1FA5" w:rsidP="004F1FA5">
      <w:pPr>
        <w:jc w:val="both"/>
        <w:rPr>
          <w:rFonts w:ascii="Helvetica" w:hAnsi="Helvetica" w:cs="Helvetica"/>
          <w:sz w:val="22"/>
          <w:szCs w:val="22"/>
          <w:lang w:val="es-CO"/>
        </w:rPr>
      </w:pPr>
      <w:r w:rsidRPr="001B7E14">
        <w:rPr>
          <w:rFonts w:ascii="Helvetica" w:hAnsi="Helvetica" w:cs="Helvetica"/>
          <w:sz w:val="22"/>
          <w:szCs w:val="22"/>
          <w:lang w:val="es-CO"/>
        </w:rPr>
        <w:t>En consecuencia, se evidencia que la omisión y falta de planeación contractual de la Entidad Territorial vulneran o lo descrito por la Ley 70 de 1988 y el Decreto reglamentario 1978 de 1989 que determina que esta prestación deberá reconocerse cada cuatro (4) meses durante la respectiva vigencia fiscal. Así mismo, la situación descrita puso en riesgo el cumplimiento de las obligaciones laborales del Departamento y lo expone a eventuales demandas o generación de deudas del Sector.</w:t>
      </w:r>
    </w:p>
    <w:p w14:paraId="164A6FAB" w14:textId="77777777" w:rsidR="004F1FA5" w:rsidRPr="001B7E14" w:rsidRDefault="004F1FA5" w:rsidP="004F1FA5">
      <w:pPr>
        <w:jc w:val="both"/>
        <w:rPr>
          <w:rFonts w:ascii="Helvetica" w:hAnsi="Helvetica" w:cs="Helvetica"/>
          <w:sz w:val="22"/>
          <w:szCs w:val="22"/>
          <w:lang w:val="es-CO"/>
        </w:rPr>
      </w:pPr>
    </w:p>
    <w:p w14:paraId="40AAB103"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b/>
          <w:sz w:val="22"/>
          <w:szCs w:val="22"/>
          <w:lang w:val="es-CO"/>
        </w:rPr>
        <w:t>Evidencias:</w:t>
      </w:r>
      <w:r w:rsidRPr="001B7E14">
        <w:rPr>
          <w:rFonts w:ascii="Helvetica" w:hAnsi="Helvetica" w:cs="Helvetica"/>
          <w:sz w:val="22"/>
          <w:szCs w:val="22"/>
          <w:lang w:val="es-CO"/>
        </w:rPr>
        <w:t xml:space="preserve"> Obra en el expediente el siguiente material probatorio:</w:t>
      </w:r>
    </w:p>
    <w:p w14:paraId="6F559B46" w14:textId="77777777" w:rsidR="00AD0693" w:rsidRPr="001B7E14" w:rsidRDefault="00AD0693" w:rsidP="00FA42BB">
      <w:pPr>
        <w:numPr>
          <w:ilvl w:val="0"/>
          <w:numId w:val="31"/>
        </w:numPr>
        <w:ind w:left="284" w:hanging="284"/>
        <w:contextualSpacing/>
        <w:jc w:val="both"/>
        <w:rPr>
          <w:rFonts w:ascii="Helvetica" w:hAnsi="Helvetica" w:cs="Helvetica"/>
          <w:sz w:val="22"/>
          <w:szCs w:val="22"/>
          <w:lang w:val="es-CO"/>
        </w:rPr>
      </w:pPr>
      <w:r w:rsidRPr="001B7E14">
        <w:rPr>
          <w:rFonts w:ascii="Helvetica" w:hAnsi="Helvetica" w:cs="Helvetica"/>
          <w:sz w:val="22"/>
          <w:szCs w:val="22"/>
          <w:lang w:val="es-CO"/>
        </w:rPr>
        <w:t>Contrato de Dotación 2016, No. 854 del 7 de octubre de 2016. (Carpeta de antecedentes No. 1- Departamento de Guainía, medio magnético, CD No. 1 Referencia cruzada folio 7).</w:t>
      </w:r>
    </w:p>
    <w:p w14:paraId="4232CECE" w14:textId="77777777" w:rsidR="00AD0693" w:rsidRPr="001B7E14" w:rsidRDefault="00AD0693" w:rsidP="00FA42BB">
      <w:pPr>
        <w:numPr>
          <w:ilvl w:val="0"/>
          <w:numId w:val="31"/>
        </w:numPr>
        <w:ind w:left="284" w:hanging="284"/>
        <w:contextualSpacing/>
        <w:jc w:val="both"/>
        <w:rPr>
          <w:rFonts w:ascii="Helvetica" w:hAnsi="Helvetica" w:cs="Helvetica"/>
          <w:sz w:val="22"/>
          <w:szCs w:val="22"/>
          <w:lang w:val="es-CO"/>
        </w:rPr>
      </w:pPr>
      <w:r w:rsidRPr="001B7E14">
        <w:rPr>
          <w:rFonts w:ascii="Helvetica" w:hAnsi="Helvetica" w:cs="Helvetica"/>
          <w:sz w:val="22"/>
          <w:szCs w:val="22"/>
          <w:lang w:val="es-CO"/>
        </w:rPr>
        <w:t>Contrato No. 853 del 12 de octubre 2017. (Carpeta de antecedentes No. 1- Departamento de Guainía, medio magnético, CD No. 1 Referencia cruzada folio 7).</w:t>
      </w:r>
    </w:p>
    <w:p w14:paraId="323490C6" w14:textId="77777777" w:rsidR="00AD0693" w:rsidRPr="001B7E14" w:rsidRDefault="00AD0693" w:rsidP="00FA42BB">
      <w:pPr>
        <w:numPr>
          <w:ilvl w:val="0"/>
          <w:numId w:val="31"/>
        </w:numPr>
        <w:ind w:left="284" w:hanging="284"/>
        <w:contextualSpacing/>
        <w:jc w:val="both"/>
        <w:rPr>
          <w:rFonts w:ascii="Helvetica" w:hAnsi="Helvetica" w:cs="Helvetica"/>
          <w:sz w:val="22"/>
          <w:szCs w:val="22"/>
          <w:lang w:val="es-CO"/>
        </w:rPr>
      </w:pPr>
      <w:r w:rsidRPr="001B7E14">
        <w:rPr>
          <w:rFonts w:ascii="Helvetica" w:hAnsi="Helvetica" w:cs="Helvetica"/>
          <w:sz w:val="22"/>
          <w:szCs w:val="22"/>
          <w:lang w:val="es-CO"/>
        </w:rPr>
        <w:t>Contrato No. 660 del 07 de diciembre de 2018. (Carpeta de antecedentes No. 1- Departamento de Guainía, medio magnético, CD No. 1 Referencia cruzada folio 7).</w:t>
      </w:r>
    </w:p>
    <w:p w14:paraId="25A2D0E6" w14:textId="77777777" w:rsidR="00AD0693" w:rsidRPr="001B7E14" w:rsidRDefault="00F36CA9" w:rsidP="00FA42BB">
      <w:pPr>
        <w:numPr>
          <w:ilvl w:val="0"/>
          <w:numId w:val="31"/>
        </w:numPr>
        <w:ind w:left="284" w:hanging="284"/>
        <w:contextualSpacing/>
        <w:jc w:val="both"/>
        <w:rPr>
          <w:rFonts w:ascii="Helvetica" w:hAnsi="Helvetica" w:cs="Helvetica"/>
          <w:sz w:val="22"/>
          <w:szCs w:val="22"/>
          <w:lang w:val="es-CO"/>
        </w:rPr>
      </w:pPr>
      <w:r w:rsidRPr="001B7E14">
        <w:rPr>
          <w:rFonts w:ascii="Helvetica" w:eastAsiaTheme="minorHAnsi" w:hAnsi="Helvetica" w:cs="Helvetica"/>
          <w:sz w:val="22"/>
          <w:szCs w:val="22"/>
          <w:lang w:eastAsia="es-ES_tradnl"/>
        </w:rPr>
        <w:t>Contrato No. 619 del</w:t>
      </w:r>
      <w:r w:rsidR="00AD0693" w:rsidRPr="001B7E14">
        <w:rPr>
          <w:rFonts w:ascii="Helvetica" w:eastAsiaTheme="minorHAnsi" w:hAnsi="Helvetica" w:cs="Helvetica"/>
          <w:sz w:val="22"/>
          <w:szCs w:val="22"/>
          <w:lang w:eastAsia="es-ES_tradnl"/>
        </w:rPr>
        <w:t xml:space="preserve"> 28 de octubre de 2019. Sector Educación. Departamento de </w:t>
      </w:r>
      <w:r w:rsidR="00342952" w:rsidRPr="001B7E14">
        <w:rPr>
          <w:rFonts w:ascii="Helvetica" w:eastAsiaTheme="minorHAnsi" w:hAnsi="Helvetica" w:cs="Helvetica"/>
          <w:sz w:val="22"/>
          <w:szCs w:val="22"/>
          <w:lang w:eastAsia="es-ES_tradnl"/>
        </w:rPr>
        <w:t>Guainía</w:t>
      </w:r>
      <w:r w:rsidR="00AD0693" w:rsidRPr="001B7E14">
        <w:rPr>
          <w:rFonts w:ascii="Helvetica" w:eastAsiaTheme="minorHAnsi" w:hAnsi="Helvetica" w:cs="Helvetica"/>
          <w:sz w:val="22"/>
          <w:szCs w:val="22"/>
          <w:lang w:eastAsia="es-ES_tradnl"/>
        </w:rPr>
        <w:t xml:space="preserve">. Serie "Historial de seguimiento y control a los recursos del Sistema General de </w:t>
      </w:r>
      <w:r w:rsidR="00AD0693" w:rsidRPr="001B7E14">
        <w:rPr>
          <w:rFonts w:ascii="Helvetica" w:eastAsiaTheme="minorHAnsi" w:hAnsi="Helvetica" w:cs="Helvetica"/>
          <w:sz w:val="22"/>
          <w:szCs w:val="22"/>
          <w:lang w:eastAsia="es-ES_tradnl"/>
        </w:rPr>
        <w:lastRenderedPageBreak/>
        <w:t>Participaciones - Antecedentes de la medida". Expediente digital No. 135/2017/D028-PREDI. Enlace: </w:t>
      </w:r>
      <w:hyperlink r:id="rId39" w:history="1">
        <w:r w:rsidR="00AD0693" w:rsidRPr="001B7E14">
          <w:rPr>
            <w:rStyle w:val="Hipervnculo"/>
            <w:rFonts w:ascii="Helvetica" w:eastAsiaTheme="minorHAnsi" w:hAnsi="Helvetica" w:cs="Helvetica"/>
            <w:color w:val="auto"/>
            <w:sz w:val="22"/>
            <w:szCs w:val="22"/>
            <w:lang w:eastAsia="es-ES_tradnl"/>
          </w:rPr>
          <w:t>https://bit.ly/3AZAaWe</w:t>
        </w:r>
      </w:hyperlink>
    </w:p>
    <w:p w14:paraId="7234E0A4" w14:textId="77777777" w:rsidR="00AD0693" w:rsidRPr="001B7E14" w:rsidRDefault="00AD0693" w:rsidP="00FA42BB">
      <w:pPr>
        <w:numPr>
          <w:ilvl w:val="0"/>
          <w:numId w:val="31"/>
        </w:numPr>
        <w:ind w:left="284" w:hanging="284"/>
        <w:contextualSpacing/>
        <w:jc w:val="both"/>
        <w:rPr>
          <w:rFonts w:ascii="Helvetica" w:eastAsiaTheme="minorHAnsi" w:hAnsi="Helvetica" w:cs="Helvetica"/>
          <w:sz w:val="22"/>
          <w:szCs w:val="22"/>
          <w:lang w:eastAsia="es-ES_tradnl"/>
        </w:rPr>
      </w:pPr>
      <w:r w:rsidRPr="001B7E14">
        <w:rPr>
          <w:rFonts w:ascii="Helvetica" w:eastAsiaTheme="minorHAnsi" w:hAnsi="Helvetica" w:cs="Helvetica"/>
          <w:sz w:val="22"/>
          <w:szCs w:val="22"/>
          <w:lang w:eastAsia="es-ES_tradnl"/>
        </w:rPr>
        <w:t xml:space="preserve">Contrato No. 1135 del 30 de diciembre de 2020 de Dotación de personal. Sector Educación. Departamento de </w:t>
      </w:r>
      <w:r w:rsidR="00342952" w:rsidRPr="001B7E14">
        <w:rPr>
          <w:rFonts w:ascii="Helvetica" w:eastAsiaTheme="minorHAnsi" w:hAnsi="Helvetica" w:cs="Helvetica"/>
          <w:sz w:val="22"/>
          <w:szCs w:val="22"/>
          <w:lang w:eastAsia="es-ES_tradnl"/>
        </w:rPr>
        <w:t>Guainía</w:t>
      </w:r>
      <w:r w:rsidRPr="001B7E14">
        <w:rPr>
          <w:rFonts w:ascii="Helvetica" w:eastAsiaTheme="minorHAnsi" w:hAnsi="Helvetica" w:cs="Helvetica"/>
          <w:sz w:val="22"/>
          <w:szCs w:val="22"/>
          <w:lang w:eastAsia="es-ES_tradnl"/>
        </w:rPr>
        <w:t>. Serie "Historial de seguimiento y control a los recursos del Sistema General de Participaciones - Antecedentes de la medida". Expediente digital No. 135/2017/D028-PREDI, radicado 1-2021-104463 22 de noviembre 2021. Enlace: https://bit.ly/3opuRaY</w:t>
      </w:r>
    </w:p>
    <w:p w14:paraId="719AF2A7" w14:textId="77777777" w:rsidR="000D2D2D" w:rsidRPr="001B7E14" w:rsidRDefault="00AD0693" w:rsidP="000D2D2D">
      <w:pPr>
        <w:numPr>
          <w:ilvl w:val="0"/>
          <w:numId w:val="31"/>
        </w:numPr>
        <w:ind w:left="284" w:hanging="284"/>
        <w:contextualSpacing/>
        <w:jc w:val="both"/>
        <w:rPr>
          <w:rFonts w:ascii="Helvetica" w:eastAsiaTheme="minorHAnsi" w:hAnsi="Helvetica" w:cs="Helvetica"/>
          <w:sz w:val="22"/>
          <w:szCs w:val="22"/>
          <w:lang w:eastAsia="es-ES_tradnl"/>
        </w:rPr>
      </w:pPr>
      <w:r w:rsidRPr="001B7E14">
        <w:rPr>
          <w:rFonts w:ascii="Helvetica" w:eastAsiaTheme="minorHAnsi" w:hAnsi="Helvetica" w:cs="Helvetica"/>
          <w:sz w:val="22"/>
          <w:szCs w:val="22"/>
          <w:lang w:eastAsia="es-ES_tradnl"/>
        </w:rPr>
        <w:t>Contrato No. 1005 del 16 de sep</w:t>
      </w:r>
      <w:r w:rsidR="00F36CA9" w:rsidRPr="001B7E14">
        <w:rPr>
          <w:rFonts w:ascii="Helvetica" w:eastAsiaTheme="minorHAnsi" w:hAnsi="Helvetica" w:cs="Helvetica"/>
          <w:sz w:val="22"/>
          <w:szCs w:val="22"/>
          <w:lang w:eastAsia="es-ES_tradnl"/>
        </w:rPr>
        <w:t>tiembre</w:t>
      </w:r>
      <w:r w:rsidRPr="001B7E14">
        <w:rPr>
          <w:rFonts w:ascii="Helvetica" w:eastAsiaTheme="minorHAnsi" w:hAnsi="Helvetica" w:cs="Helvetica"/>
          <w:sz w:val="22"/>
          <w:szCs w:val="22"/>
          <w:lang w:eastAsia="es-ES_tradnl"/>
        </w:rPr>
        <w:t xml:space="preserve"> de 2021 de Dotación de personal. Sector Educación. Departamento de </w:t>
      </w:r>
      <w:r w:rsidR="00342952" w:rsidRPr="001B7E14">
        <w:rPr>
          <w:rFonts w:ascii="Helvetica" w:eastAsiaTheme="minorHAnsi" w:hAnsi="Helvetica" w:cs="Helvetica"/>
          <w:sz w:val="22"/>
          <w:szCs w:val="22"/>
          <w:lang w:eastAsia="es-ES_tradnl"/>
        </w:rPr>
        <w:t>Guainía</w:t>
      </w:r>
      <w:r w:rsidRPr="001B7E14">
        <w:rPr>
          <w:rFonts w:ascii="Helvetica" w:eastAsiaTheme="minorHAnsi" w:hAnsi="Helvetica" w:cs="Helvetica"/>
          <w:sz w:val="22"/>
          <w:szCs w:val="22"/>
          <w:lang w:eastAsia="es-ES_tradnl"/>
        </w:rPr>
        <w:t xml:space="preserve">. Serie "Historial de seguimiento y control a los recursos del Sistema General de Participaciones - Antecedentes de la medida". Expediente digital No. 135/2017/D028-PREDI, radicado 1-2021-104463 22 de noviembre 2021. Enlace: </w:t>
      </w:r>
      <w:hyperlink r:id="rId40" w:history="1">
        <w:r w:rsidR="00031BE0" w:rsidRPr="001B7E14">
          <w:rPr>
            <w:rStyle w:val="Hipervnculo"/>
            <w:rFonts w:ascii="Helvetica" w:eastAsiaTheme="minorHAnsi" w:hAnsi="Helvetica" w:cs="Helvetica"/>
            <w:sz w:val="22"/>
            <w:szCs w:val="22"/>
            <w:lang w:eastAsia="es-ES_tradnl"/>
          </w:rPr>
          <w:t>https://bit.ly/3RUoude</w:t>
        </w:r>
      </w:hyperlink>
      <w:r w:rsidR="00031BE0" w:rsidRPr="001B7E14">
        <w:rPr>
          <w:rFonts w:ascii="Helvetica" w:eastAsiaTheme="minorHAnsi" w:hAnsi="Helvetica" w:cs="Helvetica"/>
          <w:sz w:val="22"/>
          <w:szCs w:val="22"/>
          <w:lang w:eastAsia="es-ES_tradnl"/>
        </w:rPr>
        <w:t>.</w:t>
      </w:r>
    </w:p>
    <w:p w14:paraId="605BF344" w14:textId="77777777" w:rsidR="00031BE0" w:rsidRPr="001B7E14" w:rsidRDefault="00031BE0" w:rsidP="000D2D2D">
      <w:pPr>
        <w:numPr>
          <w:ilvl w:val="0"/>
          <w:numId w:val="31"/>
        </w:numPr>
        <w:ind w:left="284" w:hanging="284"/>
        <w:contextualSpacing/>
        <w:jc w:val="both"/>
        <w:rPr>
          <w:rFonts w:ascii="Helvetica" w:eastAsiaTheme="minorHAnsi" w:hAnsi="Helvetica" w:cs="Helvetica"/>
          <w:sz w:val="22"/>
          <w:szCs w:val="22"/>
          <w:lang w:eastAsia="es-ES_tradnl"/>
        </w:rPr>
      </w:pPr>
      <w:r w:rsidRPr="001B7E14">
        <w:rPr>
          <w:rFonts w:ascii="Helvetica" w:eastAsiaTheme="minorHAnsi" w:hAnsi="Helvetica" w:cs="Helvetica"/>
          <w:sz w:val="22"/>
          <w:szCs w:val="22"/>
          <w:lang w:eastAsia="es-ES_tradnl"/>
        </w:rPr>
        <w:t xml:space="preserve">Contrato No. 1015 del 30 de septiembre de 2022 de Dotación de personal. Sector Educación. Departamento de Guainía. Serie "Historial de seguimiento y control a los recursos del Sistema General de Participaciones - Antecedentes de la medida". Expediente digital No. 135/2017/D028-PREDI, Enlace: </w:t>
      </w:r>
      <w:r w:rsidRPr="001B7E14">
        <w:rPr>
          <w:rFonts w:ascii="Helvetica" w:eastAsiaTheme="minorHAnsi" w:hAnsi="Helvetica" w:cs="Helvetica"/>
          <w:sz w:val="22"/>
          <w:szCs w:val="22"/>
          <w:u w:val="single"/>
          <w:lang w:eastAsia="es-ES_tradnl"/>
        </w:rPr>
        <w:t>SIED https://onx.la/5a014</w:t>
      </w:r>
    </w:p>
    <w:p w14:paraId="4290689F" w14:textId="77777777" w:rsidR="00031BE0" w:rsidRPr="001B7E14" w:rsidRDefault="00031BE0" w:rsidP="000D2D2D">
      <w:pPr>
        <w:ind w:left="284"/>
        <w:contextualSpacing/>
        <w:jc w:val="both"/>
        <w:rPr>
          <w:rFonts w:ascii="Helvetica" w:eastAsiaTheme="minorHAnsi" w:hAnsi="Helvetica" w:cs="Helvetica"/>
          <w:sz w:val="22"/>
          <w:szCs w:val="22"/>
          <w:lang w:eastAsia="es-ES_tradnl"/>
        </w:rPr>
      </w:pPr>
    </w:p>
    <w:p w14:paraId="390A6B56" w14:textId="77777777" w:rsidR="00AD0693" w:rsidRPr="001B7E14" w:rsidRDefault="00AD0693" w:rsidP="00FA42BB">
      <w:pPr>
        <w:pStyle w:val="Ttulo"/>
        <w:numPr>
          <w:ilvl w:val="0"/>
          <w:numId w:val="33"/>
        </w:numPr>
        <w:rPr>
          <w:rFonts w:ascii="Helvetica" w:hAnsi="Helvetica" w:cs="Helvetica"/>
          <w:szCs w:val="22"/>
          <w:lang w:eastAsia="en-US"/>
        </w:rPr>
      </w:pPr>
      <w:r w:rsidRPr="001B7E14">
        <w:rPr>
          <w:rFonts w:ascii="Helvetica" w:hAnsi="Helvetica" w:cs="Helvetica"/>
          <w:szCs w:val="22"/>
          <w:lang w:eastAsia="en-US"/>
        </w:rPr>
        <w:t xml:space="preserve">Falta de ejecución de los recursos conectividad e internados </w:t>
      </w:r>
    </w:p>
    <w:p w14:paraId="5FC49855" w14:textId="77777777" w:rsidR="00AD0693" w:rsidRPr="001B7E14" w:rsidRDefault="00AD0693" w:rsidP="00FA42BB">
      <w:pPr>
        <w:jc w:val="both"/>
        <w:rPr>
          <w:rFonts w:ascii="Helvetica" w:hAnsi="Helvetica" w:cs="Helvetica"/>
          <w:sz w:val="22"/>
          <w:szCs w:val="22"/>
          <w:lang w:val="es-CO"/>
        </w:rPr>
      </w:pPr>
    </w:p>
    <w:p w14:paraId="1414E9C5"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La Constitución Política en su artículo 209 y el artículo 3° de la Ley 1437 de 2011 por la cual se expide el Código de Procedimiento Administrativo y de lo Contencioso Administrativo, les asigna a las autoridades administrativas los principios de eficacia, economía y celeridad, entre otros.</w:t>
      </w:r>
    </w:p>
    <w:p w14:paraId="0158EBD5" w14:textId="77777777" w:rsidR="00D57888" w:rsidRPr="001B7E14" w:rsidRDefault="00D57888" w:rsidP="00FA42BB">
      <w:pPr>
        <w:jc w:val="both"/>
        <w:rPr>
          <w:rFonts w:ascii="Helvetica" w:hAnsi="Helvetica" w:cs="Helvetica"/>
          <w:sz w:val="22"/>
          <w:szCs w:val="22"/>
          <w:lang w:val="es-CO"/>
        </w:rPr>
      </w:pPr>
    </w:p>
    <w:p w14:paraId="4B5C05DF" w14:textId="77777777" w:rsidR="00D57888" w:rsidRPr="001B7E14" w:rsidRDefault="00D57888" w:rsidP="00D57888">
      <w:pPr>
        <w:jc w:val="both"/>
        <w:rPr>
          <w:rFonts w:ascii="Helvetica" w:hAnsi="Helvetica" w:cs="Helvetica"/>
          <w:sz w:val="22"/>
          <w:szCs w:val="22"/>
          <w:lang w:val="es-CO"/>
        </w:rPr>
      </w:pPr>
      <w:r w:rsidRPr="001B7E14">
        <w:rPr>
          <w:rFonts w:ascii="Helvetica" w:hAnsi="Helvetica" w:cs="Helvetica"/>
          <w:sz w:val="22"/>
          <w:szCs w:val="22"/>
          <w:lang w:val="es-CO"/>
        </w:rPr>
        <w:t>Así, las actuaciones de las entidades territoriales deben estar encaminadas al cumplimiento de los fines del Estado dentro del marco de la función administrativa. En este sentido, y en cuanto a la ejecución de los recursos públicos se debe tener en cuenta el deber tanto de la Nación como de las entidades territoriales de estructurar los planes de desarrollo en armonía con las mismas finalidades, de tal forma que exista universalidad en la mitigación de las precariedades de la población, haciendo un mayor énfasis en la población con mayor insatisfacción de sus necesidades básicas, de acuerdo a lo establecido en el artículo 209 de la Constitución Política. La Corte Constitucional, en sentencia C – 826 del 13 de noviembre de 2013</w:t>
      </w:r>
      <w:r w:rsidR="00D83F15" w:rsidRPr="001B7E14">
        <w:rPr>
          <w:rFonts w:ascii="Helvetica" w:hAnsi="Helvetica" w:cs="Helvetica"/>
          <w:sz w:val="22"/>
          <w:szCs w:val="22"/>
          <w:lang w:val="es-CO"/>
        </w:rPr>
        <w:t xml:space="preserve"> </w:t>
      </w:r>
      <w:r w:rsidRPr="001B7E14">
        <w:rPr>
          <w:rFonts w:ascii="Helvetica" w:hAnsi="Helvetica" w:cs="Helvetica"/>
          <w:sz w:val="22"/>
          <w:szCs w:val="22"/>
          <w:lang w:val="es-CO"/>
        </w:rPr>
        <w:t>ha desarrollado los principios de eficacia y eficiencia en el marco de la función pública, en los siguientes términos:</w:t>
      </w:r>
    </w:p>
    <w:p w14:paraId="245A1E65" w14:textId="77777777" w:rsidR="00D57888" w:rsidRPr="001B7E14" w:rsidRDefault="00D57888" w:rsidP="00D57888">
      <w:pPr>
        <w:jc w:val="both"/>
        <w:rPr>
          <w:rFonts w:ascii="Helvetica" w:hAnsi="Helvetica" w:cs="Helvetica"/>
          <w:sz w:val="22"/>
          <w:szCs w:val="22"/>
          <w:lang w:val="es-CO"/>
        </w:rPr>
      </w:pPr>
    </w:p>
    <w:p w14:paraId="304CDA97" w14:textId="77777777" w:rsidR="00D57888" w:rsidRPr="001B7E14" w:rsidRDefault="00D57888" w:rsidP="00D57888">
      <w:pPr>
        <w:ind w:left="567"/>
        <w:jc w:val="both"/>
        <w:rPr>
          <w:rFonts w:ascii="Helvetica" w:hAnsi="Helvetica" w:cs="Helvetica"/>
          <w:i/>
          <w:iCs/>
          <w:sz w:val="20"/>
          <w:szCs w:val="20"/>
          <w:lang w:val="es-CO"/>
        </w:rPr>
      </w:pPr>
      <w:r w:rsidRPr="001B7E14">
        <w:rPr>
          <w:rFonts w:ascii="Helvetica" w:hAnsi="Helvetica" w:cs="Helvetica"/>
          <w:i/>
          <w:iCs/>
          <w:sz w:val="20"/>
          <w:szCs w:val="20"/>
          <w:lang w:val="es-CO"/>
        </w:rPr>
        <w:t>“Por su parte, en lo que atañe al principio de eficiencia la jurisprudencia de este Tribunal ha señalado que se trata de la máxima racionalidad de la relación costos-beneficios, de manera que la administración pública tiene el deber de maximizar el rendimiento o los resultados, con costos menores, por cuanto los recursos financieros de Hacienda, que tienden a limitados, deben ser bien planificados por el Estado para que tengan como fin satisfacer las necesidades prioritarias de la comunidad sin el despilfarro del gasto público. Lo anterior significa, que la eficiencia presupone que el Estado, por el interés general, está obligado a tener una planeación adecuada del gasto, y maximizar la relación costos – beneficios.</w:t>
      </w:r>
    </w:p>
    <w:p w14:paraId="0F6A9ACA" w14:textId="77777777" w:rsidR="00D57888" w:rsidRPr="001B7E14" w:rsidRDefault="00D57888" w:rsidP="00D57888">
      <w:pPr>
        <w:ind w:left="567"/>
        <w:jc w:val="both"/>
        <w:rPr>
          <w:rFonts w:ascii="Helvetica" w:hAnsi="Helvetica" w:cs="Helvetica"/>
          <w:i/>
          <w:iCs/>
          <w:sz w:val="20"/>
          <w:szCs w:val="20"/>
          <w:lang w:val="es-CO"/>
        </w:rPr>
      </w:pPr>
    </w:p>
    <w:p w14:paraId="07C0F940" w14:textId="77777777" w:rsidR="00D57888" w:rsidRPr="001B7E14" w:rsidRDefault="00D57888" w:rsidP="00D57888">
      <w:pPr>
        <w:ind w:left="567"/>
        <w:jc w:val="both"/>
        <w:rPr>
          <w:rFonts w:ascii="Helvetica" w:hAnsi="Helvetica" w:cs="Helvetica"/>
          <w:i/>
          <w:iCs/>
          <w:sz w:val="20"/>
          <w:szCs w:val="20"/>
          <w:lang w:val="es-CO"/>
        </w:rPr>
      </w:pPr>
      <w:r w:rsidRPr="001B7E14">
        <w:rPr>
          <w:rFonts w:ascii="Helvetica" w:hAnsi="Helvetica" w:cs="Helvetica"/>
          <w:i/>
          <w:iCs/>
          <w:sz w:val="20"/>
          <w:szCs w:val="20"/>
          <w:lang w:val="es-CO"/>
        </w:rPr>
        <w:t>Así, esta Corte ha hecho referencia clara a la implementación del principio de eficacia, afirmando que este principio de la administración impone deberes y obligaciones a las autoridades para garantizar la adopción de medidas de prevención y atención de los ciudadanos del país, para garantizar su dignidad y el goce efectivo de sus derechos, especialmente de aquellos que se encuentran en situaciones de vulnerabilidad y debilidad manifiesta, de la población carcelaria, de las víctimas de desastres naturales o del conflicto interno, población en estado de indigencia, de manera que en muchas ocasiones se ha ordenado a la administración pública la adopción de medidas necesarias que sean realmente eficaces para superar las crisis institucionales y humanitarias generadas por dichas situaciones, sin que para ello se presente como óbice argumentos de tipo presupuestal”.</w:t>
      </w:r>
    </w:p>
    <w:p w14:paraId="1126B2C4" w14:textId="77777777" w:rsidR="00AD0693" w:rsidRPr="001B7E14" w:rsidRDefault="00AD0693" w:rsidP="00FA42BB">
      <w:pPr>
        <w:jc w:val="both"/>
        <w:rPr>
          <w:rFonts w:ascii="Helvetica" w:hAnsi="Helvetica" w:cs="Helvetica"/>
          <w:sz w:val="22"/>
          <w:szCs w:val="22"/>
          <w:lang w:val="es-CO"/>
        </w:rPr>
      </w:pPr>
    </w:p>
    <w:p w14:paraId="14A4CA9E"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Desconocer los fines y el principio de economía de la contratación estatal establecidos en los artículos 3° y 25° de la Ley 80 de 1993, respectivamente, ponen en riesgo el cumplimiento de los fines estatales y la continua y eficiente prestación de los servicios públicos. En el mismo sentido el principio de la planeación de la contratación estatal establecido en el artículo 25 de la Ley 80 de 1993 y los artículos 2.2.1.1.1.6.1,</w:t>
      </w:r>
      <w:r w:rsidR="00507D31" w:rsidRPr="001B7E14">
        <w:rPr>
          <w:rFonts w:ascii="Helvetica" w:hAnsi="Helvetica" w:cs="Helvetica"/>
          <w:sz w:val="22"/>
          <w:szCs w:val="22"/>
          <w:lang w:val="es-CO"/>
        </w:rPr>
        <w:t xml:space="preserve"> </w:t>
      </w:r>
      <w:r w:rsidRPr="001B7E14">
        <w:rPr>
          <w:rFonts w:ascii="Helvetica" w:hAnsi="Helvetica" w:cs="Helvetica"/>
          <w:sz w:val="22"/>
          <w:szCs w:val="22"/>
          <w:lang w:val="es-CO"/>
        </w:rPr>
        <w:t>2.2.1.1.1.6.3 y 2.2.1.1.2.1.1 del Decreto 1082 del 2015, establecen como deber de las entidades el análisis necesario para conocer el sector relativo al objeto del proceso de contratación desde la perspectiva legal, comercial, financiera, organizacional, técnica, y de análisis de riesgo indicados en los estudios y documentos previos, además por cuanto es uno de los pilares en la actividad contractual, por ser un parámetro de control y organización tanto en lo económico como en lo logístico.</w:t>
      </w:r>
    </w:p>
    <w:p w14:paraId="10FDD8D5" w14:textId="77777777" w:rsidR="00AD0693" w:rsidRPr="001B7E14" w:rsidRDefault="00AD0693" w:rsidP="00FA42BB">
      <w:pPr>
        <w:tabs>
          <w:tab w:val="left" w:pos="8460"/>
        </w:tabs>
        <w:jc w:val="both"/>
        <w:rPr>
          <w:rFonts w:ascii="Helvetica" w:hAnsi="Helvetica" w:cs="Helvetica"/>
          <w:sz w:val="22"/>
          <w:szCs w:val="22"/>
          <w:lang w:val="es-CO"/>
        </w:rPr>
      </w:pPr>
    </w:p>
    <w:p w14:paraId="75741727" w14:textId="77777777" w:rsidR="00AD0693" w:rsidRPr="001B7E14" w:rsidRDefault="00AD0693" w:rsidP="00FA42BB">
      <w:pPr>
        <w:tabs>
          <w:tab w:val="left" w:pos="8460"/>
        </w:tabs>
        <w:jc w:val="both"/>
        <w:rPr>
          <w:rFonts w:ascii="Helvetica" w:hAnsi="Helvetica" w:cs="Helvetica"/>
          <w:b/>
          <w:sz w:val="22"/>
          <w:szCs w:val="22"/>
          <w:lang w:val="es-CO"/>
        </w:rPr>
      </w:pPr>
      <w:r w:rsidRPr="001B7E14">
        <w:rPr>
          <w:rFonts w:ascii="Helvetica" w:hAnsi="Helvetica" w:cs="Helvetica"/>
          <w:b/>
          <w:sz w:val="22"/>
          <w:szCs w:val="22"/>
          <w:lang w:val="es-CO"/>
        </w:rPr>
        <w:t>Conectividad:</w:t>
      </w:r>
    </w:p>
    <w:p w14:paraId="01A920B8" w14:textId="77777777" w:rsidR="00AD0693" w:rsidRPr="001B7E14" w:rsidRDefault="00AD0693" w:rsidP="00FA42BB">
      <w:pPr>
        <w:tabs>
          <w:tab w:val="left" w:pos="8460"/>
        </w:tabs>
        <w:jc w:val="both"/>
        <w:rPr>
          <w:rFonts w:ascii="Helvetica" w:hAnsi="Helvetica" w:cs="Helvetica"/>
          <w:b/>
          <w:sz w:val="22"/>
          <w:szCs w:val="22"/>
          <w:lang w:val="es-CO"/>
        </w:rPr>
      </w:pPr>
    </w:p>
    <w:p w14:paraId="5058D589" w14:textId="77777777" w:rsidR="00AD0693" w:rsidRPr="001B7E14" w:rsidRDefault="00D57888" w:rsidP="00FA42BB">
      <w:pPr>
        <w:tabs>
          <w:tab w:val="left" w:pos="8460"/>
        </w:tabs>
        <w:jc w:val="both"/>
        <w:rPr>
          <w:rFonts w:ascii="Helvetica" w:hAnsi="Helvetica" w:cs="Helvetica"/>
          <w:sz w:val="22"/>
          <w:szCs w:val="22"/>
          <w:lang w:val="es-CO"/>
        </w:rPr>
      </w:pPr>
      <w:r w:rsidRPr="001B7E14">
        <w:rPr>
          <w:rFonts w:ascii="Helvetica" w:hAnsi="Helvetica" w:cs="Helvetica"/>
          <w:sz w:val="22"/>
          <w:szCs w:val="22"/>
          <w:lang w:val="es-CO"/>
        </w:rPr>
        <w:t>E</w:t>
      </w:r>
      <w:r w:rsidR="00AD0693" w:rsidRPr="001B7E14">
        <w:rPr>
          <w:rFonts w:ascii="Helvetica" w:hAnsi="Helvetica" w:cs="Helvetica"/>
          <w:sz w:val="22"/>
          <w:szCs w:val="22"/>
          <w:lang w:val="es-CO"/>
        </w:rPr>
        <w:t xml:space="preserve">n 2016, de acuerdo con la matriz de contratos enviada por la entidad y la consulta de los contratos del SECOP, no se evidenció ejecución de los recursos asignados para la prestación del servicio de conectividad de los establecimientos educativos, que ascendieron a $67.991.883 según la información suministrada por el Ministerio de Educación Nacional. </w:t>
      </w:r>
    </w:p>
    <w:p w14:paraId="7B04C66E" w14:textId="77777777" w:rsidR="00AD0693" w:rsidRPr="001B7E14" w:rsidRDefault="00AD0693" w:rsidP="00FA42BB">
      <w:pPr>
        <w:tabs>
          <w:tab w:val="left" w:pos="8460"/>
        </w:tabs>
        <w:jc w:val="both"/>
        <w:rPr>
          <w:rFonts w:ascii="Helvetica" w:hAnsi="Helvetica" w:cs="Helvetica"/>
          <w:sz w:val="22"/>
          <w:szCs w:val="22"/>
          <w:lang w:val="es-CO"/>
        </w:rPr>
      </w:pPr>
    </w:p>
    <w:p w14:paraId="013D5137" w14:textId="77777777" w:rsidR="00AD0693" w:rsidRPr="001B7E14" w:rsidRDefault="00AD0693" w:rsidP="00FA42BB">
      <w:pPr>
        <w:tabs>
          <w:tab w:val="left" w:pos="8460"/>
        </w:tabs>
        <w:jc w:val="both"/>
        <w:rPr>
          <w:rFonts w:ascii="Helvetica" w:hAnsi="Helvetica" w:cs="Helvetica"/>
          <w:sz w:val="22"/>
          <w:szCs w:val="22"/>
          <w:lang w:val="es-CO"/>
        </w:rPr>
      </w:pPr>
      <w:r w:rsidRPr="001B7E14">
        <w:rPr>
          <w:rFonts w:ascii="Helvetica" w:hAnsi="Helvetica" w:cs="Helvetica"/>
          <w:sz w:val="22"/>
          <w:szCs w:val="22"/>
          <w:lang w:val="es-CO"/>
        </w:rPr>
        <w:t>Para la vigencia 2017 de acuerdo con la ejecución presupuestal se comprometieron $23 millones en conectividad</w:t>
      </w:r>
      <w:r w:rsidR="00D57888" w:rsidRPr="001B7E14">
        <w:rPr>
          <w:rFonts w:ascii="Helvetica" w:hAnsi="Helvetica" w:cs="Helvetica"/>
          <w:sz w:val="22"/>
          <w:szCs w:val="22"/>
          <w:lang w:val="es-CO"/>
        </w:rPr>
        <w:t>,</w:t>
      </w:r>
      <w:r w:rsidRPr="001B7E14">
        <w:rPr>
          <w:rFonts w:ascii="Helvetica" w:hAnsi="Helvetica" w:cs="Helvetica"/>
          <w:sz w:val="22"/>
          <w:szCs w:val="22"/>
          <w:lang w:val="es-CO"/>
        </w:rPr>
        <w:t xml:space="preserve"> lo</w:t>
      </w:r>
      <w:r w:rsidR="00D57888" w:rsidRPr="001B7E14">
        <w:rPr>
          <w:rFonts w:ascii="Helvetica" w:hAnsi="Helvetica" w:cs="Helvetica"/>
          <w:sz w:val="22"/>
          <w:szCs w:val="22"/>
          <w:lang w:val="es-CO"/>
        </w:rPr>
        <w:t>s</w:t>
      </w:r>
      <w:r w:rsidRPr="001B7E14">
        <w:rPr>
          <w:rFonts w:ascii="Helvetica" w:hAnsi="Helvetica" w:cs="Helvetica"/>
          <w:sz w:val="22"/>
          <w:szCs w:val="22"/>
          <w:lang w:val="es-CO"/>
        </w:rPr>
        <w:t xml:space="preserve"> cual</w:t>
      </w:r>
      <w:r w:rsidR="00D57888" w:rsidRPr="001B7E14">
        <w:rPr>
          <w:rFonts w:ascii="Helvetica" w:hAnsi="Helvetica" w:cs="Helvetica"/>
          <w:sz w:val="22"/>
          <w:szCs w:val="22"/>
          <w:lang w:val="es-CO"/>
        </w:rPr>
        <w:t>es</w:t>
      </w:r>
      <w:r w:rsidRPr="001B7E14">
        <w:rPr>
          <w:rFonts w:ascii="Helvetica" w:hAnsi="Helvetica" w:cs="Helvetica"/>
          <w:sz w:val="22"/>
          <w:szCs w:val="22"/>
          <w:lang w:val="es-CO"/>
        </w:rPr>
        <w:t xml:space="preserve"> corresponde</w:t>
      </w:r>
      <w:r w:rsidR="00D57888" w:rsidRPr="001B7E14">
        <w:rPr>
          <w:rFonts w:ascii="Helvetica" w:hAnsi="Helvetica" w:cs="Helvetica"/>
          <w:sz w:val="22"/>
          <w:szCs w:val="22"/>
          <w:lang w:val="es-CO"/>
        </w:rPr>
        <w:t>n</w:t>
      </w:r>
      <w:r w:rsidRPr="001B7E14">
        <w:rPr>
          <w:rFonts w:ascii="Helvetica" w:hAnsi="Helvetica" w:cs="Helvetica"/>
          <w:sz w:val="22"/>
          <w:szCs w:val="22"/>
          <w:lang w:val="es-CO"/>
        </w:rPr>
        <w:t xml:space="preserve"> al 22% de lo asignado en la vigencia para este concepto, que ascendió a $103 millones.</w:t>
      </w:r>
    </w:p>
    <w:p w14:paraId="28616A26" w14:textId="77777777" w:rsidR="00AD0693" w:rsidRPr="001B7E14" w:rsidRDefault="00AD0693" w:rsidP="00FA42BB">
      <w:pPr>
        <w:tabs>
          <w:tab w:val="left" w:pos="8460"/>
        </w:tabs>
        <w:jc w:val="both"/>
        <w:rPr>
          <w:rFonts w:ascii="Helvetica" w:hAnsi="Helvetica" w:cs="Helvetica"/>
          <w:sz w:val="22"/>
          <w:szCs w:val="22"/>
          <w:lang w:val="es-CO"/>
        </w:rPr>
      </w:pPr>
    </w:p>
    <w:p w14:paraId="3C31EC01" w14:textId="77777777" w:rsidR="00AD0693" w:rsidRPr="001B7E14" w:rsidRDefault="00AD0693" w:rsidP="00FA42BB">
      <w:pPr>
        <w:pStyle w:val="Sinespaciado"/>
        <w:jc w:val="both"/>
        <w:rPr>
          <w:rFonts w:ascii="Helvetica" w:hAnsi="Helvetica" w:cs="Helvetica"/>
        </w:rPr>
      </w:pPr>
      <w:r w:rsidRPr="001B7E14">
        <w:rPr>
          <w:rFonts w:ascii="Helvetica" w:hAnsi="Helvetica" w:cs="Helvetica"/>
        </w:rPr>
        <w:t>En 2018, se ejecutó un 65% de los recursos asignados para conectividad, es decir faltó la ejecución de $37 millones ya que se asignaron $107 millones para este concepto y se comprometieron $70 millones.</w:t>
      </w:r>
    </w:p>
    <w:p w14:paraId="6237AA2E" w14:textId="77777777" w:rsidR="00AD0693" w:rsidRPr="001B7E14" w:rsidRDefault="00AD0693" w:rsidP="00FA42BB">
      <w:pPr>
        <w:pStyle w:val="Sinespaciado"/>
        <w:jc w:val="both"/>
        <w:rPr>
          <w:rFonts w:ascii="Helvetica" w:hAnsi="Helvetica" w:cs="Helvetica"/>
        </w:rPr>
      </w:pPr>
    </w:p>
    <w:p w14:paraId="0C8897B5" w14:textId="77777777" w:rsidR="00AD0693" w:rsidRPr="001B7E14" w:rsidRDefault="00AD0693" w:rsidP="00FA42BB">
      <w:pPr>
        <w:jc w:val="both"/>
        <w:rPr>
          <w:rFonts w:ascii="Helvetica" w:eastAsia="Times New Roman" w:hAnsi="Helvetica" w:cs="Helvetica"/>
          <w:sz w:val="22"/>
          <w:szCs w:val="22"/>
          <w:lang w:val="es-CO" w:eastAsia="es-CO"/>
        </w:rPr>
      </w:pPr>
      <w:r w:rsidRPr="001B7E14">
        <w:rPr>
          <w:rFonts w:ascii="Helvetica" w:hAnsi="Helvetica" w:cs="Helvetica"/>
          <w:sz w:val="22"/>
          <w:szCs w:val="22"/>
        </w:rPr>
        <w:t>Para la vigencia 2020, de acuerdo con la ejecución presupuestal se comprometieron $42 millones en conectividad</w:t>
      </w:r>
      <w:r w:rsidR="00D57888" w:rsidRPr="001B7E14">
        <w:rPr>
          <w:rFonts w:ascii="Helvetica" w:hAnsi="Helvetica" w:cs="Helvetica"/>
          <w:sz w:val="22"/>
          <w:szCs w:val="22"/>
        </w:rPr>
        <w:t>,</w:t>
      </w:r>
      <w:r w:rsidRPr="001B7E14">
        <w:rPr>
          <w:rFonts w:ascii="Helvetica" w:hAnsi="Helvetica" w:cs="Helvetica"/>
          <w:sz w:val="22"/>
          <w:szCs w:val="22"/>
        </w:rPr>
        <w:t xml:space="preserve"> lo</w:t>
      </w:r>
      <w:r w:rsidR="00D57888" w:rsidRPr="001B7E14">
        <w:rPr>
          <w:rFonts w:ascii="Helvetica" w:hAnsi="Helvetica" w:cs="Helvetica"/>
          <w:sz w:val="22"/>
          <w:szCs w:val="22"/>
        </w:rPr>
        <w:t>s</w:t>
      </w:r>
      <w:r w:rsidRPr="001B7E14">
        <w:rPr>
          <w:rFonts w:ascii="Helvetica" w:hAnsi="Helvetica" w:cs="Helvetica"/>
          <w:sz w:val="22"/>
          <w:szCs w:val="22"/>
        </w:rPr>
        <w:t xml:space="preserve"> cual</w:t>
      </w:r>
      <w:r w:rsidR="00D57888" w:rsidRPr="001B7E14">
        <w:rPr>
          <w:rFonts w:ascii="Helvetica" w:hAnsi="Helvetica" w:cs="Helvetica"/>
          <w:sz w:val="22"/>
          <w:szCs w:val="22"/>
        </w:rPr>
        <w:t>es</w:t>
      </w:r>
      <w:r w:rsidRPr="001B7E14">
        <w:rPr>
          <w:rFonts w:ascii="Helvetica" w:hAnsi="Helvetica" w:cs="Helvetica"/>
          <w:sz w:val="22"/>
          <w:szCs w:val="22"/>
        </w:rPr>
        <w:t xml:space="preserve"> corresponde al 6% de lo asignado en la vigencia para este concepto, que ascendió a $ </w:t>
      </w:r>
      <w:r w:rsidRPr="001B7E14">
        <w:rPr>
          <w:rFonts w:ascii="Helvetica" w:eastAsia="Times New Roman" w:hAnsi="Helvetica" w:cs="Helvetica"/>
          <w:sz w:val="22"/>
          <w:szCs w:val="22"/>
          <w:lang w:val="es-CO" w:eastAsia="es-CO"/>
        </w:rPr>
        <w:t xml:space="preserve">662 </w:t>
      </w:r>
      <w:r w:rsidRPr="001B7E14">
        <w:rPr>
          <w:rFonts w:ascii="Helvetica" w:hAnsi="Helvetica" w:cs="Helvetica"/>
          <w:sz w:val="22"/>
          <w:szCs w:val="22"/>
        </w:rPr>
        <w:t>millones.</w:t>
      </w:r>
    </w:p>
    <w:p w14:paraId="6F30AAEE" w14:textId="77777777" w:rsidR="00AD0693" w:rsidRPr="001B7E14" w:rsidRDefault="00AD0693" w:rsidP="00FA42BB">
      <w:pPr>
        <w:jc w:val="both"/>
        <w:rPr>
          <w:rFonts w:ascii="Helvetica" w:hAnsi="Helvetica" w:cs="Helvetica"/>
          <w:sz w:val="22"/>
          <w:szCs w:val="22"/>
        </w:rPr>
      </w:pPr>
    </w:p>
    <w:p w14:paraId="391A64CC" w14:textId="77777777" w:rsidR="00AD0693" w:rsidRPr="001B7E14" w:rsidRDefault="00AD0693" w:rsidP="00FA42BB">
      <w:pPr>
        <w:jc w:val="both"/>
        <w:rPr>
          <w:rFonts w:ascii="Helvetica" w:hAnsi="Helvetica" w:cs="Helvetica"/>
          <w:sz w:val="22"/>
          <w:szCs w:val="22"/>
        </w:rPr>
      </w:pPr>
      <w:r w:rsidRPr="001B7E14">
        <w:rPr>
          <w:rFonts w:ascii="Helvetica" w:hAnsi="Helvetica" w:cs="Helvetica"/>
          <w:sz w:val="22"/>
          <w:szCs w:val="22"/>
        </w:rPr>
        <w:lastRenderedPageBreak/>
        <w:t>Ahora bien, para la vigencia 2021, de acuerdo con la ejecución presupuestal, se ejecutó un 83% de los recursos asignados para conectividad, es decir, faltó la ejecución de $127 millones ya que se asignaron $</w:t>
      </w:r>
      <w:r w:rsidRPr="001B7E14">
        <w:rPr>
          <w:rFonts w:ascii="Helvetica" w:eastAsia="Times New Roman" w:hAnsi="Helvetica" w:cs="Helvetica"/>
          <w:sz w:val="22"/>
          <w:szCs w:val="22"/>
          <w:lang w:val="es-CO" w:eastAsia="es-CO"/>
        </w:rPr>
        <w:t xml:space="preserve">749 </w:t>
      </w:r>
      <w:r w:rsidRPr="001B7E14">
        <w:rPr>
          <w:rFonts w:ascii="Helvetica" w:hAnsi="Helvetica" w:cs="Helvetica"/>
          <w:sz w:val="22"/>
          <w:szCs w:val="22"/>
        </w:rPr>
        <w:t>millones para este concepto y se comprometieron $622 millones.</w:t>
      </w:r>
    </w:p>
    <w:p w14:paraId="4499B529" w14:textId="77777777" w:rsidR="00BD0641" w:rsidRPr="001B7E14" w:rsidRDefault="00BD0641" w:rsidP="00FA42BB">
      <w:pPr>
        <w:jc w:val="both"/>
        <w:rPr>
          <w:rFonts w:ascii="Helvetica" w:hAnsi="Helvetica" w:cs="Helvetica"/>
          <w:sz w:val="22"/>
          <w:szCs w:val="22"/>
        </w:rPr>
      </w:pPr>
    </w:p>
    <w:p w14:paraId="57C7B192" w14:textId="77777777" w:rsidR="00BD0641" w:rsidRPr="001B7E14" w:rsidRDefault="00BD0641" w:rsidP="00BD0641">
      <w:pPr>
        <w:jc w:val="both"/>
        <w:rPr>
          <w:rFonts w:ascii="Helvetica" w:hAnsi="Helvetica" w:cs="Helvetica"/>
          <w:sz w:val="22"/>
          <w:szCs w:val="22"/>
        </w:rPr>
      </w:pPr>
      <w:r w:rsidRPr="001B7E14">
        <w:rPr>
          <w:rFonts w:ascii="Helvetica" w:hAnsi="Helvetica" w:cs="Helvetica"/>
          <w:sz w:val="22"/>
          <w:szCs w:val="22"/>
        </w:rPr>
        <w:t>Asimismo, para la vigencia 2022, con base en lo reportado en la ejecución presupuestal, se ejecut</w:t>
      </w:r>
      <w:r w:rsidR="0079746C">
        <w:rPr>
          <w:rFonts w:ascii="Helvetica" w:hAnsi="Helvetica" w:cs="Helvetica"/>
          <w:sz w:val="22"/>
          <w:szCs w:val="22"/>
        </w:rPr>
        <w:t xml:space="preserve">ó </w:t>
      </w:r>
      <w:r w:rsidRPr="001B7E14">
        <w:rPr>
          <w:rFonts w:ascii="Helvetica" w:hAnsi="Helvetica" w:cs="Helvetica"/>
          <w:sz w:val="22"/>
          <w:szCs w:val="22"/>
        </w:rPr>
        <w:t xml:space="preserve">el 79% de los recursos </w:t>
      </w:r>
      <w:r w:rsidR="0079746C">
        <w:rPr>
          <w:rFonts w:ascii="Helvetica" w:hAnsi="Helvetica" w:cs="Helvetica"/>
          <w:sz w:val="22"/>
          <w:szCs w:val="22"/>
        </w:rPr>
        <w:t xml:space="preserve">asignados por </w:t>
      </w:r>
      <w:r w:rsidRPr="001B7E14">
        <w:rPr>
          <w:rFonts w:ascii="Helvetica" w:hAnsi="Helvetica" w:cs="Helvetica"/>
          <w:sz w:val="22"/>
          <w:szCs w:val="22"/>
        </w:rPr>
        <w:t>este concepto de conectividad. En total se comprometieron los recursos por un valor de $641 millones y se asignaron un total de $823 millones, en otros términos, la entidad omitió la ejecución de $182 millones.</w:t>
      </w:r>
    </w:p>
    <w:p w14:paraId="22F4196A" w14:textId="77777777" w:rsidR="00AD0693" w:rsidRPr="001B7E14" w:rsidRDefault="00AD0693" w:rsidP="00FA42BB">
      <w:pPr>
        <w:tabs>
          <w:tab w:val="left" w:pos="8460"/>
        </w:tabs>
        <w:jc w:val="both"/>
        <w:rPr>
          <w:rFonts w:ascii="Helvetica" w:eastAsia="Times New Roman" w:hAnsi="Helvetica" w:cs="Helvetica"/>
          <w:sz w:val="22"/>
          <w:szCs w:val="22"/>
          <w:lang w:val="es-CO"/>
        </w:rPr>
      </w:pPr>
    </w:p>
    <w:p w14:paraId="097FB627" w14:textId="77777777" w:rsidR="00AD0693" w:rsidRPr="001B7E14" w:rsidRDefault="00AD0693" w:rsidP="00FA42BB">
      <w:pPr>
        <w:jc w:val="both"/>
        <w:rPr>
          <w:rFonts w:ascii="Helvetica" w:hAnsi="Helvetica" w:cs="Helvetica"/>
          <w:b/>
          <w:sz w:val="22"/>
          <w:szCs w:val="22"/>
          <w:lang w:val="es-CO"/>
        </w:rPr>
      </w:pPr>
      <w:r w:rsidRPr="001B7E14">
        <w:rPr>
          <w:rFonts w:ascii="Helvetica" w:hAnsi="Helvetica" w:cs="Helvetica"/>
          <w:b/>
          <w:sz w:val="22"/>
          <w:szCs w:val="22"/>
          <w:lang w:val="es-CO"/>
        </w:rPr>
        <w:t>Internados:</w:t>
      </w:r>
    </w:p>
    <w:p w14:paraId="037BA3F4" w14:textId="77777777" w:rsidR="00AD0693" w:rsidRPr="001B7E14" w:rsidRDefault="00AD0693" w:rsidP="00FA42BB">
      <w:pPr>
        <w:jc w:val="both"/>
        <w:rPr>
          <w:rFonts w:ascii="Helvetica" w:hAnsi="Helvetica" w:cs="Helvetica"/>
          <w:b/>
          <w:sz w:val="22"/>
          <w:szCs w:val="22"/>
          <w:lang w:val="es-CO"/>
        </w:rPr>
      </w:pPr>
      <w:r w:rsidRPr="001B7E14">
        <w:rPr>
          <w:rFonts w:ascii="Helvetica" w:hAnsi="Helvetica" w:cs="Helvetica"/>
          <w:b/>
          <w:sz w:val="22"/>
          <w:szCs w:val="22"/>
          <w:lang w:val="es-CO"/>
        </w:rPr>
        <w:t xml:space="preserve"> </w:t>
      </w:r>
    </w:p>
    <w:p w14:paraId="394D7A71" w14:textId="77777777" w:rsidR="00AD0693" w:rsidRPr="001B7E14" w:rsidRDefault="00AD0693" w:rsidP="00FA42BB">
      <w:pPr>
        <w:pStyle w:val="Sinespaciado"/>
        <w:jc w:val="both"/>
        <w:rPr>
          <w:rFonts w:ascii="Helvetica" w:hAnsi="Helvetica" w:cs="Helvetica"/>
        </w:rPr>
      </w:pPr>
      <w:r w:rsidRPr="001B7E14">
        <w:rPr>
          <w:rFonts w:ascii="Helvetica" w:hAnsi="Helvetica" w:cs="Helvetica"/>
        </w:rPr>
        <w:t>Para la vigencia 2017 con respecto a la ejecución de los recursos asignados para internados se evidenció la ejecución del 72% de los mismos, es decir faltó la ejecución de $1.492 millones ya que se asignaron $5.342 millones y se comprometieron $3.850 millones.</w:t>
      </w:r>
    </w:p>
    <w:p w14:paraId="6C5F20BB" w14:textId="77777777" w:rsidR="00AD0693" w:rsidRPr="001B7E14" w:rsidRDefault="00AD0693" w:rsidP="00FA42BB">
      <w:pPr>
        <w:jc w:val="both"/>
        <w:rPr>
          <w:rFonts w:ascii="Helvetica" w:hAnsi="Helvetica" w:cs="Helvetica"/>
          <w:sz w:val="22"/>
          <w:szCs w:val="22"/>
          <w:lang w:val="es-CO"/>
        </w:rPr>
      </w:pPr>
    </w:p>
    <w:p w14:paraId="1877A46A" w14:textId="77777777" w:rsidR="00AD0693" w:rsidRPr="001B7E14" w:rsidRDefault="00AD0693" w:rsidP="00FA42BB">
      <w:pPr>
        <w:pStyle w:val="Sinespaciado"/>
        <w:jc w:val="both"/>
        <w:rPr>
          <w:rFonts w:ascii="Helvetica" w:hAnsi="Helvetica" w:cs="Helvetica"/>
        </w:rPr>
      </w:pPr>
      <w:r w:rsidRPr="001B7E14">
        <w:rPr>
          <w:rFonts w:ascii="Helvetica" w:hAnsi="Helvetica" w:cs="Helvetica"/>
        </w:rPr>
        <w:t xml:space="preserve">En cuanto a los recursos asignados para Internados en la vigencia 2018 de acuerdo con el reporte FUT, se </w:t>
      </w:r>
      <w:r w:rsidR="00D57888" w:rsidRPr="001B7E14">
        <w:rPr>
          <w:rFonts w:ascii="Helvetica" w:hAnsi="Helvetica" w:cs="Helvetica"/>
        </w:rPr>
        <w:t xml:space="preserve">presentó la ejecución del </w:t>
      </w:r>
      <w:r w:rsidRPr="001B7E14">
        <w:rPr>
          <w:rFonts w:ascii="Helvetica" w:hAnsi="Helvetica" w:cs="Helvetica"/>
        </w:rPr>
        <w:t>78% de lo asignado para este concepto, es decir le asignaron $5.731 millones y la entidad ejecutó $4.475 millones, dejando de comprometer $1.255 millones.</w:t>
      </w:r>
    </w:p>
    <w:p w14:paraId="40EB415D" w14:textId="77777777" w:rsidR="00AD0693" w:rsidRPr="001B7E14" w:rsidRDefault="00AD0693" w:rsidP="00FA42BB">
      <w:pPr>
        <w:pStyle w:val="Sinespaciado"/>
        <w:jc w:val="both"/>
        <w:rPr>
          <w:rFonts w:ascii="Helvetica" w:hAnsi="Helvetica" w:cs="Helvetica"/>
        </w:rPr>
      </w:pPr>
    </w:p>
    <w:p w14:paraId="1C3751DF" w14:textId="77777777" w:rsidR="00AD0693" w:rsidRPr="001B7E14" w:rsidRDefault="00AD0693" w:rsidP="00FA42BB">
      <w:pPr>
        <w:pStyle w:val="Sinespaciado"/>
        <w:jc w:val="both"/>
        <w:rPr>
          <w:rFonts w:ascii="Helvetica" w:hAnsi="Helvetica" w:cs="Helvetica"/>
        </w:rPr>
      </w:pPr>
      <w:r w:rsidRPr="001B7E14">
        <w:rPr>
          <w:rFonts w:ascii="Helvetica" w:hAnsi="Helvetica" w:cs="Helvetica"/>
        </w:rPr>
        <w:t>Con respecto a la vigencia 2020, de acuerdo con la ejecución presupuestal</w:t>
      </w:r>
      <w:r w:rsidR="00D57888" w:rsidRPr="001B7E14">
        <w:rPr>
          <w:rFonts w:ascii="Helvetica" w:hAnsi="Helvetica" w:cs="Helvetica"/>
        </w:rPr>
        <w:t xml:space="preserve"> </w:t>
      </w:r>
      <w:r w:rsidRPr="001B7E14">
        <w:rPr>
          <w:rFonts w:ascii="Helvetica" w:hAnsi="Helvetica" w:cs="Helvetica"/>
        </w:rPr>
        <w:t xml:space="preserve">se </w:t>
      </w:r>
      <w:r w:rsidR="00D57888" w:rsidRPr="001B7E14">
        <w:rPr>
          <w:rFonts w:ascii="Helvetica" w:hAnsi="Helvetica" w:cs="Helvetica"/>
        </w:rPr>
        <w:t xml:space="preserve">comprometió </w:t>
      </w:r>
      <w:r w:rsidRPr="001B7E14">
        <w:rPr>
          <w:rFonts w:ascii="Helvetica" w:hAnsi="Helvetica" w:cs="Helvetica"/>
        </w:rPr>
        <w:t xml:space="preserve">un 65% de lo asignado para </w:t>
      </w:r>
      <w:r w:rsidR="00D57888" w:rsidRPr="001B7E14">
        <w:rPr>
          <w:rFonts w:ascii="Helvetica" w:hAnsi="Helvetica" w:cs="Helvetica"/>
        </w:rPr>
        <w:t>la atención de la población bajo la modalidad de internados</w:t>
      </w:r>
      <w:r w:rsidRPr="001B7E14">
        <w:rPr>
          <w:rFonts w:ascii="Helvetica" w:hAnsi="Helvetica" w:cs="Helvetica"/>
        </w:rPr>
        <w:t>, dado que le asignaron $12.666 millones y la entidad ejecutó $8.209 millones, dejando de comprometer $4.457 millones.</w:t>
      </w:r>
    </w:p>
    <w:p w14:paraId="114C9DA0" w14:textId="77777777" w:rsidR="00AD0693" w:rsidRPr="001B7E14" w:rsidRDefault="00AD0693" w:rsidP="00FA42BB">
      <w:pPr>
        <w:jc w:val="both"/>
        <w:rPr>
          <w:rFonts w:ascii="Helvetica" w:hAnsi="Helvetica" w:cs="Helvetica"/>
          <w:sz w:val="22"/>
          <w:szCs w:val="22"/>
          <w:lang w:val="es-CO"/>
        </w:rPr>
      </w:pPr>
    </w:p>
    <w:p w14:paraId="4347ACC9" w14:textId="77777777" w:rsidR="00AD0693" w:rsidRPr="001B7E14" w:rsidRDefault="00AD0693" w:rsidP="00FA42BB">
      <w:pPr>
        <w:jc w:val="both"/>
        <w:rPr>
          <w:rFonts w:ascii="Helvetica" w:hAnsi="Helvetica" w:cs="Helvetica"/>
          <w:sz w:val="22"/>
          <w:szCs w:val="22"/>
        </w:rPr>
      </w:pPr>
      <w:r w:rsidRPr="001B7E14">
        <w:rPr>
          <w:rFonts w:ascii="Helvetica" w:hAnsi="Helvetica" w:cs="Helvetica"/>
          <w:sz w:val="22"/>
          <w:szCs w:val="22"/>
          <w:lang w:val="es-CO"/>
        </w:rPr>
        <w:t xml:space="preserve">Ahora bien, para la vigencia 2021, </w:t>
      </w:r>
      <w:r w:rsidRPr="001B7E14">
        <w:rPr>
          <w:rFonts w:ascii="Helvetica" w:hAnsi="Helvetica" w:cs="Helvetica"/>
          <w:sz w:val="22"/>
          <w:szCs w:val="22"/>
        </w:rPr>
        <w:t>de acuerdo con la ejecución presupuestal se comprometieron $8.931 millones en Internados lo</w:t>
      </w:r>
      <w:r w:rsidR="00D57888" w:rsidRPr="001B7E14">
        <w:rPr>
          <w:rFonts w:ascii="Helvetica" w:hAnsi="Helvetica" w:cs="Helvetica"/>
          <w:sz w:val="22"/>
          <w:szCs w:val="22"/>
        </w:rPr>
        <w:t>s</w:t>
      </w:r>
      <w:r w:rsidRPr="001B7E14">
        <w:rPr>
          <w:rFonts w:ascii="Helvetica" w:hAnsi="Helvetica" w:cs="Helvetica"/>
          <w:sz w:val="22"/>
          <w:szCs w:val="22"/>
        </w:rPr>
        <w:t xml:space="preserve"> cual</w:t>
      </w:r>
      <w:r w:rsidR="00D57888" w:rsidRPr="001B7E14">
        <w:rPr>
          <w:rFonts w:ascii="Helvetica" w:hAnsi="Helvetica" w:cs="Helvetica"/>
          <w:sz w:val="22"/>
          <w:szCs w:val="22"/>
        </w:rPr>
        <w:t>es</w:t>
      </w:r>
      <w:r w:rsidRPr="001B7E14">
        <w:rPr>
          <w:rFonts w:ascii="Helvetica" w:hAnsi="Helvetica" w:cs="Helvetica"/>
          <w:sz w:val="22"/>
          <w:szCs w:val="22"/>
        </w:rPr>
        <w:t xml:space="preserve"> corresponde</w:t>
      </w:r>
      <w:r w:rsidR="00D57888" w:rsidRPr="001B7E14">
        <w:rPr>
          <w:rFonts w:ascii="Helvetica" w:hAnsi="Helvetica" w:cs="Helvetica"/>
          <w:sz w:val="22"/>
          <w:szCs w:val="22"/>
        </w:rPr>
        <w:t>n</w:t>
      </w:r>
      <w:r w:rsidRPr="001B7E14">
        <w:rPr>
          <w:rFonts w:ascii="Helvetica" w:hAnsi="Helvetica" w:cs="Helvetica"/>
          <w:sz w:val="22"/>
          <w:szCs w:val="22"/>
        </w:rPr>
        <w:t xml:space="preserve"> al 54% de lo asignado en la vigencia para este concepto, que ascendió a $ 16.491 millones.</w:t>
      </w:r>
    </w:p>
    <w:p w14:paraId="2FBC748F" w14:textId="77777777" w:rsidR="00BD0641" w:rsidRPr="001B7E14" w:rsidRDefault="00BD0641" w:rsidP="00FA42BB">
      <w:pPr>
        <w:jc w:val="both"/>
        <w:rPr>
          <w:rFonts w:ascii="Helvetica" w:hAnsi="Helvetica" w:cs="Helvetica"/>
          <w:sz w:val="22"/>
          <w:szCs w:val="22"/>
        </w:rPr>
      </w:pPr>
    </w:p>
    <w:p w14:paraId="6BD06E1C" w14:textId="77777777" w:rsidR="00BD0641" w:rsidRPr="001B7E14" w:rsidRDefault="00143A80" w:rsidP="00143A80">
      <w:pPr>
        <w:jc w:val="both"/>
        <w:rPr>
          <w:rFonts w:ascii="Helvetica" w:hAnsi="Helvetica" w:cs="Helvetica"/>
          <w:sz w:val="22"/>
          <w:szCs w:val="22"/>
          <w:lang w:val="es-CO"/>
        </w:rPr>
      </w:pPr>
      <w:r w:rsidRPr="001B7E14">
        <w:rPr>
          <w:rFonts w:ascii="Helvetica" w:hAnsi="Helvetica" w:cs="Helvetica"/>
          <w:sz w:val="22"/>
          <w:szCs w:val="22"/>
          <w:lang w:val="es-CO"/>
        </w:rPr>
        <w:t xml:space="preserve">Con respecto a </w:t>
      </w:r>
      <w:r w:rsidR="00BD0641" w:rsidRPr="001B7E14">
        <w:rPr>
          <w:rFonts w:ascii="Helvetica" w:hAnsi="Helvetica" w:cs="Helvetica"/>
          <w:sz w:val="22"/>
          <w:szCs w:val="22"/>
          <w:lang w:val="es-CO"/>
        </w:rPr>
        <w:t>la vigencia de 2022, con base en la ejecución presup</w:t>
      </w:r>
      <w:r w:rsidR="000D2D2D" w:rsidRPr="001B7E14">
        <w:rPr>
          <w:rFonts w:ascii="Helvetica" w:hAnsi="Helvetica" w:cs="Helvetica"/>
          <w:sz w:val="22"/>
          <w:szCs w:val="22"/>
          <w:lang w:val="es-CO"/>
        </w:rPr>
        <w:t>uestal se ejecutó el 71</w:t>
      </w:r>
      <w:r w:rsidR="00BD0641" w:rsidRPr="001B7E14">
        <w:rPr>
          <w:rFonts w:ascii="Helvetica" w:hAnsi="Helvetica" w:cs="Helvetica"/>
          <w:sz w:val="22"/>
          <w:szCs w:val="22"/>
          <w:lang w:val="es-CO"/>
        </w:rPr>
        <w:t xml:space="preserve">% de los recursos </w:t>
      </w:r>
      <w:r w:rsidR="0079746C">
        <w:rPr>
          <w:rFonts w:ascii="Helvetica" w:hAnsi="Helvetica" w:cs="Helvetica"/>
          <w:sz w:val="22"/>
          <w:szCs w:val="22"/>
          <w:lang w:val="es-CO"/>
        </w:rPr>
        <w:t xml:space="preserve">asignados por el </w:t>
      </w:r>
      <w:r w:rsidR="000D2D2D" w:rsidRPr="001B7E14">
        <w:rPr>
          <w:rFonts w:ascii="Helvetica" w:hAnsi="Helvetica" w:cs="Helvetica"/>
          <w:sz w:val="22"/>
          <w:szCs w:val="22"/>
          <w:lang w:val="es-CO"/>
        </w:rPr>
        <w:t xml:space="preserve">concepto de </w:t>
      </w:r>
      <w:r w:rsidR="00BD0641" w:rsidRPr="001B7E14">
        <w:rPr>
          <w:rFonts w:ascii="Helvetica" w:hAnsi="Helvetica" w:cs="Helvetica"/>
          <w:sz w:val="22"/>
          <w:szCs w:val="22"/>
          <w:lang w:val="es-CO"/>
        </w:rPr>
        <w:t>residencias escolares</w:t>
      </w:r>
      <w:r w:rsidR="000D2D2D" w:rsidRPr="001B7E14">
        <w:rPr>
          <w:rFonts w:ascii="Helvetica" w:hAnsi="Helvetica" w:cs="Helvetica"/>
          <w:sz w:val="22"/>
          <w:szCs w:val="22"/>
          <w:lang w:val="es-CO"/>
        </w:rPr>
        <w:t>. En total se comprometieron</w:t>
      </w:r>
      <w:r w:rsidR="00BD0641" w:rsidRPr="001B7E14">
        <w:rPr>
          <w:rFonts w:ascii="Helvetica" w:hAnsi="Helvetica" w:cs="Helvetica"/>
          <w:sz w:val="22"/>
          <w:szCs w:val="22"/>
          <w:lang w:val="es-CO"/>
        </w:rPr>
        <w:t xml:space="preserve"> recursos por un valor de </w:t>
      </w:r>
      <w:r w:rsidR="000D2D2D" w:rsidRPr="001B7E14">
        <w:rPr>
          <w:rFonts w:ascii="Helvetica" w:hAnsi="Helvetica" w:cs="Helvetica"/>
          <w:sz w:val="22"/>
          <w:szCs w:val="22"/>
          <w:lang w:val="es-CO"/>
        </w:rPr>
        <w:t>$11.302</w:t>
      </w:r>
      <w:r w:rsidR="00BD0641" w:rsidRPr="001B7E14">
        <w:rPr>
          <w:rFonts w:ascii="Helvetica" w:hAnsi="Helvetica" w:cs="Helvetica"/>
          <w:sz w:val="22"/>
          <w:szCs w:val="22"/>
          <w:lang w:val="es-CO"/>
        </w:rPr>
        <w:t xml:space="preserve"> millones y se viabilizaron $15.849 millones, en otros términos, la ent</w:t>
      </w:r>
      <w:r w:rsidR="000D2D2D" w:rsidRPr="001B7E14">
        <w:rPr>
          <w:rFonts w:ascii="Helvetica" w:hAnsi="Helvetica" w:cs="Helvetica"/>
          <w:sz w:val="22"/>
          <w:szCs w:val="22"/>
          <w:lang w:val="es-CO"/>
        </w:rPr>
        <w:t>idad omitió la ejecución de $4.547</w:t>
      </w:r>
      <w:r w:rsidR="00BD0641" w:rsidRPr="001B7E14">
        <w:rPr>
          <w:rFonts w:ascii="Helvetica" w:hAnsi="Helvetica" w:cs="Helvetica"/>
          <w:sz w:val="22"/>
          <w:szCs w:val="22"/>
          <w:lang w:val="es-CO"/>
        </w:rPr>
        <w:t xml:space="preserve"> millones.</w:t>
      </w:r>
    </w:p>
    <w:p w14:paraId="361D120C" w14:textId="77777777" w:rsidR="00AD0693" w:rsidRPr="001B7E14" w:rsidRDefault="00AD0693" w:rsidP="00FA42BB">
      <w:pPr>
        <w:pStyle w:val="Sinespaciado"/>
        <w:jc w:val="both"/>
        <w:rPr>
          <w:rFonts w:ascii="Helvetica" w:hAnsi="Helvetica" w:cs="Helvetica"/>
        </w:rPr>
      </w:pPr>
    </w:p>
    <w:p w14:paraId="144A232A"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 xml:space="preserve">Lo anterior evidencia ineficiencia administrativa para utilizar los recursos asignados para prestar estos servicios a los establecimientos educativos en la Entidad Territorial, no solamente por su falta de ejecución, sino porque no fueron invertidos en la solución de las necesidades para las cuales fueron asignados, durante la vigencia en la que se giraron por parte de la Nación. </w:t>
      </w:r>
    </w:p>
    <w:p w14:paraId="7B33BCB3" w14:textId="77777777" w:rsidR="00D57888" w:rsidRPr="001B7E14" w:rsidRDefault="00D57888" w:rsidP="00FA42BB">
      <w:pPr>
        <w:jc w:val="both"/>
        <w:rPr>
          <w:rFonts w:ascii="Helvetica" w:hAnsi="Helvetica" w:cs="Helvetica"/>
          <w:sz w:val="22"/>
          <w:szCs w:val="22"/>
          <w:lang w:val="es-CO"/>
        </w:rPr>
      </w:pPr>
    </w:p>
    <w:p w14:paraId="0ADB12F2" w14:textId="77777777" w:rsidR="00D57888" w:rsidRPr="001B7E14" w:rsidRDefault="00D57888" w:rsidP="00D57888">
      <w:pPr>
        <w:jc w:val="both"/>
        <w:rPr>
          <w:rFonts w:ascii="Helvetica" w:hAnsi="Helvetica" w:cs="Helvetica"/>
          <w:sz w:val="22"/>
          <w:szCs w:val="22"/>
          <w:lang w:val="es-CO"/>
        </w:rPr>
      </w:pPr>
      <w:r w:rsidRPr="001B7E14">
        <w:rPr>
          <w:rFonts w:ascii="Helvetica" w:hAnsi="Helvetica" w:cs="Helvetica"/>
          <w:sz w:val="22"/>
          <w:szCs w:val="22"/>
          <w:lang w:val="es-CO"/>
        </w:rPr>
        <w:lastRenderedPageBreak/>
        <w:t xml:space="preserve">Igualmente, la no ejecución de los recursos de la Participación, durante la vigencia para la cual fueron asignados, genera que los mismos se constituyan en recursos de balance al cierre del año fiscal y deban ser destinados de conformidad con lo establecido en el artículo 148 de la Ley 1450 de 2011. Con lo cual se está incurriendo en una indebida gestión fiscal, contemplada en el artículo 3 de la Ley 610 de 2000 que establece: </w:t>
      </w:r>
    </w:p>
    <w:p w14:paraId="11728165" w14:textId="77777777" w:rsidR="00D57888" w:rsidRPr="001B7E14" w:rsidRDefault="00D57888" w:rsidP="00D57888">
      <w:pPr>
        <w:jc w:val="both"/>
        <w:rPr>
          <w:rFonts w:ascii="Helvetica" w:hAnsi="Helvetica" w:cs="Helvetica"/>
          <w:sz w:val="22"/>
          <w:szCs w:val="22"/>
          <w:lang w:val="es-CO"/>
        </w:rPr>
      </w:pPr>
    </w:p>
    <w:p w14:paraId="70DAAAFF" w14:textId="77777777" w:rsidR="00D57888" w:rsidRPr="001B7E14" w:rsidRDefault="00D57888" w:rsidP="00D57888">
      <w:pPr>
        <w:ind w:left="567"/>
        <w:jc w:val="both"/>
        <w:rPr>
          <w:rFonts w:ascii="Helvetica" w:hAnsi="Helvetica" w:cs="Helvetica"/>
          <w:i/>
          <w:iCs/>
          <w:sz w:val="22"/>
          <w:szCs w:val="22"/>
          <w:lang w:val="es-CO"/>
        </w:rPr>
      </w:pPr>
      <w:r w:rsidRPr="001B7E14">
        <w:rPr>
          <w:rFonts w:ascii="Helvetica" w:hAnsi="Helvetica" w:cs="Helvetica"/>
          <w:i/>
          <w:iCs/>
          <w:sz w:val="20"/>
          <w:szCs w:val="20"/>
          <w:lang w:val="es-CO"/>
        </w:rPr>
        <w:t>“Artículo 3º. Gestión fiscal. Para los efectos de la presente ley, se entiende por gestión fiscal el conjunto de actividades económicas, jurídicas y tecnológicas, que realizan los servidores públicos y las personas de derecho privado que manejen o administren recursos o fondos públicos, tendientes a la adecuada y correcta adquisición, planeación, conservación, administración, custodia, explotación, enajenación, consumo, adjudicación, gasto, inversión y disposición de los bienes públicos, así como a la recaudación, manejo e inversión de sus rentas en orden a cumplir los fines esenciales del Estado, con sujeción a los principios de legalidad, eficiencia, economía, eficacia, equidad, imparcialidad, moralidad, transparencia, publicidad y valoración de los costos ambientales”.</w:t>
      </w:r>
    </w:p>
    <w:p w14:paraId="0FDEF865" w14:textId="77777777" w:rsidR="00D57888" w:rsidRPr="001B7E14" w:rsidRDefault="00D57888" w:rsidP="00D57888">
      <w:pPr>
        <w:jc w:val="both"/>
        <w:rPr>
          <w:rFonts w:ascii="Helvetica" w:hAnsi="Helvetica" w:cs="Helvetica"/>
          <w:sz w:val="22"/>
          <w:szCs w:val="22"/>
          <w:lang w:val="es-CO"/>
        </w:rPr>
      </w:pPr>
    </w:p>
    <w:p w14:paraId="77EBE2A0" w14:textId="77777777" w:rsidR="00D57888" w:rsidRPr="001B7E14" w:rsidRDefault="00D57888" w:rsidP="00D57888">
      <w:pPr>
        <w:jc w:val="both"/>
        <w:rPr>
          <w:rFonts w:ascii="Helvetica" w:hAnsi="Helvetica" w:cs="Helvetica"/>
          <w:sz w:val="22"/>
          <w:szCs w:val="22"/>
          <w:lang w:val="es-CO"/>
        </w:rPr>
      </w:pPr>
      <w:r w:rsidRPr="001B7E14">
        <w:rPr>
          <w:rFonts w:ascii="Helvetica" w:hAnsi="Helvetica" w:cs="Helvetica"/>
          <w:sz w:val="22"/>
          <w:szCs w:val="22"/>
          <w:lang w:val="es-CO"/>
        </w:rPr>
        <w:t>Con estos hechos, la Entidad Territorial incumplió los principios de eficacia y eficiencia que la Constitución Política le asigna a las autoridades administrativas en sus artículos 6 y 209. Adicionalmente, afectó la calidad del servicio educativo prestado a la población escolar de su jurisdicción, conforme lo establece el Decreto 1075 de 2015.</w:t>
      </w:r>
    </w:p>
    <w:p w14:paraId="2F620D36" w14:textId="77777777" w:rsidR="00AD0693" w:rsidRPr="001B7E14" w:rsidRDefault="00AD0693" w:rsidP="00FA42BB">
      <w:pPr>
        <w:jc w:val="both"/>
        <w:rPr>
          <w:rFonts w:ascii="Helvetica" w:hAnsi="Helvetica" w:cs="Helvetica"/>
          <w:sz w:val="22"/>
          <w:szCs w:val="22"/>
          <w:lang w:val="es-CO"/>
        </w:rPr>
      </w:pPr>
    </w:p>
    <w:p w14:paraId="5FA19879" w14:textId="77777777" w:rsidR="00AD0693" w:rsidRPr="001B7E14" w:rsidRDefault="00AD0693" w:rsidP="00FA42BB">
      <w:pPr>
        <w:jc w:val="both"/>
        <w:rPr>
          <w:rFonts w:ascii="Helvetica" w:hAnsi="Helvetica" w:cs="Helvetica"/>
          <w:sz w:val="22"/>
          <w:szCs w:val="22"/>
          <w:lang w:val="es-CO"/>
        </w:rPr>
      </w:pPr>
      <w:r w:rsidRPr="001B7E14">
        <w:rPr>
          <w:rFonts w:ascii="Helvetica" w:eastAsia="Calibri" w:hAnsi="Helvetica" w:cs="Helvetica"/>
          <w:b/>
          <w:sz w:val="22"/>
          <w:szCs w:val="22"/>
          <w:lang w:val="es-CO"/>
        </w:rPr>
        <w:t xml:space="preserve">Evidencia: </w:t>
      </w:r>
      <w:r w:rsidRPr="001B7E14">
        <w:rPr>
          <w:rFonts w:ascii="Helvetica" w:hAnsi="Helvetica" w:cs="Helvetica"/>
          <w:sz w:val="22"/>
          <w:szCs w:val="22"/>
          <w:lang w:val="es-CO"/>
        </w:rPr>
        <w:t>Obra en el expediente el siguiente material probatorio:</w:t>
      </w:r>
    </w:p>
    <w:p w14:paraId="55633B37" w14:textId="77777777" w:rsidR="00AD0693" w:rsidRPr="001B7E14" w:rsidRDefault="00AD0693" w:rsidP="00FA42BB">
      <w:pPr>
        <w:numPr>
          <w:ilvl w:val="0"/>
          <w:numId w:val="31"/>
        </w:numPr>
        <w:ind w:left="284" w:hanging="284"/>
        <w:contextualSpacing/>
        <w:jc w:val="both"/>
        <w:rPr>
          <w:rFonts w:ascii="Helvetica" w:hAnsi="Helvetica" w:cs="Helvetica"/>
          <w:sz w:val="22"/>
          <w:szCs w:val="22"/>
          <w:lang w:val="es-CO"/>
        </w:rPr>
      </w:pPr>
      <w:r w:rsidRPr="001B7E14">
        <w:rPr>
          <w:rFonts w:ascii="Helvetica" w:hAnsi="Helvetica" w:cs="Helvetica"/>
          <w:sz w:val="22"/>
          <w:szCs w:val="22"/>
          <w:lang w:val="es-CO"/>
        </w:rPr>
        <w:t>Relación de contratos de la vigencia 2016. (Carpeta de antecedentes No. 1- Departamento de Guainía, medio magnético, CD No. 1 Referencia cruzada folio 7).</w:t>
      </w:r>
    </w:p>
    <w:p w14:paraId="5AE37DFA" w14:textId="77777777" w:rsidR="00AD0693" w:rsidRPr="001B7E14" w:rsidRDefault="00AD0693" w:rsidP="00FA42BB">
      <w:pPr>
        <w:numPr>
          <w:ilvl w:val="0"/>
          <w:numId w:val="31"/>
        </w:numPr>
        <w:ind w:left="284" w:hanging="284"/>
        <w:contextualSpacing/>
        <w:jc w:val="both"/>
        <w:rPr>
          <w:rFonts w:ascii="Helvetica" w:hAnsi="Helvetica" w:cs="Helvetica"/>
          <w:sz w:val="22"/>
          <w:szCs w:val="22"/>
          <w:lang w:val="es-CO"/>
        </w:rPr>
      </w:pPr>
      <w:r w:rsidRPr="001B7E14">
        <w:rPr>
          <w:rFonts w:ascii="Helvetica" w:hAnsi="Helvetica" w:cs="Helvetica"/>
          <w:sz w:val="22"/>
          <w:szCs w:val="22"/>
          <w:lang w:val="es-CO"/>
        </w:rPr>
        <w:t>Ejecución presupuestal de gastos de la vigencia 2017. (Carpeta de antecedentes No. 1- Departamento de Guainía, medio magnético, CD No. 1 Referencia cruzada folio 7).</w:t>
      </w:r>
    </w:p>
    <w:p w14:paraId="6464C738" w14:textId="77777777" w:rsidR="00AD0693" w:rsidRPr="001B7E14" w:rsidRDefault="00AD0693" w:rsidP="00FA42BB">
      <w:pPr>
        <w:numPr>
          <w:ilvl w:val="0"/>
          <w:numId w:val="31"/>
        </w:numPr>
        <w:ind w:left="284" w:hanging="284"/>
        <w:contextualSpacing/>
        <w:jc w:val="both"/>
        <w:rPr>
          <w:rFonts w:ascii="Helvetica" w:hAnsi="Helvetica" w:cs="Helvetica"/>
          <w:sz w:val="22"/>
          <w:szCs w:val="22"/>
          <w:lang w:val="es-CO"/>
        </w:rPr>
      </w:pPr>
      <w:r w:rsidRPr="001B7E14">
        <w:rPr>
          <w:rFonts w:ascii="Helvetica" w:hAnsi="Helvetica" w:cs="Helvetica"/>
          <w:sz w:val="22"/>
          <w:szCs w:val="22"/>
          <w:lang w:val="es-CO"/>
        </w:rPr>
        <w:t>Reporte FUT de la categoría de gastos de inversión de la vigencia 2018. (Carpeta de antecedentes No. 1- Departamento de Guainía, medio magnético, CD No. 1 Referencia cruzada folio 7).</w:t>
      </w:r>
    </w:p>
    <w:p w14:paraId="093BA2A9" w14:textId="77777777" w:rsidR="00AD0693" w:rsidRPr="001B7E14" w:rsidRDefault="00AD0693" w:rsidP="00FA42BB">
      <w:pPr>
        <w:numPr>
          <w:ilvl w:val="0"/>
          <w:numId w:val="31"/>
        </w:numPr>
        <w:ind w:left="284" w:hanging="284"/>
        <w:contextualSpacing/>
        <w:jc w:val="both"/>
        <w:rPr>
          <w:rStyle w:val="Hipervnculo"/>
          <w:rFonts w:ascii="Helvetica" w:hAnsi="Helvetica" w:cs="Helvetica"/>
          <w:color w:val="auto"/>
          <w:sz w:val="22"/>
          <w:szCs w:val="22"/>
        </w:rPr>
      </w:pPr>
      <w:r w:rsidRPr="001B7E14">
        <w:rPr>
          <w:rFonts w:ascii="Helvetica" w:hAnsi="Helvetica" w:cs="Helvetica"/>
          <w:sz w:val="22"/>
          <w:szCs w:val="22"/>
        </w:rPr>
        <w:t>Ejecución de gastos de la vigencia 2020. Se</w:t>
      </w:r>
      <w:r w:rsidRPr="001B7E14">
        <w:rPr>
          <w:rFonts w:ascii="Helvetica" w:eastAsiaTheme="minorHAnsi" w:hAnsi="Helvetica" w:cs="Helvetica"/>
          <w:sz w:val="22"/>
          <w:szCs w:val="22"/>
          <w:lang w:eastAsia="es-ES_tradnl"/>
        </w:rPr>
        <w:t xml:space="preserve">ctor Educación. Departamento de </w:t>
      </w:r>
      <w:r w:rsidR="00342952" w:rsidRPr="001B7E14">
        <w:rPr>
          <w:rFonts w:ascii="Helvetica" w:eastAsiaTheme="minorHAnsi" w:hAnsi="Helvetica" w:cs="Helvetica"/>
          <w:sz w:val="22"/>
          <w:szCs w:val="22"/>
          <w:lang w:eastAsia="es-ES_tradnl"/>
        </w:rPr>
        <w:t>Guainía</w:t>
      </w:r>
      <w:r w:rsidRPr="001B7E14">
        <w:rPr>
          <w:rFonts w:ascii="Helvetica" w:eastAsiaTheme="minorHAnsi" w:hAnsi="Helvetica" w:cs="Helvetica"/>
          <w:sz w:val="22"/>
          <w:szCs w:val="22"/>
          <w:lang w:eastAsia="es-ES_tradnl"/>
        </w:rPr>
        <w:t xml:space="preserve">. Serie "Historial de seguimiento y control a los recursos del Sistema General de Participaciones - Antecedentes de la medida". Expediente digital No. 135/2017/D028-PREDI, radicado 1-2021-104463 22 de noviembre 2021. Enlace: </w:t>
      </w:r>
      <w:hyperlink r:id="rId41" w:history="1">
        <w:r w:rsidRPr="001B7E14">
          <w:rPr>
            <w:rStyle w:val="Hipervnculo"/>
            <w:rFonts w:ascii="Helvetica" w:hAnsi="Helvetica" w:cs="Helvetica"/>
            <w:color w:val="auto"/>
            <w:sz w:val="22"/>
            <w:szCs w:val="22"/>
            <w:lang w:val="es-CO"/>
          </w:rPr>
          <w:t>https://bit.ly/39QcmJ6</w:t>
        </w:r>
      </w:hyperlink>
    </w:p>
    <w:p w14:paraId="4FDBF5C6" w14:textId="77777777" w:rsidR="001B70BC" w:rsidRPr="001B7E14" w:rsidRDefault="00AD0693" w:rsidP="001B70BC">
      <w:pPr>
        <w:numPr>
          <w:ilvl w:val="0"/>
          <w:numId w:val="31"/>
        </w:numPr>
        <w:ind w:left="284" w:hanging="284"/>
        <w:contextualSpacing/>
        <w:jc w:val="both"/>
        <w:rPr>
          <w:rStyle w:val="Hipervnculo"/>
          <w:rFonts w:ascii="Helvetica" w:hAnsi="Helvetica" w:cs="Helvetica"/>
          <w:color w:val="auto"/>
          <w:sz w:val="22"/>
          <w:szCs w:val="22"/>
          <w:u w:val="none"/>
        </w:rPr>
      </w:pPr>
      <w:r w:rsidRPr="001B7E14">
        <w:rPr>
          <w:rFonts w:ascii="Helvetica" w:hAnsi="Helvetica" w:cs="Helvetica"/>
          <w:sz w:val="22"/>
          <w:szCs w:val="22"/>
        </w:rPr>
        <w:t>Ejecución de gastos de la vigencia 2021. Se</w:t>
      </w:r>
      <w:r w:rsidRPr="001B7E14">
        <w:rPr>
          <w:rFonts w:ascii="Helvetica" w:eastAsiaTheme="minorHAnsi" w:hAnsi="Helvetica" w:cs="Helvetica"/>
          <w:sz w:val="22"/>
          <w:szCs w:val="22"/>
          <w:lang w:eastAsia="es-ES_tradnl"/>
        </w:rPr>
        <w:t xml:space="preserve">ctor Educación. Departamento de </w:t>
      </w:r>
      <w:r w:rsidR="00342952" w:rsidRPr="001B7E14">
        <w:rPr>
          <w:rFonts w:ascii="Helvetica" w:eastAsiaTheme="minorHAnsi" w:hAnsi="Helvetica" w:cs="Helvetica"/>
          <w:sz w:val="22"/>
          <w:szCs w:val="22"/>
          <w:lang w:eastAsia="es-ES_tradnl"/>
        </w:rPr>
        <w:t>Guainía</w:t>
      </w:r>
      <w:r w:rsidRPr="001B7E14">
        <w:rPr>
          <w:rFonts w:ascii="Helvetica" w:eastAsiaTheme="minorHAnsi" w:hAnsi="Helvetica" w:cs="Helvetica"/>
          <w:sz w:val="22"/>
          <w:szCs w:val="22"/>
          <w:lang w:eastAsia="es-ES_tradnl"/>
        </w:rPr>
        <w:t xml:space="preserve">. Serie "Historial de seguimiento y control a los recursos del Sistema General de Participaciones - Antecedentes de la medida". Expediente digital No. 135/2017/D028-PREDI, radicado 1-2022-015922 del 01 de marzo 2022. Enlace: </w:t>
      </w:r>
      <w:hyperlink r:id="rId42" w:history="1">
        <w:r w:rsidRPr="001B7E14">
          <w:rPr>
            <w:rStyle w:val="Hipervnculo"/>
            <w:rFonts w:ascii="Helvetica" w:hAnsi="Helvetica" w:cs="Helvetica"/>
            <w:color w:val="auto"/>
            <w:sz w:val="22"/>
            <w:szCs w:val="22"/>
            <w:lang w:val="es-CO"/>
          </w:rPr>
          <w:t>https://bit.ly/3RIB8Mk</w:t>
        </w:r>
      </w:hyperlink>
    </w:p>
    <w:p w14:paraId="4470989A" w14:textId="77777777" w:rsidR="000D2D2D" w:rsidRPr="001B7E14" w:rsidRDefault="000D2D2D" w:rsidP="001B70BC">
      <w:pPr>
        <w:numPr>
          <w:ilvl w:val="0"/>
          <w:numId w:val="31"/>
        </w:numPr>
        <w:ind w:left="284" w:hanging="284"/>
        <w:contextualSpacing/>
        <w:jc w:val="both"/>
        <w:rPr>
          <w:rFonts w:ascii="Helvetica" w:hAnsi="Helvetica" w:cs="Helvetica"/>
          <w:sz w:val="22"/>
          <w:szCs w:val="22"/>
        </w:rPr>
      </w:pPr>
      <w:r w:rsidRPr="001B7E14">
        <w:rPr>
          <w:rFonts w:ascii="Helvetica" w:hAnsi="Helvetica" w:cs="Helvetica"/>
          <w:sz w:val="22"/>
          <w:szCs w:val="22"/>
        </w:rPr>
        <w:t>Ejecución de gastos de la vigencia 2022. Se</w:t>
      </w:r>
      <w:r w:rsidRPr="001B7E14">
        <w:rPr>
          <w:rFonts w:ascii="Helvetica" w:eastAsiaTheme="minorHAnsi" w:hAnsi="Helvetica" w:cs="Helvetica"/>
          <w:sz w:val="22"/>
          <w:szCs w:val="22"/>
          <w:lang w:eastAsia="es-ES_tradnl"/>
        </w:rPr>
        <w:t xml:space="preserve">ctor Educación. Departamento de Guainía. Serie "Historial de seguimiento y control a los recursos del Sistema General de Participaciones - Antecedentes de la medida". Expediente </w:t>
      </w:r>
      <w:r w:rsidR="001B70BC" w:rsidRPr="001B7E14">
        <w:rPr>
          <w:rFonts w:ascii="Helvetica" w:eastAsiaTheme="minorHAnsi" w:hAnsi="Helvetica" w:cs="Helvetica"/>
          <w:sz w:val="22"/>
          <w:szCs w:val="22"/>
          <w:lang w:eastAsia="es-ES_tradnl"/>
        </w:rPr>
        <w:t>digital No. 135/2017/D028-PREDI</w:t>
      </w:r>
      <w:r w:rsidRPr="001B7E14">
        <w:rPr>
          <w:rFonts w:ascii="Helvetica" w:eastAsiaTheme="minorHAnsi" w:hAnsi="Helvetica" w:cs="Helvetica"/>
          <w:sz w:val="22"/>
          <w:szCs w:val="22"/>
          <w:lang w:eastAsia="es-ES_tradnl"/>
        </w:rPr>
        <w:t xml:space="preserve">. Enlace: </w:t>
      </w:r>
      <w:r w:rsidRPr="001B7E14">
        <w:rPr>
          <w:rFonts w:ascii="Helvetica" w:eastAsiaTheme="minorHAnsi" w:hAnsi="Helvetica" w:cs="Helvetica"/>
          <w:sz w:val="22"/>
          <w:szCs w:val="22"/>
          <w:u w:val="single"/>
          <w:lang w:eastAsia="es-ES_tradnl"/>
        </w:rPr>
        <w:t>SIED</w:t>
      </w:r>
      <w:r w:rsidR="001B70BC" w:rsidRPr="001B7E14">
        <w:rPr>
          <w:rFonts w:ascii="Helvetica" w:eastAsiaTheme="minorHAnsi" w:hAnsi="Helvetica" w:cs="Helvetica"/>
          <w:sz w:val="22"/>
          <w:szCs w:val="22"/>
          <w:u w:val="single"/>
          <w:lang w:eastAsia="es-ES_tradnl"/>
        </w:rPr>
        <w:t xml:space="preserve"> https://onx.la/41c76</w:t>
      </w:r>
    </w:p>
    <w:p w14:paraId="2E9B2676" w14:textId="77777777" w:rsidR="00AD0693" w:rsidRPr="001B7E14" w:rsidRDefault="00AD0693" w:rsidP="00FA42BB">
      <w:pPr>
        <w:pStyle w:val="Prrafodelista"/>
        <w:jc w:val="both"/>
        <w:rPr>
          <w:rFonts w:ascii="Helvetica" w:hAnsi="Helvetica" w:cs="Helvetica"/>
          <w:sz w:val="22"/>
          <w:szCs w:val="22"/>
          <w:lang w:val="es-CO"/>
        </w:rPr>
      </w:pPr>
    </w:p>
    <w:p w14:paraId="111F4088" w14:textId="77777777" w:rsidR="00AD0693" w:rsidRPr="001B7E14" w:rsidRDefault="00AD0693" w:rsidP="00FA42BB">
      <w:pPr>
        <w:pStyle w:val="Ttulo"/>
        <w:numPr>
          <w:ilvl w:val="0"/>
          <w:numId w:val="33"/>
        </w:numPr>
        <w:rPr>
          <w:rFonts w:ascii="Helvetica" w:hAnsi="Helvetica" w:cs="Helvetica"/>
          <w:szCs w:val="22"/>
          <w:lang w:eastAsia="en-US"/>
        </w:rPr>
      </w:pPr>
      <w:r w:rsidRPr="001B7E14">
        <w:rPr>
          <w:rFonts w:ascii="Helvetica" w:hAnsi="Helvetica" w:cs="Helvetica"/>
          <w:szCs w:val="22"/>
          <w:lang w:eastAsia="en-US"/>
        </w:rPr>
        <w:t>Distribución de planta de personal sin aplicación de los parámetros técnicos.</w:t>
      </w:r>
    </w:p>
    <w:p w14:paraId="76FB55B4" w14:textId="77777777" w:rsidR="00AD0693" w:rsidRPr="001B7E14" w:rsidRDefault="00AD0693" w:rsidP="00FA42BB">
      <w:pPr>
        <w:jc w:val="both"/>
        <w:rPr>
          <w:rFonts w:ascii="Helvetica" w:hAnsi="Helvetica" w:cs="Helvetica"/>
          <w:sz w:val="22"/>
          <w:szCs w:val="22"/>
          <w:lang w:val="es-CO"/>
        </w:rPr>
      </w:pPr>
    </w:p>
    <w:p w14:paraId="2313D25A" w14:textId="77777777" w:rsidR="00B90F65" w:rsidRPr="001B7E14" w:rsidRDefault="00B90F65" w:rsidP="00B90F65">
      <w:pPr>
        <w:jc w:val="both"/>
        <w:rPr>
          <w:rFonts w:ascii="Helvetica" w:hAnsi="Helvetica" w:cs="Helvetica"/>
          <w:sz w:val="22"/>
          <w:szCs w:val="22"/>
          <w:lang w:val="es-CO"/>
        </w:rPr>
      </w:pPr>
      <w:r w:rsidRPr="001B7E14">
        <w:rPr>
          <w:rFonts w:ascii="Helvetica" w:hAnsi="Helvetica" w:cs="Helvetica"/>
          <w:sz w:val="22"/>
          <w:szCs w:val="22"/>
          <w:lang w:val="es-CO"/>
        </w:rPr>
        <w:t>Los artículos 6.2.3, 6.2.10, 6.2.11, 7.3 y 7.4 de la Ley 715 de 2001 establecen las responsabilidades de las Entidades Territoriales Certificadas en Educación en cuanto a la administración del personal docente y administrativo a su cargo, así como su distribución entre los establecimientos educativos de su jurisdicción, de conformidad con la matrícula atendida.</w:t>
      </w:r>
    </w:p>
    <w:p w14:paraId="4A799931" w14:textId="77777777" w:rsidR="00B90F65" w:rsidRPr="001B7E14" w:rsidRDefault="00B90F65" w:rsidP="00B90F65">
      <w:pPr>
        <w:jc w:val="both"/>
        <w:rPr>
          <w:rFonts w:ascii="Helvetica" w:hAnsi="Helvetica" w:cs="Helvetica"/>
          <w:sz w:val="22"/>
          <w:szCs w:val="22"/>
          <w:lang w:val="es-CO"/>
        </w:rPr>
      </w:pPr>
    </w:p>
    <w:p w14:paraId="35F6C61E" w14:textId="77777777" w:rsidR="00B90F65" w:rsidRPr="001B7E14" w:rsidRDefault="00B90F65" w:rsidP="00342952">
      <w:pPr>
        <w:jc w:val="both"/>
        <w:rPr>
          <w:rFonts w:ascii="Helvetica" w:hAnsi="Helvetica" w:cs="Helvetica"/>
          <w:sz w:val="22"/>
          <w:szCs w:val="22"/>
          <w:lang w:val="es-CO"/>
        </w:rPr>
      </w:pPr>
      <w:r w:rsidRPr="001B7E14">
        <w:rPr>
          <w:rFonts w:ascii="Helvetica" w:hAnsi="Helvetica" w:cs="Helvetica"/>
          <w:sz w:val="22"/>
          <w:szCs w:val="22"/>
          <w:lang w:val="es-CO"/>
        </w:rPr>
        <w:t xml:space="preserve">Por su parte, los artículos 2.4.6.1.2.1, 2.4.6.1.2.2. y 2.4.6.1.2.3 del Decreto 1075 del 2015 establecen los parámetros técnicos para la asignación de rectores, directores rurales y coordinadores en las instituciones y centros educativos. </w:t>
      </w:r>
    </w:p>
    <w:p w14:paraId="571B3427" w14:textId="77777777" w:rsidR="00B90F65" w:rsidRPr="001B7E14" w:rsidRDefault="00B90F65" w:rsidP="00EC1F5B">
      <w:pPr>
        <w:autoSpaceDE w:val="0"/>
        <w:autoSpaceDN w:val="0"/>
        <w:adjustRightInd w:val="0"/>
        <w:jc w:val="both"/>
        <w:rPr>
          <w:rFonts w:ascii="Helvetica" w:eastAsia="Calibri" w:hAnsi="Helvetica" w:cs="Helvetica"/>
          <w:sz w:val="22"/>
          <w:szCs w:val="22"/>
          <w:lang w:val="es-ES_tradnl" w:eastAsia="en-US"/>
        </w:rPr>
      </w:pPr>
    </w:p>
    <w:p w14:paraId="49ACB268" w14:textId="77777777" w:rsidR="00EC1F5B" w:rsidRPr="001B7E14" w:rsidRDefault="00EC1F5B" w:rsidP="00EC1F5B">
      <w:pPr>
        <w:autoSpaceDE w:val="0"/>
        <w:autoSpaceDN w:val="0"/>
        <w:adjustRightInd w:val="0"/>
        <w:jc w:val="both"/>
        <w:rPr>
          <w:rFonts w:ascii="Helvetica" w:eastAsia="Calibri" w:hAnsi="Helvetica" w:cs="Helvetica"/>
          <w:sz w:val="22"/>
          <w:szCs w:val="22"/>
          <w:lang w:val="es-ES_tradnl" w:eastAsia="en-US"/>
        </w:rPr>
      </w:pPr>
      <w:r w:rsidRPr="001B7E14">
        <w:rPr>
          <w:rFonts w:ascii="Helvetica" w:eastAsia="Calibri" w:hAnsi="Helvetica" w:cs="Helvetica"/>
          <w:sz w:val="22"/>
          <w:szCs w:val="22"/>
          <w:lang w:val="es-ES_tradnl" w:eastAsia="en-US"/>
        </w:rPr>
        <w:t>Como lo establece el artículo 142 de la Ley 1450 de 2011, la garantía de la sostenibilidad de los recursos asignados al Sector Educación por el Sistema General de Participaciones requiere de la administración eficiente de las plantas de personal docente y directivo docente, las cuales deben ser ajustadas de acuerdo a la matrícula efectivamente atendida y de conformidad con las relaciones técnicas para cada zona y nivel educativo en las normas vigentes; en donde toda modificación efectiva de dichas plantas deberá contar con la aprobación del Ministerio de Educación Nacional para ser financiada con los recursos del Sistema General de Participaciones, en caso contrario, los mayores costos deberán ser financiados con recursos propios.</w:t>
      </w:r>
    </w:p>
    <w:p w14:paraId="01450B63" w14:textId="77777777" w:rsidR="00EC1F5B" w:rsidRPr="001B7E14" w:rsidRDefault="00EC1F5B" w:rsidP="00FA42BB">
      <w:pPr>
        <w:autoSpaceDE w:val="0"/>
        <w:autoSpaceDN w:val="0"/>
        <w:adjustRightInd w:val="0"/>
        <w:jc w:val="both"/>
        <w:rPr>
          <w:rFonts w:ascii="Helvetica" w:eastAsia="Calibri" w:hAnsi="Helvetica" w:cs="Helvetica"/>
          <w:sz w:val="22"/>
          <w:szCs w:val="22"/>
          <w:lang w:val="es-ES_tradnl" w:eastAsia="en-US"/>
        </w:rPr>
      </w:pPr>
    </w:p>
    <w:p w14:paraId="50D29301" w14:textId="77777777" w:rsidR="00AD0693" w:rsidRPr="001B7E14" w:rsidRDefault="00AD0693" w:rsidP="00FA42BB">
      <w:pPr>
        <w:autoSpaceDE w:val="0"/>
        <w:autoSpaceDN w:val="0"/>
        <w:adjustRightInd w:val="0"/>
        <w:jc w:val="both"/>
        <w:rPr>
          <w:rFonts w:ascii="Helvetica" w:eastAsia="Calibri" w:hAnsi="Helvetica" w:cs="Helvetica"/>
          <w:sz w:val="22"/>
          <w:szCs w:val="22"/>
          <w:lang w:val="es-ES_tradnl" w:eastAsia="en-US"/>
        </w:rPr>
      </w:pPr>
      <w:r w:rsidRPr="001B7E14">
        <w:rPr>
          <w:rFonts w:ascii="Helvetica" w:eastAsia="Calibri" w:hAnsi="Helvetica" w:cs="Helvetica"/>
          <w:sz w:val="22"/>
          <w:szCs w:val="22"/>
          <w:lang w:val="es-ES_tradnl" w:eastAsia="en-US"/>
        </w:rPr>
        <w:t xml:space="preserve">De acuerdo con el concepto técnico No. </w:t>
      </w:r>
      <w:r w:rsidR="00F65426" w:rsidRPr="001B7E14">
        <w:rPr>
          <w:rFonts w:ascii="Helvetica" w:eastAsia="Calibri" w:hAnsi="Helvetica" w:cs="Helvetica"/>
          <w:sz w:val="22"/>
          <w:szCs w:val="22"/>
          <w:lang w:val="es-ES_tradnl" w:eastAsia="en-US"/>
        </w:rPr>
        <w:t>2021-EE-391265 del 10/12/2021</w:t>
      </w:r>
      <w:r w:rsidRPr="001B7E14">
        <w:rPr>
          <w:rFonts w:ascii="Helvetica" w:eastAsia="Calibri" w:hAnsi="Helvetica" w:cs="Helvetica"/>
          <w:sz w:val="22"/>
          <w:szCs w:val="22"/>
          <w:lang w:val="es-ES_tradnl" w:eastAsia="en-US"/>
        </w:rPr>
        <w:t xml:space="preserve">, emitido por el Ministerio de Educación Nacional, la planta viabilizada </w:t>
      </w:r>
      <w:r w:rsidR="00EC1F5B" w:rsidRPr="001B7E14">
        <w:rPr>
          <w:rFonts w:ascii="Helvetica" w:eastAsia="Calibri" w:hAnsi="Helvetica" w:cs="Helvetica"/>
          <w:sz w:val="22"/>
          <w:szCs w:val="22"/>
          <w:lang w:val="es-ES_tradnl" w:eastAsia="en-US"/>
        </w:rPr>
        <w:t xml:space="preserve">para el Departamento de Guainía </w:t>
      </w:r>
      <w:r w:rsidR="00F65426" w:rsidRPr="001B7E14">
        <w:rPr>
          <w:rFonts w:ascii="Helvetica" w:eastAsia="Calibri" w:hAnsi="Helvetica" w:cs="Helvetica"/>
          <w:sz w:val="22"/>
          <w:szCs w:val="22"/>
          <w:lang w:val="es-ES_tradnl" w:eastAsia="en-US"/>
        </w:rPr>
        <w:t>est</w:t>
      </w:r>
      <w:r w:rsidR="0079746C">
        <w:rPr>
          <w:rFonts w:ascii="Helvetica" w:eastAsia="Calibri" w:hAnsi="Helvetica" w:cs="Helvetica"/>
          <w:sz w:val="22"/>
          <w:szCs w:val="22"/>
          <w:lang w:val="es-ES_tradnl" w:eastAsia="en-US"/>
        </w:rPr>
        <w:t>á</w:t>
      </w:r>
      <w:r w:rsidRPr="001B7E14">
        <w:rPr>
          <w:rFonts w:ascii="Helvetica" w:eastAsia="Calibri" w:hAnsi="Helvetica" w:cs="Helvetica"/>
          <w:sz w:val="22"/>
          <w:szCs w:val="22"/>
          <w:lang w:val="es-ES_tradnl" w:eastAsia="en-US"/>
        </w:rPr>
        <w:t xml:space="preserve"> en capacidad de atender </w:t>
      </w:r>
      <w:r w:rsidR="00F65426" w:rsidRPr="001B7E14">
        <w:rPr>
          <w:rFonts w:ascii="Helvetica" w:eastAsia="Calibri" w:hAnsi="Helvetica" w:cs="Helvetica"/>
          <w:sz w:val="22"/>
          <w:szCs w:val="22"/>
          <w:lang w:val="es-ES_tradnl" w:eastAsia="en-US"/>
        </w:rPr>
        <w:t xml:space="preserve">9.878 </w:t>
      </w:r>
      <w:r w:rsidRPr="001B7E14">
        <w:rPr>
          <w:rFonts w:ascii="Helvetica" w:eastAsia="Calibri" w:hAnsi="Helvetica" w:cs="Helvetica"/>
          <w:sz w:val="22"/>
          <w:szCs w:val="22"/>
          <w:lang w:val="es-ES_tradnl" w:eastAsia="en-US"/>
        </w:rPr>
        <w:t>alumnos, pero la matrícula oficial no contratada que reportó la Entidad Territorial para la vigencia 20</w:t>
      </w:r>
      <w:r w:rsidR="00F65426" w:rsidRPr="001B7E14">
        <w:rPr>
          <w:rFonts w:ascii="Helvetica" w:eastAsia="Calibri" w:hAnsi="Helvetica" w:cs="Helvetica"/>
          <w:sz w:val="22"/>
          <w:szCs w:val="22"/>
          <w:lang w:val="es-ES_tradnl" w:eastAsia="en-US"/>
        </w:rPr>
        <w:t>2</w:t>
      </w:r>
      <w:r w:rsidR="00D173E1" w:rsidRPr="001B7E14">
        <w:rPr>
          <w:rFonts w:ascii="Helvetica" w:eastAsia="Calibri" w:hAnsi="Helvetica" w:cs="Helvetica"/>
          <w:sz w:val="22"/>
          <w:szCs w:val="22"/>
          <w:lang w:val="es-ES_tradnl" w:eastAsia="en-US"/>
        </w:rPr>
        <w:t>3</w:t>
      </w:r>
      <w:r w:rsidRPr="001B7E14">
        <w:rPr>
          <w:rFonts w:ascii="Helvetica" w:eastAsia="Calibri" w:hAnsi="Helvetica" w:cs="Helvetica"/>
          <w:sz w:val="22"/>
          <w:szCs w:val="22"/>
          <w:lang w:val="es-ES_tradnl" w:eastAsia="en-US"/>
        </w:rPr>
        <w:t xml:space="preserve"> ascendió a </w:t>
      </w:r>
      <w:r w:rsidR="00F65426" w:rsidRPr="001B7E14">
        <w:rPr>
          <w:rFonts w:ascii="Helvetica" w:eastAsia="Calibri" w:hAnsi="Helvetica" w:cs="Helvetica"/>
          <w:sz w:val="22"/>
          <w:szCs w:val="22"/>
          <w:lang w:val="es-ES_tradnl" w:eastAsia="en-US"/>
        </w:rPr>
        <w:t>8.</w:t>
      </w:r>
      <w:r w:rsidR="00F30259" w:rsidRPr="001B7E14">
        <w:rPr>
          <w:rFonts w:ascii="Helvetica" w:eastAsia="Calibri" w:hAnsi="Helvetica" w:cs="Helvetica"/>
          <w:sz w:val="22"/>
          <w:szCs w:val="22"/>
          <w:lang w:val="es-ES_tradnl" w:eastAsia="en-US"/>
        </w:rPr>
        <w:t>435</w:t>
      </w:r>
      <w:r w:rsidRPr="001B7E14">
        <w:rPr>
          <w:rFonts w:ascii="Helvetica" w:eastAsia="Calibri" w:hAnsi="Helvetica" w:cs="Helvetica"/>
          <w:sz w:val="22"/>
          <w:szCs w:val="22"/>
          <w:lang w:val="es-ES_tradnl" w:eastAsia="en-US"/>
        </w:rPr>
        <w:t xml:space="preserve"> es decir </w:t>
      </w:r>
      <w:r w:rsidR="00F65426" w:rsidRPr="001B7E14">
        <w:rPr>
          <w:rFonts w:ascii="Helvetica" w:eastAsia="Calibri" w:hAnsi="Helvetica" w:cs="Helvetica"/>
          <w:sz w:val="22"/>
          <w:szCs w:val="22"/>
          <w:lang w:val="es-ES_tradnl" w:eastAsia="en-US"/>
        </w:rPr>
        <w:t>1.</w:t>
      </w:r>
      <w:r w:rsidR="00C83831" w:rsidRPr="001B7E14">
        <w:rPr>
          <w:rFonts w:ascii="Helvetica" w:eastAsia="Calibri" w:hAnsi="Helvetica" w:cs="Helvetica"/>
          <w:sz w:val="22"/>
          <w:szCs w:val="22"/>
          <w:lang w:val="es-ES_tradnl" w:eastAsia="en-US"/>
        </w:rPr>
        <w:t>4</w:t>
      </w:r>
      <w:r w:rsidR="00A212D6" w:rsidRPr="001B7E14">
        <w:rPr>
          <w:rFonts w:ascii="Helvetica" w:eastAsia="Calibri" w:hAnsi="Helvetica" w:cs="Helvetica"/>
          <w:sz w:val="22"/>
          <w:szCs w:val="22"/>
          <w:lang w:val="es-ES_tradnl" w:eastAsia="en-US"/>
        </w:rPr>
        <w:t>43</w:t>
      </w:r>
      <w:r w:rsidRPr="001B7E14">
        <w:rPr>
          <w:rFonts w:ascii="Helvetica" w:eastAsia="Calibri" w:hAnsi="Helvetica" w:cs="Helvetica"/>
          <w:sz w:val="22"/>
          <w:szCs w:val="22"/>
          <w:lang w:val="es-ES_tradnl" w:eastAsia="en-US"/>
        </w:rPr>
        <w:t xml:space="preserve"> </w:t>
      </w:r>
      <w:r w:rsidR="00F65426" w:rsidRPr="001B7E14">
        <w:rPr>
          <w:rFonts w:ascii="Helvetica" w:eastAsia="Calibri" w:hAnsi="Helvetica" w:cs="Helvetica"/>
          <w:sz w:val="22"/>
          <w:szCs w:val="22"/>
          <w:lang w:val="es-ES_tradnl" w:eastAsia="en-US"/>
        </w:rPr>
        <w:t xml:space="preserve">estudiantes menos </w:t>
      </w:r>
      <w:r w:rsidRPr="001B7E14">
        <w:rPr>
          <w:rFonts w:ascii="Helvetica" w:eastAsia="Calibri" w:hAnsi="Helvetica" w:cs="Helvetica"/>
          <w:sz w:val="22"/>
          <w:szCs w:val="22"/>
          <w:lang w:val="es-ES_tradnl" w:eastAsia="en-US"/>
        </w:rPr>
        <w:t>de los que puede atender con su planta docente oficial.</w:t>
      </w:r>
    </w:p>
    <w:p w14:paraId="395E767D" w14:textId="77777777" w:rsidR="00F65426" w:rsidRPr="001B7E14" w:rsidRDefault="00F65426" w:rsidP="00FA42BB">
      <w:pPr>
        <w:autoSpaceDE w:val="0"/>
        <w:autoSpaceDN w:val="0"/>
        <w:adjustRightInd w:val="0"/>
        <w:jc w:val="both"/>
        <w:rPr>
          <w:rFonts w:ascii="Helvetica" w:eastAsia="Calibri" w:hAnsi="Helvetica" w:cs="Helvetica"/>
          <w:sz w:val="22"/>
          <w:szCs w:val="22"/>
          <w:lang w:val="es-ES_tradnl" w:eastAsia="en-US"/>
        </w:rPr>
      </w:pPr>
    </w:p>
    <w:p w14:paraId="77F478A4" w14:textId="77777777" w:rsidR="00AD0693" w:rsidRPr="001B7E14" w:rsidRDefault="00AD0693" w:rsidP="00FA42BB">
      <w:pPr>
        <w:autoSpaceDE w:val="0"/>
        <w:autoSpaceDN w:val="0"/>
        <w:adjustRightInd w:val="0"/>
        <w:jc w:val="both"/>
        <w:rPr>
          <w:rFonts w:ascii="Helvetica" w:eastAsia="Calibri" w:hAnsi="Helvetica" w:cs="Helvetica"/>
          <w:sz w:val="22"/>
          <w:szCs w:val="22"/>
          <w:lang w:val="es-ES_tradnl" w:eastAsia="en-US"/>
        </w:rPr>
      </w:pPr>
      <w:r w:rsidRPr="001B7E14">
        <w:rPr>
          <w:rFonts w:ascii="Helvetica" w:eastAsia="Calibri" w:hAnsi="Helvetica" w:cs="Helvetica"/>
          <w:sz w:val="22"/>
          <w:szCs w:val="22"/>
          <w:lang w:val="es-ES_tradnl" w:eastAsia="en-US"/>
        </w:rPr>
        <w:t xml:space="preserve">Aun así, la Entidad Territorial recurre a la contratación del servicio sin superar su matrícula mínima, induciendo a concluir que no hace un uso total y prioritario de su capacidad oficial antes de prestar el servicio a través de terceros contratados, vulnerando lo establecido por las Leyes 115 de 1994 y 715 de 2001. Las dificultades que argumenta la Entidad Territorial en su estudio de insuficiencia son la dispersión poblacional, la ruralidad y que los cupos disponibles no se encuentran, necesariamente, en los mismos municipios no certificados en donde están los niños por atender. </w:t>
      </w:r>
    </w:p>
    <w:p w14:paraId="78C5269B" w14:textId="77777777" w:rsidR="00AD0693" w:rsidRPr="001B7E14" w:rsidRDefault="00AD0693" w:rsidP="00FA42BB">
      <w:pPr>
        <w:jc w:val="both"/>
        <w:rPr>
          <w:rFonts w:ascii="Helvetica" w:hAnsi="Helvetica" w:cs="Helvetica"/>
          <w:sz w:val="22"/>
          <w:szCs w:val="22"/>
          <w:lang w:val="es-ES_tradnl"/>
        </w:rPr>
      </w:pPr>
    </w:p>
    <w:p w14:paraId="3E671267" w14:textId="77777777" w:rsidR="00AD0693" w:rsidRPr="001B7E14" w:rsidRDefault="00AD0693" w:rsidP="00FA42BB">
      <w:pPr>
        <w:jc w:val="both"/>
        <w:rPr>
          <w:rFonts w:ascii="Helvetica" w:hAnsi="Helvetica" w:cs="Helvetica"/>
          <w:sz w:val="22"/>
          <w:szCs w:val="22"/>
          <w:lang w:val="es-ES_tradnl"/>
        </w:rPr>
      </w:pPr>
      <w:r w:rsidRPr="001B7E14">
        <w:rPr>
          <w:rFonts w:ascii="Helvetica" w:hAnsi="Helvetica" w:cs="Helvetica"/>
          <w:sz w:val="22"/>
          <w:szCs w:val="22"/>
          <w:lang w:val="es-ES_tradnl"/>
        </w:rPr>
        <w:t xml:space="preserve">Sin embargo, manteniendo la relación técnica definida en su concepto de </w:t>
      </w:r>
      <w:proofErr w:type="spellStart"/>
      <w:r w:rsidRPr="001B7E14">
        <w:rPr>
          <w:rFonts w:ascii="Helvetica" w:hAnsi="Helvetica" w:cs="Helvetica"/>
          <w:sz w:val="22"/>
          <w:szCs w:val="22"/>
          <w:lang w:val="es-ES_tradnl"/>
        </w:rPr>
        <w:t>viabilización</w:t>
      </w:r>
      <w:proofErr w:type="spellEnd"/>
      <w:r w:rsidRPr="001B7E14">
        <w:rPr>
          <w:rFonts w:ascii="Helvetica" w:hAnsi="Helvetica" w:cs="Helvetica"/>
          <w:sz w:val="22"/>
          <w:szCs w:val="22"/>
          <w:lang w:val="es-ES_tradnl"/>
        </w:rPr>
        <w:t xml:space="preserve"> de planta (</w:t>
      </w:r>
      <w:r w:rsidR="00F65426" w:rsidRPr="001B7E14">
        <w:rPr>
          <w:rFonts w:ascii="Helvetica" w:hAnsi="Helvetica" w:cs="Helvetica"/>
          <w:sz w:val="22"/>
          <w:szCs w:val="22"/>
          <w:lang w:val="es-ES_tradnl"/>
        </w:rPr>
        <w:t xml:space="preserve">23,30 </w:t>
      </w:r>
      <w:r w:rsidRPr="001B7E14">
        <w:rPr>
          <w:rFonts w:ascii="Helvetica" w:hAnsi="Helvetica" w:cs="Helvetica"/>
          <w:sz w:val="22"/>
          <w:szCs w:val="22"/>
          <w:lang w:val="es-ES_tradnl"/>
        </w:rPr>
        <w:t xml:space="preserve">alumnos/docente), los </w:t>
      </w:r>
      <w:r w:rsidR="00F65426" w:rsidRPr="001B7E14">
        <w:rPr>
          <w:rFonts w:ascii="Helvetica" w:hAnsi="Helvetica" w:cs="Helvetica"/>
          <w:sz w:val="22"/>
          <w:szCs w:val="22"/>
          <w:lang w:val="es-ES_tradnl"/>
        </w:rPr>
        <w:t>1.</w:t>
      </w:r>
      <w:r w:rsidR="007D1E0C" w:rsidRPr="001B7E14">
        <w:rPr>
          <w:rFonts w:ascii="Helvetica" w:hAnsi="Helvetica" w:cs="Helvetica"/>
          <w:sz w:val="22"/>
          <w:szCs w:val="22"/>
          <w:lang w:val="es-ES_tradnl"/>
        </w:rPr>
        <w:t>4</w:t>
      </w:r>
      <w:r w:rsidR="00F65426" w:rsidRPr="001B7E14">
        <w:rPr>
          <w:rFonts w:ascii="Helvetica" w:hAnsi="Helvetica" w:cs="Helvetica"/>
          <w:sz w:val="22"/>
          <w:szCs w:val="22"/>
          <w:lang w:val="es-ES_tradnl"/>
        </w:rPr>
        <w:t>4</w:t>
      </w:r>
      <w:r w:rsidR="007D1E0C" w:rsidRPr="001B7E14">
        <w:rPr>
          <w:rFonts w:ascii="Helvetica" w:hAnsi="Helvetica" w:cs="Helvetica"/>
          <w:sz w:val="22"/>
          <w:szCs w:val="22"/>
          <w:lang w:val="es-ES_tradnl"/>
        </w:rPr>
        <w:t>3</w:t>
      </w:r>
      <w:r w:rsidR="00F65426" w:rsidRPr="001B7E14">
        <w:rPr>
          <w:rFonts w:ascii="Helvetica" w:hAnsi="Helvetica" w:cs="Helvetica"/>
          <w:sz w:val="22"/>
          <w:szCs w:val="22"/>
          <w:lang w:val="es-ES_tradnl"/>
        </w:rPr>
        <w:t xml:space="preserve"> </w:t>
      </w:r>
      <w:r w:rsidRPr="001B7E14">
        <w:rPr>
          <w:rFonts w:ascii="Helvetica" w:hAnsi="Helvetica" w:cs="Helvetica"/>
          <w:sz w:val="22"/>
          <w:szCs w:val="22"/>
          <w:lang w:val="es-ES_tradnl"/>
        </w:rPr>
        <w:t xml:space="preserve">niños sin atender equivalen a un excedente de </w:t>
      </w:r>
      <w:r w:rsidR="007D1E0C" w:rsidRPr="001B7E14">
        <w:rPr>
          <w:rFonts w:ascii="Helvetica" w:hAnsi="Helvetica" w:cs="Helvetica"/>
          <w:sz w:val="22"/>
          <w:szCs w:val="22"/>
          <w:lang w:val="es-ES_tradnl"/>
        </w:rPr>
        <w:t>62</w:t>
      </w:r>
      <w:r w:rsidRPr="001B7E14">
        <w:rPr>
          <w:rFonts w:ascii="Helvetica" w:hAnsi="Helvetica" w:cs="Helvetica"/>
          <w:sz w:val="22"/>
          <w:szCs w:val="22"/>
          <w:lang w:val="es-ES_tradnl"/>
        </w:rPr>
        <w:t xml:space="preserve"> docentes de su planta, o lo que es igual a decir que la contratación del servicio podría reducirse en este mismo número de alumnos, generando ahorros al SGP a partir del uso eficiente de su planta de personal.</w:t>
      </w:r>
    </w:p>
    <w:p w14:paraId="1339CA45" w14:textId="77777777" w:rsidR="00AD0693" w:rsidRPr="001B7E14" w:rsidRDefault="00AD0693" w:rsidP="00FA42BB">
      <w:pPr>
        <w:jc w:val="both"/>
        <w:rPr>
          <w:rFonts w:ascii="Helvetica" w:hAnsi="Helvetica" w:cs="Helvetica"/>
          <w:sz w:val="22"/>
          <w:szCs w:val="22"/>
          <w:lang w:val="es-ES_tradnl"/>
        </w:rPr>
      </w:pPr>
    </w:p>
    <w:p w14:paraId="2B116C2B" w14:textId="77777777" w:rsidR="00AD0693" w:rsidRPr="001B7E14" w:rsidRDefault="00AD0693" w:rsidP="00FA42BB">
      <w:pPr>
        <w:jc w:val="both"/>
        <w:rPr>
          <w:rFonts w:ascii="Helvetica" w:hAnsi="Helvetica" w:cs="Helvetica"/>
          <w:sz w:val="22"/>
          <w:szCs w:val="22"/>
          <w:lang w:val="es-ES_tradnl"/>
        </w:rPr>
      </w:pPr>
      <w:r w:rsidRPr="001B7E14">
        <w:rPr>
          <w:rFonts w:ascii="Helvetica" w:hAnsi="Helvetica" w:cs="Helvetica"/>
          <w:sz w:val="22"/>
          <w:szCs w:val="22"/>
          <w:lang w:val="es-ES_tradnl"/>
        </w:rPr>
        <w:lastRenderedPageBreak/>
        <w:t>Esta situación se asocia con la distribución de la planta de personal, en la medida en que no se hace en concordancia con los parámetros técnicos definidos en el Decreto 1075 de 2015, así como con el reporte de matrícula</w:t>
      </w:r>
      <w:r w:rsidR="00863B50" w:rsidRPr="001B7E14">
        <w:rPr>
          <w:rFonts w:ascii="Helvetica" w:hAnsi="Helvetica" w:cs="Helvetica"/>
          <w:sz w:val="22"/>
          <w:szCs w:val="22"/>
          <w:lang w:val="es-ES_tradnl"/>
        </w:rPr>
        <w:t xml:space="preserve"> enviado por la entidad a abril de 2023</w:t>
      </w:r>
      <w:r w:rsidRPr="001B7E14">
        <w:rPr>
          <w:rFonts w:ascii="Helvetica" w:hAnsi="Helvetica" w:cs="Helvetica"/>
          <w:sz w:val="22"/>
          <w:szCs w:val="22"/>
          <w:lang w:val="es-ES_tradnl"/>
        </w:rPr>
        <w:t>. Al respecto, la Dirección General de Apoyo Fiscal evaluó la consistencia entre el acto administrativo de distribución de planta para la vigencia 20</w:t>
      </w:r>
      <w:r w:rsidR="00F65426" w:rsidRPr="001B7E14">
        <w:rPr>
          <w:rFonts w:ascii="Helvetica" w:hAnsi="Helvetica" w:cs="Helvetica"/>
          <w:sz w:val="22"/>
          <w:szCs w:val="22"/>
          <w:lang w:val="es-ES_tradnl"/>
        </w:rPr>
        <w:t>2</w:t>
      </w:r>
      <w:r w:rsidR="00C71A7B" w:rsidRPr="001B7E14">
        <w:rPr>
          <w:rFonts w:ascii="Helvetica" w:hAnsi="Helvetica" w:cs="Helvetica"/>
          <w:sz w:val="22"/>
          <w:szCs w:val="22"/>
          <w:lang w:val="es-ES_tradnl"/>
        </w:rPr>
        <w:t>3</w:t>
      </w:r>
      <w:r w:rsidRPr="001B7E14">
        <w:rPr>
          <w:rFonts w:ascii="Helvetica" w:hAnsi="Helvetica" w:cs="Helvetica"/>
          <w:sz w:val="22"/>
          <w:szCs w:val="22"/>
          <w:lang w:val="es-ES_tradnl"/>
        </w:rPr>
        <w:t xml:space="preserve">, Resolución No. </w:t>
      </w:r>
      <w:r w:rsidR="001D79EE" w:rsidRPr="001B7E14">
        <w:rPr>
          <w:rFonts w:ascii="Helvetica" w:hAnsi="Helvetica" w:cs="Helvetica"/>
          <w:sz w:val="22"/>
          <w:szCs w:val="22"/>
          <w:lang w:val="es-ES_tradnl"/>
        </w:rPr>
        <w:t>322</w:t>
      </w:r>
      <w:r w:rsidRPr="001B7E14">
        <w:rPr>
          <w:rFonts w:ascii="Helvetica" w:hAnsi="Helvetica" w:cs="Helvetica"/>
          <w:sz w:val="22"/>
          <w:szCs w:val="22"/>
          <w:lang w:val="es-ES_tradnl"/>
        </w:rPr>
        <w:t xml:space="preserve"> de</w:t>
      </w:r>
      <w:r w:rsidR="001D79EE" w:rsidRPr="001B7E14">
        <w:rPr>
          <w:rFonts w:ascii="Helvetica" w:hAnsi="Helvetica" w:cs="Helvetica"/>
          <w:sz w:val="22"/>
          <w:szCs w:val="22"/>
          <w:lang w:val="es-ES_tradnl"/>
        </w:rPr>
        <w:t>l 17 de mayo de 2023</w:t>
      </w:r>
      <w:r w:rsidRPr="001B7E14">
        <w:rPr>
          <w:rFonts w:ascii="Helvetica" w:hAnsi="Helvetica" w:cs="Helvetica"/>
          <w:sz w:val="22"/>
          <w:szCs w:val="22"/>
          <w:lang w:val="es-ES_tradnl"/>
        </w:rPr>
        <w:t xml:space="preserve">, y el reporte de matrícula a </w:t>
      </w:r>
      <w:r w:rsidR="00696CD0" w:rsidRPr="001B7E14">
        <w:rPr>
          <w:rFonts w:ascii="Helvetica" w:hAnsi="Helvetica" w:cs="Helvetica"/>
          <w:sz w:val="22"/>
          <w:szCs w:val="22"/>
          <w:lang w:val="es-ES_tradnl"/>
        </w:rPr>
        <w:t>abril</w:t>
      </w:r>
      <w:r w:rsidRPr="001B7E14">
        <w:rPr>
          <w:rFonts w:ascii="Helvetica" w:hAnsi="Helvetica" w:cs="Helvetica"/>
          <w:sz w:val="22"/>
          <w:szCs w:val="22"/>
          <w:lang w:val="es-ES_tradnl"/>
        </w:rPr>
        <w:t xml:space="preserve"> de 20</w:t>
      </w:r>
      <w:r w:rsidR="00696CD0" w:rsidRPr="001B7E14">
        <w:rPr>
          <w:rFonts w:ascii="Helvetica" w:hAnsi="Helvetica" w:cs="Helvetica"/>
          <w:sz w:val="22"/>
          <w:szCs w:val="22"/>
          <w:lang w:val="es-ES_tradnl"/>
        </w:rPr>
        <w:t>23</w:t>
      </w:r>
      <w:r w:rsidRPr="001B7E14">
        <w:rPr>
          <w:rFonts w:ascii="Helvetica" w:hAnsi="Helvetica" w:cs="Helvetica"/>
          <w:sz w:val="22"/>
          <w:szCs w:val="22"/>
          <w:lang w:val="es-ES_tradnl"/>
        </w:rPr>
        <w:t xml:space="preserve">, evidenciando </w:t>
      </w:r>
      <w:r w:rsidRPr="001B7E14">
        <w:rPr>
          <w:rFonts w:ascii="Helvetica" w:eastAsia="Arial" w:hAnsi="Helvetica" w:cs="Helvetica"/>
          <w:sz w:val="22"/>
          <w:szCs w:val="22"/>
          <w:lang w:val="es-ES_tradnl"/>
        </w:rPr>
        <w:t>que los parámetros técnicos no están siendo aplicados con rigurosidad, por las inconsistencias que se relacionan a continuación:</w:t>
      </w:r>
    </w:p>
    <w:p w14:paraId="566F82D0" w14:textId="77777777" w:rsidR="00AD0693" w:rsidRPr="001B7E14" w:rsidRDefault="00AD0693" w:rsidP="00FA42BB">
      <w:pPr>
        <w:ind w:right="57"/>
        <w:jc w:val="both"/>
        <w:rPr>
          <w:rFonts w:ascii="Helvetica" w:eastAsia="Arial" w:hAnsi="Helvetica" w:cs="Helvetica"/>
          <w:sz w:val="22"/>
          <w:szCs w:val="22"/>
          <w:lang w:val="es-ES_tradnl"/>
        </w:rPr>
      </w:pPr>
    </w:p>
    <w:p w14:paraId="0EFA5390" w14:textId="77777777" w:rsidR="005323A0" w:rsidRPr="001B7E14" w:rsidRDefault="00334CC0" w:rsidP="00FA42BB">
      <w:pPr>
        <w:numPr>
          <w:ilvl w:val="0"/>
          <w:numId w:val="35"/>
        </w:numPr>
        <w:ind w:left="284" w:right="57" w:hanging="284"/>
        <w:jc w:val="both"/>
        <w:rPr>
          <w:rFonts w:ascii="Helvetica" w:eastAsia="Arial" w:hAnsi="Helvetica" w:cs="Helvetica"/>
          <w:sz w:val="22"/>
          <w:szCs w:val="22"/>
          <w:lang w:val="es-ES_tradnl"/>
        </w:rPr>
      </w:pPr>
      <w:r w:rsidRPr="001B7E14">
        <w:rPr>
          <w:rFonts w:ascii="Helvetica" w:eastAsia="Arial" w:hAnsi="Helvetica" w:cs="Helvetica"/>
          <w:sz w:val="22"/>
          <w:szCs w:val="22"/>
          <w:lang w:val="es-ES_tradnl"/>
        </w:rPr>
        <w:t>A dos</w:t>
      </w:r>
      <w:r w:rsidR="007C3341" w:rsidRPr="001B7E14">
        <w:rPr>
          <w:rFonts w:ascii="Helvetica" w:eastAsia="Arial" w:hAnsi="Helvetica" w:cs="Helvetica"/>
          <w:sz w:val="22"/>
          <w:szCs w:val="22"/>
          <w:lang w:val="es-ES_tradnl"/>
        </w:rPr>
        <w:t xml:space="preserve"> (2)</w:t>
      </w:r>
      <w:r w:rsidRPr="001B7E14">
        <w:rPr>
          <w:rFonts w:ascii="Helvetica" w:eastAsia="Arial" w:hAnsi="Helvetica" w:cs="Helvetica"/>
          <w:sz w:val="22"/>
          <w:szCs w:val="22"/>
          <w:lang w:val="es-ES_tradnl"/>
        </w:rPr>
        <w:t xml:space="preserve"> centros educativos y </w:t>
      </w:r>
      <w:r w:rsidR="007C3341" w:rsidRPr="001B7E14">
        <w:rPr>
          <w:rFonts w:ascii="Helvetica" w:eastAsia="Arial" w:hAnsi="Helvetica" w:cs="Helvetica"/>
          <w:sz w:val="22"/>
          <w:szCs w:val="22"/>
          <w:lang w:val="es-ES_tradnl"/>
        </w:rPr>
        <w:t>cuatro (</w:t>
      </w:r>
      <w:r w:rsidR="00CF6F1B" w:rsidRPr="001B7E14">
        <w:rPr>
          <w:rFonts w:ascii="Helvetica" w:eastAsia="Arial" w:hAnsi="Helvetica" w:cs="Helvetica"/>
          <w:sz w:val="22"/>
          <w:szCs w:val="22"/>
          <w:lang w:val="es-ES_tradnl"/>
        </w:rPr>
        <w:t>4</w:t>
      </w:r>
      <w:r w:rsidR="007C3341" w:rsidRPr="001B7E14">
        <w:rPr>
          <w:rFonts w:ascii="Helvetica" w:eastAsia="Arial" w:hAnsi="Helvetica" w:cs="Helvetica"/>
          <w:sz w:val="22"/>
          <w:szCs w:val="22"/>
          <w:lang w:val="es-ES_tradnl"/>
        </w:rPr>
        <w:t>)</w:t>
      </w:r>
      <w:r w:rsidR="00CF6F1B" w:rsidRPr="001B7E14">
        <w:rPr>
          <w:rFonts w:ascii="Helvetica" w:eastAsia="Arial" w:hAnsi="Helvetica" w:cs="Helvetica"/>
          <w:sz w:val="22"/>
          <w:szCs w:val="22"/>
          <w:lang w:val="es-ES_tradnl"/>
        </w:rPr>
        <w:t xml:space="preserve"> instituciones </w:t>
      </w:r>
      <w:r w:rsidR="00C67F2F" w:rsidRPr="001B7E14">
        <w:rPr>
          <w:rFonts w:ascii="Helvetica" w:eastAsia="Arial" w:hAnsi="Helvetica" w:cs="Helvetica"/>
          <w:sz w:val="22"/>
          <w:szCs w:val="22"/>
          <w:lang w:val="es-ES_tradnl"/>
        </w:rPr>
        <w:t>educativas que</w:t>
      </w:r>
      <w:r w:rsidR="00C47266" w:rsidRPr="001B7E14">
        <w:rPr>
          <w:rFonts w:ascii="Helvetica" w:eastAsia="Arial" w:hAnsi="Helvetica" w:cs="Helvetica"/>
          <w:sz w:val="22"/>
          <w:szCs w:val="22"/>
          <w:lang w:val="es-ES_tradnl"/>
        </w:rPr>
        <w:t xml:space="preserve"> solo reporta</w:t>
      </w:r>
      <w:r w:rsidR="0079746C">
        <w:rPr>
          <w:rFonts w:ascii="Helvetica" w:eastAsia="Arial" w:hAnsi="Helvetica" w:cs="Helvetica"/>
          <w:sz w:val="22"/>
          <w:szCs w:val="22"/>
          <w:lang w:val="es-ES_tradnl"/>
        </w:rPr>
        <w:t>ro</w:t>
      </w:r>
      <w:r w:rsidR="00C47266" w:rsidRPr="001B7E14">
        <w:rPr>
          <w:rFonts w:ascii="Helvetica" w:eastAsia="Arial" w:hAnsi="Helvetica" w:cs="Helvetica"/>
          <w:sz w:val="22"/>
          <w:szCs w:val="22"/>
          <w:lang w:val="es-ES_tradnl"/>
        </w:rPr>
        <w:t xml:space="preserve">n </w:t>
      </w:r>
      <w:r w:rsidR="00816946">
        <w:rPr>
          <w:rFonts w:ascii="Helvetica" w:eastAsia="Arial" w:hAnsi="Helvetica" w:cs="Helvetica"/>
          <w:sz w:val="22"/>
          <w:szCs w:val="22"/>
          <w:lang w:val="es-ES_tradnl"/>
        </w:rPr>
        <w:t>matrícula</w:t>
      </w:r>
      <w:r w:rsidR="00C47266" w:rsidRPr="001B7E14">
        <w:rPr>
          <w:rFonts w:ascii="Helvetica" w:eastAsia="Arial" w:hAnsi="Helvetica" w:cs="Helvetica"/>
          <w:sz w:val="22"/>
          <w:szCs w:val="22"/>
          <w:lang w:val="es-ES_tradnl"/>
        </w:rPr>
        <w:t xml:space="preserve"> </w:t>
      </w:r>
      <w:r w:rsidR="0079746C">
        <w:rPr>
          <w:rFonts w:ascii="Helvetica" w:eastAsia="Arial" w:hAnsi="Helvetica" w:cs="Helvetica"/>
          <w:sz w:val="22"/>
          <w:szCs w:val="22"/>
          <w:lang w:val="es-ES_tradnl"/>
        </w:rPr>
        <w:t xml:space="preserve">a ser atendida por el contratista </w:t>
      </w:r>
      <w:r w:rsidR="00CF6F1B" w:rsidRPr="001B7E14">
        <w:rPr>
          <w:rFonts w:ascii="Helvetica" w:eastAsia="Arial" w:hAnsi="Helvetica" w:cs="Helvetica"/>
          <w:sz w:val="22"/>
          <w:szCs w:val="22"/>
          <w:lang w:val="es-ES_tradnl"/>
        </w:rPr>
        <w:t>se les asign</w:t>
      </w:r>
      <w:r w:rsidR="0079746C">
        <w:rPr>
          <w:rFonts w:ascii="Helvetica" w:eastAsia="Arial" w:hAnsi="Helvetica" w:cs="Helvetica"/>
          <w:sz w:val="22"/>
          <w:szCs w:val="22"/>
          <w:lang w:val="es-ES_tradnl"/>
        </w:rPr>
        <w:t xml:space="preserve">aron </w:t>
      </w:r>
      <w:r w:rsidR="001D61B8" w:rsidRPr="001B7E14">
        <w:rPr>
          <w:rFonts w:ascii="Helvetica" w:eastAsia="Arial" w:hAnsi="Helvetica" w:cs="Helvetica"/>
          <w:sz w:val="22"/>
          <w:szCs w:val="22"/>
          <w:lang w:val="es-ES_tradnl"/>
        </w:rPr>
        <w:t>48</w:t>
      </w:r>
      <w:r w:rsidR="00CF6F1B" w:rsidRPr="001B7E14">
        <w:rPr>
          <w:rFonts w:ascii="Helvetica" w:eastAsia="Arial" w:hAnsi="Helvetica" w:cs="Helvetica"/>
          <w:sz w:val="22"/>
          <w:szCs w:val="22"/>
          <w:lang w:val="es-ES_tradnl"/>
        </w:rPr>
        <w:t xml:space="preserve"> docente</w:t>
      </w:r>
      <w:r w:rsidR="001D61B8" w:rsidRPr="001B7E14">
        <w:rPr>
          <w:rFonts w:ascii="Helvetica" w:eastAsia="Arial" w:hAnsi="Helvetica" w:cs="Helvetica"/>
          <w:sz w:val="22"/>
          <w:szCs w:val="22"/>
          <w:lang w:val="es-ES_tradnl"/>
        </w:rPr>
        <w:t>s</w:t>
      </w:r>
      <w:r w:rsidR="00CF6F1B" w:rsidRPr="001B7E14">
        <w:rPr>
          <w:rFonts w:ascii="Helvetica" w:eastAsia="Arial" w:hAnsi="Helvetica" w:cs="Helvetica"/>
          <w:sz w:val="22"/>
          <w:szCs w:val="22"/>
          <w:lang w:val="es-ES_tradnl"/>
        </w:rPr>
        <w:t xml:space="preserve"> de aula</w:t>
      </w:r>
      <w:r w:rsidR="00010F13" w:rsidRPr="001B7E14">
        <w:rPr>
          <w:rFonts w:ascii="Helvetica" w:eastAsia="Arial" w:hAnsi="Helvetica" w:cs="Helvetica"/>
          <w:sz w:val="22"/>
          <w:szCs w:val="22"/>
          <w:lang w:val="es-ES_tradnl"/>
        </w:rPr>
        <w:t>.</w:t>
      </w:r>
    </w:p>
    <w:p w14:paraId="3464614D" w14:textId="77777777" w:rsidR="00C67F2F" w:rsidRPr="001B7E14" w:rsidRDefault="00C67F2F" w:rsidP="00937922">
      <w:pPr>
        <w:numPr>
          <w:ilvl w:val="0"/>
          <w:numId w:val="35"/>
        </w:numPr>
        <w:ind w:left="284" w:right="57" w:hanging="284"/>
        <w:jc w:val="both"/>
        <w:rPr>
          <w:rFonts w:ascii="Helvetica" w:eastAsia="Arial" w:hAnsi="Helvetica" w:cs="Helvetica"/>
          <w:sz w:val="22"/>
          <w:szCs w:val="22"/>
          <w:lang w:val="es-ES_tradnl"/>
        </w:rPr>
      </w:pPr>
      <w:r w:rsidRPr="001B7E14">
        <w:rPr>
          <w:rFonts w:ascii="Helvetica" w:eastAsia="Arial" w:hAnsi="Helvetica" w:cs="Helvetica"/>
          <w:sz w:val="22"/>
          <w:szCs w:val="22"/>
          <w:lang w:val="es-ES_tradnl"/>
        </w:rPr>
        <w:t xml:space="preserve">A dos (2) centros educativos y cuatro (4) instituciones educativas que solo reportan </w:t>
      </w:r>
      <w:r w:rsidR="00816946">
        <w:rPr>
          <w:rFonts w:ascii="Helvetica" w:eastAsia="Arial" w:hAnsi="Helvetica" w:cs="Helvetica"/>
          <w:sz w:val="22"/>
          <w:szCs w:val="22"/>
          <w:lang w:val="es-ES_tradnl"/>
        </w:rPr>
        <w:t>matrícula</w:t>
      </w:r>
      <w:r w:rsidRPr="001B7E14">
        <w:rPr>
          <w:rFonts w:ascii="Helvetica" w:eastAsia="Arial" w:hAnsi="Helvetica" w:cs="Helvetica"/>
          <w:sz w:val="22"/>
          <w:szCs w:val="22"/>
          <w:lang w:val="es-ES_tradnl"/>
        </w:rPr>
        <w:t xml:space="preserve"> </w:t>
      </w:r>
      <w:r w:rsidR="0079746C">
        <w:rPr>
          <w:rFonts w:ascii="Helvetica" w:eastAsia="Arial" w:hAnsi="Helvetica" w:cs="Helvetica"/>
          <w:sz w:val="22"/>
          <w:szCs w:val="22"/>
          <w:lang w:val="es-ES_tradnl"/>
        </w:rPr>
        <w:t xml:space="preserve">a ser atendida por el contratista </w:t>
      </w:r>
      <w:r w:rsidRPr="001B7E14">
        <w:rPr>
          <w:rFonts w:ascii="Helvetica" w:eastAsia="Arial" w:hAnsi="Helvetica" w:cs="Helvetica"/>
          <w:sz w:val="22"/>
          <w:szCs w:val="22"/>
          <w:lang w:val="es-ES_tradnl"/>
        </w:rPr>
        <w:t>se les asign</w:t>
      </w:r>
      <w:r w:rsidR="0079746C">
        <w:rPr>
          <w:rFonts w:ascii="Helvetica" w:eastAsia="Arial" w:hAnsi="Helvetica" w:cs="Helvetica"/>
          <w:sz w:val="22"/>
          <w:szCs w:val="22"/>
          <w:lang w:val="es-ES_tradnl"/>
        </w:rPr>
        <w:t xml:space="preserve">aron </w:t>
      </w:r>
      <w:r w:rsidR="00F15599" w:rsidRPr="001B7E14">
        <w:rPr>
          <w:rFonts w:ascii="Helvetica" w:eastAsia="Arial" w:hAnsi="Helvetica" w:cs="Helvetica"/>
          <w:sz w:val="22"/>
          <w:szCs w:val="22"/>
          <w:lang w:val="es-ES_tradnl"/>
        </w:rPr>
        <w:t>6 directores rurales.</w:t>
      </w:r>
    </w:p>
    <w:p w14:paraId="09F5A456" w14:textId="77777777" w:rsidR="00AD0693" w:rsidRPr="001B7E14" w:rsidRDefault="00AD0693" w:rsidP="00FA42BB">
      <w:pPr>
        <w:numPr>
          <w:ilvl w:val="0"/>
          <w:numId w:val="35"/>
        </w:numPr>
        <w:ind w:left="284" w:right="57" w:hanging="284"/>
        <w:jc w:val="both"/>
        <w:rPr>
          <w:rFonts w:ascii="Helvetica" w:eastAsia="Arial" w:hAnsi="Helvetica" w:cs="Helvetica"/>
          <w:sz w:val="22"/>
          <w:szCs w:val="22"/>
          <w:lang w:val="es-ES_tradnl"/>
        </w:rPr>
      </w:pPr>
      <w:r w:rsidRPr="001B7E14">
        <w:rPr>
          <w:rFonts w:ascii="Helvetica" w:eastAsia="Arial" w:hAnsi="Helvetica" w:cs="Helvetica"/>
          <w:sz w:val="22"/>
          <w:szCs w:val="22"/>
          <w:lang w:val="es-ES_tradnl"/>
        </w:rPr>
        <w:t xml:space="preserve">A </w:t>
      </w:r>
      <w:r w:rsidR="001B70BC" w:rsidRPr="001B7E14">
        <w:rPr>
          <w:rFonts w:ascii="Helvetica" w:eastAsia="Arial" w:hAnsi="Helvetica" w:cs="Helvetica"/>
          <w:sz w:val="22"/>
          <w:szCs w:val="22"/>
          <w:lang w:val="es-ES_tradnl"/>
        </w:rPr>
        <w:t>la institución</w:t>
      </w:r>
      <w:r w:rsidRPr="001B7E14">
        <w:rPr>
          <w:rFonts w:ascii="Helvetica" w:eastAsia="Arial" w:hAnsi="Helvetica" w:cs="Helvetica"/>
          <w:sz w:val="22"/>
          <w:szCs w:val="22"/>
          <w:lang w:val="es-ES_tradnl"/>
        </w:rPr>
        <w:t xml:space="preserve"> educativa</w:t>
      </w:r>
      <w:r w:rsidR="00445D6C" w:rsidRPr="001B7E14">
        <w:rPr>
          <w:rFonts w:ascii="Helvetica" w:eastAsia="Arial" w:hAnsi="Helvetica" w:cs="Helvetica"/>
          <w:sz w:val="22"/>
          <w:szCs w:val="22"/>
          <w:lang w:val="es-ES_tradnl"/>
        </w:rPr>
        <w:t xml:space="preserve"> I.E. </w:t>
      </w:r>
      <w:r w:rsidR="001B70BC" w:rsidRPr="001B7E14">
        <w:rPr>
          <w:rFonts w:ascii="Helvetica" w:eastAsia="Arial" w:hAnsi="Helvetica" w:cs="Helvetica"/>
          <w:sz w:val="22"/>
          <w:szCs w:val="22"/>
          <w:lang w:val="es-ES_tradnl"/>
        </w:rPr>
        <w:t xml:space="preserve">Antonio Forero - Sede Principal </w:t>
      </w:r>
      <w:r w:rsidRPr="001B7E14">
        <w:rPr>
          <w:rFonts w:ascii="Helvetica" w:eastAsia="Arial" w:hAnsi="Helvetica" w:cs="Helvetica"/>
          <w:sz w:val="22"/>
          <w:szCs w:val="22"/>
          <w:lang w:val="es-ES_tradnl"/>
        </w:rPr>
        <w:t>se les asignó un cargo de director rural y no de rector, en contravía de lo definido en el artículo 2.4.6.1.2.1 del Decreto 1075 de 2015</w:t>
      </w:r>
      <w:r w:rsidR="00475471" w:rsidRPr="001B7E14">
        <w:rPr>
          <w:rFonts w:ascii="Helvetica" w:eastAsia="Arial" w:hAnsi="Helvetica" w:cs="Helvetica"/>
          <w:sz w:val="22"/>
          <w:szCs w:val="22"/>
          <w:lang w:val="es-ES_tradnl"/>
        </w:rPr>
        <w:t xml:space="preserve">, </w:t>
      </w:r>
    </w:p>
    <w:p w14:paraId="2FAE3728" w14:textId="77777777" w:rsidR="0037188B" w:rsidRPr="001B7E14" w:rsidRDefault="0037793B" w:rsidP="0037188B">
      <w:pPr>
        <w:numPr>
          <w:ilvl w:val="0"/>
          <w:numId w:val="35"/>
        </w:numPr>
        <w:ind w:left="284" w:right="57" w:hanging="284"/>
        <w:jc w:val="both"/>
        <w:rPr>
          <w:rFonts w:ascii="Helvetica" w:eastAsia="Arial" w:hAnsi="Helvetica" w:cs="Helvetica"/>
          <w:sz w:val="22"/>
          <w:szCs w:val="22"/>
          <w:lang w:val="es-ES_tradnl"/>
        </w:rPr>
      </w:pPr>
      <w:r w:rsidRPr="001B7E14">
        <w:rPr>
          <w:rFonts w:ascii="Helvetica" w:eastAsia="Arial" w:hAnsi="Helvetica" w:cs="Helvetica"/>
          <w:sz w:val="22"/>
          <w:szCs w:val="22"/>
          <w:lang w:val="es-ES_tradnl"/>
        </w:rPr>
        <w:t>La institución educativa</w:t>
      </w:r>
      <w:r w:rsidR="00D51F61" w:rsidRPr="001B7E14">
        <w:rPr>
          <w:rFonts w:ascii="Helvetica" w:eastAsia="Arial" w:hAnsi="Helvetica" w:cs="Helvetica"/>
          <w:sz w:val="22"/>
          <w:szCs w:val="22"/>
          <w:lang w:val="es-ES_tradnl"/>
        </w:rPr>
        <w:t xml:space="preserve"> Custodio </w:t>
      </w:r>
      <w:r w:rsidR="0027292E" w:rsidRPr="001B7E14">
        <w:rPr>
          <w:rFonts w:ascii="Helvetica" w:eastAsia="Arial" w:hAnsi="Helvetica" w:cs="Helvetica"/>
          <w:sz w:val="22"/>
          <w:szCs w:val="22"/>
          <w:lang w:val="es-ES_tradnl"/>
        </w:rPr>
        <w:t>García</w:t>
      </w:r>
      <w:r w:rsidR="00D51F61" w:rsidRPr="001B7E14">
        <w:rPr>
          <w:rFonts w:ascii="Helvetica" w:eastAsia="Arial" w:hAnsi="Helvetica" w:cs="Helvetica"/>
          <w:sz w:val="22"/>
          <w:szCs w:val="22"/>
          <w:lang w:val="es-ES_tradnl"/>
        </w:rPr>
        <w:t xml:space="preserve"> Rovira - Sede Principal </w:t>
      </w:r>
      <w:r w:rsidR="00E90298" w:rsidRPr="001B7E14">
        <w:rPr>
          <w:rFonts w:ascii="Helvetica" w:eastAsia="Arial" w:hAnsi="Helvetica" w:cs="Helvetica"/>
          <w:sz w:val="22"/>
          <w:szCs w:val="22"/>
          <w:lang w:val="es-ES_tradnl"/>
        </w:rPr>
        <w:t>tiene asignado</w:t>
      </w:r>
      <w:r w:rsidR="0079746C">
        <w:rPr>
          <w:rFonts w:ascii="Helvetica" w:eastAsia="Arial" w:hAnsi="Helvetica" w:cs="Helvetica"/>
          <w:sz w:val="22"/>
          <w:szCs w:val="22"/>
          <w:lang w:val="es-ES_tradnl"/>
        </w:rPr>
        <w:t>s</w:t>
      </w:r>
      <w:r w:rsidR="00E90298" w:rsidRPr="001B7E14">
        <w:rPr>
          <w:rFonts w:ascii="Helvetica" w:eastAsia="Arial" w:hAnsi="Helvetica" w:cs="Helvetica"/>
          <w:sz w:val="22"/>
          <w:szCs w:val="22"/>
          <w:lang w:val="es-ES_tradnl"/>
        </w:rPr>
        <w:t xml:space="preserve"> 3 coordinadores</w:t>
      </w:r>
      <w:r w:rsidR="0079746C">
        <w:rPr>
          <w:rFonts w:ascii="Helvetica" w:eastAsia="Arial" w:hAnsi="Helvetica" w:cs="Helvetica"/>
          <w:sz w:val="22"/>
          <w:szCs w:val="22"/>
          <w:lang w:val="es-ES_tradnl"/>
        </w:rPr>
        <w:t>.</w:t>
      </w:r>
      <w:r w:rsidR="0037188B" w:rsidRPr="001B7E14">
        <w:rPr>
          <w:rFonts w:ascii="Helvetica" w:eastAsia="Arial" w:hAnsi="Helvetica" w:cs="Helvetica"/>
          <w:sz w:val="22"/>
          <w:szCs w:val="22"/>
          <w:lang w:val="es-ES_tradnl"/>
        </w:rPr>
        <w:t xml:space="preserve"> </w:t>
      </w:r>
      <w:r w:rsidR="0079746C">
        <w:rPr>
          <w:rFonts w:ascii="Helvetica" w:eastAsia="Arial" w:hAnsi="Helvetica" w:cs="Helvetica"/>
          <w:sz w:val="22"/>
          <w:szCs w:val="22"/>
          <w:lang w:val="es-ES_tradnl"/>
        </w:rPr>
        <w:t>S</w:t>
      </w:r>
      <w:r w:rsidR="0037188B" w:rsidRPr="001B7E14">
        <w:rPr>
          <w:rFonts w:ascii="Helvetica" w:eastAsia="Arial" w:hAnsi="Helvetica" w:cs="Helvetica"/>
          <w:sz w:val="22"/>
          <w:szCs w:val="22"/>
          <w:lang w:val="es-ES_tradnl"/>
        </w:rPr>
        <w:t>in embargo</w:t>
      </w:r>
      <w:r w:rsidR="0079746C">
        <w:rPr>
          <w:rFonts w:ascii="Helvetica" w:eastAsia="Arial" w:hAnsi="Helvetica" w:cs="Helvetica"/>
          <w:sz w:val="22"/>
          <w:szCs w:val="22"/>
          <w:lang w:val="es-ES_tradnl"/>
        </w:rPr>
        <w:t>,</w:t>
      </w:r>
      <w:r w:rsidR="0037188B" w:rsidRPr="001B7E14">
        <w:rPr>
          <w:rFonts w:ascii="Helvetica" w:eastAsia="Arial" w:hAnsi="Helvetica" w:cs="Helvetica"/>
          <w:sz w:val="22"/>
          <w:szCs w:val="22"/>
          <w:lang w:val="es-ES_tradnl"/>
        </w:rPr>
        <w:t xml:space="preserve"> </w:t>
      </w:r>
      <w:r w:rsidR="007B6867" w:rsidRPr="001B7E14">
        <w:rPr>
          <w:rFonts w:ascii="Helvetica" w:eastAsia="Arial" w:hAnsi="Helvetica" w:cs="Helvetica"/>
          <w:sz w:val="22"/>
          <w:szCs w:val="22"/>
          <w:lang w:val="es-ES_tradnl"/>
        </w:rPr>
        <w:t xml:space="preserve">solo requiere de 2 coordinadores </w:t>
      </w:r>
      <w:r w:rsidR="0037188B" w:rsidRPr="001B7E14">
        <w:rPr>
          <w:rFonts w:ascii="Helvetica" w:eastAsia="Arial" w:hAnsi="Helvetica" w:cs="Helvetica"/>
          <w:sz w:val="22"/>
          <w:szCs w:val="22"/>
          <w:lang w:val="es-ES_tradnl"/>
        </w:rPr>
        <w:t xml:space="preserve">de acuerdo </w:t>
      </w:r>
      <w:r w:rsidR="0079746C">
        <w:rPr>
          <w:rFonts w:ascii="Helvetica" w:eastAsia="Arial" w:hAnsi="Helvetica" w:cs="Helvetica"/>
          <w:sz w:val="22"/>
          <w:szCs w:val="22"/>
          <w:lang w:val="es-ES_tradnl"/>
        </w:rPr>
        <w:t>con</w:t>
      </w:r>
      <w:r w:rsidR="007B6867" w:rsidRPr="001B7E14">
        <w:rPr>
          <w:rFonts w:ascii="Helvetica" w:eastAsia="Arial" w:hAnsi="Helvetica" w:cs="Helvetica"/>
          <w:sz w:val="22"/>
          <w:szCs w:val="22"/>
          <w:lang w:val="es-ES_tradnl"/>
        </w:rPr>
        <w:t xml:space="preserve"> la </w:t>
      </w:r>
      <w:r w:rsidR="0037188B" w:rsidRPr="001B7E14">
        <w:rPr>
          <w:rFonts w:ascii="Helvetica" w:eastAsia="Arial" w:hAnsi="Helvetica" w:cs="Helvetica"/>
          <w:sz w:val="22"/>
          <w:szCs w:val="22"/>
          <w:lang w:val="es-ES_tradnl"/>
        </w:rPr>
        <w:t xml:space="preserve">matrícula, número de sedes y servicio en jornada nocturna definidos para el efecto en el artículo 2.4.6.1.2.3 del Decreto 1075 de 2015. </w:t>
      </w:r>
    </w:p>
    <w:p w14:paraId="4986D10C" w14:textId="77777777" w:rsidR="00C9785D" w:rsidRPr="001B7E14" w:rsidRDefault="00A45AA3" w:rsidP="0037188B">
      <w:pPr>
        <w:numPr>
          <w:ilvl w:val="0"/>
          <w:numId w:val="35"/>
        </w:numPr>
        <w:ind w:left="284" w:right="57" w:hanging="284"/>
        <w:jc w:val="both"/>
        <w:rPr>
          <w:rFonts w:ascii="Helvetica" w:eastAsia="Arial" w:hAnsi="Helvetica" w:cs="Helvetica"/>
          <w:sz w:val="22"/>
          <w:szCs w:val="22"/>
          <w:lang w:val="es-ES_tradnl"/>
        </w:rPr>
      </w:pPr>
      <w:r w:rsidRPr="001B7E14">
        <w:rPr>
          <w:rFonts w:ascii="Helvetica" w:eastAsia="Arial" w:hAnsi="Helvetica" w:cs="Helvetica"/>
          <w:sz w:val="22"/>
          <w:szCs w:val="22"/>
          <w:lang w:val="es-ES_tradnl"/>
        </w:rPr>
        <w:t xml:space="preserve">La institución educativa </w:t>
      </w:r>
      <w:r w:rsidR="001B70BC" w:rsidRPr="001B7E14">
        <w:rPr>
          <w:rFonts w:ascii="Helvetica" w:eastAsia="Arial" w:hAnsi="Helvetica" w:cs="Helvetica"/>
          <w:sz w:val="22"/>
          <w:szCs w:val="22"/>
          <w:lang w:val="es-ES_tradnl"/>
        </w:rPr>
        <w:t xml:space="preserve">Luis Carlos Galán Sarmiento - Sede Principal </w:t>
      </w:r>
      <w:r w:rsidR="00873F64" w:rsidRPr="001B7E14">
        <w:rPr>
          <w:rFonts w:ascii="Helvetica" w:eastAsia="Arial" w:hAnsi="Helvetica" w:cs="Helvetica"/>
          <w:sz w:val="22"/>
          <w:szCs w:val="22"/>
          <w:lang w:val="es-ES_tradnl"/>
        </w:rPr>
        <w:t xml:space="preserve">tiene </w:t>
      </w:r>
      <w:r w:rsidR="002B76C7" w:rsidRPr="001B7E14">
        <w:rPr>
          <w:rFonts w:ascii="Helvetica" w:eastAsia="Arial" w:hAnsi="Helvetica" w:cs="Helvetica"/>
          <w:sz w:val="22"/>
          <w:szCs w:val="22"/>
          <w:lang w:val="es-ES_tradnl"/>
        </w:rPr>
        <w:t>asignado un</w:t>
      </w:r>
      <w:r w:rsidR="00873F64" w:rsidRPr="001B7E14">
        <w:rPr>
          <w:rFonts w:ascii="Helvetica" w:eastAsia="Arial" w:hAnsi="Helvetica" w:cs="Helvetica"/>
          <w:sz w:val="22"/>
          <w:szCs w:val="22"/>
          <w:lang w:val="es-ES_tradnl"/>
        </w:rPr>
        <w:t xml:space="preserve"> (1) coordinador</w:t>
      </w:r>
      <w:r w:rsidR="00121EB2" w:rsidRPr="001B7E14">
        <w:rPr>
          <w:rFonts w:ascii="Helvetica" w:eastAsia="Arial" w:hAnsi="Helvetica" w:cs="Helvetica"/>
          <w:sz w:val="22"/>
          <w:szCs w:val="22"/>
          <w:lang w:val="es-ES_tradnl"/>
        </w:rPr>
        <w:t xml:space="preserve">. Y </w:t>
      </w:r>
      <w:r w:rsidR="002B76C7" w:rsidRPr="001B7E14">
        <w:rPr>
          <w:rFonts w:ascii="Helvetica" w:eastAsia="Arial" w:hAnsi="Helvetica" w:cs="Helvetica"/>
          <w:sz w:val="22"/>
          <w:szCs w:val="22"/>
          <w:lang w:val="es-ES_tradnl"/>
        </w:rPr>
        <w:t>de acuerdo con</w:t>
      </w:r>
      <w:r w:rsidR="00121EB2" w:rsidRPr="001B7E14">
        <w:rPr>
          <w:rFonts w:ascii="Helvetica" w:eastAsia="Arial" w:hAnsi="Helvetica" w:cs="Helvetica"/>
          <w:sz w:val="22"/>
          <w:szCs w:val="22"/>
          <w:lang w:val="es-ES_tradnl"/>
        </w:rPr>
        <w:t xml:space="preserve"> la </w:t>
      </w:r>
      <w:r w:rsidR="00816946">
        <w:rPr>
          <w:rFonts w:ascii="Helvetica" w:eastAsia="Arial" w:hAnsi="Helvetica" w:cs="Helvetica"/>
          <w:sz w:val="22"/>
          <w:szCs w:val="22"/>
          <w:lang w:val="es-ES_tradnl"/>
        </w:rPr>
        <w:t>matrícula</w:t>
      </w:r>
      <w:r w:rsidR="00121EB2" w:rsidRPr="001B7E14">
        <w:rPr>
          <w:rFonts w:ascii="Helvetica" w:eastAsia="Arial" w:hAnsi="Helvetica" w:cs="Helvetica"/>
          <w:sz w:val="22"/>
          <w:szCs w:val="22"/>
          <w:lang w:val="es-ES_tradnl"/>
        </w:rPr>
        <w:t xml:space="preserve"> esta </w:t>
      </w:r>
      <w:r w:rsidR="002B76C7" w:rsidRPr="001B7E14">
        <w:rPr>
          <w:rFonts w:ascii="Helvetica" w:eastAsia="Arial" w:hAnsi="Helvetica" w:cs="Helvetica"/>
          <w:sz w:val="22"/>
          <w:szCs w:val="22"/>
          <w:lang w:val="es-ES_tradnl"/>
        </w:rPr>
        <w:t xml:space="preserve">institución requiere mínimo dos (2) coordinadores. </w:t>
      </w:r>
    </w:p>
    <w:p w14:paraId="540E9931" w14:textId="77777777" w:rsidR="00050EC8" w:rsidRPr="001B7E14" w:rsidRDefault="00050EC8" w:rsidP="00AC2C07">
      <w:pPr>
        <w:ind w:left="284" w:right="57"/>
        <w:jc w:val="both"/>
        <w:rPr>
          <w:rFonts w:ascii="Helvetica" w:eastAsia="Arial" w:hAnsi="Helvetica" w:cs="Helvetica"/>
          <w:sz w:val="22"/>
          <w:szCs w:val="22"/>
          <w:lang w:val="es-ES_tradnl"/>
        </w:rPr>
      </w:pPr>
    </w:p>
    <w:p w14:paraId="4F17D2DA" w14:textId="77777777" w:rsidR="00AD0693" w:rsidRPr="001B7E14" w:rsidRDefault="00AD0693" w:rsidP="00FA42BB">
      <w:pPr>
        <w:jc w:val="both"/>
        <w:rPr>
          <w:rFonts w:ascii="Helvetica" w:eastAsia="Arial" w:hAnsi="Helvetica" w:cs="Helvetica"/>
          <w:sz w:val="22"/>
          <w:szCs w:val="22"/>
          <w:lang w:val="es-ES_tradnl"/>
        </w:rPr>
      </w:pPr>
      <w:r w:rsidRPr="001B7E14">
        <w:rPr>
          <w:rFonts w:ascii="Helvetica" w:eastAsia="Arial" w:hAnsi="Helvetica" w:cs="Helvetica"/>
          <w:sz w:val="22"/>
          <w:szCs w:val="22"/>
          <w:lang w:val="es-ES_tradnl"/>
        </w:rPr>
        <w:t xml:space="preserve">Ahora bien, </w:t>
      </w:r>
      <w:r w:rsidR="00F00620" w:rsidRPr="001B7E14">
        <w:rPr>
          <w:rFonts w:ascii="Helvetica" w:eastAsia="Arial" w:hAnsi="Helvetica" w:cs="Helvetica"/>
          <w:sz w:val="22"/>
          <w:szCs w:val="22"/>
          <w:lang w:val="es-ES_tradnl"/>
        </w:rPr>
        <w:t xml:space="preserve">la entidad suscribió contratos para la vigencia 2023 </w:t>
      </w:r>
      <w:r w:rsidR="0079746C">
        <w:rPr>
          <w:rFonts w:ascii="Helvetica" w:eastAsia="Arial" w:hAnsi="Helvetica" w:cs="Helvetica"/>
          <w:sz w:val="22"/>
          <w:szCs w:val="22"/>
          <w:lang w:val="es-ES_tradnl"/>
        </w:rPr>
        <w:t xml:space="preserve">para la atención de </w:t>
      </w:r>
      <w:r w:rsidR="00F00620" w:rsidRPr="001B7E14">
        <w:rPr>
          <w:rFonts w:ascii="Helvetica" w:eastAsia="Arial" w:hAnsi="Helvetica" w:cs="Helvetica"/>
          <w:sz w:val="22"/>
          <w:szCs w:val="22"/>
          <w:lang w:val="es-ES_tradnl"/>
        </w:rPr>
        <w:t xml:space="preserve">3.883 </w:t>
      </w:r>
      <w:r w:rsidRPr="001B7E14">
        <w:rPr>
          <w:rFonts w:ascii="Helvetica" w:eastAsia="Arial" w:hAnsi="Helvetica" w:cs="Helvetica"/>
          <w:sz w:val="22"/>
          <w:szCs w:val="22"/>
          <w:lang w:val="es-ES_tradnl"/>
        </w:rPr>
        <w:t>alumnos</w:t>
      </w:r>
      <w:r w:rsidR="0079746C">
        <w:rPr>
          <w:rFonts w:ascii="Helvetica" w:eastAsia="Arial" w:hAnsi="Helvetica" w:cs="Helvetica"/>
          <w:sz w:val="22"/>
          <w:szCs w:val="22"/>
          <w:lang w:val="es-ES_tradnl"/>
        </w:rPr>
        <w:t xml:space="preserve">; sin embargo, </w:t>
      </w:r>
      <w:r w:rsidR="00F00620" w:rsidRPr="001B7E14">
        <w:rPr>
          <w:rFonts w:ascii="Helvetica" w:eastAsia="Arial" w:hAnsi="Helvetica" w:cs="Helvetica"/>
          <w:sz w:val="22"/>
          <w:szCs w:val="22"/>
          <w:lang w:val="es-ES_tradnl"/>
        </w:rPr>
        <w:t xml:space="preserve">de acuerdo con la distribución de planta </w:t>
      </w:r>
      <w:r w:rsidR="0079746C">
        <w:rPr>
          <w:rFonts w:ascii="Helvetica" w:eastAsia="Arial" w:hAnsi="Helvetica" w:cs="Helvetica"/>
          <w:sz w:val="22"/>
          <w:szCs w:val="22"/>
          <w:lang w:val="es-ES_tradnl"/>
        </w:rPr>
        <w:t xml:space="preserve">se asignaron </w:t>
      </w:r>
      <w:r w:rsidR="00F00620" w:rsidRPr="001B7E14">
        <w:rPr>
          <w:rFonts w:ascii="Helvetica" w:eastAsia="Arial" w:hAnsi="Helvetica" w:cs="Helvetica"/>
          <w:sz w:val="22"/>
          <w:szCs w:val="22"/>
          <w:lang w:val="es-ES_tradnl"/>
        </w:rPr>
        <w:t xml:space="preserve">79 docentes </w:t>
      </w:r>
      <w:r w:rsidRPr="001B7E14">
        <w:rPr>
          <w:rFonts w:ascii="Helvetica" w:eastAsia="Arial" w:hAnsi="Helvetica" w:cs="Helvetica"/>
          <w:sz w:val="22"/>
          <w:szCs w:val="22"/>
          <w:lang w:val="es-ES_tradnl"/>
        </w:rPr>
        <w:t>oficial</w:t>
      </w:r>
      <w:r w:rsidR="00F00620" w:rsidRPr="001B7E14">
        <w:rPr>
          <w:rFonts w:ascii="Helvetica" w:eastAsia="Arial" w:hAnsi="Helvetica" w:cs="Helvetica"/>
          <w:sz w:val="22"/>
          <w:szCs w:val="22"/>
          <w:lang w:val="es-ES_tradnl"/>
        </w:rPr>
        <w:t>es</w:t>
      </w:r>
      <w:r w:rsidRPr="001B7E14">
        <w:rPr>
          <w:rFonts w:ascii="Helvetica" w:eastAsia="Arial" w:hAnsi="Helvetica" w:cs="Helvetica"/>
          <w:sz w:val="22"/>
          <w:szCs w:val="22"/>
          <w:lang w:val="es-ES_tradnl"/>
        </w:rPr>
        <w:t xml:space="preserve"> del Departamento</w:t>
      </w:r>
      <w:r w:rsidR="0079746C">
        <w:rPr>
          <w:rFonts w:ascii="Helvetica" w:eastAsia="Arial" w:hAnsi="Helvetica" w:cs="Helvetica"/>
          <w:sz w:val="22"/>
          <w:szCs w:val="22"/>
          <w:lang w:val="es-ES_tradnl"/>
        </w:rPr>
        <w:t xml:space="preserve"> a los establecimientos atendidos bajo contratación del servicio</w:t>
      </w:r>
      <w:r w:rsidR="00F00620" w:rsidRPr="001B7E14">
        <w:rPr>
          <w:rFonts w:ascii="Helvetica" w:eastAsia="Arial" w:hAnsi="Helvetica" w:cs="Helvetica"/>
          <w:sz w:val="22"/>
          <w:szCs w:val="22"/>
          <w:lang w:val="es-ES_tradnl"/>
        </w:rPr>
        <w:t>.</w:t>
      </w:r>
    </w:p>
    <w:p w14:paraId="6000DE2B" w14:textId="77777777" w:rsidR="00AD0693" w:rsidRPr="001B7E14" w:rsidRDefault="00AD0693" w:rsidP="00FA42BB">
      <w:pPr>
        <w:jc w:val="both"/>
        <w:rPr>
          <w:rFonts w:ascii="Helvetica" w:eastAsia="Arial" w:hAnsi="Helvetica" w:cs="Helvetica"/>
          <w:sz w:val="22"/>
          <w:szCs w:val="22"/>
          <w:lang w:val="es-ES_tradnl"/>
        </w:rPr>
      </w:pPr>
    </w:p>
    <w:p w14:paraId="1C5803D2" w14:textId="77777777" w:rsidR="004964ED" w:rsidRPr="001B7E14" w:rsidRDefault="004964ED" w:rsidP="004964ED">
      <w:pPr>
        <w:jc w:val="both"/>
        <w:rPr>
          <w:rFonts w:ascii="Helvetica" w:hAnsi="Helvetica" w:cs="Helvetica"/>
          <w:sz w:val="22"/>
          <w:szCs w:val="22"/>
          <w:lang w:val="es-ES_tradnl"/>
        </w:rPr>
      </w:pPr>
      <w:r w:rsidRPr="001B7E14">
        <w:rPr>
          <w:rFonts w:ascii="Helvetica" w:hAnsi="Helvetica" w:cs="Helvetica"/>
          <w:sz w:val="22"/>
          <w:szCs w:val="22"/>
          <w:lang w:val="es-ES_tradnl"/>
        </w:rPr>
        <w:t xml:space="preserve">Es importante mencionar </w:t>
      </w:r>
      <w:r w:rsidR="00342952" w:rsidRPr="001B7E14">
        <w:rPr>
          <w:rFonts w:ascii="Helvetica" w:hAnsi="Helvetica" w:cs="Helvetica"/>
          <w:sz w:val="22"/>
          <w:szCs w:val="22"/>
          <w:lang w:val="es-ES_tradnl"/>
        </w:rPr>
        <w:t>que</w:t>
      </w:r>
      <w:r w:rsidR="003B7995" w:rsidRPr="001B7E14">
        <w:rPr>
          <w:rFonts w:ascii="Helvetica" w:hAnsi="Helvetica" w:cs="Helvetica"/>
          <w:sz w:val="22"/>
          <w:szCs w:val="22"/>
          <w:lang w:val="es-ES_tradnl"/>
        </w:rPr>
        <w:t xml:space="preserve"> para la vigencia 2023 no se pudo analizar dicha información con el reporte FUC</w:t>
      </w:r>
      <w:r w:rsidR="00891FD5" w:rsidRPr="001B7E14">
        <w:rPr>
          <w:rFonts w:ascii="Helvetica" w:hAnsi="Helvetica" w:cs="Helvetica"/>
          <w:sz w:val="22"/>
          <w:szCs w:val="22"/>
          <w:lang w:val="es-ES_tradnl"/>
        </w:rPr>
        <w:t xml:space="preserve"> 2023</w:t>
      </w:r>
      <w:r w:rsidR="003B7995" w:rsidRPr="001B7E14">
        <w:rPr>
          <w:rFonts w:ascii="Helvetica" w:hAnsi="Helvetica" w:cs="Helvetica"/>
          <w:sz w:val="22"/>
          <w:szCs w:val="22"/>
          <w:lang w:val="es-ES_tradnl"/>
        </w:rPr>
        <w:t xml:space="preserve"> debido a que la entidad no lo había reportado</w:t>
      </w:r>
      <w:r w:rsidR="00342952" w:rsidRPr="001B7E14">
        <w:rPr>
          <w:rFonts w:ascii="Helvetica" w:hAnsi="Helvetica" w:cs="Helvetica"/>
          <w:sz w:val="22"/>
          <w:szCs w:val="22"/>
          <w:lang w:val="es-ES_tradnl"/>
        </w:rPr>
        <w:t>,</w:t>
      </w:r>
      <w:r w:rsidR="003B7995" w:rsidRPr="001B7E14">
        <w:rPr>
          <w:rFonts w:ascii="Helvetica" w:hAnsi="Helvetica" w:cs="Helvetica"/>
          <w:sz w:val="22"/>
          <w:szCs w:val="22"/>
          <w:lang w:val="es-ES_tradnl"/>
        </w:rPr>
        <w:t xml:space="preserve"> por tanto</w:t>
      </w:r>
      <w:r w:rsidR="00891FD5" w:rsidRPr="001B7E14">
        <w:rPr>
          <w:rFonts w:ascii="Helvetica" w:hAnsi="Helvetica" w:cs="Helvetica"/>
          <w:sz w:val="22"/>
          <w:szCs w:val="22"/>
          <w:lang w:val="es-ES_tradnl"/>
        </w:rPr>
        <w:t>,</w:t>
      </w:r>
      <w:r w:rsidR="003B7995" w:rsidRPr="001B7E14">
        <w:rPr>
          <w:rFonts w:ascii="Helvetica" w:hAnsi="Helvetica" w:cs="Helvetica"/>
          <w:sz w:val="22"/>
          <w:szCs w:val="22"/>
          <w:lang w:val="es-ES_tradnl"/>
        </w:rPr>
        <w:t xml:space="preserve"> se analizó con el reporte de matrícula enviado por la entidad</w:t>
      </w:r>
      <w:r w:rsidR="0019608A">
        <w:rPr>
          <w:rFonts w:ascii="Helvetica" w:hAnsi="Helvetica" w:cs="Helvetica"/>
          <w:sz w:val="22"/>
          <w:szCs w:val="22"/>
          <w:lang w:val="es-ES_tradnl"/>
        </w:rPr>
        <w:t>,</w:t>
      </w:r>
      <w:r w:rsidR="003B7995" w:rsidRPr="001B7E14">
        <w:rPr>
          <w:rFonts w:ascii="Helvetica" w:hAnsi="Helvetica" w:cs="Helvetica"/>
          <w:sz w:val="22"/>
          <w:szCs w:val="22"/>
          <w:lang w:val="es-ES_tradnl"/>
        </w:rPr>
        <w:t xml:space="preserve"> el cual no es específicamente el anexo 6A que arroja el sistema.</w:t>
      </w:r>
      <w:r w:rsidR="00891FD5" w:rsidRPr="001B7E14" w:rsidDel="00891FD5">
        <w:rPr>
          <w:rFonts w:ascii="Helvetica" w:hAnsi="Helvetica" w:cs="Helvetica"/>
          <w:sz w:val="22"/>
          <w:szCs w:val="22"/>
          <w:lang w:val="es-ES_tradnl"/>
        </w:rPr>
        <w:t xml:space="preserve"> </w:t>
      </w:r>
    </w:p>
    <w:p w14:paraId="77974DDA" w14:textId="77777777" w:rsidR="004964ED" w:rsidRPr="001B7E14" w:rsidRDefault="004964ED" w:rsidP="004964ED">
      <w:pPr>
        <w:jc w:val="both"/>
        <w:rPr>
          <w:rFonts w:ascii="Helvetica" w:hAnsi="Helvetica" w:cs="Helvetica"/>
          <w:sz w:val="22"/>
          <w:szCs w:val="22"/>
          <w:lang w:val="es-ES_tradnl"/>
        </w:rPr>
      </w:pPr>
    </w:p>
    <w:p w14:paraId="029297BD" w14:textId="77777777" w:rsidR="00AD0693" w:rsidRPr="001B7E14" w:rsidRDefault="004964ED" w:rsidP="00FA42BB">
      <w:pPr>
        <w:jc w:val="both"/>
        <w:rPr>
          <w:rFonts w:ascii="Helvetica" w:hAnsi="Helvetica" w:cs="Helvetica"/>
          <w:sz w:val="22"/>
          <w:szCs w:val="22"/>
          <w:lang w:val="es-ES_tradnl"/>
        </w:rPr>
      </w:pPr>
      <w:r w:rsidRPr="001B7E14">
        <w:rPr>
          <w:rFonts w:ascii="Helvetica" w:hAnsi="Helvetica" w:cs="Helvetica"/>
          <w:sz w:val="22"/>
          <w:szCs w:val="22"/>
          <w:lang w:val="es-ES_tradnl"/>
        </w:rPr>
        <w:t xml:space="preserve">En conclusión, de conformidad con lo expuesto se evidencia que la Entidad Territorial no realiza una administración eficiente </w:t>
      </w:r>
      <w:r w:rsidR="003B7995" w:rsidRPr="001B7E14">
        <w:rPr>
          <w:rFonts w:ascii="Helvetica" w:hAnsi="Helvetica" w:cs="Helvetica"/>
          <w:sz w:val="22"/>
          <w:szCs w:val="22"/>
          <w:lang w:val="es-ES_tradnl"/>
        </w:rPr>
        <w:t>d</w:t>
      </w:r>
      <w:r w:rsidRPr="001B7E14">
        <w:rPr>
          <w:rFonts w:ascii="Helvetica" w:hAnsi="Helvetica" w:cs="Helvetica"/>
          <w:sz w:val="22"/>
          <w:szCs w:val="22"/>
          <w:lang w:val="es-ES_tradnl"/>
        </w:rPr>
        <w:t>e las plantas de personal docente y directivo docente para la atención de su matrícula, en contravía de lo estipulado por el artículo</w:t>
      </w:r>
      <w:r w:rsidR="00AD0693" w:rsidRPr="001B7E14">
        <w:rPr>
          <w:rFonts w:ascii="Helvetica" w:hAnsi="Helvetica" w:cs="Helvetica"/>
          <w:sz w:val="22"/>
          <w:szCs w:val="22"/>
          <w:lang w:val="es-ES_tradnl"/>
        </w:rPr>
        <w:t xml:space="preserve"> 142 de la Ley 1450 de 2011, </w:t>
      </w:r>
      <w:r w:rsidRPr="001B7E14">
        <w:rPr>
          <w:rFonts w:ascii="Helvetica" w:hAnsi="Helvetica" w:cs="Helvetica"/>
          <w:sz w:val="22"/>
          <w:szCs w:val="22"/>
          <w:lang w:val="es-ES_tradnl"/>
        </w:rPr>
        <w:t>toda vez que distribuye el personal incumpliendo los criterios y relaciones técnicas determinadas por las normas vigentes, artículos 2.4.6.1.2.1 al 2.4.6.1.2.6 del Decreto 1075 de 2015, ocasionando riesgos en la sostenibilidad de los recursos asignados para la prestación del servicio educativo por parte del Sistema General de Participaciones.</w:t>
      </w:r>
      <w:r w:rsidR="00AD0693" w:rsidRPr="001B7E14">
        <w:rPr>
          <w:rFonts w:ascii="Helvetica" w:hAnsi="Helvetica" w:cs="Helvetica"/>
          <w:sz w:val="22"/>
          <w:szCs w:val="22"/>
          <w:lang w:val="es-ES_tradnl"/>
        </w:rPr>
        <w:t xml:space="preserve"> </w:t>
      </w:r>
    </w:p>
    <w:p w14:paraId="4CD3E4BB" w14:textId="77777777" w:rsidR="00AD0693" w:rsidRPr="001B7E14" w:rsidRDefault="00AD0693" w:rsidP="00FA42BB">
      <w:pPr>
        <w:jc w:val="both"/>
        <w:rPr>
          <w:rFonts w:ascii="Helvetica" w:hAnsi="Helvetica" w:cs="Helvetica"/>
          <w:sz w:val="22"/>
          <w:szCs w:val="22"/>
          <w:lang w:val="es-ES_tradnl"/>
        </w:rPr>
      </w:pPr>
    </w:p>
    <w:p w14:paraId="77FAC72E" w14:textId="77777777" w:rsidR="00907A3C" w:rsidRPr="001B7E14" w:rsidRDefault="00AD0693" w:rsidP="00907A3C">
      <w:pPr>
        <w:jc w:val="both"/>
        <w:rPr>
          <w:rFonts w:ascii="Helvetica" w:eastAsia="Calibri" w:hAnsi="Helvetica" w:cs="Helvetica"/>
          <w:b/>
          <w:sz w:val="22"/>
          <w:szCs w:val="22"/>
          <w:lang w:val="es-ES_tradnl" w:eastAsia="en-US"/>
        </w:rPr>
      </w:pPr>
      <w:r w:rsidRPr="001B7E14">
        <w:rPr>
          <w:rFonts w:ascii="Helvetica" w:eastAsia="Calibri" w:hAnsi="Helvetica" w:cs="Helvetica"/>
          <w:b/>
          <w:sz w:val="22"/>
          <w:szCs w:val="22"/>
          <w:lang w:val="es-ES_tradnl" w:eastAsia="en-US"/>
        </w:rPr>
        <w:t xml:space="preserve">Evidencia: </w:t>
      </w:r>
      <w:r w:rsidRPr="001B7E14">
        <w:rPr>
          <w:rFonts w:ascii="Helvetica" w:hAnsi="Helvetica" w:cs="Helvetica"/>
          <w:sz w:val="22"/>
          <w:szCs w:val="22"/>
          <w:lang w:val="es-ES_tradnl"/>
        </w:rPr>
        <w:t>Obra en el expediente el siguiente material probatorio:</w:t>
      </w:r>
    </w:p>
    <w:p w14:paraId="6AB81A1B" w14:textId="77777777" w:rsidR="00907A3C" w:rsidRPr="001B7E14" w:rsidRDefault="00AD0693" w:rsidP="0019608A">
      <w:pPr>
        <w:numPr>
          <w:ilvl w:val="0"/>
          <w:numId w:val="31"/>
        </w:numPr>
        <w:ind w:left="284" w:hanging="284"/>
        <w:contextualSpacing/>
        <w:jc w:val="both"/>
        <w:rPr>
          <w:rFonts w:ascii="Helvetica" w:eastAsia="Calibri" w:hAnsi="Helvetica" w:cs="Helvetica"/>
          <w:b/>
          <w:sz w:val="22"/>
          <w:szCs w:val="22"/>
          <w:lang w:val="es-ES_tradnl" w:eastAsia="en-US"/>
        </w:rPr>
      </w:pPr>
      <w:r w:rsidRPr="001B7E14">
        <w:rPr>
          <w:rFonts w:ascii="Helvetica" w:hAnsi="Helvetica" w:cs="Helvetica"/>
          <w:sz w:val="22"/>
          <w:szCs w:val="22"/>
          <w:lang w:val="es-CO"/>
        </w:rPr>
        <w:lastRenderedPageBreak/>
        <w:t xml:space="preserve">Concepto técnico de </w:t>
      </w:r>
      <w:proofErr w:type="spellStart"/>
      <w:r w:rsidR="00907A3C" w:rsidRPr="001B7E14">
        <w:rPr>
          <w:rFonts w:ascii="Helvetica" w:hAnsi="Helvetica" w:cs="Helvetica"/>
          <w:sz w:val="22"/>
          <w:szCs w:val="22"/>
          <w:lang w:val="es-CO"/>
        </w:rPr>
        <w:t>viabilización</w:t>
      </w:r>
      <w:proofErr w:type="spellEnd"/>
      <w:r w:rsidR="00907A3C" w:rsidRPr="001B7E14">
        <w:rPr>
          <w:rFonts w:ascii="Helvetica" w:hAnsi="Helvetica" w:cs="Helvetica"/>
          <w:sz w:val="22"/>
          <w:szCs w:val="22"/>
          <w:lang w:val="es-CO"/>
        </w:rPr>
        <w:t xml:space="preserve"> de planta No. 2021-EE-391265</w:t>
      </w:r>
      <w:r w:rsidRPr="001B7E14">
        <w:rPr>
          <w:rFonts w:ascii="Helvetica" w:hAnsi="Helvetica" w:cs="Helvetica"/>
          <w:sz w:val="22"/>
          <w:szCs w:val="22"/>
          <w:lang w:val="es-CO"/>
        </w:rPr>
        <w:t xml:space="preserve"> de</w:t>
      </w:r>
      <w:r w:rsidR="00907A3C" w:rsidRPr="001B7E14">
        <w:rPr>
          <w:rFonts w:ascii="Helvetica" w:hAnsi="Helvetica" w:cs="Helvetica"/>
          <w:sz w:val="22"/>
          <w:szCs w:val="22"/>
          <w:lang w:val="es-CO"/>
        </w:rPr>
        <w:t>l 10 de diciembre de 2021</w:t>
      </w:r>
      <w:r w:rsidRPr="001B7E14">
        <w:rPr>
          <w:rFonts w:ascii="Helvetica" w:hAnsi="Helvetica" w:cs="Helvetica"/>
          <w:sz w:val="22"/>
          <w:szCs w:val="22"/>
          <w:lang w:val="es-CO"/>
        </w:rPr>
        <w:t>, emitido por el Ministerio de Educación Nacional</w:t>
      </w:r>
      <w:r w:rsidR="00907A3C" w:rsidRPr="001B7E14">
        <w:rPr>
          <w:rFonts w:ascii="Helvetica" w:hAnsi="Helvetica" w:cs="Helvetica"/>
          <w:sz w:val="22"/>
          <w:szCs w:val="22"/>
          <w:lang w:val="es-CO"/>
        </w:rPr>
        <w:t>. Sector Educación. Departamento de Guainía. Serie "Historial de seguimiento y control a los recursos del Sistema General de Participaciones - Antecedentes de la medida". Expediente digital No. 135/2017/D028-PREDI,</w:t>
      </w:r>
      <w:r w:rsidR="00907A3C" w:rsidRPr="001B7E14">
        <w:rPr>
          <w:rFonts w:ascii="Helvetica" w:eastAsiaTheme="minorHAnsi" w:hAnsi="Helvetica" w:cs="Helvetica"/>
          <w:sz w:val="22"/>
          <w:szCs w:val="22"/>
          <w:lang w:eastAsia="es-ES_tradnl"/>
        </w:rPr>
        <w:t xml:space="preserve"> Enlace:</w:t>
      </w:r>
      <w:r w:rsidR="005910B9">
        <w:rPr>
          <w:rFonts w:ascii="Helvetica" w:hAnsi="Helvetica" w:cs="Helvetica"/>
          <w:sz w:val="22"/>
          <w:szCs w:val="22"/>
          <w:lang w:val="es-CO"/>
        </w:rPr>
        <w:t xml:space="preserve"> </w:t>
      </w:r>
      <w:hyperlink r:id="rId43" w:history="1">
        <w:r w:rsidR="00907A3C" w:rsidRPr="001B7E14">
          <w:rPr>
            <w:rStyle w:val="Hipervnculo"/>
            <w:rFonts w:ascii="Helvetica" w:hAnsi="Helvetica" w:cs="Helvetica"/>
            <w:sz w:val="22"/>
            <w:szCs w:val="22"/>
            <w:lang w:val="es-CO"/>
          </w:rPr>
          <w:t>https://onx.la/8df40</w:t>
        </w:r>
      </w:hyperlink>
    </w:p>
    <w:p w14:paraId="33CE7B51" w14:textId="77777777" w:rsidR="00907A3C" w:rsidRPr="001B7E14" w:rsidRDefault="00907A3C" w:rsidP="00907A3C">
      <w:pPr>
        <w:numPr>
          <w:ilvl w:val="0"/>
          <w:numId w:val="31"/>
        </w:numPr>
        <w:ind w:left="284" w:hanging="284"/>
        <w:contextualSpacing/>
        <w:jc w:val="both"/>
        <w:rPr>
          <w:rFonts w:ascii="Helvetica" w:hAnsi="Helvetica" w:cs="Helvetica"/>
          <w:sz w:val="22"/>
          <w:szCs w:val="22"/>
          <w:lang w:val="es-CO"/>
        </w:rPr>
      </w:pPr>
      <w:r w:rsidRPr="001B7E14">
        <w:rPr>
          <w:rFonts w:ascii="Helvetica" w:hAnsi="Helvetica" w:cs="Helvetica"/>
          <w:sz w:val="22"/>
          <w:szCs w:val="22"/>
          <w:lang w:val="es-CO"/>
        </w:rPr>
        <w:t xml:space="preserve">Decreto de adopción de planta 761 del 20 de diciembre de 2021. </w:t>
      </w:r>
      <w:r w:rsidRPr="001B7E14">
        <w:rPr>
          <w:rFonts w:ascii="Helvetica" w:hAnsi="Helvetica" w:cs="Helvetica"/>
          <w:sz w:val="22"/>
          <w:szCs w:val="22"/>
        </w:rPr>
        <w:t>Se</w:t>
      </w:r>
      <w:r w:rsidRPr="001B7E14">
        <w:rPr>
          <w:rFonts w:ascii="Helvetica" w:eastAsiaTheme="minorHAnsi" w:hAnsi="Helvetica" w:cs="Helvetica"/>
          <w:sz w:val="22"/>
          <w:szCs w:val="22"/>
          <w:lang w:eastAsia="es-ES_tradnl"/>
        </w:rPr>
        <w:t>ctor Educación. Departamento de Guainía. Serie "Historial de seguimiento y control a los recursos del Sistema General de Participaciones - Antecedentes de la medida". Expediente digital No. 135/2017/D028-PREDI, radicado 1-2023-052134 de junio 2023. Enlace:</w:t>
      </w:r>
      <w:r w:rsidRPr="001B7E14">
        <w:rPr>
          <w:rFonts w:ascii="Helvetica" w:hAnsi="Helvetica" w:cs="Helvetica"/>
          <w:sz w:val="22"/>
          <w:szCs w:val="22"/>
          <w:lang w:val="es-CO"/>
        </w:rPr>
        <w:t xml:space="preserve"> </w:t>
      </w:r>
      <w:hyperlink r:id="rId44" w:history="1">
        <w:r w:rsidRPr="001B7E14">
          <w:rPr>
            <w:rStyle w:val="Hipervnculo"/>
            <w:rFonts w:ascii="Helvetica" w:hAnsi="Helvetica" w:cs="Helvetica"/>
            <w:sz w:val="22"/>
            <w:szCs w:val="22"/>
            <w:lang w:val="es-CO"/>
          </w:rPr>
          <w:t>https://onx.la/1d2cf</w:t>
        </w:r>
      </w:hyperlink>
    </w:p>
    <w:p w14:paraId="135D8F6C" w14:textId="77777777" w:rsidR="00863B50" w:rsidRPr="001B7E14" w:rsidRDefault="00B96CA2" w:rsidP="00863B50">
      <w:pPr>
        <w:numPr>
          <w:ilvl w:val="0"/>
          <w:numId w:val="31"/>
        </w:numPr>
        <w:ind w:left="284" w:hanging="284"/>
        <w:contextualSpacing/>
        <w:jc w:val="both"/>
        <w:rPr>
          <w:rFonts w:ascii="Helvetica" w:hAnsi="Helvetica" w:cs="Helvetica"/>
          <w:sz w:val="22"/>
          <w:szCs w:val="22"/>
          <w:lang w:val="es-ES_tradnl"/>
        </w:rPr>
      </w:pPr>
      <w:r w:rsidRPr="001B7E14">
        <w:rPr>
          <w:rFonts w:ascii="Helvetica" w:hAnsi="Helvetica" w:cs="Helvetica"/>
          <w:sz w:val="22"/>
          <w:szCs w:val="22"/>
          <w:lang w:val="es-ES_tradnl"/>
        </w:rPr>
        <w:t>D</w:t>
      </w:r>
      <w:r w:rsidR="00891FD5" w:rsidRPr="001B7E14">
        <w:rPr>
          <w:rFonts w:ascii="Helvetica" w:hAnsi="Helvetica" w:cs="Helvetica"/>
          <w:sz w:val="22"/>
          <w:szCs w:val="22"/>
          <w:lang w:val="es-ES_tradnl"/>
        </w:rPr>
        <w:t>istribución de planta para la vigencia 2023, Resolución No. 322 del 17 de mayo de 2023.</w:t>
      </w:r>
      <w:r w:rsidR="00891FD5" w:rsidRPr="001B7E14">
        <w:rPr>
          <w:rFonts w:ascii="Helvetica" w:hAnsi="Helvetica" w:cs="Helvetica"/>
          <w:sz w:val="22"/>
          <w:szCs w:val="22"/>
        </w:rPr>
        <w:t xml:space="preserve"> Se</w:t>
      </w:r>
      <w:r w:rsidR="00891FD5" w:rsidRPr="001B7E14">
        <w:rPr>
          <w:rFonts w:ascii="Helvetica" w:eastAsiaTheme="minorHAnsi" w:hAnsi="Helvetica" w:cs="Helvetica"/>
          <w:sz w:val="22"/>
          <w:szCs w:val="22"/>
          <w:lang w:eastAsia="es-ES_tradnl"/>
        </w:rPr>
        <w:t>ctor Educación. Departamento de Guainía. Serie "Historial de seguimiento y control a los recursos del Sistema General de Participaciones - Antecedentes de la medida". Expediente digital No. 135/2017/D028-PREDI, radicado 1-202</w:t>
      </w:r>
      <w:r w:rsidRPr="001B7E14">
        <w:rPr>
          <w:rFonts w:ascii="Helvetica" w:eastAsiaTheme="minorHAnsi" w:hAnsi="Helvetica" w:cs="Helvetica"/>
          <w:sz w:val="22"/>
          <w:szCs w:val="22"/>
          <w:lang w:eastAsia="es-ES_tradnl"/>
        </w:rPr>
        <w:t>3-052134</w:t>
      </w:r>
      <w:r w:rsidR="00891FD5" w:rsidRPr="001B7E14">
        <w:rPr>
          <w:rFonts w:ascii="Helvetica" w:eastAsiaTheme="minorHAnsi" w:hAnsi="Helvetica" w:cs="Helvetica"/>
          <w:sz w:val="22"/>
          <w:szCs w:val="22"/>
          <w:lang w:eastAsia="es-ES_tradnl"/>
        </w:rPr>
        <w:t xml:space="preserve"> de </w:t>
      </w:r>
      <w:r w:rsidRPr="001B7E14">
        <w:rPr>
          <w:rFonts w:ascii="Helvetica" w:eastAsiaTheme="minorHAnsi" w:hAnsi="Helvetica" w:cs="Helvetica"/>
          <w:sz w:val="22"/>
          <w:szCs w:val="22"/>
          <w:lang w:eastAsia="es-ES_tradnl"/>
        </w:rPr>
        <w:t>junio 2023</w:t>
      </w:r>
      <w:r w:rsidR="00891FD5" w:rsidRPr="001B7E14">
        <w:rPr>
          <w:rFonts w:ascii="Helvetica" w:eastAsiaTheme="minorHAnsi" w:hAnsi="Helvetica" w:cs="Helvetica"/>
          <w:sz w:val="22"/>
          <w:szCs w:val="22"/>
          <w:lang w:eastAsia="es-ES_tradnl"/>
        </w:rPr>
        <w:t>. Enlace:</w:t>
      </w:r>
      <w:r w:rsidRPr="001B7E14">
        <w:rPr>
          <w:rFonts w:ascii="Helvetica" w:hAnsi="Helvetica" w:cs="Helvetica"/>
        </w:rPr>
        <w:t xml:space="preserve"> </w:t>
      </w:r>
      <w:hyperlink r:id="rId45" w:history="1">
        <w:r w:rsidRPr="001B7E14">
          <w:rPr>
            <w:rStyle w:val="Hipervnculo"/>
            <w:rFonts w:ascii="Helvetica" w:eastAsiaTheme="minorHAnsi" w:hAnsi="Helvetica" w:cs="Helvetica"/>
            <w:sz w:val="22"/>
            <w:szCs w:val="22"/>
            <w:lang w:eastAsia="es-ES_tradnl"/>
          </w:rPr>
          <w:t>https://onx.la/93c61</w:t>
        </w:r>
      </w:hyperlink>
    </w:p>
    <w:p w14:paraId="0753D02B" w14:textId="77777777" w:rsidR="00891FD5" w:rsidRPr="001B7E14" w:rsidRDefault="00891FD5" w:rsidP="00863B50">
      <w:pPr>
        <w:numPr>
          <w:ilvl w:val="0"/>
          <w:numId w:val="31"/>
        </w:numPr>
        <w:ind w:left="284" w:hanging="284"/>
        <w:contextualSpacing/>
        <w:jc w:val="both"/>
        <w:rPr>
          <w:rFonts w:ascii="Helvetica" w:hAnsi="Helvetica" w:cs="Helvetica"/>
          <w:sz w:val="22"/>
          <w:szCs w:val="22"/>
          <w:lang w:val="es-ES_tradnl"/>
        </w:rPr>
      </w:pPr>
      <w:r w:rsidRPr="001B7E14">
        <w:rPr>
          <w:rFonts w:ascii="Helvetica" w:hAnsi="Helvetica" w:cs="Helvetica"/>
          <w:sz w:val="22"/>
          <w:szCs w:val="22"/>
          <w:lang w:val="es-ES_tradnl"/>
        </w:rPr>
        <w:t>Reporte de matrícula a abril de 2023</w:t>
      </w:r>
      <w:r w:rsidRPr="001B7E14">
        <w:rPr>
          <w:rFonts w:ascii="Helvetica" w:hAnsi="Helvetica" w:cs="Helvetica"/>
          <w:sz w:val="22"/>
          <w:szCs w:val="22"/>
        </w:rPr>
        <w:t xml:space="preserve"> Se</w:t>
      </w:r>
      <w:r w:rsidRPr="001B7E14">
        <w:rPr>
          <w:rFonts w:ascii="Helvetica" w:eastAsiaTheme="minorHAnsi" w:hAnsi="Helvetica" w:cs="Helvetica"/>
          <w:sz w:val="22"/>
          <w:szCs w:val="22"/>
          <w:lang w:eastAsia="es-ES_tradnl"/>
        </w:rPr>
        <w:t>ctor Educación. Departamento de Guainía. Serie "Historial de seguimiento y control a los recursos del Sistema General de Participaciones - Antecedentes de la medida". Expediente digital No. 135/</w:t>
      </w:r>
      <w:r w:rsidR="00863B50" w:rsidRPr="001B7E14">
        <w:rPr>
          <w:rFonts w:ascii="Helvetica" w:eastAsiaTheme="minorHAnsi" w:hAnsi="Helvetica" w:cs="Helvetica"/>
          <w:sz w:val="22"/>
          <w:szCs w:val="22"/>
          <w:lang w:eastAsia="es-ES_tradnl"/>
        </w:rPr>
        <w:t>2017/D028-PREDI, radicado 1-2023</w:t>
      </w:r>
      <w:r w:rsidRPr="001B7E14">
        <w:rPr>
          <w:rFonts w:ascii="Helvetica" w:eastAsiaTheme="minorHAnsi" w:hAnsi="Helvetica" w:cs="Helvetica"/>
          <w:sz w:val="22"/>
          <w:szCs w:val="22"/>
          <w:lang w:eastAsia="es-ES_tradnl"/>
        </w:rPr>
        <w:t>-</w:t>
      </w:r>
      <w:r w:rsidR="00863B50" w:rsidRPr="001B7E14">
        <w:rPr>
          <w:rFonts w:ascii="Helvetica" w:eastAsiaTheme="minorHAnsi" w:hAnsi="Helvetica" w:cs="Helvetica"/>
          <w:sz w:val="22"/>
          <w:szCs w:val="22"/>
          <w:lang w:eastAsia="es-ES_tradnl"/>
        </w:rPr>
        <w:t>052076</w:t>
      </w:r>
      <w:r w:rsidRPr="001B7E14">
        <w:rPr>
          <w:rFonts w:ascii="Helvetica" w:eastAsiaTheme="minorHAnsi" w:hAnsi="Helvetica" w:cs="Helvetica"/>
          <w:sz w:val="22"/>
          <w:szCs w:val="22"/>
          <w:lang w:eastAsia="es-ES_tradnl"/>
        </w:rPr>
        <w:t xml:space="preserve"> de</w:t>
      </w:r>
      <w:r w:rsidR="00863B50" w:rsidRPr="001B7E14">
        <w:rPr>
          <w:rFonts w:ascii="Helvetica" w:eastAsiaTheme="minorHAnsi" w:hAnsi="Helvetica" w:cs="Helvetica"/>
          <w:sz w:val="22"/>
          <w:szCs w:val="22"/>
          <w:lang w:eastAsia="es-ES_tradnl"/>
        </w:rPr>
        <w:t>l 21 de junio de 2023</w:t>
      </w:r>
      <w:r w:rsidRPr="001B7E14">
        <w:rPr>
          <w:rFonts w:ascii="Helvetica" w:eastAsiaTheme="minorHAnsi" w:hAnsi="Helvetica" w:cs="Helvetica"/>
          <w:sz w:val="22"/>
          <w:szCs w:val="22"/>
          <w:lang w:eastAsia="es-ES_tradnl"/>
        </w:rPr>
        <w:t>. Enlace:</w:t>
      </w:r>
      <w:r w:rsidR="00907A3C" w:rsidRPr="001B7E14">
        <w:rPr>
          <w:rFonts w:ascii="Helvetica" w:eastAsiaTheme="minorHAnsi" w:hAnsi="Helvetica" w:cs="Helvetica"/>
          <w:sz w:val="22"/>
          <w:szCs w:val="22"/>
          <w:lang w:eastAsia="es-ES_tradnl"/>
        </w:rPr>
        <w:t xml:space="preserve"> </w:t>
      </w:r>
      <w:hyperlink r:id="rId46" w:history="1">
        <w:r w:rsidR="00907A3C" w:rsidRPr="001B7E14">
          <w:rPr>
            <w:rStyle w:val="Hipervnculo"/>
            <w:rFonts w:ascii="Helvetica" w:eastAsiaTheme="minorHAnsi" w:hAnsi="Helvetica" w:cs="Helvetica"/>
            <w:sz w:val="22"/>
            <w:szCs w:val="22"/>
            <w:lang w:eastAsia="es-ES_tradnl"/>
          </w:rPr>
          <w:t>https://onx.la/8df40</w:t>
        </w:r>
      </w:hyperlink>
    </w:p>
    <w:p w14:paraId="3565C25C" w14:textId="77777777" w:rsidR="00907A3C" w:rsidRPr="001B7E14" w:rsidRDefault="00907A3C" w:rsidP="00863B50">
      <w:pPr>
        <w:ind w:left="720"/>
        <w:contextualSpacing/>
        <w:jc w:val="both"/>
        <w:rPr>
          <w:rFonts w:ascii="Helvetica" w:hAnsi="Helvetica" w:cs="Helvetica"/>
          <w:sz w:val="22"/>
          <w:szCs w:val="22"/>
          <w:lang w:val="es-ES_tradnl"/>
        </w:rPr>
      </w:pPr>
    </w:p>
    <w:p w14:paraId="1BDE1ADE" w14:textId="77777777" w:rsidR="00AD0693" w:rsidRPr="001B7E14" w:rsidRDefault="00AD0693" w:rsidP="00FA42BB">
      <w:pPr>
        <w:pStyle w:val="Ttulo"/>
        <w:numPr>
          <w:ilvl w:val="0"/>
          <w:numId w:val="33"/>
        </w:numPr>
        <w:rPr>
          <w:rFonts w:ascii="Helvetica" w:hAnsi="Helvetica" w:cs="Helvetica"/>
          <w:szCs w:val="22"/>
          <w:lang w:eastAsia="en-US"/>
        </w:rPr>
      </w:pPr>
      <w:r w:rsidRPr="001B7E14">
        <w:rPr>
          <w:rFonts w:ascii="Helvetica" w:hAnsi="Helvetica" w:cs="Helvetica"/>
          <w:szCs w:val="22"/>
          <w:lang w:eastAsia="en-US"/>
        </w:rPr>
        <w:t>Omisión de la distribución de planta de cargos entre establecimientos educativos de su jurisdicción.</w:t>
      </w:r>
    </w:p>
    <w:p w14:paraId="32B96927" w14:textId="77777777" w:rsidR="00AD0693" w:rsidRPr="001B7E14" w:rsidRDefault="00AD0693" w:rsidP="00FA42BB">
      <w:pPr>
        <w:jc w:val="both"/>
        <w:rPr>
          <w:rFonts w:ascii="Helvetica" w:hAnsi="Helvetica" w:cs="Helvetica"/>
          <w:sz w:val="22"/>
          <w:szCs w:val="22"/>
          <w:lang w:val="es-ES_tradnl"/>
        </w:rPr>
      </w:pPr>
    </w:p>
    <w:p w14:paraId="0E03C0FB" w14:textId="77777777" w:rsidR="00AD0693" w:rsidRPr="001B7E14" w:rsidRDefault="00AD0693" w:rsidP="00FA42BB">
      <w:pPr>
        <w:jc w:val="both"/>
        <w:rPr>
          <w:rFonts w:ascii="Helvetica" w:hAnsi="Helvetica" w:cs="Helvetica"/>
          <w:sz w:val="22"/>
          <w:szCs w:val="22"/>
          <w:lang w:val="es-ES_tradnl"/>
        </w:rPr>
      </w:pPr>
      <w:r w:rsidRPr="001B7E14">
        <w:rPr>
          <w:rFonts w:ascii="Helvetica" w:hAnsi="Helvetica" w:cs="Helvetica"/>
          <w:sz w:val="22"/>
          <w:szCs w:val="22"/>
          <w:lang w:val="es-ES_tradnl"/>
        </w:rPr>
        <w:t xml:space="preserve">Los numerales 6.2.10 y 6.2.11 del artículo 6 de la Ley 715 de 2001 establecen como competencia de los departamentos </w:t>
      </w:r>
      <w:r w:rsidRPr="001B7E14">
        <w:rPr>
          <w:rFonts w:ascii="Helvetica" w:hAnsi="Helvetica" w:cs="Helvetica"/>
          <w:i/>
          <w:sz w:val="22"/>
          <w:szCs w:val="22"/>
          <w:lang w:val="es-ES_tradnl"/>
        </w:rPr>
        <w:t>“6.2.10. Distribuir entre los municipios los docentes, directivos y empleados administrativos, de acuerdo con las necesidades del servicio, de conformidad con el reglamento”</w:t>
      </w:r>
      <w:r w:rsidRPr="001B7E14">
        <w:rPr>
          <w:rFonts w:ascii="Helvetica" w:hAnsi="Helvetica" w:cs="Helvetica"/>
          <w:sz w:val="22"/>
          <w:szCs w:val="22"/>
          <w:lang w:val="es-ES_tradnl"/>
        </w:rPr>
        <w:t xml:space="preserve"> y </w:t>
      </w:r>
      <w:r w:rsidRPr="001B7E14">
        <w:rPr>
          <w:rFonts w:ascii="Helvetica" w:hAnsi="Helvetica" w:cs="Helvetica"/>
          <w:i/>
          <w:sz w:val="22"/>
          <w:szCs w:val="22"/>
          <w:lang w:val="es-ES_tradnl"/>
        </w:rPr>
        <w:t>“6.2.11. Distribuir las plantas departamentales de personal docente, directivos y empleados administrativos, atendiendo los criterios de población atendida y por atender en condiciones de eficiencia, siguiendo la regulación nacional sobre la materia”</w:t>
      </w:r>
      <w:r w:rsidRPr="001B7E14">
        <w:rPr>
          <w:rFonts w:ascii="Helvetica" w:hAnsi="Helvetica" w:cs="Helvetica"/>
          <w:sz w:val="22"/>
          <w:szCs w:val="22"/>
          <w:lang w:val="es-ES_tradnl"/>
        </w:rPr>
        <w:t>.</w:t>
      </w:r>
    </w:p>
    <w:p w14:paraId="410F1F6C" w14:textId="77777777" w:rsidR="00AD0693" w:rsidRPr="001B7E14" w:rsidRDefault="00AD0693" w:rsidP="00FA42BB">
      <w:pPr>
        <w:jc w:val="both"/>
        <w:rPr>
          <w:rFonts w:ascii="Helvetica" w:eastAsia="Times New Roman" w:hAnsi="Helvetica" w:cs="Helvetica"/>
          <w:sz w:val="22"/>
          <w:szCs w:val="22"/>
          <w:lang w:val="es-ES_tradnl" w:eastAsia="es-CO"/>
        </w:rPr>
      </w:pPr>
    </w:p>
    <w:p w14:paraId="7C353B96" w14:textId="77777777" w:rsidR="00AD0693" w:rsidRPr="001B7E14" w:rsidRDefault="00AD0693" w:rsidP="00FA42BB">
      <w:pPr>
        <w:jc w:val="both"/>
        <w:rPr>
          <w:rFonts w:ascii="Helvetica" w:hAnsi="Helvetica" w:cs="Helvetica"/>
          <w:sz w:val="22"/>
          <w:szCs w:val="22"/>
          <w:lang w:val="es-ES_tradnl"/>
        </w:rPr>
      </w:pPr>
      <w:bookmarkStart w:id="0" w:name="33"/>
      <w:r w:rsidRPr="001B7E14">
        <w:rPr>
          <w:rFonts w:ascii="Helvetica" w:hAnsi="Helvetica" w:cs="Helvetica"/>
          <w:bCs/>
          <w:sz w:val="22"/>
          <w:szCs w:val="22"/>
          <w:lang w:val="es-ES_tradnl"/>
        </w:rPr>
        <w:t xml:space="preserve">Así mismo, el artículo 33 de la Ley 715 de 2001 indica que </w:t>
      </w:r>
      <w:bookmarkEnd w:id="0"/>
      <w:r w:rsidRPr="001B7E14">
        <w:rPr>
          <w:rFonts w:ascii="Helvetica" w:hAnsi="Helvetica" w:cs="Helvetica"/>
          <w:b/>
          <w:bCs/>
          <w:i/>
          <w:sz w:val="22"/>
          <w:szCs w:val="22"/>
          <w:lang w:val="es-ES_tradnl"/>
        </w:rPr>
        <w:t>“</w:t>
      </w:r>
      <w:r w:rsidRPr="001B7E14">
        <w:rPr>
          <w:rFonts w:ascii="Helvetica" w:hAnsi="Helvetica" w:cs="Helvetica"/>
          <w:i/>
          <w:sz w:val="22"/>
          <w:szCs w:val="22"/>
          <w:lang w:val="es-ES_tradnl"/>
        </w:rPr>
        <w:t>Los secretarios de educación departamental, municipal y distrital informarán anualmente a los consejos directivos de las instituciones educativas oficiales y harán público por los medios masivos de comunicación de su jurisdicción, los recursos, las plazas y la nómina que le asignen a cada una de las instituciones conforme a los parámetros de asignación de personal definidos por la Nación. El incumplimiento de esta disposición se considerará falta grave y acarreará las sanciones respectivas para el Secretario de Educación o quien haga sus veces”.</w:t>
      </w:r>
    </w:p>
    <w:p w14:paraId="213BE307" w14:textId="77777777" w:rsidR="00AD0693" w:rsidRPr="001B7E14" w:rsidRDefault="00AD0693" w:rsidP="00FA42BB">
      <w:pPr>
        <w:jc w:val="both"/>
        <w:rPr>
          <w:rFonts w:ascii="Helvetica" w:hAnsi="Helvetica" w:cs="Helvetica"/>
          <w:sz w:val="22"/>
          <w:szCs w:val="22"/>
          <w:lang w:val="es-ES_tradnl"/>
        </w:rPr>
      </w:pPr>
    </w:p>
    <w:p w14:paraId="11814F00" w14:textId="77777777" w:rsidR="004964ED" w:rsidRPr="001B7E14" w:rsidRDefault="004964ED" w:rsidP="00FA42BB">
      <w:pPr>
        <w:jc w:val="both"/>
        <w:rPr>
          <w:rFonts w:ascii="Helvetica" w:hAnsi="Helvetica" w:cs="Helvetica"/>
          <w:sz w:val="22"/>
          <w:szCs w:val="22"/>
          <w:lang w:val="es-ES_tradnl"/>
        </w:rPr>
      </w:pPr>
      <w:r w:rsidRPr="001B7E14">
        <w:rPr>
          <w:rFonts w:ascii="Helvetica" w:hAnsi="Helvetica" w:cs="Helvetica"/>
          <w:sz w:val="22"/>
          <w:szCs w:val="22"/>
          <w:lang w:val="es-ES_tradnl"/>
        </w:rPr>
        <w:t xml:space="preserve">En concordancia con lo anterior, el artículo 32 de la Resolución 07797 de 2015 establece el cronograma que deberán cumplir los responsables del proceso de gestión de la cobertura educativa, según su competencia, en cada anualidad; en dicho cronograma se determina </w:t>
      </w:r>
      <w:r w:rsidRPr="001B7E14">
        <w:rPr>
          <w:rFonts w:ascii="Helvetica" w:hAnsi="Helvetica" w:cs="Helvetica"/>
          <w:sz w:val="22"/>
          <w:szCs w:val="22"/>
          <w:lang w:val="es-ES_tradnl"/>
        </w:rPr>
        <w:lastRenderedPageBreak/>
        <w:t>que la expedición del acto administrativo de distribución de planta docente, directivo docente y administrativa debe darse entre la tercera semana de noviembre y la cuarta semana de marzo del año siguiente.</w:t>
      </w:r>
    </w:p>
    <w:p w14:paraId="28C0631B" w14:textId="77777777" w:rsidR="004964ED" w:rsidRPr="001B7E14" w:rsidRDefault="004964ED" w:rsidP="00FA42BB">
      <w:pPr>
        <w:jc w:val="both"/>
        <w:rPr>
          <w:rFonts w:ascii="Helvetica" w:hAnsi="Helvetica" w:cs="Helvetica"/>
          <w:sz w:val="22"/>
          <w:szCs w:val="22"/>
          <w:lang w:val="es-ES_tradnl"/>
        </w:rPr>
      </w:pPr>
    </w:p>
    <w:p w14:paraId="77A6CDCF" w14:textId="77777777" w:rsidR="00AD0693" w:rsidRPr="001B7E14" w:rsidRDefault="00AD0693" w:rsidP="00FA42BB">
      <w:pPr>
        <w:jc w:val="both"/>
        <w:rPr>
          <w:rFonts w:ascii="Helvetica" w:hAnsi="Helvetica" w:cs="Helvetica"/>
          <w:sz w:val="22"/>
          <w:szCs w:val="22"/>
          <w:lang w:val="es-ES_tradnl"/>
        </w:rPr>
      </w:pPr>
      <w:r w:rsidRPr="001B7E14">
        <w:rPr>
          <w:rFonts w:ascii="Helvetica" w:hAnsi="Helvetica" w:cs="Helvetica"/>
          <w:sz w:val="22"/>
          <w:szCs w:val="22"/>
          <w:lang w:val="es-ES_tradnl"/>
        </w:rPr>
        <w:t>De conformidad con la documentación remitida por el Departamento de Guainía, el</w:t>
      </w:r>
      <w:r w:rsidR="005910B9">
        <w:rPr>
          <w:rFonts w:ascii="Helvetica" w:hAnsi="Helvetica" w:cs="Helvetica"/>
          <w:sz w:val="22"/>
          <w:szCs w:val="22"/>
          <w:lang w:val="es-ES_tradnl"/>
        </w:rPr>
        <w:t xml:space="preserve"> </w:t>
      </w:r>
      <w:r w:rsidRPr="001B7E14">
        <w:rPr>
          <w:rFonts w:ascii="Helvetica" w:hAnsi="Helvetica" w:cs="Helvetica"/>
          <w:sz w:val="22"/>
          <w:szCs w:val="22"/>
          <w:lang w:val="es-ES_tradnl"/>
        </w:rPr>
        <w:t>acto administrativo de Distribución de Planta</w:t>
      </w:r>
      <w:r w:rsidR="005910B9">
        <w:rPr>
          <w:rFonts w:ascii="Helvetica" w:hAnsi="Helvetica" w:cs="Helvetica"/>
          <w:sz w:val="22"/>
          <w:szCs w:val="22"/>
          <w:lang w:val="es-ES_tradnl"/>
        </w:rPr>
        <w:t xml:space="preserve"> </w:t>
      </w:r>
      <w:r w:rsidR="00BE1F2C" w:rsidRPr="001B7E14">
        <w:rPr>
          <w:rFonts w:ascii="Helvetica" w:hAnsi="Helvetica" w:cs="Helvetica"/>
          <w:sz w:val="22"/>
          <w:szCs w:val="22"/>
          <w:lang w:val="es-ES_tradnl"/>
        </w:rPr>
        <w:t xml:space="preserve">de 2016 </w:t>
      </w:r>
      <w:r w:rsidRPr="001B7E14">
        <w:rPr>
          <w:rFonts w:ascii="Helvetica" w:hAnsi="Helvetica" w:cs="Helvetica"/>
          <w:sz w:val="22"/>
          <w:szCs w:val="22"/>
          <w:lang w:val="es-ES_tradnl"/>
        </w:rPr>
        <w:t>corresponde a la Resoluc</w:t>
      </w:r>
      <w:r w:rsidR="00BE1F2C" w:rsidRPr="001B7E14">
        <w:rPr>
          <w:rFonts w:ascii="Helvetica" w:hAnsi="Helvetica" w:cs="Helvetica"/>
          <w:sz w:val="22"/>
          <w:szCs w:val="22"/>
          <w:lang w:val="es-ES_tradnl"/>
        </w:rPr>
        <w:t>ión 125 del 31 de marzo de 2016</w:t>
      </w:r>
      <w:r w:rsidRPr="001B7E14">
        <w:rPr>
          <w:rFonts w:ascii="Helvetica" w:hAnsi="Helvetica" w:cs="Helvetica"/>
          <w:sz w:val="22"/>
          <w:szCs w:val="22"/>
          <w:lang w:val="es-ES_tradnl"/>
        </w:rPr>
        <w:t xml:space="preserve">. </w:t>
      </w:r>
      <w:r w:rsidR="004964ED" w:rsidRPr="001B7E14">
        <w:rPr>
          <w:rFonts w:ascii="Helvetica" w:hAnsi="Helvetica" w:cs="Helvetica"/>
          <w:sz w:val="22"/>
          <w:szCs w:val="22"/>
          <w:lang w:val="es-ES_tradnl"/>
        </w:rPr>
        <w:t xml:space="preserve">Es importante mencionar que esta Dirección </w:t>
      </w:r>
      <w:r w:rsidRPr="001B7E14">
        <w:rPr>
          <w:rFonts w:ascii="Helvetica" w:hAnsi="Helvetica" w:cs="Helvetica"/>
          <w:sz w:val="22"/>
          <w:szCs w:val="22"/>
          <w:lang w:val="es-ES_tradnl"/>
        </w:rPr>
        <w:t xml:space="preserve">solicitó a la entidad </w:t>
      </w:r>
      <w:r w:rsidR="004964ED" w:rsidRPr="001B7E14">
        <w:rPr>
          <w:rFonts w:ascii="Helvetica" w:hAnsi="Helvetica" w:cs="Helvetica"/>
          <w:sz w:val="22"/>
          <w:szCs w:val="22"/>
          <w:lang w:val="es-ES_tradnl"/>
        </w:rPr>
        <w:t xml:space="preserve">la </w:t>
      </w:r>
      <w:r w:rsidRPr="001B7E14">
        <w:rPr>
          <w:rFonts w:ascii="Helvetica" w:hAnsi="Helvetica" w:cs="Helvetica"/>
          <w:sz w:val="22"/>
          <w:szCs w:val="22"/>
          <w:lang w:val="es-ES_tradnl"/>
        </w:rPr>
        <w:t xml:space="preserve">información </w:t>
      </w:r>
      <w:r w:rsidR="004964ED" w:rsidRPr="001B7E14">
        <w:rPr>
          <w:rFonts w:ascii="Helvetica" w:hAnsi="Helvetica" w:cs="Helvetica"/>
          <w:sz w:val="22"/>
          <w:szCs w:val="22"/>
          <w:lang w:val="es-ES_tradnl"/>
        </w:rPr>
        <w:t xml:space="preserve">actualizada </w:t>
      </w:r>
      <w:r w:rsidRPr="001B7E14">
        <w:rPr>
          <w:rFonts w:ascii="Helvetica" w:hAnsi="Helvetica" w:cs="Helvetica"/>
          <w:sz w:val="22"/>
          <w:szCs w:val="22"/>
          <w:lang w:val="es-ES_tradnl"/>
        </w:rPr>
        <w:t xml:space="preserve">mediante oficio No. 2-2021-058413 del 04 de noviembre de 2021 el cual fue </w:t>
      </w:r>
      <w:r w:rsidR="00F36CA9" w:rsidRPr="001B7E14">
        <w:rPr>
          <w:rFonts w:ascii="Helvetica" w:hAnsi="Helvetica" w:cs="Helvetica"/>
          <w:sz w:val="22"/>
          <w:szCs w:val="22"/>
          <w:lang w:val="es-ES_tradnl"/>
        </w:rPr>
        <w:t>respondido</w:t>
      </w:r>
      <w:r w:rsidRPr="001B7E14">
        <w:rPr>
          <w:rFonts w:ascii="Helvetica" w:hAnsi="Helvetica" w:cs="Helvetica"/>
          <w:sz w:val="22"/>
          <w:szCs w:val="22"/>
          <w:lang w:val="es-ES_tradnl"/>
        </w:rPr>
        <w:t xml:space="preserve"> </w:t>
      </w:r>
      <w:r w:rsidR="004964ED" w:rsidRPr="001B7E14">
        <w:rPr>
          <w:rFonts w:ascii="Helvetica" w:hAnsi="Helvetica" w:cs="Helvetica"/>
          <w:sz w:val="22"/>
          <w:szCs w:val="22"/>
          <w:lang w:val="es-ES_tradnl"/>
        </w:rPr>
        <w:t xml:space="preserve">según </w:t>
      </w:r>
      <w:r w:rsidRPr="001B7E14">
        <w:rPr>
          <w:rFonts w:ascii="Helvetica" w:hAnsi="Helvetica" w:cs="Helvetica"/>
          <w:sz w:val="22"/>
          <w:szCs w:val="22"/>
          <w:lang w:val="es-ES_tradnl"/>
        </w:rPr>
        <w:t>oficio No. 1-2021-104463 del 22 de noviembre de 2021, sin embargo, la entidad remitió el mismo acto administrativo de distribución de planta de la vigencia 2016</w:t>
      </w:r>
      <w:r w:rsidR="00BE1F2C" w:rsidRPr="001B7E14">
        <w:rPr>
          <w:rFonts w:ascii="Helvetica" w:hAnsi="Helvetica" w:cs="Helvetica"/>
          <w:sz w:val="22"/>
          <w:szCs w:val="22"/>
          <w:lang w:val="es-ES_tradnl"/>
        </w:rPr>
        <w:t xml:space="preserve">, lo que permite concluir que dicho documento no fue expedido para </w:t>
      </w:r>
      <w:proofErr w:type="gramStart"/>
      <w:r w:rsidR="00BE1F2C" w:rsidRPr="001B7E14">
        <w:rPr>
          <w:rFonts w:ascii="Helvetica" w:hAnsi="Helvetica" w:cs="Helvetica"/>
          <w:sz w:val="22"/>
          <w:szCs w:val="22"/>
          <w:lang w:val="es-ES_tradnl"/>
        </w:rPr>
        <w:t>las vigencia</w:t>
      </w:r>
      <w:proofErr w:type="gramEnd"/>
      <w:r w:rsidR="00BE1F2C" w:rsidRPr="001B7E14">
        <w:rPr>
          <w:rFonts w:ascii="Helvetica" w:hAnsi="Helvetica" w:cs="Helvetica"/>
          <w:sz w:val="22"/>
          <w:szCs w:val="22"/>
          <w:lang w:val="es-ES_tradnl"/>
        </w:rPr>
        <w:t xml:space="preserve"> 2017 y subsiguientes</w:t>
      </w:r>
      <w:r w:rsidRPr="001B7E14">
        <w:rPr>
          <w:rFonts w:ascii="Helvetica" w:hAnsi="Helvetica" w:cs="Helvetica"/>
          <w:sz w:val="22"/>
          <w:szCs w:val="22"/>
          <w:lang w:val="es-ES_tradnl"/>
        </w:rPr>
        <w:t>.</w:t>
      </w:r>
      <w:r w:rsidR="00BE1F2C" w:rsidRPr="001B7E14">
        <w:rPr>
          <w:rFonts w:ascii="Helvetica" w:hAnsi="Helvetica" w:cs="Helvetica"/>
          <w:sz w:val="22"/>
          <w:szCs w:val="22"/>
          <w:lang w:val="es-ES_tradnl"/>
        </w:rPr>
        <w:t xml:space="preserve"> No obstante, con la nueva </w:t>
      </w:r>
      <w:proofErr w:type="spellStart"/>
      <w:r w:rsidR="00BE1F2C" w:rsidRPr="001B7E14">
        <w:rPr>
          <w:rFonts w:ascii="Helvetica" w:hAnsi="Helvetica" w:cs="Helvetica"/>
          <w:sz w:val="22"/>
          <w:szCs w:val="22"/>
          <w:lang w:val="es-ES_tradnl"/>
        </w:rPr>
        <w:t>viabilización</w:t>
      </w:r>
      <w:proofErr w:type="spellEnd"/>
      <w:r w:rsidR="00BE1F2C" w:rsidRPr="001B7E14">
        <w:rPr>
          <w:rFonts w:ascii="Helvetica" w:hAnsi="Helvetica" w:cs="Helvetica"/>
          <w:sz w:val="22"/>
          <w:szCs w:val="22"/>
          <w:lang w:val="es-ES_tradnl"/>
        </w:rPr>
        <w:t xml:space="preserve"> de planta solo hasta la vigencia 2023 la entidad volvió a expedir un acto administrativo</w:t>
      </w:r>
      <w:r w:rsidR="005910B9">
        <w:rPr>
          <w:rFonts w:ascii="Helvetica" w:hAnsi="Helvetica" w:cs="Helvetica"/>
          <w:sz w:val="22"/>
          <w:szCs w:val="22"/>
          <w:lang w:val="es-ES_tradnl"/>
        </w:rPr>
        <w:t xml:space="preserve"> </w:t>
      </w:r>
      <w:r w:rsidR="00BE1F2C" w:rsidRPr="001B7E14">
        <w:rPr>
          <w:rFonts w:ascii="Helvetica" w:hAnsi="Helvetica" w:cs="Helvetica"/>
          <w:sz w:val="22"/>
          <w:szCs w:val="22"/>
          <w:lang w:val="es-ES_tradnl"/>
        </w:rPr>
        <w:t>de distribución de planta</w:t>
      </w:r>
      <w:r w:rsidR="0019608A">
        <w:rPr>
          <w:rFonts w:ascii="Helvetica" w:hAnsi="Helvetica" w:cs="Helvetica"/>
          <w:sz w:val="22"/>
          <w:szCs w:val="22"/>
          <w:lang w:val="es-ES_tradnl"/>
        </w:rPr>
        <w:t>:</w:t>
      </w:r>
      <w:r w:rsidR="00BE1F2C" w:rsidRPr="001B7E14">
        <w:rPr>
          <w:rFonts w:ascii="Helvetica" w:hAnsi="Helvetica" w:cs="Helvetica"/>
          <w:sz w:val="22"/>
          <w:szCs w:val="22"/>
          <w:lang w:val="es-ES_tradnl"/>
        </w:rPr>
        <w:t xml:space="preserve"> Resolución No. 322</w:t>
      </w:r>
      <w:r w:rsidR="0019608A">
        <w:rPr>
          <w:rFonts w:ascii="Helvetica" w:hAnsi="Helvetica" w:cs="Helvetica"/>
          <w:sz w:val="22"/>
          <w:szCs w:val="22"/>
          <w:lang w:val="es-ES_tradnl"/>
        </w:rPr>
        <w:t xml:space="preserve"> del 17 de mayo de 2023, </w:t>
      </w:r>
      <w:r w:rsidR="00BE1F2C" w:rsidRPr="001B7E14">
        <w:rPr>
          <w:rFonts w:ascii="Helvetica" w:hAnsi="Helvetica" w:cs="Helvetica"/>
          <w:sz w:val="22"/>
          <w:szCs w:val="22"/>
          <w:lang w:val="es-ES_tradnl"/>
        </w:rPr>
        <w:t>el cual también fue emitido de manera extemporánea.</w:t>
      </w:r>
    </w:p>
    <w:p w14:paraId="55327795" w14:textId="77777777" w:rsidR="00AD0693" w:rsidRPr="001B7E14" w:rsidRDefault="00AD0693" w:rsidP="00FA42BB">
      <w:pPr>
        <w:jc w:val="both"/>
        <w:rPr>
          <w:rFonts w:ascii="Helvetica" w:hAnsi="Helvetica" w:cs="Helvetica"/>
          <w:sz w:val="22"/>
          <w:szCs w:val="22"/>
          <w:lang w:val="es-ES_tradnl"/>
        </w:rPr>
      </w:pPr>
    </w:p>
    <w:p w14:paraId="0C2272DD" w14:textId="77777777" w:rsidR="00AD0693" w:rsidRPr="001B7E14" w:rsidRDefault="00AD0693" w:rsidP="00FA42BB">
      <w:pPr>
        <w:jc w:val="both"/>
        <w:rPr>
          <w:rFonts w:ascii="Helvetica" w:hAnsi="Helvetica" w:cs="Helvetica"/>
          <w:sz w:val="22"/>
          <w:szCs w:val="22"/>
          <w:lang w:val="es-ES_tradnl"/>
        </w:rPr>
      </w:pPr>
      <w:r w:rsidRPr="001B7E14">
        <w:rPr>
          <w:rFonts w:ascii="Helvetica" w:hAnsi="Helvetica" w:cs="Helvetica"/>
          <w:sz w:val="22"/>
          <w:szCs w:val="22"/>
          <w:lang w:val="es-ES_tradnl"/>
        </w:rPr>
        <w:t>Con esta omisión, la Entidad Territorial vulneró la normatividad vigente frente a la distribución del personal docente, directivo docente y administrativo entre los establecimientos educativos de su jurisdicción</w:t>
      </w:r>
      <w:r w:rsidR="006F3F97" w:rsidRPr="001B7E14">
        <w:rPr>
          <w:rFonts w:ascii="Helvetica" w:hAnsi="Helvetica" w:cs="Helvetica"/>
          <w:sz w:val="22"/>
          <w:szCs w:val="22"/>
          <w:lang w:val="es-ES_tradnl"/>
        </w:rPr>
        <w:t>, recurso mediante el cual se garantiza la prestación del servicio educativo</w:t>
      </w:r>
      <w:r w:rsidRPr="001B7E14">
        <w:rPr>
          <w:rFonts w:ascii="Helvetica" w:hAnsi="Helvetica" w:cs="Helvetica"/>
          <w:sz w:val="22"/>
          <w:szCs w:val="22"/>
          <w:lang w:val="es-ES_tradnl"/>
        </w:rPr>
        <w:t>.</w:t>
      </w:r>
      <w:r w:rsidR="006F3F97" w:rsidRPr="001B7E14">
        <w:rPr>
          <w:rFonts w:ascii="Helvetica" w:hAnsi="Helvetica" w:cs="Helvetica"/>
          <w:sz w:val="22"/>
          <w:szCs w:val="22"/>
          <w:lang w:val="es-ES_tradnl"/>
        </w:rPr>
        <w:t xml:space="preserve"> Por lo anterior, se pone en riesgo no solo la prestación misma del servicio educativo, sino además su equidad y continuidad, en la medida en que tal distribución no obedece a la realidad actual de los establecimientos educativos.</w:t>
      </w:r>
    </w:p>
    <w:p w14:paraId="209D32B2" w14:textId="77777777" w:rsidR="00AD0693" w:rsidRPr="001B7E14" w:rsidRDefault="00AD0693" w:rsidP="00FA42BB">
      <w:pPr>
        <w:pStyle w:val="Sinespaciado"/>
        <w:jc w:val="both"/>
        <w:rPr>
          <w:rFonts w:ascii="Helvetica" w:hAnsi="Helvetica" w:cs="Helvetica"/>
          <w:lang w:val="es-ES_tradnl"/>
        </w:rPr>
      </w:pPr>
    </w:p>
    <w:p w14:paraId="49AEA929" w14:textId="77777777" w:rsidR="00AD0693" w:rsidRPr="001B7E14" w:rsidRDefault="00AD0693" w:rsidP="00FA42BB">
      <w:pPr>
        <w:jc w:val="both"/>
        <w:rPr>
          <w:rFonts w:ascii="Helvetica" w:eastAsia="Calibri" w:hAnsi="Helvetica" w:cs="Helvetica"/>
          <w:b/>
          <w:sz w:val="22"/>
          <w:szCs w:val="22"/>
          <w:lang w:val="es-ES_tradnl" w:eastAsia="en-US"/>
        </w:rPr>
      </w:pPr>
      <w:r w:rsidRPr="001B7E14">
        <w:rPr>
          <w:rFonts w:ascii="Helvetica" w:eastAsia="Calibri" w:hAnsi="Helvetica" w:cs="Helvetica"/>
          <w:b/>
          <w:sz w:val="22"/>
          <w:szCs w:val="22"/>
          <w:lang w:val="es-ES_tradnl" w:eastAsia="en-US"/>
        </w:rPr>
        <w:t xml:space="preserve">Evidencia: </w:t>
      </w:r>
      <w:r w:rsidRPr="001B7E14">
        <w:rPr>
          <w:rFonts w:ascii="Helvetica" w:hAnsi="Helvetica" w:cs="Helvetica"/>
          <w:sz w:val="22"/>
          <w:szCs w:val="22"/>
          <w:lang w:val="es-ES_tradnl"/>
        </w:rPr>
        <w:t>Obra en el expediente el siguiente material probatorio:</w:t>
      </w:r>
    </w:p>
    <w:p w14:paraId="4C9C6335" w14:textId="77777777" w:rsidR="00AD0693" w:rsidRPr="001B7E14" w:rsidRDefault="00AD0693" w:rsidP="00FA42BB">
      <w:pPr>
        <w:numPr>
          <w:ilvl w:val="0"/>
          <w:numId w:val="31"/>
        </w:numPr>
        <w:ind w:left="284" w:hanging="284"/>
        <w:contextualSpacing/>
        <w:jc w:val="both"/>
        <w:rPr>
          <w:rFonts w:ascii="Helvetica" w:hAnsi="Helvetica" w:cs="Helvetica"/>
          <w:sz w:val="22"/>
          <w:szCs w:val="22"/>
          <w:lang w:val="es-CO"/>
        </w:rPr>
      </w:pPr>
      <w:r w:rsidRPr="001B7E14">
        <w:rPr>
          <w:rFonts w:ascii="Helvetica" w:hAnsi="Helvetica" w:cs="Helvetica"/>
          <w:sz w:val="22"/>
          <w:szCs w:val="22"/>
          <w:lang w:val="es-CO"/>
        </w:rPr>
        <w:t>Resolución No. 125 del 31 de marzo de 2016, por el cual se distribuye la planta global de cargos para el período académico de 2016 (Carpeta de antecedentes No. 1- Departamento</w:t>
      </w:r>
      <w:r w:rsidRPr="001B7E14">
        <w:rPr>
          <w:rFonts w:ascii="Helvetica" w:hAnsi="Helvetica" w:cs="Helvetica"/>
          <w:sz w:val="22"/>
          <w:szCs w:val="22"/>
          <w:shd w:val="clear" w:color="auto" w:fill="FFFFFF"/>
          <w:lang w:val="es-CO"/>
        </w:rPr>
        <w:t xml:space="preserve"> de Guainía, medio magnético, CD No. 1 Referencia cruzada folio 7)</w:t>
      </w:r>
      <w:r w:rsidRPr="001B7E14">
        <w:rPr>
          <w:rFonts w:ascii="Helvetica" w:hAnsi="Helvetica" w:cs="Helvetica"/>
          <w:sz w:val="22"/>
          <w:szCs w:val="22"/>
          <w:lang w:val="es-CO"/>
        </w:rPr>
        <w:t>.</w:t>
      </w:r>
    </w:p>
    <w:p w14:paraId="2696D5E0" w14:textId="77777777" w:rsidR="00AD0693" w:rsidRPr="001B7E14" w:rsidRDefault="00AD0693" w:rsidP="00FA42BB">
      <w:pPr>
        <w:numPr>
          <w:ilvl w:val="0"/>
          <w:numId w:val="31"/>
        </w:numPr>
        <w:ind w:left="284" w:hanging="284"/>
        <w:contextualSpacing/>
        <w:jc w:val="both"/>
        <w:rPr>
          <w:rStyle w:val="Hipervnculo"/>
          <w:rFonts w:ascii="Helvetica" w:hAnsi="Helvetica" w:cs="Helvetica"/>
          <w:color w:val="auto"/>
          <w:sz w:val="22"/>
          <w:szCs w:val="22"/>
          <w:u w:val="none"/>
          <w:lang w:val="es-ES_tradnl"/>
        </w:rPr>
      </w:pPr>
      <w:r w:rsidRPr="001B7E14">
        <w:rPr>
          <w:rFonts w:ascii="Helvetica" w:hAnsi="Helvetica" w:cs="Helvetica"/>
          <w:sz w:val="22"/>
          <w:szCs w:val="22"/>
        </w:rPr>
        <w:t xml:space="preserve">Oficio No. </w:t>
      </w:r>
      <w:r w:rsidRPr="001B7E14">
        <w:rPr>
          <w:rFonts w:ascii="Helvetica" w:eastAsiaTheme="minorHAnsi" w:hAnsi="Helvetica" w:cs="Helvetica"/>
          <w:sz w:val="22"/>
          <w:szCs w:val="22"/>
          <w:lang w:eastAsia="es-ES_tradnl"/>
        </w:rPr>
        <w:t xml:space="preserve">1-2021-104463 22 de noviembre 2021 </w:t>
      </w:r>
      <w:r w:rsidRPr="001B7E14">
        <w:rPr>
          <w:rFonts w:ascii="Helvetica" w:hAnsi="Helvetica" w:cs="Helvetica"/>
          <w:sz w:val="22"/>
          <w:szCs w:val="22"/>
        </w:rPr>
        <w:t>de respuesta de la entidad al oficio de solicitu</w:t>
      </w:r>
      <w:r w:rsidR="00F36CA9" w:rsidRPr="001B7E14">
        <w:rPr>
          <w:rFonts w:ascii="Helvetica" w:hAnsi="Helvetica" w:cs="Helvetica"/>
          <w:sz w:val="22"/>
          <w:szCs w:val="22"/>
        </w:rPr>
        <w:t>d</w:t>
      </w:r>
      <w:r w:rsidRPr="001B7E14">
        <w:rPr>
          <w:rFonts w:ascii="Helvetica" w:hAnsi="Helvetica" w:cs="Helvetica"/>
          <w:sz w:val="22"/>
          <w:szCs w:val="22"/>
        </w:rPr>
        <w:t xml:space="preserve"> de información (No. 2-2021-058413). Se</w:t>
      </w:r>
      <w:r w:rsidRPr="001B7E14">
        <w:rPr>
          <w:rFonts w:ascii="Helvetica" w:eastAsiaTheme="minorHAnsi" w:hAnsi="Helvetica" w:cs="Helvetica"/>
          <w:sz w:val="22"/>
          <w:szCs w:val="22"/>
          <w:lang w:eastAsia="es-ES_tradnl"/>
        </w:rPr>
        <w:t xml:space="preserve">ctor Educación. Departamento de </w:t>
      </w:r>
      <w:r w:rsidR="00342952" w:rsidRPr="001B7E14">
        <w:rPr>
          <w:rFonts w:ascii="Helvetica" w:eastAsiaTheme="minorHAnsi" w:hAnsi="Helvetica" w:cs="Helvetica"/>
          <w:sz w:val="22"/>
          <w:szCs w:val="22"/>
          <w:lang w:eastAsia="es-ES_tradnl"/>
        </w:rPr>
        <w:t>Guainía</w:t>
      </w:r>
      <w:r w:rsidRPr="001B7E14">
        <w:rPr>
          <w:rFonts w:ascii="Helvetica" w:eastAsiaTheme="minorHAnsi" w:hAnsi="Helvetica" w:cs="Helvetica"/>
          <w:sz w:val="22"/>
          <w:szCs w:val="22"/>
          <w:lang w:eastAsia="es-ES_tradnl"/>
        </w:rPr>
        <w:t>. Serie "Historial de seguimiento y control a los recursos del Sistema General de Participaciones - Antecedentes de la medida". Expediente digital No. 135/2017/D028-PREDI, radicado 1-2021-104463 22 de noviembre 2021. Enlace:</w:t>
      </w:r>
      <w:r w:rsidR="00507D31" w:rsidRPr="001B7E14">
        <w:rPr>
          <w:rFonts w:ascii="Helvetica" w:eastAsiaTheme="minorHAnsi" w:hAnsi="Helvetica" w:cs="Helvetica"/>
          <w:sz w:val="22"/>
          <w:szCs w:val="22"/>
          <w:lang w:eastAsia="es-ES_tradnl"/>
        </w:rPr>
        <w:t xml:space="preserve"> </w:t>
      </w:r>
      <w:hyperlink r:id="rId47" w:history="1">
        <w:r w:rsidRPr="001B7E14">
          <w:rPr>
            <w:rStyle w:val="Hipervnculo"/>
            <w:rFonts w:ascii="Helvetica" w:hAnsi="Helvetica" w:cs="Helvetica"/>
            <w:color w:val="auto"/>
            <w:sz w:val="22"/>
            <w:szCs w:val="22"/>
          </w:rPr>
          <w:t>https://bit.ly/3zfSNDN</w:t>
        </w:r>
      </w:hyperlink>
    </w:p>
    <w:p w14:paraId="0397C241" w14:textId="77777777" w:rsidR="00BE1F2C" w:rsidRPr="001B7E14" w:rsidRDefault="00BE1F2C" w:rsidP="00BE1F2C">
      <w:pPr>
        <w:numPr>
          <w:ilvl w:val="0"/>
          <w:numId w:val="31"/>
        </w:numPr>
        <w:ind w:left="284" w:hanging="284"/>
        <w:contextualSpacing/>
        <w:jc w:val="both"/>
        <w:rPr>
          <w:rFonts w:ascii="Helvetica" w:hAnsi="Helvetica" w:cs="Helvetica"/>
          <w:sz w:val="22"/>
          <w:szCs w:val="22"/>
          <w:lang w:val="es-ES_tradnl"/>
        </w:rPr>
      </w:pPr>
      <w:r w:rsidRPr="001B7E14">
        <w:rPr>
          <w:rFonts w:ascii="Helvetica" w:hAnsi="Helvetica" w:cs="Helvetica"/>
          <w:sz w:val="22"/>
          <w:szCs w:val="22"/>
          <w:lang w:val="es-ES_tradnl"/>
        </w:rPr>
        <w:t>Distribución de planta para la vigencia 2023, Resolución No. 322 del 17 de mayo de 2023.</w:t>
      </w:r>
      <w:r w:rsidRPr="001B7E14">
        <w:rPr>
          <w:rFonts w:ascii="Helvetica" w:hAnsi="Helvetica" w:cs="Helvetica"/>
          <w:sz w:val="22"/>
          <w:szCs w:val="22"/>
        </w:rPr>
        <w:t xml:space="preserve"> Se</w:t>
      </w:r>
      <w:r w:rsidRPr="001B7E14">
        <w:rPr>
          <w:rFonts w:ascii="Helvetica" w:eastAsiaTheme="minorHAnsi" w:hAnsi="Helvetica" w:cs="Helvetica"/>
          <w:sz w:val="22"/>
          <w:szCs w:val="22"/>
          <w:lang w:eastAsia="es-ES_tradnl"/>
        </w:rPr>
        <w:t>ctor Educación. Departamento de Guainía. Serie "Historial de seguimiento y control a los recursos del Sistema General de Participaciones - Antecedentes de la medida". Expediente digital No. 135/2017/D028-PREDI, radicado 1-2023-052134 de junio 2023. Enlace:</w:t>
      </w:r>
      <w:r w:rsidRPr="001B7E14">
        <w:rPr>
          <w:rFonts w:ascii="Helvetica" w:hAnsi="Helvetica" w:cs="Helvetica"/>
        </w:rPr>
        <w:t xml:space="preserve"> </w:t>
      </w:r>
      <w:hyperlink r:id="rId48" w:history="1">
        <w:r w:rsidRPr="001B7E14">
          <w:rPr>
            <w:rStyle w:val="Hipervnculo"/>
            <w:rFonts w:ascii="Helvetica" w:eastAsiaTheme="minorHAnsi" w:hAnsi="Helvetica" w:cs="Helvetica"/>
            <w:sz w:val="22"/>
            <w:szCs w:val="22"/>
            <w:lang w:eastAsia="es-ES_tradnl"/>
          </w:rPr>
          <w:t>https://onx.la/93c61</w:t>
        </w:r>
      </w:hyperlink>
    </w:p>
    <w:p w14:paraId="7003DCDA" w14:textId="77777777" w:rsidR="00BE1F2C" w:rsidRPr="001B7E14" w:rsidRDefault="00BE1F2C" w:rsidP="00BE1F2C">
      <w:pPr>
        <w:ind w:left="284"/>
        <w:contextualSpacing/>
        <w:jc w:val="both"/>
        <w:rPr>
          <w:rFonts w:ascii="Helvetica" w:hAnsi="Helvetica" w:cs="Helvetica"/>
          <w:sz w:val="22"/>
          <w:szCs w:val="22"/>
          <w:lang w:val="es-ES_tradnl"/>
        </w:rPr>
      </w:pPr>
    </w:p>
    <w:p w14:paraId="5F3C7B99" w14:textId="77777777" w:rsidR="00370540" w:rsidRPr="001B7E14" w:rsidRDefault="00370540" w:rsidP="00FA42BB">
      <w:pPr>
        <w:rPr>
          <w:rFonts w:ascii="Helvetica" w:hAnsi="Helvetica" w:cs="Helvetica"/>
          <w:sz w:val="22"/>
          <w:szCs w:val="22"/>
        </w:rPr>
      </w:pPr>
    </w:p>
    <w:p w14:paraId="2E5E85B5" w14:textId="77777777" w:rsidR="0018488E" w:rsidRPr="001B7E14" w:rsidRDefault="0018488E" w:rsidP="00FA42BB">
      <w:pPr>
        <w:rPr>
          <w:rFonts w:ascii="Helvetica" w:hAnsi="Helvetica" w:cs="Helvetica"/>
          <w:b/>
          <w:sz w:val="12"/>
          <w:szCs w:val="16"/>
        </w:rPr>
      </w:pPr>
      <w:r w:rsidRPr="001B7E14">
        <w:rPr>
          <w:rFonts w:ascii="Helvetica" w:hAnsi="Helvetica" w:cs="Helvetica"/>
          <w:b/>
          <w:sz w:val="12"/>
          <w:szCs w:val="16"/>
        </w:rPr>
        <w:t xml:space="preserve">Aprobó: </w:t>
      </w:r>
      <w:r w:rsidRPr="001B7E14">
        <w:rPr>
          <w:rFonts w:ascii="Helvetica" w:hAnsi="Helvetica" w:cs="Helvetica"/>
          <w:sz w:val="12"/>
          <w:szCs w:val="16"/>
        </w:rPr>
        <w:t>Fernando Olivera</w:t>
      </w:r>
    </w:p>
    <w:p w14:paraId="7B3C4485" w14:textId="77777777" w:rsidR="0018488E" w:rsidRPr="001B7E14" w:rsidRDefault="0018488E" w:rsidP="00FA42BB">
      <w:pPr>
        <w:rPr>
          <w:rFonts w:ascii="Helvetica" w:hAnsi="Helvetica" w:cs="Helvetica"/>
          <w:b/>
          <w:sz w:val="12"/>
          <w:szCs w:val="16"/>
        </w:rPr>
      </w:pPr>
      <w:r w:rsidRPr="001B7E14">
        <w:rPr>
          <w:rFonts w:ascii="Helvetica" w:hAnsi="Helvetica" w:cs="Helvetica"/>
          <w:b/>
          <w:sz w:val="12"/>
          <w:szCs w:val="16"/>
        </w:rPr>
        <w:t xml:space="preserve">Revisión Jurídica: </w:t>
      </w:r>
      <w:r w:rsidRPr="001B7E14">
        <w:rPr>
          <w:rFonts w:ascii="Helvetica" w:hAnsi="Helvetica" w:cs="Helvetica"/>
          <w:sz w:val="12"/>
          <w:szCs w:val="16"/>
        </w:rPr>
        <w:t>Carlos Ariza</w:t>
      </w:r>
    </w:p>
    <w:p w14:paraId="521DA55D" w14:textId="77777777" w:rsidR="0018488E" w:rsidRPr="001B7E14" w:rsidRDefault="0018488E" w:rsidP="00FA42BB">
      <w:pPr>
        <w:rPr>
          <w:rFonts w:ascii="Helvetica" w:hAnsi="Helvetica" w:cs="Helvetica"/>
          <w:b/>
          <w:sz w:val="12"/>
          <w:szCs w:val="16"/>
        </w:rPr>
      </w:pPr>
      <w:r w:rsidRPr="001B7E14">
        <w:rPr>
          <w:rFonts w:ascii="Helvetica" w:hAnsi="Helvetica" w:cs="Helvetica"/>
          <w:b/>
          <w:sz w:val="12"/>
          <w:szCs w:val="16"/>
        </w:rPr>
        <w:t xml:space="preserve">Revisión técnica: </w:t>
      </w:r>
      <w:r w:rsidRPr="001B7E14">
        <w:rPr>
          <w:rFonts w:ascii="Helvetica" w:hAnsi="Helvetica" w:cs="Helvetica"/>
          <w:sz w:val="12"/>
          <w:szCs w:val="16"/>
        </w:rPr>
        <w:t>Liz Rey</w:t>
      </w:r>
    </w:p>
    <w:p w14:paraId="565DD526" w14:textId="77777777" w:rsidR="0018488E" w:rsidRPr="001B7E14" w:rsidRDefault="0018488E" w:rsidP="00FA42BB">
      <w:pPr>
        <w:rPr>
          <w:rFonts w:ascii="Helvetica" w:hAnsi="Helvetica" w:cs="Helvetica"/>
          <w:sz w:val="12"/>
          <w:szCs w:val="16"/>
        </w:rPr>
      </w:pPr>
      <w:r w:rsidRPr="001B7E14">
        <w:rPr>
          <w:rFonts w:ascii="Helvetica" w:hAnsi="Helvetica" w:cs="Helvetica"/>
          <w:b/>
          <w:sz w:val="12"/>
          <w:szCs w:val="16"/>
        </w:rPr>
        <w:t xml:space="preserve">Elaboró: </w:t>
      </w:r>
      <w:r w:rsidRPr="001B7E14">
        <w:rPr>
          <w:rFonts w:ascii="Helvetica" w:hAnsi="Helvetica" w:cs="Helvetica"/>
          <w:sz w:val="12"/>
          <w:szCs w:val="16"/>
        </w:rPr>
        <w:t>Genny Rivera, Liz Rey</w:t>
      </w:r>
    </w:p>
    <w:sectPr w:rsidR="0018488E" w:rsidRPr="001B7E14" w:rsidSect="004E432F">
      <w:headerReference w:type="default" r:id="rId49"/>
      <w:footerReference w:type="default" r:id="rId50"/>
      <w:headerReference w:type="first" r:id="rId51"/>
      <w:footerReference w:type="first" r:id="rId52"/>
      <w:pgSz w:w="12240" w:h="15840" w:code="1"/>
      <w:pgMar w:top="1985" w:right="1701"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D817A" w14:textId="77777777" w:rsidR="009C403A" w:rsidRDefault="009C403A" w:rsidP="00F71345">
      <w:r>
        <w:separator/>
      </w:r>
    </w:p>
  </w:endnote>
  <w:endnote w:type="continuationSeparator" w:id="0">
    <w:p w14:paraId="2633A419" w14:textId="77777777" w:rsidR="009C403A" w:rsidRDefault="009C403A"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3555" w14:textId="77777777" w:rsidR="00F1195D" w:rsidRDefault="00F1195D" w:rsidP="00F1195D">
    <w:pPr>
      <w:spacing w:line="276" w:lineRule="auto"/>
      <w:jc w:val="both"/>
    </w:pPr>
    <w:r>
      <w:rPr>
        <w:rFonts w:ascii="Helvetica" w:hAnsi="Helvetica" w:cs="Helvetica"/>
        <w:sz w:val="20"/>
        <w:szCs w:val="20"/>
      </w:rPr>
      <w:t>________________________________________________________________________</w:t>
    </w:r>
    <w:r>
      <w:t xml:space="preserve"> </w:t>
    </w:r>
  </w:p>
  <w:sdt>
    <w:sdtPr>
      <w:rPr>
        <w:lang w:val="es-ES"/>
      </w:rPr>
      <w:id w:val="1410654518"/>
      <w:docPartObj>
        <w:docPartGallery w:val="Page Numbers (Bottom of Page)"/>
        <w:docPartUnique/>
      </w:docPartObj>
    </w:sdtPr>
    <w:sdtEndPr/>
    <w:sdtContent>
      <w:p w14:paraId="3B50BD6B" w14:textId="77777777" w:rsidR="00F1195D" w:rsidRDefault="00F1195D" w:rsidP="00F1195D">
        <w:pPr>
          <w:pStyle w:val="Piedepgina"/>
          <w:ind w:left="2661" w:firstLine="4419"/>
          <w:jc w:val="center"/>
          <w:rPr>
            <w:lang w:val="es-ES"/>
          </w:rPr>
        </w:pPr>
        <w:r>
          <w:rPr>
            <w:lang w:val="es-ES"/>
          </w:rPr>
          <w:t xml:space="preserve">Página | </w:t>
        </w:r>
        <w:r>
          <w:fldChar w:fldCharType="begin"/>
        </w:r>
        <w:r>
          <w:instrText>PAGE   \* MERGEFORMAT</w:instrText>
        </w:r>
        <w:r>
          <w:fldChar w:fldCharType="separate"/>
        </w:r>
        <w:r>
          <w:t>1</w:t>
        </w:r>
        <w:r>
          <w:fldChar w:fldCharType="end"/>
        </w:r>
        <w:r>
          <w:rPr>
            <w:lang w:val="es-ES"/>
          </w:rPr>
          <w:t xml:space="preserve"> </w:t>
        </w:r>
      </w:p>
    </w:sdtContent>
  </w:sdt>
  <w:p w14:paraId="237F8CE9" w14:textId="77777777" w:rsidR="00F1195D" w:rsidRDefault="00F1195D" w:rsidP="00F1195D">
    <w:pPr>
      <w:pStyle w:val="Piedepgina"/>
      <w:rPr>
        <w:rFonts w:eastAsia="Calibri"/>
        <w:b/>
      </w:rPr>
    </w:pPr>
    <w:r>
      <w:rPr>
        <w:b/>
      </w:rPr>
      <w:t>Ministerio de Hacienda y Crédito Público</w:t>
    </w:r>
  </w:p>
  <w:p w14:paraId="6F4D94B8" w14:textId="77777777" w:rsidR="00F1195D" w:rsidRDefault="00F1195D" w:rsidP="00F1195D">
    <w:pPr>
      <w:pStyle w:val="Piedepgina"/>
      <w:rPr>
        <w:bCs/>
      </w:rPr>
    </w:pPr>
    <w:r>
      <w:rPr>
        <w:bCs/>
      </w:rPr>
      <w:t>Dirección: Carrera 8 No. 6 C 38 Bogotá D.C. Colombia</w:t>
    </w:r>
  </w:p>
  <w:p w14:paraId="0E4F3B07" w14:textId="77777777" w:rsidR="00F1195D" w:rsidRDefault="00F1195D" w:rsidP="00F1195D">
    <w:pPr>
      <w:pStyle w:val="Piedepgina"/>
    </w:pPr>
    <w:r>
      <w:t>Conmutador (57) 601 3811700 Fuera de Bogotá 01-8000-910071</w:t>
    </w:r>
  </w:p>
  <w:p w14:paraId="1098297A" w14:textId="77777777" w:rsidR="00F1195D" w:rsidRDefault="00F1195D" w:rsidP="00F1195D">
    <w:pPr>
      <w:pStyle w:val="Piedepgina"/>
    </w:pPr>
    <w:r>
      <w:t>relacionciudadano@minhacienda.gov.co</w:t>
    </w:r>
  </w:p>
  <w:p w14:paraId="387BEE0F" w14:textId="77777777" w:rsidR="00F1195D" w:rsidRDefault="00F1195D" w:rsidP="00F1195D">
    <w:pPr>
      <w:pStyle w:val="Piedepgina"/>
    </w:pPr>
    <w:r>
      <w:t>www.minhacienda.gov.co</w:t>
    </w:r>
  </w:p>
  <w:p w14:paraId="05688CE5" w14:textId="77777777" w:rsidR="000D09F2" w:rsidRPr="00F01F75" w:rsidRDefault="000D09F2" w:rsidP="00F01F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2188" w14:textId="77777777" w:rsidR="00F1195D" w:rsidRDefault="00F1195D" w:rsidP="00F1195D">
    <w:pPr>
      <w:spacing w:line="276" w:lineRule="auto"/>
      <w:ind w:left="7788"/>
      <w:jc w:val="both"/>
      <w:rPr>
        <w:rFonts w:asciiTheme="minorHAnsi" w:hAnsiTheme="minorHAnsi" w:cstheme="minorHAnsi"/>
        <w:sz w:val="22"/>
        <w:szCs w:val="22"/>
      </w:rPr>
    </w:pPr>
  </w:p>
  <w:p w14:paraId="2CC626F0" w14:textId="77777777" w:rsidR="00F1195D" w:rsidRDefault="00F1195D" w:rsidP="00F1195D">
    <w:pPr>
      <w:spacing w:line="276" w:lineRule="auto"/>
      <w:jc w:val="both"/>
    </w:pPr>
    <w:r>
      <w:rPr>
        <w:rFonts w:ascii="Helvetica" w:hAnsi="Helvetica" w:cs="Helvetica"/>
        <w:sz w:val="20"/>
        <w:szCs w:val="20"/>
      </w:rPr>
      <w:t>________________________________________________________________________</w:t>
    </w:r>
    <w:r>
      <w:t xml:space="preserve"> </w:t>
    </w:r>
  </w:p>
  <w:sdt>
    <w:sdtPr>
      <w:rPr>
        <w:lang w:val="es-ES"/>
      </w:rPr>
      <w:id w:val="-1071572585"/>
      <w:docPartObj>
        <w:docPartGallery w:val="Page Numbers (Bottom of Page)"/>
        <w:docPartUnique/>
      </w:docPartObj>
    </w:sdtPr>
    <w:sdtEndPr/>
    <w:sdtContent>
      <w:p w14:paraId="48D0986F" w14:textId="77777777" w:rsidR="00F1195D" w:rsidRDefault="00F1195D" w:rsidP="00F1195D">
        <w:pPr>
          <w:pStyle w:val="Piedepgina"/>
          <w:ind w:left="2661" w:firstLine="4419"/>
          <w:jc w:val="center"/>
          <w:rPr>
            <w:lang w:val="es-ES"/>
          </w:rPr>
        </w:pPr>
        <w:r>
          <w:rPr>
            <w:lang w:val="es-ES"/>
          </w:rPr>
          <w:t xml:space="preserve">Página | </w:t>
        </w:r>
        <w:r>
          <w:fldChar w:fldCharType="begin"/>
        </w:r>
        <w:r>
          <w:instrText>PAGE   \* MERGEFORMAT</w:instrText>
        </w:r>
        <w:r>
          <w:fldChar w:fldCharType="separate"/>
        </w:r>
        <w:r>
          <w:t>1</w:t>
        </w:r>
        <w:r>
          <w:fldChar w:fldCharType="end"/>
        </w:r>
        <w:r>
          <w:rPr>
            <w:lang w:val="es-ES"/>
          </w:rPr>
          <w:t xml:space="preserve"> </w:t>
        </w:r>
      </w:p>
    </w:sdtContent>
  </w:sdt>
  <w:p w14:paraId="0574AC99" w14:textId="77777777" w:rsidR="00F1195D" w:rsidRDefault="00F1195D" w:rsidP="00F1195D">
    <w:pPr>
      <w:pStyle w:val="Piedepgina"/>
      <w:rPr>
        <w:rFonts w:eastAsia="Calibri"/>
        <w:b/>
      </w:rPr>
    </w:pPr>
    <w:r>
      <w:rPr>
        <w:b/>
      </w:rPr>
      <w:t>Ministerio de Hacienda y Crédito Público</w:t>
    </w:r>
  </w:p>
  <w:p w14:paraId="680E2DFD" w14:textId="77777777" w:rsidR="00F1195D" w:rsidRDefault="00F1195D" w:rsidP="00F1195D">
    <w:pPr>
      <w:pStyle w:val="Piedepgina"/>
      <w:rPr>
        <w:bCs/>
      </w:rPr>
    </w:pPr>
    <w:r>
      <w:rPr>
        <w:bCs/>
      </w:rPr>
      <w:t>Dirección: Carrera 8 No. 6 C 38 Bogotá D.C. Colombia</w:t>
    </w:r>
  </w:p>
  <w:p w14:paraId="03073CE6" w14:textId="77777777" w:rsidR="00F1195D" w:rsidRDefault="00F1195D" w:rsidP="00F1195D">
    <w:pPr>
      <w:pStyle w:val="Piedepgina"/>
    </w:pPr>
    <w:r>
      <w:t>Conmutador (57) 601 3811700 Fuera de Bogotá 01-8000-910071</w:t>
    </w:r>
  </w:p>
  <w:p w14:paraId="47B7EBF1" w14:textId="77777777" w:rsidR="00F1195D" w:rsidRDefault="00F1195D" w:rsidP="00F1195D">
    <w:pPr>
      <w:pStyle w:val="Piedepgina"/>
    </w:pPr>
    <w:r>
      <w:t>relacionciudadano@minhacienda.gov.co</w:t>
    </w:r>
  </w:p>
  <w:p w14:paraId="75E352B8" w14:textId="77777777" w:rsidR="00F1195D" w:rsidRDefault="00F1195D" w:rsidP="00F1195D">
    <w:pPr>
      <w:pStyle w:val="Piedepgina"/>
    </w:pPr>
    <w:r>
      <w:t>www.minhacienda.gov.co</w:t>
    </w:r>
  </w:p>
  <w:p w14:paraId="2CE94957" w14:textId="77777777" w:rsidR="000D09F2" w:rsidRPr="00F01F75" w:rsidRDefault="000D09F2" w:rsidP="00F01F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9E77B" w14:textId="77777777" w:rsidR="009C403A" w:rsidRDefault="009C403A" w:rsidP="00F71345">
      <w:r>
        <w:separator/>
      </w:r>
    </w:p>
  </w:footnote>
  <w:footnote w:type="continuationSeparator" w:id="0">
    <w:p w14:paraId="253BCAA3" w14:textId="77777777" w:rsidR="009C403A" w:rsidRDefault="009C403A" w:rsidP="00F71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ED37" w14:textId="77777777" w:rsidR="000D09F2" w:rsidRDefault="000D09F2" w:rsidP="00A82889">
    <w:pPr>
      <w:jc w:val="right"/>
      <w:rPr>
        <w:rFonts w:ascii="Arial" w:hAnsi="Arial" w:cs="Arial"/>
        <w:sz w:val="16"/>
        <w:szCs w:val="16"/>
      </w:rPr>
    </w:pPr>
  </w:p>
  <w:p w14:paraId="461F43B4" w14:textId="77777777" w:rsidR="000D09F2" w:rsidRDefault="000D09F2" w:rsidP="00A82889">
    <w:pPr>
      <w:jc w:val="right"/>
      <w:rPr>
        <w:rFonts w:ascii="Arial" w:hAnsi="Arial" w:cs="Arial"/>
        <w:sz w:val="16"/>
        <w:szCs w:val="16"/>
      </w:rPr>
    </w:pPr>
  </w:p>
  <w:p w14:paraId="3875195F" w14:textId="77777777" w:rsidR="000D09F2" w:rsidRDefault="000D09F2" w:rsidP="00F01F75">
    <w:pPr>
      <w:pStyle w:val="Encabezado"/>
      <w:rPr>
        <w:rFonts w:ascii="Arial" w:hAnsi="Arial" w:cs="Arial"/>
        <w:sz w:val="16"/>
        <w:szCs w:val="16"/>
      </w:rPr>
    </w:pPr>
  </w:p>
  <w:p w14:paraId="7F5B2833" w14:textId="77777777" w:rsidR="00F1195D" w:rsidRDefault="00F1195D" w:rsidP="00F1195D">
    <w:pPr>
      <w:pStyle w:val="Encabezado"/>
      <w:rPr>
        <w:rFonts w:eastAsia="Calibri"/>
      </w:rPr>
    </w:pPr>
  </w:p>
  <w:p w14:paraId="672232CC" w14:textId="77777777" w:rsidR="00F1195D" w:rsidRDefault="00F1195D" w:rsidP="00F1195D">
    <w:pPr>
      <w:pStyle w:val="Encabezado"/>
      <w:rPr>
        <w:sz w:val="24"/>
      </w:rPr>
    </w:pPr>
    <w:r>
      <w:rPr>
        <w:noProof/>
      </w:rPr>
      <w:drawing>
        <wp:inline distT="0" distB="0" distL="0" distR="0" wp14:anchorId="64EB0781" wp14:editId="278BD773">
          <wp:extent cx="5612130" cy="769620"/>
          <wp:effectExtent l="0" t="0" r="0" b="0"/>
          <wp:docPr id="223234504" name="Imagen 2" descr="Fondo negro con letras blanc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ondo negro con letras blancas&#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6007" t="1801" b="88248"/>
                  <a:stretch>
                    <a:fillRect/>
                  </a:stretch>
                </pic:blipFill>
                <pic:spPr bwMode="auto">
                  <a:xfrm>
                    <a:off x="0" y="0"/>
                    <a:ext cx="5612130" cy="769620"/>
                  </a:xfrm>
                  <a:prstGeom prst="rect">
                    <a:avLst/>
                  </a:prstGeom>
                  <a:noFill/>
                  <a:ln>
                    <a:noFill/>
                  </a:ln>
                </pic:spPr>
              </pic:pic>
            </a:graphicData>
          </a:graphic>
        </wp:inline>
      </w:drawing>
    </w:r>
  </w:p>
  <w:p w14:paraId="2603A922" w14:textId="77777777" w:rsidR="000D09F2" w:rsidRPr="00F01F75" w:rsidRDefault="000D09F2" w:rsidP="00F36CA9">
    <w:pPr>
      <w:pStyle w:val="Encabezado"/>
      <w:jc w:val="both"/>
      <w:rPr>
        <w:rFonts w:ascii="Arial" w:hAnsi="Arial" w:cs="Arial"/>
        <w:sz w:val="16"/>
        <w:szCs w:val="16"/>
      </w:rPr>
    </w:pPr>
    <w:r w:rsidRPr="00F01F75">
      <w:rPr>
        <w:rFonts w:ascii="Arial" w:hAnsi="Arial" w:cs="Arial"/>
        <w:sz w:val="16"/>
        <w:szCs w:val="16"/>
      </w:rPr>
      <w:t xml:space="preserve">Continuación </w:t>
    </w:r>
    <w:r w:rsidR="00F1195D">
      <w:rPr>
        <w:rFonts w:ascii="Arial" w:hAnsi="Arial" w:cs="Arial"/>
        <w:sz w:val="16"/>
        <w:szCs w:val="16"/>
      </w:rPr>
      <w:t>informe</w:t>
    </w:r>
    <w:r w:rsidR="005910B9">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053DBB">
      <w:rPr>
        <w:rStyle w:val="Nmerodepgina"/>
        <w:rFonts w:ascii="Arial" w:hAnsi="Arial" w:cs="Arial"/>
        <w:noProof/>
        <w:sz w:val="16"/>
        <w:szCs w:val="16"/>
      </w:rPr>
      <w:t>2</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053DBB">
      <w:rPr>
        <w:rStyle w:val="Nmerodepgina"/>
        <w:rFonts w:ascii="Arial" w:hAnsi="Arial" w:cs="Arial"/>
        <w:noProof/>
        <w:sz w:val="16"/>
        <w:szCs w:val="16"/>
      </w:rPr>
      <w:t>32</w:t>
    </w:r>
    <w:r w:rsidRPr="00F01F75">
      <w:rPr>
        <w:rStyle w:val="Nmerodepgina"/>
        <w:rFonts w:ascii="Arial" w:hAnsi="Arial" w:cs="Arial"/>
        <w:sz w:val="16"/>
        <w:szCs w:val="16"/>
      </w:rPr>
      <w:fldChar w:fldCharType="end"/>
    </w:r>
  </w:p>
  <w:p w14:paraId="757C3BD7" w14:textId="77777777" w:rsidR="000D09F2" w:rsidRPr="00F01F75" w:rsidRDefault="000D09F2">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7379" w14:textId="77777777" w:rsidR="00F1195D" w:rsidRDefault="00F1195D" w:rsidP="00F1195D">
    <w:pPr>
      <w:pStyle w:val="Encabezado"/>
      <w:rPr>
        <w:rFonts w:eastAsia="Calibri"/>
      </w:rPr>
    </w:pPr>
  </w:p>
  <w:p w14:paraId="499DD18F" w14:textId="77777777" w:rsidR="00F1195D" w:rsidRDefault="00F1195D" w:rsidP="00F1195D">
    <w:pPr>
      <w:pStyle w:val="Encabezado"/>
      <w:rPr>
        <w:sz w:val="24"/>
      </w:rPr>
    </w:pPr>
    <w:r>
      <w:rPr>
        <w:noProof/>
      </w:rPr>
      <w:drawing>
        <wp:inline distT="0" distB="0" distL="0" distR="0" wp14:anchorId="3AD52CB9" wp14:editId="1F2175CC">
          <wp:extent cx="5612130" cy="769620"/>
          <wp:effectExtent l="0" t="0" r="0" b="0"/>
          <wp:docPr id="1369224396" name="Imagen 1" descr="Fondo negro con letras blanc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ondo negro con letras blancas&#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6007" t="1801" b="88248"/>
                  <a:stretch>
                    <a:fillRect/>
                  </a:stretch>
                </pic:blipFill>
                <pic:spPr bwMode="auto">
                  <a:xfrm>
                    <a:off x="0" y="0"/>
                    <a:ext cx="5612130" cy="769620"/>
                  </a:xfrm>
                  <a:prstGeom prst="rect">
                    <a:avLst/>
                  </a:prstGeom>
                  <a:noFill/>
                  <a:ln>
                    <a:noFill/>
                  </a:ln>
                </pic:spPr>
              </pic:pic>
            </a:graphicData>
          </a:graphic>
        </wp:inline>
      </w:drawing>
    </w:r>
  </w:p>
  <w:p w14:paraId="467D244E" w14:textId="77777777" w:rsidR="000D09F2" w:rsidRDefault="000D09F2" w:rsidP="00F36C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9DC8762"/>
    <w:lvl w:ilvl="0">
      <w:start w:val="1"/>
      <w:numFmt w:val="upperRoman"/>
      <w:suff w:val="space"/>
      <w:lvlText w:val="%1."/>
      <w:lvlJc w:val="left"/>
      <w:pPr>
        <w:ind w:left="68" w:firstLine="357"/>
      </w:pPr>
      <w:rPr>
        <w:rFonts w:hint="default"/>
        <w:color w:val="000000"/>
        <w:position w:val="0"/>
        <w:sz w:val="24"/>
      </w:rPr>
    </w:lvl>
    <w:lvl w:ilvl="1">
      <w:start w:val="1"/>
      <w:numFmt w:val="lowerLetter"/>
      <w:suff w:val="nothing"/>
      <w:lvlText w:val="%2."/>
      <w:lvlJc w:val="left"/>
      <w:pPr>
        <w:ind w:left="1083" w:firstLine="357"/>
      </w:pPr>
      <w:rPr>
        <w:rFonts w:hint="default"/>
        <w:color w:val="000000"/>
        <w:position w:val="0"/>
        <w:sz w:val="24"/>
      </w:rPr>
    </w:lvl>
    <w:lvl w:ilvl="2">
      <w:start w:val="1"/>
      <w:numFmt w:val="lowerRoman"/>
      <w:suff w:val="nothing"/>
      <w:lvlText w:val="%3."/>
      <w:lvlJc w:val="left"/>
      <w:pPr>
        <w:ind w:left="2098" w:firstLine="357"/>
      </w:pPr>
      <w:rPr>
        <w:rFonts w:hint="default"/>
        <w:color w:val="000000"/>
        <w:position w:val="0"/>
        <w:sz w:val="24"/>
      </w:rPr>
    </w:lvl>
    <w:lvl w:ilvl="3">
      <w:start w:val="1"/>
      <w:numFmt w:val="decimal"/>
      <w:isLgl/>
      <w:suff w:val="nothing"/>
      <w:lvlText w:val="%4."/>
      <w:lvlJc w:val="left"/>
      <w:pPr>
        <w:ind w:left="3113" w:firstLine="357"/>
      </w:pPr>
      <w:rPr>
        <w:rFonts w:hint="default"/>
        <w:color w:val="000000"/>
        <w:position w:val="0"/>
        <w:sz w:val="24"/>
      </w:rPr>
    </w:lvl>
    <w:lvl w:ilvl="4">
      <w:start w:val="1"/>
      <w:numFmt w:val="lowerLetter"/>
      <w:suff w:val="nothing"/>
      <w:lvlText w:val="%5."/>
      <w:lvlJc w:val="left"/>
      <w:pPr>
        <w:ind w:left="4128" w:firstLine="357"/>
      </w:pPr>
      <w:rPr>
        <w:rFonts w:hint="default"/>
        <w:color w:val="000000"/>
        <w:position w:val="0"/>
        <w:sz w:val="24"/>
      </w:rPr>
    </w:lvl>
    <w:lvl w:ilvl="5">
      <w:start w:val="1"/>
      <w:numFmt w:val="lowerRoman"/>
      <w:suff w:val="nothing"/>
      <w:lvlText w:val="%6."/>
      <w:lvlJc w:val="left"/>
      <w:pPr>
        <w:ind w:left="5143" w:firstLine="357"/>
      </w:pPr>
      <w:rPr>
        <w:rFonts w:hint="default"/>
        <w:color w:val="000000"/>
        <w:position w:val="0"/>
        <w:sz w:val="24"/>
      </w:rPr>
    </w:lvl>
    <w:lvl w:ilvl="6">
      <w:start w:val="1"/>
      <w:numFmt w:val="decimal"/>
      <w:isLgl/>
      <w:suff w:val="nothing"/>
      <w:lvlText w:val="%7."/>
      <w:lvlJc w:val="left"/>
      <w:pPr>
        <w:ind w:left="6158" w:firstLine="357"/>
      </w:pPr>
      <w:rPr>
        <w:rFonts w:hint="default"/>
        <w:color w:val="000000"/>
        <w:position w:val="0"/>
        <w:sz w:val="24"/>
      </w:rPr>
    </w:lvl>
    <w:lvl w:ilvl="7">
      <w:start w:val="1"/>
      <w:numFmt w:val="lowerLetter"/>
      <w:suff w:val="nothing"/>
      <w:lvlText w:val="%8."/>
      <w:lvlJc w:val="left"/>
      <w:pPr>
        <w:ind w:left="7173" w:firstLine="357"/>
      </w:pPr>
      <w:rPr>
        <w:rFonts w:hint="default"/>
        <w:color w:val="000000"/>
        <w:position w:val="0"/>
        <w:sz w:val="24"/>
      </w:rPr>
    </w:lvl>
    <w:lvl w:ilvl="8">
      <w:start w:val="1"/>
      <w:numFmt w:val="lowerRoman"/>
      <w:suff w:val="nothing"/>
      <w:lvlText w:val="%9."/>
      <w:lvlJc w:val="left"/>
      <w:pPr>
        <w:ind w:left="8188" w:firstLine="357"/>
      </w:pPr>
      <w:rPr>
        <w:rFonts w:hint="default"/>
        <w:color w:val="000000"/>
        <w:position w:val="0"/>
        <w:sz w:val="24"/>
      </w:rPr>
    </w:lvl>
  </w:abstractNum>
  <w:abstractNum w:abstractNumId="1" w15:restartNumberingAfterBreak="0">
    <w:nsid w:val="00000002"/>
    <w:multiLevelType w:val="multilevel"/>
    <w:tmpl w:val="894EE874"/>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720" w:firstLine="1440"/>
      </w:pPr>
      <w:rPr>
        <w:rFonts w:hint="default"/>
        <w:color w:val="000000"/>
        <w:position w:val="0"/>
        <w:sz w:val="24"/>
      </w:rPr>
    </w:lvl>
    <w:lvl w:ilvl="2">
      <w:start w:val="1"/>
      <w:numFmt w:val="lowerRoman"/>
      <w:suff w:val="nothing"/>
      <w:lvlText w:val="%3."/>
      <w:lvlJc w:val="left"/>
      <w:pPr>
        <w:ind w:left="-720" w:firstLine="2160"/>
      </w:pPr>
      <w:rPr>
        <w:rFonts w:hint="default"/>
        <w:color w:val="000000"/>
        <w:position w:val="0"/>
        <w:sz w:val="24"/>
      </w:rPr>
    </w:lvl>
    <w:lvl w:ilvl="3">
      <w:start w:val="1"/>
      <w:numFmt w:val="decimal"/>
      <w:isLgl/>
      <w:suff w:val="nothing"/>
      <w:lvlText w:val="%4."/>
      <w:lvlJc w:val="left"/>
      <w:pPr>
        <w:ind w:left="-720" w:firstLine="2880"/>
      </w:pPr>
      <w:rPr>
        <w:rFonts w:hint="default"/>
        <w:color w:val="000000"/>
        <w:position w:val="0"/>
        <w:sz w:val="24"/>
      </w:rPr>
    </w:lvl>
    <w:lvl w:ilvl="4">
      <w:start w:val="1"/>
      <w:numFmt w:val="lowerLetter"/>
      <w:suff w:val="nothing"/>
      <w:lvlText w:val="%5."/>
      <w:lvlJc w:val="left"/>
      <w:pPr>
        <w:ind w:left="-720" w:firstLine="3600"/>
      </w:pPr>
      <w:rPr>
        <w:rFonts w:hint="default"/>
        <w:color w:val="000000"/>
        <w:position w:val="0"/>
        <w:sz w:val="24"/>
      </w:rPr>
    </w:lvl>
    <w:lvl w:ilvl="5">
      <w:start w:val="1"/>
      <w:numFmt w:val="lowerRoman"/>
      <w:suff w:val="nothing"/>
      <w:lvlText w:val="%6."/>
      <w:lvlJc w:val="left"/>
      <w:pPr>
        <w:ind w:left="-720" w:firstLine="4320"/>
      </w:pPr>
      <w:rPr>
        <w:rFonts w:hint="default"/>
        <w:color w:val="000000"/>
        <w:position w:val="0"/>
        <w:sz w:val="24"/>
      </w:rPr>
    </w:lvl>
    <w:lvl w:ilvl="6">
      <w:start w:val="1"/>
      <w:numFmt w:val="decimal"/>
      <w:isLgl/>
      <w:suff w:val="nothing"/>
      <w:lvlText w:val="%7."/>
      <w:lvlJc w:val="left"/>
      <w:pPr>
        <w:ind w:left="-720" w:firstLine="5040"/>
      </w:pPr>
      <w:rPr>
        <w:rFonts w:hint="default"/>
        <w:color w:val="000000"/>
        <w:position w:val="0"/>
        <w:sz w:val="24"/>
      </w:rPr>
    </w:lvl>
    <w:lvl w:ilvl="7">
      <w:start w:val="1"/>
      <w:numFmt w:val="lowerLetter"/>
      <w:suff w:val="nothing"/>
      <w:lvlText w:val="%8."/>
      <w:lvlJc w:val="left"/>
      <w:pPr>
        <w:ind w:left="-720" w:firstLine="5760"/>
      </w:pPr>
      <w:rPr>
        <w:rFonts w:hint="default"/>
        <w:color w:val="000000"/>
        <w:position w:val="0"/>
        <w:sz w:val="24"/>
      </w:rPr>
    </w:lvl>
    <w:lvl w:ilvl="8">
      <w:start w:val="1"/>
      <w:numFmt w:val="lowerRoman"/>
      <w:suff w:val="nothing"/>
      <w:lvlText w:val="%9."/>
      <w:lvlJc w:val="left"/>
      <w:pPr>
        <w:ind w:left="-720" w:firstLine="6480"/>
      </w:pPr>
      <w:rPr>
        <w:rFonts w:hint="default"/>
        <w:color w:val="000000"/>
        <w:position w:val="0"/>
        <w:sz w:val="24"/>
      </w:rPr>
    </w:lvl>
  </w:abstractNum>
  <w:abstractNum w:abstractNumId="2" w15:restartNumberingAfterBreak="0">
    <w:nsid w:val="00000003"/>
    <w:multiLevelType w:val="multilevel"/>
    <w:tmpl w:val="EBD6F14A"/>
    <w:lvl w:ilvl="0">
      <w:start w:val="1"/>
      <w:numFmt w:val="upperLetter"/>
      <w:lvlText w:val="%1."/>
      <w:lvlJc w:val="left"/>
      <w:pPr>
        <w:tabs>
          <w:tab w:val="num" w:pos="0"/>
        </w:tabs>
        <w:ind w:left="0" w:firstLine="1440"/>
      </w:pPr>
      <w:rPr>
        <w:rFonts w:hint="default"/>
        <w:color w:val="000000"/>
        <w:position w:val="0"/>
        <w:sz w:val="24"/>
      </w:rPr>
    </w:lvl>
    <w:lvl w:ilvl="1">
      <w:start w:val="1"/>
      <w:numFmt w:val="lowerLetter"/>
      <w:suff w:val="nothing"/>
      <w:lvlText w:val="%2."/>
      <w:lvlJc w:val="left"/>
      <w:pPr>
        <w:ind w:left="-360" w:firstLine="2520"/>
      </w:pPr>
      <w:rPr>
        <w:rFonts w:hint="default"/>
        <w:color w:val="000000"/>
        <w:position w:val="0"/>
        <w:sz w:val="24"/>
      </w:rPr>
    </w:lvl>
    <w:lvl w:ilvl="2">
      <w:start w:val="1"/>
      <w:numFmt w:val="lowerRoman"/>
      <w:suff w:val="nothing"/>
      <w:lvlText w:val="%3."/>
      <w:lvlJc w:val="left"/>
      <w:pPr>
        <w:ind w:left="-360" w:firstLine="3240"/>
      </w:pPr>
      <w:rPr>
        <w:rFonts w:hint="default"/>
        <w:color w:val="000000"/>
        <w:position w:val="0"/>
        <w:sz w:val="24"/>
      </w:rPr>
    </w:lvl>
    <w:lvl w:ilvl="3">
      <w:start w:val="1"/>
      <w:numFmt w:val="decimal"/>
      <w:isLgl/>
      <w:suff w:val="nothing"/>
      <w:lvlText w:val="%4."/>
      <w:lvlJc w:val="left"/>
      <w:pPr>
        <w:ind w:left="-360" w:firstLine="3960"/>
      </w:pPr>
      <w:rPr>
        <w:rFonts w:hint="default"/>
        <w:color w:val="000000"/>
        <w:position w:val="0"/>
        <w:sz w:val="24"/>
      </w:rPr>
    </w:lvl>
    <w:lvl w:ilvl="4">
      <w:start w:val="1"/>
      <w:numFmt w:val="lowerLetter"/>
      <w:suff w:val="nothing"/>
      <w:lvlText w:val="%5."/>
      <w:lvlJc w:val="left"/>
      <w:pPr>
        <w:ind w:left="-360" w:firstLine="4680"/>
      </w:pPr>
      <w:rPr>
        <w:rFonts w:hint="default"/>
        <w:color w:val="000000"/>
        <w:position w:val="0"/>
        <w:sz w:val="24"/>
      </w:rPr>
    </w:lvl>
    <w:lvl w:ilvl="5">
      <w:start w:val="1"/>
      <w:numFmt w:val="lowerRoman"/>
      <w:suff w:val="nothing"/>
      <w:lvlText w:val="%6."/>
      <w:lvlJc w:val="left"/>
      <w:pPr>
        <w:ind w:left="-360" w:firstLine="5400"/>
      </w:pPr>
      <w:rPr>
        <w:rFonts w:hint="default"/>
        <w:color w:val="000000"/>
        <w:position w:val="0"/>
        <w:sz w:val="24"/>
      </w:rPr>
    </w:lvl>
    <w:lvl w:ilvl="6">
      <w:start w:val="1"/>
      <w:numFmt w:val="decimal"/>
      <w:isLgl/>
      <w:suff w:val="nothing"/>
      <w:lvlText w:val="%7."/>
      <w:lvlJc w:val="left"/>
      <w:pPr>
        <w:ind w:left="-360" w:firstLine="6120"/>
      </w:pPr>
      <w:rPr>
        <w:rFonts w:hint="default"/>
        <w:color w:val="000000"/>
        <w:position w:val="0"/>
        <w:sz w:val="24"/>
      </w:rPr>
    </w:lvl>
    <w:lvl w:ilvl="7">
      <w:start w:val="1"/>
      <w:numFmt w:val="lowerLetter"/>
      <w:suff w:val="nothing"/>
      <w:lvlText w:val="%8."/>
      <w:lvlJc w:val="left"/>
      <w:pPr>
        <w:ind w:left="-360" w:firstLine="6840"/>
      </w:pPr>
      <w:rPr>
        <w:rFonts w:hint="default"/>
        <w:color w:val="000000"/>
        <w:position w:val="0"/>
        <w:sz w:val="24"/>
      </w:rPr>
    </w:lvl>
    <w:lvl w:ilvl="8">
      <w:start w:val="1"/>
      <w:numFmt w:val="lowerRoman"/>
      <w:suff w:val="nothing"/>
      <w:lvlText w:val="%9."/>
      <w:lvlJc w:val="left"/>
      <w:pPr>
        <w:ind w:left="-360" w:firstLine="7560"/>
      </w:pPr>
      <w:rPr>
        <w:rFonts w:hint="default"/>
        <w:color w:val="000000"/>
        <w:position w:val="0"/>
        <w:sz w:val="24"/>
      </w:rPr>
    </w:lvl>
  </w:abstractNum>
  <w:abstractNum w:abstractNumId="3" w15:restartNumberingAfterBreak="0">
    <w:nsid w:val="00000004"/>
    <w:multiLevelType w:val="multilevel"/>
    <w:tmpl w:val="894EE876"/>
    <w:lvl w:ilvl="0">
      <w:start w:val="3"/>
      <w:numFmt w:val="upperRoman"/>
      <w:suff w:val="nothing"/>
      <w:lvlText w:val="%1."/>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4" w15:restartNumberingAfterBreak="0">
    <w:nsid w:val="00000005"/>
    <w:multiLevelType w:val="multilevel"/>
    <w:tmpl w:val="894EE877"/>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5" w15:restartNumberingAfterBreak="0">
    <w:nsid w:val="00000006"/>
    <w:multiLevelType w:val="multilevel"/>
    <w:tmpl w:val="894EE878"/>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6" w15:restartNumberingAfterBreak="0">
    <w:nsid w:val="00000008"/>
    <w:multiLevelType w:val="multilevel"/>
    <w:tmpl w:val="894EE87A"/>
    <w:lvl w:ilvl="0">
      <w:start w:val="4"/>
      <w:numFmt w:val="upperRoman"/>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7" w15:restartNumberingAfterBreak="0">
    <w:nsid w:val="007946FF"/>
    <w:multiLevelType w:val="hybridMultilevel"/>
    <w:tmpl w:val="BA48FF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C526800"/>
    <w:multiLevelType w:val="hybridMultilevel"/>
    <w:tmpl w:val="B37656E4"/>
    <w:lvl w:ilvl="0" w:tplc="23B09326">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12696F3C"/>
    <w:multiLevelType w:val="hybridMultilevel"/>
    <w:tmpl w:val="DC843ED6"/>
    <w:lvl w:ilvl="0" w:tplc="E77E823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7E6C13"/>
    <w:multiLevelType w:val="hybridMultilevel"/>
    <w:tmpl w:val="A412BE8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1732123D"/>
    <w:multiLevelType w:val="hybridMultilevel"/>
    <w:tmpl w:val="7D988FEA"/>
    <w:lvl w:ilvl="0" w:tplc="6E96D080">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1B996B61"/>
    <w:multiLevelType w:val="hybridMultilevel"/>
    <w:tmpl w:val="F92E001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ED225C6"/>
    <w:multiLevelType w:val="multilevel"/>
    <w:tmpl w:val="894EE875"/>
    <w:lvl w:ilvl="0">
      <w:start w:val="2"/>
      <w:numFmt w:val="upperLetter"/>
      <w:lvlText w:val="%1."/>
      <w:lvlJc w:val="left"/>
      <w:pPr>
        <w:tabs>
          <w:tab w:val="num" w:pos="360"/>
        </w:tabs>
        <w:ind w:left="360" w:firstLine="1440"/>
      </w:pPr>
      <w:rPr>
        <w:rFonts w:hint="default"/>
        <w:color w:val="000000"/>
        <w:position w:val="0"/>
        <w:sz w:val="24"/>
      </w:rPr>
    </w:lvl>
    <w:lvl w:ilvl="1">
      <w:start w:val="1"/>
      <w:numFmt w:val="lowerLetter"/>
      <w:suff w:val="nothing"/>
      <w:lvlText w:val="%2."/>
      <w:lvlJc w:val="left"/>
      <w:pPr>
        <w:ind w:left="0" w:firstLine="2520"/>
      </w:pPr>
      <w:rPr>
        <w:rFonts w:hint="default"/>
        <w:color w:val="000000"/>
        <w:position w:val="0"/>
        <w:sz w:val="24"/>
      </w:rPr>
    </w:lvl>
    <w:lvl w:ilvl="2">
      <w:start w:val="1"/>
      <w:numFmt w:val="lowerRoman"/>
      <w:suff w:val="nothing"/>
      <w:lvlText w:val="%3."/>
      <w:lvlJc w:val="left"/>
      <w:pPr>
        <w:ind w:left="0" w:firstLine="3240"/>
      </w:pPr>
      <w:rPr>
        <w:rFonts w:hint="default"/>
        <w:color w:val="000000"/>
        <w:position w:val="0"/>
        <w:sz w:val="24"/>
      </w:rPr>
    </w:lvl>
    <w:lvl w:ilvl="3">
      <w:start w:val="1"/>
      <w:numFmt w:val="decimal"/>
      <w:isLgl/>
      <w:suff w:val="nothing"/>
      <w:lvlText w:val="%4."/>
      <w:lvlJc w:val="left"/>
      <w:pPr>
        <w:ind w:left="0" w:firstLine="3960"/>
      </w:pPr>
      <w:rPr>
        <w:rFonts w:hint="default"/>
        <w:color w:val="000000"/>
        <w:position w:val="0"/>
        <w:sz w:val="24"/>
      </w:rPr>
    </w:lvl>
    <w:lvl w:ilvl="4">
      <w:start w:val="1"/>
      <w:numFmt w:val="lowerLetter"/>
      <w:suff w:val="nothing"/>
      <w:lvlText w:val="%5."/>
      <w:lvlJc w:val="left"/>
      <w:pPr>
        <w:ind w:left="0" w:firstLine="4680"/>
      </w:pPr>
      <w:rPr>
        <w:rFonts w:hint="default"/>
        <w:color w:val="000000"/>
        <w:position w:val="0"/>
        <w:sz w:val="24"/>
      </w:rPr>
    </w:lvl>
    <w:lvl w:ilvl="5">
      <w:start w:val="1"/>
      <w:numFmt w:val="lowerRoman"/>
      <w:suff w:val="nothing"/>
      <w:lvlText w:val="%6."/>
      <w:lvlJc w:val="left"/>
      <w:pPr>
        <w:ind w:left="0" w:firstLine="5400"/>
      </w:pPr>
      <w:rPr>
        <w:rFonts w:hint="default"/>
        <w:color w:val="000000"/>
        <w:position w:val="0"/>
        <w:sz w:val="24"/>
      </w:rPr>
    </w:lvl>
    <w:lvl w:ilvl="6">
      <w:start w:val="1"/>
      <w:numFmt w:val="decimal"/>
      <w:isLgl/>
      <w:suff w:val="nothing"/>
      <w:lvlText w:val="%7."/>
      <w:lvlJc w:val="left"/>
      <w:pPr>
        <w:ind w:left="0" w:firstLine="6120"/>
      </w:pPr>
      <w:rPr>
        <w:rFonts w:hint="default"/>
        <w:color w:val="000000"/>
        <w:position w:val="0"/>
        <w:sz w:val="24"/>
      </w:rPr>
    </w:lvl>
    <w:lvl w:ilvl="7">
      <w:start w:val="1"/>
      <w:numFmt w:val="lowerLetter"/>
      <w:suff w:val="nothing"/>
      <w:lvlText w:val="%8."/>
      <w:lvlJc w:val="left"/>
      <w:pPr>
        <w:ind w:left="0" w:firstLine="6840"/>
      </w:pPr>
      <w:rPr>
        <w:rFonts w:hint="default"/>
        <w:color w:val="000000"/>
        <w:position w:val="0"/>
        <w:sz w:val="24"/>
      </w:rPr>
    </w:lvl>
    <w:lvl w:ilvl="8">
      <w:start w:val="1"/>
      <w:numFmt w:val="lowerRoman"/>
      <w:suff w:val="nothing"/>
      <w:lvlText w:val="%9."/>
      <w:lvlJc w:val="left"/>
      <w:pPr>
        <w:ind w:left="0" w:firstLine="7560"/>
      </w:pPr>
      <w:rPr>
        <w:rFonts w:hint="default"/>
        <w:color w:val="000000"/>
        <w:position w:val="0"/>
        <w:sz w:val="24"/>
      </w:rPr>
    </w:lvl>
  </w:abstractNum>
  <w:abstractNum w:abstractNumId="14" w15:restartNumberingAfterBreak="0">
    <w:nsid w:val="2788370C"/>
    <w:multiLevelType w:val="hybridMultilevel"/>
    <w:tmpl w:val="0FE89458"/>
    <w:lvl w:ilvl="0" w:tplc="B42217F2">
      <w:numFmt w:val="bullet"/>
      <w:lvlText w:val="-"/>
      <w:lvlJc w:val="left"/>
      <w:pPr>
        <w:ind w:left="720" w:hanging="360"/>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2793712F"/>
    <w:multiLevelType w:val="hybridMultilevel"/>
    <w:tmpl w:val="573E3F6A"/>
    <w:lvl w:ilvl="0" w:tplc="F79484B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7F3C05"/>
    <w:multiLevelType w:val="hybridMultilevel"/>
    <w:tmpl w:val="9856C584"/>
    <w:lvl w:ilvl="0" w:tplc="F1EA1E08">
      <w:start w:val="1"/>
      <w:numFmt w:val="decimal"/>
      <w:pStyle w:val="Ttulo"/>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15:restartNumberingAfterBreak="0">
    <w:nsid w:val="31AC5D2E"/>
    <w:multiLevelType w:val="hybridMultilevel"/>
    <w:tmpl w:val="EEC497C4"/>
    <w:lvl w:ilvl="0" w:tplc="D1D8FC3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3381839"/>
    <w:multiLevelType w:val="hybridMultilevel"/>
    <w:tmpl w:val="723E17F8"/>
    <w:lvl w:ilvl="0" w:tplc="1E4CAB8A">
      <w:start w:val="1"/>
      <w:numFmt w:val="upperRoman"/>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93D0F47"/>
    <w:multiLevelType w:val="hybridMultilevel"/>
    <w:tmpl w:val="FB7EBFC0"/>
    <w:lvl w:ilvl="0" w:tplc="240A0015">
      <w:start w:val="1"/>
      <w:numFmt w:val="upperLetter"/>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0" w15:restartNumberingAfterBreak="0">
    <w:nsid w:val="4BE54CAF"/>
    <w:multiLevelType w:val="hybridMultilevel"/>
    <w:tmpl w:val="1DF82C66"/>
    <w:lvl w:ilvl="0" w:tplc="93E2AF3E">
      <w:start w:val="1"/>
      <w:numFmt w:val="bullet"/>
      <w:lvlText w:val="-"/>
      <w:lvlJc w:val="left"/>
      <w:pPr>
        <w:ind w:left="360" w:hanging="360"/>
      </w:pPr>
      <w:rPr>
        <w:rFonts w:ascii="Arial Narrow" w:eastAsia="Times New Roman" w:hAnsi="Arial Narro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4D2710E4"/>
    <w:multiLevelType w:val="hybridMultilevel"/>
    <w:tmpl w:val="383A90BE"/>
    <w:lvl w:ilvl="0" w:tplc="93E2AF3E">
      <w:start w:val="1"/>
      <w:numFmt w:val="bullet"/>
      <w:lvlText w:val="-"/>
      <w:lvlJc w:val="left"/>
      <w:pPr>
        <w:ind w:left="720" w:hanging="360"/>
      </w:pPr>
      <w:rPr>
        <w:rFonts w:ascii="Arial Narrow" w:eastAsia="Times New Roman" w:hAnsi="Arial Narrow"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557952C7"/>
    <w:multiLevelType w:val="hybridMultilevel"/>
    <w:tmpl w:val="A5DECD9E"/>
    <w:lvl w:ilvl="0" w:tplc="93E2AF3E">
      <w:start w:val="1"/>
      <w:numFmt w:val="bullet"/>
      <w:lvlText w:val="-"/>
      <w:lvlJc w:val="left"/>
      <w:pPr>
        <w:ind w:left="720" w:hanging="360"/>
      </w:pPr>
      <w:rPr>
        <w:rFonts w:ascii="Arial Narrow" w:eastAsia="Times New Roman" w:hAnsi="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66B062C"/>
    <w:multiLevelType w:val="hybridMultilevel"/>
    <w:tmpl w:val="FB7EBFC0"/>
    <w:lvl w:ilvl="0" w:tplc="240A0015">
      <w:start w:val="1"/>
      <w:numFmt w:val="upperLetter"/>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4" w15:restartNumberingAfterBreak="0">
    <w:nsid w:val="68DF04A8"/>
    <w:multiLevelType w:val="hybridMultilevel"/>
    <w:tmpl w:val="A7C6DD7C"/>
    <w:lvl w:ilvl="0" w:tplc="DB4ED004">
      <w:start w:val="3"/>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15:restartNumberingAfterBreak="0">
    <w:nsid w:val="69077DEB"/>
    <w:multiLevelType w:val="hybridMultilevel"/>
    <w:tmpl w:val="5A2CB058"/>
    <w:lvl w:ilvl="0" w:tplc="EB06E39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B2F37B9"/>
    <w:multiLevelType w:val="hybridMultilevel"/>
    <w:tmpl w:val="CD6890E6"/>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7" w15:restartNumberingAfterBreak="0">
    <w:nsid w:val="71E35FC9"/>
    <w:multiLevelType w:val="hybridMultilevel"/>
    <w:tmpl w:val="456CD42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5201176"/>
    <w:multiLevelType w:val="hybridMultilevel"/>
    <w:tmpl w:val="6B5E575E"/>
    <w:lvl w:ilvl="0" w:tplc="93E2AF3E">
      <w:start w:val="1"/>
      <w:numFmt w:val="bullet"/>
      <w:lvlText w:val="-"/>
      <w:lvlJc w:val="left"/>
      <w:pPr>
        <w:ind w:left="720" w:hanging="360"/>
      </w:pPr>
      <w:rPr>
        <w:rFonts w:ascii="Arial Narrow" w:eastAsia="Times New Roman" w:hAnsi="Arial Narrow" w:hint="default"/>
      </w:rPr>
    </w:lvl>
    <w:lvl w:ilvl="1" w:tplc="240A0003">
      <w:start w:val="1"/>
      <w:numFmt w:val="bullet"/>
      <w:lvlText w:val="o"/>
      <w:lvlJc w:val="left"/>
      <w:pPr>
        <w:ind w:left="1440" w:hanging="360"/>
      </w:pPr>
      <w:rPr>
        <w:rFonts w:ascii="Courier New" w:hAnsi="Courier New" w:cs="Symbol"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Symbol"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Symbol"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77124BA4"/>
    <w:multiLevelType w:val="hybridMultilevel"/>
    <w:tmpl w:val="462442A6"/>
    <w:lvl w:ilvl="0" w:tplc="93E2AF3E">
      <w:start w:val="1"/>
      <w:numFmt w:val="bullet"/>
      <w:lvlText w:val="-"/>
      <w:lvlJc w:val="left"/>
      <w:pPr>
        <w:ind w:left="720" w:hanging="360"/>
      </w:pPr>
      <w:rPr>
        <w:rFonts w:ascii="Arial Narrow" w:eastAsia="Times New Roman" w:hAnsi="Arial Narrow"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520319609">
    <w:abstractNumId w:val="8"/>
  </w:num>
  <w:num w:numId="2" w16cid:durableId="2011637829">
    <w:abstractNumId w:val="24"/>
  </w:num>
  <w:num w:numId="3" w16cid:durableId="377434121">
    <w:abstractNumId w:val="0"/>
  </w:num>
  <w:num w:numId="4" w16cid:durableId="940799339">
    <w:abstractNumId w:val="1"/>
  </w:num>
  <w:num w:numId="5" w16cid:durableId="1227642072">
    <w:abstractNumId w:val="4"/>
  </w:num>
  <w:num w:numId="6" w16cid:durableId="1543011430">
    <w:abstractNumId w:val="6"/>
  </w:num>
  <w:num w:numId="7" w16cid:durableId="962462487">
    <w:abstractNumId w:val="11"/>
  </w:num>
  <w:num w:numId="8" w16cid:durableId="1653018551">
    <w:abstractNumId w:val="2"/>
  </w:num>
  <w:num w:numId="9" w16cid:durableId="1139223622">
    <w:abstractNumId w:val="3"/>
  </w:num>
  <w:num w:numId="10" w16cid:durableId="2115899798">
    <w:abstractNumId w:val="5"/>
  </w:num>
  <w:num w:numId="11" w16cid:durableId="1125006149">
    <w:abstractNumId w:val="13"/>
  </w:num>
  <w:num w:numId="12" w16cid:durableId="1951625793">
    <w:abstractNumId w:val="9"/>
  </w:num>
  <w:num w:numId="13" w16cid:durableId="183908991">
    <w:abstractNumId w:val="7"/>
  </w:num>
  <w:num w:numId="14" w16cid:durableId="757480873">
    <w:abstractNumId w:val="27"/>
  </w:num>
  <w:num w:numId="15" w16cid:durableId="1605267268">
    <w:abstractNumId w:val="12"/>
  </w:num>
  <w:num w:numId="16" w16cid:durableId="1046486779">
    <w:abstractNumId w:val="26"/>
  </w:num>
  <w:num w:numId="17" w16cid:durableId="1561403373">
    <w:abstractNumId w:val="23"/>
  </w:num>
  <w:num w:numId="18" w16cid:durableId="553929520">
    <w:abstractNumId w:val="19"/>
  </w:num>
  <w:num w:numId="19" w16cid:durableId="991179018">
    <w:abstractNumId w:val="16"/>
  </w:num>
  <w:num w:numId="20" w16cid:durableId="14286489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2596938">
    <w:abstractNumId w:val="18"/>
  </w:num>
  <w:num w:numId="22" w16cid:durableId="11745650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3644980">
    <w:abstractNumId w:val="21"/>
  </w:num>
  <w:num w:numId="24" w16cid:durableId="1267032792">
    <w:abstractNumId w:val="21"/>
  </w:num>
  <w:num w:numId="25" w16cid:durableId="615601299">
    <w:abstractNumId w:val="14"/>
  </w:num>
  <w:num w:numId="26" w16cid:durableId="365327897">
    <w:abstractNumId w:val="14"/>
  </w:num>
  <w:num w:numId="27" w16cid:durableId="183130853">
    <w:abstractNumId w:val="29"/>
  </w:num>
  <w:num w:numId="28" w16cid:durableId="903686448">
    <w:abstractNumId w:val="29"/>
  </w:num>
  <w:num w:numId="29" w16cid:durableId="10316844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63374296">
    <w:abstractNumId w:val="28"/>
  </w:num>
  <w:num w:numId="31" w16cid:durableId="1605962639">
    <w:abstractNumId w:val="28"/>
  </w:num>
  <w:num w:numId="32" w16cid:durableId="20229669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26063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1237840">
    <w:abstractNumId w:val="10"/>
  </w:num>
  <w:num w:numId="35" w16cid:durableId="1716612360">
    <w:abstractNumId w:val="10"/>
  </w:num>
  <w:num w:numId="36" w16cid:durableId="1790201328">
    <w:abstractNumId w:val="15"/>
  </w:num>
  <w:num w:numId="37" w16cid:durableId="587232444">
    <w:abstractNumId w:val="17"/>
  </w:num>
  <w:num w:numId="38" w16cid:durableId="33041845">
    <w:abstractNumId w:val="25"/>
  </w:num>
  <w:num w:numId="39" w16cid:durableId="1107695722">
    <w:abstractNumId w:val="22"/>
  </w:num>
  <w:num w:numId="40" w16cid:durableId="6058184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99"/>
    <w:rsid w:val="0000123E"/>
    <w:rsid w:val="00001861"/>
    <w:rsid w:val="00001915"/>
    <w:rsid w:val="00010F13"/>
    <w:rsid w:val="00015D8E"/>
    <w:rsid w:val="000200A8"/>
    <w:rsid w:val="00031BE0"/>
    <w:rsid w:val="000322E3"/>
    <w:rsid w:val="00042D32"/>
    <w:rsid w:val="00050EC8"/>
    <w:rsid w:val="00053DBB"/>
    <w:rsid w:val="00057AF8"/>
    <w:rsid w:val="000643E9"/>
    <w:rsid w:val="00066D3A"/>
    <w:rsid w:val="00073A1F"/>
    <w:rsid w:val="0007524B"/>
    <w:rsid w:val="00075AD5"/>
    <w:rsid w:val="00077AA2"/>
    <w:rsid w:val="0008210A"/>
    <w:rsid w:val="0008507C"/>
    <w:rsid w:val="000877D1"/>
    <w:rsid w:val="00093EB8"/>
    <w:rsid w:val="000A1163"/>
    <w:rsid w:val="000A2FC8"/>
    <w:rsid w:val="000A31BA"/>
    <w:rsid w:val="000A4383"/>
    <w:rsid w:val="000A442B"/>
    <w:rsid w:val="000B20AE"/>
    <w:rsid w:val="000C2C96"/>
    <w:rsid w:val="000C4465"/>
    <w:rsid w:val="000D09AB"/>
    <w:rsid w:val="000D09F2"/>
    <w:rsid w:val="000D2D2D"/>
    <w:rsid w:val="000D466B"/>
    <w:rsid w:val="000D6114"/>
    <w:rsid w:val="000E1D7E"/>
    <w:rsid w:val="000E42D0"/>
    <w:rsid w:val="000E4714"/>
    <w:rsid w:val="000E5163"/>
    <w:rsid w:val="000E6513"/>
    <w:rsid w:val="000F0EAD"/>
    <w:rsid w:val="000F1CBA"/>
    <w:rsid w:val="000F3807"/>
    <w:rsid w:val="000F6C56"/>
    <w:rsid w:val="00101484"/>
    <w:rsid w:val="00103AE9"/>
    <w:rsid w:val="0010497F"/>
    <w:rsid w:val="001100A5"/>
    <w:rsid w:val="0011263A"/>
    <w:rsid w:val="0011350E"/>
    <w:rsid w:val="00114AE3"/>
    <w:rsid w:val="00117B7B"/>
    <w:rsid w:val="00120EEB"/>
    <w:rsid w:val="00121EB2"/>
    <w:rsid w:val="001258D6"/>
    <w:rsid w:val="001339E2"/>
    <w:rsid w:val="0013472A"/>
    <w:rsid w:val="00143A80"/>
    <w:rsid w:val="00144777"/>
    <w:rsid w:val="001448E3"/>
    <w:rsid w:val="00147E82"/>
    <w:rsid w:val="001515F9"/>
    <w:rsid w:val="001518F2"/>
    <w:rsid w:val="00153C65"/>
    <w:rsid w:val="00154433"/>
    <w:rsid w:val="00156301"/>
    <w:rsid w:val="0017111C"/>
    <w:rsid w:val="00172AF3"/>
    <w:rsid w:val="0017545B"/>
    <w:rsid w:val="00181161"/>
    <w:rsid w:val="00182DEA"/>
    <w:rsid w:val="0018488E"/>
    <w:rsid w:val="0019035D"/>
    <w:rsid w:val="00191D96"/>
    <w:rsid w:val="00191E93"/>
    <w:rsid w:val="0019608A"/>
    <w:rsid w:val="001A1ABA"/>
    <w:rsid w:val="001B0799"/>
    <w:rsid w:val="001B226B"/>
    <w:rsid w:val="001B70BC"/>
    <w:rsid w:val="001B7E14"/>
    <w:rsid w:val="001D0887"/>
    <w:rsid w:val="001D1F25"/>
    <w:rsid w:val="001D36C0"/>
    <w:rsid w:val="001D61B8"/>
    <w:rsid w:val="001D7796"/>
    <w:rsid w:val="001D79EE"/>
    <w:rsid w:val="001E3E05"/>
    <w:rsid w:val="001E50F4"/>
    <w:rsid w:val="001E5520"/>
    <w:rsid w:val="001E60E2"/>
    <w:rsid w:val="001F0127"/>
    <w:rsid w:val="001F0B1A"/>
    <w:rsid w:val="001F4D1B"/>
    <w:rsid w:val="001F4ED2"/>
    <w:rsid w:val="001F6014"/>
    <w:rsid w:val="001F7009"/>
    <w:rsid w:val="001F72C4"/>
    <w:rsid w:val="00200F9E"/>
    <w:rsid w:val="00201FB0"/>
    <w:rsid w:val="002058BB"/>
    <w:rsid w:val="0020773D"/>
    <w:rsid w:val="0021375B"/>
    <w:rsid w:val="002176E6"/>
    <w:rsid w:val="002211EF"/>
    <w:rsid w:val="00221EF1"/>
    <w:rsid w:val="0022264A"/>
    <w:rsid w:val="00226B16"/>
    <w:rsid w:val="002363E7"/>
    <w:rsid w:val="00237795"/>
    <w:rsid w:val="00237DFE"/>
    <w:rsid w:val="002414B0"/>
    <w:rsid w:val="0024487B"/>
    <w:rsid w:val="002567A2"/>
    <w:rsid w:val="002619DD"/>
    <w:rsid w:val="002658A7"/>
    <w:rsid w:val="00271E28"/>
    <w:rsid w:val="0027292E"/>
    <w:rsid w:val="0027421A"/>
    <w:rsid w:val="00275CC9"/>
    <w:rsid w:val="00280A31"/>
    <w:rsid w:val="0028174A"/>
    <w:rsid w:val="00283D9E"/>
    <w:rsid w:val="002850DB"/>
    <w:rsid w:val="00292651"/>
    <w:rsid w:val="002A07EA"/>
    <w:rsid w:val="002A13EA"/>
    <w:rsid w:val="002A2626"/>
    <w:rsid w:val="002A6351"/>
    <w:rsid w:val="002B2812"/>
    <w:rsid w:val="002B2E03"/>
    <w:rsid w:val="002B3410"/>
    <w:rsid w:val="002B4E93"/>
    <w:rsid w:val="002B76C7"/>
    <w:rsid w:val="002C45F1"/>
    <w:rsid w:val="002C64C1"/>
    <w:rsid w:val="002C6BBE"/>
    <w:rsid w:val="002D3CF8"/>
    <w:rsid w:val="002D4B67"/>
    <w:rsid w:val="002D6C5F"/>
    <w:rsid w:val="002E3E8B"/>
    <w:rsid w:val="002E6BE9"/>
    <w:rsid w:val="002E72FA"/>
    <w:rsid w:val="002E7640"/>
    <w:rsid w:val="002E7778"/>
    <w:rsid w:val="002F01D9"/>
    <w:rsid w:val="00301605"/>
    <w:rsid w:val="00301846"/>
    <w:rsid w:val="0030295A"/>
    <w:rsid w:val="00304F6A"/>
    <w:rsid w:val="003057C9"/>
    <w:rsid w:val="003226AB"/>
    <w:rsid w:val="0032474D"/>
    <w:rsid w:val="003300CE"/>
    <w:rsid w:val="00330AC6"/>
    <w:rsid w:val="0033289D"/>
    <w:rsid w:val="003334C8"/>
    <w:rsid w:val="0033489C"/>
    <w:rsid w:val="00334CC0"/>
    <w:rsid w:val="00336BAB"/>
    <w:rsid w:val="00340279"/>
    <w:rsid w:val="00341877"/>
    <w:rsid w:val="00342952"/>
    <w:rsid w:val="0034312A"/>
    <w:rsid w:val="00350C08"/>
    <w:rsid w:val="0035116E"/>
    <w:rsid w:val="003560AE"/>
    <w:rsid w:val="0036144E"/>
    <w:rsid w:val="00370540"/>
    <w:rsid w:val="0037188B"/>
    <w:rsid w:val="0037793B"/>
    <w:rsid w:val="00380D6A"/>
    <w:rsid w:val="0038265A"/>
    <w:rsid w:val="00384066"/>
    <w:rsid w:val="00387857"/>
    <w:rsid w:val="00391021"/>
    <w:rsid w:val="00395375"/>
    <w:rsid w:val="003A4D61"/>
    <w:rsid w:val="003A520B"/>
    <w:rsid w:val="003B1D05"/>
    <w:rsid w:val="003B7995"/>
    <w:rsid w:val="003B7FE6"/>
    <w:rsid w:val="003C102D"/>
    <w:rsid w:val="003C2407"/>
    <w:rsid w:val="003C6D25"/>
    <w:rsid w:val="003D4DD3"/>
    <w:rsid w:val="003D7FD2"/>
    <w:rsid w:val="003E31A7"/>
    <w:rsid w:val="003E59CF"/>
    <w:rsid w:val="003E632D"/>
    <w:rsid w:val="003E77FC"/>
    <w:rsid w:val="003F07EB"/>
    <w:rsid w:val="003F1AA8"/>
    <w:rsid w:val="003F59D9"/>
    <w:rsid w:val="003F617A"/>
    <w:rsid w:val="003F6A30"/>
    <w:rsid w:val="003F788E"/>
    <w:rsid w:val="003F7900"/>
    <w:rsid w:val="004057C1"/>
    <w:rsid w:val="00410C94"/>
    <w:rsid w:val="00412976"/>
    <w:rsid w:val="0041494D"/>
    <w:rsid w:val="00424C5C"/>
    <w:rsid w:val="004315F2"/>
    <w:rsid w:val="00432EAE"/>
    <w:rsid w:val="00434B41"/>
    <w:rsid w:val="00437A6B"/>
    <w:rsid w:val="004401E6"/>
    <w:rsid w:val="0044344C"/>
    <w:rsid w:val="0044504E"/>
    <w:rsid w:val="00445D6C"/>
    <w:rsid w:val="00446B48"/>
    <w:rsid w:val="00447D2A"/>
    <w:rsid w:val="00453CE2"/>
    <w:rsid w:val="00456A1B"/>
    <w:rsid w:val="00467143"/>
    <w:rsid w:val="004700D0"/>
    <w:rsid w:val="00472DB8"/>
    <w:rsid w:val="00473B82"/>
    <w:rsid w:val="00473F70"/>
    <w:rsid w:val="00474633"/>
    <w:rsid w:val="00475471"/>
    <w:rsid w:val="00485D86"/>
    <w:rsid w:val="0049010D"/>
    <w:rsid w:val="004964ED"/>
    <w:rsid w:val="004A7F0D"/>
    <w:rsid w:val="004B299B"/>
    <w:rsid w:val="004C651D"/>
    <w:rsid w:val="004D66AD"/>
    <w:rsid w:val="004E432F"/>
    <w:rsid w:val="004E4D21"/>
    <w:rsid w:val="004E4FA7"/>
    <w:rsid w:val="004E7B18"/>
    <w:rsid w:val="004F1FA5"/>
    <w:rsid w:val="004F2BB0"/>
    <w:rsid w:val="00502CC0"/>
    <w:rsid w:val="00507D31"/>
    <w:rsid w:val="005125B0"/>
    <w:rsid w:val="005145C1"/>
    <w:rsid w:val="0052323E"/>
    <w:rsid w:val="0053089E"/>
    <w:rsid w:val="00531CE6"/>
    <w:rsid w:val="005323A0"/>
    <w:rsid w:val="00537794"/>
    <w:rsid w:val="0053783B"/>
    <w:rsid w:val="00537AEC"/>
    <w:rsid w:val="00542591"/>
    <w:rsid w:val="005445CE"/>
    <w:rsid w:val="00551049"/>
    <w:rsid w:val="00552AE0"/>
    <w:rsid w:val="00553C66"/>
    <w:rsid w:val="0055424A"/>
    <w:rsid w:val="005554CD"/>
    <w:rsid w:val="00561999"/>
    <w:rsid w:val="00562716"/>
    <w:rsid w:val="00567463"/>
    <w:rsid w:val="00571ED1"/>
    <w:rsid w:val="00576F0C"/>
    <w:rsid w:val="00577720"/>
    <w:rsid w:val="005910B9"/>
    <w:rsid w:val="00593364"/>
    <w:rsid w:val="00594984"/>
    <w:rsid w:val="005A27D0"/>
    <w:rsid w:val="005A34AD"/>
    <w:rsid w:val="005A3BD8"/>
    <w:rsid w:val="005A4DDA"/>
    <w:rsid w:val="005C5817"/>
    <w:rsid w:val="005C61AC"/>
    <w:rsid w:val="005C6301"/>
    <w:rsid w:val="005C7523"/>
    <w:rsid w:val="005D214D"/>
    <w:rsid w:val="005E04F5"/>
    <w:rsid w:val="005E1133"/>
    <w:rsid w:val="005F1A11"/>
    <w:rsid w:val="005F245D"/>
    <w:rsid w:val="005F726F"/>
    <w:rsid w:val="005F77DF"/>
    <w:rsid w:val="0060069D"/>
    <w:rsid w:val="00602F6A"/>
    <w:rsid w:val="00604180"/>
    <w:rsid w:val="00605557"/>
    <w:rsid w:val="00611CFE"/>
    <w:rsid w:val="00614BC5"/>
    <w:rsid w:val="00616130"/>
    <w:rsid w:val="006170E3"/>
    <w:rsid w:val="006206EE"/>
    <w:rsid w:val="006252FE"/>
    <w:rsid w:val="00625968"/>
    <w:rsid w:val="00625FC7"/>
    <w:rsid w:val="0063188F"/>
    <w:rsid w:val="00636431"/>
    <w:rsid w:val="00641321"/>
    <w:rsid w:val="006473B9"/>
    <w:rsid w:val="00675B68"/>
    <w:rsid w:val="00681239"/>
    <w:rsid w:val="006845A4"/>
    <w:rsid w:val="00687E3D"/>
    <w:rsid w:val="00687E5C"/>
    <w:rsid w:val="00687FDB"/>
    <w:rsid w:val="0069486D"/>
    <w:rsid w:val="00695F10"/>
    <w:rsid w:val="00696CD0"/>
    <w:rsid w:val="006A042D"/>
    <w:rsid w:val="006A05E2"/>
    <w:rsid w:val="006A18EF"/>
    <w:rsid w:val="006A29E0"/>
    <w:rsid w:val="006A7F83"/>
    <w:rsid w:val="006B67C9"/>
    <w:rsid w:val="006C2B4A"/>
    <w:rsid w:val="006C3264"/>
    <w:rsid w:val="006C509B"/>
    <w:rsid w:val="006D559A"/>
    <w:rsid w:val="006E137B"/>
    <w:rsid w:val="006E358F"/>
    <w:rsid w:val="006F3F97"/>
    <w:rsid w:val="00702037"/>
    <w:rsid w:val="00705EA4"/>
    <w:rsid w:val="00711742"/>
    <w:rsid w:val="0071192D"/>
    <w:rsid w:val="00717F9F"/>
    <w:rsid w:val="0072156C"/>
    <w:rsid w:val="00721671"/>
    <w:rsid w:val="00724108"/>
    <w:rsid w:val="007326C6"/>
    <w:rsid w:val="00736096"/>
    <w:rsid w:val="007364A7"/>
    <w:rsid w:val="00741E0C"/>
    <w:rsid w:val="0074453A"/>
    <w:rsid w:val="00751CA6"/>
    <w:rsid w:val="0075340F"/>
    <w:rsid w:val="00756840"/>
    <w:rsid w:val="0075712E"/>
    <w:rsid w:val="007760F2"/>
    <w:rsid w:val="0077677C"/>
    <w:rsid w:val="007810B5"/>
    <w:rsid w:val="00786F63"/>
    <w:rsid w:val="00787236"/>
    <w:rsid w:val="007902C2"/>
    <w:rsid w:val="007940D5"/>
    <w:rsid w:val="00795FCC"/>
    <w:rsid w:val="0079746C"/>
    <w:rsid w:val="00797B07"/>
    <w:rsid w:val="00797DA6"/>
    <w:rsid w:val="007B1D31"/>
    <w:rsid w:val="007B6867"/>
    <w:rsid w:val="007C3341"/>
    <w:rsid w:val="007D1E0C"/>
    <w:rsid w:val="007D55D3"/>
    <w:rsid w:val="007D5925"/>
    <w:rsid w:val="007E0BF0"/>
    <w:rsid w:val="007E2C10"/>
    <w:rsid w:val="007E55C0"/>
    <w:rsid w:val="007F0586"/>
    <w:rsid w:val="007F5852"/>
    <w:rsid w:val="0080212F"/>
    <w:rsid w:val="00804184"/>
    <w:rsid w:val="00807524"/>
    <w:rsid w:val="0081002E"/>
    <w:rsid w:val="00816946"/>
    <w:rsid w:val="00817438"/>
    <w:rsid w:val="00823102"/>
    <w:rsid w:val="00823630"/>
    <w:rsid w:val="00823ABF"/>
    <w:rsid w:val="008240C6"/>
    <w:rsid w:val="008341CE"/>
    <w:rsid w:val="00835D8A"/>
    <w:rsid w:val="008363B6"/>
    <w:rsid w:val="00843519"/>
    <w:rsid w:val="00844E5C"/>
    <w:rsid w:val="00851356"/>
    <w:rsid w:val="008540DC"/>
    <w:rsid w:val="00855CBA"/>
    <w:rsid w:val="00862A45"/>
    <w:rsid w:val="00863B50"/>
    <w:rsid w:val="008663CA"/>
    <w:rsid w:val="008674EE"/>
    <w:rsid w:val="00870E09"/>
    <w:rsid w:val="00873F64"/>
    <w:rsid w:val="00874628"/>
    <w:rsid w:val="00876917"/>
    <w:rsid w:val="00891CEC"/>
    <w:rsid w:val="00891FD5"/>
    <w:rsid w:val="00894E28"/>
    <w:rsid w:val="008958DB"/>
    <w:rsid w:val="008A1BA2"/>
    <w:rsid w:val="008A2D0E"/>
    <w:rsid w:val="008A2D15"/>
    <w:rsid w:val="008A4DC4"/>
    <w:rsid w:val="008A73E0"/>
    <w:rsid w:val="008B3DEC"/>
    <w:rsid w:val="008C49F3"/>
    <w:rsid w:val="008C705B"/>
    <w:rsid w:val="008D7E24"/>
    <w:rsid w:val="008E33A2"/>
    <w:rsid w:val="008F2F3B"/>
    <w:rsid w:val="00902163"/>
    <w:rsid w:val="0090467A"/>
    <w:rsid w:val="00907A3C"/>
    <w:rsid w:val="00914985"/>
    <w:rsid w:val="0092035F"/>
    <w:rsid w:val="00931D87"/>
    <w:rsid w:val="00937922"/>
    <w:rsid w:val="009436F2"/>
    <w:rsid w:val="00944394"/>
    <w:rsid w:val="00945819"/>
    <w:rsid w:val="0095210A"/>
    <w:rsid w:val="009600C8"/>
    <w:rsid w:val="0096240B"/>
    <w:rsid w:val="009677C0"/>
    <w:rsid w:val="0098245B"/>
    <w:rsid w:val="00982AC4"/>
    <w:rsid w:val="00985B00"/>
    <w:rsid w:val="00992748"/>
    <w:rsid w:val="00995CC4"/>
    <w:rsid w:val="00996E42"/>
    <w:rsid w:val="00996E4F"/>
    <w:rsid w:val="0099728C"/>
    <w:rsid w:val="009A1CDC"/>
    <w:rsid w:val="009A34A5"/>
    <w:rsid w:val="009A43E0"/>
    <w:rsid w:val="009B3A22"/>
    <w:rsid w:val="009B3C7A"/>
    <w:rsid w:val="009B4F70"/>
    <w:rsid w:val="009B62ED"/>
    <w:rsid w:val="009C1E4E"/>
    <w:rsid w:val="009C3DDC"/>
    <w:rsid w:val="009C403A"/>
    <w:rsid w:val="009C6FEB"/>
    <w:rsid w:val="009D2198"/>
    <w:rsid w:val="009D32EA"/>
    <w:rsid w:val="009D3916"/>
    <w:rsid w:val="009D63BE"/>
    <w:rsid w:val="009E36F1"/>
    <w:rsid w:val="009E6F2A"/>
    <w:rsid w:val="009F1065"/>
    <w:rsid w:val="00A00B26"/>
    <w:rsid w:val="00A117D7"/>
    <w:rsid w:val="00A212D6"/>
    <w:rsid w:val="00A21993"/>
    <w:rsid w:val="00A240A7"/>
    <w:rsid w:val="00A24DC6"/>
    <w:rsid w:val="00A25DEC"/>
    <w:rsid w:val="00A35F01"/>
    <w:rsid w:val="00A36875"/>
    <w:rsid w:val="00A405D3"/>
    <w:rsid w:val="00A45AA3"/>
    <w:rsid w:val="00A45C91"/>
    <w:rsid w:val="00A50048"/>
    <w:rsid w:val="00A51360"/>
    <w:rsid w:val="00A57167"/>
    <w:rsid w:val="00A62B42"/>
    <w:rsid w:val="00A63200"/>
    <w:rsid w:val="00A646FC"/>
    <w:rsid w:val="00A65BBE"/>
    <w:rsid w:val="00A65FDF"/>
    <w:rsid w:val="00A71316"/>
    <w:rsid w:val="00A77A34"/>
    <w:rsid w:val="00A82889"/>
    <w:rsid w:val="00A905BC"/>
    <w:rsid w:val="00A9281B"/>
    <w:rsid w:val="00A93A46"/>
    <w:rsid w:val="00A9587B"/>
    <w:rsid w:val="00A963CA"/>
    <w:rsid w:val="00AA3408"/>
    <w:rsid w:val="00AA56AC"/>
    <w:rsid w:val="00AB3160"/>
    <w:rsid w:val="00AC150F"/>
    <w:rsid w:val="00AC2C07"/>
    <w:rsid w:val="00AC47A2"/>
    <w:rsid w:val="00AC745C"/>
    <w:rsid w:val="00AD0693"/>
    <w:rsid w:val="00AD0830"/>
    <w:rsid w:val="00AD0E0B"/>
    <w:rsid w:val="00AD2BB9"/>
    <w:rsid w:val="00AD3D48"/>
    <w:rsid w:val="00AD46E2"/>
    <w:rsid w:val="00AE526A"/>
    <w:rsid w:val="00AE60FB"/>
    <w:rsid w:val="00AF5DE1"/>
    <w:rsid w:val="00B01DA2"/>
    <w:rsid w:val="00B022F5"/>
    <w:rsid w:val="00B04F94"/>
    <w:rsid w:val="00B13B7F"/>
    <w:rsid w:val="00B15D52"/>
    <w:rsid w:val="00B165CB"/>
    <w:rsid w:val="00B16A12"/>
    <w:rsid w:val="00B22F0D"/>
    <w:rsid w:val="00B23027"/>
    <w:rsid w:val="00B268C2"/>
    <w:rsid w:val="00B3089A"/>
    <w:rsid w:val="00B32956"/>
    <w:rsid w:val="00B32F87"/>
    <w:rsid w:val="00B41AE8"/>
    <w:rsid w:val="00B42B54"/>
    <w:rsid w:val="00B43896"/>
    <w:rsid w:val="00B44184"/>
    <w:rsid w:val="00B50692"/>
    <w:rsid w:val="00B51957"/>
    <w:rsid w:val="00B55812"/>
    <w:rsid w:val="00B56A74"/>
    <w:rsid w:val="00B62D9B"/>
    <w:rsid w:val="00B62FD1"/>
    <w:rsid w:val="00B66236"/>
    <w:rsid w:val="00B667E4"/>
    <w:rsid w:val="00B72728"/>
    <w:rsid w:val="00B73CE0"/>
    <w:rsid w:val="00B74688"/>
    <w:rsid w:val="00B81971"/>
    <w:rsid w:val="00B875C5"/>
    <w:rsid w:val="00B90B4B"/>
    <w:rsid w:val="00B90F65"/>
    <w:rsid w:val="00B9309E"/>
    <w:rsid w:val="00B944D8"/>
    <w:rsid w:val="00B96CA2"/>
    <w:rsid w:val="00BA08A8"/>
    <w:rsid w:val="00BA1ABA"/>
    <w:rsid w:val="00BA46B9"/>
    <w:rsid w:val="00BB02B2"/>
    <w:rsid w:val="00BB23F6"/>
    <w:rsid w:val="00BB2B65"/>
    <w:rsid w:val="00BB3FEA"/>
    <w:rsid w:val="00BB40CD"/>
    <w:rsid w:val="00BB4BBA"/>
    <w:rsid w:val="00BB5205"/>
    <w:rsid w:val="00BB76D5"/>
    <w:rsid w:val="00BC14DC"/>
    <w:rsid w:val="00BC1762"/>
    <w:rsid w:val="00BC6847"/>
    <w:rsid w:val="00BC6ABE"/>
    <w:rsid w:val="00BC72D0"/>
    <w:rsid w:val="00BD0641"/>
    <w:rsid w:val="00BE1F2C"/>
    <w:rsid w:val="00BE4802"/>
    <w:rsid w:val="00BF7E7E"/>
    <w:rsid w:val="00C0298B"/>
    <w:rsid w:val="00C057ED"/>
    <w:rsid w:val="00C10B40"/>
    <w:rsid w:val="00C10D22"/>
    <w:rsid w:val="00C11141"/>
    <w:rsid w:val="00C2273A"/>
    <w:rsid w:val="00C27CC8"/>
    <w:rsid w:val="00C32D7F"/>
    <w:rsid w:val="00C373BF"/>
    <w:rsid w:val="00C427C0"/>
    <w:rsid w:val="00C447A9"/>
    <w:rsid w:val="00C45AFC"/>
    <w:rsid w:val="00C47266"/>
    <w:rsid w:val="00C47352"/>
    <w:rsid w:val="00C52A22"/>
    <w:rsid w:val="00C539EB"/>
    <w:rsid w:val="00C57070"/>
    <w:rsid w:val="00C627A5"/>
    <w:rsid w:val="00C6415B"/>
    <w:rsid w:val="00C668DD"/>
    <w:rsid w:val="00C67A77"/>
    <w:rsid w:val="00C67F2F"/>
    <w:rsid w:val="00C71A7B"/>
    <w:rsid w:val="00C75DA9"/>
    <w:rsid w:val="00C77C56"/>
    <w:rsid w:val="00C80D7A"/>
    <w:rsid w:val="00C83831"/>
    <w:rsid w:val="00C87E93"/>
    <w:rsid w:val="00C90BA5"/>
    <w:rsid w:val="00C943ED"/>
    <w:rsid w:val="00C94DE4"/>
    <w:rsid w:val="00C9721A"/>
    <w:rsid w:val="00C9785D"/>
    <w:rsid w:val="00CA38B6"/>
    <w:rsid w:val="00CA4476"/>
    <w:rsid w:val="00CA4EF8"/>
    <w:rsid w:val="00CA5028"/>
    <w:rsid w:val="00CB6B23"/>
    <w:rsid w:val="00CB70F7"/>
    <w:rsid w:val="00CD1C0F"/>
    <w:rsid w:val="00CD2418"/>
    <w:rsid w:val="00CE7065"/>
    <w:rsid w:val="00CF072A"/>
    <w:rsid w:val="00CF0C21"/>
    <w:rsid w:val="00CF5704"/>
    <w:rsid w:val="00CF6F1B"/>
    <w:rsid w:val="00D0144F"/>
    <w:rsid w:val="00D045BF"/>
    <w:rsid w:val="00D06885"/>
    <w:rsid w:val="00D12651"/>
    <w:rsid w:val="00D12FFB"/>
    <w:rsid w:val="00D173E1"/>
    <w:rsid w:val="00D210E1"/>
    <w:rsid w:val="00D2162C"/>
    <w:rsid w:val="00D27A6F"/>
    <w:rsid w:val="00D4590F"/>
    <w:rsid w:val="00D45F04"/>
    <w:rsid w:val="00D51F61"/>
    <w:rsid w:val="00D55234"/>
    <w:rsid w:val="00D57888"/>
    <w:rsid w:val="00D7148E"/>
    <w:rsid w:val="00D8162B"/>
    <w:rsid w:val="00D83F15"/>
    <w:rsid w:val="00D85863"/>
    <w:rsid w:val="00D92D80"/>
    <w:rsid w:val="00D93B84"/>
    <w:rsid w:val="00DA23C5"/>
    <w:rsid w:val="00DB1A70"/>
    <w:rsid w:val="00DB1B9A"/>
    <w:rsid w:val="00DB264B"/>
    <w:rsid w:val="00DB2B38"/>
    <w:rsid w:val="00DC25D3"/>
    <w:rsid w:val="00DC2787"/>
    <w:rsid w:val="00DC60BE"/>
    <w:rsid w:val="00DD1021"/>
    <w:rsid w:val="00DD16BD"/>
    <w:rsid w:val="00DD3C3F"/>
    <w:rsid w:val="00DD4C14"/>
    <w:rsid w:val="00DF13EB"/>
    <w:rsid w:val="00DF4CC1"/>
    <w:rsid w:val="00E02036"/>
    <w:rsid w:val="00E02276"/>
    <w:rsid w:val="00E02605"/>
    <w:rsid w:val="00E11760"/>
    <w:rsid w:val="00E14B50"/>
    <w:rsid w:val="00E15BE8"/>
    <w:rsid w:val="00E22584"/>
    <w:rsid w:val="00E30903"/>
    <w:rsid w:val="00E33180"/>
    <w:rsid w:val="00E35077"/>
    <w:rsid w:val="00E35715"/>
    <w:rsid w:val="00E35E3F"/>
    <w:rsid w:val="00E40750"/>
    <w:rsid w:val="00E40A9F"/>
    <w:rsid w:val="00E45087"/>
    <w:rsid w:val="00E543C2"/>
    <w:rsid w:val="00E5464B"/>
    <w:rsid w:val="00E548B2"/>
    <w:rsid w:val="00E5534B"/>
    <w:rsid w:val="00E603F8"/>
    <w:rsid w:val="00E61E67"/>
    <w:rsid w:val="00E674BE"/>
    <w:rsid w:val="00E678D9"/>
    <w:rsid w:val="00E71A3E"/>
    <w:rsid w:val="00E71C3E"/>
    <w:rsid w:val="00E72535"/>
    <w:rsid w:val="00E83D66"/>
    <w:rsid w:val="00E84405"/>
    <w:rsid w:val="00E84A33"/>
    <w:rsid w:val="00E90298"/>
    <w:rsid w:val="00E938D7"/>
    <w:rsid w:val="00E97BFD"/>
    <w:rsid w:val="00EA1AF5"/>
    <w:rsid w:val="00EB1ADA"/>
    <w:rsid w:val="00EB2676"/>
    <w:rsid w:val="00EB2BC9"/>
    <w:rsid w:val="00EB3399"/>
    <w:rsid w:val="00EB3AAB"/>
    <w:rsid w:val="00EC1F5B"/>
    <w:rsid w:val="00EC2DD4"/>
    <w:rsid w:val="00ED2360"/>
    <w:rsid w:val="00ED3344"/>
    <w:rsid w:val="00ED42E5"/>
    <w:rsid w:val="00EE10E1"/>
    <w:rsid w:val="00EE231F"/>
    <w:rsid w:val="00EE28AF"/>
    <w:rsid w:val="00EE3936"/>
    <w:rsid w:val="00EF04A8"/>
    <w:rsid w:val="00EF27B9"/>
    <w:rsid w:val="00EF33A9"/>
    <w:rsid w:val="00EF3D14"/>
    <w:rsid w:val="00EF42E3"/>
    <w:rsid w:val="00EF523B"/>
    <w:rsid w:val="00EF6C25"/>
    <w:rsid w:val="00F00620"/>
    <w:rsid w:val="00F018CF"/>
    <w:rsid w:val="00F01F75"/>
    <w:rsid w:val="00F02B45"/>
    <w:rsid w:val="00F04D0A"/>
    <w:rsid w:val="00F10C44"/>
    <w:rsid w:val="00F1195D"/>
    <w:rsid w:val="00F12FC8"/>
    <w:rsid w:val="00F140E1"/>
    <w:rsid w:val="00F15599"/>
    <w:rsid w:val="00F17232"/>
    <w:rsid w:val="00F2208E"/>
    <w:rsid w:val="00F231A6"/>
    <w:rsid w:val="00F267FC"/>
    <w:rsid w:val="00F30259"/>
    <w:rsid w:val="00F310FC"/>
    <w:rsid w:val="00F31BF9"/>
    <w:rsid w:val="00F34DFC"/>
    <w:rsid w:val="00F35AA4"/>
    <w:rsid w:val="00F36CA9"/>
    <w:rsid w:val="00F418EA"/>
    <w:rsid w:val="00F436BA"/>
    <w:rsid w:val="00F46181"/>
    <w:rsid w:val="00F565B6"/>
    <w:rsid w:val="00F62A45"/>
    <w:rsid w:val="00F65426"/>
    <w:rsid w:val="00F65748"/>
    <w:rsid w:val="00F71345"/>
    <w:rsid w:val="00F77A5D"/>
    <w:rsid w:val="00F80CAD"/>
    <w:rsid w:val="00F82BD2"/>
    <w:rsid w:val="00F87245"/>
    <w:rsid w:val="00F9383A"/>
    <w:rsid w:val="00F93F04"/>
    <w:rsid w:val="00F970D0"/>
    <w:rsid w:val="00FA0C72"/>
    <w:rsid w:val="00FA42BB"/>
    <w:rsid w:val="00FA6614"/>
    <w:rsid w:val="00FB58C7"/>
    <w:rsid w:val="00FC1BF5"/>
    <w:rsid w:val="00FC4A32"/>
    <w:rsid w:val="00FC7314"/>
    <w:rsid w:val="00FD4185"/>
    <w:rsid w:val="00FD6239"/>
    <w:rsid w:val="00FE5A3F"/>
    <w:rsid w:val="00FF0B33"/>
    <w:rsid w:val="00FF40D6"/>
    <w:rsid w:val="00FF4967"/>
    <w:rsid w:val="00FF4B12"/>
    <w:rsid w:val="00FF6628"/>
    <w:rsid w:val="00FF7D8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C5424"/>
  <w15:docId w15:val="{5CFAF716-573E-4596-92D1-F8244A48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30"/>
    <w:rPr>
      <w:rFonts w:ascii="Times New Roman" w:eastAsia="MS Mincho" w:hAnsi="Times New Roman" w:cs="Times New Roman"/>
      <w:sz w:val="24"/>
      <w:szCs w:val="24"/>
      <w:lang w:val="es-ES" w:eastAsia="es-ES"/>
    </w:rPr>
  </w:style>
  <w:style w:type="paragraph" w:styleId="Ttulo1">
    <w:name w:val="heading 1"/>
    <w:aliases w:val="TituloPrincipal"/>
    <w:basedOn w:val="Normal"/>
    <w:next w:val="Normal"/>
    <w:link w:val="Ttulo1Car"/>
    <w:uiPriority w:val="9"/>
    <w:qFormat/>
    <w:rsid w:val="00AD069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AD06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D0693"/>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Principal Car"/>
    <w:basedOn w:val="Fuentedeprrafopredeter"/>
    <w:link w:val="Ttulo1"/>
    <w:uiPriority w:val="9"/>
    <w:rsid w:val="00AD0693"/>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semiHidden/>
    <w:rsid w:val="00AD0693"/>
    <w:rPr>
      <w:rFonts w:asciiTheme="majorHAnsi" w:eastAsiaTheme="majorEastAsia" w:hAnsiTheme="majorHAnsi" w:cstheme="majorBidi"/>
      <w:color w:val="365F91" w:themeColor="accent1" w:themeShade="BF"/>
      <w:sz w:val="26"/>
      <w:szCs w:val="26"/>
      <w:lang w:val="es-ES" w:eastAsia="es-ES"/>
    </w:rPr>
  </w:style>
  <w:style w:type="paragraph" w:styleId="Encabezado">
    <w:name w:val="header"/>
    <w:basedOn w:val="Normal"/>
    <w:link w:val="EncabezadoCar"/>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9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List,Normal. Viñetas,titulo 3,Ha,Bullets,Lista vistosa - Énfasis 11,Cuadrícula clara - Énfasis 31"/>
    <w:basedOn w:val="Normal"/>
    <w:link w:val="PrrafodelistaCar"/>
    <w:uiPriority w:val="34"/>
    <w:qFormat/>
    <w:rsid w:val="005E04F5"/>
    <w:pPr>
      <w:ind w:left="720"/>
      <w:contextualSpacing/>
    </w:pPr>
  </w:style>
  <w:style w:type="character" w:customStyle="1" w:styleId="PrrafodelistaCar">
    <w:name w:val="Párrafo de lista Car"/>
    <w:aliases w:val="List Car,Normal. Viñetas Car,titulo 3 Car,Ha Car,Bullets Car,Lista vistosa - Énfasis 11 Car,Cuadrícula clara - Énfasis 31 Car"/>
    <w:link w:val="Prrafodelista"/>
    <w:uiPriority w:val="34"/>
    <w:locked/>
    <w:rsid w:val="00AD0693"/>
    <w:rPr>
      <w:rFonts w:ascii="Times New Roman" w:eastAsia="MS Mincho" w:hAnsi="Times New Roman" w:cs="Times New Roman"/>
      <w:sz w:val="24"/>
      <w:szCs w:val="24"/>
      <w:lang w:val="es-ES" w:eastAsia="es-ES"/>
    </w:rPr>
  </w:style>
  <w:style w:type="character" w:styleId="Textoennegrita">
    <w:name w:val="Strong"/>
    <w:basedOn w:val="Fuentedeprrafopredeter"/>
    <w:uiPriority w:val="22"/>
    <w:qFormat/>
    <w:rsid w:val="005E04F5"/>
    <w:rPr>
      <w:b/>
      <w:bCs/>
    </w:rPr>
  </w:style>
  <w:style w:type="paragraph" w:customStyle="1" w:styleId="Prrafodelista1">
    <w:name w:val="Párrafo de lista1"/>
    <w:uiPriority w:val="99"/>
    <w:rsid w:val="0080212F"/>
    <w:pPr>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CAAA">
    <w:name w:val="Formato libre C A A A"/>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
    <w:name w:val="Formato libre"/>
    <w:uiPriority w:val="99"/>
    <w:rsid w:val="00FD4185"/>
    <w:rPr>
      <w:rFonts w:ascii="Times New Roman" w:eastAsia="ヒラギノ角ゴ Pro W3" w:hAnsi="Times New Roman" w:cs="Times New Roman"/>
      <w:color w:val="000000"/>
      <w:sz w:val="20"/>
      <w:szCs w:val="20"/>
      <w:lang w:eastAsia="es-CO"/>
    </w:rPr>
  </w:style>
  <w:style w:type="paragraph" w:customStyle="1" w:styleId="FormatolibreCA">
    <w:name w:val="Formato libre C A"/>
    <w:uiPriority w:val="99"/>
    <w:rsid w:val="00FD4185"/>
    <w:rPr>
      <w:rFonts w:ascii="Times New Roman" w:eastAsia="ヒラギノ角ゴ Pro W3" w:hAnsi="Times New Roman" w:cs="Times New Roman"/>
      <w:color w:val="000000"/>
      <w:sz w:val="20"/>
      <w:szCs w:val="20"/>
      <w:lang w:eastAsia="es-CO"/>
    </w:rPr>
  </w:style>
  <w:style w:type="paragraph" w:customStyle="1" w:styleId="Prrafodelista2">
    <w:name w:val="Párrafo de lista2"/>
    <w:uiPriority w:val="99"/>
    <w:rsid w:val="00FD4185"/>
    <w:pPr>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aliases w:val="Subtitulo"/>
    <w:link w:val="SinespaciadoCar"/>
    <w:uiPriority w:val="1"/>
    <w:qFormat/>
    <w:rsid w:val="007B1D31"/>
  </w:style>
  <w:style w:type="character" w:customStyle="1" w:styleId="SinespaciadoCar">
    <w:name w:val="Sin espaciado Car"/>
    <w:aliases w:val="Subtitulo Car"/>
    <w:basedOn w:val="Fuentedeprrafopredeter"/>
    <w:link w:val="Sinespaciado"/>
    <w:uiPriority w:val="1"/>
    <w:locked/>
    <w:rsid w:val="00AD0693"/>
  </w:style>
  <w:style w:type="character" w:styleId="Refdecomentario">
    <w:name w:val="annotation reference"/>
    <w:basedOn w:val="Fuentedeprrafopredeter"/>
    <w:uiPriority w:val="99"/>
    <w:semiHidden/>
    <w:unhideWhenUsed/>
    <w:rsid w:val="00CB6B23"/>
    <w:rPr>
      <w:sz w:val="16"/>
      <w:szCs w:val="16"/>
    </w:rPr>
  </w:style>
  <w:style w:type="paragraph" w:styleId="Textocomentario">
    <w:name w:val="annotation text"/>
    <w:basedOn w:val="Normal"/>
    <w:link w:val="TextocomentarioCar"/>
    <w:uiPriority w:val="99"/>
    <w:unhideWhenUsed/>
    <w:rsid w:val="00CB6B23"/>
    <w:rPr>
      <w:sz w:val="20"/>
      <w:szCs w:val="20"/>
    </w:rPr>
  </w:style>
  <w:style w:type="character" w:customStyle="1" w:styleId="TextocomentarioCar">
    <w:name w:val="Texto comentario Car"/>
    <w:basedOn w:val="Fuentedeprrafopredeter"/>
    <w:link w:val="Textocomentario"/>
    <w:uiPriority w:val="99"/>
    <w:rsid w:val="00CB6B23"/>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B6B23"/>
    <w:rPr>
      <w:b/>
      <w:bCs/>
    </w:rPr>
  </w:style>
  <w:style w:type="character" w:customStyle="1" w:styleId="AsuntodelcomentarioCar">
    <w:name w:val="Asunto del comentario Car"/>
    <w:basedOn w:val="TextocomentarioCar"/>
    <w:link w:val="Asuntodelcomentario"/>
    <w:uiPriority w:val="99"/>
    <w:semiHidden/>
    <w:rsid w:val="00CB6B23"/>
    <w:rPr>
      <w:rFonts w:ascii="Times New Roman" w:eastAsia="MS Mincho" w:hAnsi="Times New Roman" w:cs="Times New Roman"/>
      <w:b/>
      <w:bCs/>
      <w:sz w:val="20"/>
      <w:szCs w:val="20"/>
      <w:lang w:val="es-ES" w:eastAsia="es-ES"/>
    </w:rPr>
  </w:style>
  <w:style w:type="paragraph" w:styleId="NormalWeb">
    <w:name w:val="Normal (Web)"/>
    <w:basedOn w:val="Normal"/>
    <w:uiPriority w:val="99"/>
    <w:rsid w:val="000D6114"/>
    <w:pPr>
      <w:spacing w:before="100" w:beforeAutospacing="1" w:after="119"/>
    </w:pPr>
    <w:rPr>
      <w:rFonts w:eastAsia="Calibri"/>
    </w:rPr>
  </w:style>
  <w:style w:type="character" w:customStyle="1" w:styleId="Ttulo3Car">
    <w:name w:val="Título 3 Car"/>
    <w:basedOn w:val="Fuentedeprrafopredeter"/>
    <w:link w:val="Ttulo3"/>
    <w:uiPriority w:val="9"/>
    <w:semiHidden/>
    <w:rsid w:val="00AD0693"/>
    <w:rPr>
      <w:rFonts w:asciiTheme="majorHAnsi" w:eastAsiaTheme="majorEastAsia" w:hAnsiTheme="majorHAnsi" w:cstheme="majorBidi"/>
      <w:color w:val="243F60" w:themeColor="accent1" w:themeShade="7F"/>
      <w:sz w:val="24"/>
      <w:szCs w:val="24"/>
      <w:lang w:val="es-ES" w:eastAsia="es-ES"/>
    </w:rPr>
  </w:style>
  <w:style w:type="character" w:customStyle="1" w:styleId="Ttulo1Car1">
    <w:name w:val="Título 1 Car1"/>
    <w:aliases w:val="TituloPrincipal Car1"/>
    <w:basedOn w:val="Fuentedeprrafopredeter"/>
    <w:uiPriority w:val="9"/>
    <w:rsid w:val="00AD0693"/>
    <w:rPr>
      <w:rFonts w:asciiTheme="majorHAnsi" w:eastAsiaTheme="majorEastAsia" w:hAnsiTheme="majorHAnsi" w:cstheme="majorBidi"/>
      <w:color w:val="365F91" w:themeColor="accent1" w:themeShade="BF"/>
      <w:sz w:val="32"/>
      <w:szCs w:val="32"/>
      <w:lang w:val="es-ES" w:eastAsia="es-ES"/>
    </w:rPr>
  </w:style>
  <w:style w:type="paragraph" w:customStyle="1" w:styleId="msonormal0">
    <w:name w:val="msonormal"/>
    <w:basedOn w:val="Normal"/>
    <w:uiPriority w:val="99"/>
    <w:rsid w:val="00AD0693"/>
    <w:pPr>
      <w:spacing w:before="100" w:beforeAutospacing="1" w:after="119"/>
    </w:pPr>
    <w:rPr>
      <w:rFonts w:eastAsia="Calibri"/>
    </w:rPr>
  </w:style>
  <w:style w:type="character" w:customStyle="1" w:styleId="TextonotapieCar">
    <w:name w:val="Texto nota pie Car"/>
    <w:aliases w:val="Ref. de nota al pie1 Car,Texto de nota al pie Car,Footnotes refss Car,referencia nota al pie Car,BVI fnr Car,Ref. de nota al pie 2 Car,Footnote Text Char Car,Footnote Text Char Char Char Char Car,FA Fu Car"/>
    <w:basedOn w:val="Fuentedeprrafopredeter"/>
    <w:link w:val="Textonotapie"/>
    <w:semiHidden/>
    <w:locked/>
    <w:rsid w:val="00AD0693"/>
    <w:rPr>
      <w:rFonts w:ascii="Times New Roman" w:eastAsia="MS Mincho" w:hAnsi="Times New Roman" w:cs="Times New Roman"/>
      <w:sz w:val="20"/>
      <w:szCs w:val="20"/>
      <w:lang w:val="es-ES" w:eastAsia="es-ES"/>
    </w:rPr>
  </w:style>
  <w:style w:type="paragraph" w:styleId="Textonotapie">
    <w:name w:val="footnote text"/>
    <w:aliases w:val="Ref. de nota al pie1,Texto de nota al pie,Footnotes refss,referencia nota al pie,BVI fnr,Ref. de nota al pie 2,Footnote Text Char,Footnote Text Char Char Char Char,Footnote Text Char Char Char Char Char Char Char Char,FA Fu"/>
    <w:basedOn w:val="Normal"/>
    <w:link w:val="TextonotapieCar"/>
    <w:semiHidden/>
    <w:unhideWhenUsed/>
    <w:rsid w:val="00AD0693"/>
    <w:rPr>
      <w:sz w:val="20"/>
      <w:szCs w:val="20"/>
    </w:rPr>
  </w:style>
  <w:style w:type="character" w:customStyle="1" w:styleId="TextonotapieCar1">
    <w:name w:val="Texto nota pie Car1"/>
    <w:aliases w:val="Ref. de nota al pie1 Car1,Texto de nota al pie Car1,Footnotes refss Car1,referencia nota al pie Car1,BVI fnr Car1,Ref. de nota al pie 2 Car1,Footnote Text Char Car1,Footnote Text Char Char Char Char Car1,FA Fu Car1"/>
    <w:basedOn w:val="Fuentedeprrafopredeter"/>
    <w:semiHidden/>
    <w:rsid w:val="00AD0693"/>
    <w:rPr>
      <w:rFonts w:ascii="Times New Roman" w:eastAsia="MS Mincho" w:hAnsi="Times New Roman" w:cs="Times New Roman"/>
      <w:sz w:val="20"/>
      <w:szCs w:val="20"/>
      <w:lang w:val="es-ES" w:eastAsia="es-ES"/>
    </w:rPr>
  </w:style>
  <w:style w:type="character" w:customStyle="1" w:styleId="TtuloCar">
    <w:name w:val="Título Car"/>
    <w:aliases w:val="Subtitulo2 Car"/>
    <w:basedOn w:val="Fuentedeprrafopredeter"/>
    <w:link w:val="Ttulo"/>
    <w:uiPriority w:val="10"/>
    <w:locked/>
    <w:rsid w:val="00AD0693"/>
    <w:rPr>
      <w:rFonts w:ascii="Arial" w:eastAsia="MS Mincho" w:hAnsi="Arial" w:cs="Times New Roman"/>
      <w:b/>
      <w:szCs w:val="24"/>
      <w:lang w:eastAsia="es-ES"/>
    </w:rPr>
  </w:style>
  <w:style w:type="paragraph" w:styleId="Ttulo">
    <w:name w:val="Title"/>
    <w:aliases w:val="Subtitulo2"/>
    <w:basedOn w:val="Sinespaciado"/>
    <w:next w:val="Normal"/>
    <w:link w:val="TtuloCar"/>
    <w:autoRedefine/>
    <w:uiPriority w:val="10"/>
    <w:qFormat/>
    <w:rsid w:val="00AD0693"/>
    <w:pPr>
      <w:numPr>
        <w:numId w:val="19"/>
      </w:numPr>
      <w:tabs>
        <w:tab w:val="num" w:pos="360"/>
      </w:tabs>
      <w:ind w:left="0" w:firstLine="0"/>
      <w:jc w:val="both"/>
      <w:outlineLvl w:val="1"/>
    </w:pPr>
    <w:rPr>
      <w:rFonts w:ascii="Arial" w:eastAsia="MS Mincho" w:hAnsi="Arial" w:cs="Times New Roman"/>
      <w:b/>
      <w:szCs w:val="24"/>
      <w:lang w:eastAsia="es-ES"/>
    </w:rPr>
  </w:style>
  <w:style w:type="character" w:customStyle="1" w:styleId="TtuloCar1">
    <w:name w:val="Título Car1"/>
    <w:aliases w:val="Subtitulo2 Car1"/>
    <w:basedOn w:val="Fuentedeprrafopredeter"/>
    <w:uiPriority w:val="10"/>
    <w:rsid w:val="00AD0693"/>
    <w:rPr>
      <w:rFonts w:asciiTheme="majorHAnsi" w:eastAsiaTheme="majorEastAsia" w:hAnsiTheme="majorHAnsi" w:cstheme="majorBidi"/>
      <w:spacing w:val="-10"/>
      <w:kern w:val="28"/>
      <w:sz w:val="56"/>
      <w:szCs w:val="56"/>
      <w:lang w:val="es-ES" w:eastAsia="es-ES"/>
    </w:rPr>
  </w:style>
  <w:style w:type="character" w:customStyle="1" w:styleId="SubttuloCar">
    <w:name w:val="Subtítulo Car"/>
    <w:aliases w:val="Tablas Car"/>
    <w:basedOn w:val="Fuentedeprrafopredeter"/>
    <w:link w:val="Subttulo"/>
    <w:uiPriority w:val="11"/>
    <w:locked/>
    <w:rsid w:val="00AD0693"/>
    <w:rPr>
      <w:rFonts w:ascii="Arial" w:eastAsiaTheme="majorEastAsia" w:hAnsi="Arial" w:cstheme="majorBidi"/>
      <w:iCs/>
      <w:spacing w:val="15"/>
      <w:sz w:val="16"/>
      <w:szCs w:val="24"/>
      <w:lang w:val="es-ES" w:eastAsia="es-ES"/>
    </w:rPr>
  </w:style>
  <w:style w:type="paragraph" w:styleId="Subttulo">
    <w:name w:val="Subtitle"/>
    <w:aliases w:val="Tablas"/>
    <w:basedOn w:val="Normal"/>
    <w:next w:val="Normal"/>
    <w:link w:val="SubttuloCar"/>
    <w:uiPriority w:val="11"/>
    <w:qFormat/>
    <w:rsid w:val="00AD0693"/>
    <w:pPr>
      <w:jc w:val="both"/>
    </w:pPr>
    <w:rPr>
      <w:rFonts w:ascii="Arial" w:eastAsiaTheme="majorEastAsia" w:hAnsi="Arial" w:cstheme="majorBidi"/>
      <w:iCs/>
      <w:spacing w:val="15"/>
      <w:sz w:val="16"/>
    </w:rPr>
  </w:style>
  <w:style w:type="character" w:customStyle="1" w:styleId="SubttuloCar1">
    <w:name w:val="Subtítulo Car1"/>
    <w:aliases w:val="Tablas Car1"/>
    <w:basedOn w:val="Fuentedeprrafopredeter"/>
    <w:uiPriority w:val="11"/>
    <w:rsid w:val="00AD0693"/>
    <w:rPr>
      <w:rFonts w:eastAsiaTheme="minorEastAsia"/>
      <w:color w:val="5A5A5A" w:themeColor="text1" w:themeTint="A5"/>
      <w:spacing w:val="15"/>
      <w:lang w:val="es-ES" w:eastAsia="es-ES"/>
    </w:rPr>
  </w:style>
  <w:style w:type="paragraph" w:styleId="Textoindependiente2">
    <w:name w:val="Body Text 2"/>
    <w:basedOn w:val="Normal"/>
    <w:link w:val="Textoindependiente2Car"/>
    <w:uiPriority w:val="99"/>
    <w:semiHidden/>
    <w:unhideWhenUsed/>
    <w:rsid w:val="00AD0693"/>
    <w:pPr>
      <w:jc w:val="both"/>
    </w:pPr>
    <w:rPr>
      <w:rFonts w:ascii="Arial" w:eastAsia="Times New Roman" w:hAnsi="Arial"/>
      <w:sz w:val="20"/>
      <w:szCs w:val="20"/>
      <w:lang w:val="es-ES_tradnl"/>
    </w:rPr>
  </w:style>
  <w:style w:type="character" w:customStyle="1" w:styleId="Textoindependiente2Car">
    <w:name w:val="Texto independiente 2 Car"/>
    <w:basedOn w:val="Fuentedeprrafopredeter"/>
    <w:link w:val="Textoindependiente2"/>
    <w:uiPriority w:val="99"/>
    <w:semiHidden/>
    <w:rsid w:val="00AD0693"/>
    <w:rPr>
      <w:rFonts w:ascii="Arial" w:eastAsia="Times New Roman" w:hAnsi="Arial" w:cs="Times New Roman"/>
      <w:sz w:val="20"/>
      <w:szCs w:val="20"/>
      <w:lang w:val="es-ES_tradnl" w:eastAsia="es-ES"/>
    </w:rPr>
  </w:style>
  <w:style w:type="paragraph" w:customStyle="1" w:styleId="Default">
    <w:name w:val="Default"/>
    <w:rsid w:val="00AD0693"/>
    <w:pPr>
      <w:autoSpaceDE w:val="0"/>
      <w:autoSpaceDN w:val="0"/>
      <w:adjustRightInd w:val="0"/>
    </w:pPr>
    <w:rPr>
      <w:rFonts w:ascii="Arial" w:hAnsi="Arial" w:cs="Arial"/>
      <w:color w:val="000000"/>
      <w:sz w:val="24"/>
      <w:szCs w:val="24"/>
      <w:lang w:val="en-US"/>
    </w:rPr>
  </w:style>
  <w:style w:type="paragraph" w:customStyle="1" w:styleId="xmsonormal">
    <w:name w:val="x_msonormal"/>
    <w:basedOn w:val="Normal"/>
    <w:uiPriority w:val="99"/>
    <w:rsid w:val="00AD0693"/>
    <w:pPr>
      <w:spacing w:before="100" w:beforeAutospacing="1" w:after="100" w:afterAutospacing="1"/>
    </w:pPr>
    <w:rPr>
      <w:rFonts w:eastAsia="Times New Roman"/>
      <w:lang w:val="es-CO" w:eastAsia="es-CO"/>
    </w:rPr>
  </w:style>
  <w:style w:type="paragraph" w:customStyle="1" w:styleId="paragraph">
    <w:name w:val="paragraph"/>
    <w:basedOn w:val="Normal"/>
    <w:uiPriority w:val="99"/>
    <w:rsid w:val="00AD0693"/>
    <w:pPr>
      <w:spacing w:before="100" w:beforeAutospacing="1" w:after="100" w:afterAutospacing="1"/>
    </w:pPr>
    <w:rPr>
      <w:rFonts w:eastAsia="Times New Roman"/>
      <w:lang w:val="es-CO" w:eastAsia="es-CO"/>
    </w:rPr>
  </w:style>
  <w:style w:type="character" w:styleId="nfasissutil">
    <w:name w:val="Subtle Emphasis"/>
    <w:aliases w:val="Notas al pie"/>
    <w:basedOn w:val="Fuentedeprrafopredeter"/>
    <w:uiPriority w:val="19"/>
    <w:qFormat/>
    <w:rsid w:val="00AD0693"/>
    <w:rPr>
      <w:rFonts w:ascii="Arial" w:hAnsi="Arial" w:cs="Arial" w:hint="default"/>
      <w:i w:val="0"/>
      <w:iCs/>
      <w:color w:val="auto"/>
      <w:sz w:val="16"/>
    </w:rPr>
  </w:style>
  <w:style w:type="character" w:customStyle="1" w:styleId="font111">
    <w:name w:val="font111"/>
    <w:basedOn w:val="Fuentedeprrafopredeter"/>
    <w:rsid w:val="00AD0693"/>
    <w:rPr>
      <w:rFonts w:ascii="Arial" w:hAnsi="Arial" w:cs="Arial" w:hint="default"/>
      <w:b w:val="0"/>
      <w:bCs w:val="0"/>
      <w:i w:val="0"/>
      <w:iCs w:val="0"/>
      <w:strike w:val="0"/>
      <w:dstrike w:val="0"/>
      <w:color w:val="FFFFFF"/>
      <w:sz w:val="18"/>
      <w:szCs w:val="18"/>
      <w:u w:val="none"/>
      <w:effect w:val="none"/>
    </w:rPr>
  </w:style>
  <w:style w:type="character" w:customStyle="1" w:styleId="font131">
    <w:name w:val="font131"/>
    <w:basedOn w:val="Fuentedeprrafopredeter"/>
    <w:rsid w:val="00AD0693"/>
    <w:rPr>
      <w:rFonts w:ascii="Times New Roman" w:hAnsi="Times New Roman" w:cs="Times New Roman" w:hint="default"/>
      <w:b w:val="0"/>
      <w:bCs w:val="0"/>
      <w:i w:val="0"/>
      <w:iCs w:val="0"/>
      <w:strike w:val="0"/>
      <w:dstrike w:val="0"/>
      <w:color w:val="000000"/>
      <w:sz w:val="18"/>
      <w:szCs w:val="18"/>
      <w:u w:val="none"/>
      <w:effect w:val="none"/>
    </w:rPr>
  </w:style>
  <w:style w:type="character" w:customStyle="1" w:styleId="font81">
    <w:name w:val="font81"/>
    <w:basedOn w:val="Fuentedeprrafopredeter"/>
    <w:rsid w:val="00AD0693"/>
    <w:rPr>
      <w:rFonts w:ascii="Arial" w:hAnsi="Arial" w:cs="Arial" w:hint="default"/>
      <w:b w:val="0"/>
      <w:bCs w:val="0"/>
      <w:i w:val="0"/>
      <w:iCs w:val="0"/>
      <w:strike w:val="0"/>
      <w:dstrike w:val="0"/>
      <w:color w:val="000000"/>
      <w:sz w:val="18"/>
      <w:szCs w:val="18"/>
      <w:u w:val="none"/>
      <w:effect w:val="none"/>
    </w:rPr>
  </w:style>
  <w:style w:type="character" w:customStyle="1" w:styleId="font101">
    <w:name w:val="font101"/>
    <w:basedOn w:val="Fuentedeprrafopredeter"/>
    <w:rsid w:val="00AD0693"/>
    <w:rPr>
      <w:rFonts w:ascii="Arial" w:hAnsi="Arial" w:cs="Arial" w:hint="default"/>
      <w:b w:val="0"/>
      <w:bCs w:val="0"/>
      <w:i w:val="0"/>
      <w:iCs w:val="0"/>
      <w:strike w:val="0"/>
      <w:dstrike w:val="0"/>
      <w:color w:val="000000"/>
      <w:sz w:val="18"/>
      <w:szCs w:val="18"/>
      <w:u w:val="none"/>
      <w:effect w:val="none"/>
    </w:rPr>
  </w:style>
  <w:style w:type="character" w:customStyle="1" w:styleId="font61">
    <w:name w:val="font61"/>
    <w:basedOn w:val="Fuentedeprrafopredeter"/>
    <w:rsid w:val="00AD0693"/>
    <w:rPr>
      <w:rFonts w:ascii="Arial" w:hAnsi="Arial" w:cs="Arial" w:hint="default"/>
      <w:b/>
      <w:bCs/>
      <w:i w:val="0"/>
      <w:iCs w:val="0"/>
      <w:strike w:val="0"/>
      <w:dstrike w:val="0"/>
      <w:color w:val="FFFFFF"/>
      <w:sz w:val="18"/>
      <w:szCs w:val="18"/>
      <w:u w:val="none"/>
      <w:effect w:val="none"/>
    </w:rPr>
  </w:style>
  <w:style w:type="character" w:customStyle="1" w:styleId="font71">
    <w:name w:val="font71"/>
    <w:basedOn w:val="Fuentedeprrafopredeter"/>
    <w:rsid w:val="00AD0693"/>
    <w:rPr>
      <w:rFonts w:ascii="Arial" w:hAnsi="Arial" w:cs="Arial" w:hint="default"/>
      <w:b/>
      <w:bCs/>
      <w:i w:val="0"/>
      <w:iCs w:val="0"/>
      <w:strike w:val="0"/>
      <w:dstrike w:val="0"/>
      <w:color w:val="000000"/>
      <w:sz w:val="18"/>
      <w:szCs w:val="18"/>
      <w:u w:val="none"/>
      <w:effect w:val="none"/>
    </w:rPr>
  </w:style>
  <w:style w:type="character" w:customStyle="1" w:styleId="Mencinsinresolver1">
    <w:name w:val="Mención sin resolver1"/>
    <w:basedOn w:val="Fuentedeprrafopredeter"/>
    <w:uiPriority w:val="99"/>
    <w:semiHidden/>
    <w:rsid w:val="00AD0693"/>
    <w:rPr>
      <w:color w:val="605E5C"/>
      <w:shd w:val="clear" w:color="auto" w:fill="E1DFDD"/>
    </w:rPr>
  </w:style>
  <w:style w:type="character" w:customStyle="1" w:styleId="normaltextrun">
    <w:name w:val="normaltextrun"/>
    <w:basedOn w:val="Fuentedeprrafopredeter"/>
    <w:rsid w:val="00AD0693"/>
  </w:style>
  <w:style w:type="character" w:customStyle="1" w:styleId="eop">
    <w:name w:val="eop"/>
    <w:basedOn w:val="Fuentedeprrafopredeter"/>
    <w:rsid w:val="00AD0693"/>
  </w:style>
  <w:style w:type="paragraph" w:styleId="Revisin">
    <w:name w:val="Revision"/>
    <w:hidden/>
    <w:uiPriority w:val="99"/>
    <w:semiHidden/>
    <w:rsid w:val="0071192D"/>
    <w:rPr>
      <w:rFonts w:ascii="Times New Roman" w:eastAsia="MS Mincho"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0200A8"/>
    <w:rPr>
      <w:color w:val="800080" w:themeColor="followedHyperlink"/>
      <w:u w:val="single"/>
    </w:rPr>
  </w:style>
  <w:style w:type="paragraph" w:styleId="Textoindependiente">
    <w:name w:val="Body Text"/>
    <w:basedOn w:val="Normal"/>
    <w:link w:val="TextoindependienteCar"/>
    <w:uiPriority w:val="99"/>
    <w:semiHidden/>
    <w:unhideWhenUsed/>
    <w:rsid w:val="00F1195D"/>
    <w:pPr>
      <w:spacing w:after="120"/>
    </w:pPr>
  </w:style>
  <w:style w:type="character" w:customStyle="1" w:styleId="TextoindependienteCar">
    <w:name w:val="Texto independiente Car"/>
    <w:basedOn w:val="Fuentedeprrafopredeter"/>
    <w:link w:val="Textoindependiente"/>
    <w:uiPriority w:val="99"/>
    <w:semiHidden/>
    <w:rsid w:val="00F1195D"/>
    <w:rPr>
      <w:rFonts w:ascii="Times New Roman" w:eastAsia="MS Mincho"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8297">
      <w:bodyDiv w:val="1"/>
      <w:marLeft w:val="0"/>
      <w:marRight w:val="0"/>
      <w:marTop w:val="0"/>
      <w:marBottom w:val="0"/>
      <w:divBdr>
        <w:top w:val="none" w:sz="0" w:space="0" w:color="auto"/>
        <w:left w:val="none" w:sz="0" w:space="0" w:color="auto"/>
        <w:bottom w:val="none" w:sz="0" w:space="0" w:color="auto"/>
        <w:right w:val="none" w:sz="0" w:space="0" w:color="auto"/>
      </w:divBdr>
    </w:div>
    <w:div w:id="35743919">
      <w:bodyDiv w:val="1"/>
      <w:marLeft w:val="0"/>
      <w:marRight w:val="0"/>
      <w:marTop w:val="0"/>
      <w:marBottom w:val="0"/>
      <w:divBdr>
        <w:top w:val="none" w:sz="0" w:space="0" w:color="auto"/>
        <w:left w:val="none" w:sz="0" w:space="0" w:color="auto"/>
        <w:bottom w:val="none" w:sz="0" w:space="0" w:color="auto"/>
        <w:right w:val="none" w:sz="0" w:space="0" w:color="auto"/>
      </w:divBdr>
    </w:div>
    <w:div w:id="170603431">
      <w:bodyDiv w:val="1"/>
      <w:marLeft w:val="0"/>
      <w:marRight w:val="0"/>
      <w:marTop w:val="0"/>
      <w:marBottom w:val="0"/>
      <w:divBdr>
        <w:top w:val="none" w:sz="0" w:space="0" w:color="auto"/>
        <w:left w:val="none" w:sz="0" w:space="0" w:color="auto"/>
        <w:bottom w:val="none" w:sz="0" w:space="0" w:color="auto"/>
        <w:right w:val="none" w:sz="0" w:space="0" w:color="auto"/>
      </w:divBdr>
    </w:div>
    <w:div w:id="173302261">
      <w:bodyDiv w:val="1"/>
      <w:marLeft w:val="0"/>
      <w:marRight w:val="0"/>
      <w:marTop w:val="0"/>
      <w:marBottom w:val="0"/>
      <w:divBdr>
        <w:top w:val="none" w:sz="0" w:space="0" w:color="auto"/>
        <w:left w:val="none" w:sz="0" w:space="0" w:color="auto"/>
        <w:bottom w:val="none" w:sz="0" w:space="0" w:color="auto"/>
        <w:right w:val="none" w:sz="0" w:space="0" w:color="auto"/>
      </w:divBdr>
    </w:div>
    <w:div w:id="218327367">
      <w:bodyDiv w:val="1"/>
      <w:marLeft w:val="0"/>
      <w:marRight w:val="0"/>
      <w:marTop w:val="0"/>
      <w:marBottom w:val="0"/>
      <w:divBdr>
        <w:top w:val="none" w:sz="0" w:space="0" w:color="auto"/>
        <w:left w:val="none" w:sz="0" w:space="0" w:color="auto"/>
        <w:bottom w:val="none" w:sz="0" w:space="0" w:color="auto"/>
        <w:right w:val="none" w:sz="0" w:space="0" w:color="auto"/>
      </w:divBdr>
    </w:div>
    <w:div w:id="250823940">
      <w:bodyDiv w:val="1"/>
      <w:marLeft w:val="0"/>
      <w:marRight w:val="0"/>
      <w:marTop w:val="0"/>
      <w:marBottom w:val="0"/>
      <w:divBdr>
        <w:top w:val="none" w:sz="0" w:space="0" w:color="auto"/>
        <w:left w:val="none" w:sz="0" w:space="0" w:color="auto"/>
        <w:bottom w:val="none" w:sz="0" w:space="0" w:color="auto"/>
        <w:right w:val="none" w:sz="0" w:space="0" w:color="auto"/>
      </w:divBdr>
    </w:div>
    <w:div w:id="303051801">
      <w:bodyDiv w:val="1"/>
      <w:marLeft w:val="0"/>
      <w:marRight w:val="0"/>
      <w:marTop w:val="0"/>
      <w:marBottom w:val="0"/>
      <w:divBdr>
        <w:top w:val="none" w:sz="0" w:space="0" w:color="auto"/>
        <w:left w:val="none" w:sz="0" w:space="0" w:color="auto"/>
        <w:bottom w:val="none" w:sz="0" w:space="0" w:color="auto"/>
        <w:right w:val="none" w:sz="0" w:space="0" w:color="auto"/>
      </w:divBdr>
    </w:div>
    <w:div w:id="333921284">
      <w:bodyDiv w:val="1"/>
      <w:marLeft w:val="0"/>
      <w:marRight w:val="0"/>
      <w:marTop w:val="0"/>
      <w:marBottom w:val="0"/>
      <w:divBdr>
        <w:top w:val="none" w:sz="0" w:space="0" w:color="auto"/>
        <w:left w:val="none" w:sz="0" w:space="0" w:color="auto"/>
        <w:bottom w:val="none" w:sz="0" w:space="0" w:color="auto"/>
        <w:right w:val="none" w:sz="0" w:space="0" w:color="auto"/>
      </w:divBdr>
    </w:div>
    <w:div w:id="368073143">
      <w:bodyDiv w:val="1"/>
      <w:marLeft w:val="0"/>
      <w:marRight w:val="0"/>
      <w:marTop w:val="0"/>
      <w:marBottom w:val="0"/>
      <w:divBdr>
        <w:top w:val="none" w:sz="0" w:space="0" w:color="auto"/>
        <w:left w:val="none" w:sz="0" w:space="0" w:color="auto"/>
        <w:bottom w:val="none" w:sz="0" w:space="0" w:color="auto"/>
        <w:right w:val="none" w:sz="0" w:space="0" w:color="auto"/>
      </w:divBdr>
    </w:div>
    <w:div w:id="372929156">
      <w:bodyDiv w:val="1"/>
      <w:marLeft w:val="0"/>
      <w:marRight w:val="0"/>
      <w:marTop w:val="0"/>
      <w:marBottom w:val="0"/>
      <w:divBdr>
        <w:top w:val="none" w:sz="0" w:space="0" w:color="auto"/>
        <w:left w:val="none" w:sz="0" w:space="0" w:color="auto"/>
        <w:bottom w:val="none" w:sz="0" w:space="0" w:color="auto"/>
        <w:right w:val="none" w:sz="0" w:space="0" w:color="auto"/>
      </w:divBdr>
      <w:divsChild>
        <w:div w:id="1552961270">
          <w:marLeft w:val="0"/>
          <w:marRight w:val="0"/>
          <w:marTop w:val="0"/>
          <w:marBottom w:val="0"/>
          <w:divBdr>
            <w:top w:val="none" w:sz="0" w:space="0" w:color="auto"/>
            <w:left w:val="none" w:sz="0" w:space="0" w:color="auto"/>
            <w:bottom w:val="none" w:sz="0" w:space="0" w:color="auto"/>
            <w:right w:val="none" w:sz="0" w:space="0" w:color="auto"/>
          </w:divBdr>
        </w:div>
      </w:divsChild>
    </w:div>
    <w:div w:id="414059244">
      <w:bodyDiv w:val="1"/>
      <w:marLeft w:val="0"/>
      <w:marRight w:val="0"/>
      <w:marTop w:val="0"/>
      <w:marBottom w:val="0"/>
      <w:divBdr>
        <w:top w:val="none" w:sz="0" w:space="0" w:color="auto"/>
        <w:left w:val="none" w:sz="0" w:space="0" w:color="auto"/>
        <w:bottom w:val="none" w:sz="0" w:space="0" w:color="auto"/>
        <w:right w:val="none" w:sz="0" w:space="0" w:color="auto"/>
      </w:divBdr>
      <w:divsChild>
        <w:div w:id="550583588">
          <w:marLeft w:val="0"/>
          <w:marRight w:val="0"/>
          <w:marTop w:val="0"/>
          <w:marBottom w:val="0"/>
          <w:divBdr>
            <w:top w:val="none" w:sz="0" w:space="0" w:color="auto"/>
            <w:left w:val="none" w:sz="0" w:space="0" w:color="auto"/>
            <w:bottom w:val="none" w:sz="0" w:space="0" w:color="auto"/>
            <w:right w:val="none" w:sz="0" w:space="0" w:color="auto"/>
          </w:divBdr>
        </w:div>
      </w:divsChild>
    </w:div>
    <w:div w:id="437454506">
      <w:bodyDiv w:val="1"/>
      <w:marLeft w:val="0"/>
      <w:marRight w:val="0"/>
      <w:marTop w:val="0"/>
      <w:marBottom w:val="0"/>
      <w:divBdr>
        <w:top w:val="none" w:sz="0" w:space="0" w:color="auto"/>
        <w:left w:val="none" w:sz="0" w:space="0" w:color="auto"/>
        <w:bottom w:val="none" w:sz="0" w:space="0" w:color="auto"/>
        <w:right w:val="none" w:sz="0" w:space="0" w:color="auto"/>
      </w:divBdr>
    </w:div>
    <w:div w:id="490996187">
      <w:bodyDiv w:val="1"/>
      <w:marLeft w:val="0"/>
      <w:marRight w:val="0"/>
      <w:marTop w:val="0"/>
      <w:marBottom w:val="0"/>
      <w:divBdr>
        <w:top w:val="none" w:sz="0" w:space="0" w:color="auto"/>
        <w:left w:val="none" w:sz="0" w:space="0" w:color="auto"/>
        <w:bottom w:val="none" w:sz="0" w:space="0" w:color="auto"/>
        <w:right w:val="none" w:sz="0" w:space="0" w:color="auto"/>
      </w:divBdr>
    </w:div>
    <w:div w:id="533620183">
      <w:bodyDiv w:val="1"/>
      <w:marLeft w:val="0"/>
      <w:marRight w:val="0"/>
      <w:marTop w:val="0"/>
      <w:marBottom w:val="0"/>
      <w:divBdr>
        <w:top w:val="none" w:sz="0" w:space="0" w:color="auto"/>
        <w:left w:val="none" w:sz="0" w:space="0" w:color="auto"/>
        <w:bottom w:val="none" w:sz="0" w:space="0" w:color="auto"/>
        <w:right w:val="none" w:sz="0" w:space="0" w:color="auto"/>
      </w:divBdr>
    </w:div>
    <w:div w:id="609630119">
      <w:bodyDiv w:val="1"/>
      <w:marLeft w:val="0"/>
      <w:marRight w:val="0"/>
      <w:marTop w:val="0"/>
      <w:marBottom w:val="0"/>
      <w:divBdr>
        <w:top w:val="none" w:sz="0" w:space="0" w:color="auto"/>
        <w:left w:val="none" w:sz="0" w:space="0" w:color="auto"/>
        <w:bottom w:val="none" w:sz="0" w:space="0" w:color="auto"/>
        <w:right w:val="none" w:sz="0" w:space="0" w:color="auto"/>
      </w:divBdr>
    </w:div>
    <w:div w:id="625696727">
      <w:bodyDiv w:val="1"/>
      <w:marLeft w:val="0"/>
      <w:marRight w:val="0"/>
      <w:marTop w:val="0"/>
      <w:marBottom w:val="0"/>
      <w:divBdr>
        <w:top w:val="none" w:sz="0" w:space="0" w:color="auto"/>
        <w:left w:val="none" w:sz="0" w:space="0" w:color="auto"/>
        <w:bottom w:val="none" w:sz="0" w:space="0" w:color="auto"/>
        <w:right w:val="none" w:sz="0" w:space="0" w:color="auto"/>
      </w:divBdr>
    </w:div>
    <w:div w:id="657004268">
      <w:bodyDiv w:val="1"/>
      <w:marLeft w:val="0"/>
      <w:marRight w:val="0"/>
      <w:marTop w:val="0"/>
      <w:marBottom w:val="0"/>
      <w:divBdr>
        <w:top w:val="none" w:sz="0" w:space="0" w:color="auto"/>
        <w:left w:val="none" w:sz="0" w:space="0" w:color="auto"/>
        <w:bottom w:val="none" w:sz="0" w:space="0" w:color="auto"/>
        <w:right w:val="none" w:sz="0" w:space="0" w:color="auto"/>
      </w:divBdr>
    </w:div>
    <w:div w:id="705132319">
      <w:bodyDiv w:val="1"/>
      <w:marLeft w:val="0"/>
      <w:marRight w:val="0"/>
      <w:marTop w:val="0"/>
      <w:marBottom w:val="0"/>
      <w:divBdr>
        <w:top w:val="none" w:sz="0" w:space="0" w:color="auto"/>
        <w:left w:val="none" w:sz="0" w:space="0" w:color="auto"/>
        <w:bottom w:val="none" w:sz="0" w:space="0" w:color="auto"/>
        <w:right w:val="none" w:sz="0" w:space="0" w:color="auto"/>
      </w:divBdr>
    </w:div>
    <w:div w:id="711154780">
      <w:bodyDiv w:val="1"/>
      <w:marLeft w:val="0"/>
      <w:marRight w:val="0"/>
      <w:marTop w:val="0"/>
      <w:marBottom w:val="0"/>
      <w:divBdr>
        <w:top w:val="none" w:sz="0" w:space="0" w:color="auto"/>
        <w:left w:val="none" w:sz="0" w:space="0" w:color="auto"/>
        <w:bottom w:val="none" w:sz="0" w:space="0" w:color="auto"/>
        <w:right w:val="none" w:sz="0" w:space="0" w:color="auto"/>
      </w:divBdr>
    </w:div>
    <w:div w:id="764686292">
      <w:bodyDiv w:val="1"/>
      <w:marLeft w:val="0"/>
      <w:marRight w:val="0"/>
      <w:marTop w:val="0"/>
      <w:marBottom w:val="0"/>
      <w:divBdr>
        <w:top w:val="none" w:sz="0" w:space="0" w:color="auto"/>
        <w:left w:val="none" w:sz="0" w:space="0" w:color="auto"/>
        <w:bottom w:val="none" w:sz="0" w:space="0" w:color="auto"/>
        <w:right w:val="none" w:sz="0" w:space="0" w:color="auto"/>
      </w:divBdr>
    </w:div>
    <w:div w:id="779639473">
      <w:bodyDiv w:val="1"/>
      <w:marLeft w:val="0"/>
      <w:marRight w:val="0"/>
      <w:marTop w:val="0"/>
      <w:marBottom w:val="0"/>
      <w:divBdr>
        <w:top w:val="none" w:sz="0" w:space="0" w:color="auto"/>
        <w:left w:val="none" w:sz="0" w:space="0" w:color="auto"/>
        <w:bottom w:val="none" w:sz="0" w:space="0" w:color="auto"/>
        <w:right w:val="none" w:sz="0" w:space="0" w:color="auto"/>
      </w:divBdr>
    </w:div>
    <w:div w:id="804736814">
      <w:bodyDiv w:val="1"/>
      <w:marLeft w:val="0"/>
      <w:marRight w:val="0"/>
      <w:marTop w:val="0"/>
      <w:marBottom w:val="0"/>
      <w:divBdr>
        <w:top w:val="none" w:sz="0" w:space="0" w:color="auto"/>
        <w:left w:val="none" w:sz="0" w:space="0" w:color="auto"/>
        <w:bottom w:val="none" w:sz="0" w:space="0" w:color="auto"/>
        <w:right w:val="none" w:sz="0" w:space="0" w:color="auto"/>
      </w:divBdr>
    </w:div>
    <w:div w:id="858473402">
      <w:bodyDiv w:val="1"/>
      <w:marLeft w:val="0"/>
      <w:marRight w:val="0"/>
      <w:marTop w:val="0"/>
      <w:marBottom w:val="0"/>
      <w:divBdr>
        <w:top w:val="none" w:sz="0" w:space="0" w:color="auto"/>
        <w:left w:val="none" w:sz="0" w:space="0" w:color="auto"/>
        <w:bottom w:val="none" w:sz="0" w:space="0" w:color="auto"/>
        <w:right w:val="none" w:sz="0" w:space="0" w:color="auto"/>
      </w:divBdr>
    </w:div>
    <w:div w:id="1122462885">
      <w:bodyDiv w:val="1"/>
      <w:marLeft w:val="0"/>
      <w:marRight w:val="0"/>
      <w:marTop w:val="0"/>
      <w:marBottom w:val="0"/>
      <w:divBdr>
        <w:top w:val="none" w:sz="0" w:space="0" w:color="auto"/>
        <w:left w:val="none" w:sz="0" w:space="0" w:color="auto"/>
        <w:bottom w:val="none" w:sz="0" w:space="0" w:color="auto"/>
        <w:right w:val="none" w:sz="0" w:space="0" w:color="auto"/>
      </w:divBdr>
    </w:div>
    <w:div w:id="1222131188">
      <w:bodyDiv w:val="1"/>
      <w:marLeft w:val="0"/>
      <w:marRight w:val="0"/>
      <w:marTop w:val="0"/>
      <w:marBottom w:val="0"/>
      <w:divBdr>
        <w:top w:val="none" w:sz="0" w:space="0" w:color="auto"/>
        <w:left w:val="none" w:sz="0" w:space="0" w:color="auto"/>
        <w:bottom w:val="none" w:sz="0" w:space="0" w:color="auto"/>
        <w:right w:val="none" w:sz="0" w:space="0" w:color="auto"/>
      </w:divBdr>
      <w:divsChild>
        <w:div w:id="5602828">
          <w:marLeft w:val="0"/>
          <w:marRight w:val="0"/>
          <w:marTop w:val="0"/>
          <w:marBottom w:val="0"/>
          <w:divBdr>
            <w:top w:val="none" w:sz="0" w:space="0" w:color="auto"/>
            <w:left w:val="none" w:sz="0" w:space="0" w:color="auto"/>
            <w:bottom w:val="none" w:sz="0" w:space="0" w:color="auto"/>
            <w:right w:val="none" w:sz="0" w:space="0" w:color="auto"/>
          </w:divBdr>
        </w:div>
      </w:divsChild>
    </w:div>
    <w:div w:id="1231229642">
      <w:bodyDiv w:val="1"/>
      <w:marLeft w:val="0"/>
      <w:marRight w:val="0"/>
      <w:marTop w:val="0"/>
      <w:marBottom w:val="0"/>
      <w:divBdr>
        <w:top w:val="none" w:sz="0" w:space="0" w:color="auto"/>
        <w:left w:val="none" w:sz="0" w:space="0" w:color="auto"/>
        <w:bottom w:val="none" w:sz="0" w:space="0" w:color="auto"/>
        <w:right w:val="none" w:sz="0" w:space="0" w:color="auto"/>
      </w:divBdr>
    </w:div>
    <w:div w:id="1275215474">
      <w:bodyDiv w:val="1"/>
      <w:marLeft w:val="0"/>
      <w:marRight w:val="0"/>
      <w:marTop w:val="0"/>
      <w:marBottom w:val="0"/>
      <w:divBdr>
        <w:top w:val="none" w:sz="0" w:space="0" w:color="auto"/>
        <w:left w:val="none" w:sz="0" w:space="0" w:color="auto"/>
        <w:bottom w:val="none" w:sz="0" w:space="0" w:color="auto"/>
        <w:right w:val="none" w:sz="0" w:space="0" w:color="auto"/>
      </w:divBdr>
    </w:div>
    <w:div w:id="1299611285">
      <w:bodyDiv w:val="1"/>
      <w:marLeft w:val="0"/>
      <w:marRight w:val="0"/>
      <w:marTop w:val="0"/>
      <w:marBottom w:val="0"/>
      <w:divBdr>
        <w:top w:val="none" w:sz="0" w:space="0" w:color="auto"/>
        <w:left w:val="none" w:sz="0" w:space="0" w:color="auto"/>
        <w:bottom w:val="none" w:sz="0" w:space="0" w:color="auto"/>
        <w:right w:val="none" w:sz="0" w:space="0" w:color="auto"/>
      </w:divBdr>
    </w:div>
    <w:div w:id="1344358990">
      <w:bodyDiv w:val="1"/>
      <w:marLeft w:val="0"/>
      <w:marRight w:val="0"/>
      <w:marTop w:val="0"/>
      <w:marBottom w:val="0"/>
      <w:divBdr>
        <w:top w:val="none" w:sz="0" w:space="0" w:color="auto"/>
        <w:left w:val="none" w:sz="0" w:space="0" w:color="auto"/>
        <w:bottom w:val="none" w:sz="0" w:space="0" w:color="auto"/>
        <w:right w:val="none" w:sz="0" w:space="0" w:color="auto"/>
      </w:divBdr>
    </w:div>
    <w:div w:id="1353219567">
      <w:bodyDiv w:val="1"/>
      <w:marLeft w:val="0"/>
      <w:marRight w:val="0"/>
      <w:marTop w:val="0"/>
      <w:marBottom w:val="0"/>
      <w:divBdr>
        <w:top w:val="none" w:sz="0" w:space="0" w:color="auto"/>
        <w:left w:val="none" w:sz="0" w:space="0" w:color="auto"/>
        <w:bottom w:val="none" w:sz="0" w:space="0" w:color="auto"/>
        <w:right w:val="none" w:sz="0" w:space="0" w:color="auto"/>
      </w:divBdr>
    </w:div>
    <w:div w:id="1381319114">
      <w:bodyDiv w:val="1"/>
      <w:marLeft w:val="0"/>
      <w:marRight w:val="0"/>
      <w:marTop w:val="0"/>
      <w:marBottom w:val="0"/>
      <w:divBdr>
        <w:top w:val="none" w:sz="0" w:space="0" w:color="auto"/>
        <w:left w:val="none" w:sz="0" w:space="0" w:color="auto"/>
        <w:bottom w:val="none" w:sz="0" w:space="0" w:color="auto"/>
        <w:right w:val="none" w:sz="0" w:space="0" w:color="auto"/>
      </w:divBdr>
    </w:div>
    <w:div w:id="1533616676">
      <w:bodyDiv w:val="1"/>
      <w:marLeft w:val="0"/>
      <w:marRight w:val="0"/>
      <w:marTop w:val="0"/>
      <w:marBottom w:val="0"/>
      <w:divBdr>
        <w:top w:val="none" w:sz="0" w:space="0" w:color="auto"/>
        <w:left w:val="none" w:sz="0" w:space="0" w:color="auto"/>
        <w:bottom w:val="none" w:sz="0" w:space="0" w:color="auto"/>
        <w:right w:val="none" w:sz="0" w:space="0" w:color="auto"/>
      </w:divBdr>
    </w:div>
    <w:div w:id="1542324915">
      <w:bodyDiv w:val="1"/>
      <w:marLeft w:val="0"/>
      <w:marRight w:val="0"/>
      <w:marTop w:val="0"/>
      <w:marBottom w:val="0"/>
      <w:divBdr>
        <w:top w:val="none" w:sz="0" w:space="0" w:color="auto"/>
        <w:left w:val="none" w:sz="0" w:space="0" w:color="auto"/>
        <w:bottom w:val="none" w:sz="0" w:space="0" w:color="auto"/>
        <w:right w:val="none" w:sz="0" w:space="0" w:color="auto"/>
      </w:divBdr>
    </w:div>
    <w:div w:id="1613242949">
      <w:bodyDiv w:val="1"/>
      <w:marLeft w:val="0"/>
      <w:marRight w:val="0"/>
      <w:marTop w:val="0"/>
      <w:marBottom w:val="0"/>
      <w:divBdr>
        <w:top w:val="none" w:sz="0" w:space="0" w:color="auto"/>
        <w:left w:val="none" w:sz="0" w:space="0" w:color="auto"/>
        <w:bottom w:val="none" w:sz="0" w:space="0" w:color="auto"/>
        <w:right w:val="none" w:sz="0" w:space="0" w:color="auto"/>
      </w:divBdr>
    </w:div>
    <w:div w:id="1626811483">
      <w:bodyDiv w:val="1"/>
      <w:marLeft w:val="0"/>
      <w:marRight w:val="0"/>
      <w:marTop w:val="0"/>
      <w:marBottom w:val="0"/>
      <w:divBdr>
        <w:top w:val="none" w:sz="0" w:space="0" w:color="auto"/>
        <w:left w:val="none" w:sz="0" w:space="0" w:color="auto"/>
        <w:bottom w:val="none" w:sz="0" w:space="0" w:color="auto"/>
        <w:right w:val="none" w:sz="0" w:space="0" w:color="auto"/>
      </w:divBdr>
    </w:div>
    <w:div w:id="1666129133">
      <w:bodyDiv w:val="1"/>
      <w:marLeft w:val="0"/>
      <w:marRight w:val="0"/>
      <w:marTop w:val="0"/>
      <w:marBottom w:val="0"/>
      <w:divBdr>
        <w:top w:val="none" w:sz="0" w:space="0" w:color="auto"/>
        <w:left w:val="none" w:sz="0" w:space="0" w:color="auto"/>
        <w:bottom w:val="none" w:sz="0" w:space="0" w:color="auto"/>
        <w:right w:val="none" w:sz="0" w:space="0" w:color="auto"/>
      </w:divBdr>
    </w:div>
    <w:div w:id="1690763483">
      <w:bodyDiv w:val="1"/>
      <w:marLeft w:val="0"/>
      <w:marRight w:val="0"/>
      <w:marTop w:val="0"/>
      <w:marBottom w:val="0"/>
      <w:divBdr>
        <w:top w:val="none" w:sz="0" w:space="0" w:color="auto"/>
        <w:left w:val="none" w:sz="0" w:space="0" w:color="auto"/>
        <w:bottom w:val="none" w:sz="0" w:space="0" w:color="auto"/>
        <w:right w:val="none" w:sz="0" w:space="0" w:color="auto"/>
      </w:divBdr>
    </w:div>
    <w:div w:id="1704557922">
      <w:bodyDiv w:val="1"/>
      <w:marLeft w:val="0"/>
      <w:marRight w:val="0"/>
      <w:marTop w:val="0"/>
      <w:marBottom w:val="0"/>
      <w:divBdr>
        <w:top w:val="none" w:sz="0" w:space="0" w:color="auto"/>
        <w:left w:val="none" w:sz="0" w:space="0" w:color="auto"/>
        <w:bottom w:val="none" w:sz="0" w:space="0" w:color="auto"/>
        <w:right w:val="none" w:sz="0" w:space="0" w:color="auto"/>
      </w:divBdr>
    </w:div>
    <w:div w:id="1759862715">
      <w:bodyDiv w:val="1"/>
      <w:marLeft w:val="0"/>
      <w:marRight w:val="0"/>
      <w:marTop w:val="0"/>
      <w:marBottom w:val="0"/>
      <w:divBdr>
        <w:top w:val="none" w:sz="0" w:space="0" w:color="auto"/>
        <w:left w:val="none" w:sz="0" w:space="0" w:color="auto"/>
        <w:bottom w:val="none" w:sz="0" w:space="0" w:color="auto"/>
        <w:right w:val="none" w:sz="0" w:space="0" w:color="auto"/>
      </w:divBdr>
    </w:div>
    <w:div w:id="1785728776">
      <w:bodyDiv w:val="1"/>
      <w:marLeft w:val="0"/>
      <w:marRight w:val="0"/>
      <w:marTop w:val="0"/>
      <w:marBottom w:val="0"/>
      <w:divBdr>
        <w:top w:val="none" w:sz="0" w:space="0" w:color="auto"/>
        <w:left w:val="none" w:sz="0" w:space="0" w:color="auto"/>
        <w:bottom w:val="none" w:sz="0" w:space="0" w:color="auto"/>
        <w:right w:val="none" w:sz="0" w:space="0" w:color="auto"/>
      </w:divBdr>
      <w:divsChild>
        <w:div w:id="342710594">
          <w:marLeft w:val="0"/>
          <w:marRight w:val="0"/>
          <w:marTop w:val="0"/>
          <w:marBottom w:val="0"/>
          <w:divBdr>
            <w:top w:val="none" w:sz="0" w:space="0" w:color="auto"/>
            <w:left w:val="none" w:sz="0" w:space="0" w:color="auto"/>
            <w:bottom w:val="none" w:sz="0" w:space="0" w:color="auto"/>
            <w:right w:val="none" w:sz="0" w:space="0" w:color="auto"/>
          </w:divBdr>
        </w:div>
      </w:divsChild>
    </w:div>
    <w:div w:id="1856503878">
      <w:bodyDiv w:val="1"/>
      <w:marLeft w:val="0"/>
      <w:marRight w:val="0"/>
      <w:marTop w:val="0"/>
      <w:marBottom w:val="0"/>
      <w:divBdr>
        <w:top w:val="none" w:sz="0" w:space="0" w:color="auto"/>
        <w:left w:val="none" w:sz="0" w:space="0" w:color="auto"/>
        <w:bottom w:val="none" w:sz="0" w:space="0" w:color="auto"/>
        <w:right w:val="none" w:sz="0" w:space="0" w:color="auto"/>
      </w:divBdr>
    </w:div>
    <w:div w:id="1883787966">
      <w:bodyDiv w:val="1"/>
      <w:marLeft w:val="0"/>
      <w:marRight w:val="0"/>
      <w:marTop w:val="0"/>
      <w:marBottom w:val="0"/>
      <w:divBdr>
        <w:top w:val="none" w:sz="0" w:space="0" w:color="auto"/>
        <w:left w:val="none" w:sz="0" w:space="0" w:color="auto"/>
        <w:bottom w:val="none" w:sz="0" w:space="0" w:color="auto"/>
        <w:right w:val="none" w:sz="0" w:space="0" w:color="auto"/>
      </w:divBdr>
    </w:div>
    <w:div w:id="1923491405">
      <w:bodyDiv w:val="1"/>
      <w:marLeft w:val="0"/>
      <w:marRight w:val="0"/>
      <w:marTop w:val="0"/>
      <w:marBottom w:val="0"/>
      <w:divBdr>
        <w:top w:val="none" w:sz="0" w:space="0" w:color="auto"/>
        <w:left w:val="none" w:sz="0" w:space="0" w:color="auto"/>
        <w:bottom w:val="none" w:sz="0" w:space="0" w:color="auto"/>
        <w:right w:val="none" w:sz="0" w:space="0" w:color="auto"/>
      </w:divBdr>
    </w:div>
    <w:div w:id="1925144740">
      <w:bodyDiv w:val="1"/>
      <w:marLeft w:val="0"/>
      <w:marRight w:val="0"/>
      <w:marTop w:val="0"/>
      <w:marBottom w:val="0"/>
      <w:divBdr>
        <w:top w:val="none" w:sz="0" w:space="0" w:color="auto"/>
        <w:left w:val="none" w:sz="0" w:space="0" w:color="auto"/>
        <w:bottom w:val="none" w:sz="0" w:space="0" w:color="auto"/>
        <w:right w:val="none" w:sz="0" w:space="0" w:color="auto"/>
      </w:divBdr>
    </w:div>
    <w:div w:id="1937588416">
      <w:bodyDiv w:val="1"/>
      <w:marLeft w:val="0"/>
      <w:marRight w:val="0"/>
      <w:marTop w:val="0"/>
      <w:marBottom w:val="0"/>
      <w:divBdr>
        <w:top w:val="none" w:sz="0" w:space="0" w:color="auto"/>
        <w:left w:val="none" w:sz="0" w:space="0" w:color="auto"/>
        <w:bottom w:val="none" w:sz="0" w:space="0" w:color="auto"/>
        <w:right w:val="none" w:sz="0" w:space="0" w:color="auto"/>
      </w:divBdr>
    </w:div>
    <w:div w:id="1959869662">
      <w:bodyDiv w:val="1"/>
      <w:marLeft w:val="0"/>
      <w:marRight w:val="0"/>
      <w:marTop w:val="0"/>
      <w:marBottom w:val="0"/>
      <w:divBdr>
        <w:top w:val="none" w:sz="0" w:space="0" w:color="auto"/>
        <w:left w:val="none" w:sz="0" w:space="0" w:color="auto"/>
        <w:bottom w:val="none" w:sz="0" w:space="0" w:color="auto"/>
        <w:right w:val="none" w:sz="0" w:space="0" w:color="auto"/>
      </w:divBdr>
    </w:div>
    <w:div w:id="1974796777">
      <w:bodyDiv w:val="1"/>
      <w:marLeft w:val="0"/>
      <w:marRight w:val="0"/>
      <w:marTop w:val="0"/>
      <w:marBottom w:val="0"/>
      <w:divBdr>
        <w:top w:val="none" w:sz="0" w:space="0" w:color="auto"/>
        <w:left w:val="none" w:sz="0" w:space="0" w:color="auto"/>
        <w:bottom w:val="none" w:sz="0" w:space="0" w:color="auto"/>
        <w:right w:val="none" w:sz="0" w:space="0" w:color="auto"/>
      </w:divBdr>
    </w:div>
    <w:div w:id="1998267709">
      <w:bodyDiv w:val="1"/>
      <w:marLeft w:val="0"/>
      <w:marRight w:val="0"/>
      <w:marTop w:val="0"/>
      <w:marBottom w:val="0"/>
      <w:divBdr>
        <w:top w:val="none" w:sz="0" w:space="0" w:color="auto"/>
        <w:left w:val="none" w:sz="0" w:space="0" w:color="auto"/>
        <w:bottom w:val="none" w:sz="0" w:space="0" w:color="auto"/>
        <w:right w:val="none" w:sz="0" w:space="0" w:color="auto"/>
      </w:divBdr>
    </w:div>
    <w:div w:id="2025208681">
      <w:bodyDiv w:val="1"/>
      <w:marLeft w:val="0"/>
      <w:marRight w:val="0"/>
      <w:marTop w:val="0"/>
      <w:marBottom w:val="0"/>
      <w:divBdr>
        <w:top w:val="none" w:sz="0" w:space="0" w:color="auto"/>
        <w:left w:val="none" w:sz="0" w:space="0" w:color="auto"/>
        <w:bottom w:val="none" w:sz="0" w:space="0" w:color="auto"/>
        <w:right w:val="none" w:sz="0" w:space="0" w:color="auto"/>
      </w:divBdr>
      <w:divsChild>
        <w:div w:id="2060084147">
          <w:marLeft w:val="0"/>
          <w:marRight w:val="0"/>
          <w:marTop w:val="0"/>
          <w:marBottom w:val="0"/>
          <w:divBdr>
            <w:top w:val="none" w:sz="0" w:space="0" w:color="auto"/>
            <w:left w:val="none" w:sz="0" w:space="0" w:color="auto"/>
            <w:bottom w:val="none" w:sz="0" w:space="0" w:color="auto"/>
            <w:right w:val="none" w:sz="0" w:space="0" w:color="auto"/>
          </w:divBdr>
        </w:div>
      </w:divsChild>
    </w:div>
    <w:div w:id="2118331933">
      <w:bodyDiv w:val="1"/>
      <w:marLeft w:val="0"/>
      <w:marRight w:val="0"/>
      <w:marTop w:val="0"/>
      <w:marBottom w:val="0"/>
      <w:divBdr>
        <w:top w:val="none" w:sz="0" w:space="0" w:color="auto"/>
        <w:left w:val="none" w:sz="0" w:space="0" w:color="auto"/>
        <w:bottom w:val="none" w:sz="0" w:space="0" w:color="auto"/>
        <w:right w:val="none" w:sz="0" w:space="0" w:color="auto"/>
      </w:divBdr>
    </w:div>
    <w:div w:id="213478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39QcmJ6" TargetMode="External"/><Relationship Id="rId18" Type="http://schemas.openxmlformats.org/officeDocument/2006/relationships/hyperlink" Target="https://bit.ly/3RIB8Mk" TargetMode="External"/><Relationship Id="rId26" Type="http://schemas.openxmlformats.org/officeDocument/2006/relationships/hyperlink" Target="https://bit.ly/3MSIsEJ" TargetMode="External"/><Relationship Id="rId39" Type="http://schemas.openxmlformats.org/officeDocument/2006/relationships/hyperlink" Target="https://bit.ly/3AZAaWe" TargetMode="External"/><Relationship Id="rId21" Type="http://schemas.openxmlformats.org/officeDocument/2006/relationships/hyperlink" Target="https://bit.ly/3IFib9b" TargetMode="External"/><Relationship Id="rId34" Type="http://schemas.openxmlformats.org/officeDocument/2006/relationships/hyperlink" Target="https://onx.la/e80ca" TargetMode="External"/><Relationship Id="rId42" Type="http://schemas.openxmlformats.org/officeDocument/2006/relationships/hyperlink" Target="https://bit.ly/3RIB8Mk" TargetMode="External"/><Relationship Id="rId47" Type="http://schemas.openxmlformats.org/officeDocument/2006/relationships/hyperlink" Target="https://bit.ly/3zfSNDN" TargetMode="External"/><Relationship Id="rId50" Type="http://schemas.openxmlformats.org/officeDocument/2006/relationships/footer" Target="footer1.xml"/><Relationship Id="rId55" Type="http://schemas.openxmlformats.org/officeDocument/2006/relationships/customXml" Target="../customXml/item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it.ly/3IzevWk" TargetMode="External"/><Relationship Id="rId29" Type="http://schemas.openxmlformats.org/officeDocument/2006/relationships/hyperlink" Target="https://onx.la/41285" TargetMode="External"/><Relationship Id="rId11" Type="http://schemas.openxmlformats.org/officeDocument/2006/relationships/image" Target="media/image1.emf"/><Relationship Id="rId24" Type="http://schemas.openxmlformats.org/officeDocument/2006/relationships/hyperlink" Target="https://bit.ly/3zgWeuC" TargetMode="External"/><Relationship Id="rId32" Type="http://schemas.openxmlformats.org/officeDocument/2006/relationships/hyperlink" Target="https://bit.ly/3NQceYm" TargetMode="External"/><Relationship Id="rId37" Type="http://schemas.openxmlformats.org/officeDocument/2006/relationships/hyperlink" Target="https://bit.ly/3IFib9b" TargetMode="External"/><Relationship Id="rId40" Type="http://schemas.openxmlformats.org/officeDocument/2006/relationships/hyperlink" Target="https://bit.ly/3RUoude" TargetMode="External"/><Relationship Id="rId45" Type="http://schemas.openxmlformats.org/officeDocument/2006/relationships/hyperlink" Target="https://onx.la/93c61"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bit.ly/3OEcTMJ" TargetMode="External"/><Relationship Id="rId31" Type="http://schemas.openxmlformats.org/officeDocument/2006/relationships/hyperlink" Target="https://bit.ly/3zgiULe" TargetMode="External"/><Relationship Id="rId44" Type="http://schemas.openxmlformats.org/officeDocument/2006/relationships/hyperlink" Target="https://onx.la/1d2cf"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3P3N8WW" TargetMode="External"/><Relationship Id="rId22" Type="http://schemas.openxmlformats.org/officeDocument/2006/relationships/hyperlink" Target="https://onx.la/e80ca" TargetMode="External"/><Relationship Id="rId27" Type="http://schemas.openxmlformats.org/officeDocument/2006/relationships/hyperlink" Target="https://bit.ly/3GUSFvJ" TargetMode="External"/><Relationship Id="rId30" Type="http://schemas.openxmlformats.org/officeDocument/2006/relationships/hyperlink" Target="https://bit.ly/3zgiULe" TargetMode="External"/><Relationship Id="rId35" Type="http://schemas.openxmlformats.org/officeDocument/2006/relationships/hyperlink" Target="https://onx.la/e823f" TargetMode="External"/><Relationship Id="rId43" Type="http://schemas.openxmlformats.org/officeDocument/2006/relationships/hyperlink" Target="https://onx.la/8df40" TargetMode="External"/><Relationship Id="rId48" Type="http://schemas.openxmlformats.org/officeDocument/2006/relationships/hyperlink" Target="https://onx.la/93c61" TargetMode="External"/><Relationship Id="rId8" Type="http://schemas.openxmlformats.org/officeDocument/2006/relationships/webSettings" Target="webSettings.xml"/><Relationship Id="rId51" Type="http://schemas.openxmlformats.org/officeDocument/2006/relationships/header" Target="header2.xml"/><Relationship Id="rId12" Type="http://schemas.openxmlformats.org/officeDocument/2006/relationships/hyperlink" Target="https://bit.ly/3Ptjhao" TargetMode="External"/><Relationship Id="rId17" Type="http://schemas.openxmlformats.org/officeDocument/2006/relationships/hyperlink" Target="https://bit.ly/3z3THDk" TargetMode="External"/><Relationship Id="rId25" Type="http://schemas.openxmlformats.org/officeDocument/2006/relationships/hyperlink" Target="https://bit.ly/45rTl7G" TargetMode="External"/><Relationship Id="rId33" Type="http://schemas.openxmlformats.org/officeDocument/2006/relationships/hyperlink" Target="https://bit.ly/3IFib9b" TargetMode="External"/><Relationship Id="rId38" Type="http://schemas.openxmlformats.org/officeDocument/2006/relationships/hyperlink" Target="https://bit.ly/3zaAG26" TargetMode="External"/><Relationship Id="rId46" Type="http://schemas.openxmlformats.org/officeDocument/2006/relationships/hyperlink" Target="https://onx.la/8df40" TargetMode="External"/><Relationship Id="rId20" Type="http://schemas.openxmlformats.org/officeDocument/2006/relationships/image" Target="media/image2.emf"/><Relationship Id="rId41" Type="http://schemas.openxmlformats.org/officeDocument/2006/relationships/hyperlink" Target="https://bit.ly/39QcmJ6"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it.ly/3xSbH1N" TargetMode="External"/><Relationship Id="rId23" Type="http://schemas.openxmlformats.org/officeDocument/2006/relationships/hyperlink" Target="https://onx.la/1eca9" TargetMode="External"/><Relationship Id="rId28" Type="http://schemas.openxmlformats.org/officeDocument/2006/relationships/hyperlink" Target="https://bit.ly/3PSMIU6" TargetMode="External"/><Relationship Id="rId36" Type="http://schemas.openxmlformats.org/officeDocument/2006/relationships/hyperlink" Target="https://onx.la/ed42f" TargetMode="External"/><Relationship Id="rId4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Description="Crear nuevo documento." ma:contentTypeID="0x01010084C9ADB8B30D0C428EB90BAD02695755" ma:contentTypeName="Documento" ma:contentTypeScope="" ma:contentTypeVersion="2" ma:versionID="8f427e7d64eeff7f62b2d8ce0247c007">
  <xsd:schema xmlns:ns2="9b439fa8-e993-4352-b14e-36bd4af4dd6d" xmlns:ns3="68aa4d9b-49e9-4141-85be-49b88062f9db" xmlns:p="http://schemas.microsoft.com/office/2006/metadata/properties" xmlns:xs="http://www.w3.org/2001/XMLSchema" xmlns:xsd="http://www.w3.org/2001/XMLSchema" ma:fieldsID="0aa6ddb5e47afd631c08966bde719e9f" ma:root="true" ns2:_="" ns3:_="" targetNamespace="http://schemas.microsoft.com/office/2006/metadata/properties">
    <xsd:import namespace="9b439fa8-e993-4352-b14e-36bd4af4dd6d"/>
    <xsd:import namespace="68aa4d9b-49e9-4141-85be-49b88062f9db"/>
    <xsd:element name="properties">
      <xsd:complexType>
        <xsd:sequence>
          <xsd:element name="documentManagement">
            <xsd:complexType>
              <xsd:all>
                <xsd:element minOccurs="0" ref="ns2:_dlc_DocId"/>
                <xsd:element minOccurs="0" ref="ns2:_dlc_DocIdUrl"/>
                <xsd:element minOccurs="0" ref="ns2:_dlc_DocIdPersistId"/>
                <xsd:element minOccurs="0" ref="ns3:Fecha_x0020_Publicaci_x00f3_n"/>
                <xsd:element minOccurs="0" ref="ns3:Nivel"/>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9b439fa8-e993-4352-b14e-36bd4af4dd6d">
    <xsd:import namespace="http://schemas.microsoft.com/office/2006/documentManagement/types"/>
    <xsd:import namespace="http://schemas.microsoft.com/office/infopath/2007/PartnerControls"/>
    <xsd:element ma:description="El valor del identificador de documento asignado a este elemento." ma:displayName="Valor de Id. de documento" ma:index="8" ma:internalName="_dlc_DocId" ma:readOnly="true" name="_dlc_DocId" nillable="true">
      <xsd:simpleType>
        <xsd:restriction base="dms:Text"/>
      </xsd:simpleType>
    </xsd:element>
    <xsd:element ma:description="Vínculo permanente a este documento." ma:displayName="Id. de documento"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Keep ID on add." ma:displayName="Persist ID" ma:hidden="true" ma:index="10" ma:internalName="_dlc_DocIdPersistId" ma:readOnly="true" name="_dlc_DocIdPersistId" nillable="true">
      <xsd:simpleType>
        <xsd:restriction base="dms:Boolea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68aa4d9b-49e9-4141-85be-49b88062f9db">
    <xsd:import namespace="http://schemas.microsoft.com/office/2006/documentManagement/types"/>
    <xsd:import namespace="http://schemas.microsoft.com/office/infopath/2007/PartnerControls"/>
    <xsd:element ma:displayName="Fecha Publicación" ma:format="DateTime" ma:index="11" ma:internalName="Fecha_x0020_Publicaci_x00f3_n" name="Fecha_x0020_Publicaci_x00f3_n" nillable="true">
      <xsd:simpleType>
        <xsd:restriction base="dms:DateTime"/>
      </xsd:simpleType>
    </xsd:element>
    <xsd:element ma:decimals="0" ma:displayName="Nivel" ma:index="12" ma:internalName="Nivel" name="Nivel" nillable="true">
      <xsd:simpleType>
        <xsd:restriction base="dms:Number"/>
      </xsd:simpleType>
    </xsd:element>
  </xsd:schema>
  <xsd:schema xmlns="http://schemas.openxmlformats.org/package/2006/metadata/core-properties" xmlns:dc="http://purl.org/dc/elements/1.1/" xmlns:dcterms="http://purl.org/dc/terms/" xmlns:odoc="http://schemas.microsoft.com/internal/obd" xmlns:xsd="http://www.w3.org/2001/XMLSchema"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ipo de contenido" ma:index="0" maxOccurs="1" minOccurs="0" name="contentType" type="xsd:string"/>
        <xsd:element ma:displayName="Título"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pc="http://schemas.microsoft.com/office/infopath/2007/PartnerControls" xmlns:xs="http://www.w3.org/2001/XMLSchema"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2.xml><?xml version="1.0" encoding="utf-8"?>
<ds:datastoreItem xmlns:ds="http://schemas.openxmlformats.org/officeDocument/2006/customXml" ds:itemID="{5C091438-7706-4DB2-ACA9-C0240B178D56}"/>
</file>

<file path=customXml/itemProps3.xml><?xml version="1.0" encoding="utf-8"?>
<ds:datastoreItem xmlns:ds="http://schemas.openxmlformats.org/officeDocument/2006/customXml" ds:itemID="{FB1F6158-E6B9-433A-8C56-F9B0B794325C}">
  <ds:schemaRefs>
    <ds:schemaRef ds:uri="http://schemas.microsoft.com/office/2006/metadata/contentType"/>
    <ds:schemaRef ds:uri="http://schemas.microsoft.com/office/2006/metadata/properties/metaAttributes"/>
    <ds:schemaRef ds:uri="9b439fa8-e993-4352-b14e-36bd4af4dd6d"/>
    <ds:schemaRef ds:uri="68aa4d9b-49e9-4141-85be-49b88062f9db"/>
    <ds:schemaRef ds:uri="http://schemas.microsoft.com/office/2006/metadata/properties"/>
    <ds:schemaRef ds:uri="http://www.w3.org/2001/XMLSchem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0D5506-9412-41B4-B75F-84CCEB3EC701}">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4C3428FA-3778-446F-B3FE-81C98065554E}"/>
</file>

<file path=docProps/app.xml><?xml version="1.0" encoding="utf-8"?>
<Properties xmlns="http://schemas.openxmlformats.org/officeDocument/2006/extended-properties" xmlns:vt="http://schemas.openxmlformats.org/officeDocument/2006/docPropsVTypes">
  <Template>Plantilla_Oficio_Comunicación_Oficial_Enviada</Template>
  <TotalTime>1</TotalTime>
  <Pages>34</Pages>
  <Words>13433</Words>
  <Characters>73883</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87142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dc:description>Octubre de 2014</dc:description>
  <cp:lastModifiedBy>Pablo Andres</cp:lastModifiedBy>
  <cp:revision>2</cp:revision>
  <cp:lastPrinted>2015-12-16T15:04:00Z</cp:lastPrinted>
  <dcterms:created xsi:type="dcterms:W3CDTF">2023-10-14T09:20:00Z</dcterms:created>
  <dcterms:modified xsi:type="dcterms:W3CDTF">2023-10-14T09:20:00Z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