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2.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1.xml" ContentType="application/vnd.openxmlformats-officedocument.wordprocessingml.footer+xml"/>
  <Override PartName="/word/theme/themeOverride1.xml" ContentType="application/vnd.openxmlformats-officedocument.themeOverride+xml"/>
  <Override PartName="/word/comments.xml" ContentType="application/vnd.openxmlformats-officedocument.wordprocessingml.comments+xml"/>
  <Override PartName="/word/charts/style2.xml" ContentType="application/vnd.ms-office.chartstyle+xml"/>
  <Override PartName="/word/charts/colors1.xml" ContentType="application/vnd.ms-office.chartcolorstyle+xml"/>
  <Override PartName="/word/charts/colors2.xml" ContentType="application/vnd.ms-office.chartcolorstyle+xml"/>
  <Override PartName="/word/theme/themeOverride2.xml" ContentType="application/vnd.openxmlformats-officedocument.themeOverride+xml"/>
  <Override PartName="/word/charts/chart2.xml" ContentType="application/vnd.openxmlformats-officedocument.drawingml.chart+xml"/>
  <Override PartName="/word/charts/chart1.xml" ContentType="application/vnd.openxmlformats-officedocument.drawingml.chart+xml"/>
  <Override PartName="/word/theme/theme1.xml" ContentType="application/vnd.openxmlformats-officedocument.theme+xml"/>
  <Override PartName="/word/charts/style1.xml" ContentType="application/vnd.ms-office.chartstyl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docProps/custom.xml" ContentType="application/vnd.openxmlformats-officedocument.custom-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word/commentsExtended.xml" ContentType="application/vnd.openxmlformats-officedocument.wordprocessingml.commentsExtended+xml"/>
  <Override PartName="/docProps/core.xml" ContentType="application/vnd.openxmlformats-package.core-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word/commentsIds.xml" ContentType="application/vnd.openxmlformats-officedocument.wordprocessingml.commentsId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10C672" w14:textId="77777777" w:rsidR="000742BD" w:rsidRPr="000742BD" w:rsidRDefault="000742BD" w:rsidP="000742BD">
      <w:pPr>
        <w:spacing w:line="276" w:lineRule="auto"/>
        <w:jc w:val="center"/>
        <w:rPr>
          <w:rFonts w:ascii="Arial Narrow" w:eastAsia="Times New Roman" w:hAnsi="Arial Narrow" w:cs="Arial"/>
          <w:b/>
          <w:sz w:val="22"/>
          <w:szCs w:val="22"/>
          <w:lang w:val="es-CO" w:eastAsia="en-US"/>
        </w:rPr>
      </w:pPr>
      <w:r w:rsidRPr="000742BD">
        <w:rPr>
          <w:rFonts w:ascii="Arial Narrow" w:eastAsia="Times New Roman" w:hAnsi="Arial Narrow" w:cs="Arial"/>
          <w:b/>
          <w:sz w:val="22"/>
          <w:szCs w:val="22"/>
          <w:lang w:val="es-CO" w:eastAsia="en-US"/>
        </w:rPr>
        <w:t xml:space="preserve">MUNICIPIO DE SOACHA - CUNDINAMARCA </w:t>
      </w:r>
    </w:p>
    <w:p w14:paraId="3199E233" w14:textId="77777777" w:rsidR="000742BD" w:rsidRPr="000742BD" w:rsidRDefault="000742BD" w:rsidP="000742BD">
      <w:pPr>
        <w:spacing w:line="276" w:lineRule="auto"/>
        <w:jc w:val="center"/>
        <w:rPr>
          <w:rFonts w:ascii="Arial Narrow" w:eastAsia="Times New Roman" w:hAnsi="Arial Narrow" w:cs="Arial"/>
          <w:b/>
          <w:sz w:val="22"/>
          <w:szCs w:val="22"/>
          <w:lang w:val="es-CO" w:eastAsia="en-US"/>
        </w:rPr>
      </w:pPr>
      <w:r w:rsidRPr="000742BD">
        <w:rPr>
          <w:rFonts w:ascii="Arial Narrow" w:eastAsia="Times New Roman" w:hAnsi="Arial Narrow" w:cs="Arial"/>
          <w:b/>
          <w:sz w:val="22"/>
          <w:szCs w:val="22"/>
          <w:lang w:val="es-CO" w:eastAsia="en-US"/>
        </w:rPr>
        <w:t>INFORME DE PRE DIAGNÓSTICO INSTITUCIONAL</w:t>
      </w:r>
    </w:p>
    <w:p w14:paraId="77878FBF" w14:textId="77777777" w:rsidR="000742BD" w:rsidRPr="000742BD" w:rsidRDefault="000742BD" w:rsidP="000742BD">
      <w:pPr>
        <w:spacing w:line="276" w:lineRule="auto"/>
        <w:jc w:val="center"/>
        <w:rPr>
          <w:rFonts w:ascii="Arial Narrow" w:eastAsia="Times New Roman" w:hAnsi="Arial Narrow" w:cs="Arial"/>
          <w:b/>
          <w:sz w:val="22"/>
          <w:szCs w:val="22"/>
          <w:lang w:val="es-CO" w:eastAsia="en-US"/>
        </w:rPr>
      </w:pPr>
      <w:r w:rsidRPr="000742BD">
        <w:rPr>
          <w:rFonts w:ascii="Arial Narrow" w:eastAsia="Times New Roman" w:hAnsi="Arial Narrow" w:cs="Arial"/>
          <w:b/>
          <w:sz w:val="22"/>
          <w:szCs w:val="22"/>
          <w:lang w:val="es-CO" w:eastAsia="en-US"/>
        </w:rPr>
        <w:t>SECTOR DE AGUA POTABLE Y SANEAMIENTO BÁSICO</w:t>
      </w:r>
    </w:p>
    <w:p w14:paraId="26A28EB2" w14:textId="77777777" w:rsidR="000742BD" w:rsidRPr="000742BD" w:rsidRDefault="000742BD" w:rsidP="000742BD">
      <w:pPr>
        <w:jc w:val="center"/>
        <w:rPr>
          <w:rFonts w:ascii="Arial Narrow" w:hAnsi="Arial Narrow" w:cs="Arial"/>
          <w:b/>
          <w:sz w:val="22"/>
          <w:szCs w:val="22"/>
        </w:rPr>
      </w:pPr>
      <w:r w:rsidRPr="000742BD">
        <w:rPr>
          <w:rFonts w:ascii="Arial Narrow" w:hAnsi="Arial Narrow" w:cs="Arial"/>
          <w:b/>
          <w:sz w:val="22"/>
          <w:szCs w:val="22"/>
        </w:rPr>
        <w:t>ABRIL 2022</w:t>
      </w:r>
    </w:p>
    <w:p w14:paraId="45490354" w14:textId="77777777" w:rsidR="000742BD" w:rsidRPr="000742BD" w:rsidRDefault="000742BD" w:rsidP="000742BD">
      <w:pPr>
        <w:jc w:val="center"/>
        <w:rPr>
          <w:rFonts w:ascii="Arial Narrow" w:hAnsi="Arial Narrow" w:cs="Arial"/>
          <w:b/>
          <w:bCs/>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122"/>
        <w:gridCol w:w="2409"/>
      </w:tblGrid>
      <w:tr w:rsidR="000742BD" w:rsidRPr="000742BD" w14:paraId="05094DFE" w14:textId="77777777" w:rsidTr="000742BD">
        <w:trPr>
          <w:trHeight w:val="276"/>
          <w:jc w:val="center"/>
        </w:trPr>
        <w:tc>
          <w:tcPr>
            <w:tcW w:w="2122" w:type="dxa"/>
            <w:tcBorders>
              <w:top w:val="single" w:sz="4" w:space="0" w:color="auto"/>
            </w:tcBorders>
            <w:shd w:val="clear" w:color="auto" w:fill="DBE5F1" w:themeFill="accent1" w:themeFillTint="33"/>
            <w:hideMark/>
          </w:tcPr>
          <w:p w14:paraId="1D117DFE" w14:textId="77777777" w:rsidR="000742BD" w:rsidRPr="000742BD" w:rsidRDefault="000742BD" w:rsidP="000742BD">
            <w:pPr>
              <w:rPr>
                <w:rFonts w:ascii="Arial Narrow" w:hAnsi="Arial Narrow" w:cs="Arial"/>
                <w:i/>
                <w:sz w:val="22"/>
                <w:szCs w:val="22"/>
              </w:rPr>
            </w:pPr>
            <w:r w:rsidRPr="000742BD">
              <w:rPr>
                <w:rFonts w:ascii="Arial Narrow" w:hAnsi="Arial Narrow" w:cs="Arial"/>
                <w:bCs/>
                <w:i/>
                <w:sz w:val="22"/>
                <w:szCs w:val="22"/>
              </w:rPr>
              <w:t>Número de Expediente</w:t>
            </w:r>
          </w:p>
        </w:tc>
        <w:tc>
          <w:tcPr>
            <w:tcW w:w="2409" w:type="dxa"/>
            <w:tcBorders>
              <w:top w:val="single" w:sz="4" w:space="0" w:color="auto"/>
            </w:tcBorders>
            <w:shd w:val="clear" w:color="auto" w:fill="DBE5F1" w:themeFill="accent1" w:themeFillTint="33"/>
            <w:hideMark/>
          </w:tcPr>
          <w:p w14:paraId="431B2FE5" w14:textId="77777777" w:rsidR="000742BD" w:rsidRPr="000742BD" w:rsidRDefault="000742BD" w:rsidP="000742BD">
            <w:pPr>
              <w:rPr>
                <w:rFonts w:ascii="Arial Narrow" w:hAnsi="Arial Narrow" w:cs="Arial"/>
                <w:b/>
                <w:bCs/>
                <w:sz w:val="22"/>
                <w:szCs w:val="22"/>
              </w:rPr>
            </w:pPr>
            <w:r w:rsidRPr="000742BD">
              <w:rPr>
                <w:rFonts w:ascii="Arial Narrow" w:hAnsi="Arial Narrow" w:cs="Arial"/>
                <w:sz w:val="22"/>
                <w:szCs w:val="22"/>
              </w:rPr>
              <w:t>7/2020/D028-PREDI</w:t>
            </w:r>
          </w:p>
        </w:tc>
      </w:tr>
      <w:tr w:rsidR="000742BD" w:rsidRPr="000742BD" w14:paraId="66E86CF2" w14:textId="77777777" w:rsidTr="000742BD">
        <w:trPr>
          <w:trHeight w:val="276"/>
          <w:jc w:val="center"/>
        </w:trPr>
        <w:tc>
          <w:tcPr>
            <w:tcW w:w="2122" w:type="dxa"/>
            <w:shd w:val="clear" w:color="auto" w:fill="DBE5F1" w:themeFill="accent1" w:themeFillTint="33"/>
            <w:hideMark/>
          </w:tcPr>
          <w:p w14:paraId="5101CF08" w14:textId="77777777" w:rsidR="000742BD" w:rsidRPr="000742BD" w:rsidRDefault="000742BD" w:rsidP="000742BD">
            <w:pPr>
              <w:rPr>
                <w:rFonts w:ascii="Arial Narrow" w:hAnsi="Arial Narrow" w:cs="Arial"/>
                <w:bCs/>
                <w:i/>
                <w:sz w:val="22"/>
                <w:szCs w:val="22"/>
              </w:rPr>
            </w:pPr>
            <w:r w:rsidRPr="000742BD">
              <w:rPr>
                <w:rFonts w:ascii="Arial Narrow" w:hAnsi="Arial Narrow" w:cs="Arial"/>
                <w:bCs/>
                <w:i/>
                <w:sz w:val="22"/>
                <w:szCs w:val="22"/>
              </w:rPr>
              <w:t>Sector</w:t>
            </w:r>
          </w:p>
        </w:tc>
        <w:tc>
          <w:tcPr>
            <w:tcW w:w="2409" w:type="dxa"/>
            <w:shd w:val="clear" w:color="auto" w:fill="DBE5F1" w:themeFill="accent1" w:themeFillTint="33"/>
            <w:hideMark/>
          </w:tcPr>
          <w:p w14:paraId="4D7043DE" w14:textId="77777777" w:rsidR="000742BD" w:rsidRPr="000742BD" w:rsidRDefault="000742BD" w:rsidP="000742BD">
            <w:pPr>
              <w:rPr>
                <w:rFonts w:ascii="Arial Narrow" w:hAnsi="Arial Narrow" w:cs="Arial"/>
                <w:b/>
                <w:bCs/>
                <w:sz w:val="22"/>
                <w:szCs w:val="22"/>
              </w:rPr>
            </w:pPr>
            <w:r w:rsidRPr="000742BD">
              <w:rPr>
                <w:rFonts w:ascii="Arial Narrow" w:hAnsi="Arial Narrow" w:cs="Arial"/>
                <w:b/>
                <w:bCs/>
                <w:sz w:val="22"/>
                <w:szCs w:val="22"/>
              </w:rPr>
              <w:t>APSB</w:t>
            </w:r>
          </w:p>
        </w:tc>
      </w:tr>
      <w:tr w:rsidR="000742BD" w:rsidRPr="000742BD" w14:paraId="2E8C7801" w14:textId="77777777" w:rsidTr="000742BD">
        <w:trPr>
          <w:trHeight w:val="299"/>
          <w:jc w:val="center"/>
        </w:trPr>
        <w:tc>
          <w:tcPr>
            <w:tcW w:w="2122" w:type="dxa"/>
            <w:shd w:val="clear" w:color="auto" w:fill="DBE5F1" w:themeFill="accent1" w:themeFillTint="33"/>
            <w:hideMark/>
          </w:tcPr>
          <w:p w14:paraId="7DA85CD2" w14:textId="77777777" w:rsidR="000742BD" w:rsidRPr="000742BD" w:rsidRDefault="000742BD" w:rsidP="000742BD">
            <w:pPr>
              <w:rPr>
                <w:rFonts w:ascii="Arial Narrow" w:hAnsi="Arial Narrow" w:cs="Arial"/>
                <w:bCs/>
                <w:i/>
                <w:sz w:val="22"/>
                <w:szCs w:val="22"/>
              </w:rPr>
            </w:pPr>
            <w:r w:rsidRPr="000742BD">
              <w:rPr>
                <w:rFonts w:ascii="Arial Narrow" w:hAnsi="Arial Narrow" w:cs="Arial"/>
                <w:bCs/>
                <w:i/>
                <w:sz w:val="22"/>
                <w:szCs w:val="22"/>
              </w:rPr>
              <w:t>Tipo de Entidad</w:t>
            </w:r>
          </w:p>
        </w:tc>
        <w:tc>
          <w:tcPr>
            <w:tcW w:w="2409" w:type="dxa"/>
            <w:shd w:val="clear" w:color="auto" w:fill="DBE5F1" w:themeFill="accent1" w:themeFillTint="33"/>
            <w:hideMark/>
          </w:tcPr>
          <w:p w14:paraId="3EFDED7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MUNICIPIO</w:t>
            </w:r>
          </w:p>
        </w:tc>
      </w:tr>
      <w:tr w:rsidR="000742BD" w:rsidRPr="000742BD" w14:paraId="71FBD00B" w14:textId="77777777" w:rsidTr="000742BD">
        <w:trPr>
          <w:trHeight w:val="276"/>
          <w:jc w:val="center"/>
        </w:trPr>
        <w:tc>
          <w:tcPr>
            <w:tcW w:w="2122" w:type="dxa"/>
            <w:tcBorders>
              <w:bottom w:val="single" w:sz="4" w:space="0" w:color="auto"/>
            </w:tcBorders>
            <w:shd w:val="clear" w:color="auto" w:fill="DBE5F1" w:themeFill="accent1" w:themeFillTint="33"/>
            <w:hideMark/>
          </w:tcPr>
          <w:p w14:paraId="5DE47C8D" w14:textId="77777777" w:rsidR="000742BD" w:rsidRPr="000742BD" w:rsidRDefault="000742BD" w:rsidP="000742BD">
            <w:pPr>
              <w:rPr>
                <w:rFonts w:ascii="Arial Narrow" w:hAnsi="Arial Narrow" w:cs="Arial"/>
                <w:bCs/>
                <w:i/>
                <w:sz w:val="22"/>
                <w:szCs w:val="22"/>
              </w:rPr>
            </w:pPr>
            <w:r w:rsidRPr="000742BD">
              <w:rPr>
                <w:rFonts w:ascii="Arial Narrow" w:hAnsi="Arial Narrow" w:cs="Arial"/>
                <w:bCs/>
                <w:i/>
                <w:sz w:val="22"/>
                <w:szCs w:val="22"/>
              </w:rPr>
              <w:t>Entidad</w:t>
            </w:r>
          </w:p>
        </w:tc>
        <w:tc>
          <w:tcPr>
            <w:tcW w:w="2409" w:type="dxa"/>
            <w:tcBorders>
              <w:bottom w:val="single" w:sz="4" w:space="0" w:color="auto"/>
            </w:tcBorders>
            <w:shd w:val="clear" w:color="auto" w:fill="DBE5F1" w:themeFill="accent1" w:themeFillTint="33"/>
            <w:hideMark/>
          </w:tcPr>
          <w:p w14:paraId="218B2449"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SOACHA - CUNDINAMARCA</w:t>
            </w:r>
          </w:p>
        </w:tc>
      </w:tr>
    </w:tbl>
    <w:p w14:paraId="646939CB" w14:textId="77777777" w:rsidR="000742BD" w:rsidRPr="000742BD" w:rsidRDefault="000742BD" w:rsidP="000742BD">
      <w:pPr>
        <w:jc w:val="both"/>
        <w:rPr>
          <w:rFonts w:ascii="Arial Narrow" w:hAnsi="Arial Narrow" w:cs="Arial"/>
          <w:sz w:val="22"/>
          <w:szCs w:val="22"/>
        </w:rPr>
      </w:pPr>
    </w:p>
    <w:p w14:paraId="33DB0E11" w14:textId="77777777" w:rsidR="00FC5946" w:rsidRDefault="00FC5946" w:rsidP="00FC5946">
      <w:pPr>
        <w:tabs>
          <w:tab w:val="left" w:pos="5985"/>
        </w:tabs>
        <w:jc w:val="both"/>
        <w:rPr>
          <w:rFonts w:ascii="Arial Narrow" w:hAnsi="Arial Narrow"/>
          <w:b/>
          <w:sz w:val="22"/>
          <w:szCs w:val="22"/>
        </w:rPr>
      </w:pPr>
    </w:p>
    <w:p w14:paraId="75B77C89" w14:textId="77777777" w:rsidR="00FC5946" w:rsidRPr="000742BD" w:rsidRDefault="00FC5946" w:rsidP="00FC5946">
      <w:pPr>
        <w:tabs>
          <w:tab w:val="left" w:pos="5985"/>
        </w:tabs>
        <w:jc w:val="both"/>
        <w:rPr>
          <w:rFonts w:ascii="Arial Narrow" w:hAnsi="Arial Narrow"/>
          <w:b/>
          <w:sz w:val="22"/>
          <w:szCs w:val="22"/>
        </w:rPr>
      </w:pPr>
      <w:r w:rsidRPr="000742BD">
        <w:rPr>
          <w:rFonts w:ascii="Arial Narrow" w:hAnsi="Arial Narrow"/>
          <w:b/>
          <w:sz w:val="22"/>
          <w:szCs w:val="22"/>
        </w:rPr>
        <w:t>SIGLAS Y ACRÓNIMOS</w:t>
      </w:r>
    </w:p>
    <w:p w14:paraId="1B319639" w14:textId="77777777" w:rsidR="00FC5946" w:rsidRPr="000742BD" w:rsidRDefault="00FC5946" w:rsidP="00FC5946">
      <w:pPr>
        <w:tabs>
          <w:tab w:val="left" w:pos="5985"/>
        </w:tabs>
        <w:jc w:val="both"/>
        <w:rPr>
          <w:rFonts w:ascii="Arial Narrow" w:hAnsi="Arial Narrow"/>
          <w:bCs/>
          <w:sz w:val="22"/>
          <w:szCs w:val="22"/>
        </w:rPr>
      </w:pPr>
    </w:p>
    <w:p w14:paraId="585CC553"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En la elaboración del presente informe se utilizan las siguientes siglas y acrónimos:</w:t>
      </w:r>
    </w:p>
    <w:p w14:paraId="7A0AD8F7" w14:textId="77777777" w:rsidR="00FC5946" w:rsidRPr="000742BD" w:rsidRDefault="00FC5946" w:rsidP="00FC5946">
      <w:pPr>
        <w:tabs>
          <w:tab w:val="left" w:pos="5985"/>
        </w:tabs>
        <w:jc w:val="both"/>
        <w:rPr>
          <w:rFonts w:ascii="Arial Narrow" w:hAnsi="Arial Narrow"/>
          <w:bCs/>
          <w:sz w:val="22"/>
          <w:szCs w:val="22"/>
        </w:rPr>
      </w:pPr>
    </w:p>
    <w:p w14:paraId="0D327771"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APSB: Agua Potable y Saneamiento Básico</w:t>
      </w:r>
    </w:p>
    <w:p w14:paraId="641CD954"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 xml:space="preserve">CCPET: </w:t>
      </w:r>
      <w:r w:rsidRPr="000742BD">
        <w:rPr>
          <w:rFonts w:ascii="Arial Narrow" w:hAnsi="Arial Narrow" w:cs="Arial"/>
          <w:sz w:val="22"/>
          <w:szCs w:val="22"/>
        </w:rPr>
        <w:t>Catálogo de Clasificación Presupuestal para Entidades Territoriales y sus Descentralizadas</w:t>
      </w:r>
      <w:r w:rsidRPr="000742BD">
        <w:rPr>
          <w:rFonts w:ascii="Arial Narrow" w:hAnsi="Arial Narrow"/>
          <w:bCs/>
          <w:sz w:val="22"/>
          <w:szCs w:val="22"/>
        </w:rPr>
        <w:t xml:space="preserve"> </w:t>
      </w:r>
    </w:p>
    <w:p w14:paraId="41CA5CF5"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cs="Arial"/>
          <w:bCs/>
          <w:sz w:val="22"/>
          <w:szCs w:val="22"/>
          <w:shd w:val="clear" w:color="auto" w:fill="FFFFFF"/>
        </w:rPr>
        <w:t>CDP: Certificado de Disponibilidad Presupuestal.</w:t>
      </w:r>
    </w:p>
    <w:p w14:paraId="0B5CFCFF"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CHIP: Consolidador de Hacienda e Información Pública.</w:t>
      </w:r>
    </w:p>
    <w:p w14:paraId="09627BE3"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CAR: Corporación Autónoma Regional</w:t>
      </w:r>
    </w:p>
    <w:p w14:paraId="22375E40"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 xml:space="preserve">CUIPO: </w:t>
      </w:r>
      <w:r w:rsidRPr="000742BD">
        <w:rPr>
          <w:rFonts w:ascii="Arial Narrow" w:hAnsi="Arial Narrow" w:cs="Arial"/>
          <w:sz w:val="22"/>
          <w:szCs w:val="22"/>
          <w:lang w:val="es-CO" w:eastAsia="en-US"/>
        </w:rPr>
        <w:t>Categoría Única de Información del Presupuesto Ordinario</w:t>
      </w:r>
    </w:p>
    <w:p w14:paraId="41278C3A"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DAF: Dirección General de Apoyo Fiscal.</w:t>
      </w:r>
    </w:p>
    <w:p w14:paraId="253B51C8"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E.S.P. Empresa de Servicios Públicos</w:t>
      </w:r>
    </w:p>
    <w:p w14:paraId="6FBD2EC9"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FUT: Formulario Único Territorial.</w:t>
      </w:r>
    </w:p>
    <w:p w14:paraId="47B8B9A6"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I.A.N.C: Índice de Agua No Contabilizada.</w:t>
      </w:r>
    </w:p>
    <w:p w14:paraId="14B6ED0C"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sz w:val="22"/>
          <w:szCs w:val="22"/>
        </w:rPr>
        <w:t>IPUF: Índice de Pérdidas por Suscriptor Facturado</w:t>
      </w:r>
    </w:p>
    <w:p w14:paraId="48B0B3BC"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MHCP: Ministerio de Hacienda y Crédito Público</w:t>
      </w:r>
    </w:p>
    <w:p w14:paraId="3DEC0CFD"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MVCT: Ministerio de Vivienda, Ciudad y Territorio</w:t>
      </w:r>
    </w:p>
    <w:p w14:paraId="23BB09A6"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S.A: Sociedad Anónima</w:t>
      </w:r>
    </w:p>
    <w:p w14:paraId="596DE092" w14:textId="77777777" w:rsidR="00FC5946" w:rsidRPr="000742BD" w:rsidRDefault="00FC5946" w:rsidP="00FC5946">
      <w:pPr>
        <w:jc w:val="both"/>
        <w:rPr>
          <w:rFonts w:ascii="Arial Narrow" w:hAnsi="Arial Narrow" w:cs="Arial"/>
          <w:sz w:val="22"/>
          <w:szCs w:val="22"/>
          <w:lang w:val="es-CO" w:eastAsia="es-CO"/>
        </w:rPr>
      </w:pPr>
      <w:r w:rsidRPr="000742BD">
        <w:rPr>
          <w:rFonts w:ascii="Arial Narrow" w:hAnsi="Arial Narrow"/>
          <w:bCs/>
          <w:sz w:val="22"/>
          <w:szCs w:val="22"/>
        </w:rPr>
        <w:t xml:space="preserve">SECOP: </w:t>
      </w:r>
      <w:r w:rsidRPr="000742BD">
        <w:rPr>
          <w:rFonts w:ascii="Arial Narrow" w:hAnsi="Arial Narrow" w:cs="Arial"/>
          <w:sz w:val="22"/>
          <w:szCs w:val="22"/>
          <w:lang w:val="es-CO" w:eastAsia="es-CO"/>
        </w:rPr>
        <w:t>El Sistema Electrónico de Contratación Pública.</w:t>
      </w:r>
    </w:p>
    <w:p w14:paraId="674D34E0"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S.G.P: Sistema General de Participaciones</w:t>
      </w:r>
    </w:p>
    <w:p w14:paraId="17F26E89"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S.S.P.D: Superintendencia de Servicios Públicos Domiciliarios</w:t>
      </w:r>
    </w:p>
    <w:p w14:paraId="4A874C98"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SUI: Sistema Único de Información</w:t>
      </w:r>
    </w:p>
    <w:p w14:paraId="4392405B" w14:textId="77777777" w:rsidR="00FC5946" w:rsidRPr="000742BD" w:rsidRDefault="00FC5946" w:rsidP="00FC5946">
      <w:pPr>
        <w:tabs>
          <w:tab w:val="left" w:pos="5985"/>
        </w:tabs>
        <w:jc w:val="both"/>
        <w:rPr>
          <w:rFonts w:ascii="Arial Narrow" w:hAnsi="Arial Narrow" w:cs="Arial"/>
          <w:sz w:val="22"/>
          <w:szCs w:val="22"/>
        </w:rPr>
      </w:pPr>
      <w:r w:rsidRPr="000742BD">
        <w:rPr>
          <w:rFonts w:ascii="Arial Narrow" w:hAnsi="Arial Narrow" w:cs="Arial"/>
          <w:sz w:val="22"/>
          <w:szCs w:val="22"/>
        </w:rPr>
        <w:t>PGIRS: Plan de Gestión Integral de Residuos Sólidos</w:t>
      </w:r>
    </w:p>
    <w:p w14:paraId="5CBBB46E" w14:textId="77777777" w:rsidR="00FC5946" w:rsidRPr="000742BD" w:rsidRDefault="00FC5946" w:rsidP="00FC5946">
      <w:pPr>
        <w:tabs>
          <w:tab w:val="left" w:pos="5985"/>
        </w:tabs>
        <w:jc w:val="both"/>
        <w:rPr>
          <w:rFonts w:ascii="Arial Narrow" w:hAnsi="Arial Narrow" w:cs="Arial"/>
          <w:sz w:val="22"/>
          <w:szCs w:val="22"/>
        </w:rPr>
      </w:pPr>
      <w:r w:rsidRPr="000742BD">
        <w:rPr>
          <w:rFonts w:ascii="Arial Narrow" w:hAnsi="Arial Narrow" w:cs="Arial"/>
          <w:sz w:val="22"/>
          <w:szCs w:val="22"/>
        </w:rPr>
        <w:t>PSMV: Plan de Saneamiento y Manejo de Vertimientos</w:t>
      </w:r>
    </w:p>
    <w:p w14:paraId="2805C3D8" w14:textId="77777777" w:rsidR="00FC5946" w:rsidRPr="000742BD" w:rsidRDefault="00FC5946" w:rsidP="00FC5946">
      <w:pPr>
        <w:tabs>
          <w:tab w:val="left" w:pos="5985"/>
        </w:tabs>
        <w:jc w:val="both"/>
        <w:rPr>
          <w:rFonts w:ascii="Arial Narrow" w:hAnsi="Arial Narrow" w:cs="Arial"/>
          <w:sz w:val="22"/>
          <w:szCs w:val="22"/>
        </w:rPr>
      </w:pPr>
      <w:r w:rsidRPr="000742BD">
        <w:rPr>
          <w:rFonts w:ascii="Arial Narrow" w:hAnsi="Arial Narrow" w:cs="Arial"/>
          <w:sz w:val="22"/>
          <w:szCs w:val="22"/>
        </w:rPr>
        <w:t>POT: Plan de Ordenamiento Territorial</w:t>
      </w:r>
    </w:p>
    <w:p w14:paraId="0036EDD2" w14:textId="77777777" w:rsidR="00FC5946" w:rsidRPr="000742BD" w:rsidRDefault="00FC5946" w:rsidP="00FC5946">
      <w:pPr>
        <w:tabs>
          <w:tab w:val="left" w:pos="5985"/>
        </w:tabs>
        <w:jc w:val="both"/>
        <w:rPr>
          <w:rFonts w:ascii="Arial Narrow" w:hAnsi="Arial Narrow" w:cs="Arial"/>
          <w:bCs/>
          <w:sz w:val="22"/>
          <w:szCs w:val="22"/>
        </w:rPr>
      </w:pPr>
      <w:r w:rsidRPr="000742BD">
        <w:rPr>
          <w:rFonts w:ascii="Arial Narrow" w:hAnsi="Arial Narrow" w:cs="Arial"/>
          <w:bCs/>
          <w:sz w:val="22"/>
          <w:szCs w:val="22"/>
        </w:rPr>
        <w:t xml:space="preserve">REC: Reporte de Estratificación y Coberturas </w:t>
      </w:r>
    </w:p>
    <w:p w14:paraId="564E352E" w14:textId="77777777" w:rsidR="00FC5946" w:rsidRPr="000742BD" w:rsidRDefault="00FC5946" w:rsidP="00FC5946">
      <w:pPr>
        <w:tabs>
          <w:tab w:val="left" w:pos="5985"/>
        </w:tabs>
        <w:jc w:val="both"/>
        <w:rPr>
          <w:rFonts w:ascii="Arial Narrow" w:hAnsi="Arial Narrow"/>
          <w:bCs/>
          <w:sz w:val="22"/>
          <w:szCs w:val="22"/>
        </w:rPr>
      </w:pPr>
      <w:r w:rsidRPr="000742BD">
        <w:rPr>
          <w:rFonts w:ascii="Arial Narrow" w:hAnsi="Arial Narrow"/>
          <w:bCs/>
          <w:sz w:val="22"/>
          <w:szCs w:val="22"/>
        </w:rPr>
        <w:t>RP: Registros Presupuestales</w:t>
      </w:r>
    </w:p>
    <w:p w14:paraId="115AFFC8" w14:textId="77777777" w:rsidR="00FC5946" w:rsidRPr="000742BD" w:rsidRDefault="00FC5946" w:rsidP="00FC5946">
      <w:pPr>
        <w:tabs>
          <w:tab w:val="left" w:pos="5985"/>
        </w:tabs>
        <w:jc w:val="both"/>
        <w:rPr>
          <w:rFonts w:ascii="Arial Narrow" w:hAnsi="Arial Narrow" w:cs="Arial"/>
          <w:sz w:val="22"/>
          <w:szCs w:val="22"/>
        </w:rPr>
      </w:pPr>
      <w:r w:rsidRPr="000742BD">
        <w:rPr>
          <w:rFonts w:ascii="Arial Narrow" w:hAnsi="Arial Narrow" w:cs="Arial"/>
          <w:sz w:val="22"/>
          <w:szCs w:val="22"/>
        </w:rPr>
        <w:t>RUPS: Registro Único de Prestadores de Servicios Públicos</w:t>
      </w:r>
    </w:p>
    <w:p w14:paraId="6B1343E4" w14:textId="77777777" w:rsidR="00FC5946" w:rsidRPr="000742BD" w:rsidRDefault="00FC5946" w:rsidP="000742BD">
      <w:pPr>
        <w:jc w:val="both"/>
        <w:rPr>
          <w:rFonts w:ascii="Arial Narrow" w:hAnsi="Arial Narrow" w:cs="Arial"/>
          <w:b/>
          <w:color w:val="B8000D"/>
          <w:sz w:val="22"/>
          <w:szCs w:val="22"/>
          <w:shd w:val="clear" w:color="auto" w:fill="FFFF00"/>
          <w:lang w:val="es-CO"/>
        </w:rPr>
      </w:pPr>
    </w:p>
    <w:p w14:paraId="5D20706C" w14:textId="77777777" w:rsidR="00FC5946" w:rsidRDefault="00FC5946" w:rsidP="000742BD">
      <w:pPr>
        <w:jc w:val="both"/>
        <w:rPr>
          <w:rFonts w:ascii="Arial Narrow" w:hAnsi="Arial Narrow" w:cs="Arial"/>
          <w:sz w:val="22"/>
          <w:szCs w:val="22"/>
        </w:rPr>
      </w:pPr>
    </w:p>
    <w:p w14:paraId="4085BCF8" w14:textId="77777777" w:rsidR="00FC5946" w:rsidRPr="009B0744" w:rsidRDefault="00FC5946" w:rsidP="000742BD">
      <w:pPr>
        <w:jc w:val="both"/>
        <w:rPr>
          <w:rFonts w:ascii="Arial Narrow" w:hAnsi="Arial Narrow" w:cs="Arial"/>
          <w:b/>
          <w:bCs/>
          <w:sz w:val="22"/>
          <w:szCs w:val="22"/>
        </w:rPr>
      </w:pPr>
      <w:r w:rsidRPr="009B0744">
        <w:rPr>
          <w:rFonts w:ascii="Arial Narrow" w:hAnsi="Arial Narrow" w:cs="Arial"/>
          <w:b/>
          <w:bCs/>
          <w:sz w:val="22"/>
          <w:szCs w:val="22"/>
        </w:rPr>
        <w:t>INTRODUCCIÓN</w:t>
      </w:r>
    </w:p>
    <w:p w14:paraId="65AF58D9" w14:textId="77777777" w:rsidR="00FC5946" w:rsidRDefault="00FC5946" w:rsidP="000742BD">
      <w:pPr>
        <w:jc w:val="both"/>
        <w:rPr>
          <w:rFonts w:ascii="Arial Narrow" w:hAnsi="Arial Narrow" w:cs="Arial"/>
          <w:sz w:val="22"/>
          <w:szCs w:val="22"/>
        </w:rPr>
      </w:pPr>
    </w:p>
    <w:p w14:paraId="12F0661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presente informe de pre diagnóstico institucional sectorial </w:t>
      </w:r>
      <w:r w:rsidR="00F302D8">
        <w:rPr>
          <w:rFonts w:ascii="Arial Narrow" w:hAnsi="Arial Narrow" w:cs="Arial"/>
          <w:sz w:val="22"/>
          <w:szCs w:val="22"/>
        </w:rPr>
        <w:t xml:space="preserve">de APSB </w:t>
      </w:r>
      <w:r w:rsidRPr="000742BD">
        <w:rPr>
          <w:rFonts w:ascii="Arial Narrow" w:hAnsi="Arial Narrow" w:cs="Arial"/>
          <w:sz w:val="22"/>
          <w:szCs w:val="22"/>
        </w:rPr>
        <w:t>del Municipio de Soacha - Cundinamar</w:t>
      </w:r>
      <w:r w:rsidR="00F302D8">
        <w:rPr>
          <w:rFonts w:ascii="Arial Narrow" w:hAnsi="Arial Narrow" w:cs="Arial"/>
          <w:sz w:val="22"/>
          <w:szCs w:val="22"/>
        </w:rPr>
        <w:t>ca, se elabora en el marco del Decreto 028 de 2008 que estableció la Estrategia de</w:t>
      </w:r>
      <w:r w:rsidRPr="000742BD">
        <w:rPr>
          <w:rFonts w:ascii="Arial Narrow" w:hAnsi="Arial Narrow" w:cs="Arial"/>
          <w:sz w:val="22"/>
          <w:szCs w:val="22"/>
        </w:rPr>
        <w:t xml:space="preserve"> monitoreo, seguimiento y control al uso de los recursos del Sistema General de Participaciones, bajo las competencias institucionales de </w:t>
      </w:r>
      <w:r w:rsidRPr="000742BD">
        <w:rPr>
          <w:rFonts w:ascii="Arial Narrow" w:hAnsi="Arial Narrow" w:cs="Arial"/>
          <w:sz w:val="22"/>
          <w:szCs w:val="22"/>
        </w:rPr>
        <w:lastRenderedPageBreak/>
        <w:t>seguimiento y control de la Dirección General de Apoyo Fiscal del Ministerio de Hacienda y Crédito Público, contenidas en</w:t>
      </w:r>
      <w:r w:rsidR="006E5C99">
        <w:rPr>
          <w:rFonts w:ascii="Arial Narrow" w:hAnsi="Arial Narrow" w:cs="Arial"/>
          <w:sz w:val="22"/>
          <w:szCs w:val="22"/>
        </w:rPr>
        <w:t xml:space="preserve"> el artículo 20 de</w:t>
      </w:r>
      <w:r w:rsidRPr="000742BD">
        <w:rPr>
          <w:rFonts w:ascii="Arial Narrow" w:hAnsi="Arial Narrow" w:cs="Arial"/>
          <w:sz w:val="22"/>
          <w:szCs w:val="22"/>
        </w:rPr>
        <w:t xml:space="preserve"> </w:t>
      </w:r>
      <w:r w:rsidR="00F302D8">
        <w:rPr>
          <w:rFonts w:ascii="Arial Narrow" w:hAnsi="Arial Narrow" w:cs="Arial"/>
          <w:sz w:val="22"/>
          <w:szCs w:val="22"/>
        </w:rPr>
        <w:t>la Ley 1450 de 2011 y delegadas</w:t>
      </w:r>
      <w:r w:rsidRPr="000742BD">
        <w:rPr>
          <w:rFonts w:ascii="Arial Narrow" w:hAnsi="Arial Narrow" w:cs="Arial"/>
          <w:sz w:val="22"/>
          <w:szCs w:val="22"/>
        </w:rPr>
        <w:t xml:space="preserve"> mediante Resoluciones 794 de 2009 y 1872 de 2011. </w:t>
      </w:r>
    </w:p>
    <w:p w14:paraId="2B89FB84" w14:textId="77777777" w:rsidR="000742BD" w:rsidRPr="000742BD" w:rsidRDefault="000742BD" w:rsidP="000742BD">
      <w:pPr>
        <w:jc w:val="both"/>
        <w:rPr>
          <w:rFonts w:ascii="Arial Narrow" w:hAnsi="Arial Narrow" w:cs="Arial"/>
          <w:sz w:val="22"/>
          <w:szCs w:val="22"/>
        </w:rPr>
      </w:pPr>
    </w:p>
    <w:p w14:paraId="6782CB65"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Con base en información aportada por la Entidad Territorial, el Ministerio de Vivienda, Ciudad y Territorio, la Superintendencia de Servicios Públicos, el Departamento Administrativo Nacional de Estadística DANE y demás fuentes oficiales que son citadas en su debido momento, se elaboró el presente informe de pre diagnóstico el cual contiene </w:t>
      </w:r>
      <w:r w:rsidR="00FC5946">
        <w:rPr>
          <w:rFonts w:ascii="Arial Narrow" w:hAnsi="Arial Narrow" w:cs="Arial"/>
          <w:sz w:val="22"/>
          <w:szCs w:val="22"/>
        </w:rPr>
        <w:t>5</w:t>
      </w:r>
      <w:r w:rsidRPr="000742BD">
        <w:rPr>
          <w:rFonts w:ascii="Arial Narrow" w:hAnsi="Arial Narrow" w:cs="Arial"/>
          <w:sz w:val="22"/>
          <w:szCs w:val="22"/>
        </w:rPr>
        <w:t xml:space="preserve"> secciones. En la primera de ellas se desarrolló el contexto territorial del Municipio verificando aspectos generales en temas sociales, demográficos, geográficos. La segunda hace referencia a los antecedes asociados a los informes de monitoreo del MVCT de las vigencias 2019 y 2020 y los indicadores sectoriales por medio de los cuales se determinó el riesgo alto en el uso del recurso SGP APSB. Una tercera sección en construcción que, pretende tener una caracterización de los servicios públicos de acueducto, alcantarillado y aseo en la zona urbana y rural. También se aborda el manejo del Fondo de Solidaridad y Redistribución del Ingreso, los subsidios y contribuciones, la estratificación y el Comité de Desarrollo y Control Social en el Municipio. La cuarta sección del presente informe es el análisis financiero de la ejecución de los recursos SGP APSB de las vigencias 2019 a 2021.</w:t>
      </w:r>
    </w:p>
    <w:p w14:paraId="1FC1D6BB" w14:textId="77777777" w:rsidR="000742BD" w:rsidRPr="000742BD" w:rsidRDefault="000742BD" w:rsidP="000742BD">
      <w:pPr>
        <w:jc w:val="both"/>
        <w:rPr>
          <w:rFonts w:ascii="Arial Narrow" w:hAnsi="Arial Narrow" w:cs="Arial"/>
          <w:sz w:val="22"/>
          <w:szCs w:val="22"/>
        </w:rPr>
      </w:pPr>
    </w:p>
    <w:p w14:paraId="6A579321"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La sección quinta se refiere a las conclusiones, dentro de las cuales se sugiere el inicio de la etapa de reconocimiento con la entidad territorial y el requerimiento de información, para la construcción definitiva del diagnóstico.</w:t>
      </w:r>
    </w:p>
    <w:p w14:paraId="3CB458F7" w14:textId="77777777" w:rsidR="000742BD" w:rsidRPr="000742BD" w:rsidRDefault="000742BD" w:rsidP="000742BD">
      <w:pPr>
        <w:jc w:val="both"/>
        <w:rPr>
          <w:rFonts w:ascii="Arial Narrow" w:hAnsi="Arial Narrow" w:cs="Arial"/>
          <w:sz w:val="22"/>
          <w:szCs w:val="22"/>
        </w:rPr>
      </w:pPr>
    </w:p>
    <w:p w14:paraId="6DC5DEDC" w14:textId="77777777" w:rsidR="000742BD" w:rsidRPr="000742BD" w:rsidRDefault="000742BD" w:rsidP="000742BD">
      <w:pPr>
        <w:jc w:val="both"/>
        <w:rPr>
          <w:rFonts w:ascii="Arial Narrow" w:hAnsi="Arial Narrow" w:cs="Arial"/>
          <w:b/>
          <w:color w:val="B8000D"/>
          <w:sz w:val="22"/>
          <w:szCs w:val="22"/>
          <w:shd w:val="clear" w:color="auto" w:fill="FFFF00"/>
          <w:lang w:val="es-CO"/>
        </w:rPr>
      </w:pPr>
    </w:p>
    <w:p w14:paraId="5B0383AC" w14:textId="77777777" w:rsidR="000742BD" w:rsidRPr="000742BD" w:rsidRDefault="000742BD" w:rsidP="000742BD">
      <w:pPr>
        <w:jc w:val="both"/>
        <w:rPr>
          <w:rFonts w:ascii="Arial Narrow" w:hAnsi="Arial Narrow" w:cs="Arial"/>
          <w:b/>
          <w:color w:val="B8000D"/>
          <w:sz w:val="22"/>
          <w:szCs w:val="22"/>
          <w:shd w:val="clear" w:color="auto" w:fill="FFFF00"/>
          <w:lang w:val="es-CO"/>
        </w:rPr>
      </w:pPr>
    </w:p>
    <w:p w14:paraId="30DF511A" w14:textId="77777777" w:rsidR="000742BD" w:rsidRPr="000742BD" w:rsidRDefault="000742BD" w:rsidP="000742BD">
      <w:pPr>
        <w:jc w:val="both"/>
        <w:rPr>
          <w:rFonts w:ascii="Arial Narrow" w:hAnsi="Arial Narrow" w:cs="Arial"/>
          <w:sz w:val="22"/>
          <w:szCs w:val="22"/>
        </w:rPr>
      </w:pPr>
    </w:p>
    <w:p w14:paraId="02371057" w14:textId="77777777" w:rsidR="000742BD" w:rsidRPr="000742BD" w:rsidRDefault="000742BD" w:rsidP="000742BD">
      <w:pPr>
        <w:numPr>
          <w:ilvl w:val="0"/>
          <w:numId w:val="19"/>
        </w:numPr>
        <w:contextualSpacing/>
        <w:jc w:val="both"/>
        <w:rPr>
          <w:rFonts w:ascii="Arial Narrow" w:hAnsi="Arial Narrow" w:cs="Arial"/>
          <w:b/>
          <w:bCs/>
          <w:sz w:val="22"/>
          <w:szCs w:val="22"/>
        </w:rPr>
      </w:pPr>
      <w:r w:rsidRPr="000742BD">
        <w:rPr>
          <w:rFonts w:ascii="Arial Narrow" w:hAnsi="Arial Narrow" w:cs="Arial"/>
          <w:b/>
          <w:bCs/>
          <w:sz w:val="22"/>
          <w:szCs w:val="22"/>
        </w:rPr>
        <w:t>GENERALIDADES.</w:t>
      </w:r>
    </w:p>
    <w:p w14:paraId="157A8E6F" w14:textId="77777777" w:rsidR="000742BD" w:rsidRPr="000742BD" w:rsidRDefault="000742BD" w:rsidP="000742BD">
      <w:pPr>
        <w:jc w:val="both"/>
        <w:rPr>
          <w:rFonts w:ascii="Arial Narrow" w:hAnsi="Arial Narrow" w:cs="Arial"/>
          <w:b/>
          <w:bCs/>
          <w:sz w:val="22"/>
          <w:szCs w:val="22"/>
        </w:rPr>
      </w:pPr>
    </w:p>
    <w:p w14:paraId="19B6EDFA" w14:textId="77777777" w:rsidR="000742BD" w:rsidRPr="000742BD" w:rsidRDefault="000742BD" w:rsidP="000742BD">
      <w:pPr>
        <w:jc w:val="both"/>
        <w:rPr>
          <w:rFonts w:ascii="Arial Narrow" w:hAnsi="Arial Narrow" w:cs="Arial"/>
          <w:b/>
          <w:bCs/>
          <w:sz w:val="22"/>
          <w:szCs w:val="22"/>
        </w:rPr>
      </w:pPr>
    </w:p>
    <w:p w14:paraId="19D45C66" w14:textId="77777777" w:rsidR="000742BD" w:rsidRPr="000742BD" w:rsidRDefault="000742BD" w:rsidP="000742BD">
      <w:pPr>
        <w:jc w:val="both"/>
        <w:rPr>
          <w:rFonts w:ascii="Arial Narrow" w:hAnsi="Arial Narrow" w:cs="Arial"/>
          <w:bCs/>
          <w:sz w:val="22"/>
          <w:szCs w:val="22"/>
        </w:rPr>
      </w:pPr>
      <w:r w:rsidRPr="000742BD">
        <w:rPr>
          <w:rFonts w:ascii="Arial Narrow" w:hAnsi="Arial Narrow" w:cs="Arial"/>
          <w:bCs/>
          <w:sz w:val="22"/>
          <w:szCs w:val="22"/>
        </w:rPr>
        <w:t xml:space="preserve">El municipio de Soacha se ubica en la región centro oriental del país, comprende un área de 184.45 km2, con un área urbana de 19 km 2, donde se ubica el 98,87% de su población y un área rural de 165 km2 en la </w:t>
      </w:r>
      <w:r w:rsidR="00DB3E9F">
        <w:rPr>
          <w:rFonts w:ascii="Arial Narrow" w:hAnsi="Arial Narrow" w:cs="Arial"/>
          <w:bCs/>
          <w:sz w:val="22"/>
          <w:szCs w:val="22"/>
        </w:rPr>
        <w:t xml:space="preserve">que </w:t>
      </w:r>
      <w:r w:rsidRPr="000742BD">
        <w:rPr>
          <w:rFonts w:ascii="Arial Narrow" w:hAnsi="Arial Narrow" w:cs="Arial"/>
          <w:bCs/>
          <w:sz w:val="22"/>
          <w:szCs w:val="22"/>
        </w:rPr>
        <w:t>se ubica el restante 1,13% de la población</w:t>
      </w:r>
      <w:r w:rsidRPr="000742BD">
        <w:rPr>
          <w:rFonts w:ascii="Arial Narrow" w:hAnsi="Arial Narrow"/>
          <w:bCs/>
          <w:sz w:val="22"/>
          <w:szCs w:val="22"/>
          <w:vertAlign w:val="superscript"/>
        </w:rPr>
        <w:footnoteReference w:id="1"/>
      </w:r>
      <w:r w:rsidRPr="000742BD">
        <w:rPr>
          <w:rFonts w:ascii="Arial Narrow" w:hAnsi="Arial Narrow" w:cs="Arial"/>
          <w:bCs/>
          <w:sz w:val="22"/>
          <w:szCs w:val="22"/>
          <w:vertAlign w:val="superscript"/>
        </w:rPr>
        <w:t>.</w:t>
      </w:r>
      <w:r w:rsidRPr="000742BD">
        <w:rPr>
          <w:rFonts w:ascii="Arial Narrow" w:hAnsi="Arial Narrow" w:cs="Arial"/>
          <w:bCs/>
          <w:sz w:val="22"/>
          <w:szCs w:val="22"/>
        </w:rPr>
        <w:t xml:space="preserve">  En cuanto a su organización administrativa, se encuentra que es la capital de la Provincia de Soacha, donde se encuentran los municipios de Soacha y Sibaté. Limita al Norte con Bojacá y Mosquera, al Sur con Sibaté y Pasca, al Oeste con Granada y San Antonio de Tequendama y al Este, su área urbana se encuentra conurbanada con Bogotá D.C.</w:t>
      </w:r>
    </w:p>
    <w:p w14:paraId="02E980F6" w14:textId="77777777" w:rsidR="000742BD" w:rsidRPr="000742BD" w:rsidRDefault="000742BD" w:rsidP="000742BD">
      <w:pPr>
        <w:jc w:val="both"/>
        <w:rPr>
          <w:rFonts w:ascii="Arial Narrow" w:hAnsi="Arial Narrow" w:cs="Arial"/>
          <w:bCs/>
          <w:sz w:val="22"/>
          <w:szCs w:val="22"/>
        </w:rPr>
      </w:pPr>
    </w:p>
    <w:p w14:paraId="530510EB" w14:textId="77777777" w:rsidR="000742BD" w:rsidRPr="000742BD" w:rsidRDefault="000742BD" w:rsidP="000742BD">
      <w:pPr>
        <w:jc w:val="both"/>
        <w:rPr>
          <w:rFonts w:ascii="Arial Narrow" w:hAnsi="Arial Narrow" w:cs="Arial"/>
          <w:bCs/>
          <w:sz w:val="22"/>
          <w:szCs w:val="22"/>
        </w:rPr>
      </w:pPr>
      <w:r w:rsidRPr="000742BD">
        <w:rPr>
          <w:rFonts w:ascii="Arial Narrow" w:hAnsi="Arial Narrow" w:cs="Arial"/>
          <w:bCs/>
          <w:sz w:val="22"/>
          <w:szCs w:val="22"/>
        </w:rPr>
        <w:t>Esta articulación con la capital del país trasciende las dinámicas territoriales, generando unas fuertes interacciones sociales, comerciales y de mercado las cuales llevan a que Soacha se ubique como la ciudad con mayor densidad poblacional del departamento de Cundinamarca, con aproximadamente 808 mil habitantes para 2022 según el DANE, pero como indica la alcaldía municipal de Soacha, este dato es muy inferior a la realidad, puesto que estos estiman más de un millón de habitantes</w:t>
      </w:r>
      <w:r w:rsidRPr="000742BD">
        <w:rPr>
          <w:rFonts w:ascii="Arial Narrow" w:hAnsi="Arial Narrow"/>
          <w:bCs/>
          <w:sz w:val="22"/>
          <w:szCs w:val="22"/>
          <w:vertAlign w:val="superscript"/>
        </w:rPr>
        <w:footnoteReference w:id="2"/>
      </w:r>
      <w:r w:rsidRPr="000742BD">
        <w:rPr>
          <w:rFonts w:ascii="Arial Narrow" w:hAnsi="Arial Narrow" w:cs="Arial"/>
          <w:bCs/>
          <w:sz w:val="22"/>
          <w:szCs w:val="22"/>
          <w:vertAlign w:val="superscript"/>
        </w:rPr>
        <w:t>.</w:t>
      </w:r>
      <w:r w:rsidRPr="000742BD">
        <w:rPr>
          <w:rFonts w:ascii="Arial Narrow" w:hAnsi="Arial Narrow" w:cs="Arial"/>
          <w:bCs/>
          <w:sz w:val="22"/>
          <w:szCs w:val="22"/>
        </w:rPr>
        <w:t xml:space="preserve"> </w:t>
      </w:r>
    </w:p>
    <w:p w14:paraId="0466E004" w14:textId="77777777" w:rsidR="000742BD" w:rsidRPr="000742BD" w:rsidRDefault="000742BD" w:rsidP="000742BD">
      <w:pPr>
        <w:jc w:val="both"/>
        <w:rPr>
          <w:rFonts w:ascii="Arial Narrow" w:hAnsi="Arial Narrow" w:cs="Arial"/>
          <w:bCs/>
          <w:sz w:val="22"/>
          <w:szCs w:val="22"/>
        </w:rPr>
      </w:pPr>
    </w:p>
    <w:p w14:paraId="79ACBF5C" w14:textId="77777777" w:rsidR="000742BD" w:rsidRPr="000742BD" w:rsidRDefault="000742BD" w:rsidP="000742BD">
      <w:pPr>
        <w:jc w:val="both"/>
        <w:rPr>
          <w:rFonts w:ascii="Arial Narrow" w:hAnsi="Arial Narrow" w:cs="Arial"/>
          <w:bCs/>
          <w:sz w:val="22"/>
          <w:szCs w:val="22"/>
        </w:rPr>
      </w:pPr>
      <w:r w:rsidRPr="000742BD">
        <w:rPr>
          <w:rFonts w:ascii="Arial Narrow" w:hAnsi="Arial Narrow" w:cs="Arial"/>
          <w:bCs/>
          <w:sz w:val="22"/>
          <w:szCs w:val="22"/>
        </w:rPr>
        <w:t xml:space="preserve">La explosión demográfica del municipio se explica en gran medida gracias al auge industrial de Bogotá y el </w:t>
      </w:r>
      <w:r w:rsidR="00DB3E9F">
        <w:rPr>
          <w:rFonts w:ascii="Arial Narrow" w:hAnsi="Arial Narrow" w:cs="Arial"/>
          <w:bCs/>
          <w:sz w:val="22"/>
          <w:szCs w:val="22"/>
        </w:rPr>
        <w:t>c</w:t>
      </w:r>
      <w:r w:rsidRPr="000742BD">
        <w:rPr>
          <w:rFonts w:ascii="Arial Narrow" w:hAnsi="Arial Narrow" w:cs="Arial"/>
          <w:bCs/>
          <w:sz w:val="22"/>
          <w:szCs w:val="22"/>
        </w:rPr>
        <w:t xml:space="preserve">onflicto </w:t>
      </w:r>
      <w:r w:rsidR="00DB3E9F">
        <w:rPr>
          <w:rFonts w:ascii="Arial Narrow" w:hAnsi="Arial Narrow" w:cs="Arial"/>
          <w:bCs/>
          <w:sz w:val="22"/>
          <w:szCs w:val="22"/>
        </w:rPr>
        <w:t>i</w:t>
      </w:r>
      <w:r w:rsidRPr="000742BD">
        <w:rPr>
          <w:rFonts w:ascii="Arial Narrow" w:hAnsi="Arial Narrow" w:cs="Arial"/>
          <w:bCs/>
          <w:sz w:val="22"/>
          <w:szCs w:val="22"/>
        </w:rPr>
        <w:t xml:space="preserve">nterno </w:t>
      </w:r>
      <w:r w:rsidR="00DB3E9F">
        <w:rPr>
          <w:rFonts w:ascii="Arial Narrow" w:hAnsi="Arial Narrow" w:cs="Arial"/>
          <w:bCs/>
          <w:sz w:val="22"/>
          <w:szCs w:val="22"/>
        </w:rPr>
        <w:t>a</w:t>
      </w:r>
      <w:r w:rsidRPr="000742BD">
        <w:rPr>
          <w:rFonts w:ascii="Arial Narrow" w:hAnsi="Arial Narrow" w:cs="Arial"/>
          <w:bCs/>
          <w:sz w:val="22"/>
          <w:szCs w:val="22"/>
        </w:rPr>
        <w:t xml:space="preserve">rmado en Colombia, que convirtió al municipio de Soacha en el principal receptor de una mixta población flotante, donde Bogotá proveía el lugar de trabajo, mientras que Soacha un sitio de vivienda con </w:t>
      </w:r>
      <w:r w:rsidRPr="000742BD">
        <w:rPr>
          <w:rFonts w:ascii="Arial Narrow" w:hAnsi="Arial Narrow" w:cs="Arial"/>
          <w:bCs/>
          <w:sz w:val="22"/>
          <w:szCs w:val="22"/>
        </w:rPr>
        <w:lastRenderedPageBreak/>
        <w:t>menores costos</w:t>
      </w:r>
      <w:r w:rsidRPr="000742BD">
        <w:rPr>
          <w:rFonts w:ascii="Arial Narrow" w:hAnsi="Arial Narrow"/>
          <w:bCs/>
          <w:sz w:val="22"/>
          <w:szCs w:val="22"/>
          <w:vertAlign w:val="superscript"/>
        </w:rPr>
        <w:footnoteReference w:id="3"/>
      </w:r>
      <w:r w:rsidRPr="000742BD">
        <w:rPr>
          <w:rFonts w:ascii="Arial Narrow" w:hAnsi="Arial Narrow" w:cs="Arial"/>
          <w:bCs/>
          <w:sz w:val="22"/>
          <w:szCs w:val="22"/>
        </w:rPr>
        <w:t>. Esta dinámica lleva a que en la actualidad Soacha sea uno de los municipios colombianos que presentan un mayor desorden físico, espacial y ambiental</w:t>
      </w:r>
      <w:r w:rsidRPr="000742BD">
        <w:rPr>
          <w:rFonts w:ascii="Arial Narrow" w:hAnsi="Arial Narrow"/>
          <w:bCs/>
          <w:sz w:val="22"/>
          <w:szCs w:val="22"/>
          <w:vertAlign w:val="superscript"/>
        </w:rPr>
        <w:footnoteReference w:id="4"/>
      </w:r>
      <w:r w:rsidRPr="000742BD">
        <w:rPr>
          <w:rFonts w:ascii="Arial Narrow" w:hAnsi="Arial Narrow" w:cs="Arial"/>
          <w:bCs/>
          <w:sz w:val="22"/>
          <w:szCs w:val="22"/>
          <w:vertAlign w:val="superscript"/>
        </w:rPr>
        <w:t>,</w:t>
      </w:r>
      <w:r w:rsidRPr="000742BD">
        <w:rPr>
          <w:rFonts w:ascii="Arial Narrow" w:hAnsi="Arial Narrow" w:cs="Arial"/>
          <w:bCs/>
          <w:sz w:val="22"/>
          <w:szCs w:val="22"/>
        </w:rPr>
        <w:t xml:space="preserve"> ya que la ocupación del suelo del municipio dada su magnitud y velocidad no siguió unas dinámicas planificadas. </w:t>
      </w:r>
    </w:p>
    <w:p w14:paraId="73361851" w14:textId="77777777" w:rsidR="000742BD" w:rsidRPr="000742BD" w:rsidRDefault="000742BD" w:rsidP="000742BD">
      <w:pPr>
        <w:jc w:val="both"/>
        <w:rPr>
          <w:rFonts w:ascii="Arial Narrow" w:hAnsi="Arial Narrow" w:cs="Arial"/>
          <w:bCs/>
          <w:sz w:val="22"/>
          <w:szCs w:val="22"/>
        </w:rPr>
      </w:pPr>
    </w:p>
    <w:p w14:paraId="7D4FCAD7" w14:textId="77777777" w:rsidR="000742BD" w:rsidRPr="000742BD" w:rsidRDefault="000742BD" w:rsidP="000742BD">
      <w:pPr>
        <w:jc w:val="both"/>
        <w:rPr>
          <w:rFonts w:ascii="Arial Narrow" w:hAnsi="Arial Narrow" w:cs="Arial"/>
          <w:bCs/>
          <w:sz w:val="22"/>
          <w:szCs w:val="22"/>
        </w:rPr>
      </w:pPr>
      <w:r w:rsidRPr="000742BD">
        <w:rPr>
          <w:rFonts w:ascii="Arial Narrow" w:hAnsi="Arial Narrow" w:cs="Arial"/>
          <w:bCs/>
          <w:sz w:val="22"/>
          <w:szCs w:val="22"/>
        </w:rPr>
        <w:t>En cuanto a las características fisiográficas e hidrográficas del territorio</w:t>
      </w:r>
      <w:r w:rsidRPr="000742BD">
        <w:rPr>
          <w:rFonts w:ascii="Arial Narrow" w:hAnsi="Arial Narrow"/>
          <w:bCs/>
          <w:sz w:val="22"/>
          <w:szCs w:val="22"/>
          <w:vertAlign w:val="superscript"/>
        </w:rPr>
        <w:footnoteReference w:id="5"/>
      </w:r>
      <w:r w:rsidRPr="000742BD">
        <w:rPr>
          <w:rFonts w:ascii="Arial Narrow" w:hAnsi="Arial Narrow" w:cs="Arial"/>
          <w:bCs/>
          <w:sz w:val="22"/>
          <w:szCs w:val="22"/>
          <w:vertAlign w:val="superscript"/>
        </w:rPr>
        <w:t>,</w:t>
      </w:r>
      <w:r w:rsidRPr="000742BD">
        <w:rPr>
          <w:rFonts w:ascii="Arial Narrow" w:hAnsi="Arial Narrow" w:cs="Arial"/>
          <w:bCs/>
          <w:sz w:val="22"/>
          <w:szCs w:val="22"/>
        </w:rPr>
        <w:t xml:space="preserve"> se encuentra que dada la ubicación de Soacha en la región centro oriental de Colombia, se encuentra en parte sobre diversos cordones montañosos que hacen parte de la cordillera oriental donde se ubican importantes nacederos y quebradas; por otra parte, la mayor proporción del territorio hace parte de la sabana de Bogotá. La elevación promedio del municipio oscila entre los 2.400 y 3.900 m.s.n.m, con una temperatura promedio de 11.5°C (máximo de 23°C y mínimo de 8°C), con una precipitación media anual de 698 mm, es importante mencionar, que por su territorio pasa la cuenca alta del río Bogotá y la subcuenca del río Soacha</w:t>
      </w:r>
      <w:r w:rsidRPr="000742BD">
        <w:rPr>
          <w:rFonts w:ascii="Arial Narrow" w:hAnsi="Arial Narrow"/>
          <w:bCs/>
          <w:sz w:val="22"/>
          <w:szCs w:val="22"/>
          <w:vertAlign w:val="superscript"/>
        </w:rPr>
        <w:footnoteReference w:id="6"/>
      </w:r>
      <w:r w:rsidRPr="000742BD">
        <w:rPr>
          <w:rFonts w:ascii="Arial Narrow" w:hAnsi="Arial Narrow" w:cs="Arial"/>
          <w:bCs/>
          <w:sz w:val="22"/>
          <w:szCs w:val="22"/>
        </w:rPr>
        <w:t xml:space="preserve">. </w:t>
      </w:r>
    </w:p>
    <w:p w14:paraId="79259E33" w14:textId="77777777" w:rsidR="000742BD" w:rsidRPr="000742BD" w:rsidRDefault="000742BD" w:rsidP="000742BD">
      <w:pPr>
        <w:spacing w:line="276" w:lineRule="auto"/>
        <w:jc w:val="both"/>
        <w:rPr>
          <w:rFonts w:ascii="Arial Narrow" w:hAnsi="Arial Narrow" w:cs="Arial"/>
          <w:bCs/>
          <w:sz w:val="22"/>
          <w:szCs w:val="22"/>
        </w:rPr>
      </w:pPr>
    </w:p>
    <w:p w14:paraId="333313B9" w14:textId="77777777" w:rsidR="000742BD" w:rsidRPr="000742BD" w:rsidRDefault="000742BD" w:rsidP="000742BD">
      <w:pPr>
        <w:spacing w:line="276" w:lineRule="auto"/>
        <w:jc w:val="both"/>
        <w:rPr>
          <w:rFonts w:ascii="Arial Narrow" w:hAnsi="Arial Narrow" w:cs="Arial"/>
          <w:bCs/>
          <w:sz w:val="22"/>
          <w:szCs w:val="22"/>
        </w:rPr>
      </w:pPr>
    </w:p>
    <w:p w14:paraId="49886A29" w14:textId="77777777" w:rsidR="000742BD" w:rsidRPr="000742BD" w:rsidRDefault="000742BD" w:rsidP="000742BD">
      <w:pPr>
        <w:spacing w:after="200"/>
        <w:jc w:val="center"/>
        <w:rPr>
          <w:rFonts w:ascii="Arial Narrow" w:eastAsia="Times New Roman" w:hAnsi="Arial Narrow" w:cs="Arial"/>
          <w:b/>
          <w:bCs/>
          <w:sz w:val="22"/>
          <w:szCs w:val="22"/>
          <w:lang w:val="es-CO" w:eastAsia="en-US"/>
        </w:rPr>
      </w:pPr>
      <w:r w:rsidRPr="000742BD">
        <w:rPr>
          <w:rFonts w:ascii="Arial Narrow" w:eastAsia="Times New Roman" w:hAnsi="Arial Narrow" w:cs="Arial"/>
          <w:b/>
          <w:bCs/>
          <w:sz w:val="22"/>
          <w:szCs w:val="22"/>
          <w:lang w:val="es-CO" w:eastAsia="en-US"/>
        </w:rPr>
        <w:t>Mapa: Municipio de Soacha</w:t>
      </w:r>
      <w:r w:rsidRPr="000742BD">
        <w:rPr>
          <w:rFonts w:ascii="Arial Narrow" w:eastAsia="Times New Roman" w:hAnsi="Arial Narrow"/>
          <w:b/>
          <w:bCs/>
          <w:sz w:val="22"/>
          <w:szCs w:val="22"/>
          <w:vertAlign w:val="superscript"/>
          <w:lang w:val="es-CO" w:eastAsia="en-US"/>
        </w:rPr>
        <w:footnoteReference w:id="7"/>
      </w:r>
    </w:p>
    <w:p w14:paraId="115D8B74" w14:textId="77777777" w:rsidR="000742BD" w:rsidRPr="000742BD" w:rsidRDefault="000742BD" w:rsidP="000742BD">
      <w:pPr>
        <w:spacing w:line="200" w:lineRule="exact"/>
        <w:rPr>
          <w:rFonts w:asciiTheme="minorHAnsi" w:hAnsiTheme="minorHAnsi"/>
          <w:sz w:val="22"/>
          <w:szCs w:val="22"/>
        </w:rPr>
      </w:pPr>
    </w:p>
    <w:p w14:paraId="4CBB8B7A" w14:textId="77777777" w:rsidR="000742BD" w:rsidRPr="000742BD" w:rsidRDefault="000742BD" w:rsidP="000742BD">
      <w:pPr>
        <w:keepNext/>
        <w:jc w:val="center"/>
      </w:pPr>
      <w:r w:rsidRPr="000742BD">
        <w:rPr>
          <w:noProof/>
          <w:lang w:val="es-CO" w:eastAsia="es-CO"/>
        </w:rPr>
        <w:drawing>
          <wp:inline distT="0" distB="0" distL="0" distR="0" wp14:anchorId="2C38004C" wp14:editId="7B703BA6">
            <wp:extent cx="2703577" cy="3714750"/>
            <wp:effectExtent l="0" t="0" r="1905" b="0"/>
            <wp:docPr id="9" name="Imagen 9" descr="Mapa&#10;&#10;Descripción generada automáticam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n 9" descr="Mapa&#10;&#10;Descripción generada automáticamente"/>
                    <pic:cNvPicPr/>
                  </pic:nvPicPr>
                  <pic:blipFill>
                    <a:blip r:embed="rId11"/>
                    <a:stretch>
                      <a:fillRect/>
                    </a:stretch>
                  </pic:blipFill>
                  <pic:spPr>
                    <a:xfrm>
                      <a:off x="0" y="0"/>
                      <a:ext cx="2703195" cy="3714750"/>
                    </a:xfrm>
                    <a:prstGeom prst="rect">
                      <a:avLst/>
                    </a:prstGeom>
                  </pic:spPr>
                </pic:pic>
              </a:graphicData>
            </a:graphic>
          </wp:inline>
        </w:drawing>
      </w:r>
    </w:p>
    <w:p w14:paraId="51E292D9" w14:textId="77777777" w:rsidR="000742BD" w:rsidRPr="000742BD" w:rsidRDefault="000742BD" w:rsidP="000742BD">
      <w:pPr>
        <w:spacing w:line="276" w:lineRule="auto"/>
        <w:jc w:val="both"/>
        <w:rPr>
          <w:rFonts w:ascii="Arial Narrow" w:hAnsi="Arial Narrow" w:cs="Arial"/>
          <w:bCs/>
          <w:sz w:val="22"/>
          <w:szCs w:val="22"/>
        </w:rPr>
      </w:pPr>
    </w:p>
    <w:p w14:paraId="7C286C44" w14:textId="77777777" w:rsidR="000742BD" w:rsidRPr="000742BD" w:rsidRDefault="000742BD" w:rsidP="000742BD">
      <w:pPr>
        <w:jc w:val="both"/>
        <w:rPr>
          <w:rFonts w:ascii="Arial" w:hAnsi="Arial" w:cs="Arial"/>
        </w:rPr>
      </w:pPr>
      <w:r w:rsidRPr="000742BD">
        <w:rPr>
          <w:rFonts w:ascii="Arial Narrow" w:hAnsi="Arial Narrow" w:cs="Arial"/>
          <w:bCs/>
          <w:sz w:val="22"/>
          <w:szCs w:val="22"/>
        </w:rPr>
        <w:lastRenderedPageBreak/>
        <w:t>Respecto a la división administrativa del municipio se encuentra que la zona urbana está dividida en 6 comunas, las cuales se dividen en 400 barrios</w:t>
      </w:r>
      <w:r w:rsidRPr="000742BD">
        <w:rPr>
          <w:rFonts w:ascii="Arial Narrow" w:hAnsi="Arial Narrow"/>
          <w:bCs/>
          <w:sz w:val="22"/>
          <w:szCs w:val="22"/>
          <w:vertAlign w:val="superscript"/>
        </w:rPr>
        <w:footnoteReference w:id="8"/>
      </w:r>
      <w:r w:rsidRPr="000742BD">
        <w:rPr>
          <w:rFonts w:ascii="Arial Narrow" w:hAnsi="Arial Narrow" w:cs="Arial"/>
          <w:bCs/>
          <w:sz w:val="22"/>
          <w:szCs w:val="22"/>
          <w:vertAlign w:val="superscript"/>
        </w:rPr>
        <w:t>,</w:t>
      </w:r>
      <w:r w:rsidRPr="000742BD">
        <w:rPr>
          <w:rFonts w:ascii="Arial Narrow" w:hAnsi="Arial Narrow" w:cs="Arial"/>
          <w:bCs/>
          <w:sz w:val="22"/>
          <w:szCs w:val="22"/>
        </w:rPr>
        <w:t xml:space="preserve"> los cuales están compuestos por más de 200 mil viviendas. Mientras que la zona rural se encuentra dividida en dos corregimientos, los cuales comprenden 14 veredas.</w:t>
      </w:r>
    </w:p>
    <w:p w14:paraId="35CE59F3" w14:textId="77777777" w:rsidR="000742BD" w:rsidRPr="000742BD" w:rsidRDefault="000742BD" w:rsidP="000742BD">
      <w:pPr>
        <w:jc w:val="both"/>
        <w:rPr>
          <w:rFonts w:ascii="Arial Narrow" w:hAnsi="Arial Narrow" w:cs="Arial"/>
          <w:b/>
          <w:bCs/>
          <w:sz w:val="22"/>
          <w:szCs w:val="22"/>
        </w:rPr>
      </w:pPr>
    </w:p>
    <w:p w14:paraId="485D92D2" w14:textId="77777777" w:rsidR="000742BD" w:rsidRPr="000742BD" w:rsidRDefault="000742BD" w:rsidP="000742BD">
      <w:pPr>
        <w:rPr>
          <w:rFonts w:ascii="Arial Narrow" w:hAnsi="Arial Narrow"/>
          <w:sz w:val="22"/>
          <w:szCs w:val="22"/>
        </w:rPr>
      </w:pPr>
    </w:p>
    <w:tbl>
      <w:tblPr>
        <w:tblW w:w="0" w:type="auto"/>
        <w:jc w:val="center"/>
        <w:tblLook w:val="04A0" w:firstRow="1" w:lastRow="0" w:firstColumn="1" w:lastColumn="0" w:noHBand="0" w:noVBand="1"/>
      </w:tblPr>
      <w:tblGrid>
        <w:gridCol w:w="2540"/>
        <w:gridCol w:w="3834"/>
      </w:tblGrid>
      <w:tr w:rsidR="000742BD" w:rsidRPr="000742BD" w14:paraId="66505827" w14:textId="77777777" w:rsidTr="000742BD">
        <w:trPr>
          <w:trHeight w:val="471"/>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48D6706F"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ALCALDE</w:t>
            </w:r>
          </w:p>
        </w:tc>
        <w:tc>
          <w:tcPr>
            <w:tcW w:w="3834" w:type="dxa"/>
            <w:tcBorders>
              <w:top w:val="single" w:sz="4" w:space="0" w:color="auto"/>
              <w:left w:val="single" w:sz="4" w:space="0" w:color="auto"/>
              <w:bottom w:val="single" w:sz="4" w:space="0" w:color="auto"/>
              <w:right w:val="single" w:sz="4" w:space="0" w:color="auto"/>
            </w:tcBorders>
            <w:vAlign w:val="center"/>
          </w:tcPr>
          <w:p w14:paraId="65A42C9C" w14:textId="77777777" w:rsidR="000742BD" w:rsidRPr="000742BD" w:rsidRDefault="000742BD" w:rsidP="000742BD">
            <w:pPr>
              <w:rPr>
                <w:rFonts w:ascii="Arial Narrow" w:hAnsi="Arial Narrow" w:cs="Arial"/>
                <w:b/>
                <w:sz w:val="22"/>
                <w:szCs w:val="22"/>
              </w:rPr>
            </w:pPr>
            <w:r w:rsidRPr="000742BD">
              <w:rPr>
                <w:rFonts w:ascii="Arial Narrow" w:hAnsi="Arial Narrow" w:cs="Arial"/>
                <w:b/>
                <w:sz w:val="22"/>
                <w:szCs w:val="22"/>
              </w:rPr>
              <w:t>JUAN CARLOS SALDARRIAGA GAVIRIA</w:t>
            </w:r>
          </w:p>
        </w:tc>
      </w:tr>
      <w:tr w:rsidR="000742BD" w:rsidRPr="000742BD" w14:paraId="5B264F33" w14:textId="77777777" w:rsidTr="000742BD">
        <w:trPr>
          <w:trHeight w:val="294"/>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3352B732"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CATEGORÍA 2.022</w:t>
            </w:r>
          </w:p>
        </w:tc>
        <w:tc>
          <w:tcPr>
            <w:tcW w:w="3834" w:type="dxa"/>
            <w:tcBorders>
              <w:top w:val="single" w:sz="4" w:space="0" w:color="auto"/>
              <w:left w:val="single" w:sz="4" w:space="0" w:color="auto"/>
              <w:bottom w:val="single" w:sz="4" w:space="0" w:color="auto"/>
              <w:right w:val="single" w:sz="4" w:space="0" w:color="auto"/>
            </w:tcBorders>
            <w:vAlign w:val="center"/>
          </w:tcPr>
          <w:p w14:paraId="074AC9A4"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Primera</w:t>
            </w:r>
          </w:p>
        </w:tc>
      </w:tr>
      <w:tr w:rsidR="000742BD" w:rsidRPr="000742BD" w14:paraId="6B66D063" w14:textId="77777777" w:rsidTr="000742BD">
        <w:trPr>
          <w:trHeight w:val="272"/>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67B94153"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RECURSOS SGP APSB 2022</w:t>
            </w:r>
          </w:p>
        </w:tc>
        <w:tc>
          <w:tcPr>
            <w:tcW w:w="3834" w:type="dxa"/>
            <w:tcBorders>
              <w:top w:val="single" w:sz="4" w:space="0" w:color="auto"/>
              <w:left w:val="single" w:sz="4" w:space="0" w:color="auto"/>
              <w:bottom w:val="single" w:sz="4" w:space="0" w:color="auto"/>
              <w:right w:val="single" w:sz="4" w:space="0" w:color="auto"/>
            </w:tcBorders>
            <w:vAlign w:val="center"/>
          </w:tcPr>
          <w:p w14:paraId="490BF946" w14:textId="77777777" w:rsidR="000742BD" w:rsidRPr="000742BD" w:rsidRDefault="000742BD" w:rsidP="000742BD">
            <w:pPr>
              <w:tabs>
                <w:tab w:val="num" w:pos="720"/>
              </w:tabs>
              <w:rPr>
                <w:rFonts w:ascii="Arial Narrow" w:hAnsi="Arial Narrow" w:cs="Arial"/>
                <w:bCs/>
                <w:sz w:val="22"/>
                <w:szCs w:val="22"/>
              </w:rPr>
            </w:pPr>
            <w:r w:rsidRPr="000742BD">
              <w:rPr>
                <w:rFonts w:ascii="Arial Narrow" w:hAnsi="Arial Narrow" w:cs="Arial"/>
                <w:bCs/>
                <w:sz w:val="22"/>
                <w:szCs w:val="22"/>
              </w:rPr>
              <w:t>$ 22.096 millones</w:t>
            </w:r>
          </w:p>
        </w:tc>
      </w:tr>
      <w:tr w:rsidR="000742BD" w:rsidRPr="000742BD" w14:paraId="0D0C3BF9" w14:textId="77777777" w:rsidTr="000742BD">
        <w:trPr>
          <w:trHeight w:val="271"/>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62555DA0"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SUPERFICIE TOTAL</w:t>
            </w:r>
          </w:p>
        </w:tc>
        <w:tc>
          <w:tcPr>
            <w:tcW w:w="3834" w:type="dxa"/>
            <w:tcBorders>
              <w:top w:val="single" w:sz="4" w:space="0" w:color="auto"/>
              <w:left w:val="single" w:sz="4" w:space="0" w:color="auto"/>
              <w:bottom w:val="single" w:sz="4" w:space="0" w:color="auto"/>
              <w:right w:val="single" w:sz="4" w:space="0" w:color="auto"/>
            </w:tcBorders>
            <w:vAlign w:val="center"/>
          </w:tcPr>
          <w:p w14:paraId="7FF5A01C"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184.4 Km2</w:t>
            </w:r>
          </w:p>
        </w:tc>
      </w:tr>
      <w:tr w:rsidR="000742BD" w:rsidRPr="000742BD" w14:paraId="42C42AD9" w14:textId="77777777" w:rsidTr="000742BD">
        <w:trPr>
          <w:trHeight w:val="271"/>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29658538"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TEMPERATURA</w:t>
            </w:r>
          </w:p>
        </w:tc>
        <w:tc>
          <w:tcPr>
            <w:tcW w:w="3834" w:type="dxa"/>
            <w:tcBorders>
              <w:top w:val="single" w:sz="4" w:space="0" w:color="auto"/>
              <w:left w:val="single" w:sz="4" w:space="0" w:color="auto"/>
              <w:bottom w:val="single" w:sz="4" w:space="0" w:color="auto"/>
              <w:right w:val="single" w:sz="4" w:space="0" w:color="auto"/>
            </w:tcBorders>
            <w:vAlign w:val="center"/>
          </w:tcPr>
          <w:p w14:paraId="36B46CF1"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18 °C</w:t>
            </w:r>
          </w:p>
        </w:tc>
      </w:tr>
      <w:tr w:rsidR="000742BD" w:rsidRPr="000742BD" w14:paraId="7F98A582" w14:textId="77777777" w:rsidTr="000742BD">
        <w:trPr>
          <w:trHeight w:val="271"/>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7AACA3BD"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ALTITUD</w:t>
            </w:r>
          </w:p>
        </w:tc>
        <w:tc>
          <w:tcPr>
            <w:tcW w:w="3834" w:type="dxa"/>
            <w:tcBorders>
              <w:top w:val="single" w:sz="4" w:space="0" w:color="auto"/>
              <w:left w:val="single" w:sz="4" w:space="0" w:color="auto"/>
              <w:bottom w:val="single" w:sz="4" w:space="0" w:color="auto"/>
              <w:right w:val="single" w:sz="4" w:space="0" w:color="auto"/>
            </w:tcBorders>
            <w:vAlign w:val="center"/>
          </w:tcPr>
          <w:p w14:paraId="4C1292DA"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2.614 msnm</w:t>
            </w:r>
          </w:p>
        </w:tc>
      </w:tr>
      <w:tr w:rsidR="000742BD" w:rsidRPr="000742BD" w14:paraId="31C5CB59" w14:textId="77777777" w:rsidTr="000742BD">
        <w:trPr>
          <w:trHeight w:val="288"/>
          <w:jc w:val="center"/>
        </w:trPr>
        <w:tc>
          <w:tcPr>
            <w:tcW w:w="2540" w:type="dxa"/>
            <w:tcBorders>
              <w:top w:val="single" w:sz="4" w:space="0" w:color="auto"/>
              <w:left w:val="single" w:sz="4" w:space="0" w:color="auto"/>
              <w:bottom w:val="single" w:sz="4" w:space="0" w:color="auto"/>
              <w:right w:val="single" w:sz="4" w:space="0" w:color="auto"/>
            </w:tcBorders>
            <w:vAlign w:val="center"/>
            <w:hideMark/>
          </w:tcPr>
          <w:p w14:paraId="1E127725"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sz w:val="22"/>
                <w:szCs w:val="22"/>
              </w:rPr>
              <w:t>POBLACIÓN 2022</w:t>
            </w:r>
          </w:p>
        </w:tc>
        <w:tc>
          <w:tcPr>
            <w:tcW w:w="3834" w:type="dxa"/>
            <w:tcBorders>
              <w:top w:val="single" w:sz="4" w:space="0" w:color="auto"/>
              <w:left w:val="single" w:sz="4" w:space="0" w:color="auto"/>
              <w:bottom w:val="single" w:sz="4" w:space="0" w:color="auto"/>
              <w:right w:val="single" w:sz="4" w:space="0" w:color="auto"/>
            </w:tcBorders>
            <w:vAlign w:val="center"/>
          </w:tcPr>
          <w:p w14:paraId="4571974A" w14:textId="77777777" w:rsidR="000742BD" w:rsidRPr="000742BD" w:rsidRDefault="000742BD" w:rsidP="000742BD">
            <w:pPr>
              <w:tabs>
                <w:tab w:val="num" w:pos="720"/>
              </w:tabs>
              <w:rPr>
                <w:rFonts w:ascii="Arial Narrow" w:hAnsi="Arial Narrow" w:cs="Arial"/>
                <w:sz w:val="22"/>
                <w:szCs w:val="22"/>
              </w:rPr>
            </w:pPr>
            <w:r w:rsidRPr="000742BD">
              <w:rPr>
                <w:rFonts w:ascii="Arial Narrow" w:hAnsi="Arial Narrow" w:cs="Arial"/>
                <w:bCs/>
                <w:sz w:val="22"/>
                <w:szCs w:val="22"/>
              </w:rPr>
              <w:t>808.288 (Urbano 803.750, Rural 4538)</w:t>
            </w:r>
          </w:p>
        </w:tc>
      </w:tr>
    </w:tbl>
    <w:p w14:paraId="0C16EA87" w14:textId="77777777" w:rsidR="000742BD" w:rsidRPr="000742BD" w:rsidRDefault="000742BD" w:rsidP="000742BD">
      <w:pPr>
        <w:ind w:left="1080"/>
        <w:contextualSpacing/>
        <w:jc w:val="both"/>
        <w:rPr>
          <w:rFonts w:ascii="Arial Narrow" w:hAnsi="Arial Narrow" w:cs="Arial"/>
          <w:b/>
          <w:sz w:val="22"/>
          <w:szCs w:val="22"/>
        </w:rPr>
      </w:pPr>
    </w:p>
    <w:p w14:paraId="663004AC" w14:textId="77777777" w:rsidR="000742BD" w:rsidRPr="000742BD" w:rsidRDefault="000742BD" w:rsidP="000742BD">
      <w:pPr>
        <w:keepNext/>
        <w:keepLines/>
        <w:spacing w:before="40" w:line="256" w:lineRule="auto"/>
        <w:jc w:val="center"/>
        <w:outlineLvl w:val="1"/>
        <w:rPr>
          <w:rFonts w:ascii="Arial Narrow" w:eastAsia="Times New Roman" w:hAnsi="Arial Narrow" w:cs="Arial"/>
          <w:b/>
          <w:bCs/>
          <w:spacing w:val="-1"/>
          <w:sz w:val="22"/>
          <w:szCs w:val="22"/>
          <w:lang w:val="es-CO" w:eastAsia="en-US"/>
        </w:rPr>
      </w:pPr>
      <w:r w:rsidRPr="000742BD">
        <w:rPr>
          <w:rFonts w:ascii="Arial Narrow" w:eastAsia="Times New Roman" w:hAnsi="Arial Narrow" w:cs="Arial"/>
          <w:b/>
          <w:bCs/>
          <w:spacing w:val="-1"/>
          <w:sz w:val="22"/>
          <w:szCs w:val="22"/>
          <w:lang w:val="es-CO" w:eastAsia="en-US"/>
        </w:rPr>
        <w:t>INFORME DE VIABILIDAD FINANCIERA – IVF 2020</w:t>
      </w:r>
    </w:p>
    <w:p w14:paraId="5B302D33" w14:textId="77777777" w:rsidR="000742BD" w:rsidRPr="000742BD" w:rsidRDefault="000742BD" w:rsidP="000742BD">
      <w:pPr>
        <w:spacing w:line="276" w:lineRule="auto"/>
        <w:ind w:right="78"/>
        <w:jc w:val="both"/>
        <w:rPr>
          <w:rFonts w:ascii="Arial" w:eastAsia="Times New Roman" w:hAnsi="Arial" w:cs="Arial"/>
          <w:spacing w:val="-1"/>
        </w:rPr>
      </w:pPr>
    </w:p>
    <w:p w14:paraId="6242DAE3"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El IVF realizado por la secretaria de planeación departamental, respecto a la vigencia 2020, está enfocado en evaluar el valor máximo de los gastos de funcionamiento como proporción de los ingresos corrientes de libre destinación; el valor máximo de los gastos de los Consejos, Personerías y contralorías, establecidos en la Ley 617 de 2000; y la reorientación de rentas, modificación del presupuesto y efectos para los sectores económicos en función de la emergencia sanitaria por el COVID 19. </w:t>
      </w:r>
    </w:p>
    <w:p w14:paraId="39D41CBE" w14:textId="77777777" w:rsidR="000742BD" w:rsidRPr="000742BD" w:rsidRDefault="000742BD" w:rsidP="000742BD">
      <w:pPr>
        <w:ind w:right="78"/>
        <w:jc w:val="both"/>
        <w:rPr>
          <w:rFonts w:ascii="Arial Narrow" w:hAnsi="Arial Narrow" w:cs="Arial"/>
          <w:bCs/>
          <w:sz w:val="22"/>
          <w:szCs w:val="22"/>
        </w:rPr>
      </w:pPr>
    </w:p>
    <w:p w14:paraId="195F7C8B"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A este respecto, se encuentra que: </w:t>
      </w:r>
    </w:p>
    <w:p w14:paraId="7F3999F6" w14:textId="77777777" w:rsidR="000742BD" w:rsidRPr="000742BD" w:rsidRDefault="000742BD" w:rsidP="000742BD">
      <w:pPr>
        <w:ind w:right="78"/>
        <w:jc w:val="both"/>
        <w:rPr>
          <w:rFonts w:ascii="Arial Narrow" w:hAnsi="Arial Narrow" w:cs="Arial"/>
          <w:bCs/>
          <w:sz w:val="22"/>
          <w:szCs w:val="22"/>
        </w:rPr>
      </w:pPr>
    </w:p>
    <w:p w14:paraId="5FD47EC8"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El municipio de Soacha ha cumplido con el indicador </w:t>
      </w:r>
      <w:r w:rsidR="00D36A89">
        <w:rPr>
          <w:rFonts w:ascii="Arial Narrow" w:hAnsi="Arial Narrow" w:cs="Arial"/>
          <w:bCs/>
          <w:sz w:val="22"/>
          <w:szCs w:val="22"/>
        </w:rPr>
        <w:t xml:space="preserve">de </w:t>
      </w:r>
      <w:r w:rsidRPr="000742BD">
        <w:rPr>
          <w:rFonts w:ascii="Arial Narrow" w:hAnsi="Arial Narrow" w:cs="Arial"/>
          <w:bCs/>
          <w:sz w:val="22"/>
          <w:szCs w:val="22"/>
        </w:rPr>
        <w:t xml:space="preserve">gastos de funcionamiento al presentar un límite menor al 65% de los gastos de funcionamiento respecto a los ingresos corrientes de libre destinación, mínimo requerido a los municipios de categoría primera. Así pues, Soacha se ubicó en las vigencias 2019 y 2020 con un nivel de sostenible con 43,69 y 40,89 % respectivamente. </w:t>
      </w:r>
    </w:p>
    <w:p w14:paraId="7610A7C7" w14:textId="77777777" w:rsidR="000742BD" w:rsidRPr="000742BD" w:rsidRDefault="000742BD" w:rsidP="000742BD">
      <w:pPr>
        <w:ind w:right="78"/>
        <w:jc w:val="both"/>
        <w:rPr>
          <w:rFonts w:ascii="Arial Narrow" w:hAnsi="Arial Narrow" w:cs="Arial"/>
          <w:bCs/>
          <w:sz w:val="22"/>
          <w:szCs w:val="22"/>
        </w:rPr>
      </w:pPr>
    </w:p>
    <w:p w14:paraId="7801776C"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En este sentido se indica en el informe que </w:t>
      </w:r>
      <w:r w:rsidRPr="000742BD">
        <w:rPr>
          <w:rFonts w:ascii="Arial Narrow" w:hAnsi="Arial Narrow" w:cs="Arial"/>
          <w:bCs/>
          <w:i/>
          <w:iCs/>
          <w:sz w:val="22"/>
          <w:szCs w:val="22"/>
        </w:rPr>
        <w:t>“El municipio de Soacha goza de unas finanzas saludables, porque genera ahorro corriente, el gasto en inversión es alto, sus ingresos le permiten tener un amplio respaldo del endeudamiento, los recursos propios pesan de manera importante en el total de los Ingresos y tiene una baja dependencia de las transferencias de la Nación”.</w:t>
      </w:r>
    </w:p>
    <w:p w14:paraId="6B4F6D6E" w14:textId="77777777" w:rsidR="000742BD" w:rsidRPr="000742BD" w:rsidRDefault="000742BD" w:rsidP="000742BD">
      <w:pPr>
        <w:ind w:right="78"/>
        <w:jc w:val="both"/>
        <w:rPr>
          <w:rFonts w:ascii="Arial Narrow" w:hAnsi="Arial Narrow" w:cs="Arial"/>
          <w:bCs/>
          <w:sz w:val="22"/>
          <w:szCs w:val="22"/>
        </w:rPr>
      </w:pPr>
    </w:p>
    <w:p w14:paraId="61261742"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Por otra parte, se encuentra que el municipio de Soacha no superó el gasto máximo destinado al consejo, personerías y contraloría municipal, según lo establecido en la Ley 617 del 2000. </w:t>
      </w:r>
    </w:p>
    <w:p w14:paraId="0D573A63" w14:textId="77777777" w:rsidR="000742BD" w:rsidRPr="000742BD" w:rsidRDefault="000742BD" w:rsidP="000742BD">
      <w:pPr>
        <w:ind w:right="78"/>
        <w:jc w:val="both"/>
        <w:rPr>
          <w:rFonts w:ascii="Arial Narrow" w:hAnsi="Arial Narrow" w:cs="Arial"/>
          <w:bCs/>
          <w:sz w:val="22"/>
          <w:szCs w:val="22"/>
        </w:rPr>
      </w:pPr>
    </w:p>
    <w:p w14:paraId="6667A1A8" w14:textId="77777777" w:rsidR="000742BD" w:rsidRPr="000742BD" w:rsidRDefault="000742BD" w:rsidP="000742BD">
      <w:pPr>
        <w:ind w:right="78"/>
        <w:jc w:val="both"/>
        <w:rPr>
          <w:rFonts w:ascii="Arial Narrow" w:hAnsi="Arial Narrow" w:cs="Arial"/>
          <w:bCs/>
          <w:sz w:val="22"/>
          <w:szCs w:val="22"/>
        </w:rPr>
      </w:pPr>
      <w:r w:rsidRPr="000742BD">
        <w:rPr>
          <w:rFonts w:ascii="Arial Narrow" w:hAnsi="Arial Narrow" w:cs="Arial"/>
          <w:bCs/>
          <w:sz w:val="22"/>
          <w:szCs w:val="22"/>
        </w:rPr>
        <w:t xml:space="preserve">En cuanto a los efectos del Covid-19 en el municipio de Soacha, se identificó que: Se reorientaron rentas de las destinaciones para adulto mayor y recursos de libre destinación para atender la necesidad derivada de la emergencia por valor de $11.439 millones de pesos, fuera de recursos de donaciones, cofinanciaciones y transferencias de la nación para este fin; en cuanto a la modificación del presupuesto, se agregaron $13.282 millones, además de realizar un traslado presupuestal de secretaria general a la secretaria de educación para cuestiones afines al manejo de la emergencia; finalmente en cuanto a las afectaciones por el Covid-19 a los </w:t>
      </w:r>
      <w:r w:rsidRPr="000742BD">
        <w:rPr>
          <w:rFonts w:ascii="Arial Narrow" w:hAnsi="Arial Narrow" w:cs="Arial"/>
          <w:bCs/>
          <w:sz w:val="22"/>
          <w:szCs w:val="22"/>
        </w:rPr>
        <w:lastRenderedPageBreak/>
        <w:t>sectores económicos, se encuentra un análisis de Soacha como provincia ( Soacha y Sibaté) donde se identifica que los sectores más afectados fueron el turismo, la gastronomía y el comercio (ver gráfico 1).</w:t>
      </w:r>
    </w:p>
    <w:p w14:paraId="30B1A4FD" w14:textId="77777777" w:rsidR="000742BD" w:rsidRPr="000742BD" w:rsidRDefault="000742BD" w:rsidP="000742BD">
      <w:pPr>
        <w:ind w:right="78"/>
        <w:jc w:val="both"/>
        <w:rPr>
          <w:rFonts w:ascii="Arial" w:eastAsia="Times New Roman" w:hAnsi="Arial" w:cs="Arial"/>
          <w:spacing w:val="-1"/>
        </w:rPr>
      </w:pPr>
    </w:p>
    <w:p w14:paraId="2A135A86" w14:textId="77777777" w:rsidR="000742BD" w:rsidRDefault="000742BD" w:rsidP="000742BD">
      <w:pPr>
        <w:spacing w:after="200"/>
        <w:jc w:val="center"/>
        <w:rPr>
          <w:rFonts w:ascii="Arial Narrow" w:eastAsia="Times New Roman" w:hAnsi="Arial Narrow" w:cs="Arial"/>
          <w:b/>
          <w:bCs/>
          <w:sz w:val="22"/>
          <w:szCs w:val="22"/>
          <w:lang w:val="es-CO" w:eastAsia="en-US"/>
        </w:rPr>
      </w:pPr>
    </w:p>
    <w:p w14:paraId="43848DA3" w14:textId="77777777" w:rsidR="000742BD" w:rsidRDefault="000742BD" w:rsidP="000742BD">
      <w:pPr>
        <w:spacing w:after="200"/>
        <w:jc w:val="center"/>
        <w:rPr>
          <w:rFonts w:ascii="Arial Narrow" w:eastAsia="Times New Roman" w:hAnsi="Arial Narrow" w:cs="Arial"/>
          <w:b/>
          <w:bCs/>
          <w:sz w:val="22"/>
          <w:szCs w:val="22"/>
          <w:lang w:val="es-CO" w:eastAsia="en-US"/>
        </w:rPr>
      </w:pPr>
    </w:p>
    <w:p w14:paraId="4F3A8094" w14:textId="77777777" w:rsidR="000742BD" w:rsidRPr="000742BD" w:rsidRDefault="000742BD" w:rsidP="000742BD">
      <w:pPr>
        <w:spacing w:after="200"/>
        <w:jc w:val="center"/>
        <w:rPr>
          <w:rFonts w:ascii="Arial Narrow" w:eastAsia="Times New Roman" w:hAnsi="Arial Narrow" w:cs="Arial"/>
          <w:b/>
          <w:bCs/>
          <w:spacing w:val="-1"/>
          <w:sz w:val="22"/>
          <w:szCs w:val="22"/>
          <w:lang w:val="es-CO" w:eastAsia="en-US"/>
        </w:rPr>
      </w:pPr>
      <w:r w:rsidRPr="000742BD">
        <w:rPr>
          <w:rFonts w:ascii="Arial Narrow" w:eastAsia="Times New Roman" w:hAnsi="Arial Narrow" w:cs="Arial"/>
          <w:b/>
          <w:bCs/>
          <w:sz w:val="22"/>
          <w:szCs w:val="22"/>
          <w:lang w:val="es-CO" w:eastAsia="en-US"/>
        </w:rPr>
        <w:t xml:space="preserve">Grafica </w:t>
      </w:r>
      <w:r w:rsidRPr="000742BD">
        <w:rPr>
          <w:rFonts w:ascii="Arial Narrow" w:eastAsia="Times New Roman" w:hAnsi="Arial Narrow" w:cs="Arial"/>
          <w:b/>
          <w:bCs/>
          <w:sz w:val="22"/>
          <w:szCs w:val="22"/>
          <w:lang w:val="es-CO" w:eastAsia="en-US"/>
        </w:rPr>
        <w:fldChar w:fldCharType="begin"/>
      </w:r>
      <w:r w:rsidRPr="000742BD">
        <w:rPr>
          <w:rFonts w:ascii="Arial Narrow" w:eastAsia="Times New Roman" w:hAnsi="Arial Narrow" w:cs="Arial"/>
          <w:b/>
          <w:bCs/>
          <w:sz w:val="22"/>
          <w:szCs w:val="22"/>
          <w:lang w:val="es-CO" w:eastAsia="en-US"/>
        </w:rPr>
        <w:instrText xml:space="preserve"> SEQ Grafica \* ARABIC </w:instrText>
      </w:r>
      <w:r w:rsidRPr="000742BD">
        <w:rPr>
          <w:rFonts w:ascii="Arial Narrow" w:eastAsia="Times New Roman" w:hAnsi="Arial Narrow" w:cs="Arial"/>
          <w:b/>
          <w:bCs/>
          <w:sz w:val="22"/>
          <w:szCs w:val="22"/>
          <w:lang w:val="es-CO" w:eastAsia="en-US"/>
        </w:rPr>
        <w:fldChar w:fldCharType="separate"/>
      </w:r>
      <w:r w:rsidRPr="000742BD">
        <w:rPr>
          <w:rFonts w:ascii="Arial Narrow" w:eastAsia="Times New Roman" w:hAnsi="Arial Narrow" w:cs="Arial"/>
          <w:b/>
          <w:bCs/>
          <w:noProof/>
          <w:sz w:val="22"/>
          <w:szCs w:val="22"/>
          <w:lang w:val="es-CO" w:eastAsia="en-US"/>
        </w:rPr>
        <w:t>1</w:t>
      </w:r>
      <w:r w:rsidRPr="000742BD">
        <w:rPr>
          <w:rFonts w:ascii="Arial Narrow" w:eastAsia="Times New Roman" w:hAnsi="Arial Narrow" w:cs="Arial"/>
          <w:b/>
          <w:bCs/>
          <w:sz w:val="22"/>
          <w:szCs w:val="22"/>
          <w:lang w:val="es-CO" w:eastAsia="en-US"/>
        </w:rPr>
        <w:fldChar w:fldCharType="end"/>
      </w:r>
      <w:r w:rsidRPr="000742BD">
        <w:rPr>
          <w:rFonts w:ascii="Arial Narrow" w:eastAsia="Times New Roman" w:hAnsi="Arial Narrow" w:cs="Arial"/>
          <w:b/>
          <w:bCs/>
          <w:sz w:val="22"/>
          <w:szCs w:val="22"/>
          <w:lang w:val="es-CO" w:eastAsia="en-US"/>
        </w:rPr>
        <w:t>: Sectores económicos afectados provincia de Soacha</w:t>
      </w:r>
    </w:p>
    <w:p w14:paraId="126389DB" w14:textId="77777777" w:rsidR="000742BD" w:rsidRPr="000742BD" w:rsidRDefault="000742BD" w:rsidP="000742BD">
      <w:pPr>
        <w:keepNext/>
        <w:ind w:right="78"/>
        <w:jc w:val="center"/>
        <w:rPr>
          <w:rFonts w:ascii="Arial Narrow" w:hAnsi="Arial Narrow"/>
          <w:sz w:val="22"/>
          <w:szCs w:val="22"/>
        </w:rPr>
      </w:pPr>
      <w:r w:rsidRPr="000742BD">
        <w:rPr>
          <w:rFonts w:ascii="Arial Narrow" w:hAnsi="Arial Narrow"/>
          <w:noProof/>
          <w:sz w:val="22"/>
          <w:szCs w:val="22"/>
          <w:lang w:val="es-CO" w:eastAsia="es-CO"/>
        </w:rPr>
        <w:drawing>
          <wp:inline distT="0" distB="0" distL="0" distR="0" wp14:anchorId="1BAD398E" wp14:editId="5F85C5F0">
            <wp:extent cx="3829050" cy="1362075"/>
            <wp:effectExtent l="0" t="0" r="0" b="9525"/>
            <wp:docPr id="8" name="Imagen 8" descr="Gráfico, Gráfico en cascada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Gráfico, Gráfico en cascada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t="22835"/>
                    <a:stretch>
                      <a:fillRect/>
                    </a:stretch>
                  </pic:blipFill>
                  <pic:spPr bwMode="auto">
                    <a:xfrm>
                      <a:off x="0" y="0"/>
                      <a:ext cx="3829050" cy="1362075"/>
                    </a:xfrm>
                    <a:prstGeom prst="rect">
                      <a:avLst/>
                    </a:prstGeom>
                    <a:noFill/>
                    <a:ln>
                      <a:noFill/>
                    </a:ln>
                  </pic:spPr>
                </pic:pic>
              </a:graphicData>
            </a:graphic>
          </wp:inline>
        </w:drawing>
      </w:r>
    </w:p>
    <w:p w14:paraId="0FAC531B" w14:textId="77777777" w:rsidR="000742BD" w:rsidRPr="000742BD" w:rsidRDefault="000742BD" w:rsidP="000742BD">
      <w:pPr>
        <w:keepNext/>
        <w:ind w:right="78"/>
        <w:jc w:val="center"/>
        <w:rPr>
          <w:rFonts w:ascii="Arial Narrow" w:hAnsi="Arial Narrow"/>
          <w:sz w:val="16"/>
          <w:szCs w:val="16"/>
        </w:rPr>
      </w:pPr>
      <w:r w:rsidRPr="000742BD">
        <w:rPr>
          <w:rFonts w:ascii="Arial Narrow" w:hAnsi="Arial Narrow"/>
          <w:sz w:val="16"/>
          <w:szCs w:val="16"/>
        </w:rPr>
        <w:t>Tomado de Informe de Viabilidad Financiera, municipios del departamento de Cundinamarca</w:t>
      </w:r>
    </w:p>
    <w:p w14:paraId="60FCDD4B" w14:textId="77777777" w:rsidR="000742BD" w:rsidRPr="000742BD" w:rsidRDefault="000742BD" w:rsidP="000742BD">
      <w:pPr>
        <w:ind w:left="1080"/>
        <w:contextualSpacing/>
        <w:jc w:val="both"/>
        <w:rPr>
          <w:rFonts w:ascii="Arial Narrow" w:hAnsi="Arial Narrow" w:cs="Arial"/>
          <w:b/>
          <w:sz w:val="22"/>
          <w:szCs w:val="22"/>
        </w:rPr>
      </w:pPr>
    </w:p>
    <w:p w14:paraId="5FC25FB5" w14:textId="77777777" w:rsidR="000742BD" w:rsidRPr="000742BD" w:rsidRDefault="000742BD" w:rsidP="000742BD">
      <w:pPr>
        <w:ind w:left="1080"/>
        <w:contextualSpacing/>
        <w:jc w:val="both"/>
        <w:rPr>
          <w:rFonts w:ascii="Arial Narrow" w:hAnsi="Arial Narrow" w:cs="Arial"/>
          <w:b/>
          <w:sz w:val="22"/>
          <w:szCs w:val="22"/>
        </w:rPr>
      </w:pPr>
    </w:p>
    <w:p w14:paraId="3EDE9E50" w14:textId="77777777" w:rsidR="000742BD" w:rsidRPr="000742BD" w:rsidRDefault="000742BD" w:rsidP="000742BD">
      <w:pPr>
        <w:numPr>
          <w:ilvl w:val="0"/>
          <w:numId w:val="19"/>
        </w:numPr>
        <w:contextualSpacing/>
        <w:jc w:val="both"/>
        <w:rPr>
          <w:rFonts w:ascii="Arial Narrow" w:hAnsi="Arial Narrow" w:cs="Arial"/>
          <w:b/>
          <w:sz w:val="22"/>
          <w:szCs w:val="22"/>
        </w:rPr>
      </w:pPr>
      <w:r w:rsidRPr="000742BD">
        <w:rPr>
          <w:rFonts w:ascii="Arial Narrow" w:hAnsi="Arial Narrow" w:cs="Arial"/>
          <w:b/>
          <w:sz w:val="22"/>
          <w:szCs w:val="22"/>
        </w:rPr>
        <w:t>ANTECEDENTES.</w:t>
      </w:r>
    </w:p>
    <w:p w14:paraId="7D6C2AB1" w14:textId="77777777" w:rsidR="000742BD" w:rsidRPr="000742BD" w:rsidRDefault="000742BD" w:rsidP="000742BD">
      <w:pPr>
        <w:jc w:val="both"/>
        <w:rPr>
          <w:rFonts w:ascii="Arial Narrow" w:hAnsi="Arial Narrow" w:cs="Arial"/>
          <w:b/>
          <w:sz w:val="22"/>
          <w:szCs w:val="22"/>
        </w:rPr>
      </w:pPr>
    </w:p>
    <w:p w14:paraId="39AEBB04" w14:textId="77777777" w:rsidR="000742BD" w:rsidRPr="000742BD" w:rsidRDefault="000742BD" w:rsidP="000742BD">
      <w:pPr>
        <w:ind w:left="1080"/>
        <w:contextualSpacing/>
        <w:jc w:val="both"/>
        <w:rPr>
          <w:rFonts w:ascii="Arial Narrow" w:hAnsi="Arial Narrow" w:cs="Arial"/>
          <w:b/>
          <w:sz w:val="22"/>
          <w:szCs w:val="22"/>
        </w:rPr>
      </w:pPr>
      <w:r w:rsidRPr="000742BD">
        <w:rPr>
          <w:rFonts w:ascii="Arial Narrow" w:hAnsi="Arial Narrow" w:cs="Arial"/>
          <w:b/>
          <w:sz w:val="22"/>
          <w:szCs w:val="22"/>
        </w:rPr>
        <w:t>INFORMES DE MONITOREO:</w:t>
      </w:r>
    </w:p>
    <w:p w14:paraId="7F4965E3" w14:textId="77777777" w:rsidR="000742BD" w:rsidRPr="000742BD" w:rsidRDefault="000742BD" w:rsidP="000742BD">
      <w:pPr>
        <w:ind w:left="1080"/>
        <w:contextualSpacing/>
        <w:jc w:val="both"/>
        <w:rPr>
          <w:rFonts w:ascii="Arial Narrow" w:hAnsi="Arial Narrow" w:cs="Arial"/>
          <w:b/>
          <w:sz w:val="22"/>
          <w:szCs w:val="22"/>
        </w:rPr>
      </w:pPr>
    </w:p>
    <w:p w14:paraId="3DD6A2B6" w14:textId="77777777" w:rsidR="000742BD" w:rsidRPr="000742BD" w:rsidRDefault="000742BD" w:rsidP="000742BD">
      <w:pPr>
        <w:ind w:left="1080"/>
        <w:contextualSpacing/>
        <w:jc w:val="both"/>
        <w:rPr>
          <w:rFonts w:ascii="Arial Narrow" w:hAnsi="Arial Narrow" w:cs="Arial"/>
          <w:b/>
          <w:sz w:val="22"/>
          <w:szCs w:val="22"/>
        </w:rPr>
      </w:pPr>
    </w:p>
    <w:p w14:paraId="6E2CF3A9" w14:textId="77777777" w:rsidR="000742BD" w:rsidRPr="000742BD" w:rsidRDefault="000742BD" w:rsidP="000742BD">
      <w:pPr>
        <w:keepNext/>
        <w:keepLines/>
        <w:spacing w:before="40" w:line="256" w:lineRule="auto"/>
        <w:outlineLvl w:val="2"/>
        <w:rPr>
          <w:rFonts w:ascii="Arial Narrow" w:hAnsi="Arial Narrow" w:cs="Arial"/>
          <w:b/>
          <w:bCs/>
          <w:sz w:val="22"/>
          <w:szCs w:val="22"/>
        </w:rPr>
      </w:pPr>
      <w:r w:rsidRPr="000742BD">
        <w:rPr>
          <w:rFonts w:ascii="Arial Narrow" w:hAnsi="Arial Narrow" w:cs="Arial"/>
          <w:b/>
          <w:bCs/>
          <w:sz w:val="22"/>
          <w:szCs w:val="22"/>
        </w:rPr>
        <w:t>VIGENCIA 2019</w:t>
      </w:r>
    </w:p>
    <w:p w14:paraId="4D8C888A" w14:textId="77777777" w:rsidR="000742BD" w:rsidRPr="000742BD" w:rsidRDefault="000742BD" w:rsidP="000742BD">
      <w:pPr>
        <w:spacing w:line="276" w:lineRule="auto"/>
        <w:jc w:val="both"/>
        <w:rPr>
          <w:rFonts w:ascii="Arial Narrow" w:hAnsi="Arial Narrow" w:cs="Arial"/>
          <w:sz w:val="22"/>
          <w:szCs w:val="22"/>
        </w:rPr>
      </w:pPr>
    </w:p>
    <w:p w14:paraId="235EF093"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El municipio de Soacha fue identificado como de riesgo alto según el Informe de Monitoreo del Ministerio de Vivienda Ciudad y Territorio, presentando incumplimiento en el Indicador Sintético de la Gestión Presupuestal, el Indicador Sintético del Uso de los Recursos y 6 de los 10 indicadores que componen los Indicadores Estratégicos Sectoriales, además, aunque cumple con el indicador Sintético de la Gestión Administrativa para el Pago de Subsidios, presenta falencias en uno de sus componentes.</w:t>
      </w:r>
    </w:p>
    <w:p w14:paraId="0C3FF419" w14:textId="77777777" w:rsidR="000742BD" w:rsidRPr="000742BD" w:rsidRDefault="000742BD" w:rsidP="000742BD">
      <w:pPr>
        <w:spacing w:line="276" w:lineRule="auto"/>
        <w:jc w:val="both"/>
        <w:rPr>
          <w:rFonts w:ascii="Arial Narrow" w:hAnsi="Arial Narrow" w:cs="Arial"/>
          <w:sz w:val="22"/>
          <w:szCs w:val="22"/>
        </w:rPr>
      </w:pPr>
    </w:p>
    <w:p w14:paraId="0C841B82" w14:textId="77777777" w:rsidR="000742BD" w:rsidRPr="000742BD" w:rsidRDefault="000742BD" w:rsidP="000742BD">
      <w:pPr>
        <w:spacing w:line="276" w:lineRule="auto"/>
        <w:jc w:val="both"/>
        <w:rPr>
          <w:rFonts w:ascii="Arial Narrow" w:hAnsi="Arial Narrow" w:cs="Arial"/>
          <w:b/>
          <w:bCs/>
          <w:sz w:val="22"/>
          <w:szCs w:val="22"/>
        </w:rPr>
      </w:pPr>
      <w:r w:rsidRPr="000742BD">
        <w:rPr>
          <w:rFonts w:ascii="Arial Narrow" w:hAnsi="Arial Narrow" w:cs="Arial"/>
          <w:b/>
          <w:bCs/>
          <w:sz w:val="22"/>
          <w:szCs w:val="22"/>
        </w:rPr>
        <w:t>Indicador Sintético de la Gestión Presupuestal</w:t>
      </w:r>
    </w:p>
    <w:p w14:paraId="431FF516" w14:textId="77777777" w:rsidR="000742BD" w:rsidRPr="000742BD" w:rsidRDefault="000742BD" w:rsidP="000742BD">
      <w:pPr>
        <w:spacing w:line="276" w:lineRule="auto"/>
        <w:jc w:val="both"/>
        <w:rPr>
          <w:rFonts w:ascii="Arial Narrow" w:hAnsi="Arial Narrow" w:cs="Arial"/>
          <w:sz w:val="22"/>
          <w:szCs w:val="22"/>
        </w:rPr>
      </w:pPr>
    </w:p>
    <w:p w14:paraId="3C0A22EF"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Para este indicador no se cumplen 2 de los seis indicadores. A saber, los indicadores incumplidos son el de “Constitución de Reservas Presupuestales y Cuentas por Pagar” y el de “Saldo en Bancos al Cierre de la Vigencia”, el primero de estos identifica que las reservas y cuentas por pagar presentadas en el FUT de Cierre Fiscal son dispares a sus contrapartes en la ejecución presupuestal, mientras que el segundo estos indica que la entidad presenta problemas de reporte al presentar un saldo en su cuenta maestra inferior a la diferencia entre los recursos disponibles menos los pagos. </w:t>
      </w:r>
    </w:p>
    <w:p w14:paraId="6BEB11C6" w14:textId="77777777" w:rsidR="000742BD" w:rsidRPr="000742BD" w:rsidRDefault="000742BD" w:rsidP="000742BD">
      <w:pPr>
        <w:jc w:val="both"/>
        <w:rPr>
          <w:rFonts w:ascii="Arial Narrow" w:hAnsi="Arial Narrow" w:cs="Arial"/>
          <w:sz w:val="22"/>
          <w:szCs w:val="22"/>
        </w:rPr>
      </w:pPr>
    </w:p>
    <w:p w14:paraId="3415C8C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Indicador Sintético del Uso de los Recursos </w:t>
      </w:r>
    </w:p>
    <w:p w14:paraId="42C51B4B"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municipio de Soacha presenta incumplimiento en los indicadores de “Actividades elegibles de gasto con los recursos de SGP-APSB”, puesto que para 2019 según el informe de monitoreo se destinaron $ 3.309 millones de pesos a actividades no elegibles, y “Financiación del Sector”, únicamente cumpliendo con el indicador de </w:t>
      </w:r>
      <w:r w:rsidRPr="000742BD">
        <w:rPr>
          <w:rFonts w:ascii="Arial Narrow" w:hAnsi="Arial Narrow" w:cs="Arial"/>
          <w:sz w:val="22"/>
          <w:szCs w:val="22"/>
        </w:rPr>
        <w:lastRenderedPageBreak/>
        <w:t>“Pago de Subsidios” al destinar más del 15% de sus recursos disponibles. El primero de los indicadores incumplidos muestra que para la vigencia 2019 casi el 20% de los recursos asignados por SGP APSB fue destinado a actividades no elegibles.</w:t>
      </w:r>
    </w:p>
    <w:p w14:paraId="1EB4D647" w14:textId="77777777" w:rsidR="000742BD" w:rsidRPr="000742BD" w:rsidRDefault="000742BD" w:rsidP="000742BD">
      <w:pPr>
        <w:jc w:val="both"/>
        <w:rPr>
          <w:rFonts w:ascii="Arial Narrow" w:hAnsi="Arial Narrow" w:cs="Arial"/>
          <w:sz w:val="22"/>
          <w:szCs w:val="22"/>
        </w:rPr>
      </w:pPr>
    </w:p>
    <w:p w14:paraId="1A8D26F4"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Indicador Sintético de la Gestión Administrativa para el Pago de Subsidios</w:t>
      </w:r>
    </w:p>
    <w:p w14:paraId="341C2B38"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Este indicador fue cumplido en 3 de sus 4 componentes, estos fueron “Contrato o Convenio de Subsidios”, “Acuerdo de Porcentajes de Subsidios y Contribuciones” y “Formato de Estratificación y Coberturas”, sin embargo, se encontró incumplimiento en el de “Actualización Estratificación”, donde hay una desactualización o bien una falta de gestión en cuanto al estado de revisión general de la estratificación. </w:t>
      </w:r>
    </w:p>
    <w:p w14:paraId="37B2CF3F" w14:textId="77777777" w:rsidR="000742BD" w:rsidRPr="000742BD" w:rsidRDefault="000742BD" w:rsidP="000742BD">
      <w:pPr>
        <w:jc w:val="both"/>
        <w:rPr>
          <w:rFonts w:ascii="Arial Narrow" w:hAnsi="Arial Narrow" w:cs="Arial"/>
          <w:sz w:val="22"/>
          <w:szCs w:val="22"/>
        </w:rPr>
      </w:pPr>
    </w:p>
    <w:p w14:paraId="61C57DCD"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Indicadores Estratégicos Sectoriales</w:t>
      </w:r>
    </w:p>
    <w:p w14:paraId="7077FA1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Este grupo de indicadores es uno de los más críticos para la entidad, puesto que 6 de los 10 indicadores se encontraron como incumplidos, lo primero es que no se cumple con ninguno de los 5 indicadores de cobertura de alcantarillado, acueducto y aseo (rural y urbana), ni con 1 de los dos indicadores de calidad del agua, el cual corresponde al agua apta para el consumo humano en la zona rural. </w:t>
      </w:r>
    </w:p>
    <w:p w14:paraId="45C2FFCE" w14:textId="77777777" w:rsidR="000742BD" w:rsidRPr="000742BD" w:rsidRDefault="000742BD" w:rsidP="000742BD">
      <w:pPr>
        <w:ind w:left="1080"/>
        <w:contextualSpacing/>
        <w:jc w:val="both"/>
        <w:rPr>
          <w:rFonts w:ascii="Arial Narrow" w:hAnsi="Arial Narrow" w:cs="Arial"/>
          <w:b/>
          <w:sz w:val="22"/>
          <w:szCs w:val="22"/>
        </w:rPr>
      </w:pPr>
    </w:p>
    <w:p w14:paraId="64DC5095" w14:textId="77777777" w:rsidR="000742BD" w:rsidRPr="000742BD" w:rsidRDefault="000742BD" w:rsidP="000742BD">
      <w:pPr>
        <w:ind w:left="1080"/>
        <w:contextualSpacing/>
        <w:jc w:val="both"/>
        <w:rPr>
          <w:rFonts w:ascii="Arial Narrow" w:hAnsi="Arial Narrow" w:cs="Arial"/>
          <w:b/>
          <w:sz w:val="22"/>
          <w:szCs w:val="22"/>
        </w:rPr>
      </w:pPr>
    </w:p>
    <w:p w14:paraId="730C60A8" w14:textId="77777777" w:rsidR="000742BD" w:rsidRPr="000742BD" w:rsidRDefault="000742BD" w:rsidP="000742BD">
      <w:pPr>
        <w:contextualSpacing/>
        <w:jc w:val="both"/>
        <w:rPr>
          <w:rFonts w:ascii="Arial Narrow" w:hAnsi="Arial Narrow" w:cs="Arial"/>
          <w:b/>
          <w:sz w:val="22"/>
          <w:szCs w:val="22"/>
        </w:rPr>
      </w:pPr>
      <w:r w:rsidRPr="000742BD">
        <w:rPr>
          <w:rFonts w:ascii="Arial Narrow" w:hAnsi="Arial Narrow" w:cs="Arial"/>
          <w:b/>
          <w:sz w:val="22"/>
          <w:szCs w:val="22"/>
        </w:rPr>
        <w:t>VIGENCIA 2020</w:t>
      </w:r>
    </w:p>
    <w:p w14:paraId="3CE508E3" w14:textId="77777777" w:rsidR="000742BD" w:rsidRPr="000742BD" w:rsidRDefault="000742BD" w:rsidP="000742BD">
      <w:pPr>
        <w:ind w:left="1080"/>
        <w:contextualSpacing/>
        <w:jc w:val="both"/>
        <w:rPr>
          <w:rFonts w:ascii="Arial Narrow" w:hAnsi="Arial Narrow" w:cs="Arial"/>
          <w:b/>
          <w:sz w:val="22"/>
          <w:szCs w:val="22"/>
        </w:rPr>
      </w:pPr>
    </w:p>
    <w:p w14:paraId="3992D00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El Ministerio de Vivienda, Ciudad y Territorio en el informe de monitoreo de la vigencia 2020 al uso de los recursos del SGP APSB en virtud de Decreto 028 de 2008, clasificó al Municipio de Soacha en riesgo alto y priorizado para las acciones de seguimiento y control por parte del Ministerio de Hacienda y Crédito Público, debido al incumplimiento en los indicadores:</w:t>
      </w:r>
    </w:p>
    <w:p w14:paraId="50441F32" w14:textId="77777777" w:rsidR="000742BD" w:rsidRPr="000742BD" w:rsidRDefault="000742BD" w:rsidP="000742BD">
      <w:pPr>
        <w:rPr>
          <w:rFonts w:ascii="Arial Narrow" w:hAnsi="Arial Narrow" w:cs="Arial"/>
          <w:sz w:val="22"/>
          <w:szCs w:val="22"/>
        </w:rPr>
      </w:pPr>
    </w:p>
    <w:p w14:paraId="606D9BE7" w14:textId="77777777" w:rsidR="000742BD" w:rsidRPr="000742BD" w:rsidRDefault="000742BD" w:rsidP="000742BD">
      <w:pPr>
        <w:numPr>
          <w:ilvl w:val="0"/>
          <w:numId w:val="25"/>
        </w:numPr>
        <w:contextualSpacing/>
        <w:rPr>
          <w:rFonts w:ascii="Arial Narrow" w:hAnsi="Arial Narrow" w:cs="Arial"/>
          <w:sz w:val="22"/>
          <w:szCs w:val="22"/>
        </w:rPr>
      </w:pPr>
      <w:r w:rsidRPr="000742BD">
        <w:rPr>
          <w:rFonts w:ascii="Arial Narrow" w:hAnsi="Arial Narrow" w:cs="Arial"/>
          <w:sz w:val="22"/>
          <w:szCs w:val="22"/>
        </w:rPr>
        <w:t xml:space="preserve">Sintético de la gestión presupuestal. </w:t>
      </w:r>
    </w:p>
    <w:p w14:paraId="6802C57B" w14:textId="77777777" w:rsidR="000742BD" w:rsidRPr="000742BD" w:rsidRDefault="000742BD" w:rsidP="000742BD">
      <w:pPr>
        <w:numPr>
          <w:ilvl w:val="0"/>
          <w:numId w:val="25"/>
        </w:numPr>
        <w:contextualSpacing/>
        <w:rPr>
          <w:rFonts w:ascii="Arial Narrow" w:hAnsi="Arial Narrow" w:cs="Arial"/>
          <w:sz w:val="22"/>
          <w:szCs w:val="22"/>
        </w:rPr>
      </w:pPr>
      <w:r w:rsidRPr="000742BD">
        <w:rPr>
          <w:rFonts w:ascii="Arial Narrow" w:hAnsi="Arial Narrow" w:cs="Arial"/>
          <w:sz w:val="22"/>
          <w:szCs w:val="22"/>
        </w:rPr>
        <w:t>Sintético del uso de los recursos.</w:t>
      </w:r>
    </w:p>
    <w:p w14:paraId="4D5EF459" w14:textId="77777777" w:rsidR="000742BD" w:rsidRPr="000742BD" w:rsidRDefault="000742BD" w:rsidP="000742BD">
      <w:pPr>
        <w:rPr>
          <w:rFonts w:ascii="Arial Narrow" w:hAnsi="Arial Narrow" w:cs="Arial"/>
          <w:sz w:val="22"/>
          <w:szCs w:val="22"/>
        </w:rPr>
      </w:pPr>
    </w:p>
    <w:p w14:paraId="4ED0CD0D" w14:textId="77777777" w:rsidR="000742BD" w:rsidRPr="000742BD" w:rsidRDefault="000742BD" w:rsidP="000742BD">
      <w:pPr>
        <w:ind w:left="720"/>
        <w:contextualSpacing/>
        <w:rPr>
          <w:rFonts w:ascii="Arial Narrow" w:hAnsi="Arial Narrow" w:cs="Arial"/>
          <w:sz w:val="22"/>
          <w:szCs w:val="22"/>
        </w:rPr>
      </w:pPr>
    </w:p>
    <w:p w14:paraId="3B5759F1" w14:textId="77777777" w:rsidR="000742BD" w:rsidRPr="000742BD" w:rsidRDefault="000742BD" w:rsidP="000742BD">
      <w:pPr>
        <w:rPr>
          <w:rFonts w:ascii="Arial Narrow" w:hAnsi="Arial Narrow" w:cs="Arial"/>
          <w:sz w:val="22"/>
          <w:szCs w:val="22"/>
        </w:rPr>
      </w:pPr>
    </w:p>
    <w:p w14:paraId="212253CF" w14:textId="77777777" w:rsidR="000742BD" w:rsidRPr="000742BD" w:rsidRDefault="000742BD" w:rsidP="000742BD">
      <w:pPr>
        <w:numPr>
          <w:ilvl w:val="0"/>
          <w:numId w:val="19"/>
        </w:numPr>
        <w:contextualSpacing/>
        <w:jc w:val="both"/>
        <w:rPr>
          <w:rFonts w:ascii="Arial Narrow" w:hAnsi="Arial Narrow" w:cs="Arial"/>
          <w:b/>
          <w:sz w:val="22"/>
          <w:szCs w:val="22"/>
        </w:rPr>
      </w:pPr>
      <w:r w:rsidRPr="000742BD">
        <w:rPr>
          <w:rFonts w:ascii="Arial Narrow" w:hAnsi="Arial Narrow" w:cs="Arial"/>
          <w:b/>
          <w:sz w:val="22"/>
          <w:szCs w:val="22"/>
        </w:rPr>
        <w:t>CARACTERIZACIÓN.</w:t>
      </w:r>
    </w:p>
    <w:p w14:paraId="3CF5FD32" w14:textId="77777777" w:rsidR="000742BD" w:rsidRPr="000742BD" w:rsidRDefault="000742BD" w:rsidP="000742BD">
      <w:pPr>
        <w:ind w:left="1080"/>
        <w:contextualSpacing/>
        <w:jc w:val="both"/>
        <w:rPr>
          <w:rFonts w:ascii="Arial Narrow" w:hAnsi="Arial Narrow" w:cs="Arial"/>
          <w:b/>
          <w:sz w:val="22"/>
          <w:szCs w:val="22"/>
        </w:rPr>
      </w:pPr>
    </w:p>
    <w:p w14:paraId="43FF4E91" w14:textId="77777777" w:rsidR="000742BD" w:rsidRPr="000742BD" w:rsidRDefault="000742BD" w:rsidP="000742BD">
      <w:pPr>
        <w:ind w:left="1070"/>
        <w:contextualSpacing/>
        <w:jc w:val="both"/>
        <w:rPr>
          <w:rFonts w:ascii="Arial Narrow" w:hAnsi="Arial Narrow" w:cs="Arial"/>
          <w:b/>
          <w:sz w:val="22"/>
          <w:szCs w:val="22"/>
        </w:rPr>
      </w:pPr>
    </w:p>
    <w:p w14:paraId="3475DDA1" w14:textId="77777777" w:rsidR="000742BD" w:rsidRPr="000742BD" w:rsidRDefault="000742BD" w:rsidP="000742BD">
      <w:pPr>
        <w:numPr>
          <w:ilvl w:val="0"/>
          <w:numId w:val="22"/>
        </w:numPr>
        <w:tabs>
          <w:tab w:val="num" w:pos="720"/>
        </w:tabs>
        <w:contextualSpacing/>
        <w:jc w:val="both"/>
        <w:rPr>
          <w:rFonts w:ascii="Arial Narrow" w:hAnsi="Arial Narrow" w:cs="Arial"/>
          <w:b/>
          <w:sz w:val="22"/>
          <w:szCs w:val="22"/>
        </w:rPr>
      </w:pPr>
      <w:bookmarkStart w:id="0" w:name="_Hlk97211819"/>
      <w:r w:rsidRPr="000742BD">
        <w:rPr>
          <w:rFonts w:ascii="Arial Narrow" w:hAnsi="Arial Narrow" w:cs="Arial"/>
          <w:b/>
          <w:sz w:val="22"/>
          <w:szCs w:val="22"/>
        </w:rPr>
        <w:t>DE LA PRESTACIÓN DEL SERVICIO.</w:t>
      </w:r>
    </w:p>
    <w:p w14:paraId="28C431DF" w14:textId="77777777" w:rsidR="000742BD" w:rsidRPr="000742BD" w:rsidRDefault="000742BD" w:rsidP="000742BD">
      <w:pPr>
        <w:ind w:left="1070"/>
        <w:contextualSpacing/>
        <w:jc w:val="both"/>
        <w:rPr>
          <w:rFonts w:ascii="Arial Narrow" w:hAnsi="Arial Narrow" w:cs="Arial"/>
          <w:b/>
          <w:sz w:val="22"/>
          <w:szCs w:val="22"/>
        </w:rPr>
      </w:pPr>
    </w:p>
    <w:p w14:paraId="09B9FD53"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En la construcción del plan de desarrollo 2020 -2023, los temas de necesidades y problemáticas en los servicios públicos están las de las altas tarifas, la comunidad pide control a las empresas de servicios públicos y la estratificación, entre otros.</w:t>
      </w:r>
    </w:p>
    <w:p w14:paraId="3F380D4E" w14:textId="77777777" w:rsidR="000742BD" w:rsidRPr="000742BD" w:rsidRDefault="000742BD" w:rsidP="000742BD">
      <w:pPr>
        <w:contextualSpacing/>
        <w:jc w:val="both"/>
        <w:rPr>
          <w:rFonts w:ascii="Arial Narrow" w:hAnsi="Arial Narrow" w:cs="Arial"/>
          <w:bCs/>
          <w:sz w:val="22"/>
          <w:szCs w:val="22"/>
        </w:rPr>
      </w:pPr>
    </w:p>
    <w:p w14:paraId="64632CFF" w14:textId="77777777" w:rsidR="000742BD" w:rsidRPr="000742BD" w:rsidRDefault="000742BD" w:rsidP="000742BD">
      <w:pPr>
        <w:ind w:left="1790"/>
        <w:contextualSpacing/>
        <w:jc w:val="both"/>
        <w:rPr>
          <w:rFonts w:ascii="Arial Narrow" w:hAnsi="Arial Narrow" w:cs="Arial"/>
          <w:b/>
          <w:sz w:val="22"/>
          <w:szCs w:val="22"/>
        </w:rPr>
      </w:pPr>
    </w:p>
    <w:p w14:paraId="4BC20D4D" w14:textId="77777777" w:rsidR="000742BD" w:rsidRPr="000742BD" w:rsidRDefault="000742BD" w:rsidP="000742BD">
      <w:pPr>
        <w:jc w:val="both"/>
        <w:rPr>
          <w:rFonts w:ascii="Arial Narrow" w:hAnsi="Arial Narrow" w:cs="Arial"/>
          <w:b/>
          <w:bCs/>
          <w:sz w:val="22"/>
          <w:szCs w:val="22"/>
        </w:rPr>
      </w:pPr>
      <w:r w:rsidRPr="000742BD">
        <w:rPr>
          <w:rFonts w:ascii="Arial Narrow" w:hAnsi="Arial Narrow" w:cs="Arial"/>
          <w:b/>
          <w:bCs/>
          <w:sz w:val="22"/>
          <w:szCs w:val="22"/>
        </w:rPr>
        <w:t>PRESTADORES EN EL MUNICIPIO</w:t>
      </w:r>
    </w:p>
    <w:p w14:paraId="6E851491" w14:textId="77777777" w:rsidR="000742BD" w:rsidRPr="000742BD" w:rsidRDefault="000742BD" w:rsidP="000742BD">
      <w:pPr>
        <w:jc w:val="both"/>
        <w:rPr>
          <w:rFonts w:ascii="Arial Narrow" w:hAnsi="Arial Narrow" w:cs="Arial"/>
          <w:b/>
          <w:bCs/>
          <w:sz w:val="22"/>
          <w:szCs w:val="22"/>
        </w:rPr>
      </w:pPr>
    </w:p>
    <w:p w14:paraId="0272F777"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De acuerdo con el reporte al SUI en abril de 2022</w:t>
      </w:r>
      <w:r w:rsidRPr="000742BD">
        <w:rPr>
          <w:rFonts w:ascii="Arial Narrow" w:hAnsi="Arial Narrow"/>
          <w:sz w:val="22"/>
          <w:szCs w:val="22"/>
          <w:vertAlign w:val="superscript"/>
        </w:rPr>
        <w:footnoteReference w:id="9"/>
      </w:r>
      <w:r w:rsidRPr="000742BD">
        <w:rPr>
          <w:rFonts w:ascii="Arial Narrow" w:hAnsi="Arial Narrow" w:cs="Arial"/>
          <w:sz w:val="22"/>
          <w:szCs w:val="22"/>
        </w:rPr>
        <w:t>, para la prestación del servicio de acueducto y alcantarillado están registrados dos prestadores:</w:t>
      </w:r>
    </w:p>
    <w:p w14:paraId="0F8C3C37" w14:textId="77777777" w:rsidR="000742BD" w:rsidRPr="000742BD" w:rsidRDefault="000742BD" w:rsidP="000742BD">
      <w:pPr>
        <w:jc w:val="both"/>
        <w:rPr>
          <w:rFonts w:ascii="Arial Narrow" w:hAnsi="Arial Narrow" w:cs="Arial"/>
          <w:b/>
          <w:bCs/>
          <w:sz w:val="22"/>
          <w:szCs w:val="22"/>
        </w:rPr>
      </w:pPr>
    </w:p>
    <w:tbl>
      <w:tblPr>
        <w:tblW w:w="7089" w:type="dxa"/>
        <w:jc w:val="center"/>
        <w:tblCellMar>
          <w:left w:w="70" w:type="dxa"/>
          <w:right w:w="70" w:type="dxa"/>
        </w:tblCellMar>
        <w:tblLook w:val="04A0" w:firstRow="1" w:lastRow="0" w:firstColumn="1" w:lastColumn="0" w:noHBand="0" w:noVBand="1"/>
      </w:tblPr>
      <w:tblGrid>
        <w:gridCol w:w="5528"/>
        <w:gridCol w:w="1561"/>
      </w:tblGrid>
      <w:tr w:rsidR="000742BD" w:rsidRPr="000742BD" w14:paraId="3CA21A28" w14:textId="77777777" w:rsidTr="000742BD">
        <w:trPr>
          <w:trHeight w:val="330"/>
          <w:jc w:val="center"/>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11EED55D" w14:textId="77777777" w:rsidR="000742BD" w:rsidRPr="000742BD" w:rsidRDefault="000742BD" w:rsidP="000742BD">
            <w:pPr>
              <w:jc w:val="center"/>
              <w:rPr>
                <w:rFonts w:ascii="Arial Narrow" w:hAnsi="Arial Narrow" w:cs="Calibri"/>
                <w:b/>
                <w:bCs/>
                <w:color w:val="000000"/>
                <w:sz w:val="20"/>
                <w:szCs w:val="20"/>
                <w:lang w:val="es-CO" w:eastAsia="es-CO"/>
              </w:rPr>
            </w:pPr>
            <w:r w:rsidRPr="000742BD">
              <w:rPr>
                <w:rFonts w:ascii="Arial Narrow" w:hAnsi="Arial Narrow" w:cs="Calibri"/>
                <w:b/>
                <w:bCs/>
                <w:color w:val="000000"/>
                <w:sz w:val="20"/>
                <w:szCs w:val="20"/>
                <w:lang w:val="es-CO" w:eastAsia="es-CO"/>
              </w:rPr>
              <w:lastRenderedPageBreak/>
              <w:t>RAZÓN SOCIAL</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127C10ED" w14:textId="77777777" w:rsidR="000742BD" w:rsidRPr="000742BD" w:rsidRDefault="000742BD" w:rsidP="000742BD">
            <w:pPr>
              <w:jc w:val="center"/>
              <w:rPr>
                <w:rFonts w:ascii="Arial Narrow" w:hAnsi="Arial Narrow" w:cs="Calibri"/>
                <w:b/>
                <w:bCs/>
                <w:color w:val="000000"/>
                <w:sz w:val="20"/>
                <w:szCs w:val="20"/>
                <w:lang w:val="es-CO" w:eastAsia="es-CO"/>
              </w:rPr>
            </w:pPr>
            <w:r w:rsidRPr="000742BD">
              <w:rPr>
                <w:rFonts w:ascii="Arial Narrow" w:hAnsi="Arial Narrow" w:cs="Calibri"/>
                <w:b/>
                <w:bCs/>
                <w:color w:val="000000"/>
                <w:sz w:val="20"/>
                <w:szCs w:val="20"/>
                <w:lang w:val="es-CO" w:eastAsia="es-CO"/>
              </w:rPr>
              <w:t>ESTADO DEL PRESTADOR</w:t>
            </w:r>
          </w:p>
        </w:tc>
      </w:tr>
      <w:tr w:rsidR="000742BD" w:rsidRPr="000742BD" w14:paraId="6F58EBC1" w14:textId="77777777" w:rsidTr="000742BD">
        <w:trPr>
          <w:trHeight w:val="330"/>
          <w:jc w:val="center"/>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31D24401"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 xml:space="preserve">EMPRESA DE ACUEDUCTO Y ALCANTARILLADO EL RINCON S A </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6A879B2D"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0D493BC8" w14:textId="77777777" w:rsidTr="000742BD">
        <w:trPr>
          <w:trHeight w:val="330"/>
          <w:jc w:val="center"/>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41594639"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EMPRESA DE ACUEDUCTO Y ALCANTARILLADO DE SANTA ANA E.S.P S.A</w:t>
            </w:r>
          </w:p>
        </w:tc>
        <w:tc>
          <w:tcPr>
            <w:tcW w:w="1561" w:type="dxa"/>
            <w:tcBorders>
              <w:top w:val="single" w:sz="4" w:space="0" w:color="auto"/>
              <w:left w:val="single" w:sz="4" w:space="0" w:color="auto"/>
              <w:bottom w:val="single" w:sz="4" w:space="0" w:color="auto"/>
              <w:right w:val="single" w:sz="4" w:space="0" w:color="auto"/>
            </w:tcBorders>
            <w:noWrap/>
            <w:vAlign w:val="bottom"/>
            <w:hideMark/>
          </w:tcPr>
          <w:p w14:paraId="18E7BCF8"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bl>
    <w:p w14:paraId="4D871849" w14:textId="77777777" w:rsidR="000742BD" w:rsidRPr="000742BD" w:rsidRDefault="000742BD" w:rsidP="000742BD">
      <w:pPr>
        <w:jc w:val="both"/>
        <w:rPr>
          <w:rFonts w:ascii="Arial Narrow" w:hAnsi="Arial Narrow" w:cs="Arial"/>
          <w:b/>
          <w:bCs/>
          <w:sz w:val="22"/>
          <w:szCs w:val="22"/>
        </w:rPr>
      </w:pPr>
    </w:p>
    <w:p w14:paraId="52BB7DF0" w14:textId="77777777" w:rsidR="000742BD" w:rsidRPr="000742BD" w:rsidRDefault="000742BD" w:rsidP="000742BD">
      <w:pPr>
        <w:rPr>
          <w:rFonts w:ascii="Arial Narrow" w:hAnsi="Arial Narrow"/>
          <w:sz w:val="22"/>
          <w:szCs w:val="22"/>
        </w:rPr>
      </w:pPr>
      <w:r w:rsidRPr="000742BD">
        <w:rPr>
          <w:rFonts w:ascii="Arial Narrow" w:hAnsi="Arial Narrow"/>
          <w:sz w:val="22"/>
          <w:szCs w:val="22"/>
        </w:rPr>
        <w:t>Los prestadores registrados en el SUI para aseo son:</w:t>
      </w:r>
    </w:p>
    <w:p w14:paraId="7DDB3CB8" w14:textId="77777777" w:rsidR="000742BD" w:rsidRPr="000742BD" w:rsidRDefault="000742BD" w:rsidP="000742BD">
      <w:pPr>
        <w:rPr>
          <w:rFonts w:ascii="Arial Narrow" w:hAnsi="Arial Narrow"/>
          <w:sz w:val="22"/>
          <w:szCs w:val="22"/>
        </w:rPr>
      </w:pPr>
    </w:p>
    <w:tbl>
      <w:tblPr>
        <w:tblW w:w="7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65"/>
        <w:gridCol w:w="1745"/>
      </w:tblGrid>
      <w:tr w:rsidR="000742BD" w:rsidRPr="000742BD" w14:paraId="2F50DCC7" w14:textId="77777777" w:rsidTr="000742BD">
        <w:trPr>
          <w:trHeight w:val="300"/>
          <w:jc w:val="center"/>
        </w:trPr>
        <w:tc>
          <w:tcPr>
            <w:tcW w:w="5665" w:type="dxa"/>
            <w:noWrap/>
            <w:vAlign w:val="bottom"/>
            <w:hideMark/>
          </w:tcPr>
          <w:p w14:paraId="5EB56B8F" w14:textId="77777777" w:rsidR="000742BD" w:rsidRPr="000742BD" w:rsidRDefault="000742BD" w:rsidP="000742BD">
            <w:pPr>
              <w:jc w:val="center"/>
              <w:rPr>
                <w:rFonts w:ascii="Arial Narrow" w:hAnsi="Arial Narrow" w:cs="Calibri"/>
                <w:b/>
                <w:bCs/>
                <w:color w:val="000000"/>
                <w:sz w:val="20"/>
                <w:szCs w:val="20"/>
                <w:lang w:val="es-CO" w:eastAsia="es-CO"/>
              </w:rPr>
            </w:pPr>
            <w:r w:rsidRPr="000742BD">
              <w:rPr>
                <w:rFonts w:ascii="Arial Narrow" w:hAnsi="Arial Narrow" w:cs="Calibri"/>
                <w:b/>
                <w:bCs/>
                <w:color w:val="000000"/>
                <w:sz w:val="20"/>
                <w:szCs w:val="20"/>
                <w:lang w:val="es-CO" w:eastAsia="es-CO"/>
              </w:rPr>
              <w:t>RAZÓN SOCIAL</w:t>
            </w:r>
          </w:p>
        </w:tc>
        <w:tc>
          <w:tcPr>
            <w:tcW w:w="1745" w:type="dxa"/>
            <w:noWrap/>
            <w:vAlign w:val="bottom"/>
            <w:hideMark/>
          </w:tcPr>
          <w:p w14:paraId="70EC2B95" w14:textId="77777777" w:rsidR="000742BD" w:rsidRPr="000742BD" w:rsidRDefault="000742BD" w:rsidP="000742BD">
            <w:pPr>
              <w:jc w:val="center"/>
              <w:rPr>
                <w:rFonts w:ascii="Arial Narrow" w:hAnsi="Arial Narrow" w:cs="Calibri"/>
                <w:b/>
                <w:bCs/>
                <w:color w:val="000000"/>
                <w:sz w:val="20"/>
                <w:szCs w:val="20"/>
                <w:lang w:val="es-CO" w:eastAsia="es-CO"/>
              </w:rPr>
            </w:pPr>
            <w:r w:rsidRPr="000742BD">
              <w:rPr>
                <w:rFonts w:ascii="Arial Narrow" w:hAnsi="Arial Narrow" w:cs="Calibri"/>
                <w:b/>
                <w:bCs/>
                <w:color w:val="000000"/>
                <w:sz w:val="20"/>
                <w:szCs w:val="20"/>
                <w:lang w:val="es-CO" w:eastAsia="es-CO"/>
              </w:rPr>
              <w:t>ESTADO DEL PRESTADOR</w:t>
            </w:r>
          </w:p>
        </w:tc>
      </w:tr>
      <w:tr w:rsidR="000742BD" w:rsidRPr="000742BD" w14:paraId="07BDEB03" w14:textId="77777777" w:rsidTr="000742BD">
        <w:trPr>
          <w:trHeight w:val="300"/>
          <w:jc w:val="center"/>
        </w:trPr>
        <w:tc>
          <w:tcPr>
            <w:tcW w:w="5665" w:type="dxa"/>
            <w:noWrap/>
            <w:vAlign w:val="bottom"/>
            <w:hideMark/>
          </w:tcPr>
          <w:p w14:paraId="4C329CA1"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URBASER Soacha S.A. E.S.P.</w:t>
            </w:r>
          </w:p>
        </w:tc>
        <w:tc>
          <w:tcPr>
            <w:tcW w:w="1745" w:type="dxa"/>
            <w:noWrap/>
            <w:vAlign w:val="bottom"/>
            <w:hideMark/>
          </w:tcPr>
          <w:p w14:paraId="4CAF9A43"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10FF72DF" w14:textId="77777777" w:rsidTr="000742BD">
        <w:trPr>
          <w:trHeight w:val="300"/>
          <w:jc w:val="center"/>
        </w:trPr>
        <w:tc>
          <w:tcPr>
            <w:tcW w:w="5665" w:type="dxa"/>
            <w:noWrap/>
            <w:vAlign w:val="bottom"/>
            <w:hideMark/>
          </w:tcPr>
          <w:p w14:paraId="1BED906F"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Recicladores de Soacha Soluciones Ambientales</w:t>
            </w:r>
          </w:p>
        </w:tc>
        <w:tc>
          <w:tcPr>
            <w:tcW w:w="1745" w:type="dxa"/>
            <w:noWrap/>
            <w:vAlign w:val="bottom"/>
            <w:hideMark/>
          </w:tcPr>
          <w:p w14:paraId="03CAAA99"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41D0FDAD" w14:textId="77777777" w:rsidTr="000742BD">
        <w:trPr>
          <w:trHeight w:val="300"/>
          <w:jc w:val="center"/>
        </w:trPr>
        <w:tc>
          <w:tcPr>
            <w:tcW w:w="5665" w:type="dxa"/>
            <w:noWrap/>
            <w:vAlign w:val="bottom"/>
            <w:hideMark/>
          </w:tcPr>
          <w:p w14:paraId="32E68CD6"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Integración a Recicladores de Colombia</w:t>
            </w:r>
          </w:p>
        </w:tc>
        <w:tc>
          <w:tcPr>
            <w:tcW w:w="1745" w:type="dxa"/>
            <w:noWrap/>
            <w:vAlign w:val="bottom"/>
            <w:hideMark/>
          </w:tcPr>
          <w:p w14:paraId="51B5AD95"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3225454D" w14:textId="77777777" w:rsidTr="000742BD">
        <w:trPr>
          <w:trHeight w:val="300"/>
          <w:jc w:val="center"/>
        </w:trPr>
        <w:tc>
          <w:tcPr>
            <w:tcW w:w="5665" w:type="dxa"/>
            <w:noWrap/>
            <w:vAlign w:val="bottom"/>
            <w:hideMark/>
          </w:tcPr>
          <w:p w14:paraId="09A0B9CE"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 xml:space="preserve">Asociación ambiental de mujeres emprendedoras de Soacha </w:t>
            </w:r>
          </w:p>
        </w:tc>
        <w:tc>
          <w:tcPr>
            <w:tcW w:w="1745" w:type="dxa"/>
            <w:noWrap/>
            <w:vAlign w:val="bottom"/>
            <w:hideMark/>
          </w:tcPr>
          <w:p w14:paraId="7604D326"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0FB12351" w14:textId="77777777" w:rsidTr="000742BD">
        <w:trPr>
          <w:trHeight w:val="300"/>
          <w:jc w:val="center"/>
        </w:trPr>
        <w:tc>
          <w:tcPr>
            <w:tcW w:w="5665" w:type="dxa"/>
            <w:noWrap/>
            <w:vAlign w:val="bottom"/>
            <w:hideMark/>
          </w:tcPr>
          <w:p w14:paraId="5AE07569"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Polipropiplastidiego ESP SAS</w:t>
            </w:r>
          </w:p>
        </w:tc>
        <w:tc>
          <w:tcPr>
            <w:tcW w:w="1745" w:type="dxa"/>
            <w:noWrap/>
            <w:vAlign w:val="bottom"/>
            <w:hideMark/>
          </w:tcPr>
          <w:p w14:paraId="70052032"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3BC95AB6" w14:textId="77777777" w:rsidTr="000742BD">
        <w:trPr>
          <w:trHeight w:val="300"/>
          <w:jc w:val="center"/>
        </w:trPr>
        <w:tc>
          <w:tcPr>
            <w:tcW w:w="5665" w:type="dxa"/>
            <w:noWrap/>
            <w:vAlign w:val="bottom"/>
            <w:hideMark/>
          </w:tcPr>
          <w:p w14:paraId="19A4855D"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Recicladores por el Medio Ambiente</w:t>
            </w:r>
          </w:p>
        </w:tc>
        <w:tc>
          <w:tcPr>
            <w:tcW w:w="1745" w:type="dxa"/>
            <w:noWrap/>
            <w:vAlign w:val="bottom"/>
            <w:hideMark/>
          </w:tcPr>
          <w:p w14:paraId="579CF755"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4F612C86" w14:textId="77777777" w:rsidTr="000742BD">
        <w:trPr>
          <w:trHeight w:val="300"/>
          <w:jc w:val="center"/>
        </w:trPr>
        <w:tc>
          <w:tcPr>
            <w:tcW w:w="5665" w:type="dxa"/>
            <w:noWrap/>
            <w:vAlign w:val="bottom"/>
            <w:hideMark/>
          </w:tcPr>
          <w:p w14:paraId="36A9C1FF" w14:textId="77777777" w:rsidR="000742BD" w:rsidRPr="000742BD" w:rsidRDefault="00D36A89"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w:t>
            </w:r>
            <w:r w:rsidR="000742BD" w:rsidRPr="000742BD">
              <w:rPr>
                <w:rFonts w:ascii="Arial Narrow" w:hAnsi="Arial Narrow" w:cs="Calibri"/>
                <w:color w:val="000000"/>
                <w:sz w:val="20"/>
                <w:szCs w:val="20"/>
                <w:lang w:val="es-CO" w:eastAsia="es-CO"/>
              </w:rPr>
              <w:t xml:space="preserve"> de Recuperadores Natura</w:t>
            </w:r>
          </w:p>
        </w:tc>
        <w:tc>
          <w:tcPr>
            <w:tcW w:w="1745" w:type="dxa"/>
            <w:noWrap/>
            <w:vAlign w:val="bottom"/>
            <w:hideMark/>
          </w:tcPr>
          <w:p w14:paraId="29843139"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5B3395BF" w14:textId="77777777" w:rsidTr="000742BD">
        <w:trPr>
          <w:trHeight w:val="300"/>
          <w:jc w:val="center"/>
        </w:trPr>
        <w:tc>
          <w:tcPr>
            <w:tcW w:w="5665" w:type="dxa"/>
            <w:noWrap/>
            <w:vAlign w:val="bottom"/>
            <w:hideMark/>
          </w:tcPr>
          <w:p w14:paraId="5DF60232" w14:textId="77777777" w:rsidR="000742BD" w:rsidRPr="000742BD" w:rsidRDefault="00D36A89" w:rsidP="000742BD">
            <w:pPr>
              <w:rPr>
                <w:rFonts w:ascii="Arial Narrow" w:hAnsi="Arial Narrow" w:cs="Calibri"/>
                <w:color w:val="000000"/>
                <w:sz w:val="20"/>
                <w:szCs w:val="20"/>
                <w:lang w:val="en-US" w:eastAsia="es-CO"/>
              </w:rPr>
            </w:pPr>
            <w:r w:rsidRPr="000742BD">
              <w:rPr>
                <w:rFonts w:ascii="Arial Narrow" w:hAnsi="Arial Narrow" w:cs="Calibri"/>
                <w:color w:val="000000"/>
                <w:sz w:val="20"/>
                <w:szCs w:val="20"/>
                <w:lang w:val="en-US" w:eastAsia="es-CO"/>
              </w:rPr>
              <w:t>Association</w:t>
            </w:r>
            <w:r w:rsidR="000742BD" w:rsidRPr="000742BD">
              <w:rPr>
                <w:rFonts w:ascii="Arial Narrow" w:hAnsi="Arial Narrow" w:cs="Calibri"/>
                <w:color w:val="000000"/>
                <w:sz w:val="20"/>
                <w:szCs w:val="20"/>
                <w:lang w:val="en-US" w:eastAsia="es-CO"/>
              </w:rPr>
              <w:t xml:space="preserve"> National Association Of Recyclers</w:t>
            </w:r>
          </w:p>
        </w:tc>
        <w:tc>
          <w:tcPr>
            <w:tcW w:w="1745" w:type="dxa"/>
            <w:noWrap/>
            <w:vAlign w:val="bottom"/>
            <w:hideMark/>
          </w:tcPr>
          <w:p w14:paraId="41BF191F"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7BE05491" w14:textId="77777777" w:rsidTr="000742BD">
        <w:trPr>
          <w:trHeight w:val="300"/>
          <w:jc w:val="center"/>
        </w:trPr>
        <w:tc>
          <w:tcPr>
            <w:tcW w:w="5665" w:type="dxa"/>
            <w:noWrap/>
            <w:vAlign w:val="bottom"/>
            <w:hideMark/>
          </w:tcPr>
          <w:p w14:paraId="6504B845"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Empresa Colombiana de Reciclaje Soacha SAS E.S.P.</w:t>
            </w:r>
          </w:p>
        </w:tc>
        <w:tc>
          <w:tcPr>
            <w:tcW w:w="1745" w:type="dxa"/>
            <w:noWrap/>
            <w:vAlign w:val="bottom"/>
            <w:hideMark/>
          </w:tcPr>
          <w:p w14:paraId="011E20E3"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3B39AE23" w14:textId="77777777" w:rsidTr="000742BD">
        <w:trPr>
          <w:trHeight w:val="300"/>
          <w:jc w:val="center"/>
        </w:trPr>
        <w:tc>
          <w:tcPr>
            <w:tcW w:w="5665" w:type="dxa"/>
            <w:noWrap/>
            <w:vAlign w:val="bottom"/>
            <w:hideMark/>
          </w:tcPr>
          <w:p w14:paraId="6819300B"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Recicladores Planeta en Recuperación</w:t>
            </w:r>
          </w:p>
        </w:tc>
        <w:tc>
          <w:tcPr>
            <w:tcW w:w="1745" w:type="dxa"/>
            <w:noWrap/>
            <w:vAlign w:val="bottom"/>
            <w:hideMark/>
          </w:tcPr>
          <w:p w14:paraId="2954F4A2"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29210E07" w14:textId="77777777" w:rsidTr="000742BD">
        <w:trPr>
          <w:trHeight w:val="300"/>
          <w:jc w:val="center"/>
        </w:trPr>
        <w:tc>
          <w:tcPr>
            <w:tcW w:w="5665" w:type="dxa"/>
            <w:noWrap/>
            <w:vAlign w:val="bottom"/>
            <w:hideMark/>
          </w:tcPr>
          <w:p w14:paraId="2EDA52E7"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recicladores cuidando el medio ambiente</w:t>
            </w:r>
          </w:p>
        </w:tc>
        <w:tc>
          <w:tcPr>
            <w:tcW w:w="1745" w:type="dxa"/>
            <w:noWrap/>
            <w:vAlign w:val="bottom"/>
            <w:hideMark/>
          </w:tcPr>
          <w:p w14:paraId="08AB27C3"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68D61F1D" w14:textId="77777777" w:rsidTr="000742BD">
        <w:trPr>
          <w:trHeight w:val="300"/>
          <w:jc w:val="center"/>
        </w:trPr>
        <w:tc>
          <w:tcPr>
            <w:tcW w:w="5665" w:type="dxa"/>
            <w:noWrap/>
            <w:vAlign w:val="bottom"/>
            <w:hideMark/>
          </w:tcPr>
          <w:p w14:paraId="7423E022" w14:textId="77777777" w:rsidR="000742BD" w:rsidRPr="000742BD" w:rsidRDefault="00D36A89"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w:t>
            </w:r>
            <w:r w:rsidR="000742BD" w:rsidRPr="000742BD">
              <w:rPr>
                <w:rFonts w:ascii="Arial Narrow" w:hAnsi="Arial Narrow" w:cs="Calibri"/>
                <w:color w:val="000000"/>
                <w:sz w:val="20"/>
                <w:szCs w:val="20"/>
                <w:lang w:val="es-CO" w:eastAsia="es-CO"/>
              </w:rPr>
              <w:t xml:space="preserve"> de Recicladores Reverdeciendo</w:t>
            </w:r>
          </w:p>
        </w:tc>
        <w:tc>
          <w:tcPr>
            <w:tcW w:w="1745" w:type="dxa"/>
            <w:noWrap/>
            <w:vAlign w:val="bottom"/>
            <w:hideMark/>
          </w:tcPr>
          <w:p w14:paraId="1F5A5E08"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21545C48" w14:textId="77777777" w:rsidTr="000742BD">
        <w:trPr>
          <w:trHeight w:val="300"/>
          <w:jc w:val="center"/>
        </w:trPr>
        <w:tc>
          <w:tcPr>
            <w:tcW w:w="5665" w:type="dxa"/>
            <w:noWrap/>
            <w:vAlign w:val="bottom"/>
            <w:hideMark/>
          </w:tcPr>
          <w:p w14:paraId="79747CF0"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Recorganicos ESP S.A.S</w:t>
            </w:r>
          </w:p>
        </w:tc>
        <w:tc>
          <w:tcPr>
            <w:tcW w:w="1745" w:type="dxa"/>
            <w:noWrap/>
            <w:vAlign w:val="bottom"/>
            <w:hideMark/>
          </w:tcPr>
          <w:p w14:paraId="04EA087D"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0F43D4A3" w14:textId="77777777" w:rsidTr="000742BD">
        <w:trPr>
          <w:trHeight w:val="300"/>
          <w:jc w:val="center"/>
        </w:trPr>
        <w:tc>
          <w:tcPr>
            <w:tcW w:w="5665" w:type="dxa"/>
            <w:noWrap/>
            <w:vAlign w:val="bottom"/>
            <w:hideMark/>
          </w:tcPr>
          <w:p w14:paraId="3C650AD3"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Recuperadores Ambientales Trabajando por un Futuro</w:t>
            </w:r>
          </w:p>
        </w:tc>
        <w:tc>
          <w:tcPr>
            <w:tcW w:w="1745" w:type="dxa"/>
            <w:noWrap/>
            <w:vAlign w:val="bottom"/>
            <w:hideMark/>
          </w:tcPr>
          <w:p w14:paraId="0B5D243C"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196CFF8A" w14:textId="77777777" w:rsidTr="000742BD">
        <w:trPr>
          <w:trHeight w:val="300"/>
          <w:jc w:val="center"/>
        </w:trPr>
        <w:tc>
          <w:tcPr>
            <w:tcW w:w="5665" w:type="dxa"/>
            <w:noWrap/>
            <w:vAlign w:val="bottom"/>
            <w:hideMark/>
          </w:tcPr>
          <w:p w14:paraId="38412597" w14:textId="77777777" w:rsidR="000742BD" w:rsidRPr="000742BD" w:rsidRDefault="00D36A89"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Fundación</w:t>
            </w:r>
            <w:r w:rsidR="000742BD" w:rsidRPr="000742BD">
              <w:rPr>
                <w:rFonts w:ascii="Arial Narrow" w:hAnsi="Arial Narrow" w:cs="Calibri"/>
                <w:color w:val="000000"/>
                <w:sz w:val="20"/>
                <w:szCs w:val="20"/>
                <w:lang w:val="es-CO" w:eastAsia="es-CO"/>
              </w:rPr>
              <w:t xml:space="preserve"> Conciencia Reciproco Ambiental</w:t>
            </w:r>
          </w:p>
        </w:tc>
        <w:tc>
          <w:tcPr>
            <w:tcW w:w="1745" w:type="dxa"/>
            <w:noWrap/>
            <w:vAlign w:val="bottom"/>
            <w:hideMark/>
          </w:tcPr>
          <w:p w14:paraId="364BEA6C"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0EB60BC0" w14:textId="77777777" w:rsidTr="000742BD">
        <w:trPr>
          <w:trHeight w:val="300"/>
          <w:jc w:val="center"/>
        </w:trPr>
        <w:tc>
          <w:tcPr>
            <w:tcW w:w="5665" w:type="dxa"/>
            <w:noWrap/>
            <w:vAlign w:val="bottom"/>
            <w:hideMark/>
          </w:tcPr>
          <w:p w14:paraId="0593FD7F" w14:textId="77777777" w:rsidR="000742BD" w:rsidRPr="000742BD" w:rsidRDefault="000742BD" w:rsidP="000742BD">
            <w:pPr>
              <w:rPr>
                <w:rFonts w:ascii="Arial Narrow" w:hAnsi="Arial Narrow" w:cs="Calibri"/>
                <w:color w:val="000000"/>
                <w:sz w:val="20"/>
                <w:szCs w:val="20"/>
                <w:lang w:val="en-US" w:eastAsia="es-CO"/>
              </w:rPr>
            </w:pPr>
            <w:r w:rsidRPr="000742BD">
              <w:rPr>
                <w:rFonts w:ascii="Arial Narrow" w:hAnsi="Arial Narrow" w:cs="Calibri"/>
                <w:color w:val="000000"/>
                <w:sz w:val="20"/>
                <w:szCs w:val="20"/>
                <w:lang w:val="en-US" w:eastAsia="es-CO"/>
              </w:rPr>
              <w:t>Invernab S.A.S. E.S.P.</w:t>
            </w:r>
          </w:p>
        </w:tc>
        <w:tc>
          <w:tcPr>
            <w:tcW w:w="1745" w:type="dxa"/>
            <w:noWrap/>
            <w:vAlign w:val="bottom"/>
            <w:hideMark/>
          </w:tcPr>
          <w:p w14:paraId="197092A2"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1ADBF551" w14:textId="77777777" w:rsidTr="000742BD">
        <w:trPr>
          <w:trHeight w:val="300"/>
          <w:jc w:val="center"/>
        </w:trPr>
        <w:tc>
          <w:tcPr>
            <w:tcW w:w="5665" w:type="dxa"/>
            <w:noWrap/>
            <w:vAlign w:val="bottom"/>
            <w:hideMark/>
          </w:tcPr>
          <w:p w14:paraId="78ED6F62"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de Recicladores Leones Ambientales</w:t>
            </w:r>
          </w:p>
        </w:tc>
        <w:tc>
          <w:tcPr>
            <w:tcW w:w="1745" w:type="dxa"/>
            <w:noWrap/>
            <w:vAlign w:val="bottom"/>
            <w:hideMark/>
          </w:tcPr>
          <w:p w14:paraId="47D6EA01"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47C803BD" w14:textId="77777777" w:rsidTr="000742BD">
        <w:trPr>
          <w:trHeight w:val="300"/>
          <w:jc w:val="center"/>
        </w:trPr>
        <w:tc>
          <w:tcPr>
            <w:tcW w:w="5665" w:type="dxa"/>
            <w:noWrap/>
            <w:vAlign w:val="bottom"/>
            <w:hideMark/>
          </w:tcPr>
          <w:p w14:paraId="035EECCF"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Fundación de Recicladores Unidos Creamos un Mundo Mejor</w:t>
            </w:r>
          </w:p>
        </w:tc>
        <w:tc>
          <w:tcPr>
            <w:tcW w:w="1745" w:type="dxa"/>
            <w:noWrap/>
            <w:vAlign w:val="bottom"/>
            <w:hideMark/>
          </w:tcPr>
          <w:p w14:paraId="6BAF8681"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r w:rsidR="000742BD" w:rsidRPr="000742BD" w14:paraId="702C64C1" w14:textId="77777777" w:rsidTr="000742BD">
        <w:trPr>
          <w:trHeight w:val="300"/>
          <w:jc w:val="center"/>
        </w:trPr>
        <w:tc>
          <w:tcPr>
            <w:tcW w:w="5665" w:type="dxa"/>
            <w:noWrap/>
            <w:vAlign w:val="bottom"/>
            <w:hideMark/>
          </w:tcPr>
          <w:p w14:paraId="5F4453AF"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Asociación Mundial de Recicladores Una Sola Lucha</w:t>
            </w:r>
          </w:p>
        </w:tc>
        <w:tc>
          <w:tcPr>
            <w:tcW w:w="1745" w:type="dxa"/>
            <w:noWrap/>
            <w:vAlign w:val="bottom"/>
            <w:hideMark/>
          </w:tcPr>
          <w:p w14:paraId="5B4B3B3C" w14:textId="77777777" w:rsidR="000742BD" w:rsidRPr="000742BD" w:rsidRDefault="000742BD" w:rsidP="000742BD">
            <w:pPr>
              <w:rPr>
                <w:rFonts w:ascii="Arial Narrow" w:hAnsi="Arial Narrow" w:cs="Calibri"/>
                <w:color w:val="000000"/>
                <w:sz w:val="20"/>
                <w:szCs w:val="20"/>
                <w:lang w:val="es-CO" w:eastAsia="es-CO"/>
              </w:rPr>
            </w:pPr>
            <w:r w:rsidRPr="000742BD">
              <w:rPr>
                <w:rFonts w:ascii="Arial Narrow" w:hAnsi="Arial Narrow" w:cs="Calibri"/>
                <w:color w:val="000000"/>
                <w:sz w:val="20"/>
                <w:szCs w:val="20"/>
                <w:lang w:val="es-CO" w:eastAsia="es-CO"/>
              </w:rPr>
              <w:t>OPERATIVA</w:t>
            </w:r>
          </w:p>
        </w:tc>
      </w:tr>
    </w:tbl>
    <w:p w14:paraId="722238E5" w14:textId="77777777" w:rsidR="000742BD" w:rsidRPr="000742BD" w:rsidRDefault="000742BD" w:rsidP="000742BD">
      <w:pPr>
        <w:rPr>
          <w:rFonts w:ascii="Arial Narrow" w:hAnsi="Arial Narrow"/>
          <w:sz w:val="22"/>
          <w:szCs w:val="22"/>
        </w:rPr>
      </w:pPr>
    </w:p>
    <w:p w14:paraId="25EDA1E7" w14:textId="77777777" w:rsidR="000742BD" w:rsidRPr="000742BD" w:rsidRDefault="000742BD" w:rsidP="000742BD">
      <w:pPr>
        <w:rPr>
          <w:rFonts w:ascii="Arial Narrow" w:hAnsi="Arial Narrow"/>
          <w:sz w:val="22"/>
          <w:szCs w:val="22"/>
        </w:rPr>
      </w:pPr>
    </w:p>
    <w:p w14:paraId="2868E65F" w14:textId="77777777" w:rsidR="000742BD" w:rsidRPr="000742BD" w:rsidRDefault="000742BD" w:rsidP="000742BD">
      <w:pPr>
        <w:jc w:val="both"/>
        <w:rPr>
          <w:rFonts w:ascii="Arial Narrow" w:hAnsi="Arial Narrow"/>
          <w:sz w:val="22"/>
          <w:szCs w:val="22"/>
        </w:rPr>
      </w:pPr>
      <w:r w:rsidRPr="000742BD">
        <w:rPr>
          <w:rFonts w:ascii="Arial Narrow" w:hAnsi="Arial Narrow"/>
          <w:sz w:val="22"/>
          <w:szCs w:val="22"/>
        </w:rPr>
        <w:t>De esta manera se identifican 19 organizaciones que prestan el servicio de aseo, en alguna de sus actividades, especialmente el de la recuperación</w:t>
      </w:r>
      <w:r w:rsidR="0022260B">
        <w:rPr>
          <w:rFonts w:ascii="Arial Narrow" w:hAnsi="Arial Narrow"/>
          <w:sz w:val="22"/>
          <w:szCs w:val="22"/>
        </w:rPr>
        <w:t xml:space="preserve"> de residuos sólidos</w:t>
      </w:r>
      <w:r w:rsidRPr="000742BD">
        <w:rPr>
          <w:rFonts w:ascii="Arial Narrow" w:hAnsi="Arial Narrow"/>
          <w:sz w:val="22"/>
          <w:szCs w:val="22"/>
        </w:rPr>
        <w:t xml:space="preserve"> a través del reciclaje.</w:t>
      </w:r>
    </w:p>
    <w:p w14:paraId="5B5AA0FA" w14:textId="77777777" w:rsidR="000742BD" w:rsidRPr="000742BD" w:rsidRDefault="000742BD" w:rsidP="000742BD">
      <w:pPr>
        <w:contextualSpacing/>
        <w:jc w:val="both"/>
        <w:rPr>
          <w:rFonts w:ascii="Arial Narrow" w:hAnsi="Arial Narrow" w:cs="Arial"/>
          <w:bCs/>
          <w:sz w:val="22"/>
          <w:szCs w:val="22"/>
        </w:rPr>
      </w:pPr>
    </w:p>
    <w:p w14:paraId="3EDE8830" w14:textId="77777777" w:rsidR="000742BD" w:rsidRPr="000742BD" w:rsidRDefault="000742BD" w:rsidP="000742BD">
      <w:pPr>
        <w:contextualSpacing/>
        <w:jc w:val="both"/>
        <w:rPr>
          <w:rFonts w:ascii="Arial Narrow" w:hAnsi="Arial Narrow" w:cs="Arial"/>
          <w:bCs/>
          <w:sz w:val="22"/>
          <w:szCs w:val="22"/>
        </w:rPr>
      </w:pPr>
    </w:p>
    <w:bookmarkEnd w:id="0"/>
    <w:p w14:paraId="7A1B6C74" w14:textId="77777777" w:rsidR="000742BD" w:rsidRPr="000742BD" w:rsidRDefault="000742BD" w:rsidP="000742BD">
      <w:pPr>
        <w:numPr>
          <w:ilvl w:val="1"/>
          <w:numId w:val="22"/>
        </w:numPr>
        <w:contextualSpacing/>
        <w:jc w:val="both"/>
        <w:rPr>
          <w:rFonts w:ascii="Arial Narrow" w:hAnsi="Arial Narrow" w:cs="Arial"/>
          <w:b/>
          <w:sz w:val="22"/>
          <w:szCs w:val="22"/>
        </w:rPr>
      </w:pPr>
      <w:r w:rsidRPr="000742BD">
        <w:rPr>
          <w:rFonts w:ascii="Arial Narrow" w:hAnsi="Arial Narrow" w:cs="Arial"/>
          <w:b/>
          <w:sz w:val="22"/>
          <w:szCs w:val="22"/>
        </w:rPr>
        <w:t>Acueducto.</w:t>
      </w:r>
    </w:p>
    <w:p w14:paraId="091CA83D" w14:textId="77777777" w:rsidR="000742BD" w:rsidRPr="000742BD" w:rsidRDefault="000742BD" w:rsidP="000742BD">
      <w:pPr>
        <w:ind w:left="1790"/>
        <w:contextualSpacing/>
        <w:jc w:val="both"/>
        <w:rPr>
          <w:rFonts w:ascii="Arial Narrow" w:hAnsi="Arial Narrow" w:cs="Arial"/>
          <w:b/>
          <w:sz w:val="22"/>
          <w:szCs w:val="22"/>
        </w:rPr>
      </w:pPr>
    </w:p>
    <w:p w14:paraId="2B6ED6A5"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 xml:space="preserve">Se identifica que en gran parte del territorio de Soacha, la </w:t>
      </w:r>
      <w:r w:rsidR="0022260B">
        <w:rPr>
          <w:rFonts w:ascii="Arial Narrow" w:hAnsi="Arial Narrow" w:cs="Arial"/>
          <w:bCs/>
          <w:sz w:val="22"/>
          <w:szCs w:val="22"/>
        </w:rPr>
        <w:t>E</w:t>
      </w:r>
      <w:r w:rsidRPr="000742BD">
        <w:rPr>
          <w:rFonts w:ascii="Arial Narrow" w:hAnsi="Arial Narrow" w:cs="Arial"/>
          <w:bCs/>
          <w:sz w:val="22"/>
          <w:szCs w:val="22"/>
        </w:rPr>
        <w:t xml:space="preserve">mpresa de Acueducto </w:t>
      </w:r>
      <w:r w:rsidR="0022260B">
        <w:rPr>
          <w:rFonts w:ascii="Arial Narrow" w:hAnsi="Arial Narrow" w:cs="Arial"/>
          <w:bCs/>
          <w:sz w:val="22"/>
          <w:szCs w:val="22"/>
        </w:rPr>
        <w:t xml:space="preserve">y Alcantarillado </w:t>
      </w:r>
      <w:r w:rsidRPr="000742BD">
        <w:rPr>
          <w:rFonts w:ascii="Arial Narrow" w:hAnsi="Arial Narrow" w:cs="Arial"/>
          <w:bCs/>
          <w:sz w:val="22"/>
          <w:szCs w:val="22"/>
        </w:rPr>
        <w:t>de Bogotá</w:t>
      </w:r>
      <w:r w:rsidR="0022260B">
        <w:rPr>
          <w:rFonts w:ascii="Arial Narrow" w:hAnsi="Arial Narrow" w:cs="Arial"/>
          <w:bCs/>
          <w:sz w:val="22"/>
          <w:szCs w:val="22"/>
        </w:rPr>
        <w:t xml:space="preserve"> E.S.P.</w:t>
      </w:r>
      <w:r w:rsidRPr="000742BD">
        <w:rPr>
          <w:rFonts w:ascii="Arial Narrow" w:hAnsi="Arial Narrow" w:cs="Arial"/>
          <w:bCs/>
          <w:sz w:val="22"/>
          <w:szCs w:val="22"/>
        </w:rPr>
        <w:t xml:space="preserve"> efectúa la prestación del servicio de acueducto y alcantarillado.</w:t>
      </w:r>
    </w:p>
    <w:p w14:paraId="562D5168" w14:textId="77777777" w:rsidR="000742BD" w:rsidRPr="000742BD" w:rsidRDefault="000742BD" w:rsidP="000742BD">
      <w:pPr>
        <w:contextualSpacing/>
        <w:jc w:val="both"/>
        <w:rPr>
          <w:rFonts w:ascii="Arial Narrow" w:hAnsi="Arial Narrow" w:cs="Arial"/>
          <w:bCs/>
          <w:sz w:val="22"/>
          <w:szCs w:val="22"/>
        </w:rPr>
      </w:pPr>
    </w:p>
    <w:p w14:paraId="2398D7FA"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 xml:space="preserve">Si bien existen diferentes prestadores de los servicios públicos domiciliarios, </w:t>
      </w:r>
      <w:r w:rsidR="00FC5946">
        <w:rPr>
          <w:rFonts w:ascii="Arial Narrow" w:hAnsi="Arial Narrow" w:cs="Arial"/>
          <w:bCs/>
          <w:sz w:val="22"/>
          <w:szCs w:val="22"/>
        </w:rPr>
        <w:t>(</w:t>
      </w:r>
      <w:r w:rsidRPr="000742BD">
        <w:rPr>
          <w:rFonts w:ascii="Arial Narrow" w:hAnsi="Arial Narrow" w:cs="Arial"/>
          <w:bCs/>
          <w:sz w:val="22"/>
          <w:szCs w:val="22"/>
        </w:rPr>
        <w:t>algunos de ellos debidamente inscritos en el RUPS, otros tienen convenios para recibir recursos por subsidios a través del FSRI</w:t>
      </w:r>
      <w:r w:rsidR="00FC5946">
        <w:rPr>
          <w:rFonts w:ascii="Arial Narrow" w:hAnsi="Arial Narrow" w:cs="Arial"/>
          <w:bCs/>
          <w:sz w:val="22"/>
          <w:szCs w:val="22"/>
        </w:rPr>
        <w:t>)</w:t>
      </w:r>
      <w:r w:rsidRPr="000742BD">
        <w:rPr>
          <w:rFonts w:ascii="Arial Narrow" w:hAnsi="Arial Narrow" w:cs="Arial"/>
          <w:bCs/>
          <w:sz w:val="22"/>
          <w:szCs w:val="22"/>
        </w:rPr>
        <w:t xml:space="preserve">, </w:t>
      </w:r>
      <w:r w:rsidR="00FC5946">
        <w:rPr>
          <w:rFonts w:ascii="Arial Narrow" w:hAnsi="Arial Narrow" w:cs="Arial"/>
          <w:bCs/>
          <w:sz w:val="22"/>
          <w:szCs w:val="22"/>
        </w:rPr>
        <w:t xml:space="preserve">se </w:t>
      </w:r>
      <w:r w:rsidR="00FC5946">
        <w:rPr>
          <w:rFonts w:ascii="Arial Narrow" w:hAnsi="Arial Narrow" w:cs="Arial"/>
          <w:bCs/>
          <w:sz w:val="22"/>
          <w:szCs w:val="22"/>
        </w:rPr>
        <w:lastRenderedPageBreak/>
        <w:t xml:space="preserve">desconoce el modelo de prestación del servicio, </w:t>
      </w:r>
      <w:r w:rsidRPr="000742BD">
        <w:rPr>
          <w:rFonts w:ascii="Arial Narrow" w:hAnsi="Arial Narrow" w:cs="Arial"/>
          <w:bCs/>
          <w:sz w:val="22"/>
          <w:szCs w:val="22"/>
        </w:rPr>
        <w:t>situación que es necesario aclarar en la visita de reconocimiento a la E.T.</w:t>
      </w:r>
    </w:p>
    <w:p w14:paraId="39A25974" w14:textId="77777777" w:rsidR="000742BD" w:rsidRPr="000742BD" w:rsidRDefault="000742BD" w:rsidP="000742BD">
      <w:pPr>
        <w:contextualSpacing/>
        <w:jc w:val="both"/>
        <w:rPr>
          <w:rFonts w:ascii="Arial Narrow" w:hAnsi="Arial Narrow" w:cs="Arial"/>
          <w:bCs/>
          <w:sz w:val="22"/>
          <w:szCs w:val="22"/>
        </w:rPr>
      </w:pPr>
    </w:p>
    <w:p w14:paraId="244E837F"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Por otro lado, están inscritos en el RUPS como prestadores del servicio de aseo, especialmente en la actividad de reciclaje 19 organizaciones, de las cuales es necesario tener una mayor información</w:t>
      </w:r>
      <w:r w:rsidR="00B415FE">
        <w:rPr>
          <w:rFonts w:ascii="Arial Narrow" w:hAnsi="Arial Narrow" w:cs="Arial"/>
          <w:bCs/>
          <w:sz w:val="22"/>
          <w:szCs w:val="22"/>
        </w:rPr>
        <w:t xml:space="preserve"> y aclarar con la Entidad Territorial, </w:t>
      </w:r>
      <w:r w:rsidRPr="000742BD">
        <w:rPr>
          <w:rFonts w:ascii="Arial Narrow" w:hAnsi="Arial Narrow" w:cs="Arial"/>
          <w:bCs/>
          <w:sz w:val="22"/>
          <w:szCs w:val="22"/>
        </w:rPr>
        <w:t>si son beneficiarios</w:t>
      </w:r>
      <w:r w:rsidR="00B415FE">
        <w:rPr>
          <w:rFonts w:ascii="Arial Narrow" w:hAnsi="Arial Narrow" w:cs="Arial"/>
          <w:bCs/>
          <w:sz w:val="22"/>
          <w:szCs w:val="22"/>
        </w:rPr>
        <w:t xml:space="preserve"> de los recursos sectoriales del SGP.</w:t>
      </w:r>
    </w:p>
    <w:p w14:paraId="73175622" w14:textId="77777777" w:rsidR="000742BD" w:rsidRPr="000742BD" w:rsidRDefault="000742BD" w:rsidP="000742BD">
      <w:pPr>
        <w:contextualSpacing/>
        <w:jc w:val="both"/>
        <w:rPr>
          <w:rFonts w:ascii="Arial Narrow" w:hAnsi="Arial Narrow" w:cs="Arial"/>
          <w:bCs/>
          <w:sz w:val="22"/>
          <w:szCs w:val="22"/>
        </w:rPr>
      </w:pPr>
    </w:p>
    <w:p w14:paraId="61503CA1" w14:textId="77777777" w:rsidR="000742BD" w:rsidRPr="000742BD" w:rsidRDefault="000742BD" w:rsidP="00810E7F">
      <w:pPr>
        <w:contextualSpacing/>
        <w:jc w:val="both"/>
        <w:rPr>
          <w:rFonts w:ascii="Arial Narrow" w:hAnsi="Arial Narrow" w:cs="Arial"/>
          <w:bCs/>
          <w:sz w:val="22"/>
          <w:szCs w:val="22"/>
        </w:rPr>
      </w:pPr>
      <w:r w:rsidRPr="000742BD">
        <w:rPr>
          <w:rFonts w:ascii="Arial Narrow" w:hAnsi="Arial Narrow" w:cs="Arial"/>
          <w:bCs/>
          <w:sz w:val="22"/>
          <w:szCs w:val="22"/>
        </w:rPr>
        <w:t>El principal operador urbano del servicio de aseo es Urbaser Soacha, el cual maneja l</w:t>
      </w:r>
      <w:r w:rsidR="00810E7F">
        <w:rPr>
          <w:rFonts w:ascii="Arial Narrow" w:hAnsi="Arial Narrow" w:cs="Arial"/>
          <w:bCs/>
          <w:sz w:val="22"/>
          <w:szCs w:val="22"/>
        </w:rPr>
        <w:t>o</w:t>
      </w:r>
      <w:r w:rsidRPr="000742BD">
        <w:rPr>
          <w:rFonts w:ascii="Arial Narrow" w:hAnsi="Arial Narrow" w:cs="Arial"/>
          <w:bCs/>
          <w:sz w:val="22"/>
          <w:szCs w:val="22"/>
        </w:rPr>
        <w:t>s siguientes costos de referencia</w:t>
      </w:r>
      <w:r w:rsidR="00810E7F" w:rsidRPr="000742BD">
        <w:rPr>
          <w:rFonts w:ascii="Arial Narrow" w:hAnsi="Arial Narrow"/>
          <w:bCs/>
          <w:sz w:val="22"/>
          <w:szCs w:val="22"/>
          <w:vertAlign w:val="superscript"/>
        </w:rPr>
        <w:footnoteReference w:id="10"/>
      </w:r>
      <w:r w:rsidRPr="000742BD">
        <w:rPr>
          <w:rFonts w:ascii="Arial Narrow" w:hAnsi="Arial Narrow" w:cs="Arial"/>
          <w:bCs/>
          <w:sz w:val="22"/>
          <w:szCs w:val="22"/>
        </w:rPr>
        <w:t xml:space="preserve"> y componentes de tarifa en el mes de abril de 2022</w:t>
      </w:r>
      <w:r w:rsidR="00810E7F">
        <w:rPr>
          <w:rFonts w:ascii="Arial Narrow" w:hAnsi="Arial Narrow" w:cs="Arial"/>
          <w:bCs/>
          <w:sz w:val="22"/>
          <w:szCs w:val="22"/>
        </w:rPr>
        <w:t>.</w:t>
      </w:r>
      <w:r w:rsidRPr="000742BD">
        <w:rPr>
          <w:rFonts w:ascii="Arial Narrow" w:hAnsi="Arial Narrow" w:cs="Arial"/>
          <w:bCs/>
          <w:sz w:val="22"/>
          <w:szCs w:val="22"/>
        </w:rPr>
        <w:t xml:space="preserve"> </w:t>
      </w:r>
    </w:p>
    <w:p w14:paraId="5E32C414" w14:textId="77777777" w:rsidR="000742BD" w:rsidRDefault="000742BD" w:rsidP="000742BD">
      <w:pPr>
        <w:contextualSpacing/>
        <w:jc w:val="both"/>
        <w:rPr>
          <w:rFonts w:ascii="Arial Narrow" w:hAnsi="Arial Narrow" w:cs="Arial"/>
          <w:bCs/>
          <w:sz w:val="22"/>
          <w:szCs w:val="22"/>
        </w:rPr>
      </w:pPr>
    </w:p>
    <w:p w14:paraId="5C991A11" w14:textId="77777777" w:rsidR="00810E7F" w:rsidRPr="000742BD" w:rsidRDefault="00810E7F" w:rsidP="00810E7F">
      <w:pPr>
        <w:contextualSpacing/>
        <w:jc w:val="center"/>
        <w:rPr>
          <w:rFonts w:ascii="Arial Narrow" w:hAnsi="Arial Narrow" w:cs="Arial"/>
          <w:bCs/>
          <w:sz w:val="22"/>
          <w:szCs w:val="22"/>
        </w:rPr>
      </w:pPr>
      <w:r>
        <w:rPr>
          <w:rFonts w:ascii="Arial Narrow" w:hAnsi="Arial Narrow" w:cs="Arial"/>
          <w:bCs/>
          <w:sz w:val="22"/>
          <w:szCs w:val="22"/>
        </w:rPr>
        <w:t xml:space="preserve">Tabla: </w:t>
      </w:r>
      <w:r w:rsidRPr="00810E7F">
        <w:rPr>
          <w:rFonts w:ascii="Arial Narrow" w:hAnsi="Arial Narrow" w:cs="Arial"/>
          <w:b/>
          <w:sz w:val="22"/>
          <w:szCs w:val="22"/>
        </w:rPr>
        <w:t>Costos de referencia y componentes de tarifa de Urbaser Soacha</w:t>
      </w:r>
    </w:p>
    <w:p w14:paraId="7889E01B" w14:textId="77777777" w:rsidR="000742BD" w:rsidRPr="000742BD" w:rsidRDefault="000742BD" w:rsidP="000742BD">
      <w:pPr>
        <w:contextualSpacing/>
        <w:jc w:val="center"/>
        <w:rPr>
          <w:rFonts w:ascii="Arial Narrow" w:hAnsi="Arial Narrow" w:cs="Arial"/>
          <w:bCs/>
          <w:sz w:val="22"/>
          <w:szCs w:val="22"/>
        </w:rPr>
      </w:pPr>
      <w:r w:rsidRPr="000742BD">
        <w:rPr>
          <w:noProof/>
          <w:lang w:val="es-CO" w:eastAsia="es-CO"/>
        </w:rPr>
        <w:drawing>
          <wp:inline distT="0" distB="0" distL="0" distR="0" wp14:anchorId="2A0781B9" wp14:editId="7D086182">
            <wp:extent cx="2714625" cy="2343150"/>
            <wp:effectExtent l="0" t="0" r="9525" b="0"/>
            <wp:docPr id="6" name="Imagen 6" descr="Interfaz de usuario gráfica, Aplicación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Interfaz de usuario gráfica, Aplicación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l="18599" t="24904" r="56520" b="37048"/>
                    <a:stretch>
                      <a:fillRect/>
                    </a:stretch>
                  </pic:blipFill>
                  <pic:spPr bwMode="auto">
                    <a:xfrm>
                      <a:off x="0" y="0"/>
                      <a:ext cx="2714625" cy="2343150"/>
                    </a:xfrm>
                    <a:prstGeom prst="rect">
                      <a:avLst/>
                    </a:prstGeom>
                    <a:noFill/>
                    <a:ln>
                      <a:noFill/>
                    </a:ln>
                  </pic:spPr>
                </pic:pic>
              </a:graphicData>
            </a:graphic>
          </wp:inline>
        </w:drawing>
      </w:r>
    </w:p>
    <w:p w14:paraId="5C675528" w14:textId="77777777" w:rsidR="000742BD" w:rsidRPr="00810E7F" w:rsidRDefault="00810E7F" w:rsidP="00810E7F">
      <w:pPr>
        <w:contextualSpacing/>
        <w:jc w:val="center"/>
        <w:rPr>
          <w:rFonts w:ascii="Arial Narrow" w:hAnsi="Arial Narrow" w:cs="Arial"/>
          <w:bCs/>
          <w:sz w:val="16"/>
          <w:szCs w:val="16"/>
        </w:rPr>
      </w:pPr>
      <w:r w:rsidRPr="00810E7F">
        <w:rPr>
          <w:rFonts w:ascii="Arial Narrow" w:hAnsi="Arial Narrow" w:cs="Arial"/>
          <w:bCs/>
          <w:sz w:val="16"/>
          <w:szCs w:val="16"/>
        </w:rPr>
        <w:t>Valores en pesos para el mes de abril de 2022.</w:t>
      </w:r>
    </w:p>
    <w:p w14:paraId="033AC85C" w14:textId="77777777" w:rsidR="00810E7F" w:rsidRDefault="00810E7F" w:rsidP="00810E7F">
      <w:pPr>
        <w:contextualSpacing/>
        <w:jc w:val="center"/>
        <w:rPr>
          <w:rFonts w:ascii="Arial Narrow" w:hAnsi="Arial Narrow" w:cs="Arial"/>
          <w:bCs/>
          <w:sz w:val="22"/>
          <w:szCs w:val="22"/>
        </w:rPr>
      </w:pPr>
    </w:p>
    <w:p w14:paraId="01252953" w14:textId="77777777" w:rsidR="00810E7F" w:rsidRPr="000742BD" w:rsidRDefault="00810E7F" w:rsidP="00810E7F">
      <w:pPr>
        <w:contextualSpacing/>
        <w:jc w:val="center"/>
        <w:rPr>
          <w:rFonts w:ascii="Arial Narrow" w:hAnsi="Arial Narrow" w:cs="Arial"/>
          <w:bCs/>
          <w:sz w:val="22"/>
          <w:szCs w:val="22"/>
        </w:rPr>
      </w:pPr>
    </w:p>
    <w:p w14:paraId="09AEF59A"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Este capítulo se encuentra en construcción. Se solicitará información a la E.T.</w:t>
      </w:r>
    </w:p>
    <w:p w14:paraId="1810D202" w14:textId="77777777" w:rsidR="000742BD" w:rsidRPr="000742BD" w:rsidRDefault="000742BD" w:rsidP="000742BD">
      <w:pPr>
        <w:contextualSpacing/>
        <w:jc w:val="both"/>
        <w:rPr>
          <w:rFonts w:ascii="Arial Narrow" w:hAnsi="Arial Narrow" w:cs="Arial"/>
          <w:b/>
          <w:sz w:val="22"/>
          <w:szCs w:val="22"/>
        </w:rPr>
      </w:pPr>
    </w:p>
    <w:p w14:paraId="58555EDD" w14:textId="77777777" w:rsidR="000742BD" w:rsidRPr="000742BD" w:rsidRDefault="000742BD" w:rsidP="000742BD">
      <w:pPr>
        <w:ind w:left="1790"/>
        <w:contextualSpacing/>
        <w:jc w:val="both"/>
        <w:rPr>
          <w:rFonts w:ascii="Arial Narrow" w:hAnsi="Arial Narrow" w:cs="Arial"/>
          <w:b/>
          <w:sz w:val="22"/>
          <w:szCs w:val="22"/>
        </w:rPr>
      </w:pPr>
    </w:p>
    <w:p w14:paraId="5E2522E6" w14:textId="77777777" w:rsidR="000742BD" w:rsidRPr="000742BD" w:rsidRDefault="000742BD" w:rsidP="000742BD">
      <w:pPr>
        <w:numPr>
          <w:ilvl w:val="2"/>
          <w:numId w:val="22"/>
        </w:numPr>
        <w:contextualSpacing/>
        <w:jc w:val="both"/>
        <w:rPr>
          <w:rFonts w:ascii="Arial Narrow" w:hAnsi="Arial Narrow" w:cs="Arial"/>
          <w:b/>
          <w:sz w:val="22"/>
          <w:szCs w:val="22"/>
        </w:rPr>
      </w:pPr>
      <w:r w:rsidRPr="000742BD">
        <w:rPr>
          <w:rFonts w:ascii="Arial Narrow" w:hAnsi="Arial Narrow" w:cs="Arial"/>
          <w:b/>
          <w:sz w:val="22"/>
          <w:szCs w:val="22"/>
        </w:rPr>
        <w:t xml:space="preserve">PLAN DE GESTION INTEGRAL DE RESIDUOS SOLIDOS </w:t>
      </w:r>
    </w:p>
    <w:p w14:paraId="51B8C312" w14:textId="77777777" w:rsidR="000742BD" w:rsidRPr="000742BD" w:rsidRDefault="000742BD" w:rsidP="000742BD">
      <w:pPr>
        <w:contextualSpacing/>
        <w:jc w:val="both"/>
        <w:rPr>
          <w:rFonts w:ascii="Arial Narrow" w:hAnsi="Arial Narrow" w:cs="Arial"/>
          <w:bCs/>
          <w:sz w:val="22"/>
          <w:szCs w:val="22"/>
        </w:rPr>
      </w:pPr>
    </w:p>
    <w:p w14:paraId="38206A7F"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Durante la vigencia del año 2020 se llevó a cabo la conformación del grupo coordinador y técnico del PGIRS, dando cumplimiento a lo establecido en la resolución 754 de 2014, “Por la cual se adopta la metodología para la formulación, implementación, evaluación, seguimiento, control y actualización del PGIRS con el fin de realizar la reformulación del plan.</w:t>
      </w:r>
    </w:p>
    <w:p w14:paraId="4EA265A0" w14:textId="77777777" w:rsidR="000742BD" w:rsidRPr="000742BD" w:rsidRDefault="000742BD" w:rsidP="000742BD">
      <w:pPr>
        <w:contextualSpacing/>
        <w:jc w:val="both"/>
        <w:rPr>
          <w:rFonts w:ascii="Arial Narrow" w:hAnsi="Arial Narrow" w:cs="Arial"/>
          <w:bCs/>
          <w:sz w:val="22"/>
          <w:szCs w:val="22"/>
        </w:rPr>
      </w:pPr>
    </w:p>
    <w:p w14:paraId="47217CA6"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 xml:space="preserve">El grupo Coordinador fue conformado por un delgado de la Corporación Autónoma Regional, el Director de Servicios Públicos, delegados de la empresa Urbaser, representantes de ONG y asociaciones de recicladores y el director del grupo técnico. </w:t>
      </w:r>
    </w:p>
    <w:p w14:paraId="6AB7B7C1" w14:textId="77777777" w:rsidR="000742BD" w:rsidRPr="000742BD" w:rsidRDefault="000742BD" w:rsidP="000742BD">
      <w:pPr>
        <w:contextualSpacing/>
        <w:jc w:val="both"/>
        <w:rPr>
          <w:rFonts w:ascii="Arial Narrow" w:hAnsi="Arial Narrow" w:cs="Arial"/>
          <w:bCs/>
          <w:sz w:val="22"/>
          <w:szCs w:val="22"/>
        </w:rPr>
      </w:pPr>
    </w:p>
    <w:p w14:paraId="251163F2"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 xml:space="preserve">El grupo técnico se conformó por el director de este grupo, representantes de la Dirección Bioambiental y Asistencia Técnica y Agropecuaria y profesionales de las áreas financieras, jurídicas y sociales. </w:t>
      </w:r>
    </w:p>
    <w:p w14:paraId="273405EB" w14:textId="77777777" w:rsidR="000742BD" w:rsidRPr="000742BD" w:rsidRDefault="000742BD" w:rsidP="000742BD">
      <w:pPr>
        <w:contextualSpacing/>
        <w:jc w:val="both"/>
        <w:rPr>
          <w:rFonts w:ascii="Arial Narrow" w:hAnsi="Arial Narrow" w:cs="Arial"/>
          <w:bCs/>
          <w:sz w:val="22"/>
          <w:szCs w:val="22"/>
        </w:rPr>
      </w:pPr>
    </w:p>
    <w:p w14:paraId="11D3DB65" w14:textId="77777777" w:rsidR="000742BD" w:rsidRP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 xml:space="preserve">De esta forma se desarrollaron las mesas de trabajo, en donde se consolidaron las diferentes actividades y proyectos a reformular en el PGIRS y se dio paso a la publicación del Decreto municipal 361 del 13 de octubre de 2020. </w:t>
      </w:r>
    </w:p>
    <w:p w14:paraId="07946F10" w14:textId="77777777" w:rsidR="000742BD" w:rsidRPr="000742BD" w:rsidRDefault="000742BD" w:rsidP="000742BD">
      <w:pPr>
        <w:contextualSpacing/>
        <w:jc w:val="both"/>
        <w:rPr>
          <w:rFonts w:ascii="Arial Narrow" w:hAnsi="Arial Narrow" w:cs="Arial"/>
          <w:bCs/>
          <w:sz w:val="22"/>
          <w:szCs w:val="22"/>
        </w:rPr>
      </w:pPr>
    </w:p>
    <w:p w14:paraId="64756338" w14:textId="77777777" w:rsidR="000742BD" w:rsidRDefault="000742BD" w:rsidP="000742BD">
      <w:pPr>
        <w:contextualSpacing/>
        <w:jc w:val="both"/>
        <w:rPr>
          <w:rFonts w:ascii="Arial Narrow" w:hAnsi="Arial Narrow" w:cs="Arial"/>
          <w:bCs/>
          <w:sz w:val="22"/>
          <w:szCs w:val="22"/>
        </w:rPr>
      </w:pPr>
      <w:r w:rsidRPr="000742BD">
        <w:rPr>
          <w:rFonts w:ascii="Arial Narrow" w:hAnsi="Arial Narrow" w:cs="Arial"/>
          <w:bCs/>
          <w:sz w:val="22"/>
          <w:szCs w:val="22"/>
        </w:rPr>
        <w:t>En el caso de la implementación se alcanzó un porcentaje del 2%, llevando a cabo actividades a partir de la gestión con entidades externas o en apoyo con otras dependencias de la Alcaldía Municipal de Soacha</w:t>
      </w:r>
      <w:r w:rsidR="00C43727">
        <w:rPr>
          <w:rFonts w:ascii="Arial Narrow" w:hAnsi="Arial Narrow" w:cs="Arial"/>
          <w:bCs/>
          <w:sz w:val="22"/>
          <w:szCs w:val="22"/>
        </w:rPr>
        <w:t>.</w:t>
      </w:r>
    </w:p>
    <w:p w14:paraId="066C5435" w14:textId="77777777" w:rsidR="00C43727" w:rsidRDefault="00C43727" w:rsidP="000742BD">
      <w:pPr>
        <w:contextualSpacing/>
        <w:jc w:val="both"/>
        <w:rPr>
          <w:rFonts w:ascii="Arial Narrow" w:hAnsi="Arial Narrow" w:cs="Arial"/>
          <w:bCs/>
          <w:sz w:val="22"/>
          <w:szCs w:val="22"/>
        </w:rPr>
      </w:pPr>
    </w:p>
    <w:p w14:paraId="04E72836" w14:textId="77777777" w:rsidR="00C43727" w:rsidRPr="000742BD" w:rsidRDefault="00C43727" w:rsidP="000742BD">
      <w:pPr>
        <w:contextualSpacing/>
        <w:jc w:val="both"/>
        <w:rPr>
          <w:rFonts w:ascii="Arial Narrow" w:hAnsi="Arial Narrow" w:cs="Arial"/>
          <w:bCs/>
          <w:sz w:val="22"/>
          <w:szCs w:val="22"/>
        </w:rPr>
      </w:pPr>
      <w:r>
        <w:rPr>
          <w:rFonts w:ascii="Arial Narrow" w:hAnsi="Arial Narrow" w:cs="Arial"/>
          <w:bCs/>
          <w:sz w:val="22"/>
          <w:szCs w:val="22"/>
        </w:rPr>
        <w:t xml:space="preserve">En este sentido, </w:t>
      </w:r>
      <w:r w:rsidRPr="009B0744">
        <w:rPr>
          <w:rFonts w:ascii="Arial Narrow" w:hAnsi="Arial Narrow" w:cs="Arial"/>
          <w:bCs/>
          <w:sz w:val="22"/>
          <w:szCs w:val="22"/>
        </w:rPr>
        <w:t xml:space="preserve">es necesario revisar en detalle el contenido del PGIRS para verificar si existen proyectos de aprovechamiento y así determinar si </w:t>
      </w:r>
      <w:r w:rsidR="00810E7F">
        <w:rPr>
          <w:rFonts w:ascii="Arial Narrow" w:hAnsi="Arial Narrow" w:cs="Arial"/>
          <w:bCs/>
          <w:sz w:val="22"/>
          <w:szCs w:val="22"/>
        </w:rPr>
        <w:t xml:space="preserve">en este se encuentran definidos </w:t>
      </w:r>
      <w:r w:rsidRPr="009B0744">
        <w:rPr>
          <w:rFonts w:ascii="Arial Narrow" w:hAnsi="Arial Narrow" w:cs="Arial"/>
          <w:bCs/>
          <w:sz w:val="22"/>
          <w:szCs w:val="22"/>
        </w:rPr>
        <w:t>l</w:t>
      </w:r>
      <w:r w:rsidR="00810E7F">
        <w:rPr>
          <w:rFonts w:ascii="Arial Narrow" w:hAnsi="Arial Narrow" w:cs="Arial"/>
          <w:bCs/>
          <w:sz w:val="22"/>
          <w:szCs w:val="22"/>
        </w:rPr>
        <w:t>o</w:t>
      </w:r>
      <w:r w:rsidRPr="009B0744">
        <w:rPr>
          <w:rFonts w:ascii="Arial Narrow" w:hAnsi="Arial Narrow" w:cs="Arial"/>
          <w:bCs/>
          <w:sz w:val="22"/>
          <w:szCs w:val="22"/>
        </w:rPr>
        <w:t xml:space="preserve">s </w:t>
      </w:r>
      <w:r w:rsidR="00810E7F">
        <w:rPr>
          <w:rFonts w:ascii="Arial Narrow" w:hAnsi="Arial Narrow" w:cs="Arial"/>
          <w:bCs/>
          <w:sz w:val="22"/>
          <w:szCs w:val="22"/>
        </w:rPr>
        <w:t xml:space="preserve">costos por la prestación de esta actividad, así como su </w:t>
      </w:r>
      <w:r w:rsidRPr="009B0744">
        <w:rPr>
          <w:rFonts w:ascii="Arial Narrow" w:hAnsi="Arial Narrow" w:cs="Arial"/>
          <w:bCs/>
          <w:sz w:val="22"/>
          <w:szCs w:val="22"/>
        </w:rPr>
        <w:t>manejo presupuestal</w:t>
      </w:r>
      <w:r w:rsidR="00810E7F">
        <w:rPr>
          <w:rFonts w:ascii="Arial Narrow" w:hAnsi="Arial Narrow" w:cs="Arial"/>
          <w:bCs/>
          <w:sz w:val="22"/>
          <w:szCs w:val="22"/>
        </w:rPr>
        <w:t xml:space="preserve"> y si en este se encuentra el SGP APSB</w:t>
      </w:r>
      <w:r w:rsidRPr="009B0744">
        <w:rPr>
          <w:rFonts w:ascii="Arial Narrow" w:hAnsi="Arial Narrow" w:cs="Arial"/>
          <w:bCs/>
          <w:sz w:val="22"/>
          <w:szCs w:val="22"/>
        </w:rPr>
        <w:t>. Sería parte de las inquietudes a resolver en la etapa de reconocimiento.</w:t>
      </w:r>
    </w:p>
    <w:p w14:paraId="32FE4083" w14:textId="77777777" w:rsidR="000742BD" w:rsidRPr="000742BD" w:rsidRDefault="000742BD" w:rsidP="000742BD">
      <w:pPr>
        <w:contextualSpacing/>
        <w:jc w:val="both"/>
      </w:pPr>
    </w:p>
    <w:p w14:paraId="5EFDB176" w14:textId="77777777" w:rsidR="000742BD" w:rsidRPr="000742BD" w:rsidRDefault="000742BD" w:rsidP="000742BD">
      <w:pPr>
        <w:contextualSpacing/>
        <w:jc w:val="both"/>
        <w:rPr>
          <w:rFonts w:ascii="Arial Narrow" w:hAnsi="Arial Narrow" w:cs="Arial"/>
          <w:b/>
          <w:sz w:val="22"/>
          <w:szCs w:val="22"/>
        </w:rPr>
      </w:pPr>
    </w:p>
    <w:p w14:paraId="458DEDD5" w14:textId="77777777" w:rsidR="000742BD" w:rsidRPr="000742BD" w:rsidRDefault="000742BD" w:rsidP="000742BD">
      <w:pPr>
        <w:jc w:val="both"/>
        <w:rPr>
          <w:rFonts w:ascii="Arial Narrow" w:hAnsi="Arial Narrow" w:cs="Arial"/>
          <w:b/>
          <w:bCs/>
          <w:sz w:val="22"/>
          <w:szCs w:val="22"/>
        </w:rPr>
      </w:pPr>
    </w:p>
    <w:p w14:paraId="70E9E8C8" w14:textId="77777777" w:rsidR="000742BD" w:rsidRPr="000742BD" w:rsidRDefault="000742BD" w:rsidP="000742BD">
      <w:pPr>
        <w:numPr>
          <w:ilvl w:val="0"/>
          <w:numId w:val="22"/>
        </w:numPr>
        <w:contextualSpacing/>
        <w:jc w:val="both"/>
        <w:rPr>
          <w:rFonts w:ascii="Arial Narrow" w:hAnsi="Arial Narrow" w:cs="Arial"/>
          <w:b/>
          <w:bCs/>
          <w:sz w:val="22"/>
          <w:szCs w:val="22"/>
        </w:rPr>
      </w:pPr>
      <w:bookmarkStart w:id="1" w:name="_Hlk97211865"/>
      <w:r w:rsidRPr="000742BD">
        <w:rPr>
          <w:rFonts w:ascii="Arial Narrow" w:hAnsi="Arial Narrow" w:cs="Arial"/>
          <w:b/>
          <w:bCs/>
          <w:sz w:val="22"/>
          <w:szCs w:val="22"/>
        </w:rPr>
        <w:t>COBERTURA, CALIDAD Y CONTINUIDAD.</w:t>
      </w:r>
    </w:p>
    <w:p w14:paraId="589429C8" w14:textId="77777777" w:rsidR="000742BD" w:rsidRPr="000742BD" w:rsidRDefault="000742BD" w:rsidP="000742BD">
      <w:pPr>
        <w:ind w:left="1070"/>
        <w:contextualSpacing/>
        <w:jc w:val="both"/>
        <w:rPr>
          <w:rFonts w:ascii="Arial Narrow" w:hAnsi="Arial Narrow" w:cs="Arial"/>
          <w:b/>
          <w:bCs/>
          <w:sz w:val="22"/>
          <w:szCs w:val="22"/>
        </w:rPr>
      </w:pPr>
    </w:p>
    <w:p w14:paraId="4713B180"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En el informe de monitoreo al uso y ejecución de los recursos del SGP APSB, realizado por el Ministerio de Vivienda, Ciudad y Territorio, entregado al Ministerio de Hacienda y Crédito Publico el día 21 de julio de 2021 con radicado 1- 2021-062369, se identificaron los reportes de la Entidad al REC, de los indicadores de coberturas urbanas en la prestación de los servicios de acueducto, alcantarillado y aseo de la siguiente manera:</w:t>
      </w:r>
    </w:p>
    <w:p w14:paraId="598D5F27" w14:textId="77777777" w:rsidR="000742BD" w:rsidRPr="000742BD" w:rsidRDefault="000742BD" w:rsidP="000742BD">
      <w:pPr>
        <w:jc w:val="both"/>
        <w:rPr>
          <w:rFonts w:ascii="Arial Narrow" w:hAnsi="Arial Narrow" w:cs="Arial"/>
          <w:sz w:val="22"/>
          <w:szCs w:val="22"/>
        </w:rPr>
      </w:pPr>
    </w:p>
    <w:p w14:paraId="1F884B57" w14:textId="77777777" w:rsidR="000742BD" w:rsidRPr="000742BD" w:rsidRDefault="000742BD" w:rsidP="000742BD">
      <w:pPr>
        <w:contextualSpacing/>
        <w:jc w:val="both"/>
        <w:rPr>
          <w:rFonts w:ascii="Arial Narrow" w:hAnsi="Arial Narrow" w:cs="Arial"/>
          <w:b/>
          <w:bCs/>
          <w:sz w:val="22"/>
          <w:szCs w:val="22"/>
        </w:rPr>
      </w:pPr>
    </w:p>
    <w:tbl>
      <w:tblPr>
        <w:tblStyle w:val="Tablaconcuadrcula"/>
        <w:tblW w:w="0" w:type="auto"/>
        <w:jc w:val="center"/>
        <w:tblLook w:val="04A0" w:firstRow="1" w:lastRow="0" w:firstColumn="1" w:lastColumn="0" w:noHBand="0" w:noVBand="1"/>
      </w:tblPr>
      <w:tblGrid>
        <w:gridCol w:w="4328"/>
        <w:gridCol w:w="1239"/>
      </w:tblGrid>
      <w:tr w:rsidR="000742BD" w:rsidRPr="000742BD" w14:paraId="7CBB310F" w14:textId="77777777" w:rsidTr="000742BD">
        <w:trPr>
          <w:jc w:val="center"/>
        </w:trPr>
        <w:tc>
          <w:tcPr>
            <w:tcW w:w="4328" w:type="dxa"/>
          </w:tcPr>
          <w:p w14:paraId="4ABEF8DC" w14:textId="77777777" w:rsidR="000742BD" w:rsidRPr="000742BD" w:rsidRDefault="000742BD" w:rsidP="000742BD">
            <w:pPr>
              <w:tabs>
                <w:tab w:val="center" w:pos="4419"/>
                <w:tab w:val="right" w:pos="8838"/>
              </w:tabs>
              <w:contextualSpacing/>
              <w:jc w:val="center"/>
              <w:rPr>
                <w:rFonts w:ascii="Arial Narrow" w:hAnsi="Arial Narrow" w:cs="Arial"/>
                <w:b/>
                <w:bCs/>
                <w:sz w:val="22"/>
                <w:szCs w:val="22"/>
              </w:rPr>
            </w:pPr>
            <w:r w:rsidRPr="000742BD">
              <w:rPr>
                <w:rFonts w:ascii="Arial Narrow" w:hAnsi="Arial Narrow" w:cs="Arial"/>
                <w:b/>
                <w:bCs/>
                <w:sz w:val="22"/>
                <w:szCs w:val="22"/>
              </w:rPr>
              <w:t xml:space="preserve">Indicador </w:t>
            </w:r>
          </w:p>
        </w:tc>
        <w:tc>
          <w:tcPr>
            <w:tcW w:w="1239" w:type="dxa"/>
          </w:tcPr>
          <w:p w14:paraId="1B5DE8DD" w14:textId="77777777" w:rsidR="000742BD" w:rsidRPr="000742BD" w:rsidRDefault="000742BD" w:rsidP="000742BD">
            <w:pPr>
              <w:tabs>
                <w:tab w:val="center" w:pos="4419"/>
                <w:tab w:val="right" w:pos="8838"/>
              </w:tabs>
              <w:contextualSpacing/>
              <w:jc w:val="center"/>
              <w:rPr>
                <w:rFonts w:ascii="Arial Narrow" w:hAnsi="Arial Narrow" w:cs="Arial"/>
                <w:b/>
                <w:bCs/>
                <w:sz w:val="22"/>
                <w:szCs w:val="22"/>
              </w:rPr>
            </w:pPr>
            <w:r w:rsidRPr="000742BD">
              <w:rPr>
                <w:rFonts w:ascii="Arial Narrow" w:hAnsi="Arial Narrow" w:cs="Arial"/>
                <w:b/>
                <w:bCs/>
                <w:sz w:val="22"/>
                <w:szCs w:val="22"/>
              </w:rPr>
              <w:t>Porcentaje</w:t>
            </w:r>
          </w:p>
        </w:tc>
      </w:tr>
      <w:tr w:rsidR="000742BD" w:rsidRPr="000742BD" w14:paraId="53666357" w14:textId="77777777" w:rsidTr="000742BD">
        <w:trPr>
          <w:jc w:val="center"/>
        </w:trPr>
        <w:tc>
          <w:tcPr>
            <w:tcW w:w="4328" w:type="dxa"/>
          </w:tcPr>
          <w:p w14:paraId="3456174B"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Cobertura Acueducto Urbano REC 2020</w:t>
            </w:r>
          </w:p>
        </w:tc>
        <w:tc>
          <w:tcPr>
            <w:tcW w:w="1239" w:type="dxa"/>
          </w:tcPr>
          <w:p w14:paraId="65C8620C"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67%</w:t>
            </w:r>
          </w:p>
        </w:tc>
      </w:tr>
      <w:tr w:rsidR="000742BD" w:rsidRPr="000742BD" w14:paraId="322C43B2" w14:textId="77777777" w:rsidTr="000742BD">
        <w:trPr>
          <w:jc w:val="center"/>
        </w:trPr>
        <w:tc>
          <w:tcPr>
            <w:tcW w:w="4328" w:type="dxa"/>
          </w:tcPr>
          <w:p w14:paraId="19FDD98C"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Cobertura Acueducto rural nucleada REC 2020</w:t>
            </w:r>
          </w:p>
        </w:tc>
        <w:tc>
          <w:tcPr>
            <w:tcW w:w="1239" w:type="dxa"/>
          </w:tcPr>
          <w:p w14:paraId="3A8F9AA3"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0%</w:t>
            </w:r>
          </w:p>
        </w:tc>
      </w:tr>
      <w:tr w:rsidR="000742BD" w:rsidRPr="000742BD" w14:paraId="607BC5AA" w14:textId="77777777" w:rsidTr="000742BD">
        <w:trPr>
          <w:jc w:val="center"/>
        </w:trPr>
        <w:tc>
          <w:tcPr>
            <w:tcW w:w="4328" w:type="dxa"/>
          </w:tcPr>
          <w:p w14:paraId="672DCD64"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Cobertura de Alcantarillado Urbano REC 2020</w:t>
            </w:r>
          </w:p>
        </w:tc>
        <w:tc>
          <w:tcPr>
            <w:tcW w:w="1239" w:type="dxa"/>
          </w:tcPr>
          <w:p w14:paraId="632D6B57"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58%</w:t>
            </w:r>
          </w:p>
        </w:tc>
      </w:tr>
      <w:tr w:rsidR="000742BD" w:rsidRPr="000742BD" w14:paraId="1248908C" w14:textId="77777777" w:rsidTr="000742BD">
        <w:trPr>
          <w:jc w:val="center"/>
        </w:trPr>
        <w:tc>
          <w:tcPr>
            <w:tcW w:w="4328" w:type="dxa"/>
          </w:tcPr>
          <w:p w14:paraId="075AFB87"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Cobertura Alcantarillado rural nucleada REC 2020</w:t>
            </w:r>
          </w:p>
        </w:tc>
        <w:tc>
          <w:tcPr>
            <w:tcW w:w="1239" w:type="dxa"/>
          </w:tcPr>
          <w:p w14:paraId="48702BAE"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0%</w:t>
            </w:r>
          </w:p>
        </w:tc>
      </w:tr>
      <w:tr w:rsidR="000742BD" w:rsidRPr="000742BD" w14:paraId="2F9BEC05" w14:textId="77777777" w:rsidTr="000742BD">
        <w:trPr>
          <w:jc w:val="center"/>
        </w:trPr>
        <w:tc>
          <w:tcPr>
            <w:tcW w:w="4328" w:type="dxa"/>
          </w:tcPr>
          <w:p w14:paraId="04DE18A4"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Cobertura Aseo Urbano REC 2020</w:t>
            </w:r>
          </w:p>
        </w:tc>
        <w:tc>
          <w:tcPr>
            <w:tcW w:w="1239" w:type="dxa"/>
          </w:tcPr>
          <w:p w14:paraId="5763ED85"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47%</w:t>
            </w:r>
          </w:p>
        </w:tc>
      </w:tr>
      <w:tr w:rsidR="000742BD" w:rsidRPr="000742BD" w14:paraId="5E514EC8" w14:textId="77777777" w:rsidTr="000742BD">
        <w:trPr>
          <w:jc w:val="center"/>
        </w:trPr>
        <w:tc>
          <w:tcPr>
            <w:tcW w:w="4328" w:type="dxa"/>
          </w:tcPr>
          <w:p w14:paraId="0BBA5A74"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IRCA Urbano</w:t>
            </w:r>
          </w:p>
        </w:tc>
        <w:tc>
          <w:tcPr>
            <w:tcW w:w="1239" w:type="dxa"/>
          </w:tcPr>
          <w:p w14:paraId="072CD76E"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0.7%</w:t>
            </w:r>
          </w:p>
        </w:tc>
      </w:tr>
      <w:tr w:rsidR="000742BD" w:rsidRPr="000742BD" w14:paraId="09855BA0" w14:textId="77777777" w:rsidTr="000742BD">
        <w:trPr>
          <w:jc w:val="center"/>
        </w:trPr>
        <w:tc>
          <w:tcPr>
            <w:tcW w:w="4328" w:type="dxa"/>
          </w:tcPr>
          <w:p w14:paraId="704834DB" w14:textId="77777777" w:rsidR="000742BD" w:rsidRPr="000742BD" w:rsidRDefault="000742BD" w:rsidP="000742BD">
            <w:pPr>
              <w:tabs>
                <w:tab w:val="center" w:pos="4419"/>
                <w:tab w:val="right" w:pos="8838"/>
              </w:tabs>
              <w:contextualSpacing/>
              <w:jc w:val="both"/>
              <w:rPr>
                <w:rFonts w:ascii="Arial Narrow" w:hAnsi="Arial Narrow" w:cs="Arial"/>
                <w:sz w:val="22"/>
                <w:szCs w:val="22"/>
              </w:rPr>
            </w:pPr>
            <w:r w:rsidRPr="000742BD">
              <w:rPr>
                <w:rFonts w:ascii="Arial Narrow" w:hAnsi="Arial Narrow" w:cs="Arial"/>
                <w:sz w:val="22"/>
                <w:szCs w:val="22"/>
              </w:rPr>
              <w:t>IRCA rural nucleada</w:t>
            </w:r>
          </w:p>
        </w:tc>
        <w:tc>
          <w:tcPr>
            <w:tcW w:w="1239" w:type="dxa"/>
          </w:tcPr>
          <w:p w14:paraId="1D20AC79" w14:textId="77777777" w:rsidR="000742BD" w:rsidRPr="000742BD" w:rsidRDefault="000742BD" w:rsidP="000742BD">
            <w:pPr>
              <w:tabs>
                <w:tab w:val="center" w:pos="4419"/>
                <w:tab w:val="right" w:pos="8838"/>
              </w:tabs>
              <w:contextualSpacing/>
              <w:jc w:val="center"/>
              <w:rPr>
                <w:rFonts w:ascii="Arial Narrow" w:hAnsi="Arial Narrow" w:cs="Arial"/>
                <w:sz w:val="22"/>
                <w:szCs w:val="22"/>
              </w:rPr>
            </w:pPr>
            <w:r w:rsidRPr="000742BD">
              <w:rPr>
                <w:rFonts w:ascii="Arial Narrow" w:hAnsi="Arial Narrow" w:cs="Arial"/>
                <w:sz w:val="22"/>
                <w:szCs w:val="22"/>
              </w:rPr>
              <w:t>24.8%</w:t>
            </w:r>
          </w:p>
        </w:tc>
      </w:tr>
    </w:tbl>
    <w:p w14:paraId="5C18CF68" w14:textId="77777777" w:rsidR="000742BD" w:rsidRPr="000742BD" w:rsidRDefault="000742BD" w:rsidP="000742BD">
      <w:pPr>
        <w:contextualSpacing/>
        <w:jc w:val="both"/>
        <w:rPr>
          <w:rFonts w:ascii="Arial Narrow" w:hAnsi="Arial Narrow" w:cs="Arial"/>
          <w:b/>
          <w:bCs/>
          <w:sz w:val="22"/>
          <w:szCs w:val="22"/>
        </w:rPr>
      </w:pPr>
    </w:p>
    <w:p w14:paraId="3ED9B128" w14:textId="77777777" w:rsidR="000742BD" w:rsidRPr="000742BD" w:rsidRDefault="000742BD" w:rsidP="000742BD">
      <w:pPr>
        <w:contextualSpacing/>
        <w:jc w:val="both"/>
        <w:rPr>
          <w:rFonts w:ascii="Arial Narrow" w:hAnsi="Arial Narrow" w:cs="Arial"/>
          <w:sz w:val="22"/>
          <w:szCs w:val="22"/>
        </w:rPr>
      </w:pPr>
      <w:r w:rsidRPr="000742BD">
        <w:rPr>
          <w:rFonts w:ascii="Arial Narrow" w:hAnsi="Arial Narrow" w:cs="Arial"/>
          <w:sz w:val="22"/>
          <w:szCs w:val="22"/>
        </w:rPr>
        <w:t>En cuanto a la disposición final de residuos sólidos, el informe de monitoreo del MVCT manifestó que se realiza de forma adecuada en relleno sanitario, que a 2019 recibía 423 ton/día.</w:t>
      </w:r>
    </w:p>
    <w:p w14:paraId="406E2658" w14:textId="77777777" w:rsidR="000742BD" w:rsidRPr="000742BD" w:rsidRDefault="000742BD" w:rsidP="000742BD">
      <w:pPr>
        <w:contextualSpacing/>
        <w:jc w:val="both"/>
        <w:rPr>
          <w:rFonts w:ascii="Arial Narrow" w:hAnsi="Arial Narrow" w:cs="Arial"/>
          <w:sz w:val="22"/>
          <w:szCs w:val="22"/>
        </w:rPr>
      </w:pPr>
    </w:p>
    <w:p w14:paraId="5CC1DD80" w14:textId="77777777" w:rsidR="000742BD" w:rsidRPr="000742BD" w:rsidRDefault="000742BD" w:rsidP="000742BD">
      <w:pPr>
        <w:contextualSpacing/>
        <w:jc w:val="both"/>
        <w:rPr>
          <w:rFonts w:ascii="Arial Narrow" w:hAnsi="Arial Narrow" w:cs="Arial"/>
          <w:sz w:val="22"/>
          <w:szCs w:val="22"/>
        </w:rPr>
      </w:pPr>
      <w:r w:rsidRPr="000742BD">
        <w:rPr>
          <w:rFonts w:ascii="Arial Narrow" w:hAnsi="Arial Narrow" w:cs="Arial"/>
          <w:sz w:val="22"/>
          <w:szCs w:val="22"/>
        </w:rPr>
        <w:t>Estos indicadores demuestran un rezago importante en cobertura en los tres servicios públicos de AAA a nivel urbano y el desconocimiento de las líneas de base en la prestación rural de estos, al no reportar la información respectiva al REC.</w:t>
      </w:r>
    </w:p>
    <w:p w14:paraId="145B680C" w14:textId="77777777" w:rsidR="000742BD" w:rsidRPr="000742BD" w:rsidRDefault="000742BD" w:rsidP="000742BD">
      <w:pPr>
        <w:contextualSpacing/>
        <w:jc w:val="both"/>
        <w:rPr>
          <w:rFonts w:ascii="Arial Narrow" w:hAnsi="Arial Narrow" w:cs="Arial"/>
          <w:sz w:val="22"/>
          <w:szCs w:val="22"/>
        </w:rPr>
      </w:pPr>
    </w:p>
    <w:p w14:paraId="11B34118" w14:textId="77777777" w:rsidR="000742BD" w:rsidRPr="000742BD" w:rsidRDefault="000742BD" w:rsidP="000742BD">
      <w:pPr>
        <w:contextualSpacing/>
        <w:jc w:val="both"/>
        <w:rPr>
          <w:rFonts w:ascii="Arial Narrow" w:hAnsi="Arial Narrow" w:cs="Arial"/>
          <w:sz w:val="22"/>
          <w:szCs w:val="22"/>
        </w:rPr>
      </w:pPr>
      <w:r w:rsidRPr="000742BD">
        <w:rPr>
          <w:rFonts w:ascii="Arial Narrow" w:hAnsi="Arial Narrow" w:cs="Arial"/>
          <w:sz w:val="22"/>
          <w:szCs w:val="22"/>
        </w:rPr>
        <w:t>La inversión en los tres subsectores es importante, y se ha de verificar en la Entidad Territorial, la forma como se planea el mantenimiento y ampliación de las coberturas en los servicios de AAA, especialmente al manejo de la prestación del servicio a nivel rural.</w:t>
      </w:r>
    </w:p>
    <w:p w14:paraId="24D4FA0E" w14:textId="77777777" w:rsidR="000742BD" w:rsidRPr="000742BD" w:rsidRDefault="000742BD" w:rsidP="000742BD">
      <w:pPr>
        <w:contextualSpacing/>
        <w:jc w:val="both"/>
        <w:rPr>
          <w:rFonts w:ascii="Arial Narrow" w:hAnsi="Arial Narrow" w:cs="Arial"/>
          <w:b/>
          <w:bCs/>
          <w:sz w:val="22"/>
          <w:szCs w:val="22"/>
        </w:rPr>
      </w:pPr>
    </w:p>
    <w:p w14:paraId="1989B7BE" w14:textId="77777777" w:rsidR="000742BD" w:rsidRPr="000742BD" w:rsidRDefault="000742BD" w:rsidP="000742BD">
      <w:pPr>
        <w:contextualSpacing/>
        <w:jc w:val="both"/>
        <w:rPr>
          <w:rFonts w:ascii="Arial Narrow" w:hAnsi="Arial Narrow" w:cs="Arial"/>
          <w:b/>
          <w:bCs/>
          <w:sz w:val="22"/>
          <w:szCs w:val="22"/>
        </w:rPr>
      </w:pPr>
    </w:p>
    <w:bookmarkEnd w:id="1"/>
    <w:p w14:paraId="535AA088" w14:textId="77777777" w:rsidR="000742BD" w:rsidRPr="000742BD" w:rsidRDefault="000742BD" w:rsidP="000742BD">
      <w:pPr>
        <w:numPr>
          <w:ilvl w:val="0"/>
          <w:numId w:val="22"/>
        </w:numPr>
        <w:contextualSpacing/>
        <w:jc w:val="both"/>
        <w:rPr>
          <w:rFonts w:ascii="Arial Narrow" w:hAnsi="Arial Narrow" w:cs="Arial"/>
          <w:b/>
          <w:sz w:val="22"/>
          <w:szCs w:val="22"/>
          <w:lang w:val="es-CO" w:eastAsia="en-US"/>
        </w:rPr>
      </w:pPr>
      <w:r w:rsidRPr="000742BD">
        <w:rPr>
          <w:rFonts w:ascii="Arial Narrow" w:hAnsi="Arial Narrow" w:cs="Arial"/>
          <w:sz w:val="22"/>
          <w:szCs w:val="22"/>
        </w:rPr>
        <w:lastRenderedPageBreak/>
        <w:t xml:space="preserve"> </w:t>
      </w:r>
      <w:r w:rsidRPr="000742BD">
        <w:rPr>
          <w:rFonts w:ascii="Arial Narrow" w:hAnsi="Arial Narrow" w:cs="Arial"/>
          <w:b/>
          <w:sz w:val="22"/>
          <w:szCs w:val="22"/>
          <w:lang w:val="es-CO" w:eastAsia="en-US"/>
        </w:rPr>
        <w:t>FONDO DE SOLIDARIDAD Y REDISTRIBUCIÓN DE INGRESOS</w:t>
      </w:r>
      <w:r w:rsidRPr="000742BD">
        <w:rPr>
          <w:rFonts w:ascii="Arial Narrow" w:hAnsi="Arial Narrow"/>
          <w:sz w:val="22"/>
          <w:szCs w:val="22"/>
          <w:vertAlign w:val="superscript"/>
          <w:lang w:val="es-CO" w:eastAsia="en-US"/>
        </w:rPr>
        <w:footnoteReference w:id="11"/>
      </w:r>
      <w:r w:rsidRPr="000742BD">
        <w:rPr>
          <w:rFonts w:ascii="Arial Narrow" w:hAnsi="Arial Narrow" w:cs="Arial"/>
          <w:b/>
          <w:sz w:val="22"/>
          <w:szCs w:val="22"/>
          <w:lang w:val="es-CO" w:eastAsia="en-US"/>
        </w:rPr>
        <w:t xml:space="preserve"> - FSRI.</w:t>
      </w:r>
    </w:p>
    <w:p w14:paraId="56CD5733" w14:textId="77777777" w:rsidR="000742BD" w:rsidRPr="000742BD" w:rsidRDefault="000742BD" w:rsidP="000742BD">
      <w:pPr>
        <w:jc w:val="both"/>
        <w:rPr>
          <w:rFonts w:ascii="Arial Narrow" w:hAnsi="Arial Narrow" w:cs="Arial"/>
          <w:b/>
          <w:sz w:val="22"/>
          <w:szCs w:val="22"/>
          <w:lang w:val="es-CO" w:eastAsia="en-US"/>
        </w:rPr>
      </w:pPr>
    </w:p>
    <w:p w14:paraId="1E97188B"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Los fondos especiales fueron establecidos por el artículo 6 de la Ley 38 de 1989 y definidos por el artículo 27 de la Ley 225 de 1995, ambas normas compiladas en los artículos 11 y 30, respectivamente, del Decreto 111 de 1996, que textualmente dicen lo siguiente:</w:t>
      </w:r>
    </w:p>
    <w:p w14:paraId="25955E3F" w14:textId="77777777" w:rsidR="000742BD" w:rsidRPr="000742BD" w:rsidRDefault="000742BD" w:rsidP="000742BD">
      <w:pPr>
        <w:jc w:val="both"/>
        <w:rPr>
          <w:rFonts w:ascii="Arial Narrow" w:eastAsia="Times New Roman" w:hAnsi="Arial Narrow" w:cs="Arial"/>
          <w:bCs/>
          <w:sz w:val="22"/>
          <w:szCs w:val="22"/>
          <w:lang w:val="es-CO" w:eastAsia="en-US"/>
        </w:rPr>
      </w:pPr>
    </w:p>
    <w:p w14:paraId="6E4D50E1"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r w:rsidRPr="000742BD">
        <w:rPr>
          <w:rFonts w:ascii="Arial Narrow" w:eastAsia="Times New Roman" w:hAnsi="Arial Narrow" w:cs="Arial"/>
          <w:bCs/>
          <w:i/>
          <w:iCs/>
          <w:sz w:val="22"/>
          <w:szCs w:val="22"/>
          <w:lang w:val="es-CO" w:eastAsia="en-US"/>
        </w:rPr>
        <w:t>“Artículo 11: El presupuesto general de la Nación se compone de las siguientes partes:</w:t>
      </w:r>
    </w:p>
    <w:p w14:paraId="2724B835"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p>
    <w:p w14:paraId="46BB9575"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r w:rsidRPr="000742BD">
        <w:rPr>
          <w:rFonts w:ascii="Arial Narrow" w:eastAsia="Times New Roman" w:hAnsi="Arial Narrow" w:cs="Arial"/>
          <w:bCs/>
          <w:i/>
          <w:iCs/>
          <w:sz w:val="22"/>
          <w:szCs w:val="22"/>
          <w:lang w:val="es-CO" w:eastAsia="en-US"/>
        </w:rPr>
        <w:t>a) El presupuesto de rentas contendrá la estimación de los ingresos corrientes de la Nación; de las contribuciones parafiscales cuando sean presupuesto, de los fondos especiales, los recursos de capital y los ingresos de los establecimientos públicos del orden nacional; (…).”</w:t>
      </w:r>
    </w:p>
    <w:p w14:paraId="256178EE"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p>
    <w:p w14:paraId="27690A9E"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r w:rsidRPr="000742BD">
        <w:rPr>
          <w:rFonts w:ascii="Arial Narrow" w:eastAsia="Times New Roman" w:hAnsi="Arial Narrow" w:cs="Arial"/>
          <w:bCs/>
          <w:i/>
          <w:iCs/>
          <w:sz w:val="22"/>
          <w:szCs w:val="22"/>
          <w:lang w:val="es-CO" w:eastAsia="en-US"/>
        </w:rPr>
        <w:t xml:space="preserve">“Artículo 30: Constituyen fondos especiales en el orden Nacional, los ingresos definidos en la ley para la prestación de un servicio público específico, así como los pertenecientes a fondos sin personería jurídica creados por el legislador.” </w:t>
      </w:r>
    </w:p>
    <w:p w14:paraId="03C9262B" w14:textId="77777777" w:rsidR="000742BD" w:rsidRPr="000742BD" w:rsidRDefault="000742BD" w:rsidP="000742BD">
      <w:pPr>
        <w:jc w:val="both"/>
        <w:rPr>
          <w:rFonts w:ascii="Arial Narrow" w:eastAsia="Times New Roman" w:hAnsi="Arial Narrow" w:cs="Arial"/>
          <w:bCs/>
          <w:sz w:val="22"/>
          <w:szCs w:val="22"/>
          <w:lang w:val="es-CO" w:eastAsia="en-US"/>
        </w:rPr>
      </w:pPr>
    </w:p>
    <w:p w14:paraId="56CA0022"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De tal forma que los fondos especiales son una categoría presupuestal del ingreso establecida en el Estatuto Orgánico de Presupuesto para manejar los ingresos definidos en la ley para la prestación de servicios públicos.</w:t>
      </w:r>
    </w:p>
    <w:p w14:paraId="1E740141" w14:textId="77777777" w:rsidR="000742BD" w:rsidRPr="000742BD" w:rsidRDefault="000742BD" w:rsidP="000742BD">
      <w:pPr>
        <w:jc w:val="both"/>
        <w:rPr>
          <w:rFonts w:ascii="Arial Narrow" w:eastAsia="Times New Roman" w:hAnsi="Arial Narrow" w:cs="Arial"/>
          <w:bCs/>
          <w:sz w:val="22"/>
          <w:szCs w:val="22"/>
          <w:lang w:val="es-CO" w:eastAsia="en-US"/>
        </w:rPr>
      </w:pPr>
    </w:p>
    <w:p w14:paraId="6360D97A"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Atendiendo a lo señalado en el artículo 109 del Estatuto Orgánico de Presupuesto, las entidades territoriales pueden adoptar las categorías establecidas en el Decreto 111 de 1996 al interior de sus jurisdicciones, y de no hacerlo aplicarán el Estatuto Orgánico.</w:t>
      </w:r>
    </w:p>
    <w:p w14:paraId="1584065F" w14:textId="77777777" w:rsidR="000742BD" w:rsidRPr="000742BD" w:rsidRDefault="000742BD" w:rsidP="000742BD">
      <w:pPr>
        <w:jc w:val="both"/>
        <w:rPr>
          <w:rFonts w:ascii="Arial Narrow" w:eastAsia="Times New Roman" w:hAnsi="Arial Narrow" w:cs="Arial"/>
          <w:bCs/>
          <w:sz w:val="22"/>
          <w:szCs w:val="22"/>
          <w:lang w:val="es-CO" w:eastAsia="en-US"/>
        </w:rPr>
      </w:pPr>
    </w:p>
    <w:p w14:paraId="04F53751" w14:textId="77777777" w:rsidR="000742BD" w:rsidRPr="000742BD" w:rsidRDefault="000742BD" w:rsidP="000742BD">
      <w:pPr>
        <w:ind w:left="708"/>
        <w:jc w:val="both"/>
        <w:rPr>
          <w:rFonts w:ascii="Arial Narrow" w:eastAsia="Times New Roman" w:hAnsi="Arial Narrow" w:cs="Arial"/>
          <w:bCs/>
          <w:i/>
          <w:iCs/>
          <w:sz w:val="22"/>
          <w:szCs w:val="22"/>
          <w:lang w:val="es-CO" w:eastAsia="en-US"/>
        </w:rPr>
      </w:pPr>
      <w:r w:rsidRPr="000742BD">
        <w:rPr>
          <w:rFonts w:ascii="Arial Narrow" w:eastAsia="Times New Roman" w:hAnsi="Arial Narrow" w:cs="Arial"/>
          <w:bCs/>
          <w:i/>
          <w:iCs/>
          <w:sz w:val="22"/>
          <w:szCs w:val="22"/>
          <w:lang w:val="es-CO" w:eastAsia="en-US"/>
        </w:rPr>
        <w:t xml:space="preserve">“Artículo 109: Las entidades territoriales al expedir las normas orgánicas de presupuesto deberán seguir las disposiciones de la ley orgánica del presupuesto, adaptándolas a la organización, normas constitucionales y condiciones de cada entidad territorial. Mientras se expiden estas normas, se aplicará la ley orgánica del presupuesto en lo que fuere pertinente. […]”. </w:t>
      </w:r>
    </w:p>
    <w:p w14:paraId="4E57D8DF" w14:textId="77777777" w:rsidR="000742BD" w:rsidRPr="000742BD" w:rsidRDefault="000742BD" w:rsidP="000742BD">
      <w:pPr>
        <w:ind w:left="708"/>
        <w:jc w:val="both"/>
        <w:rPr>
          <w:rFonts w:ascii="Arial Narrow" w:eastAsia="Times New Roman" w:hAnsi="Arial Narrow" w:cs="Arial"/>
          <w:bCs/>
          <w:sz w:val="22"/>
          <w:szCs w:val="22"/>
          <w:lang w:val="es-CO" w:eastAsia="en-US"/>
        </w:rPr>
      </w:pPr>
    </w:p>
    <w:p w14:paraId="1B27B091" w14:textId="77777777" w:rsidR="000742BD" w:rsidRPr="000742BD" w:rsidRDefault="000742BD" w:rsidP="000742BD">
      <w:pPr>
        <w:ind w:left="708"/>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 xml:space="preserve">Dice el artículo 89 de la Ley 142 de 1994 que </w:t>
      </w:r>
      <w:r w:rsidRPr="000742BD">
        <w:rPr>
          <w:rFonts w:ascii="Arial Narrow" w:eastAsia="Times New Roman" w:hAnsi="Arial Narrow" w:cs="Arial"/>
          <w:bCs/>
          <w:i/>
          <w:iCs/>
          <w:sz w:val="22"/>
          <w:szCs w:val="22"/>
          <w:lang w:val="es-CO" w:eastAsia="en-US"/>
        </w:rPr>
        <w:t>“los concejos municipales están en la obligación de crear fondos de solidaridad y redistribución de ingresos, para que al presupuesto del municipio se incorporen las transferencias que a dichos fondos deberán hacer las empresas de servicios públicos, según el servicio de que se trate,</w:t>
      </w:r>
      <w:r w:rsidRPr="000742BD">
        <w:rPr>
          <w:rFonts w:ascii="Arial Narrow" w:eastAsia="Times New Roman" w:hAnsi="Arial Narrow" w:cs="Arial"/>
          <w:bCs/>
          <w:sz w:val="22"/>
          <w:szCs w:val="22"/>
          <w:lang w:val="es-CO" w:eastAsia="en-US"/>
        </w:rPr>
        <w:t xml:space="preserve"> […]”. El mismo artículo estableció que “</w:t>
      </w:r>
      <w:r w:rsidRPr="000742BD">
        <w:rPr>
          <w:rFonts w:ascii="Arial Narrow" w:eastAsia="Times New Roman" w:hAnsi="Arial Narrow" w:cs="Arial"/>
          <w:bCs/>
          <w:i/>
          <w:iCs/>
          <w:sz w:val="22"/>
          <w:szCs w:val="22"/>
          <w:lang w:val="es-CO" w:eastAsia="en-US"/>
        </w:rPr>
        <w:t>los recursos de dichos fondos serán destinados a dar subsidios a los usuarios de estratos 1, 2 y 3, como inversión social, […]”.</w:t>
      </w:r>
    </w:p>
    <w:p w14:paraId="5CAD5E13"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 xml:space="preserve"> </w:t>
      </w:r>
    </w:p>
    <w:p w14:paraId="01FEEFF9"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t>Los FSRI fueron creados por el legislador para que las empresas de Servicios Públicos Domiciliarios transfieran allí los superávits que generan del recaudo de aportes y la aplicación de los mismos a los subsidios otorgados por la entidad territorial a través de la liquidación de descuentos por subsidios a los estratos 1, 2 y 3 en las facturas que entrega cada uno de los prestadores. Adicionalmente, queda claro que los FSRI fueron creados para destinar los recursos que allí se reciben al pago de los subsidios otorgados a los usuarios de Servicios Públicos Domiciliarios. Adicionalmente, el artículo 2.3.4.1.2.4 del Decreto 1077 de 2015 obliga a los Municipios a llevar una contabilidad independiente y separada para cada FSRI.</w:t>
      </w:r>
    </w:p>
    <w:p w14:paraId="2C48DA9B" w14:textId="77777777" w:rsidR="000742BD" w:rsidRPr="000742BD" w:rsidRDefault="000742BD" w:rsidP="000742BD">
      <w:pPr>
        <w:jc w:val="both"/>
        <w:rPr>
          <w:rFonts w:ascii="Arial Narrow" w:eastAsia="Times New Roman" w:hAnsi="Arial Narrow" w:cs="Arial"/>
          <w:bCs/>
          <w:sz w:val="22"/>
          <w:szCs w:val="22"/>
          <w:lang w:val="es-CO" w:eastAsia="en-US"/>
        </w:rPr>
      </w:pPr>
    </w:p>
    <w:p w14:paraId="01F73A2A" w14:textId="77777777" w:rsidR="000742BD" w:rsidRPr="000742BD" w:rsidRDefault="000742BD" w:rsidP="000742BD">
      <w:pPr>
        <w:jc w:val="both"/>
        <w:rPr>
          <w:rFonts w:ascii="Arial Narrow" w:eastAsia="Times New Roman" w:hAnsi="Arial Narrow" w:cs="Arial"/>
          <w:bCs/>
          <w:sz w:val="22"/>
          <w:szCs w:val="22"/>
          <w:lang w:val="es-CO" w:eastAsia="en-US"/>
        </w:rPr>
      </w:pPr>
      <w:r w:rsidRPr="000742BD">
        <w:rPr>
          <w:rFonts w:ascii="Arial Narrow" w:eastAsia="Times New Roman" w:hAnsi="Arial Narrow" w:cs="Arial"/>
          <w:bCs/>
          <w:sz w:val="22"/>
          <w:szCs w:val="22"/>
          <w:lang w:val="es-CO" w:eastAsia="en-US"/>
        </w:rPr>
        <w:lastRenderedPageBreak/>
        <w:t>El artículo 89 de la Ley de Servicios Públicos Domiciliarios - LSPD estableció el factor como un porcentaje adicional al cobro del servicio para los usuarios de inmuebles de estratos 5 y 6 y los de inmuebles de usos industrial y comercial. Posteriormente, en el numeral seis, el mismo artículo estableció que estos recursos asignados a los FSRI son públicos, por lo tanto, los agentes recaudadores estarán sujetos a las normas del Estatuto Tributario que regulan las declaraciones y sanciones para los contribuyentes.</w:t>
      </w:r>
    </w:p>
    <w:p w14:paraId="047F1D2D" w14:textId="77777777" w:rsidR="000742BD" w:rsidRPr="000742BD" w:rsidRDefault="000742BD" w:rsidP="000742BD">
      <w:pPr>
        <w:jc w:val="both"/>
        <w:rPr>
          <w:rFonts w:ascii="Arial Narrow" w:hAnsi="Arial Narrow" w:cs="Arial"/>
          <w:sz w:val="22"/>
          <w:szCs w:val="22"/>
          <w:lang w:val="es-CO" w:eastAsia="en-US"/>
        </w:rPr>
      </w:pPr>
    </w:p>
    <w:p w14:paraId="1B8EF881"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Mediante acuerdo N° 037 del 21 de octubre de 2009, el Concejo Municipal de Soacha, creó el Fondo de Solidaridad y Redistribución del Ingreso (FSRI) para los servicios de acueducto, alcantarillado y aseo, según lo establecido en la Ley 142 artículo 89.</w:t>
      </w:r>
    </w:p>
    <w:p w14:paraId="56E03D53" w14:textId="77777777" w:rsidR="000742BD" w:rsidRPr="000742BD" w:rsidRDefault="000742BD" w:rsidP="000742BD">
      <w:pPr>
        <w:jc w:val="both"/>
        <w:rPr>
          <w:rFonts w:ascii="Arial Narrow" w:hAnsi="Arial Narrow" w:cs="Arial"/>
          <w:bCs/>
          <w:sz w:val="22"/>
          <w:szCs w:val="22"/>
          <w:lang w:val="es-CO" w:eastAsia="en-US"/>
        </w:rPr>
      </w:pPr>
    </w:p>
    <w:p w14:paraId="739D8D40"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Dando cumplimiento a lo establecido en el artículo 99 de la ley 142 de 1994, el Municipio suscribió convenios con las empresas prestadoras por una vigencia de 5 años, para la transferencia de recursos del fondo de solidaridad y redistribución del ingreso (FSRI), una de las cualidades de estos, es que no tienen determinado un valor, teniendo en cuenta que las empresas prestadoras deben realizar anualmente las proyecciones del déficit, como lo establece el Decreto 1013 del 04 de abril de 2005, en su artículo 2° y con base a ello el municipio realiza la apropiación para la siguiente vigencia fiscal.</w:t>
      </w:r>
    </w:p>
    <w:p w14:paraId="7E40CE93" w14:textId="77777777" w:rsidR="000742BD" w:rsidRPr="000742BD" w:rsidRDefault="000742BD" w:rsidP="000742BD">
      <w:pPr>
        <w:jc w:val="both"/>
        <w:rPr>
          <w:rFonts w:ascii="Arial Narrow" w:hAnsi="Arial Narrow" w:cs="Arial"/>
          <w:bCs/>
          <w:sz w:val="22"/>
          <w:szCs w:val="22"/>
          <w:lang w:val="es-CO" w:eastAsia="en-US"/>
        </w:rPr>
      </w:pPr>
    </w:p>
    <w:p w14:paraId="1741E733"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Los convenios son suscritos con los siguientes prestadores:</w:t>
      </w:r>
    </w:p>
    <w:p w14:paraId="564F4480" w14:textId="77777777" w:rsidR="000742BD" w:rsidRPr="000742BD" w:rsidRDefault="000742BD" w:rsidP="000742BD">
      <w:pPr>
        <w:jc w:val="both"/>
        <w:rPr>
          <w:rFonts w:ascii="Arial Narrow" w:hAnsi="Arial Narrow" w:cs="Arial"/>
          <w:bCs/>
          <w:sz w:val="22"/>
          <w:szCs w:val="22"/>
          <w:lang w:val="es-CO" w:eastAsia="en-US"/>
        </w:rPr>
      </w:pPr>
    </w:p>
    <w:p w14:paraId="3A03CC73"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Asociación de suscriptores de servicio de acueducto aguas de Chacua</w:t>
      </w:r>
    </w:p>
    <w:p w14:paraId="3EC72B79"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Asociación de afiliados acueducto regional veredas y sectores de los municipios de Sibaté Soacha y granada AGUASISO</w:t>
      </w:r>
    </w:p>
    <w:p w14:paraId="79DB96AC"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Empresa de acueducto y alcantarillado el rincón SA ESP EMAR SA</w:t>
      </w:r>
    </w:p>
    <w:p w14:paraId="78303CE4"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Empresa de acueducto y alcantarillado santa Ana ESP SA</w:t>
      </w:r>
    </w:p>
    <w:p w14:paraId="6D9CF322"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Aseo internacional SA ESP</w:t>
      </w:r>
    </w:p>
    <w:p w14:paraId="39284661"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Empresa de Acueducto Alcantarillado de Bogotá ESP.</w:t>
      </w:r>
    </w:p>
    <w:p w14:paraId="5920C7C9" w14:textId="77777777" w:rsidR="000742BD" w:rsidRPr="000742BD" w:rsidRDefault="000742BD" w:rsidP="000742BD">
      <w:pPr>
        <w:jc w:val="both"/>
        <w:rPr>
          <w:rFonts w:ascii="Arial Narrow" w:hAnsi="Arial Narrow" w:cs="Arial"/>
          <w:bCs/>
          <w:sz w:val="22"/>
          <w:szCs w:val="22"/>
          <w:lang w:val="es-CO" w:eastAsia="en-US"/>
        </w:rPr>
      </w:pPr>
    </w:p>
    <w:p w14:paraId="599D4DF9"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 xml:space="preserve">De acuerdo con el informe de gestión de la anualidad 2020 </w:t>
      </w:r>
      <w:r w:rsidRPr="000742BD">
        <w:rPr>
          <w:rFonts w:ascii="Arial Narrow" w:hAnsi="Arial Narrow"/>
          <w:bCs/>
          <w:sz w:val="22"/>
          <w:szCs w:val="22"/>
          <w:vertAlign w:val="superscript"/>
          <w:lang w:val="es-CO" w:eastAsia="en-US"/>
        </w:rPr>
        <w:footnoteReference w:id="12"/>
      </w:r>
      <w:r w:rsidRPr="000742BD">
        <w:rPr>
          <w:rFonts w:ascii="Arial Narrow" w:hAnsi="Arial Narrow" w:cs="Arial"/>
          <w:bCs/>
          <w:sz w:val="22"/>
          <w:szCs w:val="22"/>
          <w:lang w:val="es-CO" w:eastAsia="en-US"/>
        </w:rPr>
        <w:t xml:space="preserve"> el pago de subsidios a través del FSRI para los servicios de AAA, se efectuó de la siguiente manera:</w:t>
      </w:r>
    </w:p>
    <w:p w14:paraId="02C52F24" w14:textId="77777777" w:rsidR="000742BD" w:rsidRPr="000742BD" w:rsidRDefault="000742BD" w:rsidP="000742BD">
      <w:pPr>
        <w:jc w:val="both"/>
        <w:rPr>
          <w:noProof/>
        </w:rPr>
      </w:pPr>
    </w:p>
    <w:p w14:paraId="61AE17D9" w14:textId="77777777" w:rsidR="000742BD" w:rsidRPr="000742BD" w:rsidRDefault="000742BD" w:rsidP="000742BD">
      <w:pPr>
        <w:jc w:val="center"/>
        <w:rPr>
          <w:rFonts w:ascii="Arial Narrow" w:hAnsi="Arial Narrow" w:cs="Arial"/>
          <w:b/>
          <w:sz w:val="22"/>
          <w:szCs w:val="22"/>
          <w:lang w:val="es-CO" w:eastAsia="en-US"/>
        </w:rPr>
      </w:pPr>
      <w:r w:rsidRPr="000742BD">
        <w:rPr>
          <w:noProof/>
          <w:lang w:val="es-CO" w:eastAsia="es-CO"/>
        </w:rPr>
        <w:drawing>
          <wp:inline distT="0" distB="0" distL="0" distR="0" wp14:anchorId="4591A71F" wp14:editId="7FC52381">
            <wp:extent cx="3295650" cy="723900"/>
            <wp:effectExtent l="0" t="0" r="0" b="0"/>
            <wp:docPr id="5" name="Imagen 5" descr="Interfaz de usuario gráfica, Texto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nterfaz de usuario gráfica, Texto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l="47691" t="48277" r="32959" b="43271"/>
                    <a:stretch>
                      <a:fillRect/>
                    </a:stretch>
                  </pic:blipFill>
                  <pic:spPr bwMode="auto">
                    <a:xfrm>
                      <a:off x="0" y="0"/>
                      <a:ext cx="3295650" cy="723900"/>
                    </a:xfrm>
                    <a:prstGeom prst="rect">
                      <a:avLst/>
                    </a:prstGeom>
                    <a:noFill/>
                    <a:ln>
                      <a:noFill/>
                    </a:ln>
                  </pic:spPr>
                </pic:pic>
              </a:graphicData>
            </a:graphic>
          </wp:inline>
        </w:drawing>
      </w:r>
    </w:p>
    <w:p w14:paraId="6ED5BA45" w14:textId="77777777" w:rsidR="000742BD" w:rsidRPr="000742BD" w:rsidRDefault="000742BD" w:rsidP="000742BD">
      <w:pPr>
        <w:jc w:val="both"/>
        <w:rPr>
          <w:rFonts w:ascii="Arial Narrow" w:hAnsi="Arial Narrow" w:cs="Arial"/>
          <w:bCs/>
          <w:sz w:val="22"/>
          <w:szCs w:val="22"/>
          <w:lang w:val="es-CO" w:eastAsia="en-US"/>
        </w:rPr>
      </w:pPr>
    </w:p>
    <w:p w14:paraId="1857E321" w14:textId="77777777" w:rsidR="000742BD" w:rsidRPr="000742BD" w:rsidRDefault="000742BD" w:rsidP="000742BD">
      <w:pPr>
        <w:jc w:val="both"/>
        <w:rPr>
          <w:rFonts w:ascii="Arial Narrow" w:hAnsi="Arial Narrow" w:cs="Arial"/>
          <w:bCs/>
          <w:sz w:val="22"/>
          <w:szCs w:val="22"/>
          <w:lang w:val="es-CO" w:eastAsia="en-US"/>
        </w:rPr>
      </w:pPr>
    </w:p>
    <w:p w14:paraId="7EB1186A"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 xml:space="preserve">El Municipio lleva contabilidad y presupuesto del Fondo de Solidaridad y Redistribución del Ingreso. </w:t>
      </w:r>
    </w:p>
    <w:p w14:paraId="6B0299E2"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De acuerdo con la contabilidad del Fondo, los saldos iniciales de las vigencias 2019 y 2020 fueron de $1.087 millones y $1.068 millones, respectivamente.</w:t>
      </w:r>
    </w:p>
    <w:p w14:paraId="5DD66B36"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En la vigencia 2019 tuvo giros por $5.564 millones, Superávit de $39 millones y rendimientos por $11 millones. Las actas parciales representaron desembolsos por $5.634 millones dejando para esa vigencia un saldo final de $1.068 millones.</w:t>
      </w:r>
    </w:p>
    <w:p w14:paraId="05DBD70E" w14:textId="77777777" w:rsidR="000742BD" w:rsidRPr="000742BD" w:rsidRDefault="000742BD" w:rsidP="000742BD">
      <w:pPr>
        <w:jc w:val="both"/>
        <w:rPr>
          <w:rFonts w:ascii="Arial Narrow" w:hAnsi="Arial Narrow" w:cs="Arial"/>
          <w:bCs/>
          <w:sz w:val="22"/>
          <w:szCs w:val="22"/>
          <w:lang w:val="es-CO" w:eastAsia="en-US"/>
        </w:rPr>
      </w:pPr>
    </w:p>
    <w:p w14:paraId="5DD5DECB"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lastRenderedPageBreak/>
        <w:t>Con este saldo empezó la vigencia 2020 y obtuvo rendimientos por $2 millones, al primer trimestre de 2020.</w:t>
      </w:r>
    </w:p>
    <w:p w14:paraId="70D1001D"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A nivel presupuestal se identifica en la cuenta 1110060222.</w:t>
      </w:r>
    </w:p>
    <w:p w14:paraId="1CFE47BB" w14:textId="77777777" w:rsidR="000742BD" w:rsidRPr="000742BD" w:rsidRDefault="000742BD" w:rsidP="000742BD">
      <w:pPr>
        <w:jc w:val="both"/>
        <w:rPr>
          <w:rFonts w:ascii="Arial Narrow" w:hAnsi="Arial Narrow" w:cs="Arial"/>
          <w:b/>
          <w:sz w:val="22"/>
          <w:szCs w:val="22"/>
          <w:lang w:val="es-CO" w:eastAsia="en-US"/>
        </w:rPr>
      </w:pPr>
    </w:p>
    <w:p w14:paraId="621299B0" w14:textId="77777777" w:rsidR="000742BD" w:rsidRPr="000742BD" w:rsidRDefault="000742BD" w:rsidP="000742BD">
      <w:pPr>
        <w:jc w:val="both"/>
        <w:rPr>
          <w:rFonts w:ascii="Arial Narrow" w:hAnsi="Arial Narrow" w:cs="Arial"/>
          <w:b/>
          <w:sz w:val="22"/>
          <w:szCs w:val="22"/>
          <w:lang w:val="es-CO" w:eastAsia="en-US"/>
        </w:rPr>
      </w:pPr>
    </w:p>
    <w:p w14:paraId="7E9EDD16" w14:textId="77777777" w:rsidR="000742BD" w:rsidRPr="000742BD" w:rsidRDefault="000742BD" w:rsidP="000742BD">
      <w:pPr>
        <w:numPr>
          <w:ilvl w:val="0"/>
          <w:numId w:val="22"/>
        </w:numPr>
        <w:contextualSpacing/>
        <w:jc w:val="both"/>
        <w:rPr>
          <w:rFonts w:ascii="Arial Narrow" w:hAnsi="Arial Narrow" w:cs="Arial"/>
          <w:b/>
          <w:sz w:val="22"/>
          <w:szCs w:val="22"/>
          <w:lang w:val="es-CO" w:eastAsia="en-US"/>
        </w:rPr>
      </w:pPr>
      <w:bookmarkStart w:id="2" w:name="_Hlk97211294"/>
      <w:r w:rsidRPr="000742BD">
        <w:rPr>
          <w:rFonts w:ascii="Arial Narrow" w:hAnsi="Arial Narrow" w:cs="Arial"/>
          <w:b/>
          <w:sz w:val="22"/>
          <w:szCs w:val="22"/>
          <w:lang w:val="es-CO" w:eastAsia="en-US"/>
        </w:rPr>
        <w:t>SUBSIDIOS Y CONTRIBUCIONES.</w:t>
      </w:r>
    </w:p>
    <w:p w14:paraId="2F948144" w14:textId="77777777" w:rsidR="000742BD" w:rsidRPr="000742BD" w:rsidRDefault="000742BD" w:rsidP="000742BD">
      <w:pPr>
        <w:jc w:val="both"/>
        <w:rPr>
          <w:rFonts w:ascii="Arial Narrow" w:hAnsi="Arial Narrow" w:cs="Arial"/>
          <w:bCs/>
          <w:sz w:val="22"/>
          <w:szCs w:val="22"/>
          <w:lang w:val="es-CO" w:eastAsia="en-US"/>
        </w:rPr>
      </w:pPr>
    </w:p>
    <w:p w14:paraId="6F2FD34F"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Con la expedición del Acuerdo Municipal 21 de 2018, se establecieron los factores de subsidios y contribuciones para aplicar en los servicios públicos domiciliarios de acueducto, alcantarillado y aseo en el Municipio de Soacha, quedando por 5 años, o sea hasta el 2.023 los siguientes porcentajes:</w:t>
      </w:r>
    </w:p>
    <w:p w14:paraId="18CA7417" w14:textId="77777777" w:rsidR="000742BD" w:rsidRPr="000742BD" w:rsidRDefault="000742BD" w:rsidP="000742BD">
      <w:pPr>
        <w:jc w:val="both"/>
        <w:rPr>
          <w:rFonts w:ascii="Arial Narrow" w:hAnsi="Arial Narrow" w:cs="Arial"/>
          <w:bCs/>
          <w:sz w:val="22"/>
          <w:szCs w:val="22"/>
          <w:lang w:val="es-CO" w:eastAsia="en-US"/>
        </w:rPr>
      </w:pPr>
    </w:p>
    <w:tbl>
      <w:tblPr>
        <w:tblStyle w:val="Tablaconcuadrcula"/>
        <w:tblW w:w="0" w:type="auto"/>
        <w:jc w:val="center"/>
        <w:tblLayout w:type="fixed"/>
        <w:tblLook w:val="04A0" w:firstRow="1" w:lastRow="0" w:firstColumn="1" w:lastColumn="0" w:noHBand="0" w:noVBand="1"/>
      </w:tblPr>
      <w:tblGrid>
        <w:gridCol w:w="1129"/>
        <w:gridCol w:w="1159"/>
        <w:gridCol w:w="1109"/>
        <w:gridCol w:w="1159"/>
        <w:gridCol w:w="1109"/>
        <w:gridCol w:w="1159"/>
      </w:tblGrid>
      <w:tr w:rsidR="000742BD" w:rsidRPr="000742BD" w14:paraId="32F5EB1E" w14:textId="77777777" w:rsidTr="000742BD">
        <w:trPr>
          <w:jc w:val="center"/>
        </w:trPr>
        <w:tc>
          <w:tcPr>
            <w:tcW w:w="1129" w:type="dxa"/>
            <w:vMerge w:val="restart"/>
          </w:tcPr>
          <w:p w14:paraId="29D44988" w14:textId="77777777" w:rsidR="000742BD" w:rsidRPr="000742BD" w:rsidRDefault="000742BD" w:rsidP="000742BD">
            <w:pPr>
              <w:tabs>
                <w:tab w:val="center" w:pos="4419"/>
                <w:tab w:val="right" w:pos="8838"/>
              </w:tabs>
              <w:jc w:val="center"/>
              <w:rPr>
                <w:rFonts w:ascii="Arial Narrow" w:hAnsi="Arial Narrow" w:cs="Arial"/>
                <w:b/>
                <w:sz w:val="22"/>
                <w:szCs w:val="22"/>
                <w:lang w:val="es-CO" w:eastAsia="en-US"/>
              </w:rPr>
            </w:pPr>
            <w:r w:rsidRPr="000742BD">
              <w:rPr>
                <w:rFonts w:ascii="Arial Narrow" w:hAnsi="Arial Narrow" w:cs="Arial"/>
                <w:b/>
                <w:sz w:val="22"/>
                <w:szCs w:val="22"/>
                <w:lang w:val="es-CO" w:eastAsia="en-US"/>
              </w:rPr>
              <w:t>Estrato</w:t>
            </w:r>
          </w:p>
        </w:tc>
        <w:tc>
          <w:tcPr>
            <w:tcW w:w="2268" w:type="dxa"/>
            <w:gridSpan w:val="2"/>
          </w:tcPr>
          <w:p w14:paraId="5015C291" w14:textId="77777777" w:rsidR="000742BD" w:rsidRPr="000742BD" w:rsidRDefault="000742BD" w:rsidP="000742BD">
            <w:pPr>
              <w:tabs>
                <w:tab w:val="center" w:pos="4419"/>
                <w:tab w:val="right" w:pos="8838"/>
              </w:tabs>
              <w:jc w:val="center"/>
              <w:rPr>
                <w:rFonts w:ascii="Arial Narrow" w:hAnsi="Arial Narrow" w:cs="Arial"/>
                <w:b/>
                <w:sz w:val="22"/>
                <w:szCs w:val="22"/>
                <w:lang w:val="es-CO" w:eastAsia="en-US"/>
              </w:rPr>
            </w:pPr>
            <w:r w:rsidRPr="000742BD">
              <w:rPr>
                <w:rFonts w:ascii="Arial Narrow" w:hAnsi="Arial Narrow" w:cs="Arial"/>
                <w:b/>
                <w:sz w:val="22"/>
                <w:szCs w:val="22"/>
                <w:lang w:val="es-CO" w:eastAsia="en-US"/>
              </w:rPr>
              <w:t>Acueducto</w:t>
            </w:r>
          </w:p>
        </w:tc>
        <w:tc>
          <w:tcPr>
            <w:tcW w:w="2268" w:type="dxa"/>
            <w:gridSpan w:val="2"/>
          </w:tcPr>
          <w:p w14:paraId="6DD61E8C" w14:textId="77777777" w:rsidR="000742BD" w:rsidRPr="000742BD" w:rsidRDefault="000742BD" w:rsidP="000742BD">
            <w:pPr>
              <w:tabs>
                <w:tab w:val="center" w:pos="4419"/>
                <w:tab w:val="right" w:pos="8838"/>
              </w:tabs>
              <w:jc w:val="center"/>
              <w:rPr>
                <w:rFonts w:ascii="Arial Narrow" w:hAnsi="Arial Narrow" w:cs="Arial"/>
                <w:b/>
                <w:sz w:val="22"/>
                <w:szCs w:val="22"/>
                <w:lang w:val="es-CO" w:eastAsia="en-US"/>
              </w:rPr>
            </w:pPr>
            <w:r w:rsidRPr="000742BD">
              <w:rPr>
                <w:rFonts w:ascii="Arial Narrow" w:hAnsi="Arial Narrow" w:cs="Arial"/>
                <w:b/>
                <w:sz w:val="22"/>
                <w:szCs w:val="22"/>
                <w:lang w:val="es-CO" w:eastAsia="en-US"/>
              </w:rPr>
              <w:t>Alcantarillado</w:t>
            </w:r>
          </w:p>
        </w:tc>
        <w:tc>
          <w:tcPr>
            <w:tcW w:w="1159" w:type="dxa"/>
          </w:tcPr>
          <w:p w14:paraId="4A5ED3F3" w14:textId="77777777" w:rsidR="000742BD" w:rsidRPr="000742BD" w:rsidRDefault="000742BD" w:rsidP="000742BD">
            <w:pPr>
              <w:tabs>
                <w:tab w:val="center" w:pos="4419"/>
                <w:tab w:val="right" w:pos="8838"/>
              </w:tabs>
              <w:jc w:val="center"/>
              <w:rPr>
                <w:rFonts w:ascii="Arial Narrow" w:hAnsi="Arial Narrow" w:cs="Arial"/>
                <w:b/>
                <w:sz w:val="22"/>
                <w:szCs w:val="22"/>
                <w:lang w:val="es-CO" w:eastAsia="en-US"/>
              </w:rPr>
            </w:pPr>
            <w:r w:rsidRPr="000742BD">
              <w:rPr>
                <w:rFonts w:ascii="Arial Narrow" w:hAnsi="Arial Narrow" w:cs="Arial"/>
                <w:b/>
                <w:sz w:val="22"/>
                <w:szCs w:val="22"/>
                <w:lang w:val="es-CO" w:eastAsia="en-US"/>
              </w:rPr>
              <w:t>Aseo</w:t>
            </w:r>
          </w:p>
        </w:tc>
      </w:tr>
      <w:tr w:rsidR="000742BD" w:rsidRPr="000742BD" w14:paraId="48B0789C" w14:textId="77777777" w:rsidTr="000742BD">
        <w:trPr>
          <w:jc w:val="center"/>
        </w:trPr>
        <w:tc>
          <w:tcPr>
            <w:tcW w:w="1129" w:type="dxa"/>
            <w:vMerge/>
          </w:tcPr>
          <w:p w14:paraId="1F49AF93" w14:textId="77777777" w:rsidR="000742BD" w:rsidRPr="000742BD" w:rsidRDefault="000742BD" w:rsidP="000742BD">
            <w:pPr>
              <w:tabs>
                <w:tab w:val="center" w:pos="4419"/>
                <w:tab w:val="right" w:pos="8838"/>
              </w:tabs>
              <w:jc w:val="both"/>
              <w:rPr>
                <w:rFonts w:ascii="Arial Narrow" w:hAnsi="Arial Narrow" w:cs="Arial"/>
                <w:bCs/>
                <w:sz w:val="22"/>
                <w:szCs w:val="22"/>
                <w:lang w:val="es-CO" w:eastAsia="en-US"/>
              </w:rPr>
            </w:pPr>
          </w:p>
        </w:tc>
        <w:tc>
          <w:tcPr>
            <w:tcW w:w="1159" w:type="dxa"/>
          </w:tcPr>
          <w:p w14:paraId="68E14D6D" w14:textId="77777777" w:rsidR="000742BD" w:rsidRPr="000742BD" w:rsidRDefault="000742BD" w:rsidP="000742BD">
            <w:pPr>
              <w:tabs>
                <w:tab w:val="center" w:pos="4419"/>
                <w:tab w:val="right" w:pos="8838"/>
              </w:tabs>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Cargo fijo</w:t>
            </w:r>
          </w:p>
        </w:tc>
        <w:tc>
          <w:tcPr>
            <w:tcW w:w="1109" w:type="dxa"/>
          </w:tcPr>
          <w:p w14:paraId="26644330" w14:textId="77777777" w:rsidR="000742BD" w:rsidRPr="000742BD" w:rsidRDefault="000742BD" w:rsidP="000742BD">
            <w:pPr>
              <w:tabs>
                <w:tab w:val="center" w:pos="4419"/>
                <w:tab w:val="right" w:pos="8838"/>
              </w:tabs>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Consumo Básico</w:t>
            </w:r>
          </w:p>
        </w:tc>
        <w:tc>
          <w:tcPr>
            <w:tcW w:w="1159" w:type="dxa"/>
          </w:tcPr>
          <w:p w14:paraId="6F725430" w14:textId="77777777" w:rsidR="000742BD" w:rsidRPr="000742BD" w:rsidRDefault="000742BD" w:rsidP="000742BD">
            <w:pPr>
              <w:tabs>
                <w:tab w:val="center" w:pos="4419"/>
                <w:tab w:val="right" w:pos="8838"/>
              </w:tabs>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Cargo fijo</w:t>
            </w:r>
          </w:p>
        </w:tc>
        <w:tc>
          <w:tcPr>
            <w:tcW w:w="1109" w:type="dxa"/>
          </w:tcPr>
          <w:p w14:paraId="1014A7C8" w14:textId="77777777" w:rsidR="000742BD" w:rsidRPr="000742BD" w:rsidRDefault="000742BD" w:rsidP="000742BD">
            <w:pPr>
              <w:tabs>
                <w:tab w:val="center" w:pos="4419"/>
                <w:tab w:val="right" w:pos="8838"/>
              </w:tabs>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Consumo Básico</w:t>
            </w:r>
          </w:p>
        </w:tc>
        <w:tc>
          <w:tcPr>
            <w:tcW w:w="1159" w:type="dxa"/>
          </w:tcPr>
          <w:p w14:paraId="03755E54" w14:textId="77777777" w:rsidR="000742BD" w:rsidRPr="000742BD" w:rsidRDefault="000742BD" w:rsidP="000742BD">
            <w:pPr>
              <w:tabs>
                <w:tab w:val="center" w:pos="4419"/>
                <w:tab w:val="right" w:pos="8838"/>
              </w:tabs>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Cargo fijo</w:t>
            </w:r>
          </w:p>
        </w:tc>
      </w:tr>
      <w:tr w:rsidR="000742BD" w:rsidRPr="000742BD" w14:paraId="28036D67" w14:textId="77777777" w:rsidTr="000742BD">
        <w:trPr>
          <w:jc w:val="center"/>
        </w:trPr>
        <w:tc>
          <w:tcPr>
            <w:tcW w:w="1129" w:type="dxa"/>
          </w:tcPr>
          <w:p w14:paraId="350FC613"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1</w:t>
            </w:r>
          </w:p>
        </w:tc>
        <w:tc>
          <w:tcPr>
            <w:tcW w:w="1159" w:type="dxa"/>
          </w:tcPr>
          <w:p w14:paraId="392E92BB"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70%</w:t>
            </w:r>
          </w:p>
        </w:tc>
        <w:tc>
          <w:tcPr>
            <w:tcW w:w="1109" w:type="dxa"/>
          </w:tcPr>
          <w:p w14:paraId="4ABFE2E1"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60.45%</w:t>
            </w:r>
          </w:p>
        </w:tc>
        <w:tc>
          <w:tcPr>
            <w:tcW w:w="1159" w:type="dxa"/>
          </w:tcPr>
          <w:p w14:paraId="3E6FAE80"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70%</w:t>
            </w:r>
          </w:p>
        </w:tc>
        <w:tc>
          <w:tcPr>
            <w:tcW w:w="1109" w:type="dxa"/>
          </w:tcPr>
          <w:p w14:paraId="5D863964"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66.06%</w:t>
            </w:r>
          </w:p>
        </w:tc>
        <w:tc>
          <w:tcPr>
            <w:tcW w:w="1159" w:type="dxa"/>
          </w:tcPr>
          <w:p w14:paraId="0154A9D1"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17%</w:t>
            </w:r>
          </w:p>
        </w:tc>
      </w:tr>
      <w:tr w:rsidR="000742BD" w:rsidRPr="000742BD" w14:paraId="44AE8BC3" w14:textId="77777777" w:rsidTr="000742BD">
        <w:trPr>
          <w:jc w:val="center"/>
        </w:trPr>
        <w:tc>
          <w:tcPr>
            <w:tcW w:w="1129" w:type="dxa"/>
          </w:tcPr>
          <w:p w14:paraId="2688BDEB"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2</w:t>
            </w:r>
          </w:p>
        </w:tc>
        <w:tc>
          <w:tcPr>
            <w:tcW w:w="1159" w:type="dxa"/>
          </w:tcPr>
          <w:p w14:paraId="66EAB9DF"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40%</w:t>
            </w:r>
          </w:p>
        </w:tc>
        <w:tc>
          <w:tcPr>
            <w:tcW w:w="1109" w:type="dxa"/>
          </w:tcPr>
          <w:p w14:paraId="55E98BDF"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17.80%</w:t>
            </w:r>
          </w:p>
        </w:tc>
        <w:tc>
          <w:tcPr>
            <w:tcW w:w="1159" w:type="dxa"/>
          </w:tcPr>
          <w:p w14:paraId="7BA7C2B9"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40%</w:t>
            </w:r>
          </w:p>
        </w:tc>
        <w:tc>
          <w:tcPr>
            <w:tcW w:w="1109" w:type="dxa"/>
          </w:tcPr>
          <w:p w14:paraId="6DE635CE"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31.55%</w:t>
            </w:r>
          </w:p>
        </w:tc>
        <w:tc>
          <w:tcPr>
            <w:tcW w:w="1159" w:type="dxa"/>
          </w:tcPr>
          <w:p w14:paraId="33AB10C1" w14:textId="77777777" w:rsidR="000742BD" w:rsidRPr="000742BD" w:rsidRDefault="00C43727" w:rsidP="000742BD">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 xml:space="preserve">- </w:t>
            </w:r>
            <w:r w:rsidR="000742BD" w:rsidRPr="000742BD">
              <w:rPr>
                <w:rFonts w:ascii="Arial Narrow" w:hAnsi="Arial Narrow" w:cs="Arial"/>
                <w:bCs/>
                <w:sz w:val="22"/>
                <w:szCs w:val="22"/>
                <w:lang w:val="es-CO" w:eastAsia="en-US"/>
              </w:rPr>
              <w:t>13%</w:t>
            </w:r>
          </w:p>
        </w:tc>
      </w:tr>
      <w:tr w:rsidR="000742BD" w:rsidRPr="000742BD" w14:paraId="10D5C041" w14:textId="77777777" w:rsidTr="000742BD">
        <w:trPr>
          <w:jc w:val="center"/>
        </w:trPr>
        <w:tc>
          <w:tcPr>
            <w:tcW w:w="1129" w:type="dxa"/>
          </w:tcPr>
          <w:p w14:paraId="773494E6"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3</w:t>
            </w:r>
          </w:p>
        </w:tc>
        <w:tc>
          <w:tcPr>
            <w:tcW w:w="1159" w:type="dxa"/>
          </w:tcPr>
          <w:p w14:paraId="37412C53"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09" w:type="dxa"/>
          </w:tcPr>
          <w:p w14:paraId="5A4E2DDD"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59" w:type="dxa"/>
          </w:tcPr>
          <w:p w14:paraId="04425C98"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09" w:type="dxa"/>
          </w:tcPr>
          <w:p w14:paraId="00E6D684"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59" w:type="dxa"/>
          </w:tcPr>
          <w:p w14:paraId="32C02845" w14:textId="77777777" w:rsidR="000742BD" w:rsidRPr="009B0744" w:rsidRDefault="00C43727">
            <w:pPr>
              <w:tabs>
                <w:tab w:val="center" w:pos="4419"/>
                <w:tab w:val="right" w:pos="8838"/>
              </w:tabs>
              <w:jc w:val="center"/>
              <w:rPr>
                <w:rFonts w:ascii="Arial Narrow" w:hAnsi="Arial Narrow" w:cs="Arial"/>
                <w:bCs/>
                <w:sz w:val="22"/>
                <w:szCs w:val="22"/>
                <w:lang w:val="es-CO" w:eastAsia="en-US"/>
              </w:rPr>
            </w:pPr>
            <w:r>
              <w:rPr>
                <w:rFonts w:ascii="Arial Narrow" w:hAnsi="Arial Narrow" w:cs="Arial"/>
                <w:bCs/>
                <w:sz w:val="22"/>
                <w:szCs w:val="22"/>
                <w:lang w:val="es-CO" w:eastAsia="en-US"/>
              </w:rPr>
              <w:t>-</w:t>
            </w:r>
            <w:r w:rsidR="000742BD" w:rsidRPr="009B0744">
              <w:rPr>
                <w:rFonts w:ascii="Arial Narrow" w:hAnsi="Arial Narrow" w:cs="Arial"/>
                <w:bCs/>
                <w:sz w:val="22"/>
                <w:szCs w:val="22"/>
                <w:lang w:val="es-CO" w:eastAsia="en-US"/>
              </w:rPr>
              <w:t>4%</w:t>
            </w:r>
          </w:p>
        </w:tc>
      </w:tr>
      <w:tr w:rsidR="000742BD" w:rsidRPr="000742BD" w14:paraId="5E6D7D88" w14:textId="77777777" w:rsidTr="000742BD">
        <w:trPr>
          <w:jc w:val="center"/>
        </w:trPr>
        <w:tc>
          <w:tcPr>
            <w:tcW w:w="1129" w:type="dxa"/>
          </w:tcPr>
          <w:p w14:paraId="733D2CC7"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4</w:t>
            </w:r>
          </w:p>
        </w:tc>
        <w:tc>
          <w:tcPr>
            <w:tcW w:w="1159" w:type="dxa"/>
          </w:tcPr>
          <w:p w14:paraId="0CEBC878"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09" w:type="dxa"/>
          </w:tcPr>
          <w:p w14:paraId="4C764A5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59" w:type="dxa"/>
          </w:tcPr>
          <w:p w14:paraId="710E7532"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09" w:type="dxa"/>
          </w:tcPr>
          <w:p w14:paraId="52B2E298"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c>
          <w:tcPr>
            <w:tcW w:w="1159" w:type="dxa"/>
          </w:tcPr>
          <w:p w14:paraId="33ABBC8F"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0%</w:t>
            </w:r>
          </w:p>
        </w:tc>
      </w:tr>
      <w:tr w:rsidR="000742BD" w:rsidRPr="000742BD" w14:paraId="135BE4C3" w14:textId="77777777" w:rsidTr="000742BD">
        <w:trPr>
          <w:jc w:val="center"/>
        </w:trPr>
        <w:tc>
          <w:tcPr>
            <w:tcW w:w="1129" w:type="dxa"/>
          </w:tcPr>
          <w:p w14:paraId="2975C477"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w:t>
            </w:r>
          </w:p>
        </w:tc>
        <w:tc>
          <w:tcPr>
            <w:tcW w:w="1159" w:type="dxa"/>
          </w:tcPr>
          <w:p w14:paraId="25FEDEF3"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124%</w:t>
            </w:r>
          </w:p>
        </w:tc>
        <w:tc>
          <w:tcPr>
            <w:tcW w:w="1109" w:type="dxa"/>
          </w:tcPr>
          <w:p w14:paraId="3DBBE253"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82%</w:t>
            </w:r>
          </w:p>
        </w:tc>
        <w:tc>
          <w:tcPr>
            <w:tcW w:w="1159" w:type="dxa"/>
          </w:tcPr>
          <w:p w14:paraId="6BE6600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149%</w:t>
            </w:r>
          </w:p>
        </w:tc>
        <w:tc>
          <w:tcPr>
            <w:tcW w:w="1109" w:type="dxa"/>
          </w:tcPr>
          <w:p w14:paraId="7FFE7FCC"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62%</w:t>
            </w:r>
          </w:p>
        </w:tc>
        <w:tc>
          <w:tcPr>
            <w:tcW w:w="1159" w:type="dxa"/>
          </w:tcPr>
          <w:p w14:paraId="6179A92C"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50%</w:t>
            </w:r>
          </w:p>
        </w:tc>
      </w:tr>
      <w:tr w:rsidR="000742BD" w:rsidRPr="000742BD" w14:paraId="05A78D7E" w14:textId="77777777" w:rsidTr="000742BD">
        <w:trPr>
          <w:jc w:val="center"/>
        </w:trPr>
        <w:tc>
          <w:tcPr>
            <w:tcW w:w="1129" w:type="dxa"/>
          </w:tcPr>
          <w:p w14:paraId="4763D64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6</w:t>
            </w:r>
          </w:p>
        </w:tc>
        <w:tc>
          <w:tcPr>
            <w:tcW w:w="1159" w:type="dxa"/>
          </w:tcPr>
          <w:p w14:paraId="5C1FEF34"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174%</w:t>
            </w:r>
          </w:p>
        </w:tc>
        <w:tc>
          <w:tcPr>
            <w:tcW w:w="1109" w:type="dxa"/>
          </w:tcPr>
          <w:p w14:paraId="50288B6F"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82%</w:t>
            </w:r>
          </w:p>
        </w:tc>
        <w:tc>
          <w:tcPr>
            <w:tcW w:w="1159" w:type="dxa"/>
          </w:tcPr>
          <w:p w14:paraId="3E7A1098"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246%</w:t>
            </w:r>
          </w:p>
        </w:tc>
        <w:tc>
          <w:tcPr>
            <w:tcW w:w="1109" w:type="dxa"/>
          </w:tcPr>
          <w:p w14:paraId="6BDB66F1"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62%</w:t>
            </w:r>
          </w:p>
        </w:tc>
        <w:tc>
          <w:tcPr>
            <w:tcW w:w="1159" w:type="dxa"/>
          </w:tcPr>
          <w:p w14:paraId="5B090F94"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60%</w:t>
            </w:r>
          </w:p>
        </w:tc>
      </w:tr>
      <w:tr w:rsidR="000742BD" w:rsidRPr="000742BD" w14:paraId="037149BF" w14:textId="77777777" w:rsidTr="000742BD">
        <w:trPr>
          <w:jc w:val="center"/>
        </w:trPr>
        <w:tc>
          <w:tcPr>
            <w:tcW w:w="1129" w:type="dxa"/>
          </w:tcPr>
          <w:p w14:paraId="07EBBD6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Industrial</w:t>
            </w:r>
          </w:p>
        </w:tc>
        <w:tc>
          <w:tcPr>
            <w:tcW w:w="1159" w:type="dxa"/>
          </w:tcPr>
          <w:p w14:paraId="79CD7C04"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50%</w:t>
            </w:r>
          </w:p>
        </w:tc>
        <w:tc>
          <w:tcPr>
            <w:tcW w:w="1109" w:type="dxa"/>
          </w:tcPr>
          <w:p w14:paraId="5B1BABB9"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77%</w:t>
            </w:r>
          </w:p>
        </w:tc>
        <w:tc>
          <w:tcPr>
            <w:tcW w:w="1159" w:type="dxa"/>
          </w:tcPr>
          <w:p w14:paraId="4F97C53A"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50%</w:t>
            </w:r>
          </w:p>
        </w:tc>
        <w:tc>
          <w:tcPr>
            <w:tcW w:w="1109" w:type="dxa"/>
          </w:tcPr>
          <w:p w14:paraId="0C7626ED"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59%</w:t>
            </w:r>
          </w:p>
        </w:tc>
        <w:tc>
          <w:tcPr>
            <w:tcW w:w="1159" w:type="dxa"/>
          </w:tcPr>
          <w:p w14:paraId="2BC0184F"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50%</w:t>
            </w:r>
          </w:p>
        </w:tc>
      </w:tr>
      <w:tr w:rsidR="000742BD" w:rsidRPr="000742BD" w14:paraId="7E55B754" w14:textId="77777777" w:rsidTr="000742BD">
        <w:trPr>
          <w:jc w:val="center"/>
        </w:trPr>
        <w:tc>
          <w:tcPr>
            <w:tcW w:w="1129" w:type="dxa"/>
          </w:tcPr>
          <w:p w14:paraId="2C26DCF6"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Comercial</w:t>
            </w:r>
          </w:p>
        </w:tc>
        <w:tc>
          <w:tcPr>
            <w:tcW w:w="1159" w:type="dxa"/>
          </w:tcPr>
          <w:p w14:paraId="69F78229"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30%</w:t>
            </w:r>
          </w:p>
        </w:tc>
        <w:tc>
          <w:tcPr>
            <w:tcW w:w="1109" w:type="dxa"/>
          </w:tcPr>
          <w:p w14:paraId="574952F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82%</w:t>
            </w:r>
          </w:p>
        </w:tc>
        <w:tc>
          <w:tcPr>
            <w:tcW w:w="1159" w:type="dxa"/>
          </w:tcPr>
          <w:p w14:paraId="330068B5"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31%</w:t>
            </w:r>
          </w:p>
        </w:tc>
        <w:tc>
          <w:tcPr>
            <w:tcW w:w="1109" w:type="dxa"/>
          </w:tcPr>
          <w:p w14:paraId="31BDAA37"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62%</w:t>
            </w:r>
          </w:p>
        </w:tc>
        <w:tc>
          <w:tcPr>
            <w:tcW w:w="1159" w:type="dxa"/>
          </w:tcPr>
          <w:p w14:paraId="5437DE3D" w14:textId="77777777" w:rsidR="000742BD" w:rsidRPr="000742BD" w:rsidRDefault="000742BD" w:rsidP="000742BD">
            <w:pPr>
              <w:tabs>
                <w:tab w:val="center" w:pos="4419"/>
                <w:tab w:val="right" w:pos="8838"/>
              </w:tabs>
              <w:jc w:val="center"/>
              <w:rPr>
                <w:rFonts w:ascii="Arial Narrow" w:hAnsi="Arial Narrow" w:cs="Arial"/>
                <w:bCs/>
                <w:sz w:val="22"/>
                <w:szCs w:val="22"/>
                <w:lang w:val="es-CO" w:eastAsia="en-US"/>
              </w:rPr>
            </w:pPr>
            <w:r w:rsidRPr="000742BD">
              <w:rPr>
                <w:rFonts w:ascii="Arial Narrow" w:hAnsi="Arial Narrow" w:cs="Arial"/>
                <w:bCs/>
                <w:sz w:val="22"/>
                <w:szCs w:val="22"/>
                <w:lang w:val="es-CO" w:eastAsia="en-US"/>
              </w:rPr>
              <w:t>30%</w:t>
            </w:r>
          </w:p>
        </w:tc>
      </w:tr>
    </w:tbl>
    <w:p w14:paraId="3967044E" w14:textId="77777777" w:rsidR="000742BD" w:rsidRPr="000742BD" w:rsidRDefault="000742BD" w:rsidP="000742BD">
      <w:pPr>
        <w:jc w:val="both"/>
        <w:rPr>
          <w:rFonts w:ascii="Arial Narrow" w:hAnsi="Arial Narrow" w:cs="Arial"/>
          <w:bCs/>
          <w:sz w:val="22"/>
          <w:szCs w:val="22"/>
          <w:lang w:val="es-CO" w:eastAsia="en-US"/>
        </w:rPr>
      </w:pPr>
    </w:p>
    <w:p w14:paraId="401D08AA" w14:textId="77777777" w:rsidR="000742BD" w:rsidRPr="000742BD" w:rsidRDefault="000742BD" w:rsidP="000742BD">
      <w:pPr>
        <w:jc w:val="both"/>
        <w:rPr>
          <w:rFonts w:ascii="Arial Narrow" w:hAnsi="Arial Narrow" w:cs="Arial"/>
          <w:b/>
          <w:sz w:val="22"/>
          <w:szCs w:val="22"/>
          <w:lang w:val="es-CO" w:eastAsia="en-US"/>
        </w:rPr>
      </w:pPr>
    </w:p>
    <w:p w14:paraId="34E243EA" w14:textId="77777777" w:rsidR="000742BD" w:rsidRPr="000742BD" w:rsidRDefault="000742BD" w:rsidP="000742BD">
      <w:pPr>
        <w:jc w:val="both"/>
        <w:rPr>
          <w:rFonts w:ascii="Arial Narrow" w:hAnsi="Arial Narrow" w:cs="Arial"/>
          <w:b/>
          <w:sz w:val="22"/>
          <w:szCs w:val="22"/>
          <w:lang w:val="es-CO" w:eastAsia="en-US"/>
        </w:rPr>
      </w:pPr>
    </w:p>
    <w:p w14:paraId="67543FE6" w14:textId="77777777" w:rsidR="000742BD" w:rsidRPr="000742BD" w:rsidRDefault="000742BD" w:rsidP="000742BD">
      <w:pPr>
        <w:numPr>
          <w:ilvl w:val="0"/>
          <w:numId w:val="22"/>
        </w:numPr>
        <w:contextualSpacing/>
        <w:jc w:val="both"/>
        <w:rPr>
          <w:rFonts w:ascii="Arial Narrow" w:hAnsi="Arial Narrow" w:cs="Arial"/>
          <w:b/>
          <w:sz w:val="22"/>
          <w:szCs w:val="22"/>
          <w:lang w:val="es-CO" w:eastAsia="en-US"/>
        </w:rPr>
      </w:pPr>
      <w:bookmarkStart w:id="3" w:name="_Hlk97211302"/>
      <w:bookmarkEnd w:id="2"/>
      <w:r w:rsidRPr="000742BD">
        <w:rPr>
          <w:rFonts w:ascii="Arial Narrow" w:hAnsi="Arial Narrow" w:cs="Arial"/>
          <w:b/>
          <w:sz w:val="22"/>
          <w:szCs w:val="22"/>
          <w:lang w:val="es-CO" w:eastAsia="en-US"/>
        </w:rPr>
        <w:t>ESTRATIFICACIÓN.</w:t>
      </w:r>
    </w:p>
    <w:bookmarkEnd w:id="3"/>
    <w:p w14:paraId="262436DE" w14:textId="77777777" w:rsidR="000742BD" w:rsidRPr="000742BD" w:rsidRDefault="000742BD" w:rsidP="000742BD">
      <w:pPr>
        <w:jc w:val="both"/>
        <w:rPr>
          <w:rFonts w:ascii="Arial Narrow" w:hAnsi="Arial Narrow" w:cs="Arial"/>
          <w:b/>
          <w:sz w:val="22"/>
          <w:szCs w:val="22"/>
          <w:lang w:val="es-CO" w:eastAsia="en-US"/>
        </w:rPr>
      </w:pPr>
    </w:p>
    <w:p w14:paraId="5659B418" w14:textId="77777777" w:rsidR="000742BD" w:rsidRPr="000742BD" w:rsidRDefault="000742BD" w:rsidP="000742BD">
      <w:pPr>
        <w:ind w:left="-5"/>
        <w:contextualSpacing/>
        <w:jc w:val="both"/>
        <w:rPr>
          <w:rFonts w:ascii="Arial Narrow" w:hAnsi="Arial Narrow" w:cs="Arial"/>
          <w:sz w:val="22"/>
          <w:szCs w:val="22"/>
          <w:lang w:val="es-CO" w:eastAsia="en-US"/>
        </w:rPr>
      </w:pPr>
      <w:r w:rsidRPr="000742BD">
        <w:rPr>
          <w:rFonts w:ascii="Arial Narrow" w:hAnsi="Arial Narrow" w:cs="Arial"/>
          <w:sz w:val="22"/>
          <w:szCs w:val="22"/>
          <w:lang w:val="es-CO" w:eastAsia="en-US"/>
        </w:rPr>
        <w:t>La estratificación socioeconómica es la clasificación de los inmuebles residenciales que deben recibir servicios públicos. Se realiza principalmente para cobrar de manera diferencial los servicios públicos domiciliarios permitiendo asignar subsidios y cobrar contribuciones en esta área.</w:t>
      </w:r>
    </w:p>
    <w:p w14:paraId="4A5EE791" w14:textId="77777777" w:rsidR="000742BD" w:rsidRPr="000742BD" w:rsidRDefault="000742BD" w:rsidP="000742BD">
      <w:pPr>
        <w:ind w:left="-5"/>
        <w:contextualSpacing/>
        <w:jc w:val="both"/>
        <w:rPr>
          <w:rFonts w:ascii="Arial Narrow" w:hAnsi="Arial Narrow" w:cs="Arial"/>
          <w:sz w:val="22"/>
          <w:szCs w:val="22"/>
          <w:lang w:val="es-CO" w:eastAsia="en-US"/>
        </w:rPr>
      </w:pPr>
    </w:p>
    <w:p w14:paraId="35E68044" w14:textId="77777777" w:rsidR="000742BD" w:rsidRPr="000742BD" w:rsidRDefault="000742BD" w:rsidP="000742BD">
      <w:pPr>
        <w:ind w:left="-5"/>
        <w:contextualSpacing/>
        <w:jc w:val="both"/>
        <w:rPr>
          <w:rFonts w:ascii="Arial Narrow" w:hAnsi="Arial Narrow" w:cs="Arial"/>
          <w:sz w:val="22"/>
          <w:szCs w:val="22"/>
          <w:lang w:val="es-CO" w:eastAsia="en-US"/>
        </w:rPr>
      </w:pPr>
      <w:r w:rsidRPr="000742BD">
        <w:rPr>
          <w:rFonts w:ascii="Arial Narrow" w:hAnsi="Arial Narrow" w:cs="Arial"/>
          <w:sz w:val="22"/>
          <w:szCs w:val="22"/>
          <w:lang w:val="es-CO" w:eastAsia="en-US"/>
        </w:rPr>
        <w:t>El artículo 101.1. de la Ley 142 de 1994, ordenó que es deber de cada municipio clasificar en estratos los inmuebles residenciales que deben recibir Servicios Públicos Domiciliarios. Y es deber indelegable del alcalde realizar la estratificación respectiva.</w:t>
      </w:r>
    </w:p>
    <w:p w14:paraId="66D37B54" w14:textId="77777777" w:rsidR="000742BD" w:rsidRPr="000742BD" w:rsidRDefault="000742BD" w:rsidP="000742BD">
      <w:pPr>
        <w:ind w:left="-5"/>
        <w:contextualSpacing/>
        <w:jc w:val="both"/>
        <w:rPr>
          <w:rFonts w:ascii="Arial Narrow" w:hAnsi="Arial Narrow" w:cs="Arial"/>
          <w:sz w:val="22"/>
          <w:szCs w:val="22"/>
          <w:lang w:val="es-CO" w:eastAsia="en-US"/>
        </w:rPr>
      </w:pPr>
    </w:p>
    <w:p w14:paraId="5A2F426B" w14:textId="77777777" w:rsidR="000742BD" w:rsidRPr="000742BD" w:rsidRDefault="000742BD" w:rsidP="000742BD">
      <w:pPr>
        <w:ind w:left="-5"/>
        <w:contextualSpacing/>
        <w:jc w:val="both"/>
        <w:rPr>
          <w:rFonts w:ascii="Arial Narrow" w:hAnsi="Arial Narrow" w:cs="Arial"/>
          <w:sz w:val="22"/>
          <w:szCs w:val="22"/>
          <w:lang w:val="es-CO" w:eastAsia="en-US"/>
        </w:rPr>
      </w:pPr>
      <w:r w:rsidRPr="000742BD">
        <w:rPr>
          <w:rFonts w:ascii="Arial Narrow" w:hAnsi="Arial Narrow" w:cs="Arial"/>
          <w:sz w:val="22"/>
          <w:szCs w:val="22"/>
          <w:lang w:val="es-CO" w:eastAsia="en-US"/>
        </w:rPr>
        <w:t>Por otro lado, el numeral 4 del artículo 101, decretó que en cada municipio existirá una sola estratificación de inmuebles residenciales, aplicable a cada uno de los Servicios Públicos.</w:t>
      </w:r>
    </w:p>
    <w:p w14:paraId="6213FB34" w14:textId="77777777" w:rsidR="000742BD" w:rsidRPr="000742BD" w:rsidRDefault="000742BD" w:rsidP="000742BD">
      <w:pPr>
        <w:ind w:left="-5"/>
        <w:contextualSpacing/>
        <w:jc w:val="both"/>
        <w:rPr>
          <w:rFonts w:ascii="Arial Narrow" w:hAnsi="Arial Narrow" w:cs="Arial"/>
          <w:sz w:val="22"/>
          <w:szCs w:val="22"/>
          <w:lang w:val="es-CO" w:eastAsia="en-US"/>
        </w:rPr>
      </w:pPr>
    </w:p>
    <w:p w14:paraId="3398EF28" w14:textId="77777777" w:rsidR="000742BD" w:rsidRPr="000742BD" w:rsidRDefault="000742BD" w:rsidP="000742BD">
      <w:pPr>
        <w:ind w:left="-5"/>
        <w:contextualSpacing/>
        <w:jc w:val="both"/>
        <w:rPr>
          <w:rFonts w:ascii="Arial Narrow" w:hAnsi="Arial Narrow" w:cs="Arial"/>
          <w:sz w:val="22"/>
          <w:szCs w:val="22"/>
          <w:lang w:val="es-CO" w:eastAsia="en-US"/>
        </w:rPr>
      </w:pPr>
      <w:r w:rsidRPr="000742BD">
        <w:rPr>
          <w:rFonts w:ascii="Arial Narrow" w:hAnsi="Arial Narrow" w:cs="Arial"/>
          <w:sz w:val="22"/>
          <w:szCs w:val="22"/>
          <w:lang w:val="es-CO" w:eastAsia="en-US"/>
        </w:rPr>
        <w:t>En relación con la actualización de la estratificación, el artículo 11 de la Ley 505 de 1999, se manifestó en los siguientes términos: Los alcaldes deberán garantizar que las estratificaciones se realicen, se adopten, se apliquen y permanezcan actualizadas a través del Comité Permanente de Estratificación municipal o distrital.</w:t>
      </w:r>
    </w:p>
    <w:p w14:paraId="0D1B8F47" w14:textId="77777777" w:rsidR="000742BD" w:rsidRPr="000742BD" w:rsidRDefault="000742BD" w:rsidP="000742BD">
      <w:pPr>
        <w:jc w:val="both"/>
        <w:rPr>
          <w:rFonts w:ascii="Arial Narrow" w:hAnsi="Arial Narrow" w:cs="Arial"/>
          <w:sz w:val="22"/>
          <w:szCs w:val="22"/>
          <w:lang w:val="es-CO" w:eastAsia="en-US"/>
        </w:rPr>
      </w:pPr>
    </w:p>
    <w:p w14:paraId="75543DAE" w14:textId="77777777" w:rsidR="000742BD" w:rsidRPr="000742BD" w:rsidRDefault="000742BD" w:rsidP="000742BD">
      <w:pPr>
        <w:jc w:val="both"/>
        <w:rPr>
          <w:rFonts w:ascii="Arial Narrow" w:hAnsi="Arial Narrow" w:cs="Arial"/>
          <w:sz w:val="22"/>
          <w:szCs w:val="22"/>
          <w:lang w:val="es-CO" w:eastAsia="en-US"/>
        </w:rPr>
      </w:pPr>
      <w:r w:rsidRPr="000742BD">
        <w:rPr>
          <w:rFonts w:ascii="Arial Narrow" w:hAnsi="Arial Narrow" w:cs="Arial"/>
          <w:sz w:val="22"/>
          <w:szCs w:val="22"/>
          <w:lang w:val="es-CO" w:eastAsia="en-US"/>
        </w:rPr>
        <w:t xml:space="preserve">Mediante Decreto 279 del 29 de junio de 1996 se adoptó la estratificación socioeconómica de la cabecera urbana del municipio con el fin de utilizarla para la fijación de tarifas por prestación de los servicios públicos para la asignación de subsidios sociales. Según esta estratificación, las viviendas del municipio se clasificaban en cuatro estratos socioeconómicos. </w:t>
      </w:r>
    </w:p>
    <w:p w14:paraId="3BCF2077" w14:textId="77777777" w:rsidR="000742BD" w:rsidRPr="000742BD" w:rsidRDefault="000742BD" w:rsidP="000742BD">
      <w:pPr>
        <w:jc w:val="both"/>
        <w:rPr>
          <w:rFonts w:ascii="Arial Narrow" w:hAnsi="Arial Narrow" w:cs="Arial"/>
          <w:sz w:val="22"/>
          <w:szCs w:val="22"/>
          <w:lang w:val="es-CO" w:eastAsia="en-US"/>
        </w:rPr>
      </w:pPr>
    </w:p>
    <w:p w14:paraId="141D5092" w14:textId="77777777" w:rsidR="000742BD" w:rsidRPr="000742BD" w:rsidRDefault="000742BD" w:rsidP="000742BD">
      <w:pPr>
        <w:jc w:val="both"/>
        <w:rPr>
          <w:rFonts w:ascii="Arial Narrow" w:hAnsi="Arial Narrow" w:cs="Arial"/>
          <w:sz w:val="22"/>
          <w:szCs w:val="22"/>
          <w:lang w:val="es-CO" w:eastAsia="en-US"/>
        </w:rPr>
      </w:pPr>
      <w:r w:rsidRPr="000742BD">
        <w:rPr>
          <w:rFonts w:ascii="Arial Narrow" w:hAnsi="Arial Narrow" w:cs="Arial"/>
          <w:sz w:val="22"/>
          <w:szCs w:val="22"/>
          <w:lang w:val="es-CO" w:eastAsia="en-US"/>
        </w:rPr>
        <w:lastRenderedPageBreak/>
        <w:t>Luego, mediante Decreto 154 del 27 de mayo de 1998, se derogó el Decreto 279 motivado por algunos derechos de petición que presentó la comunidad y por las solicitudes referentes a la modificación, revisión, rectificación o cambio, debido a las inconsistencias y desactualización de la cartografía municipal.</w:t>
      </w:r>
    </w:p>
    <w:p w14:paraId="43A8B4A0" w14:textId="77777777" w:rsidR="000742BD" w:rsidRPr="000742BD" w:rsidRDefault="000742BD" w:rsidP="000742BD">
      <w:pPr>
        <w:jc w:val="both"/>
        <w:rPr>
          <w:rFonts w:ascii="Arial Narrow" w:hAnsi="Arial Narrow" w:cs="Arial"/>
          <w:sz w:val="22"/>
          <w:szCs w:val="22"/>
          <w:lang w:val="es-CO" w:eastAsia="en-US"/>
        </w:rPr>
      </w:pPr>
    </w:p>
    <w:p w14:paraId="3A2631D2" w14:textId="77777777" w:rsidR="000742BD" w:rsidRPr="000742BD" w:rsidRDefault="000742BD" w:rsidP="000742BD">
      <w:pPr>
        <w:jc w:val="both"/>
        <w:rPr>
          <w:rFonts w:ascii="Arial Narrow" w:hAnsi="Arial Narrow" w:cs="Arial"/>
          <w:sz w:val="22"/>
          <w:szCs w:val="22"/>
          <w:lang w:val="es-CO" w:eastAsia="en-US"/>
        </w:rPr>
      </w:pPr>
      <w:r w:rsidRPr="000742BD">
        <w:rPr>
          <w:rFonts w:ascii="Arial Narrow" w:hAnsi="Arial Narrow" w:cs="Arial"/>
          <w:sz w:val="22"/>
          <w:szCs w:val="22"/>
          <w:lang w:val="es-CO" w:eastAsia="en-US"/>
        </w:rPr>
        <w:t>De acuerdo con el plan de desarrollo</w:t>
      </w:r>
      <w:r w:rsidR="00C43727">
        <w:rPr>
          <w:rFonts w:ascii="Arial Narrow" w:hAnsi="Arial Narrow" w:cs="Arial"/>
          <w:sz w:val="22"/>
          <w:szCs w:val="22"/>
          <w:lang w:val="es-CO" w:eastAsia="en-US"/>
        </w:rPr>
        <w:t xml:space="preserve"> 2020-2023</w:t>
      </w:r>
      <w:r w:rsidRPr="000742BD">
        <w:rPr>
          <w:rFonts w:ascii="Arial Narrow" w:hAnsi="Arial Narrow" w:cs="Arial"/>
          <w:sz w:val="22"/>
          <w:szCs w:val="22"/>
          <w:lang w:val="es-CO" w:eastAsia="en-US"/>
        </w:rPr>
        <w:t>, con base en información de la vigencia 2017 de la encuesta multipropósito</w:t>
      </w:r>
      <w:r w:rsidR="00C43727">
        <w:rPr>
          <w:rFonts w:ascii="Arial Narrow" w:hAnsi="Arial Narrow" w:cs="Arial"/>
          <w:sz w:val="22"/>
          <w:szCs w:val="22"/>
          <w:lang w:val="es-CO" w:eastAsia="en-US"/>
        </w:rPr>
        <w:t xml:space="preserve"> efectuada por el DANE</w:t>
      </w:r>
      <w:r w:rsidRPr="000742BD">
        <w:rPr>
          <w:rFonts w:ascii="Arial Narrow" w:hAnsi="Arial Narrow" w:cs="Arial"/>
          <w:sz w:val="22"/>
          <w:szCs w:val="22"/>
          <w:lang w:val="es-CO" w:eastAsia="en-US"/>
        </w:rPr>
        <w:t>, el estrato que reportó mayor número de viviendas fue el 2 con 70.161, que equivalen al 44.21% del total de viviendas en el Municipio. El segundo estrato es el 1 con 68.212, que equivalen al 42.98% del total, mientras los estratos con menores registros de viviendas son el 3 con 19.965 viviendas y 358 que no se encuentran registradas en ningún estrato.</w:t>
      </w:r>
    </w:p>
    <w:p w14:paraId="66521B01" w14:textId="77777777" w:rsidR="000742BD" w:rsidRPr="000742BD" w:rsidRDefault="000742BD" w:rsidP="000742BD">
      <w:pPr>
        <w:jc w:val="both"/>
        <w:rPr>
          <w:rFonts w:ascii="Arial Narrow" w:hAnsi="Arial Narrow" w:cs="Arial"/>
          <w:sz w:val="22"/>
          <w:szCs w:val="22"/>
          <w:lang w:val="es-CO" w:eastAsia="en-US"/>
        </w:rPr>
      </w:pPr>
    </w:p>
    <w:p w14:paraId="76E2EDC5" w14:textId="77777777" w:rsidR="000742BD" w:rsidRPr="000742BD" w:rsidRDefault="000742BD" w:rsidP="000742BD">
      <w:pPr>
        <w:jc w:val="both"/>
        <w:rPr>
          <w:rFonts w:ascii="Arial Narrow" w:hAnsi="Arial Narrow" w:cs="Arial"/>
          <w:sz w:val="22"/>
          <w:szCs w:val="22"/>
          <w:lang w:val="es-CO" w:eastAsia="en-US"/>
        </w:rPr>
      </w:pPr>
      <w:r w:rsidRPr="000742BD">
        <w:rPr>
          <w:rFonts w:ascii="Arial Narrow" w:hAnsi="Arial Narrow" w:cs="Arial"/>
          <w:sz w:val="22"/>
          <w:szCs w:val="22"/>
          <w:lang w:val="es-CO" w:eastAsia="en-US"/>
        </w:rPr>
        <w:t>Con información aportada por la Entidad Territorial, se determinó que la Dirección de Impuestos Municipales tiene registrado en su base de datos del impuesto predial unificado a 2020.</w:t>
      </w:r>
    </w:p>
    <w:p w14:paraId="7AC89ACB" w14:textId="77777777" w:rsidR="000742BD" w:rsidRPr="000742BD" w:rsidRDefault="000742BD" w:rsidP="000742BD">
      <w:pPr>
        <w:jc w:val="both"/>
        <w:rPr>
          <w:rFonts w:ascii="Arial Narrow" w:hAnsi="Arial Narrow" w:cs="Arial"/>
          <w:sz w:val="22"/>
          <w:szCs w:val="22"/>
          <w:lang w:val="es-CO" w:eastAsia="en-US"/>
        </w:rPr>
      </w:pPr>
    </w:p>
    <w:tbl>
      <w:tblPr>
        <w:tblStyle w:val="Tablaconcuadrcula"/>
        <w:tblW w:w="0" w:type="auto"/>
        <w:jc w:val="center"/>
        <w:tblLook w:val="04A0" w:firstRow="1" w:lastRow="0" w:firstColumn="1" w:lastColumn="0" w:noHBand="0" w:noVBand="1"/>
      </w:tblPr>
      <w:tblGrid>
        <w:gridCol w:w="1780"/>
        <w:gridCol w:w="2772"/>
        <w:gridCol w:w="1258"/>
      </w:tblGrid>
      <w:tr w:rsidR="000742BD" w:rsidRPr="000742BD" w14:paraId="5EB48423" w14:textId="77777777" w:rsidTr="000742BD">
        <w:trPr>
          <w:jc w:val="center"/>
        </w:trPr>
        <w:tc>
          <w:tcPr>
            <w:tcW w:w="1780" w:type="dxa"/>
          </w:tcPr>
          <w:p w14:paraId="7CE7643D" w14:textId="77777777" w:rsidR="000742BD" w:rsidRPr="000742BD" w:rsidRDefault="000742BD" w:rsidP="000742BD">
            <w:pPr>
              <w:tabs>
                <w:tab w:val="center" w:pos="4419"/>
                <w:tab w:val="right" w:pos="8838"/>
              </w:tabs>
              <w:jc w:val="center"/>
              <w:rPr>
                <w:rFonts w:ascii="Arial Narrow" w:hAnsi="Arial Narrow" w:cs="Arial"/>
                <w:b/>
                <w:bCs/>
                <w:sz w:val="22"/>
                <w:szCs w:val="22"/>
                <w:lang w:val="es-CO" w:eastAsia="en-US"/>
              </w:rPr>
            </w:pPr>
            <w:r w:rsidRPr="000742BD">
              <w:rPr>
                <w:rFonts w:ascii="Arial Narrow" w:hAnsi="Arial Narrow" w:cs="Arial"/>
                <w:b/>
                <w:bCs/>
                <w:sz w:val="22"/>
                <w:szCs w:val="22"/>
                <w:lang w:val="es-CO" w:eastAsia="en-US"/>
              </w:rPr>
              <w:t>TIPO DE PREDIO</w:t>
            </w:r>
          </w:p>
        </w:tc>
        <w:tc>
          <w:tcPr>
            <w:tcW w:w="2772" w:type="dxa"/>
          </w:tcPr>
          <w:p w14:paraId="53FD7A29" w14:textId="77777777" w:rsidR="000742BD" w:rsidRPr="000742BD" w:rsidRDefault="000742BD" w:rsidP="000742BD">
            <w:pPr>
              <w:tabs>
                <w:tab w:val="center" w:pos="4419"/>
                <w:tab w:val="right" w:pos="8838"/>
              </w:tabs>
              <w:jc w:val="center"/>
              <w:rPr>
                <w:rFonts w:ascii="Arial Narrow" w:hAnsi="Arial Narrow" w:cs="Arial"/>
                <w:b/>
                <w:bCs/>
                <w:sz w:val="22"/>
                <w:szCs w:val="22"/>
                <w:lang w:val="es-CO" w:eastAsia="en-US"/>
              </w:rPr>
            </w:pPr>
            <w:r w:rsidRPr="000742BD">
              <w:rPr>
                <w:rFonts w:ascii="Arial Narrow" w:hAnsi="Arial Narrow" w:cs="Arial"/>
                <w:b/>
                <w:bCs/>
                <w:sz w:val="22"/>
                <w:szCs w:val="22"/>
                <w:lang w:val="es-CO" w:eastAsia="en-US"/>
              </w:rPr>
              <w:t>CLASIFICACION DE PREDIO</w:t>
            </w:r>
          </w:p>
        </w:tc>
        <w:tc>
          <w:tcPr>
            <w:tcW w:w="1258" w:type="dxa"/>
          </w:tcPr>
          <w:p w14:paraId="3E44566E" w14:textId="77777777" w:rsidR="000742BD" w:rsidRPr="000742BD" w:rsidRDefault="000742BD" w:rsidP="000742BD">
            <w:pPr>
              <w:tabs>
                <w:tab w:val="center" w:pos="4419"/>
                <w:tab w:val="right" w:pos="8838"/>
              </w:tabs>
              <w:jc w:val="center"/>
              <w:rPr>
                <w:rFonts w:ascii="Arial Narrow" w:hAnsi="Arial Narrow" w:cs="Arial"/>
                <w:b/>
                <w:bCs/>
                <w:sz w:val="22"/>
                <w:szCs w:val="22"/>
                <w:lang w:val="es-CO" w:eastAsia="en-US"/>
              </w:rPr>
            </w:pPr>
            <w:r w:rsidRPr="000742BD">
              <w:rPr>
                <w:rFonts w:ascii="Arial Narrow" w:hAnsi="Arial Narrow" w:cs="Arial"/>
                <w:b/>
                <w:bCs/>
                <w:sz w:val="22"/>
                <w:szCs w:val="22"/>
                <w:lang w:val="es-CO" w:eastAsia="en-US"/>
              </w:rPr>
              <w:t>CANTIDAD</w:t>
            </w:r>
          </w:p>
        </w:tc>
      </w:tr>
      <w:tr w:rsidR="000742BD" w:rsidRPr="000742BD" w14:paraId="48089FF1" w14:textId="77777777" w:rsidTr="000742BD">
        <w:trPr>
          <w:jc w:val="center"/>
        </w:trPr>
        <w:tc>
          <w:tcPr>
            <w:tcW w:w="1780" w:type="dxa"/>
          </w:tcPr>
          <w:p w14:paraId="4E3E2C2C"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URBANO</w:t>
            </w:r>
          </w:p>
        </w:tc>
        <w:tc>
          <w:tcPr>
            <w:tcW w:w="2772" w:type="dxa"/>
          </w:tcPr>
          <w:p w14:paraId="42317EAF"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COMERCIAL</w:t>
            </w:r>
          </w:p>
        </w:tc>
        <w:tc>
          <w:tcPr>
            <w:tcW w:w="1258" w:type="dxa"/>
          </w:tcPr>
          <w:p w14:paraId="7FD5CC39"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6.077</w:t>
            </w:r>
          </w:p>
        </w:tc>
      </w:tr>
      <w:tr w:rsidR="000742BD" w:rsidRPr="000742BD" w14:paraId="3256B503" w14:textId="77777777" w:rsidTr="000742BD">
        <w:trPr>
          <w:jc w:val="center"/>
        </w:trPr>
        <w:tc>
          <w:tcPr>
            <w:tcW w:w="1780" w:type="dxa"/>
          </w:tcPr>
          <w:p w14:paraId="0DECB67F"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URBANO</w:t>
            </w:r>
          </w:p>
        </w:tc>
        <w:tc>
          <w:tcPr>
            <w:tcW w:w="2772" w:type="dxa"/>
          </w:tcPr>
          <w:p w14:paraId="4D21E6B9"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INDUSTRIAL</w:t>
            </w:r>
          </w:p>
        </w:tc>
        <w:tc>
          <w:tcPr>
            <w:tcW w:w="1258" w:type="dxa"/>
          </w:tcPr>
          <w:p w14:paraId="289D3714"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501</w:t>
            </w:r>
          </w:p>
        </w:tc>
      </w:tr>
      <w:tr w:rsidR="000742BD" w:rsidRPr="000742BD" w14:paraId="02B133B0" w14:textId="77777777" w:rsidTr="000742BD">
        <w:trPr>
          <w:jc w:val="center"/>
        </w:trPr>
        <w:tc>
          <w:tcPr>
            <w:tcW w:w="1780" w:type="dxa"/>
          </w:tcPr>
          <w:p w14:paraId="436AF727"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RURAL</w:t>
            </w:r>
          </w:p>
        </w:tc>
        <w:tc>
          <w:tcPr>
            <w:tcW w:w="2772" w:type="dxa"/>
          </w:tcPr>
          <w:p w14:paraId="79985C72"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COMERCIAL</w:t>
            </w:r>
          </w:p>
        </w:tc>
        <w:tc>
          <w:tcPr>
            <w:tcW w:w="1258" w:type="dxa"/>
          </w:tcPr>
          <w:p w14:paraId="651F73FA"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137</w:t>
            </w:r>
          </w:p>
        </w:tc>
      </w:tr>
      <w:tr w:rsidR="000742BD" w:rsidRPr="000742BD" w14:paraId="677ABAF8" w14:textId="77777777" w:rsidTr="000742BD">
        <w:trPr>
          <w:jc w:val="center"/>
        </w:trPr>
        <w:tc>
          <w:tcPr>
            <w:tcW w:w="1780" w:type="dxa"/>
          </w:tcPr>
          <w:p w14:paraId="63188FB2"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RURAL</w:t>
            </w:r>
          </w:p>
        </w:tc>
        <w:tc>
          <w:tcPr>
            <w:tcW w:w="2772" w:type="dxa"/>
          </w:tcPr>
          <w:p w14:paraId="404D98AD"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INDUSTRIAL</w:t>
            </w:r>
          </w:p>
        </w:tc>
        <w:tc>
          <w:tcPr>
            <w:tcW w:w="1258" w:type="dxa"/>
          </w:tcPr>
          <w:p w14:paraId="7BE6FCBC" w14:textId="77777777" w:rsidR="000742BD" w:rsidRPr="000742BD" w:rsidRDefault="000742BD" w:rsidP="000742BD">
            <w:pPr>
              <w:tabs>
                <w:tab w:val="center" w:pos="4419"/>
                <w:tab w:val="right" w:pos="8838"/>
              </w:tabs>
              <w:jc w:val="center"/>
              <w:rPr>
                <w:rFonts w:ascii="Arial Narrow" w:hAnsi="Arial Narrow" w:cs="Arial"/>
                <w:sz w:val="22"/>
                <w:szCs w:val="22"/>
                <w:lang w:val="es-CO" w:eastAsia="en-US"/>
              </w:rPr>
            </w:pPr>
            <w:r w:rsidRPr="000742BD">
              <w:rPr>
                <w:rFonts w:ascii="Arial Narrow" w:hAnsi="Arial Narrow" w:cs="Arial"/>
                <w:sz w:val="22"/>
                <w:szCs w:val="22"/>
                <w:lang w:val="es-CO" w:eastAsia="en-US"/>
              </w:rPr>
              <w:t>51</w:t>
            </w:r>
          </w:p>
        </w:tc>
      </w:tr>
    </w:tbl>
    <w:p w14:paraId="6A63B3E7" w14:textId="77777777" w:rsidR="000742BD" w:rsidRPr="000742BD" w:rsidRDefault="000742BD" w:rsidP="000742BD">
      <w:pPr>
        <w:jc w:val="both"/>
        <w:rPr>
          <w:rFonts w:ascii="Arial Narrow" w:hAnsi="Arial Narrow" w:cs="Arial"/>
          <w:sz w:val="22"/>
          <w:szCs w:val="22"/>
          <w:lang w:val="es-CO" w:eastAsia="en-US"/>
        </w:rPr>
      </w:pPr>
    </w:p>
    <w:p w14:paraId="0DF98FC5" w14:textId="77777777" w:rsidR="000742BD" w:rsidRPr="000742BD" w:rsidRDefault="000742BD" w:rsidP="000742BD">
      <w:pPr>
        <w:jc w:val="both"/>
        <w:rPr>
          <w:rFonts w:ascii="Arial Narrow" w:hAnsi="Arial Narrow" w:cs="Arial"/>
          <w:sz w:val="22"/>
          <w:szCs w:val="22"/>
          <w:lang w:val="es-CO" w:eastAsia="en-US"/>
        </w:rPr>
      </w:pPr>
      <w:r w:rsidRPr="000742BD">
        <w:rPr>
          <w:rFonts w:ascii="Arial Narrow" w:hAnsi="Arial Narrow" w:cs="Arial"/>
          <w:sz w:val="22"/>
          <w:szCs w:val="22"/>
          <w:lang w:val="es-CO" w:eastAsia="en-US"/>
        </w:rPr>
        <w:t xml:space="preserve">Es necesario tener certeza del estado actual de la estratificación. Se requerirá información al respecto </w:t>
      </w:r>
      <w:r w:rsidR="00866801">
        <w:rPr>
          <w:rFonts w:ascii="Arial Narrow" w:hAnsi="Arial Narrow" w:cs="Arial"/>
          <w:sz w:val="22"/>
          <w:szCs w:val="22"/>
          <w:lang w:val="es-CO" w:eastAsia="en-US"/>
        </w:rPr>
        <w:t>de</w:t>
      </w:r>
      <w:r w:rsidR="00993237">
        <w:rPr>
          <w:rFonts w:ascii="Arial Narrow" w:hAnsi="Arial Narrow" w:cs="Arial"/>
          <w:sz w:val="22"/>
          <w:szCs w:val="22"/>
          <w:lang w:val="es-CO" w:eastAsia="en-US"/>
        </w:rPr>
        <w:t xml:space="preserve"> </w:t>
      </w:r>
      <w:r w:rsidRPr="000742BD">
        <w:rPr>
          <w:rFonts w:ascii="Arial Narrow" w:hAnsi="Arial Narrow" w:cs="Arial"/>
          <w:sz w:val="22"/>
          <w:szCs w:val="22"/>
          <w:lang w:val="es-CO" w:eastAsia="en-US"/>
        </w:rPr>
        <w:t>la Administración municipal.</w:t>
      </w:r>
    </w:p>
    <w:p w14:paraId="3A0D2CCB" w14:textId="77777777" w:rsidR="000742BD" w:rsidRPr="000742BD" w:rsidRDefault="000742BD" w:rsidP="000742BD">
      <w:pPr>
        <w:jc w:val="both"/>
        <w:rPr>
          <w:rFonts w:ascii="Arial Narrow" w:hAnsi="Arial Narrow" w:cs="Arial"/>
          <w:sz w:val="22"/>
          <w:szCs w:val="22"/>
          <w:lang w:val="es-CO" w:eastAsia="en-US"/>
        </w:rPr>
      </w:pPr>
    </w:p>
    <w:p w14:paraId="267C3260" w14:textId="77777777" w:rsidR="000742BD" w:rsidRPr="000742BD" w:rsidRDefault="000742BD" w:rsidP="000742BD">
      <w:pPr>
        <w:jc w:val="both"/>
        <w:rPr>
          <w:rFonts w:ascii="Arial Narrow" w:hAnsi="Arial Narrow" w:cs="Arial"/>
          <w:sz w:val="22"/>
          <w:szCs w:val="22"/>
          <w:lang w:val="es-CO" w:eastAsia="en-US"/>
        </w:rPr>
      </w:pPr>
    </w:p>
    <w:p w14:paraId="05A5636C" w14:textId="77777777" w:rsidR="000742BD" w:rsidRPr="000742BD" w:rsidRDefault="000742BD" w:rsidP="000742BD">
      <w:pPr>
        <w:numPr>
          <w:ilvl w:val="0"/>
          <w:numId w:val="22"/>
        </w:numPr>
        <w:contextualSpacing/>
        <w:jc w:val="both"/>
        <w:rPr>
          <w:rFonts w:ascii="Arial Narrow" w:hAnsi="Arial Narrow" w:cs="Arial"/>
          <w:b/>
          <w:bCs/>
          <w:sz w:val="22"/>
          <w:szCs w:val="22"/>
          <w:lang w:val="es-CO" w:eastAsia="en-US"/>
        </w:rPr>
      </w:pPr>
      <w:bookmarkStart w:id="4" w:name="_Hlk97211309"/>
      <w:r w:rsidRPr="000742BD">
        <w:rPr>
          <w:rFonts w:ascii="Arial Narrow" w:hAnsi="Arial Narrow" w:cs="Arial"/>
          <w:b/>
          <w:bCs/>
          <w:sz w:val="22"/>
          <w:szCs w:val="22"/>
          <w:lang w:val="es-CO" w:eastAsia="en-US"/>
        </w:rPr>
        <w:t>COMITÉ DE DESARROLLO Y CONTROL SOCIAL.</w:t>
      </w:r>
    </w:p>
    <w:p w14:paraId="34E3D1D8" w14:textId="77777777" w:rsidR="000742BD" w:rsidRPr="000742BD" w:rsidRDefault="000742BD" w:rsidP="000742BD">
      <w:pPr>
        <w:contextualSpacing/>
        <w:jc w:val="both"/>
        <w:rPr>
          <w:rFonts w:ascii="Arial Narrow" w:hAnsi="Arial Narrow" w:cs="Arial"/>
          <w:b/>
          <w:bCs/>
          <w:sz w:val="22"/>
          <w:szCs w:val="22"/>
          <w:lang w:val="es-CO" w:eastAsia="en-US"/>
        </w:rPr>
      </w:pPr>
    </w:p>
    <w:p w14:paraId="22F61A5F" w14:textId="77777777" w:rsidR="000742BD" w:rsidRPr="000742BD" w:rsidRDefault="000742BD" w:rsidP="000742BD">
      <w:pPr>
        <w:shd w:val="clear" w:color="auto" w:fill="FFFFFF"/>
        <w:spacing w:before="100" w:beforeAutospacing="1"/>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En desarrollo del artículo 369 de la Constitución Política de Colombia, en todos los municipios deberán existir los "</w:t>
      </w:r>
      <w:r w:rsidRPr="000742BD">
        <w:rPr>
          <w:rFonts w:ascii="Arial Narrow" w:hAnsi="Arial Narrow" w:cs="Arial"/>
          <w:i/>
          <w:sz w:val="22"/>
          <w:szCs w:val="22"/>
          <w:lang w:val="es-ES_tradnl"/>
        </w:rPr>
        <w:t>Comités de Desarrollo y Control Social de los Servicios Públicos Domiciliario</w:t>
      </w:r>
      <w:r w:rsidRPr="000742BD">
        <w:rPr>
          <w:rFonts w:ascii="Arial Narrow" w:hAnsi="Arial Narrow" w:cs="Arial"/>
          <w:sz w:val="22"/>
          <w:szCs w:val="22"/>
          <w:lang w:val="es-ES_tradnl"/>
        </w:rPr>
        <w:t>".</w:t>
      </w:r>
    </w:p>
    <w:p w14:paraId="565E6C40" w14:textId="77777777" w:rsidR="000742BD" w:rsidRPr="000742BD" w:rsidRDefault="000742BD" w:rsidP="000742BD">
      <w:pPr>
        <w:shd w:val="clear" w:color="auto" w:fill="FFFFFF"/>
        <w:spacing w:before="100" w:beforeAutospacing="1"/>
        <w:contextualSpacing/>
        <w:jc w:val="both"/>
        <w:rPr>
          <w:rFonts w:ascii="Arial Narrow" w:hAnsi="Arial Narrow" w:cs="Arial"/>
          <w:sz w:val="22"/>
          <w:szCs w:val="22"/>
          <w:lang w:val="es-ES_tradnl"/>
        </w:rPr>
      </w:pPr>
    </w:p>
    <w:p w14:paraId="7F6BC6DC" w14:textId="77777777" w:rsidR="000742BD" w:rsidRPr="000742BD" w:rsidRDefault="000742BD" w:rsidP="000742BD">
      <w:pPr>
        <w:ind w:left="-5"/>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Por su parte el artículo 10 de la Ley 689 de 2001 modificó el artículo 62 de la Ley 142 de 1994, en los siguientes términos: "</w:t>
      </w:r>
      <w:r w:rsidRPr="000742BD">
        <w:rPr>
          <w:rFonts w:ascii="Arial Narrow" w:hAnsi="Arial Narrow" w:cs="Arial"/>
          <w:i/>
          <w:sz w:val="22"/>
          <w:szCs w:val="22"/>
          <w:lang w:val="es-ES_tradnl"/>
        </w:rPr>
        <w:t>artículo 62. Organización. En desarrollo del artículo 369 de la Constitución Política de Colombia, en todos los municipios deberán existir "Comités de Desarrollo y Control Social de los Servicios Públicos Domiciliario</w:t>
      </w:r>
      <w:r w:rsidRPr="000742BD">
        <w:rPr>
          <w:rFonts w:ascii="Arial Narrow" w:hAnsi="Arial Narrow" w:cs="Arial"/>
          <w:sz w:val="22"/>
          <w:szCs w:val="22"/>
          <w:lang w:val="es-ES_tradnl"/>
        </w:rPr>
        <w:t>".</w:t>
      </w:r>
    </w:p>
    <w:p w14:paraId="64B8F08A" w14:textId="77777777" w:rsidR="000742BD" w:rsidRPr="000742BD" w:rsidRDefault="000742BD" w:rsidP="000742BD">
      <w:pPr>
        <w:ind w:left="-5"/>
        <w:contextualSpacing/>
        <w:jc w:val="both"/>
        <w:rPr>
          <w:rFonts w:ascii="Arial Narrow" w:hAnsi="Arial Narrow" w:cs="Arial"/>
          <w:sz w:val="22"/>
          <w:szCs w:val="22"/>
          <w:lang w:val="es-ES_tradnl"/>
        </w:rPr>
      </w:pPr>
    </w:p>
    <w:p w14:paraId="25F0B979" w14:textId="77777777" w:rsidR="000742BD" w:rsidRPr="000742BD" w:rsidRDefault="000742BD" w:rsidP="000742BD">
      <w:pPr>
        <w:ind w:left="-5"/>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De acuerdo con el numeral 2 del artículo 5 de la Ley 142 de 1994, la competencia de los municipios es la de asegurar la participación de los usuarios en la gestión y fiscalización de las entidades que prestan los servicios públicos.</w:t>
      </w:r>
    </w:p>
    <w:p w14:paraId="1F081A8B" w14:textId="77777777" w:rsidR="000742BD" w:rsidRPr="000742BD" w:rsidRDefault="000742BD" w:rsidP="000742BD">
      <w:pPr>
        <w:ind w:left="-5"/>
        <w:contextualSpacing/>
        <w:jc w:val="both"/>
        <w:rPr>
          <w:rFonts w:ascii="Arial Narrow" w:hAnsi="Arial Narrow" w:cs="Arial"/>
          <w:sz w:val="22"/>
          <w:szCs w:val="22"/>
          <w:lang w:val="es-ES_tradnl"/>
        </w:rPr>
      </w:pPr>
    </w:p>
    <w:p w14:paraId="14EF1A32" w14:textId="77777777" w:rsidR="000742BD" w:rsidRPr="000742BD" w:rsidRDefault="000742BD" w:rsidP="000742BD">
      <w:pPr>
        <w:ind w:left="-5"/>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Los Comités de Desarrollo y Control Social - CDCS son organismos creados por usuarios de los servicios públicos y funcionan como mecanismo para ejercer el control social.</w:t>
      </w:r>
    </w:p>
    <w:p w14:paraId="33CC9F85" w14:textId="77777777" w:rsidR="000742BD" w:rsidRPr="000742BD" w:rsidRDefault="000742BD" w:rsidP="000742BD">
      <w:pPr>
        <w:ind w:left="-5"/>
        <w:contextualSpacing/>
        <w:jc w:val="both"/>
        <w:rPr>
          <w:rFonts w:ascii="Arial Narrow" w:hAnsi="Arial Narrow" w:cs="Arial"/>
          <w:sz w:val="22"/>
          <w:szCs w:val="22"/>
          <w:lang w:val="es-ES_tradnl"/>
        </w:rPr>
      </w:pPr>
    </w:p>
    <w:p w14:paraId="4C10835D" w14:textId="77777777" w:rsidR="000742BD" w:rsidRPr="000742BD" w:rsidRDefault="000742BD" w:rsidP="000742BD">
      <w:pPr>
        <w:ind w:left="-5"/>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El artículo 62 de la Ley 142 de 1994, manifestó que corresponderá al alcalde de cada municipio o distrito velar por la conformación de los comités, quien garantizará que tres (3) meses contados a partir de la entrada en vigencia de la presente ley exista en su municipio, por lo menos, un comité.</w:t>
      </w:r>
    </w:p>
    <w:p w14:paraId="308C5CA7" w14:textId="77777777" w:rsidR="000742BD" w:rsidRPr="000742BD" w:rsidRDefault="000742BD" w:rsidP="000742BD">
      <w:pPr>
        <w:jc w:val="both"/>
        <w:rPr>
          <w:rFonts w:ascii="Arial Narrow" w:hAnsi="Arial Narrow" w:cs="Arial"/>
          <w:b/>
          <w:bCs/>
          <w:sz w:val="22"/>
          <w:szCs w:val="22"/>
          <w:lang w:val="es-CO" w:eastAsia="en-US"/>
        </w:rPr>
      </w:pPr>
    </w:p>
    <w:p w14:paraId="13CB52A7" w14:textId="77777777" w:rsidR="000742BD" w:rsidRPr="000742BD" w:rsidRDefault="000742BD" w:rsidP="000742BD">
      <w:pPr>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 xml:space="preserve">Mediante Resolución 184 del 3 de </w:t>
      </w:r>
      <w:r w:rsidR="00F75B1D">
        <w:rPr>
          <w:rFonts w:ascii="Arial Narrow" w:hAnsi="Arial Narrow" w:cs="Arial"/>
          <w:sz w:val="22"/>
          <w:szCs w:val="22"/>
          <w:lang w:val="es-ES_tradnl"/>
        </w:rPr>
        <w:t>a</w:t>
      </w:r>
      <w:r w:rsidRPr="000742BD">
        <w:rPr>
          <w:rFonts w:ascii="Arial Narrow" w:hAnsi="Arial Narrow" w:cs="Arial"/>
          <w:sz w:val="22"/>
          <w:szCs w:val="22"/>
          <w:lang w:val="es-ES_tradnl"/>
        </w:rPr>
        <w:t xml:space="preserve">bril de 2012 se reconoció e inscribió el Comité de Desarrollo y Control Social de Servicios Públicos en el municipio de Soacha ante las empresas Acueducto y Alcantarillado de Bogotá, Aseo </w:t>
      </w:r>
      <w:r w:rsidRPr="000742BD">
        <w:rPr>
          <w:rFonts w:ascii="Arial Narrow" w:hAnsi="Arial Narrow" w:cs="Arial"/>
          <w:sz w:val="22"/>
          <w:szCs w:val="22"/>
          <w:lang w:val="es-ES_tradnl"/>
        </w:rPr>
        <w:lastRenderedPageBreak/>
        <w:t>Internacional y demás empresas que prestan en forma exclusiva los servicios de acueducto y alcantarillado, energía eléctrica, alumbrado público, distribución de gas combustible, televisión por cable y telefonía.</w:t>
      </w:r>
    </w:p>
    <w:p w14:paraId="7A2E9E4A" w14:textId="77777777" w:rsidR="000742BD" w:rsidRPr="000742BD" w:rsidRDefault="000742BD" w:rsidP="000742BD">
      <w:pPr>
        <w:contextualSpacing/>
        <w:jc w:val="both"/>
        <w:rPr>
          <w:rFonts w:ascii="Arial Narrow" w:hAnsi="Arial Narrow" w:cs="Arial"/>
          <w:sz w:val="22"/>
          <w:szCs w:val="22"/>
          <w:lang w:val="es-ES_tradnl"/>
        </w:rPr>
      </w:pPr>
    </w:p>
    <w:p w14:paraId="697B83FA" w14:textId="77777777" w:rsidR="000742BD" w:rsidRPr="000742BD" w:rsidRDefault="000742BD" w:rsidP="000742BD">
      <w:pPr>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 xml:space="preserve">Para la vigencia 2018, la Entidad a través de las resoluciones 1382 y 569 reconoció e inscribió en el Municipio de Soacha – Cundinamarca un Comité de Desarrollo y Control Social del servicio público domiciliario de aseo  y su vocal de control. </w:t>
      </w:r>
    </w:p>
    <w:p w14:paraId="4282FAD7" w14:textId="77777777" w:rsidR="000742BD" w:rsidRPr="000742BD" w:rsidRDefault="000742BD" w:rsidP="000742BD">
      <w:pPr>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Para los servicios públicos domiciliarios de acueducto y alcantarillado, con las resoluciones 1383 y 570 de 2018, reconoció e inscribió en el Municipio un comité de desarrollo y control social y su vocal de control.</w:t>
      </w:r>
    </w:p>
    <w:p w14:paraId="35DDEEF6" w14:textId="77777777" w:rsidR="000742BD" w:rsidRPr="000742BD" w:rsidRDefault="000742BD" w:rsidP="000742BD">
      <w:pPr>
        <w:contextualSpacing/>
        <w:jc w:val="both"/>
        <w:rPr>
          <w:rFonts w:ascii="Arial Narrow" w:hAnsi="Arial Narrow" w:cs="Arial"/>
          <w:sz w:val="22"/>
          <w:szCs w:val="22"/>
          <w:lang w:val="es-ES_tradnl"/>
        </w:rPr>
      </w:pPr>
    </w:p>
    <w:p w14:paraId="1E251994" w14:textId="77777777" w:rsidR="000742BD" w:rsidRPr="000742BD" w:rsidRDefault="000742BD" w:rsidP="000742BD">
      <w:pPr>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De esta manera el Municipio dio cumplimiento al decreto 1429 de 1995 “</w:t>
      </w:r>
      <w:r w:rsidRPr="000742BD">
        <w:rPr>
          <w:rFonts w:ascii="Arial Narrow" w:hAnsi="Arial Narrow" w:cs="Arial"/>
          <w:i/>
          <w:iCs/>
          <w:sz w:val="22"/>
          <w:szCs w:val="22"/>
          <w:lang w:val="es-ES_tradnl"/>
        </w:rPr>
        <w:t>por el cual se reglamenta el </w:t>
      </w:r>
      <w:r w:rsidRPr="000742BD">
        <w:rPr>
          <w:rFonts w:ascii="Arial Narrow" w:hAnsi="Arial Narrow"/>
          <w:i/>
          <w:iCs/>
          <w:sz w:val="22"/>
          <w:szCs w:val="22"/>
          <w:lang w:val="es-ES_tradnl"/>
        </w:rPr>
        <w:t>Capítulo I</w:t>
      </w:r>
      <w:r w:rsidRPr="000742BD">
        <w:rPr>
          <w:rFonts w:ascii="Arial Narrow" w:hAnsi="Arial Narrow" w:cs="Arial"/>
          <w:i/>
          <w:iCs/>
          <w:sz w:val="22"/>
          <w:szCs w:val="22"/>
          <w:lang w:val="es-ES_tradnl"/>
        </w:rPr>
        <w:t> del Título V de la Ley </w:t>
      </w:r>
      <w:hyperlink r:id="rId15" w:anchor="142" w:history="1">
        <w:r w:rsidRPr="000742BD">
          <w:rPr>
            <w:rFonts w:ascii="Arial Narrow" w:hAnsi="Arial Narrow"/>
            <w:i/>
            <w:iCs/>
            <w:sz w:val="22"/>
            <w:szCs w:val="22"/>
            <w:lang w:val="es-ES_tradnl"/>
          </w:rPr>
          <w:t>142</w:t>
        </w:r>
      </w:hyperlink>
      <w:r w:rsidRPr="000742BD">
        <w:rPr>
          <w:rFonts w:ascii="Arial Narrow" w:hAnsi="Arial Narrow" w:cs="Arial"/>
          <w:i/>
          <w:iCs/>
          <w:sz w:val="22"/>
          <w:szCs w:val="22"/>
          <w:lang w:val="es-ES_tradnl"/>
        </w:rPr>
        <w:t> de 1994, en relación con el Control Social de los Servicios Públicos Domiciliarios</w:t>
      </w:r>
      <w:r w:rsidRPr="000742BD">
        <w:rPr>
          <w:rFonts w:ascii="Arial Narrow" w:hAnsi="Arial Narrow" w:cs="Arial"/>
          <w:sz w:val="22"/>
          <w:szCs w:val="22"/>
          <w:lang w:val="es-ES_tradnl"/>
        </w:rPr>
        <w:t xml:space="preserve">.”. </w:t>
      </w:r>
    </w:p>
    <w:p w14:paraId="1052FDD0" w14:textId="77777777" w:rsidR="000742BD" w:rsidRPr="000742BD" w:rsidRDefault="000742BD" w:rsidP="000742BD">
      <w:pPr>
        <w:contextualSpacing/>
        <w:jc w:val="both"/>
        <w:rPr>
          <w:rFonts w:ascii="Arial Narrow" w:hAnsi="Arial Narrow" w:cs="Arial"/>
          <w:sz w:val="22"/>
          <w:szCs w:val="22"/>
          <w:lang w:val="es-ES_tradnl"/>
        </w:rPr>
      </w:pPr>
      <w:r w:rsidRPr="000742BD">
        <w:rPr>
          <w:rFonts w:ascii="Arial Narrow" w:hAnsi="Arial Narrow" w:cs="Arial"/>
          <w:sz w:val="22"/>
          <w:szCs w:val="22"/>
          <w:lang w:val="es-ES_tradnl"/>
        </w:rPr>
        <w:t>En cuanto a las demás competencias de la entidad, se debe verificar a través del personero, la imposición de multas y con la Administración, el cumplimiento del artículo 15 del decreto 1429.</w:t>
      </w:r>
    </w:p>
    <w:p w14:paraId="5ADFCD22" w14:textId="77777777" w:rsidR="000742BD" w:rsidRPr="000742BD" w:rsidRDefault="000742BD" w:rsidP="000742BD">
      <w:pPr>
        <w:contextualSpacing/>
        <w:jc w:val="both"/>
        <w:rPr>
          <w:rFonts w:ascii="Arial Narrow" w:hAnsi="Arial Narrow" w:cs="Arial"/>
          <w:b/>
          <w:bCs/>
          <w:sz w:val="22"/>
          <w:szCs w:val="22"/>
          <w:lang w:val="es-CO" w:eastAsia="en-US"/>
        </w:rPr>
      </w:pPr>
    </w:p>
    <w:p w14:paraId="56CD7082" w14:textId="77777777" w:rsidR="000742BD" w:rsidRPr="000742BD" w:rsidRDefault="000742BD" w:rsidP="000742BD">
      <w:pPr>
        <w:contextualSpacing/>
        <w:jc w:val="both"/>
        <w:rPr>
          <w:rFonts w:ascii="Arial Narrow" w:hAnsi="Arial Narrow" w:cs="Arial"/>
          <w:b/>
          <w:bCs/>
          <w:sz w:val="22"/>
          <w:szCs w:val="22"/>
          <w:lang w:val="es-CO" w:eastAsia="en-US"/>
        </w:rPr>
      </w:pPr>
    </w:p>
    <w:bookmarkEnd w:id="4"/>
    <w:p w14:paraId="22621F4B" w14:textId="77777777" w:rsidR="000742BD" w:rsidRPr="000742BD" w:rsidRDefault="000742BD" w:rsidP="000742BD">
      <w:pPr>
        <w:numPr>
          <w:ilvl w:val="0"/>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ANÁLISIS FINANCIERO.</w:t>
      </w:r>
    </w:p>
    <w:p w14:paraId="29574196" w14:textId="77777777" w:rsidR="000742BD" w:rsidRPr="000742BD" w:rsidRDefault="000742BD" w:rsidP="000742BD">
      <w:pPr>
        <w:jc w:val="both"/>
        <w:rPr>
          <w:rFonts w:ascii="Arial Narrow" w:hAnsi="Arial Narrow" w:cs="Arial"/>
          <w:b/>
          <w:sz w:val="22"/>
          <w:szCs w:val="22"/>
          <w:lang w:val="es-CO" w:eastAsia="en-US"/>
        </w:rPr>
      </w:pPr>
    </w:p>
    <w:p w14:paraId="137BD9F5" w14:textId="77777777" w:rsidR="000742BD" w:rsidRPr="000742BD" w:rsidRDefault="000742BD" w:rsidP="000742BD">
      <w:pPr>
        <w:jc w:val="both"/>
        <w:rPr>
          <w:rFonts w:ascii="Arial Narrow" w:hAnsi="Arial Narrow" w:cs="Arial"/>
          <w:b/>
          <w:sz w:val="22"/>
          <w:szCs w:val="22"/>
          <w:lang w:val="es-CO" w:eastAsia="en-US"/>
        </w:rPr>
      </w:pPr>
    </w:p>
    <w:p w14:paraId="116543E7" w14:textId="77777777" w:rsidR="000742BD" w:rsidRPr="000742BD" w:rsidRDefault="000742BD" w:rsidP="000742BD">
      <w:pPr>
        <w:numPr>
          <w:ilvl w:val="1"/>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 xml:space="preserve">DISTRIBUCIÓN DE RECURSOS </w:t>
      </w:r>
    </w:p>
    <w:p w14:paraId="74EABBB9" w14:textId="77777777" w:rsidR="000742BD" w:rsidRPr="000742BD" w:rsidRDefault="000742BD" w:rsidP="000742BD">
      <w:pPr>
        <w:jc w:val="both"/>
        <w:rPr>
          <w:rFonts w:ascii="Arial Narrow" w:hAnsi="Arial Narrow" w:cs="Arial"/>
          <w:b/>
          <w:sz w:val="22"/>
          <w:szCs w:val="22"/>
          <w:lang w:val="es-MX"/>
        </w:rPr>
      </w:pPr>
    </w:p>
    <w:p w14:paraId="6C309AFF" w14:textId="77777777" w:rsidR="000742BD" w:rsidRPr="000742BD" w:rsidRDefault="000742BD" w:rsidP="000742BD">
      <w:pPr>
        <w:jc w:val="both"/>
        <w:rPr>
          <w:rFonts w:ascii="Arial Narrow" w:hAnsi="Arial Narrow" w:cs="Arial"/>
          <w:sz w:val="22"/>
          <w:szCs w:val="22"/>
          <w:lang w:val="es-MX"/>
        </w:rPr>
      </w:pPr>
      <w:r w:rsidRPr="000742BD">
        <w:rPr>
          <w:rFonts w:ascii="Arial Narrow" w:hAnsi="Arial Narrow" w:cs="Arial"/>
          <w:sz w:val="22"/>
          <w:szCs w:val="22"/>
          <w:lang w:val="es-MX"/>
        </w:rPr>
        <w:t xml:space="preserve">La distribución de recursos provenientes del Sistema General de Participaciones (SGP) para el sector de Agua Potable y Saneamiento Básico (APSB) en lo correspondiente a las vigencias 2019 al 2021 se presenta de la siguiente manera: </w:t>
      </w:r>
    </w:p>
    <w:p w14:paraId="1FB70CF8" w14:textId="77777777" w:rsidR="000742BD" w:rsidRPr="000742BD" w:rsidRDefault="000742BD" w:rsidP="000742BD">
      <w:pPr>
        <w:jc w:val="both"/>
        <w:rPr>
          <w:rFonts w:ascii="Arial Narrow" w:hAnsi="Arial Narrow" w:cs="Arial"/>
          <w:sz w:val="22"/>
          <w:szCs w:val="22"/>
          <w:lang w:val="es-MX"/>
        </w:rPr>
      </w:pPr>
    </w:p>
    <w:p w14:paraId="4C7941F6" w14:textId="77777777" w:rsidR="000742BD" w:rsidRPr="000742BD" w:rsidRDefault="000742BD" w:rsidP="000742BD">
      <w:pPr>
        <w:jc w:val="center"/>
        <w:rPr>
          <w:rFonts w:ascii="Arial Narrow" w:hAnsi="Arial Narrow" w:cs="Arial"/>
          <w:sz w:val="22"/>
          <w:szCs w:val="22"/>
          <w:lang w:val="es-MX"/>
        </w:rPr>
      </w:pPr>
      <w:r w:rsidRPr="000742BD">
        <w:rPr>
          <w:rFonts w:ascii="Arial Narrow" w:hAnsi="Arial Narrow" w:cs="Arial"/>
          <w:b/>
          <w:i/>
          <w:sz w:val="22"/>
          <w:szCs w:val="22"/>
          <w:lang w:val="es-MX"/>
        </w:rPr>
        <w:t>Gráfico 1.</w:t>
      </w:r>
      <w:r w:rsidRPr="000742BD">
        <w:rPr>
          <w:rFonts w:ascii="Arial Narrow" w:hAnsi="Arial Narrow" w:cs="Arial"/>
          <w:sz w:val="22"/>
          <w:szCs w:val="22"/>
          <w:lang w:val="es-MX"/>
        </w:rPr>
        <w:t xml:space="preserve"> Recursos SGP-APSB (2019 al 2021)</w:t>
      </w:r>
    </w:p>
    <w:p w14:paraId="62E45939" w14:textId="77777777" w:rsidR="000742BD" w:rsidRPr="000742BD" w:rsidRDefault="000742BD" w:rsidP="000742BD">
      <w:pPr>
        <w:jc w:val="center"/>
        <w:rPr>
          <w:rFonts w:ascii="Arial Narrow" w:hAnsi="Arial Narrow" w:cs="Arial"/>
          <w:sz w:val="22"/>
          <w:szCs w:val="22"/>
          <w:lang w:val="es-MX"/>
        </w:rPr>
      </w:pPr>
      <w:r w:rsidRPr="000742BD">
        <w:rPr>
          <w:noProof/>
          <w:lang w:val="es-CO" w:eastAsia="es-CO"/>
        </w:rPr>
        <w:drawing>
          <wp:inline distT="0" distB="0" distL="0" distR="0" wp14:anchorId="48F0047F" wp14:editId="3AE9670F">
            <wp:extent cx="5042535" cy="1580515"/>
            <wp:effectExtent l="0" t="0" r="5715" b="635"/>
            <wp:docPr id="3"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D3FDE42" w14:textId="77777777" w:rsidR="000742BD" w:rsidRPr="000742BD" w:rsidRDefault="000742BD" w:rsidP="000742BD">
      <w:pPr>
        <w:jc w:val="both"/>
        <w:rPr>
          <w:rFonts w:ascii="Arial Narrow" w:hAnsi="Arial Narrow" w:cs="Arial"/>
          <w:sz w:val="22"/>
          <w:szCs w:val="22"/>
          <w:lang w:val="es-MX"/>
        </w:rPr>
      </w:pPr>
    </w:p>
    <w:p w14:paraId="463E8229" w14:textId="77777777" w:rsidR="000742BD" w:rsidRPr="000742BD" w:rsidRDefault="000742BD" w:rsidP="000742BD">
      <w:pPr>
        <w:jc w:val="center"/>
        <w:rPr>
          <w:rFonts w:ascii="Arial Narrow" w:hAnsi="Arial Narrow" w:cs="Arial"/>
          <w:sz w:val="16"/>
          <w:szCs w:val="16"/>
          <w:lang w:val="es-MX"/>
        </w:rPr>
      </w:pPr>
      <w:r w:rsidRPr="000742BD">
        <w:rPr>
          <w:rFonts w:ascii="Arial Narrow" w:hAnsi="Arial Narrow" w:cs="Arial"/>
          <w:b/>
          <w:i/>
          <w:sz w:val="16"/>
          <w:szCs w:val="16"/>
          <w:lang w:val="es-MX"/>
        </w:rPr>
        <w:t>Fuente</w:t>
      </w:r>
      <w:r w:rsidRPr="000742BD">
        <w:rPr>
          <w:rFonts w:ascii="Arial Narrow" w:hAnsi="Arial Narrow" w:cs="Arial"/>
          <w:b/>
          <w:sz w:val="16"/>
          <w:szCs w:val="16"/>
          <w:lang w:val="es-MX"/>
        </w:rPr>
        <w:t xml:space="preserve">: </w:t>
      </w:r>
      <w:r w:rsidRPr="000742BD">
        <w:rPr>
          <w:rFonts w:ascii="Arial Narrow" w:hAnsi="Arial Narrow" w:cs="Arial"/>
          <w:sz w:val="16"/>
          <w:szCs w:val="16"/>
          <w:lang w:val="es-MX"/>
        </w:rPr>
        <w:t>Documentos de distribución</w:t>
      </w:r>
    </w:p>
    <w:p w14:paraId="67144638" w14:textId="77777777" w:rsidR="000742BD" w:rsidRPr="000742BD" w:rsidRDefault="000742BD" w:rsidP="000742BD">
      <w:pPr>
        <w:spacing w:line="276" w:lineRule="auto"/>
        <w:jc w:val="both"/>
        <w:rPr>
          <w:rFonts w:ascii="Arial Narrow" w:hAnsi="Arial Narrow" w:cs="Arial"/>
          <w:sz w:val="22"/>
          <w:szCs w:val="22"/>
          <w:lang w:val="es-MX"/>
        </w:rPr>
      </w:pPr>
    </w:p>
    <w:p w14:paraId="0FD6BEB1" w14:textId="77777777" w:rsidR="000742BD" w:rsidRPr="000742BD" w:rsidRDefault="000742BD" w:rsidP="000742BD">
      <w:pPr>
        <w:jc w:val="both"/>
        <w:rPr>
          <w:rFonts w:ascii="Arial Narrow" w:hAnsi="Arial Narrow" w:cs="Arial"/>
          <w:sz w:val="22"/>
          <w:szCs w:val="22"/>
          <w:lang w:val="es-MX"/>
        </w:rPr>
      </w:pPr>
      <w:r w:rsidRPr="000742BD">
        <w:rPr>
          <w:rFonts w:ascii="Arial Narrow" w:hAnsi="Arial Narrow" w:cs="Arial"/>
          <w:sz w:val="22"/>
          <w:szCs w:val="22"/>
          <w:lang w:val="es-MX"/>
        </w:rPr>
        <w:t xml:space="preserve">A partir del anterior gráfico que condensa las distribuciones de los recursos del sector de Agua Potable y Saneamiento Básico en el municipio del Soacha, se puede observar como a través del periodo estudiado, esta tiende a aumentar progresivamente, con una variabilidad del 5% aproximadamente para el año 2021 con respecto a la vigencia inmediatamente anterior (2020), donde su variación nominal fue de $913 Millones de pesos. Para 2022, la distribución del recurso SGP APSB alcanzó </w:t>
      </w:r>
      <w:r w:rsidRPr="000742BD">
        <w:rPr>
          <w:rFonts w:ascii="Arial Narrow" w:hAnsi="Arial Narrow" w:cs="Arial"/>
          <w:bCs/>
          <w:sz w:val="22"/>
          <w:szCs w:val="22"/>
        </w:rPr>
        <w:t>$ 22.096 millones.</w:t>
      </w:r>
    </w:p>
    <w:p w14:paraId="3C5E58CE" w14:textId="77777777" w:rsidR="000742BD" w:rsidRPr="000742BD" w:rsidRDefault="000742BD" w:rsidP="000742BD">
      <w:pPr>
        <w:jc w:val="both"/>
        <w:rPr>
          <w:rFonts w:ascii="Arial Narrow" w:hAnsi="Arial Narrow" w:cs="Arial"/>
          <w:sz w:val="22"/>
          <w:szCs w:val="22"/>
          <w:lang w:val="es-MX"/>
        </w:rPr>
      </w:pPr>
    </w:p>
    <w:p w14:paraId="0A819BC6" w14:textId="77777777" w:rsidR="000742BD" w:rsidRPr="000742BD" w:rsidRDefault="000742BD" w:rsidP="000742BD">
      <w:pPr>
        <w:numPr>
          <w:ilvl w:val="1"/>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 xml:space="preserve">INGRESOS </w:t>
      </w:r>
    </w:p>
    <w:p w14:paraId="2941B29A" w14:textId="77777777" w:rsidR="000742BD" w:rsidRPr="000742BD" w:rsidRDefault="000742BD" w:rsidP="000742BD">
      <w:pPr>
        <w:ind w:left="1440"/>
        <w:contextualSpacing/>
        <w:jc w:val="both"/>
        <w:rPr>
          <w:rFonts w:ascii="Arial Narrow" w:hAnsi="Arial Narrow" w:cs="Arial"/>
          <w:b/>
          <w:color w:val="C0504D" w:themeColor="accent2"/>
          <w:sz w:val="22"/>
          <w:szCs w:val="22"/>
          <w:lang w:val="es-MX"/>
        </w:rPr>
      </w:pPr>
    </w:p>
    <w:p w14:paraId="586D9636" w14:textId="77777777" w:rsidR="000742BD" w:rsidRPr="000742BD" w:rsidRDefault="000742BD" w:rsidP="000742BD">
      <w:pPr>
        <w:spacing w:line="276" w:lineRule="auto"/>
        <w:jc w:val="both"/>
        <w:rPr>
          <w:rFonts w:ascii="Arial Narrow" w:hAnsi="Arial Narrow" w:cs="Arial"/>
          <w:sz w:val="22"/>
          <w:szCs w:val="22"/>
          <w:lang w:val="es-MX"/>
        </w:rPr>
      </w:pPr>
      <w:r w:rsidRPr="000742BD">
        <w:rPr>
          <w:rFonts w:ascii="Arial Narrow" w:hAnsi="Arial Narrow" w:cs="Arial"/>
          <w:sz w:val="22"/>
          <w:szCs w:val="22"/>
          <w:lang w:val="es-MX"/>
        </w:rPr>
        <w:lastRenderedPageBreak/>
        <w:t xml:space="preserve">Los ingresos del municipio de Soacha teniendo en cuenta la ejecución presupuestal de las vigencias estudiadas (2019-2020-2021), pero en especial la de la vigencia 2021, se presentan de la siguiente manera: </w:t>
      </w:r>
    </w:p>
    <w:p w14:paraId="7F286E67" w14:textId="77777777" w:rsidR="000742BD" w:rsidRPr="000742BD" w:rsidRDefault="000742BD" w:rsidP="000742BD">
      <w:pPr>
        <w:ind w:left="720"/>
        <w:contextualSpacing/>
        <w:jc w:val="both"/>
        <w:rPr>
          <w:rFonts w:ascii="Arial Narrow" w:hAnsi="Arial Narrow" w:cs="Arial"/>
          <w:b/>
          <w:sz w:val="22"/>
          <w:szCs w:val="22"/>
          <w:lang w:val="es-MX"/>
        </w:rPr>
      </w:pPr>
    </w:p>
    <w:p w14:paraId="4D206EFC" w14:textId="77777777" w:rsidR="000742BD" w:rsidRPr="000742BD" w:rsidRDefault="000742BD" w:rsidP="000742BD">
      <w:pPr>
        <w:numPr>
          <w:ilvl w:val="0"/>
          <w:numId w:val="27"/>
        </w:numPr>
        <w:spacing w:line="276" w:lineRule="auto"/>
        <w:contextualSpacing/>
        <w:jc w:val="both"/>
        <w:rPr>
          <w:rFonts w:ascii="Arial Narrow" w:hAnsi="Arial Narrow" w:cs="Arial"/>
          <w:sz w:val="22"/>
          <w:szCs w:val="22"/>
          <w:lang w:val="es-MX"/>
        </w:rPr>
      </w:pPr>
      <w:r w:rsidRPr="000742BD">
        <w:rPr>
          <w:rFonts w:ascii="Arial Narrow" w:hAnsi="Arial Narrow" w:cs="Arial"/>
          <w:sz w:val="22"/>
          <w:szCs w:val="22"/>
          <w:lang w:val="es-MX"/>
        </w:rPr>
        <w:t xml:space="preserve">Para la vigencia de 2019, el recaudo del Sistema General de Participación del sector APSB fue de </w:t>
      </w:r>
      <w:r w:rsidRPr="000742BD">
        <w:rPr>
          <w:rFonts w:ascii="Arial Narrow" w:hAnsi="Arial Narrow" w:cs="Arial"/>
          <w:b/>
          <w:sz w:val="22"/>
          <w:szCs w:val="22"/>
          <w:lang w:val="es-MX"/>
        </w:rPr>
        <w:t>$23.602 millones,</w:t>
      </w:r>
      <w:r w:rsidRPr="000742BD">
        <w:rPr>
          <w:rFonts w:ascii="Arial Narrow" w:hAnsi="Arial Narrow" w:cs="Arial"/>
          <w:sz w:val="22"/>
          <w:szCs w:val="22"/>
          <w:lang w:val="es-MX"/>
        </w:rPr>
        <w:t xml:space="preserve"> de los cuales </w:t>
      </w:r>
      <w:r w:rsidRPr="000742BD">
        <w:rPr>
          <w:rFonts w:ascii="Arial Narrow" w:hAnsi="Arial Narrow" w:cs="Arial"/>
          <w:b/>
          <w:sz w:val="22"/>
          <w:szCs w:val="22"/>
          <w:lang w:val="es-MX"/>
        </w:rPr>
        <w:t>$16.858 millones</w:t>
      </w:r>
      <w:r w:rsidRPr="000742BD">
        <w:rPr>
          <w:rFonts w:ascii="Arial Narrow" w:hAnsi="Arial Narrow" w:cs="Arial"/>
          <w:sz w:val="22"/>
          <w:szCs w:val="22"/>
          <w:lang w:val="es-MX"/>
        </w:rPr>
        <w:t xml:space="preserve"> corresponden a la transferencia sectorial. Los recursos de capital presentaron un superávit fiscal de </w:t>
      </w:r>
      <w:r w:rsidRPr="000742BD">
        <w:rPr>
          <w:rFonts w:ascii="Arial Narrow" w:hAnsi="Arial Narrow" w:cs="Arial"/>
          <w:b/>
          <w:sz w:val="22"/>
          <w:szCs w:val="22"/>
          <w:lang w:val="es-MX"/>
        </w:rPr>
        <w:t>$6.435 millones</w:t>
      </w:r>
      <w:r w:rsidRPr="000742BD">
        <w:rPr>
          <w:rFonts w:ascii="Arial Narrow" w:hAnsi="Arial Narrow" w:cs="Arial"/>
          <w:sz w:val="22"/>
          <w:szCs w:val="22"/>
          <w:lang w:val="es-MX"/>
        </w:rPr>
        <w:t xml:space="preserve"> y rendimientos financieros por valor de </w:t>
      </w:r>
      <w:r w:rsidRPr="000742BD">
        <w:rPr>
          <w:rFonts w:ascii="Arial Narrow" w:hAnsi="Arial Narrow" w:cs="Arial"/>
          <w:b/>
          <w:sz w:val="22"/>
          <w:szCs w:val="22"/>
          <w:lang w:val="es-MX"/>
        </w:rPr>
        <w:t>$309 millones.</w:t>
      </w:r>
    </w:p>
    <w:p w14:paraId="704EA644" w14:textId="77777777" w:rsidR="000742BD" w:rsidRPr="000742BD" w:rsidRDefault="000742BD" w:rsidP="000742BD">
      <w:pPr>
        <w:ind w:left="720"/>
        <w:contextualSpacing/>
        <w:jc w:val="both"/>
        <w:rPr>
          <w:rFonts w:ascii="Arial Narrow" w:hAnsi="Arial Narrow" w:cs="Arial"/>
          <w:sz w:val="22"/>
          <w:szCs w:val="22"/>
          <w:lang w:val="es-MX"/>
        </w:rPr>
      </w:pPr>
    </w:p>
    <w:p w14:paraId="144D6E0D" w14:textId="77777777" w:rsidR="000742BD" w:rsidRPr="000742BD" w:rsidRDefault="000742BD" w:rsidP="000742BD">
      <w:pPr>
        <w:numPr>
          <w:ilvl w:val="0"/>
          <w:numId w:val="27"/>
        </w:numPr>
        <w:spacing w:line="276" w:lineRule="auto"/>
        <w:contextualSpacing/>
        <w:jc w:val="both"/>
        <w:rPr>
          <w:rFonts w:ascii="Arial Narrow" w:hAnsi="Arial Narrow" w:cs="Arial"/>
          <w:sz w:val="22"/>
          <w:szCs w:val="22"/>
          <w:lang w:val="es-MX"/>
        </w:rPr>
      </w:pPr>
      <w:r w:rsidRPr="000742BD">
        <w:rPr>
          <w:rFonts w:ascii="Arial Narrow" w:hAnsi="Arial Narrow" w:cs="Arial"/>
          <w:sz w:val="22"/>
          <w:szCs w:val="22"/>
          <w:lang w:val="es-MX"/>
        </w:rPr>
        <w:t xml:space="preserve">Para la vigencia 2020, el recaudo sectorial fue de </w:t>
      </w:r>
      <w:r w:rsidRPr="000742BD">
        <w:rPr>
          <w:rFonts w:ascii="Arial Narrow" w:hAnsi="Arial Narrow" w:cs="Arial"/>
          <w:b/>
          <w:sz w:val="22"/>
          <w:szCs w:val="22"/>
          <w:lang w:val="es-MX"/>
        </w:rPr>
        <w:t>$32.381 millones,</w:t>
      </w:r>
      <w:r w:rsidRPr="000742BD">
        <w:rPr>
          <w:rFonts w:ascii="Arial Narrow" w:hAnsi="Arial Narrow" w:cs="Arial"/>
          <w:sz w:val="22"/>
          <w:szCs w:val="22"/>
          <w:lang w:val="es-MX"/>
        </w:rPr>
        <w:t xml:space="preserve"> provenientes de la transferencia sectorial por </w:t>
      </w:r>
      <w:r w:rsidRPr="000742BD">
        <w:rPr>
          <w:rFonts w:ascii="Arial Narrow" w:hAnsi="Arial Narrow" w:cs="Arial"/>
          <w:b/>
          <w:sz w:val="22"/>
          <w:szCs w:val="22"/>
          <w:lang w:val="es-MX"/>
        </w:rPr>
        <w:t>$20.832 millones</w:t>
      </w:r>
      <w:r w:rsidRPr="000742BD">
        <w:rPr>
          <w:rFonts w:ascii="Arial Narrow" w:hAnsi="Arial Narrow" w:cs="Arial"/>
          <w:sz w:val="22"/>
          <w:szCs w:val="22"/>
          <w:lang w:val="es-MX"/>
        </w:rPr>
        <w:t xml:space="preserve">, superávit fiscal por </w:t>
      </w:r>
      <w:r w:rsidRPr="000742BD">
        <w:rPr>
          <w:rFonts w:ascii="Arial Narrow" w:hAnsi="Arial Narrow" w:cs="Arial"/>
          <w:b/>
          <w:sz w:val="22"/>
          <w:szCs w:val="22"/>
          <w:lang w:val="es-MX"/>
        </w:rPr>
        <w:t xml:space="preserve">$11.041 millones </w:t>
      </w:r>
      <w:r w:rsidRPr="000742BD">
        <w:rPr>
          <w:rFonts w:ascii="Arial Narrow" w:hAnsi="Arial Narrow" w:cs="Arial"/>
          <w:sz w:val="22"/>
          <w:szCs w:val="22"/>
          <w:lang w:val="es-MX"/>
        </w:rPr>
        <w:t xml:space="preserve">y rendimientos financieros por </w:t>
      </w:r>
      <w:r w:rsidRPr="000742BD">
        <w:rPr>
          <w:rFonts w:ascii="Arial Narrow" w:hAnsi="Arial Narrow" w:cs="Arial"/>
          <w:b/>
          <w:sz w:val="22"/>
          <w:szCs w:val="22"/>
          <w:lang w:val="es-MX"/>
        </w:rPr>
        <w:t>$508 millones.</w:t>
      </w:r>
    </w:p>
    <w:p w14:paraId="79839933" w14:textId="77777777" w:rsidR="000742BD" w:rsidRPr="000742BD" w:rsidRDefault="000742BD" w:rsidP="000742BD">
      <w:pPr>
        <w:jc w:val="both"/>
        <w:rPr>
          <w:rFonts w:ascii="Arial Narrow" w:hAnsi="Arial Narrow" w:cs="Arial"/>
          <w:sz w:val="22"/>
          <w:szCs w:val="22"/>
          <w:lang w:val="es-MX"/>
        </w:rPr>
      </w:pPr>
    </w:p>
    <w:p w14:paraId="4899275F" w14:textId="77777777" w:rsidR="000742BD" w:rsidRPr="000742BD" w:rsidRDefault="000742BD" w:rsidP="000742BD">
      <w:pPr>
        <w:numPr>
          <w:ilvl w:val="0"/>
          <w:numId w:val="27"/>
        </w:numPr>
        <w:contextualSpacing/>
        <w:jc w:val="both"/>
        <w:rPr>
          <w:rFonts w:ascii="Arial Narrow" w:hAnsi="Arial Narrow" w:cs="Arial"/>
          <w:sz w:val="22"/>
          <w:szCs w:val="22"/>
          <w:lang w:val="es-MX"/>
        </w:rPr>
      </w:pPr>
      <w:r w:rsidRPr="000742BD">
        <w:rPr>
          <w:rFonts w:ascii="Arial Narrow" w:hAnsi="Arial Narrow" w:cs="Arial"/>
          <w:sz w:val="22"/>
          <w:szCs w:val="22"/>
          <w:lang w:val="es-MX"/>
        </w:rPr>
        <w:t xml:space="preserve">En lo correspondiente a la vigencia de estudio, vigencia 2021, el recaudo del Sistema General de Participación del sector APSB fue de </w:t>
      </w:r>
      <w:r w:rsidRPr="000742BD">
        <w:rPr>
          <w:rFonts w:ascii="Arial Narrow" w:hAnsi="Arial Narrow" w:cs="Arial"/>
          <w:b/>
          <w:sz w:val="22"/>
          <w:szCs w:val="22"/>
          <w:lang w:val="es-MX"/>
        </w:rPr>
        <w:t>$34.646 millones</w:t>
      </w:r>
      <w:r w:rsidRPr="000742BD">
        <w:rPr>
          <w:rFonts w:ascii="Arial Narrow" w:hAnsi="Arial Narrow" w:cs="Arial"/>
          <w:sz w:val="22"/>
          <w:szCs w:val="22"/>
          <w:lang w:val="es-MX"/>
        </w:rPr>
        <w:t xml:space="preserve">, de los cuales </w:t>
      </w:r>
      <w:r w:rsidRPr="000742BD">
        <w:rPr>
          <w:rFonts w:ascii="Arial Narrow" w:hAnsi="Arial Narrow" w:cs="Arial"/>
          <w:b/>
          <w:sz w:val="22"/>
          <w:szCs w:val="22"/>
          <w:lang w:val="es-MX"/>
        </w:rPr>
        <w:t>$21.812 millones</w:t>
      </w:r>
      <w:r w:rsidRPr="000742BD">
        <w:rPr>
          <w:rFonts w:ascii="Arial Narrow" w:hAnsi="Arial Narrow" w:cs="Arial"/>
          <w:sz w:val="22"/>
          <w:szCs w:val="22"/>
          <w:lang w:val="es-MX"/>
        </w:rPr>
        <w:t xml:space="preserve"> corresponden a transferencias para inversión sectorial</w:t>
      </w:r>
      <w:r w:rsidRPr="000742BD">
        <w:rPr>
          <w:rFonts w:ascii="Arial Narrow" w:hAnsi="Arial Narrow" w:cs="Arial"/>
          <w:b/>
          <w:sz w:val="22"/>
          <w:szCs w:val="22"/>
          <w:lang w:val="es-MX"/>
        </w:rPr>
        <w:t xml:space="preserve">. </w:t>
      </w:r>
      <w:r w:rsidRPr="000742BD">
        <w:rPr>
          <w:rFonts w:ascii="Arial Narrow" w:hAnsi="Arial Narrow" w:cs="Arial"/>
          <w:sz w:val="22"/>
          <w:szCs w:val="22"/>
          <w:lang w:val="es-MX"/>
        </w:rPr>
        <w:t xml:space="preserve">Los rendimientos financieros generados durante la vigencia fueron de </w:t>
      </w:r>
      <w:r w:rsidRPr="000742BD">
        <w:rPr>
          <w:rFonts w:ascii="Arial Narrow" w:hAnsi="Arial Narrow" w:cs="Arial"/>
          <w:b/>
          <w:sz w:val="22"/>
          <w:szCs w:val="22"/>
          <w:lang w:val="es-MX"/>
        </w:rPr>
        <w:t xml:space="preserve">$28.256 millones, </w:t>
      </w:r>
      <w:r w:rsidRPr="000742BD">
        <w:rPr>
          <w:rFonts w:ascii="Arial Narrow" w:hAnsi="Arial Narrow" w:cs="Arial"/>
          <w:sz w:val="22"/>
          <w:szCs w:val="22"/>
          <w:lang w:val="es-MX"/>
        </w:rPr>
        <w:t xml:space="preserve">y presentó un superávit fiscal por </w:t>
      </w:r>
      <w:r w:rsidRPr="000742BD">
        <w:rPr>
          <w:rFonts w:ascii="Arial Narrow" w:hAnsi="Arial Narrow" w:cs="Arial"/>
          <w:b/>
          <w:sz w:val="22"/>
          <w:szCs w:val="22"/>
          <w:lang w:val="es-MX"/>
        </w:rPr>
        <w:t xml:space="preserve">$12.806 millones. </w:t>
      </w:r>
      <w:r w:rsidRPr="000742BD">
        <w:rPr>
          <w:rFonts w:ascii="Arial Narrow" w:hAnsi="Arial Narrow" w:cs="Arial"/>
          <w:sz w:val="22"/>
          <w:szCs w:val="22"/>
          <w:lang w:val="es-MX"/>
        </w:rPr>
        <w:t xml:space="preserve"> </w:t>
      </w:r>
    </w:p>
    <w:p w14:paraId="36884C71" w14:textId="77777777" w:rsidR="000742BD" w:rsidRPr="000742BD" w:rsidRDefault="000742BD" w:rsidP="000742BD">
      <w:pPr>
        <w:ind w:left="720"/>
        <w:contextualSpacing/>
        <w:rPr>
          <w:rFonts w:ascii="Arial Narrow" w:hAnsi="Arial Narrow" w:cs="Arial"/>
          <w:sz w:val="22"/>
          <w:szCs w:val="22"/>
          <w:lang w:val="es-MX"/>
        </w:rPr>
      </w:pPr>
    </w:p>
    <w:p w14:paraId="25E9583B" w14:textId="77777777" w:rsidR="000742BD" w:rsidRPr="000742BD" w:rsidRDefault="000742BD" w:rsidP="000742BD">
      <w:pPr>
        <w:ind w:left="720"/>
        <w:contextualSpacing/>
        <w:jc w:val="both"/>
        <w:rPr>
          <w:rFonts w:ascii="Arial Narrow" w:hAnsi="Arial Narrow" w:cs="Arial"/>
          <w:sz w:val="22"/>
          <w:szCs w:val="22"/>
          <w:lang w:val="es-MX"/>
        </w:rPr>
      </w:pPr>
    </w:p>
    <w:p w14:paraId="03EA865C" w14:textId="77777777" w:rsidR="000742BD" w:rsidRPr="000742BD" w:rsidRDefault="000742BD" w:rsidP="000742BD">
      <w:pPr>
        <w:jc w:val="center"/>
        <w:rPr>
          <w:rFonts w:ascii="Arial Narrow" w:hAnsi="Arial Narrow" w:cs="Arial"/>
          <w:b/>
          <w:sz w:val="22"/>
          <w:szCs w:val="22"/>
          <w:lang w:val="es-MX"/>
        </w:rPr>
      </w:pPr>
      <w:r w:rsidRPr="000742BD">
        <w:rPr>
          <w:rFonts w:ascii="Arial Narrow" w:hAnsi="Arial Narrow" w:cs="Arial"/>
          <w:b/>
          <w:sz w:val="22"/>
          <w:szCs w:val="22"/>
          <w:lang w:val="es-MX"/>
        </w:rPr>
        <w:t>Caracterización de los ingresos de Soacha:</w:t>
      </w:r>
    </w:p>
    <w:p w14:paraId="5731305E" w14:textId="77777777" w:rsidR="000742BD" w:rsidRPr="000742BD" w:rsidRDefault="000742BD" w:rsidP="000742BD">
      <w:pPr>
        <w:jc w:val="both"/>
        <w:rPr>
          <w:rFonts w:ascii="Arial Narrow" w:hAnsi="Arial Narrow" w:cs="Arial"/>
          <w:b/>
          <w:sz w:val="22"/>
          <w:szCs w:val="22"/>
          <w:lang w:val="es-MX"/>
        </w:rPr>
      </w:pPr>
    </w:p>
    <w:tbl>
      <w:tblPr>
        <w:tblW w:w="9498" w:type="dxa"/>
        <w:tblLook w:val="04A0" w:firstRow="1" w:lastRow="0" w:firstColumn="1" w:lastColumn="0" w:noHBand="0" w:noVBand="1"/>
      </w:tblPr>
      <w:tblGrid>
        <w:gridCol w:w="1080"/>
        <w:gridCol w:w="2600"/>
        <w:gridCol w:w="1140"/>
        <w:gridCol w:w="1134"/>
        <w:gridCol w:w="2638"/>
        <w:gridCol w:w="1134"/>
        <w:gridCol w:w="1276"/>
      </w:tblGrid>
      <w:tr w:rsidR="000742BD" w:rsidRPr="000742BD" w14:paraId="64DEA81A" w14:textId="77777777" w:rsidTr="000742BD">
        <w:trPr>
          <w:trHeight w:val="300"/>
        </w:trPr>
        <w:tc>
          <w:tcPr>
            <w:tcW w:w="1080" w:type="dxa"/>
            <w:tcBorders>
              <w:top w:val="nil"/>
              <w:left w:val="nil"/>
              <w:bottom w:val="nil"/>
              <w:right w:val="nil"/>
            </w:tcBorders>
            <w:noWrap/>
            <w:vAlign w:val="bottom"/>
            <w:hideMark/>
          </w:tcPr>
          <w:p w14:paraId="151961CA" w14:textId="77777777" w:rsidR="000742BD" w:rsidRPr="000742BD" w:rsidRDefault="000742BD" w:rsidP="000742BD">
            <w:pPr>
              <w:rPr>
                <w:rFonts w:ascii="Arial Narrow" w:hAnsi="Arial Narrow"/>
                <w:sz w:val="20"/>
                <w:szCs w:val="20"/>
                <w:lang w:val="es-CO"/>
              </w:rPr>
            </w:pPr>
          </w:p>
        </w:tc>
        <w:tc>
          <w:tcPr>
            <w:tcW w:w="2600" w:type="dxa"/>
            <w:tcBorders>
              <w:top w:val="nil"/>
              <w:left w:val="nil"/>
              <w:bottom w:val="nil"/>
              <w:right w:val="nil"/>
            </w:tcBorders>
            <w:noWrap/>
            <w:vAlign w:val="bottom"/>
            <w:hideMark/>
          </w:tcPr>
          <w:p w14:paraId="09C93B7B" w14:textId="77777777" w:rsidR="000742BD" w:rsidRPr="000742BD" w:rsidRDefault="000742BD" w:rsidP="000742BD">
            <w:pPr>
              <w:rPr>
                <w:rFonts w:ascii="Arial Narrow" w:hAnsi="Arial Narrow"/>
                <w:sz w:val="20"/>
                <w:szCs w:val="20"/>
                <w:lang w:val="es-CO"/>
              </w:rPr>
            </w:pPr>
          </w:p>
        </w:tc>
        <w:tc>
          <w:tcPr>
            <w:tcW w:w="4542" w:type="dxa"/>
            <w:gridSpan w:val="4"/>
            <w:tcBorders>
              <w:top w:val="single" w:sz="4" w:space="0" w:color="auto"/>
              <w:left w:val="single" w:sz="4" w:space="0" w:color="auto"/>
              <w:bottom w:val="single" w:sz="4" w:space="0" w:color="auto"/>
              <w:right w:val="single" w:sz="4" w:space="0" w:color="auto"/>
            </w:tcBorders>
            <w:shd w:val="clear" w:color="000000" w:fill="F4B084"/>
            <w:noWrap/>
            <w:vAlign w:val="bottom"/>
            <w:hideMark/>
          </w:tcPr>
          <w:p w14:paraId="07FBA0E6"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xml:space="preserve">Recaudos - Formulario Único Territorial </w:t>
            </w:r>
          </w:p>
        </w:tc>
        <w:tc>
          <w:tcPr>
            <w:tcW w:w="1276" w:type="dxa"/>
            <w:tcBorders>
              <w:top w:val="nil"/>
              <w:left w:val="nil"/>
              <w:bottom w:val="nil"/>
              <w:right w:val="nil"/>
            </w:tcBorders>
            <w:noWrap/>
            <w:vAlign w:val="bottom"/>
            <w:hideMark/>
          </w:tcPr>
          <w:p w14:paraId="5B584868" w14:textId="77777777" w:rsidR="000742BD" w:rsidRPr="000742BD" w:rsidRDefault="000742BD" w:rsidP="000742BD">
            <w:pPr>
              <w:jc w:val="center"/>
              <w:rPr>
                <w:rFonts w:ascii="Arial Narrow" w:hAnsi="Arial Narrow" w:cs="Calibri"/>
                <w:b/>
                <w:bCs/>
                <w:color w:val="000000"/>
                <w:sz w:val="20"/>
                <w:szCs w:val="20"/>
                <w:lang w:val="es-CO"/>
              </w:rPr>
            </w:pPr>
          </w:p>
        </w:tc>
      </w:tr>
      <w:tr w:rsidR="000742BD" w:rsidRPr="000742BD" w14:paraId="073BB36D" w14:textId="77777777" w:rsidTr="000742BD">
        <w:trPr>
          <w:gridAfter w:val="1"/>
          <w:wAfter w:w="1276" w:type="dxa"/>
          <w:trHeight w:val="300"/>
        </w:trPr>
        <w:tc>
          <w:tcPr>
            <w:tcW w:w="1080" w:type="dxa"/>
            <w:vMerge w:val="restart"/>
            <w:tcBorders>
              <w:top w:val="single" w:sz="4" w:space="0" w:color="auto"/>
              <w:left w:val="nil"/>
              <w:bottom w:val="nil"/>
              <w:right w:val="single" w:sz="4" w:space="0" w:color="auto"/>
            </w:tcBorders>
            <w:shd w:val="clear" w:color="000000" w:fill="F4B084"/>
            <w:vAlign w:val="center"/>
            <w:hideMark/>
          </w:tcPr>
          <w:p w14:paraId="4CE3E3FB"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Soacha Ingresos (APSB)</w:t>
            </w:r>
          </w:p>
        </w:tc>
        <w:tc>
          <w:tcPr>
            <w:tcW w:w="2600" w:type="dxa"/>
            <w:tcBorders>
              <w:top w:val="single" w:sz="4" w:space="0" w:color="auto"/>
              <w:left w:val="nil"/>
              <w:bottom w:val="single" w:sz="4" w:space="0" w:color="auto"/>
              <w:right w:val="single" w:sz="4" w:space="0" w:color="auto"/>
            </w:tcBorders>
            <w:shd w:val="clear" w:color="000000" w:fill="F4B084"/>
            <w:noWrap/>
            <w:vAlign w:val="bottom"/>
            <w:hideMark/>
          </w:tcPr>
          <w:p w14:paraId="5DADFBA8"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xml:space="preserve">Conceptos </w:t>
            </w:r>
          </w:p>
        </w:tc>
        <w:tc>
          <w:tcPr>
            <w:tcW w:w="1140" w:type="dxa"/>
            <w:tcBorders>
              <w:top w:val="nil"/>
              <w:left w:val="nil"/>
              <w:bottom w:val="single" w:sz="4" w:space="0" w:color="auto"/>
              <w:right w:val="single" w:sz="4" w:space="0" w:color="auto"/>
            </w:tcBorders>
            <w:shd w:val="clear" w:color="000000" w:fill="F4B084"/>
            <w:noWrap/>
            <w:vAlign w:val="bottom"/>
            <w:hideMark/>
          </w:tcPr>
          <w:p w14:paraId="769C5650"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2019</w:t>
            </w:r>
          </w:p>
        </w:tc>
        <w:tc>
          <w:tcPr>
            <w:tcW w:w="1134" w:type="dxa"/>
            <w:tcBorders>
              <w:top w:val="nil"/>
              <w:left w:val="nil"/>
              <w:bottom w:val="single" w:sz="4" w:space="0" w:color="auto"/>
              <w:right w:val="single" w:sz="4" w:space="0" w:color="auto"/>
            </w:tcBorders>
            <w:shd w:val="clear" w:color="000000" w:fill="F4B084"/>
            <w:noWrap/>
            <w:vAlign w:val="bottom"/>
            <w:hideMark/>
          </w:tcPr>
          <w:p w14:paraId="66A825AF"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2020</w:t>
            </w:r>
          </w:p>
        </w:tc>
        <w:tc>
          <w:tcPr>
            <w:tcW w:w="1134" w:type="dxa"/>
            <w:tcBorders>
              <w:top w:val="nil"/>
              <w:left w:val="nil"/>
              <w:bottom w:val="single" w:sz="4" w:space="0" w:color="auto"/>
              <w:right w:val="single" w:sz="4" w:space="0" w:color="auto"/>
            </w:tcBorders>
            <w:shd w:val="clear" w:color="000000" w:fill="F4B084"/>
            <w:noWrap/>
            <w:vAlign w:val="bottom"/>
            <w:hideMark/>
          </w:tcPr>
          <w:p w14:paraId="5BBA96B2"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2021</w:t>
            </w:r>
          </w:p>
        </w:tc>
        <w:tc>
          <w:tcPr>
            <w:tcW w:w="1134" w:type="dxa"/>
            <w:tcBorders>
              <w:top w:val="single" w:sz="4" w:space="0" w:color="auto"/>
              <w:left w:val="nil"/>
              <w:bottom w:val="single" w:sz="4" w:space="0" w:color="auto"/>
              <w:right w:val="single" w:sz="4" w:space="0" w:color="auto"/>
            </w:tcBorders>
            <w:shd w:val="clear" w:color="000000" w:fill="F4B084"/>
            <w:vAlign w:val="bottom"/>
            <w:hideMark/>
          </w:tcPr>
          <w:p w14:paraId="203408A0"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(2021-2020)</w:t>
            </w:r>
          </w:p>
        </w:tc>
      </w:tr>
      <w:tr w:rsidR="000742BD" w:rsidRPr="000742BD" w14:paraId="7E5CD06E"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185F1326" w14:textId="77777777" w:rsidR="000742BD" w:rsidRPr="000742BD" w:rsidRDefault="000742BD" w:rsidP="000742BD">
            <w:pPr>
              <w:rPr>
                <w:rFonts w:ascii="Arial Narrow" w:hAnsi="Arial Narrow" w:cs="Calibri"/>
                <w:b/>
                <w:bCs/>
                <w:color w:val="000000"/>
                <w:sz w:val="20"/>
                <w:szCs w:val="20"/>
                <w:lang w:val="es-CO"/>
              </w:rPr>
            </w:pPr>
          </w:p>
        </w:tc>
        <w:tc>
          <w:tcPr>
            <w:tcW w:w="2600" w:type="dxa"/>
            <w:tcBorders>
              <w:top w:val="nil"/>
              <w:left w:val="nil"/>
              <w:bottom w:val="single" w:sz="4" w:space="0" w:color="auto"/>
              <w:right w:val="single" w:sz="4" w:space="0" w:color="auto"/>
            </w:tcBorders>
            <w:shd w:val="clear" w:color="000000" w:fill="BDD7EE"/>
            <w:noWrap/>
            <w:vAlign w:val="bottom"/>
            <w:hideMark/>
          </w:tcPr>
          <w:p w14:paraId="126E5546" w14:textId="77777777" w:rsidR="000742BD" w:rsidRPr="000742BD" w:rsidRDefault="000742BD" w:rsidP="000742BD">
            <w:pP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xml:space="preserve">Ingresos Corrientes APSB </w:t>
            </w:r>
          </w:p>
        </w:tc>
        <w:tc>
          <w:tcPr>
            <w:tcW w:w="1140" w:type="dxa"/>
            <w:tcBorders>
              <w:top w:val="nil"/>
              <w:left w:val="nil"/>
              <w:bottom w:val="single" w:sz="4" w:space="0" w:color="auto"/>
              <w:right w:val="single" w:sz="4" w:space="0" w:color="auto"/>
            </w:tcBorders>
            <w:shd w:val="clear" w:color="000000" w:fill="BDD7EE"/>
            <w:noWrap/>
            <w:vAlign w:val="bottom"/>
            <w:hideMark/>
          </w:tcPr>
          <w:p w14:paraId="2DCA284F"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$ 16.858</w:t>
            </w:r>
          </w:p>
        </w:tc>
        <w:tc>
          <w:tcPr>
            <w:tcW w:w="1134" w:type="dxa"/>
            <w:tcBorders>
              <w:top w:val="nil"/>
              <w:left w:val="nil"/>
              <w:bottom w:val="single" w:sz="4" w:space="0" w:color="auto"/>
              <w:right w:val="single" w:sz="4" w:space="0" w:color="auto"/>
            </w:tcBorders>
            <w:shd w:val="clear" w:color="000000" w:fill="BDD7EE"/>
            <w:noWrap/>
            <w:vAlign w:val="bottom"/>
            <w:hideMark/>
          </w:tcPr>
          <w:p w14:paraId="3F793C49"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$ 20.832</w:t>
            </w:r>
          </w:p>
        </w:tc>
        <w:tc>
          <w:tcPr>
            <w:tcW w:w="1134" w:type="dxa"/>
            <w:tcBorders>
              <w:top w:val="nil"/>
              <w:left w:val="nil"/>
              <w:bottom w:val="single" w:sz="4" w:space="0" w:color="auto"/>
              <w:right w:val="single" w:sz="4" w:space="0" w:color="auto"/>
            </w:tcBorders>
            <w:shd w:val="clear" w:color="000000" w:fill="BDD7EE"/>
            <w:noWrap/>
            <w:vAlign w:val="bottom"/>
            <w:hideMark/>
          </w:tcPr>
          <w:p w14:paraId="290A9157"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$ 21.812</w:t>
            </w:r>
          </w:p>
        </w:tc>
        <w:tc>
          <w:tcPr>
            <w:tcW w:w="1134" w:type="dxa"/>
            <w:tcBorders>
              <w:top w:val="nil"/>
              <w:left w:val="nil"/>
              <w:bottom w:val="single" w:sz="4" w:space="0" w:color="auto"/>
              <w:right w:val="single" w:sz="4" w:space="0" w:color="auto"/>
            </w:tcBorders>
            <w:shd w:val="clear" w:color="000000" w:fill="BDD7EE"/>
            <w:noWrap/>
            <w:vAlign w:val="bottom"/>
            <w:hideMark/>
          </w:tcPr>
          <w:p w14:paraId="157681C3" w14:textId="77777777" w:rsidR="000742BD" w:rsidRPr="000742BD" w:rsidRDefault="000742BD" w:rsidP="000742BD">
            <w:pPr>
              <w:jc w:val="center"/>
              <w:rPr>
                <w:rFonts w:ascii="Arial Narrow" w:hAnsi="Arial Narrow" w:cs="Calibri"/>
                <w:b/>
                <w:color w:val="000000"/>
                <w:sz w:val="20"/>
                <w:szCs w:val="20"/>
                <w:lang w:val="es-CO"/>
              </w:rPr>
            </w:pPr>
            <w:r w:rsidRPr="000742BD">
              <w:rPr>
                <w:rFonts w:ascii="Arial Narrow" w:hAnsi="Arial Narrow" w:cs="Calibri"/>
                <w:b/>
                <w:color w:val="000000"/>
                <w:sz w:val="20"/>
                <w:szCs w:val="20"/>
                <w:lang w:val="es-CO"/>
              </w:rPr>
              <w:t>5%</w:t>
            </w:r>
          </w:p>
        </w:tc>
      </w:tr>
      <w:tr w:rsidR="000742BD" w:rsidRPr="000742BD" w14:paraId="1E69DE65"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49B50DD0" w14:textId="77777777" w:rsidR="000742BD" w:rsidRPr="000742BD" w:rsidRDefault="000742BD" w:rsidP="000742BD">
            <w:pPr>
              <w:rPr>
                <w:rFonts w:ascii="Arial Narrow" w:hAnsi="Arial Narrow" w:cs="Calibri"/>
                <w:b/>
                <w:bCs/>
                <w:color w:val="000000"/>
                <w:sz w:val="20"/>
                <w:szCs w:val="20"/>
                <w:lang w:val="es-CO"/>
              </w:rPr>
            </w:pPr>
          </w:p>
        </w:tc>
        <w:tc>
          <w:tcPr>
            <w:tcW w:w="2600" w:type="dxa"/>
            <w:tcBorders>
              <w:top w:val="nil"/>
              <w:left w:val="nil"/>
              <w:bottom w:val="single" w:sz="4" w:space="0" w:color="auto"/>
              <w:right w:val="single" w:sz="4" w:space="0" w:color="auto"/>
            </w:tcBorders>
            <w:noWrap/>
            <w:vAlign w:val="bottom"/>
            <w:hideMark/>
          </w:tcPr>
          <w:p w14:paraId="41DFB629" w14:textId="77777777" w:rsidR="000742BD" w:rsidRPr="000742BD" w:rsidRDefault="000742BD" w:rsidP="000742BD">
            <w:pPr>
              <w:rPr>
                <w:rFonts w:ascii="Arial Narrow" w:hAnsi="Arial Narrow" w:cs="Calibri"/>
                <w:color w:val="000000"/>
                <w:sz w:val="20"/>
                <w:szCs w:val="20"/>
                <w:lang w:val="es-CO"/>
              </w:rPr>
            </w:pPr>
            <w:r w:rsidRPr="000742BD">
              <w:rPr>
                <w:rFonts w:ascii="Arial Narrow" w:hAnsi="Arial Narrow" w:cs="Calibri"/>
                <w:color w:val="000000"/>
                <w:sz w:val="20"/>
                <w:szCs w:val="20"/>
                <w:lang w:val="es-CO"/>
              </w:rPr>
              <w:t>Participación APSB</w:t>
            </w:r>
          </w:p>
        </w:tc>
        <w:tc>
          <w:tcPr>
            <w:tcW w:w="1140" w:type="dxa"/>
            <w:tcBorders>
              <w:top w:val="nil"/>
              <w:left w:val="nil"/>
              <w:bottom w:val="single" w:sz="4" w:space="0" w:color="auto"/>
              <w:right w:val="single" w:sz="4" w:space="0" w:color="auto"/>
            </w:tcBorders>
            <w:noWrap/>
            <w:vAlign w:val="bottom"/>
            <w:hideMark/>
          </w:tcPr>
          <w:p w14:paraId="3E5C1551"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$ 16.858</w:t>
            </w:r>
          </w:p>
        </w:tc>
        <w:tc>
          <w:tcPr>
            <w:tcW w:w="1134" w:type="dxa"/>
            <w:tcBorders>
              <w:top w:val="nil"/>
              <w:left w:val="nil"/>
              <w:bottom w:val="single" w:sz="4" w:space="0" w:color="auto"/>
              <w:right w:val="single" w:sz="4" w:space="0" w:color="auto"/>
            </w:tcBorders>
            <w:noWrap/>
            <w:vAlign w:val="bottom"/>
            <w:hideMark/>
          </w:tcPr>
          <w:p w14:paraId="6DAA96C5"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$ 20.832</w:t>
            </w:r>
          </w:p>
        </w:tc>
        <w:tc>
          <w:tcPr>
            <w:tcW w:w="1134" w:type="dxa"/>
            <w:tcBorders>
              <w:top w:val="nil"/>
              <w:left w:val="nil"/>
              <w:bottom w:val="single" w:sz="4" w:space="0" w:color="auto"/>
              <w:right w:val="single" w:sz="4" w:space="0" w:color="auto"/>
            </w:tcBorders>
            <w:noWrap/>
            <w:vAlign w:val="bottom"/>
            <w:hideMark/>
          </w:tcPr>
          <w:p w14:paraId="4466F54F"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$ 21.812</w:t>
            </w:r>
          </w:p>
        </w:tc>
        <w:tc>
          <w:tcPr>
            <w:tcW w:w="1134" w:type="dxa"/>
            <w:tcBorders>
              <w:top w:val="nil"/>
              <w:left w:val="nil"/>
              <w:bottom w:val="single" w:sz="4" w:space="0" w:color="auto"/>
              <w:right w:val="single" w:sz="4" w:space="0" w:color="auto"/>
            </w:tcBorders>
            <w:noWrap/>
            <w:vAlign w:val="bottom"/>
            <w:hideMark/>
          </w:tcPr>
          <w:p w14:paraId="3CDDA759"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5%</w:t>
            </w:r>
          </w:p>
        </w:tc>
      </w:tr>
      <w:tr w:rsidR="000742BD" w:rsidRPr="000742BD" w14:paraId="40E3C7B5"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5E859318" w14:textId="77777777" w:rsidR="000742BD" w:rsidRPr="000742BD" w:rsidRDefault="000742BD" w:rsidP="000742BD">
            <w:pPr>
              <w:rPr>
                <w:rFonts w:ascii="Arial Narrow" w:hAnsi="Arial Narrow" w:cs="Calibri"/>
                <w:b/>
                <w:bCs/>
                <w:color w:val="000000"/>
                <w:sz w:val="20"/>
                <w:szCs w:val="20"/>
                <w:lang w:val="es-CO"/>
              </w:rPr>
            </w:pPr>
          </w:p>
        </w:tc>
        <w:tc>
          <w:tcPr>
            <w:tcW w:w="2600" w:type="dxa"/>
            <w:tcBorders>
              <w:top w:val="nil"/>
              <w:left w:val="nil"/>
              <w:bottom w:val="single" w:sz="4" w:space="0" w:color="auto"/>
              <w:right w:val="single" w:sz="4" w:space="0" w:color="auto"/>
            </w:tcBorders>
            <w:shd w:val="clear" w:color="000000" w:fill="BDD7EE"/>
            <w:noWrap/>
            <w:vAlign w:val="bottom"/>
            <w:hideMark/>
          </w:tcPr>
          <w:p w14:paraId="4568E7B8" w14:textId="77777777" w:rsidR="000742BD" w:rsidRPr="000742BD" w:rsidRDefault="000742BD" w:rsidP="000742BD">
            <w:pP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Recursos de Capital APSB</w:t>
            </w:r>
          </w:p>
        </w:tc>
        <w:tc>
          <w:tcPr>
            <w:tcW w:w="1140" w:type="dxa"/>
            <w:tcBorders>
              <w:top w:val="nil"/>
              <w:left w:val="nil"/>
              <w:bottom w:val="single" w:sz="4" w:space="0" w:color="auto"/>
              <w:right w:val="single" w:sz="4" w:space="0" w:color="auto"/>
            </w:tcBorders>
            <w:shd w:val="clear" w:color="000000" w:fill="BDD7EE"/>
            <w:noWrap/>
            <w:vAlign w:val="bottom"/>
            <w:hideMark/>
          </w:tcPr>
          <w:p w14:paraId="648E5C2D"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$ 6.744</w:t>
            </w:r>
          </w:p>
        </w:tc>
        <w:tc>
          <w:tcPr>
            <w:tcW w:w="1134" w:type="dxa"/>
            <w:tcBorders>
              <w:top w:val="nil"/>
              <w:left w:val="nil"/>
              <w:bottom w:val="single" w:sz="4" w:space="0" w:color="auto"/>
              <w:right w:val="single" w:sz="4" w:space="0" w:color="auto"/>
            </w:tcBorders>
            <w:shd w:val="clear" w:color="000000" w:fill="BDD7EE"/>
            <w:noWrap/>
            <w:vAlign w:val="bottom"/>
            <w:hideMark/>
          </w:tcPr>
          <w:p w14:paraId="44731E7D"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$ 11.549</w:t>
            </w:r>
          </w:p>
        </w:tc>
        <w:tc>
          <w:tcPr>
            <w:tcW w:w="1134" w:type="dxa"/>
            <w:tcBorders>
              <w:top w:val="nil"/>
              <w:left w:val="nil"/>
              <w:bottom w:val="single" w:sz="4" w:space="0" w:color="auto"/>
              <w:right w:val="single" w:sz="4" w:space="0" w:color="auto"/>
            </w:tcBorders>
            <w:shd w:val="clear" w:color="000000" w:fill="BDD7EE"/>
            <w:noWrap/>
            <w:vAlign w:val="bottom"/>
            <w:hideMark/>
          </w:tcPr>
          <w:p w14:paraId="0F6569B8"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$ 12.834</w:t>
            </w:r>
          </w:p>
        </w:tc>
        <w:tc>
          <w:tcPr>
            <w:tcW w:w="1134" w:type="dxa"/>
            <w:tcBorders>
              <w:top w:val="nil"/>
              <w:left w:val="nil"/>
              <w:bottom w:val="single" w:sz="4" w:space="0" w:color="auto"/>
              <w:right w:val="single" w:sz="4" w:space="0" w:color="auto"/>
            </w:tcBorders>
            <w:shd w:val="clear" w:color="000000" w:fill="BDD7EE"/>
            <w:noWrap/>
            <w:vAlign w:val="bottom"/>
            <w:hideMark/>
          </w:tcPr>
          <w:p w14:paraId="4095762F" w14:textId="77777777" w:rsidR="000742BD" w:rsidRPr="000742BD" w:rsidRDefault="000742BD" w:rsidP="000742BD">
            <w:pPr>
              <w:jc w:val="center"/>
              <w:rPr>
                <w:rFonts w:ascii="Arial Narrow" w:hAnsi="Arial Narrow" w:cs="Calibri"/>
                <w:b/>
                <w:color w:val="000000"/>
                <w:sz w:val="20"/>
                <w:szCs w:val="20"/>
                <w:lang w:val="es-CO"/>
              </w:rPr>
            </w:pPr>
            <w:r w:rsidRPr="000742BD">
              <w:rPr>
                <w:rFonts w:ascii="Arial Narrow" w:hAnsi="Arial Narrow" w:cs="Calibri"/>
                <w:b/>
                <w:color w:val="000000"/>
                <w:sz w:val="20"/>
                <w:szCs w:val="20"/>
                <w:lang w:val="es-CO"/>
              </w:rPr>
              <w:t>11%</w:t>
            </w:r>
          </w:p>
        </w:tc>
      </w:tr>
      <w:tr w:rsidR="000742BD" w:rsidRPr="000742BD" w14:paraId="20E42D25"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7D715466" w14:textId="77777777" w:rsidR="000742BD" w:rsidRPr="000742BD" w:rsidRDefault="000742BD" w:rsidP="000742BD">
            <w:pPr>
              <w:rPr>
                <w:rFonts w:ascii="Arial Narrow" w:hAnsi="Arial Narrow" w:cs="Calibri"/>
                <w:b/>
                <w:bCs/>
                <w:color w:val="000000"/>
                <w:sz w:val="20"/>
                <w:szCs w:val="20"/>
                <w:lang w:val="es-CO"/>
              </w:rPr>
            </w:pPr>
            <w:commentRangeStart w:id="5"/>
            <w:commentRangeStart w:id="6"/>
            <w:commentRangeStart w:id="7"/>
            <w:commentRangeStart w:id="8"/>
          </w:p>
        </w:tc>
        <w:tc>
          <w:tcPr>
            <w:tcW w:w="2600" w:type="dxa"/>
            <w:tcBorders>
              <w:top w:val="nil"/>
              <w:left w:val="nil"/>
              <w:bottom w:val="single" w:sz="4" w:space="0" w:color="auto"/>
              <w:right w:val="single" w:sz="4" w:space="0" w:color="auto"/>
            </w:tcBorders>
            <w:noWrap/>
            <w:vAlign w:val="bottom"/>
            <w:hideMark/>
          </w:tcPr>
          <w:p w14:paraId="7FBFD199" w14:textId="77777777" w:rsidR="000742BD" w:rsidRPr="000742BD" w:rsidRDefault="000742BD" w:rsidP="000742BD">
            <w:pPr>
              <w:rPr>
                <w:rFonts w:ascii="Arial Narrow" w:hAnsi="Arial Narrow" w:cs="Calibri"/>
                <w:color w:val="000000"/>
                <w:sz w:val="20"/>
                <w:szCs w:val="20"/>
                <w:lang w:val="es-CO"/>
              </w:rPr>
            </w:pPr>
            <w:r w:rsidRPr="000742BD">
              <w:rPr>
                <w:rFonts w:ascii="Arial Narrow" w:hAnsi="Arial Narrow" w:cs="Calibri"/>
                <w:color w:val="000000"/>
                <w:sz w:val="20"/>
                <w:szCs w:val="20"/>
                <w:lang w:val="es-CO"/>
              </w:rPr>
              <w:t xml:space="preserve">Superávit Fiscal </w:t>
            </w:r>
          </w:p>
        </w:tc>
        <w:tc>
          <w:tcPr>
            <w:tcW w:w="1140" w:type="dxa"/>
            <w:tcBorders>
              <w:top w:val="nil"/>
              <w:left w:val="nil"/>
              <w:bottom w:val="single" w:sz="4" w:space="0" w:color="auto"/>
              <w:right w:val="single" w:sz="4" w:space="0" w:color="auto"/>
            </w:tcBorders>
            <w:noWrap/>
            <w:vAlign w:val="bottom"/>
            <w:hideMark/>
          </w:tcPr>
          <w:p w14:paraId="7CD8E738"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$ 6.435</w:t>
            </w:r>
          </w:p>
        </w:tc>
        <w:tc>
          <w:tcPr>
            <w:tcW w:w="1134" w:type="dxa"/>
            <w:tcBorders>
              <w:top w:val="nil"/>
              <w:left w:val="nil"/>
              <w:bottom w:val="single" w:sz="4" w:space="0" w:color="auto"/>
              <w:right w:val="single" w:sz="4" w:space="0" w:color="auto"/>
            </w:tcBorders>
            <w:noWrap/>
            <w:vAlign w:val="bottom"/>
            <w:hideMark/>
          </w:tcPr>
          <w:p w14:paraId="282B4D4D"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$ 11.041</w:t>
            </w:r>
          </w:p>
        </w:tc>
        <w:tc>
          <w:tcPr>
            <w:tcW w:w="1134" w:type="dxa"/>
            <w:tcBorders>
              <w:top w:val="nil"/>
              <w:left w:val="nil"/>
              <w:bottom w:val="single" w:sz="4" w:space="0" w:color="auto"/>
              <w:right w:val="single" w:sz="4" w:space="0" w:color="auto"/>
            </w:tcBorders>
            <w:noWrap/>
            <w:vAlign w:val="bottom"/>
            <w:hideMark/>
          </w:tcPr>
          <w:p w14:paraId="2041437D"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$ 12.806</w:t>
            </w:r>
            <w:r w:rsidR="00CA1897">
              <w:rPr>
                <w:rStyle w:val="Refdecomentario"/>
              </w:rPr>
              <w:commentReference w:id="8"/>
            </w:r>
            <w:r w:rsidR="00C911E2">
              <w:rPr>
                <w:rStyle w:val="Refdecomentario"/>
              </w:rPr>
              <w:commentReference w:id="7"/>
            </w:r>
            <w:r w:rsidR="008923FA">
              <w:rPr>
                <w:rStyle w:val="Refdecomentario"/>
              </w:rPr>
              <w:commentReference w:id="6"/>
            </w:r>
            <w:r w:rsidR="00993237">
              <w:rPr>
                <w:rStyle w:val="Refdecomentario"/>
              </w:rPr>
              <w:commentReference w:id="5"/>
            </w:r>
          </w:p>
        </w:tc>
        <w:tc>
          <w:tcPr>
            <w:tcW w:w="1134" w:type="dxa"/>
            <w:tcBorders>
              <w:top w:val="nil"/>
              <w:left w:val="nil"/>
              <w:bottom w:val="single" w:sz="4" w:space="0" w:color="auto"/>
              <w:right w:val="single" w:sz="4" w:space="0" w:color="auto"/>
            </w:tcBorders>
            <w:noWrap/>
            <w:vAlign w:val="bottom"/>
            <w:hideMark/>
          </w:tcPr>
          <w:p w14:paraId="02C6D4F3"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16%</w:t>
            </w:r>
          </w:p>
        </w:tc>
      </w:tr>
      <w:commentRangeEnd w:id="5"/>
      <w:commentRangeEnd w:id="6"/>
      <w:commentRangeEnd w:id="7"/>
      <w:commentRangeEnd w:id="8"/>
      <w:tr w:rsidR="000742BD" w:rsidRPr="000742BD" w14:paraId="208269D4"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6CA4A721" w14:textId="77777777" w:rsidR="000742BD" w:rsidRPr="000742BD" w:rsidRDefault="000742BD" w:rsidP="000742BD">
            <w:pPr>
              <w:rPr>
                <w:rFonts w:ascii="Arial Narrow" w:hAnsi="Arial Narrow" w:cs="Calibri"/>
                <w:b/>
                <w:bCs/>
                <w:color w:val="000000"/>
                <w:sz w:val="20"/>
                <w:szCs w:val="20"/>
                <w:lang w:val="es-CO"/>
              </w:rPr>
            </w:pPr>
          </w:p>
        </w:tc>
        <w:tc>
          <w:tcPr>
            <w:tcW w:w="2600" w:type="dxa"/>
            <w:tcBorders>
              <w:top w:val="nil"/>
              <w:left w:val="nil"/>
              <w:bottom w:val="single" w:sz="4" w:space="0" w:color="auto"/>
              <w:right w:val="single" w:sz="4" w:space="0" w:color="auto"/>
            </w:tcBorders>
            <w:noWrap/>
            <w:vAlign w:val="bottom"/>
            <w:hideMark/>
          </w:tcPr>
          <w:p w14:paraId="03AC80CC" w14:textId="77777777" w:rsidR="000742BD" w:rsidRPr="000742BD" w:rsidRDefault="000742BD" w:rsidP="000742BD">
            <w:pPr>
              <w:rPr>
                <w:rFonts w:ascii="Arial Narrow" w:hAnsi="Arial Narrow" w:cs="Calibri"/>
                <w:color w:val="000000"/>
                <w:sz w:val="20"/>
                <w:szCs w:val="20"/>
                <w:lang w:val="es-CO"/>
              </w:rPr>
            </w:pPr>
            <w:r w:rsidRPr="000742BD">
              <w:rPr>
                <w:rFonts w:ascii="Arial Narrow" w:hAnsi="Arial Narrow" w:cs="Calibri"/>
                <w:color w:val="000000"/>
                <w:sz w:val="20"/>
                <w:szCs w:val="20"/>
                <w:lang w:val="es-CO"/>
              </w:rPr>
              <w:t xml:space="preserve">Rendimientos Financieros </w:t>
            </w:r>
          </w:p>
        </w:tc>
        <w:tc>
          <w:tcPr>
            <w:tcW w:w="1140" w:type="dxa"/>
            <w:tcBorders>
              <w:top w:val="nil"/>
              <w:left w:val="nil"/>
              <w:bottom w:val="single" w:sz="4" w:space="0" w:color="auto"/>
              <w:right w:val="single" w:sz="4" w:space="0" w:color="auto"/>
            </w:tcBorders>
            <w:noWrap/>
            <w:vAlign w:val="bottom"/>
            <w:hideMark/>
          </w:tcPr>
          <w:p w14:paraId="0BD5C37E"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$ 309</w:t>
            </w:r>
          </w:p>
        </w:tc>
        <w:tc>
          <w:tcPr>
            <w:tcW w:w="1134" w:type="dxa"/>
            <w:tcBorders>
              <w:top w:val="nil"/>
              <w:left w:val="nil"/>
              <w:bottom w:val="single" w:sz="4" w:space="0" w:color="auto"/>
              <w:right w:val="single" w:sz="4" w:space="0" w:color="auto"/>
            </w:tcBorders>
            <w:noWrap/>
            <w:vAlign w:val="bottom"/>
            <w:hideMark/>
          </w:tcPr>
          <w:p w14:paraId="22B960CA"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$ 508</w:t>
            </w:r>
          </w:p>
        </w:tc>
        <w:tc>
          <w:tcPr>
            <w:tcW w:w="1134" w:type="dxa"/>
            <w:tcBorders>
              <w:top w:val="nil"/>
              <w:left w:val="nil"/>
              <w:bottom w:val="single" w:sz="4" w:space="0" w:color="auto"/>
              <w:right w:val="single" w:sz="4" w:space="0" w:color="auto"/>
            </w:tcBorders>
            <w:noWrap/>
            <w:vAlign w:val="bottom"/>
            <w:hideMark/>
          </w:tcPr>
          <w:p w14:paraId="3CC2D8B6"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$ 28</w:t>
            </w:r>
          </w:p>
        </w:tc>
        <w:tc>
          <w:tcPr>
            <w:tcW w:w="1134" w:type="dxa"/>
            <w:tcBorders>
              <w:top w:val="nil"/>
              <w:left w:val="nil"/>
              <w:bottom w:val="single" w:sz="4" w:space="0" w:color="auto"/>
              <w:right w:val="single" w:sz="4" w:space="0" w:color="auto"/>
            </w:tcBorders>
            <w:shd w:val="clear" w:color="000000" w:fill="FF0000"/>
            <w:noWrap/>
            <w:vAlign w:val="bottom"/>
            <w:hideMark/>
          </w:tcPr>
          <w:p w14:paraId="1A0081DB" w14:textId="77777777" w:rsidR="000742BD" w:rsidRPr="000742BD" w:rsidRDefault="000742BD" w:rsidP="000742BD">
            <w:pPr>
              <w:jc w:val="center"/>
              <w:rPr>
                <w:rFonts w:ascii="Arial Narrow" w:hAnsi="Arial Narrow" w:cs="Calibri"/>
                <w:color w:val="000000"/>
                <w:sz w:val="20"/>
                <w:szCs w:val="20"/>
                <w:lang w:val="es-CO"/>
              </w:rPr>
            </w:pPr>
            <w:r w:rsidRPr="000742BD">
              <w:rPr>
                <w:rFonts w:ascii="Arial Narrow" w:hAnsi="Arial Narrow" w:cs="Calibri"/>
                <w:color w:val="000000"/>
                <w:sz w:val="20"/>
                <w:szCs w:val="20"/>
                <w:lang w:val="es-CO"/>
              </w:rPr>
              <w:t>-94%</w:t>
            </w:r>
          </w:p>
        </w:tc>
      </w:tr>
      <w:tr w:rsidR="000742BD" w:rsidRPr="000742BD" w14:paraId="34C6FEE4" w14:textId="77777777" w:rsidTr="000742BD">
        <w:trPr>
          <w:gridAfter w:val="1"/>
          <w:wAfter w:w="1276" w:type="dxa"/>
          <w:trHeight w:val="300"/>
        </w:trPr>
        <w:tc>
          <w:tcPr>
            <w:tcW w:w="1080" w:type="dxa"/>
            <w:vMerge/>
            <w:tcBorders>
              <w:top w:val="single" w:sz="4" w:space="0" w:color="auto"/>
              <w:left w:val="nil"/>
              <w:bottom w:val="nil"/>
              <w:right w:val="single" w:sz="4" w:space="0" w:color="auto"/>
            </w:tcBorders>
            <w:vAlign w:val="center"/>
            <w:hideMark/>
          </w:tcPr>
          <w:p w14:paraId="4622B77E" w14:textId="77777777" w:rsidR="000742BD" w:rsidRPr="000742BD" w:rsidRDefault="000742BD" w:rsidP="000742BD">
            <w:pPr>
              <w:rPr>
                <w:rFonts w:ascii="Arial Narrow" w:hAnsi="Arial Narrow" w:cs="Calibri"/>
                <w:b/>
                <w:bCs/>
                <w:color w:val="000000"/>
                <w:sz w:val="20"/>
                <w:szCs w:val="20"/>
                <w:lang w:val="es-CO"/>
              </w:rPr>
            </w:pPr>
          </w:p>
        </w:tc>
        <w:tc>
          <w:tcPr>
            <w:tcW w:w="2600" w:type="dxa"/>
            <w:tcBorders>
              <w:top w:val="nil"/>
              <w:left w:val="nil"/>
              <w:bottom w:val="single" w:sz="4" w:space="0" w:color="auto"/>
              <w:right w:val="single" w:sz="4" w:space="0" w:color="auto"/>
            </w:tcBorders>
            <w:shd w:val="clear" w:color="000000" w:fill="BDD7EE"/>
            <w:noWrap/>
            <w:vAlign w:val="bottom"/>
            <w:hideMark/>
          </w:tcPr>
          <w:p w14:paraId="3CE62F92" w14:textId="77777777" w:rsidR="000742BD" w:rsidRPr="000742BD" w:rsidRDefault="000742BD" w:rsidP="000742BD">
            <w:pP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Ingresos Totales APSB</w:t>
            </w:r>
          </w:p>
        </w:tc>
        <w:tc>
          <w:tcPr>
            <w:tcW w:w="1140" w:type="dxa"/>
            <w:tcBorders>
              <w:top w:val="nil"/>
              <w:left w:val="nil"/>
              <w:bottom w:val="single" w:sz="4" w:space="0" w:color="auto"/>
              <w:right w:val="single" w:sz="4" w:space="0" w:color="auto"/>
            </w:tcBorders>
            <w:shd w:val="clear" w:color="000000" w:fill="BDD7EE"/>
            <w:noWrap/>
            <w:vAlign w:val="bottom"/>
            <w:hideMark/>
          </w:tcPr>
          <w:p w14:paraId="65BBC2DD"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$ 23.602</w:t>
            </w:r>
          </w:p>
        </w:tc>
        <w:tc>
          <w:tcPr>
            <w:tcW w:w="1134" w:type="dxa"/>
            <w:tcBorders>
              <w:top w:val="nil"/>
              <w:left w:val="nil"/>
              <w:bottom w:val="single" w:sz="4" w:space="0" w:color="auto"/>
              <w:right w:val="single" w:sz="4" w:space="0" w:color="auto"/>
            </w:tcBorders>
            <w:shd w:val="clear" w:color="000000" w:fill="BDD7EE"/>
            <w:noWrap/>
            <w:vAlign w:val="bottom"/>
            <w:hideMark/>
          </w:tcPr>
          <w:p w14:paraId="6F2F756B"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$ 32.381</w:t>
            </w:r>
          </w:p>
        </w:tc>
        <w:tc>
          <w:tcPr>
            <w:tcW w:w="1134" w:type="dxa"/>
            <w:tcBorders>
              <w:top w:val="nil"/>
              <w:left w:val="nil"/>
              <w:bottom w:val="single" w:sz="4" w:space="0" w:color="auto"/>
              <w:right w:val="single" w:sz="4" w:space="0" w:color="auto"/>
            </w:tcBorders>
            <w:shd w:val="clear" w:color="000000" w:fill="BDD7EE"/>
            <w:noWrap/>
            <w:vAlign w:val="bottom"/>
            <w:hideMark/>
          </w:tcPr>
          <w:p w14:paraId="0AB8819C" w14:textId="77777777" w:rsidR="000742BD" w:rsidRPr="000742BD" w:rsidRDefault="000742BD" w:rsidP="000742BD">
            <w:pPr>
              <w:jc w:val="center"/>
              <w:rPr>
                <w:rFonts w:ascii="Arial Narrow" w:hAnsi="Arial Narrow" w:cs="Calibri"/>
                <w:b/>
                <w:bCs/>
                <w:color w:val="000000"/>
                <w:sz w:val="20"/>
                <w:szCs w:val="20"/>
                <w:lang w:val="es-CO"/>
              </w:rPr>
            </w:pPr>
            <w:r w:rsidRPr="000742BD">
              <w:rPr>
                <w:rFonts w:ascii="Arial Narrow" w:hAnsi="Arial Narrow" w:cs="Calibri"/>
                <w:b/>
                <w:bCs/>
                <w:color w:val="000000"/>
                <w:sz w:val="20"/>
                <w:szCs w:val="20"/>
                <w:lang w:val="es-CO"/>
              </w:rPr>
              <w:t>$ 34.646</w:t>
            </w:r>
          </w:p>
        </w:tc>
        <w:tc>
          <w:tcPr>
            <w:tcW w:w="1134" w:type="dxa"/>
            <w:tcBorders>
              <w:top w:val="nil"/>
              <w:left w:val="nil"/>
              <w:bottom w:val="single" w:sz="4" w:space="0" w:color="auto"/>
              <w:right w:val="single" w:sz="4" w:space="0" w:color="auto"/>
            </w:tcBorders>
            <w:shd w:val="clear" w:color="000000" w:fill="BDD7EE"/>
            <w:noWrap/>
            <w:vAlign w:val="bottom"/>
            <w:hideMark/>
          </w:tcPr>
          <w:p w14:paraId="6350FB56" w14:textId="77777777" w:rsidR="000742BD" w:rsidRPr="000742BD" w:rsidRDefault="000742BD" w:rsidP="000742BD">
            <w:pPr>
              <w:jc w:val="center"/>
              <w:rPr>
                <w:rFonts w:ascii="Arial Narrow" w:hAnsi="Arial Narrow" w:cs="Calibri"/>
                <w:b/>
                <w:color w:val="000000"/>
                <w:sz w:val="20"/>
                <w:szCs w:val="20"/>
                <w:lang w:val="es-CO"/>
              </w:rPr>
            </w:pPr>
            <w:r w:rsidRPr="000742BD">
              <w:rPr>
                <w:rFonts w:ascii="Arial Narrow" w:hAnsi="Arial Narrow" w:cs="Calibri"/>
                <w:b/>
                <w:color w:val="000000"/>
                <w:sz w:val="20"/>
                <w:szCs w:val="20"/>
                <w:lang w:val="es-CO"/>
              </w:rPr>
              <w:t>7%</w:t>
            </w:r>
          </w:p>
        </w:tc>
      </w:tr>
    </w:tbl>
    <w:p w14:paraId="512D32D7" w14:textId="77777777" w:rsidR="000742BD" w:rsidRPr="000742BD" w:rsidRDefault="000742BD" w:rsidP="000742BD">
      <w:pPr>
        <w:jc w:val="center"/>
        <w:rPr>
          <w:rFonts w:ascii="Arial Narrow" w:hAnsi="Arial Narrow" w:cs="Arial"/>
          <w:sz w:val="16"/>
          <w:szCs w:val="16"/>
          <w:lang w:val="es-MX"/>
        </w:rPr>
      </w:pPr>
      <w:r w:rsidRPr="000742BD">
        <w:rPr>
          <w:rFonts w:ascii="Arial Narrow" w:hAnsi="Arial Narrow" w:cs="Arial"/>
          <w:b/>
          <w:sz w:val="16"/>
          <w:szCs w:val="16"/>
          <w:lang w:val="es-MX"/>
        </w:rPr>
        <w:t>Fuente:</w:t>
      </w:r>
      <w:r w:rsidRPr="000742BD">
        <w:rPr>
          <w:rFonts w:ascii="Arial Narrow" w:hAnsi="Arial Narrow" w:cs="Arial"/>
          <w:sz w:val="16"/>
          <w:szCs w:val="16"/>
          <w:lang w:val="es-MX"/>
        </w:rPr>
        <w:t xml:space="preserve"> Ingresos (Reporte de Información 2019-2020-2021)- Categoría del Formulario Único Territorial</w:t>
      </w:r>
    </w:p>
    <w:p w14:paraId="4E043CEB" w14:textId="77777777" w:rsidR="000742BD" w:rsidRPr="000742BD" w:rsidRDefault="000742BD" w:rsidP="000742BD">
      <w:pPr>
        <w:jc w:val="both"/>
        <w:rPr>
          <w:rFonts w:ascii="Arial Narrow" w:hAnsi="Arial Narrow" w:cs="Arial"/>
          <w:sz w:val="22"/>
          <w:szCs w:val="22"/>
          <w:lang w:val="es-MX"/>
        </w:rPr>
      </w:pPr>
    </w:p>
    <w:p w14:paraId="13A1E2E8" w14:textId="77777777" w:rsidR="000742BD" w:rsidRPr="000742BD" w:rsidRDefault="000742BD" w:rsidP="000742BD">
      <w:pPr>
        <w:jc w:val="both"/>
        <w:rPr>
          <w:rFonts w:ascii="Arial Narrow" w:hAnsi="Arial Narrow" w:cs="Arial"/>
          <w:b/>
          <w:sz w:val="22"/>
          <w:szCs w:val="22"/>
          <w:lang w:val="es-MX"/>
        </w:rPr>
      </w:pPr>
    </w:p>
    <w:p w14:paraId="448AA876" w14:textId="77777777" w:rsidR="000742BD" w:rsidRPr="000742BD" w:rsidRDefault="000742BD" w:rsidP="000742BD">
      <w:pPr>
        <w:jc w:val="both"/>
        <w:rPr>
          <w:rFonts w:ascii="Arial Narrow" w:hAnsi="Arial Narrow" w:cs="Arial"/>
          <w:sz w:val="22"/>
          <w:szCs w:val="22"/>
          <w:lang w:val="es-MX"/>
        </w:rPr>
      </w:pPr>
      <w:r w:rsidRPr="000742BD">
        <w:rPr>
          <w:rFonts w:ascii="Arial Narrow" w:hAnsi="Arial Narrow" w:cs="Arial"/>
          <w:sz w:val="22"/>
          <w:szCs w:val="22"/>
          <w:lang w:val="es-MX"/>
        </w:rPr>
        <w:t>A partir del anterior análisis sobre los ingresos del sector APSB del municipio de Soacha durante las vigencias 2019-2020-2021, se observa una tendencia ascendente de las transferencias (participación) sectorial, en especial, la vigencia 2021 con respecto a la vigencia inmediatamente anterior, donde aumenta nominalmente $980 millones de pesos (5%), aunque, dicho valor es proporcionalmente bajo en comparación entre la vigencia 2020-2019, donde un hubo un aumento del 24% correspondiente a $3.974 millones de pesos.</w:t>
      </w:r>
    </w:p>
    <w:p w14:paraId="166D89F7" w14:textId="77777777" w:rsidR="000742BD" w:rsidRPr="000742BD" w:rsidRDefault="000742BD" w:rsidP="000742BD">
      <w:pPr>
        <w:spacing w:line="276" w:lineRule="auto"/>
        <w:jc w:val="both"/>
        <w:rPr>
          <w:rFonts w:ascii="Arial Narrow" w:hAnsi="Arial Narrow" w:cs="Arial"/>
          <w:sz w:val="22"/>
          <w:szCs w:val="22"/>
          <w:lang w:val="es-MX"/>
        </w:rPr>
      </w:pPr>
    </w:p>
    <w:p w14:paraId="03528D12" w14:textId="77777777" w:rsidR="000742BD" w:rsidRPr="000742BD" w:rsidRDefault="000742BD" w:rsidP="000742BD">
      <w:pPr>
        <w:jc w:val="both"/>
        <w:rPr>
          <w:rFonts w:ascii="Arial Narrow" w:hAnsi="Arial Narrow" w:cs="Arial"/>
          <w:sz w:val="22"/>
          <w:szCs w:val="22"/>
          <w:lang w:val="es-MX"/>
        </w:rPr>
      </w:pPr>
      <w:r w:rsidRPr="000742BD">
        <w:rPr>
          <w:rFonts w:ascii="Arial Narrow" w:hAnsi="Arial Narrow" w:cs="Arial"/>
          <w:sz w:val="22"/>
          <w:szCs w:val="22"/>
          <w:lang w:val="es-MX"/>
        </w:rPr>
        <w:t xml:space="preserve">Así mismo, se resalta que, a pesar, del hecho de que hubo una variación negativa en referencia a los rendimientos financieros entre las vigencias 2021-2020, con un -94% correspondiente a -$480 millones de pesos, los recursos de capitales generaron en la vigencia 2021, un aumento total del 11% equivalente a un aumento en referencia a la vigencia anterior del 2020 de $1.285 millones de pesos. </w:t>
      </w:r>
    </w:p>
    <w:p w14:paraId="10FA91D5" w14:textId="77777777" w:rsidR="000742BD" w:rsidRPr="000742BD" w:rsidRDefault="000742BD" w:rsidP="000742BD">
      <w:pPr>
        <w:spacing w:line="276" w:lineRule="auto"/>
        <w:jc w:val="both"/>
        <w:rPr>
          <w:rFonts w:ascii="Arial Narrow" w:hAnsi="Arial Narrow" w:cs="Arial"/>
          <w:sz w:val="22"/>
          <w:szCs w:val="22"/>
          <w:lang w:val="es-MX"/>
        </w:rPr>
      </w:pPr>
    </w:p>
    <w:p w14:paraId="77B944E3" w14:textId="77777777" w:rsidR="000742BD" w:rsidRPr="000742BD" w:rsidRDefault="000742BD" w:rsidP="000742BD">
      <w:pPr>
        <w:jc w:val="both"/>
        <w:rPr>
          <w:rFonts w:ascii="Arial Narrow" w:hAnsi="Arial Narrow" w:cs="Arial"/>
          <w:sz w:val="22"/>
          <w:szCs w:val="22"/>
          <w:lang w:val="es-MX"/>
        </w:rPr>
      </w:pPr>
      <w:r w:rsidRPr="000742BD">
        <w:rPr>
          <w:rFonts w:ascii="Arial Narrow" w:hAnsi="Arial Narrow" w:cs="Arial"/>
          <w:sz w:val="22"/>
          <w:szCs w:val="22"/>
          <w:lang w:val="es-MX"/>
        </w:rPr>
        <w:lastRenderedPageBreak/>
        <w:t>La variación total del recaudo del sector APSB del municipio de Soacha de la vigencia 2021 en comparación con la vigencia inmediatamente anterior fue de $2.265 millones de pesos (11%).</w:t>
      </w:r>
    </w:p>
    <w:p w14:paraId="1994A543" w14:textId="77777777" w:rsidR="000742BD" w:rsidRPr="000742BD" w:rsidRDefault="000742BD" w:rsidP="000742BD">
      <w:pPr>
        <w:jc w:val="both"/>
        <w:rPr>
          <w:rFonts w:ascii="Arial Narrow" w:hAnsi="Arial Narrow" w:cs="Arial"/>
          <w:sz w:val="22"/>
          <w:szCs w:val="22"/>
          <w:lang w:val="es-MX"/>
        </w:rPr>
      </w:pPr>
    </w:p>
    <w:p w14:paraId="7694CB49" w14:textId="77777777" w:rsidR="000742BD" w:rsidRPr="000742BD" w:rsidRDefault="000742BD" w:rsidP="000742BD">
      <w:pPr>
        <w:numPr>
          <w:ilvl w:val="1"/>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GASTOS</w:t>
      </w:r>
    </w:p>
    <w:p w14:paraId="4547A874" w14:textId="77777777" w:rsidR="000742BD" w:rsidRPr="000742BD" w:rsidRDefault="000742BD" w:rsidP="000742BD">
      <w:pPr>
        <w:spacing w:line="276" w:lineRule="auto"/>
        <w:jc w:val="both"/>
        <w:rPr>
          <w:rFonts w:ascii="Arial Narrow" w:hAnsi="Arial Narrow" w:cs="Arial"/>
          <w:sz w:val="22"/>
          <w:szCs w:val="22"/>
          <w:lang w:val="es-MX"/>
        </w:rPr>
      </w:pPr>
    </w:p>
    <w:p w14:paraId="69164A92" w14:textId="77777777" w:rsidR="000742BD" w:rsidRPr="000742BD" w:rsidRDefault="000742BD" w:rsidP="000742BD">
      <w:pPr>
        <w:jc w:val="both"/>
        <w:rPr>
          <w:rFonts w:ascii="Arial Narrow" w:hAnsi="Arial Narrow" w:cs="Arial"/>
          <w:b/>
          <w:sz w:val="22"/>
          <w:szCs w:val="22"/>
          <w:lang w:val="es-MX"/>
        </w:rPr>
      </w:pPr>
      <w:r w:rsidRPr="000742BD">
        <w:rPr>
          <w:rFonts w:ascii="Arial Narrow" w:hAnsi="Arial Narrow" w:cs="Arial"/>
          <w:b/>
          <w:sz w:val="22"/>
          <w:szCs w:val="22"/>
          <w:lang w:val="es-MX"/>
        </w:rPr>
        <w:t>VIGENCIA 2019</w:t>
      </w:r>
    </w:p>
    <w:p w14:paraId="1737BA7A" w14:textId="77777777" w:rsidR="000742BD" w:rsidRPr="000742BD" w:rsidRDefault="000742BD" w:rsidP="000742BD">
      <w:pPr>
        <w:jc w:val="both"/>
        <w:rPr>
          <w:rFonts w:ascii="Arial Narrow" w:hAnsi="Arial Narrow" w:cs="Arial"/>
          <w:b/>
          <w:sz w:val="22"/>
          <w:szCs w:val="22"/>
          <w:lang w:val="es-MX"/>
        </w:rPr>
      </w:pPr>
    </w:p>
    <w:p w14:paraId="4FF9A253" w14:textId="77777777" w:rsidR="000742BD" w:rsidRPr="000742BD" w:rsidRDefault="000742BD" w:rsidP="000742BD">
      <w:pPr>
        <w:ind w:left="-5"/>
        <w:jc w:val="both"/>
        <w:rPr>
          <w:rFonts w:ascii="Arial Narrow" w:hAnsi="Arial Narrow" w:cs="Arial"/>
          <w:sz w:val="22"/>
          <w:szCs w:val="22"/>
        </w:rPr>
      </w:pPr>
      <w:r w:rsidRPr="000742BD">
        <w:rPr>
          <w:rFonts w:ascii="Arial Narrow" w:hAnsi="Arial Narrow" w:cs="Arial"/>
          <w:sz w:val="22"/>
          <w:szCs w:val="22"/>
        </w:rPr>
        <w:t xml:space="preserve">Para la vigencia 2019, los compromisos con los recursos sectoriales fueron del orden de </w:t>
      </w:r>
      <w:r w:rsidRPr="000742BD">
        <w:rPr>
          <w:rFonts w:ascii="Arial Narrow" w:hAnsi="Arial Narrow" w:cs="Arial"/>
          <w:b/>
          <w:sz w:val="22"/>
          <w:szCs w:val="22"/>
        </w:rPr>
        <w:t>$ 19.291 millones</w:t>
      </w:r>
      <w:r w:rsidRPr="000742BD">
        <w:rPr>
          <w:rFonts w:ascii="Arial Narrow" w:hAnsi="Arial Narrow" w:cs="Arial"/>
          <w:sz w:val="22"/>
          <w:szCs w:val="22"/>
        </w:rPr>
        <w:t xml:space="preserve">, obligaciones por </w:t>
      </w:r>
      <w:r w:rsidRPr="000742BD">
        <w:rPr>
          <w:rFonts w:ascii="Arial Narrow" w:hAnsi="Arial Narrow" w:cs="Arial"/>
          <w:b/>
          <w:sz w:val="22"/>
          <w:szCs w:val="22"/>
        </w:rPr>
        <w:t>$14.314 millones</w:t>
      </w:r>
      <w:r w:rsidRPr="000742BD">
        <w:rPr>
          <w:rFonts w:ascii="Arial Narrow" w:hAnsi="Arial Narrow" w:cs="Arial"/>
          <w:sz w:val="22"/>
          <w:szCs w:val="22"/>
        </w:rPr>
        <w:t xml:space="preserve">, y pagos por </w:t>
      </w:r>
      <w:r w:rsidRPr="000742BD">
        <w:rPr>
          <w:rFonts w:ascii="Arial Narrow" w:hAnsi="Arial Narrow" w:cs="Arial"/>
          <w:b/>
          <w:sz w:val="22"/>
          <w:szCs w:val="22"/>
        </w:rPr>
        <w:t>$ 14.090 millones</w:t>
      </w:r>
      <w:r w:rsidRPr="000742BD">
        <w:rPr>
          <w:rFonts w:ascii="Arial Narrow" w:hAnsi="Arial Narrow" w:cs="Arial"/>
          <w:sz w:val="22"/>
          <w:szCs w:val="22"/>
        </w:rPr>
        <w:t>.</w:t>
      </w:r>
    </w:p>
    <w:p w14:paraId="36D53959" w14:textId="77777777" w:rsidR="000742BD" w:rsidRPr="000742BD" w:rsidRDefault="000742BD" w:rsidP="000742BD">
      <w:pPr>
        <w:ind w:left="-5"/>
        <w:jc w:val="both"/>
        <w:rPr>
          <w:rFonts w:ascii="Arial Narrow" w:hAnsi="Arial Narrow" w:cs="Arial"/>
          <w:sz w:val="22"/>
          <w:szCs w:val="22"/>
        </w:rPr>
      </w:pPr>
    </w:p>
    <w:p w14:paraId="2D05D417"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La ejecución presupuestal durante esta vigencia fue más notoria al evidenciar un aumento en el pago de los subsidios de los servicios de acueducto y aseo, teniendo compromisos de $6.024 millones por concepto de subsidios, las obligaciones y los pagos fueron de $5.576 millones cada una. Al cotejar esta información con el formulario de Registros Presupuestales existe una diferencia de $108 millones reportados de más en el RP del servicio de acueducto - subsidios.</w:t>
      </w:r>
    </w:p>
    <w:p w14:paraId="53A63824" w14:textId="77777777" w:rsidR="000742BD" w:rsidRPr="000742BD" w:rsidRDefault="000742BD" w:rsidP="000742BD">
      <w:pPr>
        <w:jc w:val="both"/>
        <w:rPr>
          <w:rFonts w:ascii="Arial Narrow" w:hAnsi="Arial Narrow" w:cs="Arial"/>
          <w:sz w:val="22"/>
          <w:szCs w:val="22"/>
        </w:rPr>
      </w:pPr>
    </w:p>
    <w:p w14:paraId="2AC4A95A"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Con respecto, a la implementación del Plan de Gestión Integral de Residuos Sólidos – PGIRS en esta vigencia se realizó su ejecución sumando recursos de la transferencia del 2019 y el saldo no ejecutado pero comprometido en el año 2018, esto explica el aumento del compromiso.</w:t>
      </w:r>
    </w:p>
    <w:p w14:paraId="55A1A73A" w14:textId="77777777" w:rsidR="000742BD" w:rsidRPr="000742BD" w:rsidRDefault="000742BD" w:rsidP="000742BD">
      <w:pPr>
        <w:jc w:val="both"/>
        <w:rPr>
          <w:rFonts w:ascii="Arial Narrow" w:hAnsi="Arial Narrow" w:cs="Arial"/>
          <w:sz w:val="22"/>
          <w:szCs w:val="22"/>
        </w:rPr>
      </w:pPr>
    </w:p>
    <w:p w14:paraId="35994B7D"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Además de este proyecto la Alcaldía realizó compromisos para el servicio de alcantarillado en transporte por un valor de $ 9.312 millones, obligaciones por un monto de $5.046 millones de las cuales ha efectuado pagos por $4.822 millones. Al contrastar este reporte con el Registro Presupuestal, existe una diferencia de $108 millones que no se reportaron en el RP, adicional a esto en el mantenimiento y mejoramiento de las redes de alcantarillado se han destinado $5.169 millones y $3.310 millones aparentan tener una ejecución indebida del recurso.</w:t>
      </w:r>
    </w:p>
    <w:p w14:paraId="54F1D812" w14:textId="77777777" w:rsidR="000742BD" w:rsidRPr="000742BD" w:rsidRDefault="000742BD" w:rsidP="000742BD">
      <w:pPr>
        <w:jc w:val="both"/>
        <w:rPr>
          <w:rFonts w:ascii="Arial Narrow" w:hAnsi="Arial Narrow" w:cs="Arial"/>
          <w:sz w:val="22"/>
          <w:szCs w:val="22"/>
        </w:rPr>
      </w:pPr>
    </w:p>
    <w:p w14:paraId="5CFB0653" w14:textId="77777777" w:rsidR="000742BD" w:rsidRPr="000742BD" w:rsidRDefault="000742BD" w:rsidP="000742BD">
      <w:pPr>
        <w:jc w:val="both"/>
        <w:rPr>
          <w:rFonts w:ascii="Arial Narrow" w:hAnsi="Arial Narrow" w:cs="Arial"/>
          <w:color w:val="00B0F0"/>
          <w:sz w:val="22"/>
          <w:szCs w:val="22"/>
        </w:rPr>
      </w:pPr>
      <w:r w:rsidRPr="000742BD">
        <w:rPr>
          <w:rFonts w:ascii="Arial Narrow" w:hAnsi="Arial Narrow" w:cs="Arial"/>
          <w:sz w:val="22"/>
          <w:szCs w:val="22"/>
        </w:rPr>
        <w:t>En la actividad de Preinversiones y estudios se realizaron compromisos por $474 millones, las obligaciones y pagos fueron de $211 millones cada una, cotejando la información con el RP estas inversiones se realizaron en interventorías y consultorías</w:t>
      </w:r>
      <w:r w:rsidRPr="000742BD">
        <w:rPr>
          <w:rFonts w:ascii="Arial Narrow" w:hAnsi="Arial Narrow" w:cs="Arial"/>
          <w:color w:val="00B0F0"/>
          <w:sz w:val="22"/>
          <w:szCs w:val="22"/>
        </w:rPr>
        <w:t>.</w:t>
      </w:r>
    </w:p>
    <w:p w14:paraId="252E8B8D" w14:textId="77777777" w:rsidR="000742BD" w:rsidRPr="000742BD" w:rsidRDefault="000742BD" w:rsidP="000742BD">
      <w:pPr>
        <w:spacing w:line="276" w:lineRule="auto"/>
        <w:jc w:val="both"/>
        <w:rPr>
          <w:rFonts w:ascii="Arial Narrow" w:hAnsi="Arial Narrow" w:cs="Arial"/>
          <w:sz w:val="22"/>
          <w:szCs w:val="22"/>
        </w:rPr>
      </w:pPr>
    </w:p>
    <w:p w14:paraId="05AC5B32" w14:textId="77777777" w:rsidR="000742BD" w:rsidRPr="000742BD" w:rsidRDefault="000742BD" w:rsidP="000742BD">
      <w:pPr>
        <w:spacing w:line="276" w:lineRule="auto"/>
        <w:jc w:val="both"/>
        <w:rPr>
          <w:rFonts w:ascii="Arial Narrow" w:hAnsi="Arial Narrow" w:cs="Arial"/>
          <w:b/>
          <w:sz w:val="22"/>
          <w:szCs w:val="22"/>
          <w:lang w:val="es-MX"/>
        </w:rPr>
      </w:pPr>
      <w:r w:rsidRPr="000742BD">
        <w:rPr>
          <w:rFonts w:ascii="Arial Narrow" w:hAnsi="Arial Narrow" w:cs="Arial"/>
          <w:b/>
          <w:sz w:val="22"/>
          <w:szCs w:val="22"/>
          <w:lang w:val="es-MX"/>
        </w:rPr>
        <w:t>VIGENCIA 2020</w:t>
      </w:r>
    </w:p>
    <w:p w14:paraId="40333EC4" w14:textId="77777777" w:rsidR="000742BD" w:rsidRPr="000742BD" w:rsidRDefault="000742BD" w:rsidP="000742BD">
      <w:pPr>
        <w:spacing w:line="276" w:lineRule="auto"/>
        <w:jc w:val="both"/>
        <w:rPr>
          <w:rFonts w:ascii="Arial Narrow" w:hAnsi="Arial Narrow" w:cs="Arial"/>
          <w:b/>
          <w:sz w:val="22"/>
          <w:szCs w:val="22"/>
          <w:lang w:val="es-MX"/>
        </w:rPr>
      </w:pPr>
    </w:p>
    <w:p w14:paraId="08FBC87D" w14:textId="77777777" w:rsidR="000742BD" w:rsidRPr="000742BD" w:rsidRDefault="000742BD" w:rsidP="000742BD">
      <w:pPr>
        <w:ind w:left="-5"/>
        <w:jc w:val="both"/>
        <w:rPr>
          <w:rFonts w:ascii="Arial Narrow" w:hAnsi="Arial Narrow" w:cs="Arial"/>
          <w:sz w:val="22"/>
          <w:szCs w:val="22"/>
        </w:rPr>
      </w:pPr>
      <w:r w:rsidRPr="000742BD">
        <w:rPr>
          <w:rFonts w:ascii="Arial Narrow" w:hAnsi="Arial Narrow" w:cs="Arial"/>
          <w:sz w:val="22"/>
          <w:szCs w:val="22"/>
        </w:rPr>
        <w:t xml:space="preserve">Para la vigencia 2020, los compromisos en referencia a los recursos sectoriales fueron aproximadamente </w:t>
      </w:r>
      <w:r w:rsidRPr="000742BD">
        <w:rPr>
          <w:rFonts w:ascii="Arial Narrow" w:hAnsi="Arial Narrow" w:cs="Arial"/>
          <w:b/>
          <w:sz w:val="22"/>
          <w:szCs w:val="22"/>
        </w:rPr>
        <w:t>$17.951 millones</w:t>
      </w:r>
      <w:r w:rsidRPr="000742BD">
        <w:rPr>
          <w:rFonts w:ascii="Arial Narrow" w:hAnsi="Arial Narrow" w:cs="Arial"/>
          <w:sz w:val="22"/>
          <w:szCs w:val="22"/>
        </w:rPr>
        <w:t xml:space="preserve">, obligaciones por </w:t>
      </w:r>
      <w:r w:rsidRPr="000742BD">
        <w:rPr>
          <w:rFonts w:ascii="Arial Narrow" w:hAnsi="Arial Narrow" w:cs="Arial"/>
          <w:b/>
          <w:sz w:val="22"/>
          <w:szCs w:val="22"/>
        </w:rPr>
        <w:t xml:space="preserve">$6.239 millones </w:t>
      </w:r>
      <w:r w:rsidRPr="000742BD">
        <w:rPr>
          <w:rFonts w:ascii="Arial Narrow" w:hAnsi="Arial Narrow" w:cs="Arial"/>
          <w:sz w:val="22"/>
          <w:szCs w:val="22"/>
        </w:rPr>
        <w:t xml:space="preserve">y los pagos efectuados fueron por </w:t>
      </w:r>
      <w:r w:rsidRPr="000742BD">
        <w:rPr>
          <w:rFonts w:ascii="Arial Narrow" w:hAnsi="Arial Narrow" w:cs="Arial"/>
          <w:b/>
          <w:sz w:val="22"/>
          <w:szCs w:val="22"/>
        </w:rPr>
        <w:t>$5.009 millones.</w:t>
      </w:r>
      <w:r w:rsidRPr="000742BD">
        <w:rPr>
          <w:rFonts w:ascii="Arial Narrow" w:hAnsi="Arial Narrow" w:cs="Arial"/>
          <w:sz w:val="22"/>
          <w:szCs w:val="22"/>
        </w:rPr>
        <w:t xml:space="preserve"> </w:t>
      </w:r>
    </w:p>
    <w:p w14:paraId="3E470A60" w14:textId="77777777" w:rsidR="000742BD" w:rsidRPr="000742BD" w:rsidRDefault="000742BD" w:rsidP="000742BD">
      <w:pPr>
        <w:jc w:val="both"/>
        <w:rPr>
          <w:rFonts w:ascii="Arial Narrow" w:hAnsi="Arial Narrow" w:cs="Arial"/>
          <w:color w:val="FF0000"/>
          <w:sz w:val="22"/>
          <w:szCs w:val="22"/>
        </w:rPr>
      </w:pPr>
      <w:r w:rsidRPr="000742BD">
        <w:rPr>
          <w:rFonts w:ascii="Arial Narrow" w:hAnsi="Arial Narrow" w:cs="Arial"/>
          <w:sz w:val="22"/>
          <w:szCs w:val="22"/>
        </w:rPr>
        <w:t xml:space="preserve">Durante esta vigencia con cargo a los recursos del SGP – APSB se enfocaron en atender a la población subsidiada en los tres servicios, siendo los compromisos de </w:t>
      </w:r>
      <w:r w:rsidRPr="000742BD">
        <w:rPr>
          <w:rFonts w:ascii="Arial Narrow" w:hAnsi="Arial Narrow" w:cs="Arial"/>
          <w:b/>
          <w:sz w:val="22"/>
          <w:szCs w:val="22"/>
        </w:rPr>
        <w:t xml:space="preserve">$6.923 millones </w:t>
      </w:r>
      <w:r w:rsidRPr="000742BD">
        <w:rPr>
          <w:rFonts w:ascii="Arial Narrow" w:hAnsi="Arial Narrow" w:cs="Arial"/>
          <w:i/>
          <w:sz w:val="22"/>
          <w:szCs w:val="22"/>
        </w:rPr>
        <w:t>(Acueducto $1.877 millones; Alcantarillado $1.637 millones; Aseo $3.409 millones),</w:t>
      </w:r>
      <w:r w:rsidRPr="000742BD">
        <w:rPr>
          <w:rFonts w:ascii="Arial Narrow" w:hAnsi="Arial Narrow" w:cs="Arial"/>
          <w:b/>
          <w:sz w:val="22"/>
          <w:szCs w:val="22"/>
        </w:rPr>
        <w:t xml:space="preserve"> </w:t>
      </w:r>
      <w:r w:rsidRPr="000742BD">
        <w:rPr>
          <w:rFonts w:ascii="Arial Narrow" w:hAnsi="Arial Narrow" w:cs="Arial"/>
          <w:sz w:val="22"/>
          <w:szCs w:val="22"/>
        </w:rPr>
        <w:t xml:space="preserve">por concepto de obligaciones </w:t>
      </w:r>
      <w:r w:rsidRPr="000742BD">
        <w:rPr>
          <w:rFonts w:ascii="Arial Narrow" w:hAnsi="Arial Narrow" w:cs="Arial"/>
          <w:b/>
          <w:sz w:val="22"/>
          <w:szCs w:val="22"/>
        </w:rPr>
        <w:t>$5.889 millones</w:t>
      </w:r>
      <w:r w:rsidRPr="000742BD">
        <w:rPr>
          <w:rFonts w:ascii="Arial Narrow" w:hAnsi="Arial Narrow" w:cs="Arial"/>
          <w:sz w:val="22"/>
          <w:szCs w:val="22"/>
        </w:rPr>
        <w:t xml:space="preserve"> y pagos por </w:t>
      </w:r>
      <w:r w:rsidRPr="000742BD">
        <w:rPr>
          <w:rFonts w:ascii="Arial Narrow" w:hAnsi="Arial Narrow" w:cs="Arial"/>
          <w:b/>
          <w:sz w:val="22"/>
          <w:szCs w:val="22"/>
        </w:rPr>
        <w:t xml:space="preserve">$5.009 millones. </w:t>
      </w:r>
      <w:r w:rsidRPr="000742BD">
        <w:rPr>
          <w:rFonts w:ascii="Arial Narrow" w:hAnsi="Arial Narrow" w:cs="Arial"/>
          <w:sz w:val="22"/>
          <w:szCs w:val="22"/>
        </w:rPr>
        <w:t xml:space="preserve">Sin embargo, al revisar y comparar la información proyectada en el formulario de registro presupuestal, </w:t>
      </w:r>
      <w:r w:rsidRPr="000742BD">
        <w:rPr>
          <w:rFonts w:ascii="Arial Narrow" w:hAnsi="Arial Narrow" w:cs="Arial"/>
          <w:sz w:val="22"/>
          <w:szCs w:val="22"/>
          <w:u w:val="single"/>
        </w:rPr>
        <w:t xml:space="preserve">se encontró que existe una diferencia de </w:t>
      </w:r>
      <w:r w:rsidRPr="000742BD">
        <w:rPr>
          <w:rFonts w:ascii="Arial Narrow" w:hAnsi="Arial Narrow" w:cs="Arial"/>
          <w:b/>
          <w:sz w:val="22"/>
          <w:szCs w:val="22"/>
          <w:u w:val="single"/>
        </w:rPr>
        <w:t>$1.005</w:t>
      </w:r>
      <w:r w:rsidRPr="000742BD">
        <w:rPr>
          <w:rFonts w:ascii="Arial Narrow" w:hAnsi="Arial Narrow" w:cs="Arial"/>
          <w:sz w:val="22"/>
          <w:szCs w:val="22"/>
          <w:u w:val="single"/>
        </w:rPr>
        <w:t xml:space="preserve"> millones reportados de más en el Registro Presupuestal.</w:t>
      </w:r>
      <w:r w:rsidRPr="000742BD">
        <w:rPr>
          <w:rFonts w:ascii="Arial Narrow" w:hAnsi="Arial Narrow" w:cs="Arial"/>
          <w:sz w:val="22"/>
          <w:szCs w:val="22"/>
        </w:rPr>
        <w:t xml:space="preserve"> </w:t>
      </w:r>
    </w:p>
    <w:p w14:paraId="4665C9BC" w14:textId="77777777" w:rsidR="000742BD" w:rsidRPr="000742BD" w:rsidRDefault="000742BD" w:rsidP="000742BD">
      <w:pPr>
        <w:jc w:val="both"/>
        <w:rPr>
          <w:rFonts w:ascii="Arial Narrow" w:hAnsi="Arial Narrow" w:cs="Arial"/>
          <w:sz w:val="22"/>
          <w:szCs w:val="22"/>
        </w:rPr>
      </w:pPr>
    </w:p>
    <w:p w14:paraId="49F9085D"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En lo concerniente al tema de compromisos para el servicio del alcantarillado en transporte se encuentra por un valor de </w:t>
      </w:r>
      <w:r w:rsidRPr="000742BD">
        <w:rPr>
          <w:rFonts w:ascii="Arial Narrow" w:hAnsi="Arial Narrow" w:cs="Arial"/>
          <w:b/>
          <w:sz w:val="22"/>
          <w:szCs w:val="22"/>
        </w:rPr>
        <w:t>$9.780 millones de pesos</w:t>
      </w:r>
      <w:r w:rsidRPr="000742BD">
        <w:rPr>
          <w:rFonts w:ascii="Arial Narrow" w:hAnsi="Arial Narrow" w:cs="Arial"/>
          <w:sz w:val="22"/>
          <w:szCs w:val="22"/>
        </w:rPr>
        <w:t xml:space="preserve">, sin embargo, no se proyecta obligaciones y desembolsos alguno sobre el tema en referencia, aspecto que lo soporta el registro presupuestario donde no se proyecta valor alguno. Así </w:t>
      </w:r>
      <w:r w:rsidRPr="000742BD">
        <w:rPr>
          <w:rFonts w:ascii="Arial Narrow" w:hAnsi="Arial Narrow" w:cs="Arial"/>
          <w:sz w:val="22"/>
          <w:szCs w:val="22"/>
        </w:rPr>
        <w:lastRenderedPageBreak/>
        <w:t xml:space="preserve">mismo los compromisos por estos conceptos proyectados en el Formulario del Registro Presupuestal de Soacha es por de </w:t>
      </w:r>
      <w:r w:rsidRPr="000742BD">
        <w:rPr>
          <w:rFonts w:ascii="Arial Narrow" w:hAnsi="Arial Narrow" w:cs="Arial"/>
          <w:b/>
          <w:sz w:val="22"/>
          <w:szCs w:val="22"/>
        </w:rPr>
        <w:t>$13.700 millones</w:t>
      </w:r>
      <w:r w:rsidRPr="000742BD">
        <w:rPr>
          <w:rFonts w:ascii="Arial Narrow" w:hAnsi="Arial Narrow" w:cs="Arial"/>
          <w:sz w:val="22"/>
          <w:szCs w:val="22"/>
        </w:rPr>
        <w:t xml:space="preserve">, es decir, existe una diferencia de </w:t>
      </w:r>
      <w:r w:rsidRPr="000742BD">
        <w:rPr>
          <w:rFonts w:ascii="Arial Narrow" w:hAnsi="Arial Narrow" w:cs="Arial"/>
          <w:b/>
          <w:sz w:val="22"/>
          <w:szCs w:val="22"/>
        </w:rPr>
        <w:t>$3.920 millones de pesos</w:t>
      </w:r>
      <w:r w:rsidRPr="000742BD">
        <w:rPr>
          <w:rFonts w:ascii="Arial Narrow" w:hAnsi="Arial Narrow" w:cs="Arial"/>
          <w:sz w:val="22"/>
          <w:szCs w:val="22"/>
        </w:rPr>
        <w:t>.</w:t>
      </w:r>
      <w:r w:rsidRPr="000742BD">
        <w:rPr>
          <w:rFonts w:ascii="Arial Narrow" w:hAnsi="Arial Narrow" w:cs="Arial"/>
          <w:color w:val="FF0000"/>
          <w:sz w:val="22"/>
          <w:szCs w:val="22"/>
        </w:rPr>
        <w:t xml:space="preserve"> </w:t>
      </w:r>
    </w:p>
    <w:p w14:paraId="71C2B42B" w14:textId="77777777" w:rsidR="000742BD" w:rsidRPr="000742BD" w:rsidRDefault="000742BD" w:rsidP="000742BD">
      <w:pPr>
        <w:spacing w:line="276" w:lineRule="auto"/>
        <w:jc w:val="both"/>
        <w:rPr>
          <w:rFonts w:ascii="Arial Narrow" w:hAnsi="Arial Narrow" w:cs="Arial"/>
          <w:sz w:val="22"/>
          <w:szCs w:val="22"/>
        </w:rPr>
      </w:pPr>
    </w:p>
    <w:p w14:paraId="5586D466"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A lo que Preinversiones y estudios del </w:t>
      </w:r>
      <w:r w:rsidRPr="000742BD">
        <w:rPr>
          <w:rFonts w:ascii="Arial Narrow" w:hAnsi="Arial Narrow" w:cs="Arial"/>
          <w:i/>
          <w:sz w:val="22"/>
          <w:szCs w:val="22"/>
        </w:rPr>
        <w:t xml:space="preserve">Sistema General de Participaciones – Agua Potable y Saneamiento Básico </w:t>
      </w:r>
      <w:r w:rsidRPr="000742BD">
        <w:rPr>
          <w:rFonts w:ascii="Arial Narrow" w:hAnsi="Arial Narrow" w:cs="Arial"/>
          <w:sz w:val="22"/>
          <w:szCs w:val="22"/>
        </w:rPr>
        <w:t xml:space="preserve">aparecen proyectado el RP por el valor de </w:t>
      </w:r>
      <w:r w:rsidRPr="000742BD">
        <w:rPr>
          <w:rFonts w:ascii="Arial Narrow" w:hAnsi="Arial Narrow" w:cs="Arial"/>
          <w:b/>
          <w:sz w:val="22"/>
          <w:szCs w:val="22"/>
        </w:rPr>
        <w:t>$ 261.296 millones de pesos</w:t>
      </w:r>
      <w:r w:rsidRPr="000742BD">
        <w:rPr>
          <w:rFonts w:ascii="Arial Narrow" w:hAnsi="Arial Narrow" w:cs="Arial"/>
          <w:sz w:val="22"/>
          <w:szCs w:val="22"/>
        </w:rPr>
        <w:t xml:space="preserve">, sin embargo, en el formulario de gastos de inversión de la vigencia no aparecen proyectado ningún compromiso. </w:t>
      </w:r>
    </w:p>
    <w:p w14:paraId="308F33C8" w14:textId="77777777" w:rsidR="000742BD" w:rsidRPr="000742BD" w:rsidRDefault="000742BD" w:rsidP="000742BD">
      <w:pPr>
        <w:spacing w:line="276" w:lineRule="auto"/>
        <w:jc w:val="both"/>
        <w:rPr>
          <w:rFonts w:ascii="Arial Narrow" w:hAnsi="Arial Narrow" w:cs="Arial"/>
          <w:b/>
          <w:sz w:val="22"/>
          <w:szCs w:val="22"/>
        </w:rPr>
      </w:pPr>
    </w:p>
    <w:p w14:paraId="00C25AA0" w14:textId="77777777" w:rsidR="000742BD" w:rsidRPr="000742BD" w:rsidRDefault="000742BD" w:rsidP="000742BD">
      <w:pPr>
        <w:spacing w:line="276" w:lineRule="auto"/>
        <w:jc w:val="both"/>
        <w:rPr>
          <w:rFonts w:ascii="Arial Narrow" w:hAnsi="Arial Narrow" w:cs="Arial"/>
          <w:b/>
          <w:sz w:val="22"/>
          <w:szCs w:val="22"/>
          <w:lang w:val="es-MX"/>
        </w:rPr>
      </w:pPr>
      <w:r w:rsidRPr="000742BD">
        <w:rPr>
          <w:rFonts w:ascii="Arial Narrow" w:hAnsi="Arial Narrow" w:cs="Arial"/>
          <w:b/>
          <w:sz w:val="22"/>
          <w:szCs w:val="22"/>
          <w:lang w:val="es-MX"/>
        </w:rPr>
        <w:t>VIGENCIA 2021</w:t>
      </w:r>
    </w:p>
    <w:p w14:paraId="3B1B4CDF" w14:textId="77777777" w:rsidR="000742BD" w:rsidRPr="000742BD" w:rsidRDefault="000742BD" w:rsidP="000742BD">
      <w:pPr>
        <w:spacing w:line="276" w:lineRule="auto"/>
        <w:jc w:val="both"/>
        <w:rPr>
          <w:rFonts w:ascii="Arial Narrow" w:hAnsi="Arial Narrow" w:cs="Arial"/>
          <w:b/>
          <w:sz w:val="22"/>
          <w:szCs w:val="22"/>
          <w:lang w:val="es-MX"/>
        </w:rPr>
      </w:pPr>
      <w:r w:rsidRPr="000742BD">
        <w:rPr>
          <w:rFonts w:ascii="Arial Narrow" w:hAnsi="Arial Narrow" w:cs="Arial"/>
          <w:b/>
          <w:sz w:val="22"/>
          <w:szCs w:val="22"/>
          <w:lang w:val="es-MX"/>
        </w:rPr>
        <w:t xml:space="preserve"> </w:t>
      </w:r>
    </w:p>
    <w:p w14:paraId="2160C8F4" w14:textId="77777777" w:rsidR="000742BD" w:rsidRPr="000742BD" w:rsidRDefault="000742BD" w:rsidP="000742BD">
      <w:pPr>
        <w:ind w:left="-5"/>
        <w:jc w:val="both"/>
        <w:rPr>
          <w:rFonts w:ascii="Arial Narrow" w:hAnsi="Arial Narrow" w:cs="Arial"/>
          <w:sz w:val="22"/>
          <w:szCs w:val="22"/>
        </w:rPr>
      </w:pPr>
      <w:r w:rsidRPr="000742BD">
        <w:rPr>
          <w:rFonts w:ascii="Arial Narrow" w:hAnsi="Arial Narrow" w:cs="Arial"/>
          <w:sz w:val="22"/>
          <w:szCs w:val="22"/>
        </w:rPr>
        <w:t xml:space="preserve">Para la vigencia 2021, los compromisos en referencia a los recursos sectoriales fueron de aproximadamente </w:t>
      </w:r>
      <w:r w:rsidRPr="000742BD">
        <w:rPr>
          <w:rFonts w:ascii="Arial Narrow" w:hAnsi="Arial Narrow" w:cs="Arial"/>
          <w:b/>
          <w:sz w:val="22"/>
          <w:szCs w:val="22"/>
        </w:rPr>
        <w:t>$28.357 millones,</w:t>
      </w:r>
      <w:r w:rsidRPr="000742BD">
        <w:rPr>
          <w:rFonts w:ascii="Arial Narrow" w:hAnsi="Arial Narrow" w:cs="Arial"/>
          <w:sz w:val="22"/>
          <w:szCs w:val="22"/>
        </w:rPr>
        <w:t xml:space="preserve"> obligaciones </w:t>
      </w:r>
      <w:r w:rsidRPr="000742BD">
        <w:rPr>
          <w:rFonts w:ascii="Arial Narrow" w:hAnsi="Arial Narrow" w:cs="Arial"/>
          <w:b/>
          <w:sz w:val="22"/>
          <w:szCs w:val="22"/>
        </w:rPr>
        <w:t>por $18.783 millones</w:t>
      </w:r>
      <w:r w:rsidRPr="000742BD">
        <w:rPr>
          <w:rFonts w:ascii="Arial Narrow" w:hAnsi="Arial Narrow" w:cs="Arial"/>
          <w:sz w:val="22"/>
          <w:szCs w:val="22"/>
        </w:rPr>
        <w:t xml:space="preserve"> y pagos efectuados por </w:t>
      </w:r>
      <w:r w:rsidRPr="000742BD">
        <w:rPr>
          <w:rFonts w:ascii="Arial Narrow" w:hAnsi="Arial Narrow" w:cs="Arial"/>
          <w:b/>
          <w:sz w:val="22"/>
          <w:szCs w:val="22"/>
        </w:rPr>
        <w:t xml:space="preserve">$17.169 millones de pesos. </w:t>
      </w:r>
    </w:p>
    <w:p w14:paraId="1909F197" w14:textId="77777777" w:rsidR="000742BD" w:rsidRPr="000742BD" w:rsidRDefault="000742BD" w:rsidP="000742BD">
      <w:pPr>
        <w:jc w:val="both"/>
        <w:rPr>
          <w:rFonts w:ascii="Arial Narrow" w:hAnsi="Arial Narrow" w:cs="Arial"/>
          <w:sz w:val="22"/>
          <w:szCs w:val="22"/>
        </w:rPr>
      </w:pPr>
    </w:p>
    <w:p w14:paraId="2D85E322"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Durante esta vigencia con cargo a los recursos del SGP-APSB se enfocaron en atender a la población subsidiada en los tres servicios, siendo los compromisos por valor de </w:t>
      </w:r>
      <w:r w:rsidRPr="000742BD">
        <w:rPr>
          <w:rFonts w:ascii="Arial Narrow" w:hAnsi="Arial Narrow" w:cs="Arial"/>
          <w:b/>
          <w:sz w:val="22"/>
          <w:szCs w:val="22"/>
        </w:rPr>
        <w:t xml:space="preserve">$ 7.909 millones </w:t>
      </w:r>
      <w:r w:rsidRPr="000742BD">
        <w:rPr>
          <w:rFonts w:ascii="Arial Narrow" w:hAnsi="Arial Narrow" w:cs="Arial"/>
          <w:i/>
          <w:sz w:val="22"/>
          <w:szCs w:val="22"/>
        </w:rPr>
        <w:t>(Acueducto $1.948 millones; Alcantarillado $1.970 millones y Aseo $3.991 millones),</w:t>
      </w:r>
      <w:r w:rsidRPr="000742BD">
        <w:rPr>
          <w:rFonts w:ascii="Arial Narrow" w:hAnsi="Arial Narrow" w:cs="Arial"/>
          <w:sz w:val="22"/>
          <w:szCs w:val="22"/>
        </w:rPr>
        <w:t xml:space="preserve"> por concepto de obligaciones </w:t>
      </w:r>
      <w:r w:rsidRPr="000742BD">
        <w:rPr>
          <w:rFonts w:ascii="Arial Narrow" w:hAnsi="Arial Narrow" w:cs="Arial"/>
          <w:b/>
          <w:sz w:val="22"/>
          <w:szCs w:val="22"/>
        </w:rPr>
        <w:t>$7.727 millones</w:t>
      </w:r>
      <w:r w:rsidRPr="000742BD">
        <w:rPr>
          <w:rFonts w:ascii="Arial Narrow" w:hAnsi="Arial Narrow" w:cs="Arial"/>
          <w:sz w:val="22"/>
          <w:szCs w:val="22"/>
        </w:rPr>
        <w:t xml:space="preserve"> y pagos por </w:t>
      </w:r>
      <w:r w:rsidRPr="000742BD">
        <w:rPr>
          <w:rFonts w:ascii="Arial Narrow" w:hAnsi="Arial Narrow" w:cs="Arial"/>
          <w:b/>
          <w:sz w:val="22"/>
          <w:szCs w:val="22"/>
        </w:rPr>
        <w:t>$6.658 millones</w:t>
      </w:r>
      <w:r w:rsidRPr="000742BD">
        <w:rPr>
          <w:rFonts w:ascii="Arial Narrow" w:hAnsi="Arial Narrow" w:cs="Arial"/>
          <w:sz w:val="22"/>
          <w:szCs w:val="22"/>
        </w:rPr>
        <w:t xml:space="preserve">, hubo un aumento significativo con respecto a la anterior vigencia. Sin embargo, al revisar y comparar la información proyectada en el formulario de registro Presupuestal, se encontró que existe una diferencia de </w:t>
      </w:r>
      <w:r w:rsidRPr="000742BD">
        <w:rPr>
          <w:rFonts w:ascii="Arial Narrow" w:hAnsi="Arial Narrow" w:cs="Arial"/>
          <w:b/>
          <w:sz w:val="22"/>
          <w:szCs w:val="22"/>
        </w:rPr>
        <w:t>$1.054 millones de pesos</w:t>
      </w:r>
      <w:r w:rsidRPr="000742BD">
        <w:rPr>
          <w:rFonts w:ascii="Arial Narrow" w:hAnsi="Arial Narrow" w:cs="Arial"/>
          <w:sz w:val="22"/>
          <w:szCs w:val="22"/>
        </w:rPr>
        <w:t xml:space="preserve"> reportados de más en el Registro Presupuestal.</w:t>
      </w:r>
    </w:p>
    <w:p w14:paraId="04674873" w14:textId="77777777" w:rsidR="000742BD" w:rsidRPr="000742BD" w:rsidRDefault="000742BD" w:rsidP="000742BD">
      <w:pPr>
        <w:jc w:val="both"/>
        <w:rPr>
          <w:rFonts w:ascii="Arial Narrow" w:hAnsi="Arial Narrow" w:cs="Arial"/>
          <w:sz w:val="22"/>
          <w:szCs w:val="22"/>
        </w:rPr>
      </w:pPr>
    </w:p>
    <w:p w14:paraId="095326FE"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En lo que respecta a la implementación y ejecución del Plan de Gestión Integral de Residuos Sólidos (PGIRS), para esta vigencia tiene un valor de </w:t>
      </w:r>
      <w:r w:rsidRPr="000742BD">
        <w:rPr>
          <w:rFonts w:ascii="Arial Narrow" w:hAnsi="Arial Narrow" w:cs="Arial"/>
          <w:b/>
          <w:sz w:val="22"/>
          <w:szCs w:val="22"/>
        </w:rPr>
        <w:t>$1.200 millones</w:t>
      </w:r>
      <w:r w:rsidRPr="000742BD">
        <w:rPr>
          <w:rFonts w:ascii="Arial Narrow" w:hAnsi="Arial Narrow" w:cs="Arial"/>
          <w:sz w:val="22"/>
          <w:szCs w:val="22"/>
        </w:rPr>
        <w:t xml:space="preserve"> de pesos, obligaciones por valor de </w:t>
      </w:r>
      <w:r w:rsidRPr="000742BD">
        <w:rPr>
          <w:rFonts w:ascii="Arial Narrow" w:hAnsi="Arial Narrow" w:cs="Arial"/>
          <w:b/>
          <w:sz w:val="22"/>
          <w:szCs w:val="22"/>
        </w:rPr>
        <w:t>$450 millones</w:t>
      </w:r>
      <w:r w:rsidRPr="000742BD">
        <w:rPr>
          <w:rFonts w:ascii="Arial Narrow" w:hAnsi="Arial Narrow" w:cs="Arial"/>
          <w:sz w:val="22"/>
          <w:szCs w:val="22"/>
        </w:rPr>
        <w:t xml:space="preserve"> y pagos de </w:t>
      </w:r>
      <w:r w:rsidRPr="000742BD">
        <w:rPr>
          <w:rFonts w:ascii="Arial Narrow" w:hAnsi="Arial Narrow" w:cs="Arial"/>
          <w:b/>
          <w:sz w:val="22"/>
          <w:szCs w:val="22"/>
        </w:rPr>
        <w:t>$450 millones de pesos.</w:t>
      </w:r>
      <w:r w:rsidRPr="000742BD">
        <w:rPr>
          <w:rFonts w:ascii="Arial Narrow" w:hAnsi="Arial Narrow" w:cs="Arial"/>
          <w:sz w:val="22"/>
          <w:szCs w:val="22"/>
        </w:rPr>
        <w:t xml:space="preserve"> </w:t>
      </w:r>
    </w:p>
    <w:p w14:paraId="560B8F20" w14:textId="77777777" w:rsidR="000742BD" w:rsidRPr="000742BD" w:rsidRDefault="000742BD" w:rsidP="000742BD">
      <w:pPr>
        <w:jc w:val="both"/>
        <w:rPr>
          <w:rFonts w:ascii="Arial Narrow" w:hAnsi="Arial Narrow" w:cs="Arial"/>
          <w:sz w:val="22"/>
          <w:szCs w:val="22"/>
        </w:rPr>
      </w:pPr>
    </w:p>
    <w:p w14:paraId="147EA8F4" w14:textId="77777777" w:rsidR="000742BD" w:rsidRPr="000742BD" w:rsidRDefault="000742BD" w:rsidP="000742BD">
      <w:pPr>
        <w:jc w:val="both"/>
        <w:rPr>
          <w:rFonts w:ascii="Arial Narrow" w:hAnsi="Arial Narrow" w:cs="Arial"/>
          <w:color w:val="FF0000"/>
          <w:sz w:val="22"/>
          <w:szCs w:val="22"/>
        </w:rPr>
      </w:pPr>
      <w:r w:rsidRPr="000742BD">
        <w:rPr>
          <w:rFonts w:ascii="Arial Narrow" w:hAnsi="Arial Narrow" w:cs="Arial"/>
          <w:sz w:val="22"/>
          <w:szCs w:val="22"/>
        </w:rPr>
        <w:t xml:space="preserve">En lo concerniente al tema de compromisos para el servicio del alcantarillado en transporte se encuentra por un valor de </w:t>
      </w:r>
      <w:r w:rsidRPr="000742BD">
        <w:rPr>
          <w:rFonts w:ascii="Arial Narrow" w:hAnsi="Arial Narrow" w:cs="Arial"/>
          <w:b/>
          <w:sz w:val="22"/>
          <w:szCs w:val="22"/>
        </w:rPr>
        <w:t>$18.418 millones</w:t>
      </w:r>
      <w:r w:rsidRPr="000742BD">
        <w:rPr>
          <w:rFonts w:ascii="Arial Narrow" w:hAnsi="Arial Narrow" w:cs="Arial"/>
          <w:sz w:val="22"/>
          <w:szCs w:val="22"/>
        </w:rPr>
        <w:t xml:space="preserve">, obligaciones por </w:t>
      </w:r>
      <w:r w:rsidRPr="000742BD">
        <w:rPr>
          <w:rFonts w:ascii="Arial Narrow" w:hAnsi="Arial Narrow" w:cs="Arial"/>
          <w:b/>
          <w:sz w:val="22"/>
          <w:szCs w:val="22"/>
        </w:rPr>
        <w:t>$10.065 millones</w:t>
      </w:r>
      <w:r w:rsidRPr="000742BD">
        <w:rPr>
          <w:rFonts w:ascii="Arial Narrow" w:hAnsi="Arial Narrow" w:cs="Arial"/>
          <w:sz w:val="22"/>
          <w:szCs w:val="22"/>
        </w:rPr>
        <w:t xml:space="preserve"> y pagos por $</w:t>
      </w:r>
      <w:r w:rsidRPr="000742BD">
        <w:rPr>
          <w:rFonts w:ascii="Arial Narrow" w:hAnsi="Arial Narrow" w:cs="Arial"/>
          <w:b/>
          <w:sz w:val="22"/>
          <w:szCs w:val="22"/>
        </w:rPr>
        <w:t>9.607 millones de pesos</w:t>
      </w:r>
      <w:r w:rsidRPr="000742BD">
        <w:rPr>
          <w:rFonts w:ascii="Arial Narrow" w:hAnsi="Arial Narrow" w:cs="Arial"/>
          <w:sz w:val="22"/>
          <w:szCs w:val="22"/>
        </w:rPr>
        <w:t xml:space="preserve">. Sin embargo, al contrastar esta información en el Registro Presupuestal, existe una diferencia de más en el RP de </w:t>
      </w:r>
      <w:r w:rsidRPr="000742BD">
        <w:rPr>
          <w:rFonts w:ascii="Arial Narrow" w:hAnsi="Arial Narrow" w:cs="Arial"/>
          <w:b/>
          <w:sz w:val="22"/>
          <w:szCs w:val="22"/>
        </w:rPr>
        <w:t>$8.075 millones de pesos.</w:t>
      </w:r>
    </w:p>
    <w:p w14:paraId="5A244273"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 </w:t>
      </w:r>
    </w:p>
    <w:p w14:paraId="3C161D41" w14:textId="77777777" w:rsidR="000742BD" w:rsidRPr="000742BD" w:rsidRDefault="000742BD" w:rsidP="000742BD">
      <w:pPr>
        <w:jc w:val="both"/>
        <w:rPr>
          <w:rFonts w:ascii="Arial Narrow" w:hAnsi="Arial Narrow" w:cs="Arial"/>
          <w:b/>
          <w:sz w:val="16"/>
          <w:szCs w:val="16"/>
        </w:rPr>
      </w:pPr>
      <w:r w:rsidRPr="000742BD">
        <w:rPr>
          <w:rFonts w:ascii="Arial Narrow" w:hAnsi="Arial Narrow" w:cs="Arial"/>
          <w:sz w:val="22"/>
          <w:szCs w:val="22"/>
          <w:lang w:val="es-MX"/>
        </w:rPr>
        <w:t xml:space="preserve">A lo que refiere de Preinversiones y estudios </w:t>
      </w:r>
      <w:r w:rsidRPr="000742BD">
        <w:rPr>
          <w:rFonts w:ascii="Arial Narrow" w:hAnsi="Arial Narrow" w:cs="Arial"/>
          <w:sz w:val="22"/>
          <w:szCs w:val="22"/>
        </w:rPr>
        <w:t xml:space="preserve">del </w:t>
      </w:r>
      <w:r w:rsidRPr="000742BD">
        <w:rPr>
          <w:rFonts w:ascii="Arial Narrow" w:hAnsi="Arial Narrow" w:cs="Arial"/>
          <w:i/>
          <w:sz w:val="22"/>
          <w:szCs w:val="22"/>
        </w:rPr>
        <w:t xml:space="preserve">Sistema General de Participaciones – Agua Potable y Saneamiento Básico </w:t>
      </w:r>
      <w:r w:rsidRPr="000742BD">
        <w:rPr>
          <w:rFonts w:ascii="Arial Narrow" w:hAnsi="Arial Narrow" w:cs="Arial"/>
          <w:sz w:val="22"/>
          <w:szCs w:val="22"/>
        </w:rPr>
        <w:t xml:space="preserve">aparecen registrado como compromisos por el valor de </w:t>
      </w:r>
      <w:r w:rsidRPr="000742BD">
        <w:rPr>
          <w:rFonts w:ascii="Arial Narrow" w:hAnsi="Arial Narrow" w:cs="Arial"/>
          <w:b/>
          <w:sz w:val="22"/>
          <w:szCs w:val="22"/>
        </w:rPr>
        <w:t>$261 millones de pesos</w:t>
      </w:r>
      <w:r w:rsidRPr="000742BD">
        <w:rPr>
          <w:rFonts w:ascii="Arial Narrow" w:hAnsi="Arial Narrow" w:cs="Arial"/>
          <w:sz w:val="22"/>
          <w:szCs w:val="22"/>
        </w:rPr>
        <w:t xml:space="preserve">. Sin embargo, verificando dicha información en el formulario de RP, se encontró un reporte por valor a cargo </w:t>
      </w:r>
      <w:r w:rsidRPr="000742BD">
        <w:rPr>
          <w:rFonts w:ascii="Arial Narrow" w:hAnsi="Arial Narrow" w:cs="Arial"/>
          <w:b/>
          <w:sz w:val="22"/>
          <w:szCs w:val="22"/>
        </w:rPr>
        <w:t>de $2.038 millones de pesos.</w:t>
      </w:r>
    </w:p>
    <w:p w14:paraId="376D1A89" w14:textId="77777777" w:rsidR="000742BD" w:rsidRDefault="000742BD" w:rsidP="009B0744">
      <w:pPr>
        <w:spacing w:line="276" w:lineRule="auto"/>
        <w:rPr>
          <w:rFonts w:ascii="Arial Narrow" w:hAnsi="Arial Narrow" w:cs="Arial"/>
          <w:b/>
          <w:sz w:val="16"/>
          <w:szCs w:val="16"/>
        </w:rPr>
      </w:pPr>
    </w:p>
    <w:p w14:paraId="6F9FBE07" w14:textId="77777777" w:rsidR="00CD4627" w:rsidRDefault="00CD4627" w:rsidP="009B0744">
      <w:pPr>
        <w:spacing w:line="276" w:lineRule="auto"/>
        <w:rPr>
          <w:rFonts w:ascii="Arial Narrow" w:hAnsi="Arial Narrow" w:cs="Arial"/>
          <w:b/>
          <w:sz w:val="16"/>
          <w:szCs w:val="16"/>
        </w:rPr>
      </w:pPr>
      <w:r>
        <w:rPr>
          <w:rFonts w:ascii="Arial Narrow" w:hAnsi="Arial Narrow" w:cs="Arial"/>
          <w:b/>
          <w:sz w:val="16"/>
          <w:szCs w:val="16"/>
        </w:rPr>
        <w:t>No veo un análisis del comportamiento de los subsidios. En especial los subsidios de aseo que en 2021 crecieron 54% respecto de 2020. Es el crecimiento más alto en subsidios y creo necesario referenciarlo y buscar la explicación en el momento del reconocimiento.</w:t>
      </w:r>
    </w:p>
    <w:p w14:paraId="5E49FE97" w14:textId="77777777" w:rsidR="00A92B59" w:rsidRDefault="00A92B59" w:rsidP="009B0744">
      <w:pPr>
        <w:spacing w:line="276" w:lineRule="auto"/>
        <w:rPr>
          <w:rFonts w:ascii="Arial Narrow" w:hAnsi="Arial Narrow" w:cs="Arial"/>
          <w:b/>
          <w:sz w:val="16"/>
          <w:szCs w:val="16"/>
        </w:rPr>
      </w:pPr>
    </w:p>
    <w:p w14:paraId="57B8BDFF" w14:textId="77777777" w:rsidR="00A92B59" w:rsidRPr="000742BD" w:rsidRDefault="00A92B59" w:rsidP="009B0744">
      <w:pPr>
        <w:spacing w:line="276" w:lineRule="auto"/>
        <w:rPr>
          <w:rFonts w:ascii="Arial Narrow" w:hAnsi="Arial Narrow" w:cs="Arial"/>
          <w:b/>
          <w:sz w:val="16"/>
          <w:szCs w:val="16"/>
        </w:rPr>
      </w:pPr>
      <w:r>
        <w:rPr>
          <w:rFonts w:ascii="Arial Narrow" w:hAnsi="Arial Narrow" w:cs="Arial"/>
          <w:b/>
          <w:sz w:val="16"/>
          <w:szCs w:val="16"/>
        </w:rPr>
        <w:t>También veo inexistencia de obligaciones y pagos en 2020 y 2021 respecto de la transferencia al PDA. Es necesario explicar la situación.</w:t>
      </w:r>
    </w:p>
    <w:p w14:paraId="655DC2FD" w14:textId="77777777" w:rsidR="000742BD" w:rsidRPr="000742BD" w:rsidRDefault="000742BD" w:rsidP="000742BD">
      <w:pPr>
        <w:spacing w:line="276" w:lineRule="auto"/>
        <w:rPr>
          <w:rFonts w:ascii="Arial Narrow" w:hAnsi="Arial Narrow" w:cs="Arial"/>
          <w:b/>
          <w:sz w:val="16"/>
          <w:szCs w:val="16"/>
        </w:rPr>
      </w:pPr>
      <w:r w:rsidRPr="000742BD">
        <w:rPr>
          <w:noProof/>
          <w:lang w:val="es-CO" w:eastAsia="es-CO"/>
        </w:rPr>
        <w:lastRenderedPageBreak/>
        <w:drawing>
          <wp:anchor distT="0" distB="0" distL="114300" distR="114300" simplePos="0" relativeHeight="251659264" behindDoc="0" locked="0" layoutInCell="1" allowOverlap="1" wp14:anchorId="27238C02" wp14:editId="19BEEF3D">
            <wp:simplePos x="0" y="0"/>
            <wp:positionH relativeFrom="column">
              <wp:posOffset>358140</wp:posOffset>
            </wp:positionH>
            <wp:positionV relativeFrom="paragraph">
              <wp:posOffset>141605</wp:posOffset>
            </wp:positionV>
            <wp:extent cx="5612130" cy="3859530"/>
            <wp:effectExtent l="0" t="0" r="7620" b="7620"/>
            <wp:wrapThrough wrapText="bothSides">
              <wp:wrapPolygon edited="0">
                <wp:start x="0" y="0"/>
                <wp:lineTo x="0" y="21536"/>
                <wp:lineTo x="19796" y="21536"/>
                <wp:lineTo x="21556" y="21429"/>
                <wp:lineTo x="21556" y="18764"/>
                <wp:lineTo x="20969" y="17058"/>
                <wp:lineTo x="19796" y="15352"/>
                <wp:lineTo x="21556" y="15352"/>
                <wp:lineTo x="21556" y="14393"/>
                <wp:lineTo x="19796" y="13647"/>
                <wp:lineTo x="21556" y="13327"/>
                <wp:lineTo x="21556" y="12687"/>
                <wp:lineTo x="19796" y="11941"/>
                <wp:lineTo x="21556" y="11941"/>
                <wp:lineTo x="21556" y="10768"/>
                <wp:lineTo x="19796" y="10235"/>
                <wp:lineTo x="21556" y="9808"/>
                <wp:lineTo x="21556" y="8956"/>
                <wp:lineTo x="19796" y="8529"/>
                <wp:lineTo x="21483" y="8423"/>
                <wp:lineTo x="21556" y="8209"/>
                <wp:lineTo x="21116" y="6823"/>
                <wp:lineTo x="21556" y="5544"/>
                <wp:lineTo x="21556" y="0"/>
                <wp:lineTo x="0" y="0"/>
              </wp:wrapPolygon>
            </wp:wrapThrough>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3859530"/>
                    </a:xfrm>
                    <a:prstGeom prst="rect">
                      <a:avLst/>
                    </a:prstGeom>
                    <a:noFill/>
                    <a:ln>
                      <a:noFill/>
                    </a:ln>
                  </pic:spPr>
                </pic:pic>
              </a:graphicData>
            </a:graphic>
          </wp:anchor>
        </w:drawing>
      </w:r>
    </w:p>
    <w:p w14:paraId="590E5E91" w14:textId="77777777" w:rsidR="000742BD" w:rsidRPr="000742BD" w:rsidRDefault="000742BD" w:rsidP="000742BD">
      <w:pPr>
        <w:spacing w:line="276" w:lineRule="auto"/>
        <w:jc w:val="center"/>
        <w:rPr>
          <w:rFonts w:ascii="Arial Narrow" w:hAnsi="Arial Narrow" w:cs="Arial"/>
          <w:sz w:val="16"/>
          <w:szCs w:val="16"/>
          <w:lang w:val="es-MX"/>
        </w:rPr>
      </w:pPr>
      <w:r w:rsidRPr="000742BD">
        <w:rPr>
          <w:rFonts w:ascii="Arial Narrow" w:hAnsi="Arial Narrow" w:cs="Arial"/>
          <w:b/>
          <w:sz w:val="16"/>
          <w:szCs w:val="16"/>
        </w:rPr>
        <w:t>Fuente</w:t>
      </w:r>
      <w:r w:rsidRPr="000742BD">
        <w:rPr>
          <w:rFonts w:ascii="Arial Narrow" w:hAnsi="Arial Narrow" w:cs="Arial"/>
          <w:sz w:val="16"/>
          <w:szCs w:val="16"/>
        </w:rPr>
        <w:t xml:space="preserve">: </w:t>
      </w:r>
      <w:r w:rsidRPr="000742BD">
        <w:rPr>
          <w:rFonts w:ascii="Arial Narrow" w:hAnsi="Arial Narrow" w:cs="Arial"/>
          <w:sz w:val="16"/>
          <w:szCs w:val="16"/>
          <w:lang w:val="es-MX"/>
        </w:rPr>
        <w:t>Gastos de Inversión (Reporte de Información 2019-2020-2021)- Categoría del Formulario Único Territorial</w:t>
      </w:r>
    </w:p>
    <w:p w14:paraId="174EC7C8" w14:textId="77777777" w:rsidR="000742BD" w:rsidRPr="000742BD" w:rsidRDefault="000742BD" w:rsidP="000742BD">
      <w:pPr>
        <w:spacing w:line="276" w:lineRule="auto"/>
        <w:jc w:val="center"/>
        <w:rPr>
          <w:rFonts w:ascii="Arial Narrow" w:hAnsi="Arial Narrow" w:cs="Arial"/>
          <w:sz w:val="16"/>
          <w:szCs w:val="16"/>
          <w:lang w:val="es-MX"/>
        </w:rPr>
      </w:pPr>
    </w:p>
    <w:p w14:paraId="4452F4BC" w14:textId="77777777" w:rsidR="000742BD" w:rsidRPr="000742BD" w:rsidRDefault="000742BD" w:rsidP="000742BD">
      <w:pPr>
        <w:spacing w:line="276" w:lineRule="auto"/>
        <w:jc w:val="center"/>
        <w:rPr>
          <w:rFonts w:ascii="Arial Narrow" w:hAnsi="Arial Narrow" w:cs="Arial"/>
          <w:sz w:val="16"/>
          <w:szCs w:val="16"/>
          <w:lang w:val="es-MX"/>
        </w:rPr>
      </w:pPr>
    </w:p>
    <w:p w14:paraId="3D83A92A" w14:textId="77777777" w:rsidR="000742BD" w:rsidRPr="000742BD" w:rsidRDefault="000742BD" w:rsidP="000742BD">
      <w:pPr>
        <w:numPr>
          <w:ilvl w:val="1"/>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RESULTADOS</w:t>
      </w:r>
    </w:p>
    <w:p w14:paraId="7EFD7410" w14:textId="77777777" w:rsidR="000742BD" w:rsidRPr="000742BD" w:rsidRDefault="000742BD" w:rsidP="000742BD">
      <w:pPr>
        <w:ind w:left="1440"/>
        <w:contextualSpacing/>
        <w:jc w:val="both"/>
        <w:rPr>
          <w:rFonts w:ascii="Arial Narrow" w:hAnsi="Arial Narrow" w:cs="Arial"/>
          <w:b/>
          <w:sz w:val="22"/>
          <w:szCs w:val="22"/>
          <w:lang w:val="es-CO" w:eastAsia="en-US"/>
        </w:rPr>
      </w:pPr>
    </w:p>
    <w:tbl>
      <w:tblPr>
        <w:tblW w:w="7655" w:type="dxa"/>
        <w:jc w:val="center"/>
        <w:tblLook w:val="04A0" w:firstRow="1" w:lastRow="0" w:firstColumn="1" w:lastColumn="0" w:noHBand="0" w:noVBand="1"/>
      </w:tblPr>
      <w:tblGrid>
        <w:gridCol w:w="2916"/>
        <w:gridCol w:w="1619"/>
        <w:gridCol w:w="1561"/>
        <w:gridCol w:w="1559"/>
      </w:tblGrid>
      <w:tr w:rsidR="000742BD" w:rsidRPr="000742BD" w14:paraId="1AA3D3A6" w14:textId="77777777" w:rsidTr="000742BD">
        <w:trPr>
          <w:trHeight w:val="300"/>
          <w:jc w:val="center"/>
        </w:trPr>
        <w:tc>
          <w:tcPr>
            <w:tcW w:w="7655" w:type="dxa"/>
            <w:gridSpan w:val="4"/>
            <w:tcBorders>
              <w:top w:val="single" w:sz="4" w:space="0" w:color="auto"/>
              <w:left w:val="single" w:sz="4" w:space="0" w:color="auto"/>
              <w:bottom w:val="single" w:sz="4" w:space="0" w:color="auto"/>
              <w:right w:val="single" w:sz="4" w:space="0" w:color="auto"/>
            </w:tcBorders>
            <w:shd w:val="clear" w:color="auto" w:fill="E5B8B7" w:themeFill="accent2" w:themeFillTint="66"/>
            <w:noWrap/>
            <w:vAlign w:val="center"/>
            <w:hideMark/>
          </w:tcPr>
          <w:p w14:paraId="5C5A98C6" w14:textId="77777777" w:rsidR="000742BD" w:rsidRPr="000742BD" w:rsidRDefault="000742BD" w:rsidP="000742BD">
            <w:pPr>
              <w:jc w:val="center"/>
              <w:rPr>
                <w:rFonts w:ascii="Arial Narrow" w:hAnsi="Arial Narrow" w:cs="Arial"/>
                <w:b/>
                <w:bCs/>
                <w:color w:val="000000"/>
                <w:sz w:val="22"/>
                <w:szCs w:val="22"/>
                <w:lang w:val="es-CO"/>
              </w:rPr>
            </w:pPr>
            <w:r w:rsidRPr="000742BD">
              <w:rPr>
                <w:rFonts w:ascii="Arial Narrow" w:hAnsi="Arial Narrow" w:cs="Arial"/>
                <w:b/>
                <w:bCs/>
                <w:color w:val="000000"/>
                <w:sz w:val="22"/>
                <w:szCs w:val="22"/>
                <w:lang w:val="es-CO"/>
              </w:rPr>
              <w:t>Informe de Cierres de Vigencias. (Cifras en millones de Pesos)</w:t>
            </w:r>
          </w:p>
        </w:tc>
      </w:tr>
      <w:tr w:rsidR="000742BD" w:rsidRPr="000742BD" w14:paraId="5BD9A110" w14:textId="77777777" w:rsidTr="000742BD">
        <w:trPr>
          <w:trHeight w:val="300"/>
          <w:jc w:val="center"/>
        </w:trPr>
        <w:tc>
          <w:tcPr>
            <w:tcW w:w="2916" w:type="dxa"/>
            <w:tcBorders>
              <w:top w:val="nil"/>
              <w:left w:val="single" w:sz="4" w:space="0" w:color="auto"/>
              <w:bottom w:val="single" w:sz="4" w:space="0" w:color="auto"/>
              <w:right w:val="single" w:sz="4" w:space="0" w:color="auto"/>
            </w:tcBorders>
            <w:shd w:val="clear" w:color="auto" w:fill="E5B8B7" w:themeFill="accent2" w:themeFillTint="66"/>
            <w:noWrap/>
            <w:vAlign w:val="center"/>
            <w:hideMark/>
          </w:tcPr>
          <w:p w14:paraId="19FB5A7A" w14:textId="77777777" w:rsidR="000742BD" w:rsidRPr="000742BD" w:rsidRDefault="000742BD" w:rsidP="000742BD">
            <w:pPr>
              <w:jc w:val="center"/>
              <w:rPr>
                <w:rFonts w:ascii="Arial Narrow" w:hAnsi="Arial Narrow" w:cs="Arial"/>
                <w:b/>
                <w:bCs/>
                <w:color w:val="000000"/>
                <w:sz w:val="22"/>
                <w:szCs w:val="22"/>
                <w:lang w:val="es-CO"/>
              </w:rPr>
            </w:pPr>
            <w:r w:rsidRPr="000742BD">
              <w:rPr>
                <w:rFonts w:ascii="Arial Narrow" w:hAnsi="Arial Narrow" w:cs="Arial"/>
                <w:b/>
                <w:bCs/>
                <w:color w:val="000000"/>
                <w:sz w:val="22"/>
                <w:szCs w:val="22"/>
                <w:lang w:val="es-CO"/>
              </w:rPr>
              <w:t>Concepto</w:t>
            </w:r>
          </w:p>
        </w:tc>
        <w:tc>
          <w:tcPr>
            <w:tcW w:w="1619" w:type="dxa"/>
            <w:tcBorders>
              <w:top w:val="nil"/>
              <w:left w:val="nil"/>
              <w:bottom w:val="single" w:sz="4" w:space="0" w:color="auto"/>
              <w:right w:val="single" w:sz="4" w:space="0" w:color="auto"/>
            </w:tcBorders>
            <w:shd w:val="clear" w:color="auto" w:fill="E5B8B7" w:themeFill="accent2" w:themeFillTint="66"/>
            <w:noWrap/>
            <w:vAlign w:val="center"/>
            <w:hideMark/>
          </w:tcPr>
          <w:p w14:paraId="5ACAC59F" w14:textId="77777777" w:rsidR="000742BD" w:rsidRPr="000742BD" w:rsidRDefault="000742BD" w:rsidP="000742BD">
            <w:pPr>
              <w:jc w:val="center"/>
              <w:rPr>
                <w:rFonts w:ascii="Arial Narrow" w:hAnsi="Arial Narrow" w:cs="Arial"/>
                <w:b/>
                <w:bCs/>
                <w:color w:val="000000"/>
                <w:sz w:val="22"/>
                <w:szCs w:val="22"/>
                <w:lang w:val="es-CO"/>
              </w:rPr>
            </w:pPr>
            <w:r w:rsidRPr="000742BD">
              <w:rPr>
                <w:rFonts w:ascii="Arial Narrow" w:hAnsi="Arial Narrow" w:cs="Arial"/>
                <w:b/>
                <w:bCs/>
                <w:color w:val="000000"/>
                <w:sz w:val="22"/>
                <w:szCs w:val="22"/>
                <w:lang w:val="es-CO"/>
              </w:rPr>
              <w:t>Vigencia 2019</w:t>
            </w:r>
          </w:p>
        </w:tc>
        <w:tc>
          <w:tcPr>
            <w:tcW w:w="1561" w:type="dxa"/>
            <w:tcBorders>
              <w:top w:val="nil"/>
              <w:left w:val="nil"/>
              <w:bottom w:val="single" w:sz="4" w:space="0" w:color="auto"/>
              <w:right w:val="single" w:sz="4" w:space="0" w:color="auto"/>
            </w:tcBorders>
            <w:shd w:val="clear" w:color="auto" w:fill="E5B8B7" w:themeFill="accent2" w:themeFillTint="66"/>
            <w:noWrap/>
            <w:vAlign w:val="center"/>
            <w:hideMark/>
          </w:tcPr>
          <w:p w14:paraId="300C53A8" w14:textId="77777777" w:rsidR="000742BD" w:rsidRPr="000742BD" w:rsidRDefault="000742BD" w:rsidP="000742BD">
            <w:pPr>
              <w:jc w:val="center"/>
              <w:rPr>
                <w:rFonts w:ascii="Arial Narrow" w:hAnsi="Arial Narrow" w:cs="Arial"/>
                <w:b/>
                <w:bCs/>
                <w:color w:val="000000"/>
                <w:sz w:val="22"/>
                <w:szCs w:val="22"/>
                <w:lang w:val="es-CO"/>
              </w:rPr>
            </w:pPr>
            <w:r w:rsidRPr="000742BD">
              <w:rPr>
                <w:rFonts w:ascii="Arial Narrow" w:hAnsi="Arial Narrow" w:cs="Arial"/>
                <w:b/>
                <w:bCs/>
                <w:color w:val="000000"/>
                <w:sz w:val="22"/>
                <w:szCs w:val="22"/>
                <w:lang w:val="es-CO"/>
              </w:rPr>
              <w:t>Vigencia 2020</w:t>
            </w:r>
          </w:p>
        </w:tc>
        <w:tc>
          <w:tcPr>
            <w:tcW w:w="1559" w:type="dxa"/>
            <w:tcBorders>
              <w:top w:val="nil"/>
              <w:left w:val="nil"/>
              <w:bottom w:val="single" w:sz="4" w:space="0" w:color="auto"/>
              <w:right w:val="single" w:sz="4" w:space="0" w:color="auto"/>
            </w:tcBorders>
            <w:shd w:val="clear" w:color="auto" w:fill="E5B8B7" w:themeFill="accent2" w:themeFillTint="66"/>
            <w:noWrap/>
            <w:vAlign w:val="center"/>
            <w:hideMark/>
          </w:tcPr>
          <w:p w14:paraId="63F22746" w14:textId="77777777" w:rsidR="000742BD" w:rsidRPr="000742BD" w:rsidRDefault="000742BD" w:rsidP="000742BD">
            <w:pPr>
              <w:jc w:val="center"/>
              <w:rPr>
                <w:rFonts w:ascii="Arial Narrow" w:hAnsi="Arial Narrow" w:cs="Arial"/>
                <w:b/>
                <w:bCs/>
                <w:color w:val="000000"/>
                <w:sz w:val="22"/>
                <w:szCs w:val="22"/>
                <w:lang w:val="es-CO"/>
              </w:rPr>
            </w:pPr>
            <w:r w:rsidRPr="000742BD">
              <w:rPr>
                <w:rFonts w:ascii="Arial Narrow" w:hAnsi="Arial Narrow" w:cs="Arial"/>
                <w:b/>
                <w:bCs/>
                <w:color w:val="000000"/>
                <w:sz w:val="22"/>
                <w:szCs w:val="22"/>
                <w:lang w:val="es-CO"/>
              </w:rPr>
              <w:t>Vigencia 2021</w:t>
            </w:r>
          </w:p>
        </w:tc>
      </w:tr>
      <w:tr w:rsidR="000742BD" w:rsidRPr="000742BD" w14:paraId="6D77A594" w14:textId="77777777" w:rsidTr="000742BD">
        <w:trPr>
          <w:trHeight w:val="300"/>
          <w:jc w:val="center"/>
        </w:trPr>
        <w:tc>
          <w:tcPr>
            <w:tcW w:w="2916" w:type="dxa"/>
            <w:tcBorders>
              <w:top w:val="nil"/>
              <w:left w:val="single" w:sz="4" w:space="0" w:color="auto"/>
              <w:bottom w:val="single" w:sz="4" w:space="0" w:color="auto"/>
              <w:right w:val="single" w:sz="4" w:space="0" w:color="auto"/>
            </w:tcBorders>
            <w:noWrap/>
            <w:vAlign w:val="bottom"/>
            <w:hideMark/>
          </w:tcPr>
          <w:p w14:paraId="4704CD96"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1. Ingresos (Recaudados)</w:t>
            </w:r>
          </w:p>
        </w:tc>
        <w:tc>
          <w:tcPr>
            <w:tcW w:w="1619" w:type="dxa"/>
            <w:tcBorders>
              <w:top w:val="nil"/>
              <w:left w:val="nil"/>
              <w:bottom w:val="single" w:sz="4" w:space="0" w:color="auto"/>
              <w:right w:val="single" w:sz="4" w:space="0" w:color="auto"/>
            </w:tcBorders>
            <w:noWrap/>
            <w:vAlign w:val="bottom"/>
            <w:hideMark/>
          </w:tcPr>
          <w:p w14:paraId="1E4FC71D"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$ 23.602</w:t>
            </w:r>
          </w:p>
        </w:tc>
        <w:tc>
          <w:tcPr>
            <w:tcW w:w="1561" w:type="dxa"/>
            <w:tcBorders>
              <w:top w:val="nil"/>
              <w:left w:val="nil"/>
              <w:bottom w:val="single" w:sz="4" w:space="0" w:color="auto"/>
              <w:right w:val="single" w:sz="4" w:space="0" w:color="auto"/>
            </w:tcBorders>
            <w:noWrap/>
            <w:vAlign w:val="bottom"/>
            <w:hideMark/>
          </w:tcPr>
          <w:p w14:paraId="75967248"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$ 32.381</w:t>
            </w:r>
          </w:p>
        </w:tc>
        <w:tc>
          <w:tcPr>
            <w:tcW w:w="1559" w:type="dxa"/>
            <w:tcBorders>
              <w:top w:val="nil"/>
              <w:left w:val="nil"/>
              <w:bottom w:val="single" w:sz="4" w:space="0" w:color="auto"/>
              <w:right w:val="single" w:sz="4" w:space="0" w:color="auto"/>
            </w:tcBorders>
            <w:noWrap/>
            <w:vAlign w:val="bottom"/>
            <w:hideMark/>
          </w:tcPr>
          <w:p w14:paraId="27AB30B0"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$ 34.646</w:t>
            </w:r>
          </w:p>
        </w:tc>
      </w:tr>
      <w:tr w:rsidR="000742BD" w:rsidRPr="000742BD" w14:paraId="324E43E2" w14:textId="77777777" w:rsidTr="000742BD">
        <w:trPr>
          <w:trHeight w:val="300"/>
          <w:jc w:val="center"/>
        </w:trPr>
        <w:tc>
          <w:tcPr>
            <w:tcW w:w="2916" w:type="dxa"/>
            <w:tcBorders>
              <w:top w:val="nil"/>
              <w:left w:val="single" w:sz="4" w:space="0" w:color="auto"/>
              <w:bottom w:val="single" w:sz="4" w:space="0" w:color="auto"/>
              <w:right w:val="single" w:sz="4" w:space="0" w:color="auto"/>
            </w:tcBorders>
            <w:noWrap/>
            <w:vAlign w:val="bottom"/>
            <w:hideMark/>
          </w:tcPr>
          <w:p w14:paraId="22181036"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 xml:space="preserve">2. Gastos (Comprometidos) </w:t>
            </w:r>
          </w:p>
        </w:tc>
        <w:tc>
          <w:tcPr>
            <w:tcW w:w="1619" w:type="dxa"/>
            <w:tcBorders>
              <w:top w:val="nil"/>
              <w:left w:val="nil"/>
              <w:bottom w:val="single" w:sz="4" w:space="0" w:color="auto"/>
              <w:right w:val="single" w:sz="4" w:space="0" w:color="auto"/>
            </w:tcBorders>
            <w:noWrap/>
            <w:vAlign w:val="bottom"/>
            <w:hideMark/>
          </w:tcPr>
          <w:p w14:paraId="10329B65"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$ 19.291</w:t>
            </w:r>
          </w:p>
        </w:tc>
        <w:tc>
          <w:tcPr>
            <w:tcW w:w="1561" w:type="dxa"/>
            <w:tcBorders>
              <w:top w:val="nil"/>
              <w:left w:val="nil"/>
              <w:bottom w:val="single" w:sz="4" w:space="0" w:color="auto"/>
              <w:right w:val="single" w:sz="4" w:space="0" w:color="auto"/>
            </w:tcBorders>
            <w:noWrap/>
            <w:vAlign w:val="bottom"/>
            <w:hideMark/>
          </w:tcPr>
          <w:p w14:paraId="008038E1"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$ 19.431</w:t>
            </w:r>
          </w:p>
        </w:tc>
        <w:tc>
          <w:tcPr>
            <w:tcW w:w="1559" w:type="dxa"/>
            <w:tcBorders>
              <w:top w:val="nil"/>
              <w:left w:val="nil"/>
              <w:bottom w:val="single" w:sz="4" w:space="0" w:color="auto"/>
              <w:right w:val="single" w:sz="4" w:space="0" w:color="auto"/>
            </w:tcBorders>
            <w:noWrap/>
            <w:vAlign w:val="bottom"/>
            <w:hideMark/>
          </w:tcPr>
          <w:p w14:paraId="5212B248"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$ 29.891</w:t>
            </w:r>
          </w:p>
        </w:tc>
      </w:tr>
      <w:tr w:rsidR="000742BD" w:rsidRPr="000742BD" w14:paraId="69ED470E" w14:textId="77777777" w:rsidTr="000742BD">
        <w:trPr>
          <w:trHeight w:val="300"/>
          <w:jc w:val="center"/>
        </w:trPr>
        <w:tc>
          <w:tcPr>
            <w:tcW w:w="2916" w:type="dxa"/>
            <w:tcBorders>
              <w:top w:val="nil"/>
              <w:left w:val="single" w:sz="4" w:space="0" w:color="auto"/>
              <w:bottom w:val="single" w:sz="4" w:space="0" w:color="auto"/>
              <w:right w:val="single" w:sz="4" w:space="0" w:color="auto"/>
            </w:tcBorders>
            <w:noWrap/>
            <w:vAlign w:val="bottom"/>
            <w:hideMark/>
          </w:tcPr>
          <w:p w14:paraId="7F8EFE3A"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 xml:space="preserve">3. Gastos (Obligados) </w:t>
            </w:r>
          </w:p>
        </w:tc>
        <w:tc>
          <w:tcPr>
            <w:tcW w:w="1619" w:type="dxa"/>
            <w:tcBorders>
              <w:top w:val="nil"/>
              <w:left w:val="nil"/>
              <w:bottom w:val="single" w:sz="4" w:space="0" w:color="auto"/>
              <w:right w:val="single" w:sz="4" w:space="0" w:color="auto"/>
            </w:tcBorders>
            <w:noWrap/>
            <w:vAlign w:val="bottom"/>
            <w:hideMark/>
          </w:tcPr>
          <w:p w14:paraId="2BBC0210"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$ 14.313</w:t>
            </w:r>
          </w:p>
        </w:tc>
        <w:tc>
          <w:tcPr>
            <w:tcW w:w="1561" w:type="dxa"/>
            <w:tcBorders>
              <w:top w:val="nil"/>
              <w:left w:val="nil"/>
              <w:bottom w:val="single" w:sz="4" w:space="0" w:color="auto"/>
              <w:right w:val="single" w:sz="4" w:space="0" w:color="auto"/>
            </w:tcBorders>
            <w:noWrap/>
            <w:vAlign w:val="bottom"/>
            <w:hideMark/>
          </w:tcPr>
          <w:p w14:paraId="66A7F78D"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$ 6.239</w:t>
            </w:r>
          </w:p>
        </w:tc>
        <w:tc>
          <w:tcPr>
            <w:tcW w:w="1559" w:type="dxa"/>
            <w:tcBorders>
              <w:top w:val="nil"/>
              <w:left w:val="nil"/>
              <w:bottom w:val="single" w:sz="4" w:space="0" w:color="auto"/>
              <w:right w:val="single" w:sz="4" w:space="0" w:color="auto"/>
            </w:tcBorders>
            <w:noWrap/>
            <w:vAlign w:val="bottom"/>
            <w:hideMark/>
          </w:tcPr>
          <w:p w14:paraId="54D0D0F6"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$ 18.783</w:t>
            </w:r>
          </w:p>
        </w:tc>
      </w:tr>
      <w:tr w:rsidR="000742BD" w:rsidRPr="000742BD" w14:paraId="78910712" w14:textId="77777777" w:rsidTr="000742BD">
        <w:trPr>
          <w:trHeight w:val="300"/>
          <w:jc w:val="center"/>
        </w:trPr>
        <w:tc>
          <w:tcPr>
            <w:tcW w:w="2916" w:type="dxa"/>
            <w:tcBorders>
              <w:top w:val="nil"/>
              <w:left w:val="single" w:sz="4" w:space="0" w:color="auto"/>
              <w:bottom w:val="single" w:sz="4" w:space="0" w:color="auto"/>
              <w:right w:val="single" w:sz="4" w:space="0" w:color="auto"/>
            </w:tcBorders>
            <w:noWrap/>
            <w:vAlign w:val="bottom"/>
            <w:hideMark/>
          </w:tcPr>
          <w:p w14:paraId="4ECBCE2F"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 xml:space="preserve">4. Pagos </w:t>
            </w:r>
          </w:p>
        </w:tc>
        <w:tc>
          <w:tcPr>
            <w:tcW w:w="1619" w:type="dxa"/>
            <w:tcBorders>
              <w:top w:val="nil"/>
              <w:left w:val="nil"/>
              <w:bottom w:val="single" w:sz="4" w:space="0" w:color="auto"/>
              <w:right w:val="single" w:sz="4" w:space="0" w:color="auto"/>
            </w:tcBorders>
            <w:noWrap/>
            <w:vAlign w:val="bottom"/>
            <w:hideMark/>
          </w:tcPr>
          <w:p w14:paraId="7BB1C2B4"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$ 14.089</w:t>
            </w:r>
          </w:p>
        </w:tc>
        <w:tc>
          <w:tcPr>
            <w:tcW w:w="1561" w:type="dxa"/>
            <w:tcBorders>
              <w:top w:val="nil"/>
              <w:left w:val="nil"/>
              <w:bottom w:val="single" w:sz="4" w:space="0" w:color="auto"/>
              <w:right w:val="single" w:sz="4" w:space="0" w:color="auto"/>
            </w:tcBorders>
            <w:noWrap/>
            <w:vAlign w:val="bottom"/>
            <w:hideMark/>
          </w:tcPr>
          <w:p w14:paraId="6D87673A"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$ 5.009</w:t>
            </w:r>
          </w:p>
        </w:tc>
        <w:tc>
          <w:tcPr>
            <w:tcW w:w="1559" w:type="dxa"/>
            <w:tcBorders>
              <w:top w:val="nil"/>
              <w:left w:val="nil"/>
              <w:bottom w:val="single" w:sz="4" w:space="0" w:color="auto"/>
              <w:right w:val="single" w:sz="4" w:space="0" w:color="auto"/>
            </w:tcBorders>
            <w:noWrap/>
            <w:vAlign w:val="bottom"/>
            <w:hideMark/>
          </w:tcPr>
          <w:p w14:paraId="7E901560"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$ 17.169</w:t>
            </w:r>
          </w:p>
        </w:tc>
      </w:tr>
      <w:tr w:rsidR="000742BD" w:rsidRPr="000742BD" w14:paraId="1C61713E" w14:textId="77777777" w:rsidTr="000742BD">
        <w:trPr>
          <w:trHeight w:val="300"/>
          <w:jc w:val="center"/>
        </w:trPr>
        <w:tc>
          <w:tcPr>
            <w:tcW w:w="2916" w:type="dxa"/>
            <w:tcBorders>
              <w:top w:val="nil"/>
              <w:left w:val="single" w:sz="4" w:space="0" w:color="auto"/>
              <w:bottom w:val="single" w:sz="4" w:space="0" w:color="auto"/>
              <w:right w:val="single" w:sz="4" w:space="0" w:color="auto"/>
            </w:tcBorders>
            <w:shd w:val="clear" w:color="auto" w:fill="FFFF00"/>
            <w:noWrap/>
            <w:vAlign w:val="bottom"/>
            <w:hideMark/>
          </w:tcPr>
          <w:p w14:paraId="6EC93FD6"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Déficit o Superávit (1-2)</w:t>
            </w:r>
          </w:p>
        </w:tc>
        <w:tc>
          <w:tcPr>
            <w:tcW w:w="1619" w:type="dxa"/>
            <w:tcBorders>
              <w:top w:val="nil"/>
              <w:left w:val="nil"/>
              <w:bottom w:val="single" w:sz="4" w:space="0" w:color="auto"/>
              <w:right w:val="single" w:sz="4" w:space="0" w:color="auto"/>
            </w:tcBorders>
            <w:shd w:val="clear" w:color="auto" w:fill="FFFF00"/>
            <w:noWrap/>
            <w:vAlign w:val="bottom"/>
            <w:hideMark/>
          </w:tcPr>
          <w:p w14:paraId="39A2F026"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$ 4.311</w:t>
            </w:r>
          </w:p>
        </w:tc>
        <w:tc>
          <w:tcPr>
            <w:tcW w:w="1561" w:type="dxa"/>
            <w:tcBorders>
              <w:top w:val="nil"/>
              <w:left w:val="nil"/>
              <w:bottom w:val="single" w:sz="4" w:space="0" w:color="auto"/>
              <w:right w:val="single" w:sz="4" w:space="0" w:color="auto"/>
            </w:tcBorders>
            <w:shd w:val="clear" w:color="auto" w:fill="FFFF00"/>
            <w:noWrap/>
            <w:vAlign w:val="bottom"/>
            <w:hideMark/>
          </w:tcPr>
          <w:p w14:paraId="3AE3C1F0"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$ 12.950</w:t>
            </w:r>
          </w:p>
        </w:tc>
        <w:tc>
          <w:tcPr>
            <w:tcW w:w="1559" w:type="dxa"/>
            <w:tcBorders>
              <w:top w:val="nil"/>
              <w:left w:val="nil"/>
              <w:bottom w:val="single" w:sz="4" w:space="0" w:color="auto"/>
              <w:right w:val="single" w:sz="4" w:space="0" w:color="auto"/>
            </w:tcBorders>
            <w:shd w:val="clear" w:color="auto" w:fill="FFFF00"/>
            <w:noWrap/>
            <w:vAlign w:val="bottom"/>
            <w:hideMark/>
          </w:tcPr>
          <w:p w14:paraId="4E93EFC0"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$ 4.755</w:t>
            </w:r>
          </w:p>
        </w:tc>
      </w:tr>
      <w:tr w:rsidR="000742BD" w:rsidRPr="000742BD" w14:paraId="562B3A7B" w14:textId="77777777" w:rsidTr="000742BD">
        <w:trPr>
          <w:trHeight w:val="300"/>
          <w:jc w:val="center"/>
        </w:trPr>
        <w:tc>
          <w:tcPr>
            <w:tcW w:w="2916" w:type="dxa"/>
            <w:tcBorders>
              <w:top w:val="nil"/>
              <w:left w:val="single" w:sz="4" w:space="0" w:color="auto"/>
              <w:bottom w:val="single" w:sz="4" w:space="0" w:color="auto"/>
              <w:right w:val="single" w:sz="4" w:space="0" w:color="auto"/>
            </w:tcBorders>
            <w:shd w:val="clear" w:color="auto" w:fill="FFFF00"/>
            <w:noWrap/>
            <w:vAlign w:val="bottom"/>
            <w:hideMark/>
          </w:tcPr>
          <w:p w14:paraId="61421EDA"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Reservas (2-3)</w:t>
            </w:r>
          </w:p>
        </w:tc>
        <w:tc>
          <w:tcPr>
            <w:tcW w:w="1619" w:type="dxa"/>
            <w:tcBorders>
              <w:top w:val="nil"/>
              <w:left w:val="nil"/>
              <w:bottom w:val="single" w:sz="4" w:space="0" w:color="auto"/>
              <w:right w:val="single" w:sz="4" w:space="0" w:color="auto"/>
            </w:tcBorders>
            <w:shd w:val="clear" w:color="auto" w:fill="FFFF00"/>
            <w:noWrap/>
            <w:vAlign w:val="bottom"/>
            <w:hideMark/>
          </w:tcPr>
          <w:p w14:paraId="40A68E67"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$ 4.978</w:t>
            </w:r>
          </w:p>
        </w:tc>
        <w:tc>
          <w:tcPr>
            <w:tcW w:w="1561" w:type="dxa"/>
            <w:tcBorders>
              <w:top w:val="nil"/>
              <w:left w:val="nil"/>
              <w:bottom w:val="single" w:sz="4" w:space="0" w:color="auto"/>
              <w:right w:val="single" w:sz="4" w:space="0" w:color="auto"/>
            </w:tcBorders>
            <w:shd w:val="clear" w:color="auto" w:fill="FFFF00"/>
            <w:noWrap/>
            <w:vAlign w:val="bottom"/>
            <w:hideMark/>
          </w:tcPr>
          <w:p w14:paraId="50B1CCE6"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$ 13.192</w:t>
            </w:r>
          </w:p>
        </w:tc>
        <w:tc>
          <w:tcPr>
            <w:tcW w:w="1559" w:type="dxa"/>
            <w:tcBorders>
              <w:top w:val="nil"/>
              <w:left w:val="nil"/>
              <w:bottom w:val="single" w:sz="4" w:space="0" w:color="auto"/>
              <w:right w:val="single" w:sz="4" w:space="0" w:color="auto"/>
            </w:tcBorders>
            <w:shd w:val="clear" w:color="auto" w:fill="FFFF00"/>
            <w:noWrap/>
            <w:vAlign w:val="bottom"/>
            <w:hideMark/>
          </w:tcPr>
          <w:p w14:paraId="500E7855"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$ 11.108</w:t>
            </w:r>
          </w:p>
        </w:tc>
      </w:tr>
      <w:tr w:rsidR="000742BD" w:rsidRPr="000742BD" w14:paraId="396F3D88" w14:textId="77777777" w:rsidTr="000742BD">
        <w:trPr>
          <w:trHeight w:val="300"/>
          <w:jc w:val="center"/>
        </w:trPr>
        <w:tc>
          <w:tcPr>
            <w:tcW w:w="2916" w:type="dxa"/>
            <w:tcBorders>
              <w:top w:val="nil"/>
              <w:left w:val="single" w:sz="4" w:space="0" w:color="auto"/>
              <w:bottom w:val="single" w:sz="4" w:space="0" w:color="auto"/>
              <w:right w:val="single" w:sz="4" w:space="0" w:color="auto"/>
            </w:tcBorders>
            <w:shd w:val="clear" w:color="auto" w:fill="FFFF00"/>
            <w:noWrap/>
            <w:vAlign w:val="bottom"/>
            <w:hideMark/>
          </w:tcPr>
          <w:p w14:paraId="536F6636"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Cuentas por pagar (3-4)</w:t>
            </w:r>
          </w:p>
        </w:tc>
        <w:tc>
          <w:tcPr>
            <w:tcW w:w="1619" w:type="dxa"/>
            <w:tcBorders>
              <w:top w:val="nil"/>
              <w:left w:val="nil"/>
              <w:bottom w:val="single" w:sz="4" w:space="0" w:color="auto"/>
              <w:right w:val="single" w:sz="4" w:space="0" w:color="auto"/>
            </w:tcBorders>
            <w:shd w:val="clear" w:color="auto" w:fill="FFFF00"/>
            <w:noWrap/>
            <w:vAlign w:val="bottom"/>
            <w:hideMark/>
          </w:tcPr>
          <w:p w14:paraId="73B1042D"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$ 224</w:t>
            </w:r>
          </w:p>
        </w:tc>
        <w:tc>
          <w:tcPr>
            <w:tcW w:w="1561" w:type="dxa"/>
            <w:tcBorders>
              <w:top w:val="nil"/>
              <w:left w:val="nil"/>
              <w:bottom w:val="single" w:sz="4" w:space="0" w:color="auto"/>
              <w:right w:val="single" w:sz="4" w:space="0" w:color="auto"/>
            </w:tcBorders>
            <w:shd w:val="clear" w:color="auto" w:fill="FFFF00"/>
            <w:noWrap/>
            <w:vAlign w:val="bottom"/>
            <w:hideMark/>
          </w:tcPr>
          <w:p w14:paraId="68FA1507"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$ 1.230</w:t>
            </w:r>
          </w:p>
        </w:tc>
        <w:tc>
          <w:tcPr>
            <w:tcW w:w="1559" w:type="dxa"/>
            <w:tcBorders>
              <w:top w:val="nil"/>
              <w:left w:val="nil"/>
              <w:bottom w:val="single" w:sz="4" w:space="0" w:color="auto"/>
              <w:right w:val="single" w:sz="4" w:space="0" w:color="auto"/>
            </w:tcBorders>
            <w:shd w:val="clear" w:color="auto" w:fill="FFFF00"/>
            <w:noWrap/>
            <w:vAlign w:val="bottom"/>
            <w:hideMark/>
          </w:tcPr>
          <w:p w14:paraId="5D058FEC"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$ 1.614</w:t>
            </w:r>
          </w:p>
        </w:tc>
      </w:tr>
      <w:tr w:rsidR="000742BD" w:rsidRPr="000742BD" w14:paraId="59114634" w14:textId="77777777" w:rsidTr="000742BD">
        <w:trPr>
          <w:trHeight w:val="300"/>
          <w:jc w:val="center"/>
        </w:trPr>
        <w:tc>
          <w:tcPr>
            <w:tcW w:w="2916" w:type="dxa"/>
            <w:tcBorders>
              <w:top w:val="nil"/>
              <w:left w:val="single" w:sz="4" w:space="0" w:color="auto"/>
              <w:bottom w:val="single" w:sz="4" w:space="0" w:color="auto"/>
              <w:right w:val="single" w:sz="4" w:space="0" w:color="auto"/>
            </w:tcBorders>
            <w:shd w:val="clear" w:color="auto" w:fill="FFFF00"/>
            <w:noWrap/>
            <w:vAlign w:val="bottom"/>
            <w:hideMark/>
          </w:tcPr>
          <w:p w14:paraId="7B985A5A" w14:textId="77777777" w:rsidR="000742BD" w:rsidRPr="000742BD" w:rsidRDefault="000742BD" w:rsidP="000742BD">
            <w:pPr>
              <w:rPr>
                <w:rFonts w:ascii="Arial Narrow" w:hAnsi="Arial Narrow" w:cs="Arial"/>
                <w:color w:val="000000"/>
                <w:sz w:val="22"/>
                <w:szCs w:val="22"/>
                <w:lang w:val="es-CO"/>
              </w:rPr>
            </w:pPr>
            <w:r w:rsidRPr="000742BD">
              <w:rPr>
                <w:rFonts w:ascii="Arial Narrow" w:hAnsi="Arial Narrow" w:cs="Arial"/>
                <w:color w:val="000000"/>
                <w:sz w:val="22"/>
                <w:szCs w:val="22"/>
                <w:lang w:val="es-CO"/>
              </w:rPr>
              <w:t>Saldos en Caja y Bancos (1-4)</w:t>
            </w:r>
          </w:p>
        </w:tc>
        <w:tc>
          <w:tcPr>
            <w:tcW w:w="1619" w:type="dxa"/>
            <w:tcBorders>
              <w:top w:val="nil"/>
              <w:left w:val="nil"/>
              <w:bottom w:val="single" w:sz="4" w:space="0" w:color="auto"/>
              <w:right w:val="single" w:sz="4" w:space="0" w:color="auto"/>
            </w:tcBorders>
            <w:shd w:val="clear" w:color="auto" w:fill="FFFF00"/>
            <w:noWrap/>
            <w:vAlign w:val="bottom"/>
            <w:hideMark/>
          </w:tcPr>
          <w:p w14:paraId="1ECF27A2"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$ 9.513</w:t>
            </w:r>
          </w:p>
        </w:tc>
        <w:tc>
          <w:tcPr>
            <w:tcW w:w="1561" w:type="dxa"/>
            <w:tcBorders>
              <w:top w:val="nil"/>
              <w:left w:val="nil"/>
              <w:bottom w:val="single" w:sz="4" w:space="0" w:color="auto"/>
              <w:right w:val="single" w:sz="4" w:space="0" w:color="auto"/>
            </w:tcBorders>
            <w:shd w:val="clear" w:color="auto" w:fill="FFFF00"/>
            <w:noWrap/>
            <w:vAlign w:val="bottom"/>
            <w:hideMark/>
          </w:tcPr>
          <w:p w14:paraId="0C302BED"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$ 27.372</w:t>
            </w:r>
          </w:p>
        </w:tc>
        <w:tc>
          <w:tcPr>
            <w:tcW w:w="1559" w:type="dxa"/>
            <w:tcBorders>
              <w:top w:val="nil"/>
              <w:left w:val="nil"/>
              <w:bottom w:val="single" w:sz="4" w:space="0" w:color="auto"/>
              <w:right w:val="single" w:sz="4" w:space="0" w:color="auto"/>
            </w:tcBorders>
            <w:shd w:val="clear" w:color="auto" w:fill="FFFF00"/>
            <w:noWrap/>
            <w:vAlign w:val="bottom"/>
            <w:hideMark/>
          </w:tcPr>
          <w:p w14:paraId="2F11CDCF" w14:textId="77777777" w:rsidR="000742BD" w:rsidRPr="000742BD" w:rsidRDefault="000742BD" w:rsidP="000742BD">
            <w:pPr>
              <w:jc w:val="center"/>
              <w:rPr>
                <w:rFonts w:ascii="Arial Narrow" w:hAnsi="Arial Narrow" w:cs="Arial"/>
                <w:color w:val="000000"/>
                <w:sz w:val="22"/>
                <w:szCs w:val="22"/>
                <w:lang w:val="es-CO"/>
              </w:rPr>
            </w:pPr>
            <w:r w:rsidRPr="000742BD">
              <w:rPr>
                <w:rFonts w:ascii="Arial Narrow" w:hAnsi="Arial Narrow" w:cs="Arial"/>
                <w:color w:val="000000"/>
                <w:sz w:val="22"/>
                <w:szCs w:val="22"/>
                <w:lang w:val="es-CO"/>
              </w:rPr>
              <w:t>$ 17.477</w:t>
            </w:r>
          </w:p>
        </w:tc>
      </w:tr>
    </w:tbl>
    <w:p w14:paraId="06BF2817" w14:textId="77777777" w:rsidR="000742BD" w:rsidRPr="000742BD" w:rsidRDefault="000742BD" w:rsidP="000742BD">
      <w:pPr>
        <w:spacing w:line="276" w:lineRule="auto"/>
        <w:jc w:val="center"/>
        <w:rPr>
          <w:rFonts w:ascii="Arial Narrow" w:hAnsi="Arial Narrow" w:cs="Arial"/>
          <w:sz w:val="16"/>
          <w:szCs w:val="16"/>
        </w:rPr>
      </w:pPr>
      <w:r w:rsidRPr="000742BD">
        <w:rPr>
          <w:rFonts w:ascii="Arial Narrow" w:hAnsi="Arial Narrow" w:cs="Arial"/>
          <w:b/>
          <w:sz w:val="16"/>
          <w:szCs w:val="16"/>
        </w:rPr>
        <w:t>Fuente</w:t>
      </w:r>
      <w:r w:rsidRPr="000742BD">
        <w:rPr>
          <w:rFonts w:ascii="Arial Narrow" w:hAnsi="Arial Narrow" w:cs="Arial"/>
          <w:sz w:val="16"/>
          <w:szCs w:val="16"/>
        </w:rPr>
        <w:t xml:space="preserve">: Elaboración propia a partir de los datos arrojados de los formularios de </w:t>
      </w:r>
      <w:r w:rsidRPr="000742BD">
        <w:rPr>
          <w:rFonts w:ascii="Arial Narrow" w:hAnsi="Arial Narrow" w:cs="Arial"/>
          <w:sz w:val="16"/>
          <w:szCs w:val="16"/>
          <w:lang w:val="es-MX"/>
        </w:rPr>
        <w:t>Ingresos, Gastos de Inversión (Reporte de Información 2019-2020-2021)- Categoría del Formulario Único Territorial</w:t>
      </w:r>
    </w:p>
    <w:p w14:paraId="6E719CBF" w14:textId="77777777" w:rsidR="000742BD" w:rsidRPr="000742BD" w:rsidRDefault="000742BD" w:rsidP="000742BD">
      <w:pPr>
        <w:spacing w:line="276" w:lineRule="auto"/>
        <w:jc w:val="both"/>
        <w:rPr>
          <w:rFonts w:ascii="Arial Narrow" w:hAnsi="Arial Narrow" w:cs="Arial"/>
          <w:sz w:val="22"/>
          <w:szCs w:val="22"/>
        </w:rPr>
      </w:pPr>
    </w:p>
    <w:p w14:paraId="1797338A" w14:textId="77777777" w:rsidR="000742BD" w:rsidRDefault="000742BD" w:rsidP="00993237">
      <w:pPr>
        <w:jc w:val="both"/>
        <w:rPr>
          <w:rFonts w:ascii="Arial Narrow" w:hAnsi="Arial Narrow" w:cs="Arial"/>
          <w:sz w:val="22"/>
          <w:szCs w:val="22"/>
        </w:rPr>
      </w:pPr>
      <w:r w:rsidRPr="000742BD">
        <w:rPr>
          <w:rFonts w:ascii="Arial Narrow" w:hAnsi="Arial Narrow" w:cs="Arial"/>
          <w:sz w:val="22"/>
          <w:szCs w:val="22"/>
        </w:rPr>
        <w:lastRenderedPageBreak/>
        <w:t xml:space="preserve">Teniendo en cuenta lo anterior, se realizan los siguientes comentarios, en referencia a los cálculos financieros del Municipio de Soacha (Cundinamarca): </w:t>
      </w:r>
    </w:p>
    <w:p w14:paraId="1EA0FB31" w14:textId="77777777" w:rsidR="00993237" w:rsidRPr="000742BD" w:rsidRDefault="00993237" w:rsidP="00993237">
      <w:pPr>
        <w:jc w:val="both"/>
        <w:rPr>
          <w:rFonts w:ascii="Arial Narrow" w:hAnsi="Arial Narrow" w:cs="Arial"/>
          <w:sz w:val="22"/>
          <w:szCs w:val="22"/>
        </w:rPr>
      </w:pPr>
    </w:p>
    <w:p w14:paraId="20D15A46" w14:textId="77777777" w:rsidR="000742BD" w:rsidRPr="000742BD" w:rsidRDefault="000742BD" w:rsidP="000742BD">
      <w:pPr>
        <w:spacing w:line="276" w:lineRule="auto"/>
        <w:jc w:val="center"/>
        <w:rPr>
          <w:rFonts w:ascii="Arial Narrow" w:hAnsi="Arial Narrow" w:cs="Arial"/>
          <w:sz w:val="22"/>
          <w:szCs w:val="22"/>
        </w:rPr>
      </w:pPr>
      <w:r w:rsidRPr="000742BD">
        <w:rPr>
          <w:noProof/>
          <w:lang w:val="es-CO" w:eastAsia="es-CO"/>
        </w:rPr>
        <w:drawing>
          <wp:inline distT="0" distB="0" distL="0" distR="0" wp14:anchorId="4CECA7B7" wp14:editId="2DEAE5EF">
            <wp:extent cx="4330700" cy="1958340"/>
            <wp:effectExtent l="0" t="0" r="12700" b="3810"/>
            <wp:docPr id="1"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A80F03F" w14:textId="77777777" w:rsidR="000742BD" w:rsidRPr="000742BD" w:rsidRDefault="000742BD" w:rsidP="000742BD">
      <w:pPr>
        <w:spacing w:line="276" w:lineRule="auto"/>
        <w:jc w:val="center"/>
        <w:rPr>
          <w:rFonts w:ascii="Arial Narrow" w:hAnsi="Arial Narrow" w:cs="Arial"/>
          <w:sz w:val="16"/>
          <w:szCs w:val="16"/>
        </w:rPr>
      </w:pPr>
      <w:r w:rsidRPr="000742BD">
        <w:rPr>
          <w:rFonts w:ascii="Arial Narrow" w:hAnsi="Arial Narrow" w:cs="Arial"/>
          <w:b/>
          <w:sz w:val="16"/>
          <w:szCs w:val="16"/>
        </w:rPr>
        <w:t>Fuente</w:t>
      </w:r>
      <w:r w:rsidRPr="000742BD">
        <w:rPr>
          <w:rFonts w:ascii="Arial Narrow" w:hAnsi="Arial Narrow" w:cs="Arial"/>
          <w:sz w:val="16"/>
          <w:szCs w:val="16"/>
        </w:rPr>
        <w:t>: Cierre fiscal</w:t>
      </w:r>
      <w:r w:rsidRPr="000742BD">
        <w:rPr>
          <w:rFonts w:ascii="Arial Narrow" w:hAnsi="Arial Narrow" w:cs="Arial"/>
          <w:sz w:val="16"/>
          <w:szCs w:val="16"/>
          <w:lang w:val="es-MX"/>
        </w:rPr>
        <w:t xml:space="preserve"> (Reporte de Información 2019-2020-2021)- Categoría del Formulario Único Territorial</w:t>
      </w:r>
    </w:p>
    <w:p w14:paraId="5F8D58EE" w14:textId="77777777" w:rsidR="000742BD" w:rsidRPr="000742BD" w:rsidRDefault="000742BD" w:rsidP="000742BD">
      <w:pPr>
        <w:spacing w:line="276" w:lineRule="auto"/>
        <w:jc w:val="both"/>
        <w:rPr>
          <w:rFonts w:ascii="Arial Narrow" w:hAnsi="Arial Narrow" w:cs="Arial"/>
          <w:color w:val="C0504D" w:themeColor="accent2"/>
          <w:sz w:val="22"/>
          <w:szCs w:val="22"/>
        </w:rPr>
      </w:pPr>
    </w:p>
    <w:p w14:paraId="4C999D91" w14:textId="77777777" w:rsidR="00993237" w:rsidRPr="000742BD" w:rsidRDefault="00993237" w:rsidP="000742BD">
      <w:pPr>
        <w:spacing w:line="276" w:lineRule="auto"/>
        <w:jc w:val="both"/>
        <w:rPr>
          <w:rFonts w:ascii="Arial Narrow" w:hAnsi="Arial Narrow" w:cs="Arial"/>
          <w:sz w:val="22"/>
          <w:szCs w:val="22"/>
        </w:rPr>
      </w:pPr>
    </w:p>
    <w:p w14:paraId="3C3EAE39"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Se logra ver que durante la vigencia 2020 con $27.372 millones de pesos el concepto de saldo en cajas y banco aumento en un 65% en comparación con la vigencia inmediatamente anterior con un valor nominal de $9.513 millones, preestablecido, sin lugar a duda, el bajo nivel de pago durante la vigencia 2020 con $5.009 millones, que a su vez, disminuyó en -181% en comparación con la vigencia de 2019, que tenía un valor nominal de $14.089 millones. Ya para la vigencia 2021 aumentó a $18.783 millones de pesos. </w:t>
      </w:r>
    </w:p>
    <w:p w14:paraId="4BAEA5C9" w14:textId="77777777" w:rsidR="000742BD" w:rsidRPr="000742BD" w:rsidRDefault="000742BD" w:rsidP="000742BD">
      <w:pPr>
        <w:jc w:val="both"/>
        <w:rPr>
          <w:rFonts w:ascii="Arial Narrow" w:hAnsi="Arial Narrow" w:cs="Arial"/>
          <w:sz w:val="22"/>
          <w:szCs w:val="22"/>
        </w:rPr>
      </w:pPr>
    </w:p>
    <w:p w14:paraId="061AEB23"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Así mismo, la cuentas por pagar aumentaron un 82% en respuesta a lo anterior. Pasando de $224 millones de pesos en el 2019 a $1.230 millones de pesos en el 2020. Cifra que para la vigencia del 2021 aumentó a $1.614 millones de pesos. </w:t>
      </w:r>
    </w:p>
    <w:p w14:paraId="51BB4C65" w14:textId="77777777" w:rsidR="000742BD" w:rsidRPr="000742BD" w:rsidRDefault="000742BD" w:rsidP="000742BD">
      <w:pPr>
        <w:spacing w:line="276" w:lineRule="auto"/>
        <w:jc w:val="both"/>
        <w:rPr>
          <w:rFonts w:ascii="Arial Narrow" w:hAnsi="Arial Narrow" w:cs="Arial"/>
          <w:sz w:val="22"/>
          <w:szCs w:val="22"/>
        </w:rPr>
      </w:pPr>
    </w:p>
    <w:p w14:paraId="196E9EC1" w14:textId="77777777" w:rsidR="000742BD" w:rsidRPr="000742BD" w:rsidRDefault="000742BD" w:rsidP="000742BD">
      <w:pPr>
        <w:spacing w:line="276" w:lineRule="auto"/>
        <w:jc w:val="center"/>
        <w:rPr>
          <w:rFonts w:ascii="Arial Narrow" w:hAnsi="Arial Narrow" w:cs="Arial"/>
          <w:b/>
          <w:sz w:val="22"/>
          <w:szCs w:val="22"/>
        </w:rPr>
      </w:pPr>
      <w:r w:rsidRPr="000742BD">
        <w:rPr>
          <w:rFonts w:ascii="Arial Narrow" w:hAnsi="Arial Narrow" w:cs="Arial"/>
          <w:b/>
          <w:sz w:val="22"/>
          <w:szCs w:val="22"/>
        </w:rPr>
        <w:t>Relación estudio DAF- Reporte FUT/Cierre Fiscal</w:t>
      </w:r>
    </w:p>
    <w:p w14:paraId="43CD0058" w14:textId="77777777" w:rsidR="000742BD" w:rsidRPr="000742BD" w:rsidRDefault="000742BD" w:rsidP="000742BD">
      <w:pPr>
        <w:spacing w:line="276" w:lineRule="auto"/>
        <w:jc w:val="center"/>
        <w:rPr>
          <w:rFonts w:ascii="Arial Narrow" w:hAnsi="Arial Narrow" w:cs="Arial"/>
          <w:b/>
          <w:sz w:val="22"/>
          <w:szCs w:val="22"/>
        </w:rPr>
      </w:pPr>
    </w:p>
    <w:p w14:paraId="2A930C95"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En relación con el reporte al Sistema Consolidador de Hacienda e Información Pública - CHIP, en la categoría FUT del formulario de Cierre Fiscal de las vigencias 2019, 2020 y 2021, se presentan los siguientes análisis: </w:t>
      </w:r>
    </w:p>
    <w:p w14:paraId="66567716" w14:textId="77777777" w:rsidR="000742BD" w:rsidRPr="000742BD" w:rsidRDefault="000742BD" w:rsidP="000742BD">
      <w:pPr>
        <w:spacing w:line="276" w:lineRule="auto"/>
        <w:jc w:val="both"/>
        <w:rPr>
          <w:rFonts w:ascii="Arial Narrow" w:hAnsi="Arial Narrow" w:cs="Arial"/>
          <w:sz w:val="22"/>
          <w:szCs w:val="22"/>
        </w:rPr>
      </w:pPr>
    </w:p>
    <w:p w14:paraId="1E23615C" w14:textId="77777777" w:rsidR="000742BD" w:rsidRPr="000742BD" w:rsidRDefault="000742BD" w:rsidP="000742BD">
      <w:pPr>
        <w:spacing w:line="276" w:lineRule="auto"/>
        <w:jc w:val="both"/>
        <w:rPr>
          <w:rFonts w:ascii="Arial Narrow" w:hAnsi="Arial Narrow" w:cs="Arial"/>
          <w:b/>
          <w:sz w:val="22"/>
          <w:szCs w:val="22"/>
        </w:rPr>
      </w:pPr>
      <w:r w:rsidRPr="000742BD">
        <w:rPr>
          <w:rFonts w:ascii="Arial Narrow" w:hAnsi="Arial Narrow" w:cs="Arial"/>
          <w:b/>
          <w:sz w:val="22"/>
          <w:szCs w:val="22"/>
        </w:rPr>
        <w:t>Vigencia 2019</w:t>
      </w:r>
    </w:p>
    <w:p w14:paraId="4E5ABC25" w14:textId="77777777" w:rsidR="000742BD" w:rsidRPr="000742BD" w:rsidRDefault="000742BD" w:rsidP="000742BD">
      <w:pPr>
        <w:spacing w:line="276" w:lineRule="auto"/>
        <w:jc w:val="both"/>
        <w:rPr>
          <w:rFonts w:ascii="Arial Narrow" w:hAnsi="Arial Narrow" w:cs="Arial"/>
          <w:b/>
          <w:sz w:val="22"/>
          <w:szCs w:val="22"/>
        </w:rPr>
      </w:pPr>
    </w:p>
    <w:p w14:paraId="09F0BA5A"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Para la presente vigencia se halló que existe una diferencia entre el análisis realizado por el DAF y el reporte de información arrojado por el formulario de cierre fiscal: </w:t>
      </w:r>
    </w:p>
    <w:p w14:paraId="7329B92D" w14:textId="77777777" w:rsidR="000742BD" w:rsidRPr="000742BD" w:rsidRDefault="000742BD" w:rsidP="000742BD">
      <w:pPr>
        <w:jc w:val="both"/>
        <w:rPr>
          <w:rFonts w:ascii="Arial Narrow" w:hAnsi="Arial Narrow" w:cs="Arial"/>
          <w:sz w:val="22"/>
          <w:szCs w:val="22"/>
        </w:rPr>
      </w:pPr>
    </w:p>
    <w:p w14:paraId="22B1F32D"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Superávit fue de $4.311 millones de pesos, valor distinto al arrojado por el formulario de Cierre Fiscal que es de $11.092 millones, precisando una diferencia de más en el formulario por valor de $6.781 millones. </w:t>
      </w:r>
    </w:p>
    <w:p w14:paraId="1FCADAB1" w14:textId="77777777" w:rsidR="000742BD" w:rsidRPr="000742BD" w:rsidRDefault="000742BD" w:rsidP="000742BD">
      <w:pPr>
        <w:ind w:left="720"/>
        <w:jc w:val="both"/>
        <w:rPr>
          <w:rFonts w:ascii="Arial Narrow" w:hAnsi="Arial Narrow" w:cs="Arial"/>
          <w:sz w:val="22"/>
          <w:szCs w:val="22"/>
        </w:rPr>
      </w:pPr>
    </w:p>
    <w:p w14:paraId="44348DDE"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En referencia a las reservas, el valor de diferencia arrojado por el formulario de Cierre Fiscal con el actual estudio es de $543 millones de más, con respecto al estudio actual. Así mismo, el valor proyectado en este estudio sobre el concepto de saldo en caja y bancos es de $9.513 millones de pesos, precisando una diferencia de más en el formulario por valor de $7.161 millones.</w:t>
      </w:r>
    </w:p>
    <w:p w14:paraId="2F33681F" w14:textId="77777777" w:rsidR="000742BD" w:rsidRPr="000742BD" w:rsidRDefault="000742BD" w:rsidP="000742BD">
      <w:pPr>
        <w:jc w:val="both"/>
        <w:rPr>
          <w:rFonts w:ascii="Arial Narrow" w:hAnsi="Arial Narrow" w:cs="Arial"/>
          <w:sz w:val="22"/>
          <w:szCs w:val="22"/>
        </w:rPr>
      </w:pPr>
    </w:p>
    <w:p w14:paraId="622E4B5F"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La cuenta por pagar es el único rubro en que la información concuerda. </w:t>
      </w:r>
    </w:p>
    <w:p w14:paraId="250E5ABF" w14:textId="77777777" w:rsidR="000742BD" w:rsidRPr="000742BD" w:rsidRDefault="000742BD" w:rsidP="000742BD">
      <w:pPr>
        <w:spacing w:line="276" w:lineRule="auto"/>
        <w:jc w:val="both"/>
        <w:rPr>
          <w:rFonts w:ascii="Arial Narrow" w:hAnsi="Arial Narrow" w:cs="Arial"/>
          <w:sz w:val="22"/>
          <w:szCs w:val="22"/>
        </w:rPr>
      </w:pPr>
    </w:p>
    <w:tbl>
      <w:tblPr>
        <w:tblW w:w="6254" w:type="dxa"/>
        <w:jc w:val="center"/>
        <w:tblLook w:val="04A0" w:firstRow="1" w:lastRow="0" w:firstColumn="1" w:lastColumn="0" w:noHBand="0" w:noVBand="1"/>
      </w:tblPr>
      <w:tblGrid>
        <w:gridCol w:w="1985"/>
        <w:gridCol w:w="1276"/>
        <w:gridCol w:w="1842"/>
        <w:gridCol w:w="1151"/>
      </w:tblGrid>
      <w:tr w:rsidR="000742BD" w:rsidRPr="000742BD" w14:paraId="770CCAAA" w14:textId="77777777" w:rsidTr="000742BD">
        <w:trPr>
          <w:trHeight w:val="224"/>
          <w:jc w:val="center"/>
        </w:trPr>
        <w:tc>
          <w:tcPr>
            <w:tcW w:w="6254" w:type="dxa"/>
            <w:gridSpan w:val="4"/>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32BC260F"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Comparación de datos - Cierre Fiscal (2019)</w:t>
            </w:r>
          </w:p>
        </w:tc>
      </w:tr>
      <w:tr w:rsidR="000742BD" w:rsidRPr="000742BD" w14:paraId="03DC9655" w14:textId="77777777" w:rsidTr="000742BD">
        <w:trPr>
          <w:trHeight w:val="449"/>
          <w:jc w:val="center"/>
        </w:trPr>
        <w:tc>
          <w:tcPr>
            <w:tcW w:w="1985" w:type="dxa"/>
            <w:tcBorders>
              <w:top w:val="nil"/>
              <w:left w:val="single" w:sz="4" w:space="0" w:color="auto"/>
              <w:bottom w:val="single" w:sz="4" w:space="0" w:color="auto"/>
              <w:right w:val="single" w:sz="4" w:space="0" w:color="auto"/>
            </w:tcBorders>
            <w:shd w:val="clear" w:color="000000" w:fill="ED7D31"/>
            <w:noWrap/>
            <w:vAlign w:val="center"/>
            <w:hideMark/>
          </w:tcPr>
          <w:p w14:paraId="40C7C4F5"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Conceptos</w:t>
            </w:r>
          </w:p>
        </w:tc>
        <w:tc>
          <w:tcPr>
            <w:tcW w:w="1276" w:type="dxa"/>
            <w:tcBorders>
              <w:top w:val="nil"/>
              <w:left w:val="nil"/>
              <w:bottom w:val="single" w:sz="4" w:space="0" w:color="auto"/>
              <w:right w:val="single" w:sz="4" w:space="0" w:color="auto"/>
            </w:tcBorders>
            <w:shd w:val="clear" w:color="000000" w:fill="ED7D31"/>
            <w:vAlign w:val="center"/>
            <w:hideMark/>
          </w:tcPr>
          <w:p w14:paraId="4ADBC5BE"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 (Cálculo DAF)</w:t>
            </w:r>
          </w:p>
        </w:tc>
        <w:tc>
          <w:tcPr>
            <w:tcW w:w="1842" w:type="dxa"/>
            <w:tcBorders>
              <w:top w:val="nil"/>
              <w:left w:val="nil"/>
              <w:bottom w:val="single" w:sz="4" w:space="0" w:color="auto"/>
              <w:right w:val="single" w:sz="4" w:space="0" w:color="auto"/>
            </w:tcBorders>
            <w:shd w:val="clear" w:color="000000" w:fill="ED7D31"/>
            <w:vAlign w:val="center"/>
            <w:hideMark/>
          </w:tcPr>
          <w:p w14:paraId="6C3DE296"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FUT- Cierre Fiscal </w:t>
            </w:r>
          </w:p>
        </w:tc>
        <w:tc>
          <w:tcPr>
            <w:tcW w:w="1151" w:type="dxa"/>
            <w:tcBorders>
              <w:top w:val="nil"/>
              <w:left w:val="nil"/>
              <w:bottom w:val="single" w:sz="4" w:space="0" w:color="auto"/>
              <w:right w:val="single" w:sz="4" w:space="0" w:color="auto"/>
            </w:tcBorders>
            <w:shd w:val="clear" w:color="000000" w:fill="ED7D31"/>
            <w:noWrap/>
            <w:vAlign w:val="center"/>
            <w:hideMark/>
          </w:tcPr>
          <w:p w14:paraId="1D2A8928"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Diferencia</w:t>
            </w:r>
          </w:p>
        </w:tc>
      </w:tr>
      <w:tr w:rsidR="000742BD" w:rsidRPr="000742BD" w14:paraId="7430D8BF" w14:textId="77777777" w:rsidTr="000742BD">
        <w:trPr>
          <w:trHeight w:val="224"/>
          <w:jc w:val="center"/>
        </w:trPr>
        <w:tc>
          <w:tcPr>
            <w:tcW w:w="1985" w:type="dxa"/>
            <w:tcBorders>
              <w:top w:val="nil"/>
              <w:left w:val="single" w:sz="4" w:space="0" w:color="auto"/>
              <w:bottom w:val="single" w:sz="4" w:space="0" w:color="auto"/>
              <w:right w:val="single" w:sz="4" w:space="0" w:color="auto"/>
            </w:tcBorders>
            <w:noWrap/>
            <w:vAlign w:val="bottom"/>
            <w:hideMark/>
          </w:tcPr>
          <w:p w14:paraId="407FE357"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Déficit o Superávit </w:t>
            </w:r>
          </w:p>
        </w:tc>
        <w:tc>
          <w:tcPr>
            <w:tcW w:w="1276" w:type="dxa"/>
            <w:tcBorders>
              <w:top w:val="nil"/>
              <w:left w:val="nil"/>
              <w:bottom w:val="single" w:sz="4" w:space="0" w:color="auto"/>
              <w:right w:val="single" w:sz="4" w:space="0" w:color="auto"/>
            </w:tcBorders>
            <w:noWrap/>
            <w:vAlign w:val="bottom"/>
            <w:hideMark/>
          </w:tcPr>
          <w:p w14:paraId="05415DBF"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$ 4.311</w:t>
            </w:r>
          </w:p>
        </w:tc>
        <w:tc>
          <w:tcPr>
            <w:tcW w:w="1842" w:type="dxa"/>
            <w:tcBorders>
              <w:top w:val="nil"/>
              <w:left w:val="nil"/>
              <w:bottom w:val="single" w:sz="4" w:space="0" w:color="auto"/>
              <w:right w:val="single" w:sz="4" w:space="0" w:color="auto"/>
            </w:tcBorders>
            <w:noWrap/>
            <w:vAlign w:val="bottom"/>
            <w:hideMark/>
          </w:tcPr>
          <w:p w14:paraId="37B61365"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$ 11.092</w:t>
            </w:r>
          </w:p>
        </w:tc>
        <w:tc>
          <w:tcPr>
            <w:tcW w:w="1151" w:type="dxa"/>
            <w:tcBorders>
              <w:top w:val="nil"/>
              <w:left w:val="nil"/>
              <w:bottom w:val="single" w:sz="4" w:space="0" w:color="auto"/>
              <w:right w:val="single" w:sz="4" w:space="0" w:color="auto"/>
            </w:tcBorders>
            <w:noWrap/>
            <w:vAlign w:val="bottom"/>
            <w:hideMark/>
          </w:tcPr>
          <w:p w14:paraId="5F12ED92"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$ 6.781</w:t>
            </w:r>
          </w:p>
        </w:tc>
      </w:tr>
      <w:tr w:rsidR="000742BD" w:rsidRPr="000742BD" w14:paraId="535AA56D" w14:textId="77777777" w:rsidTr="000742BD">
        <w:trPr>
          <w:trHeight w:val="224"/>
          <w:jc w:val="center"/>
        </w:trPr>
        <w:tc>
          <w:tcPr>
            <w:tcW w:w="1985" w:type="dxa"/>
            <w:tcBorders>
              <w:top w:val="nil"/>
              <w:left w:val="single" w:sz="4" w:space="0" w:color="auto"/>
              <w:bottom w:val="single" w:sz="4" w:space="0" w:color="auto"/>
              <w:right w:val="single" w:sz="4" w:space="0" w:color="auto"/>
            </w:tcBorders>
            <w:noWrap/>
            <w:vAlign w:val="bottom"/>
            <w:hideMark/>
          </w:tcPr>
          <w:p w14:paraId="10F80802"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Reservas </w:t>
            </w:r>
          </w:p>
        </w:tc>
        <w:tc>
          <w:tcPr>
            <w:tcW w:w="1276" w:type="dxa"/>
            <w:tcBorders>
              <w:top w:val="nil"/>
              <w:left w:val="nil"/>
              <w:bottom w:val="single" w:sz="4" w:space="0" w:color="auto"/>
              <w:right w:val="single" w:sz="4" w:space="0" w:color="auto"/>
            </w:tcBorders>
            <w:noWrap/>
            <w:vAlign w:val="bottom"/>
            <w:hideMark/>
          </w:tcPr>
          <w:p w14:paraId="1657E881"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$ 4.978</w:t>
            </w:r>
          </w:p>
        </w:tc>
        <w:tc>
          <w:tcPr>
            <w:tcW w:w="1842" w:type="dxa"/>
            <w:tcBorders>
              <w:top w:val="nil"/>
              <w:left w:val="nil"/>
              <w:bottom w:val="single" w:sz="4" w:space="0" w:color="auto"/>
              <w:right w:val="single" w:sz="4" w:space="0" w:color="auto"/>
            </w:tcBorders>
            <w:noWrap/>
            <w:vAlign w:val="bottom"/>
            <w:hideMark/>
          </w:tcPr>
          <w:p w14:paraId="457F640C"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$ 5.521</w:t>
            </w:r>
          </w:p>
        </w:tc>
        <w:tc>
          <w:tcPr>
            <w:tcW w:w="1151" w:type="dxa"/>
            <w:tcBorders>
              <w:top w:val="nil"/>
              <w:left w:val="nil"/>
              <w:bottom w:val="single" w:sz="4" w:space="0" w:color="auto"/>
              <w:right w:val="single" w:sz="4" w:space="0" w:color="auto"/>
            </w:tcBorders>
            <w:noWrap/>
            <w:vAlign w:val="bottom"/>
            <w:hideMark/>
          </w:tcPr>
          <w:p w14:paraId="432DE944"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$ 543</w:t>
            </w:r>
          </w:p>
        </w:tc>
      </w:tr>
      <w:tr w:rsidR="000742BD" w:rsidRPr="000742BD" w14:paraId="0EC74452" w14:textId="77777777" w:rsidTr="000742BD">
        <w:trPr>
          <w:trHeight w:val="224"/>
          <w:jc w:val="center"/>
        </w:trPr>
        <w:tc>
          <w:tcPr>
            <w:tcW w:w="1985" w:type="dxa"/>
            <w:tcBorders>
              <w:top w:val="nil"/>
              <w:left w:val="single" w:sz="4" w:space="0" w:color="auto"/>
              <w:bottom w:val="single" w:sz="4" w:space="0" w:color="auto"/>
              <w:right w:val="single" w:sz="4" w:space="0" w:color="auto"/>
            </w:tcBorders>
            <w:noWrap/>
            <w:vAlign w:val="bottom"/>
            <w:hideMark/>
          </w:tcPr>
          <w:p w14:paraId="57892AA0"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Cuentas por pagar </w:t>
            </w:r>
          </w:p>
        </w:tc>
        <w:tc>
          <w:tcPr>
            <w:tcW w:w="1276" w:type="dxa"/>
            <w:tcBorders>
              <w:top w:val="nil"/>
              <w:left w:val="nil"/>
              <w:bottom w:val="single" w:sz="4" w:space="0" w:color="auto"/>
              <w:right w:val="single" w:sz="4" w:space="0" w:color="auto"/>
            </w:tcBorders>
            <w:noWrap/>
            <w:vAlign w:val="bottom"/>
            <w:hideMark/>
          </w:tcPr>
          <w:p w14:paraId="443528C5"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$ 224</w:t>
            </w:r>
          </w:p>
        </w:tc>
        <w:tc>
          <w:tcPr>
            <w:tcW w:w="1842" w:type="dxa"/>
            <w:tcBorders>
              <w:top w:val="nil"/>
              <w:left w:val="nil"/>
              <w:bottom w:val="single" w:sz="4" w:space="0" w:color="auto"/>
              <w:right w:val="single" w:sz="4" w:space="0" w:color="auto"/>
            </w:tcBorders>
            <w:noWrap/>
            <w:vAlign w:val="bottom"/>
            <w:hideMark/>
          </w:tcPr>
          <w:p w14:paraId="4669F5F1"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$ 224</w:t>
            </w:r>
          </w:p>
        </w:tc>
        <w:tc>
          <w:tcPr>
            <w:tcW w:w="1151" w:type="dxa"/>
            <w:tcBorders>
              <w:top w:val="nil"/>
              <w:left w:val="nil"/>
              <w:bottom w:val="single" w:sz="4" w:space="0" w:color="auto"/>
              <w:right w:val="single" w:sz="4" w:space="0" w:color="auto"/>
            </w:tcBorders>
            <w:shd w:val="clear" w:color="000000" w:fill="9BC2E6"/>
            <w:noWrap/>
            <w:vAlign w:val="bottom"/>
            <w:hideMark/>
          </w:tcPr>
          <w:p w14:paraId="6A0CF95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$ 0</w:t>
            </w:r>
          </w:p>
        </w:tc>
      </w:tr>
      <w:tr w:rsidR="000742BD" w:rsidRPr="000742BD" w14:paraId="0CEA4C06" w14:textId="77777777" w:rsidTr="000742BD">
        <w:trPr>
          <w:trHeight w:val="224"/>
          <w:jc w:val="center"/>
        </w:trPr>
        <w:tc>
          <w:tcPr>
            <w:tcW w:w="1985" w:type="dxa"/>
            <w:tcBorders>
              <w:top w:val="nil"/>
              <w:left w:val="single" w:sz="4" w:space="0" w:color="auto"/>
              <w:bottom w:val="single" w:sz="4" w:space="0" w:color="auto"/>
              <w:right w:val="single" w:sz="4" w:space="0" w:color="auto"/>
            </w:tcBorders>
            <w:noWrap/>
            <w:vAlign w:val="bottom"/>
            <w:hideMark/>
          </w:tcPr>
          <w:p w14:paraId="0D94C7F9"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Saldos en </w:t>
            </w:r>
            <w:r w:rsidR="00F75B1D">
              <w:rPr>
                <w:rFonts w:ascii="Arial Narrow" w:hAnsi="Arial Narrow" w:cs="Calibri"/>
                <w:color w:val="000000"/>
                <w:sz w:val="22"/>
                <w:szCs w:val="22"/>
                <w:lang w:val="es-CO"/>
              </w:rPr>
              <w:t>c</w:t>
            </w:r>
            <w:r w:rsidRPr="000742BD">
              <w:rPr>
                <w:rFonts w:ascii="Arial Narrow" w:hAnsi="Arial Narrow" w:cs="Calibri"/>
                <w:color w:val="000000"/>
                <w:sz w:val="22"/>
                <w:szCs w:val="22"/>
                <w:lang w:val="es-CO"/>
              </w:rPr>
              <w:t>aja y Bancos</w:t>
            </w:r>
          </w:p>
        </w:tc>
        <w:tc>
          <w:tcPr>
            <w:tcW w:w="1276" w:type="dxa"/>
            <w:tcBorders>
              <w:top w:val="nil"/>
              <w:left w:val="nil"/>
              <w:bottom w:val="single" w:sz="4" w:space="0" w:color="auto"/>
              <w:right w:val="single" w:sz="4" w:space="0" w:color="auto"/>
            </w:tcBorders>
            <w:noWrap/>
            <w:vAlign w:val="bottom"/>
            <w:hideMark/>
          </w:tcPr>
          <w:p w14:paraId="1FC84831"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$ 9.513</w:t>
            </w:r>
          </w:p>
        </w:tc>
        <w:tc>
          <w:tcPr>
            <w:tcW w:w="1842" w:type="dxa"/>
            <w:tcBorders>
              <w:top w:val="nil"/>
              <w:left w:val="nil"/>
              <w:bottom w:val="single" w:sz="4" w:space="0" w:color="auto"/>
              <w:right w:val="single" w:sz="4" w:space="0" w:color="auto"/>
            </w:tcBorders>
            <w:noWrap/>
            <w:vAlign w:val="bottom"/>
            <w:hideMark/>
          </w:tcPr>
          <w:p w14:paraId="61864422"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$ 16.674</w:t>
            </w:r>
          </w:p>
        </w:tc>
        <w:tc>
          <w:tcPr>
            <w:tcW w:w="1151" w:type="dxa"/>
            <w:tcBorders>
              <w:top w:val="nil"/>
              <w:left w:val="nil"/>
              <w:bottom w:val="single" w:sz="4" w:space="0" w:color="auto"/>
              <w:right w:val="single" w:sz="4" w:space="0" w:color="auto"/>
            </w:tcBorders>
            <w:noWrap/>
            <w:vAlign w:val="bottom"/>
            <w:hideMark/>
          </w:tcPr>
          <w:p w14:paraId="76F0BF5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$ 7.161</w:t>
            </w:r>
          </w:p>
        </w:tc>
      </w:tr>
    </w:tbl>
    <w:p w14:paraId="137331C3" w14:textId="77777777" w:rsidR="000742BD" w:rsidRPr="000742BD" w:rsidRDefault="000742BD" w:rsidP="000742BD">
      <w:pPr>
        <w:spacing w:line="276" w:lineRule="auto"/>
        <w:ind w:left="708"/>
        <w:rPr>
          <w:rFonts w:ascii="Arial Narrow" w:hAnsi="Arial Narrow" w:cs="Arial"/>
          <w:sz w:val="16"/>
          <w:szCs w:val="16"/>
        </w:rPr>
      </w:pPr>
      <w:r w:rsidRPr="000742BD">
        <w:rPr>
          <w:rFonts w:ascii="Arial Narrow" w:hAnsi="Arial Narrow" w:cs="Arial"/>
          <w:b/>
          <w:sz w:val="16"/>
          <w:szCs w:val="16"/>
        </w:rPr>
        <w:t>Fuente:</w:t>
      </w:r>
      <w:r w:rsidRPr="000742BD">
        <w:rPr>
          <w:rFonts w:ascii="Arial Narrow" w:hAnsi="Arial Narrow" w:cs="Arial"/>
          <w:sz w:val="16"/>
          <w:szCs w:val="16"/>
        </w:rPr>
        <w:t xml:space="preserve"> Elaboración propia a partir de los datos arrojados del formulario de Cierre fiscal </w:t>
      </w:r>
      <w:r w:rsidRPr="000742BD">
        <w:rPr>
          <w:rFonts w:ascii="Arial Narrow" w:hAnsi="Arial Narrow" w:cs="Arial"/>
          <w:sz w:val="16"/>
          <w:szCs w:val="16"/>
          <w:lang w:val="es-MX"/>
        </w:rPr>
        <w:t>(Reporte de Información 2019-2020-2021)- Categoría del Formulario Único Territorial</w:t>
      </w:r>
    </w:p>
    <w:p w14:paraId="4548C66E" w14:textId="77777777" w:rsidR="000742BD" w:rsidRPr="000742BD" w:rsidRDefault="000742BD" w:rsidP="000742BD">
      <w:pPr>
        <w:spacing w:line="276" w:lineRule="auto"/>
        <w:jc w:val="both"/>
        <w:rPr>
          <w:rFonts w:ascii="Arial Narrow" w:hAnsi="Arial Narrow" w:cs="Arial"/>
          <w:b/>
          <w:sz w:val="22"/>
          <w:szCs w:val="22"/>
        </w:rPr>
      </w:pPr>
    </w:p>
    <w:p w14:paraId="13F13378" w14:textId="77777777" w:rsidR="000742BD" w:rsidRPr="000742BD" w:rsidRDefault="000742BD" w:rsidP="000742BD">
      <w:pPr>
        <w:spacing w:line="276" w:lineRule="auto"/>
        <w:jc w:val="both"/>
        <w:rPr>
          <w:rFonts w:ascii="Arial Narrow" w:hAnsi="Arial Narrow" w:cs="Arial"/>
          <w:b/>
          <w:sz w:val="22"/>
          <w:szCs w:val="22"/>
        </w:rPr>
      </w:pPr>
    </w:p>
    <w:p w14:paraId="27503D57" w14:textId="77777777" w:rsidR="000742BD" w:rsidRPr="000742BD" w:rsidRDefault="000742BD" w:rsidP="000742BD">
      <w:pPr>
        <w:jc w:val="both"/>
        <w:rPr>
          <w:rFonts w:ascii="Arial Narrow" w:hAnsi="Arial Narrow" w:cs="Arial"/>
          <w:b/>
          <w:sz w:val="22"/>
          <w:szCs w:val="22"/>
        </w:rPr>
      </w:pPr>
      <w:r w:rsidRPr="000742BD">
        <w:rPr>
          <w:rFonts w:ascii="Arial Narrow" w:hAnsi="Arial Narrow" w:cs="Arial"/>
          <w:b/>
          <w:sz w:val="22"/>
          <w:szCs w:val="22"/>
        </w:rPr>
        <w:t>Vigencia 2020</w:t>
      </w:r>
    </w:p>
    <w:p w14:paraId="4C4DF5AA" w14:textId="77777777" w:rsidR="000742BD" w:rsidRPr="000742BD" w:rsidRDefault="000742BD" w:rsidP="000742BD">
      <w:pPr>
        <w:jc w:val="both"/>
        <w:rPr>
          <w:rFonts w:ascii="Arial Narrow" w:hAnsi="Arial Narrow" w:cs="Arial"/>
          <w:b/>
          <w:sz w:val="22"/>
          <w:szCs w:val="22"/>
        </w:rPr>
      </w:pPr>
    </w:p>
    <w:p w14:paraId="65D66A66"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Superávit fue de $12.950 millones de pesos, valor distinto al arrojado por el formulario de Cierre Fiscal que fue de $11.923 millones, precisando una diferencia de menos en el formulario por valor de $1.027 millones. </w:t>
      </w:r>
    </w:p>
    <w:p w14:paraId="6DBCBD9E" w14:textId="77777777" w:rsidR="000742BD" w:rsidRPr="000742BD" w:rsidRDefault="000742BD" w:rsidP="000742BD">
      <w:pPr>
        <w:ind w:left="720"/>
        <w:jc w:val="both"/>
        <w:rPr>
          <w:rFonts w:ascii="Arial Narrow" w:hAnsi="Arial Narrow" w:cs="Arial"/>
          <w:sz w:val="22"/>
          <w:szCs w:val="22"/>
        </w:rPr>
      </w:pPr>
    </w:p>
    <w:p w14:paraId="7CC34C2F"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En referencia a las reservas, el valor de diferencia arrojado por el formulario de Cierre Fiscal con el presente estudio es de -$1.480 millones con respecto al estudio actual. Así mismo, el valor proyectado en este estudio sobre el concepto de saldo en caja y bancos es de $27.372 millones de pesos, precisando una diferencia negativa en el formulario con respecto al presente estudio por valor de -$1.735 millones.</w:t>
      </w:r>
    </w:p>
    <w:p w14:paraId="6B4E9597" w14:textId="77777777" w:rsidR="000742BD" w:rsidRPr="000742BD" w:rsidRDefault="000742BD" w:rsidP="000742BD">
      <w:pPr>
        <w:jc w:val="both"/>
        <w:rPr>
          <w:rFonts w:ascii="Arial Narrow" w:hAnsi="Arial Narrow" w:cs="Arial"/>
          <w:sz w:val="22"/>
          <w:szCs w:val="22"/>
        </w:rPr>
      </w:pPr>
    </w:p>
    <w:p w14:paraId="40CDBF10"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Por último, en el rubro de cuentas por pagar existe una diferencia de más en el formulario con respecto al presente estudio de $879 millones de pesos. </w:t>
      </w:r>
    </w:p>
    <w:p w14:paraId="3027905F" w14:textId="77777777" w:rsidR="000742BD" w:rsidRPr="000742BD" w:rsidRDefault="000742BD" w:rsidP="000742BD">
      <w:pPr>
        <w:spacing w:line="276" w:lineRule="auto"/>
        <w:jc w:val="both"/>
        <w:rPr>
          <w:rFonts w:ascii="Arial Narrow" w:hAnsi="Arial Narrow" w:cs="Arial"/>
          <w:b/>
          <w:sz w:val="22"/>
          <w:szCs w:val="22"/>
        </w:rPr>
      </w:pPr>
    </w:p>
    <w:tbl>
      <w:tblPr>
        <w:tblW w:w="6680" w:type="dxa"/>
        <w:jc w:val="center"/>
        <w:tblLook w:val="04A0" w:firstRow="1" w:lastRow="0" w:firstColumn="1" w:lastColumn="0" w:noHBand="0" w:noVBand="1"/>
      </w:tblPr>
      <w:tblGrid>
        <w:gridCol w:w="2127"/>
        <w:gridCol w:w="1559"/>
        <w:gridCol w:w="1843"/>
        <w:gridCol w:w="1151"/>
      </w:tblGrid>
      <w:tr w:rsidR="000742BD" w:rsidRPr="000742BD" w14:paraId="6A849FAC" w14:textId="77777777" w:rsidTr="000742BD">
        <w:trPr>
          <w:trHeight w:val="300"/>
          <w:jc w:val="center"/>
        </w:trPr>
        <w:tc>
          <w:tcPr>
            <w:tcW w:w="6680" w:type="dxa"/>
            <w:gridSpan w:val="4"/>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78DA51E4"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Comparación de datos - Cierre Fiscal (2020)</w:t>
            </w:r>
          </w:p>
        </w:tc>
      </w:tr>
      <w:tr w:rsidR="000742BD" w:rsidRPr="000742BD" w14:paraId="16921464" w14:textId="77777777" w:rsidTr="000742BD">
        <w:trPr>
          <w:trHeight w:val="600"/>
          <w:jc w:val="center"/>
        </w:trPr>
        <w:tc>
          <w:tcPr>
            <w:tcW w:w="2127" w:type="dxa"/>
            <w:tcBorders>
              <w:top w:val="nil"/>
              <w:left w:val="single" w:sz="4" w:space="0" w:color="auto"/>
              <w:bottom w:val="single" w:sz="4" w:space="0" w:color="auto"/>
              <w:right w:val="single" w:sz="4" w:space="0" w:color="auto"/>
            </w:tcBorders>
            <w:shd w:val="clear" w:color="000000" w:fill="ED7D31"/>
            <w:noWrap/>
            <w:vAlign w:val="center"/>
            <w:hideMark/>
          </w:tcPr>
          <w:p w14:paraId="7CEE6F75"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Conceptos</w:t>
            </w:r>
          </w:p>
        </w:tc>
        <w:tc>
          <w:tcPr>
            <w:tcW w:w="1559" w:type="dxa"/>
            <w:tcBorders>
              <w:top w:val="nil"/>
              <w:left w:val="nil"/>
              <w:bottom w:val="single" w:sz="4" w:space="0" w:color="auto"/>
              <w:right w:val="single" w:sz="4" w:space="0" w:color="auto"/>
            </w:tcBorders>
            <w:shd w:val="clear" w:color="000000" w:fill="ED7D31"/>
            <w:vAlign w:val="center"/>
            <w:hideMark/>
          </w:tcPr>
          <w:p w14:paraId="6236E3DF"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  (Cálculo DAF)</w:t>
            </w:r>
          </w:p>
        </w:tc>
        <w:tc>
          <w:tcPr>
            <w:tcW w:w="1843" w:type="dxa"/>
            <w:tcBorders>
              <w:top w:val="nil"/>
              <w:left w:val="nil"/>
              <w:bottom w:val="single" w:sz="4" w:space="0" w:color="auto"/>
              <w:right w:val="single" w:sz="4" w:space="0" w:color="auto"/>
            </w:tcBorders>
            <w:shd w:val="clear" w:color="000000" w:fill="ED7D31"/>
            <w:vAlign w:val="center"/>
            <w:hideMark/>
          </w:tcPr>
          <w:p w14:paraId="6ED0D254"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FUT- Cierre Fiscal </w:t>
            </w:r>
          </w:p>
        </w:tc>
        <w:tc>
          <w:tcPr>
            <w:tcW w:w="1151" w:type="dxa"/>
            <w:tcBorders>
              <w:top w:val="nil"/>
              <w:left w:val="nil"/>
              <w:bottom w:val="single" w:sz="4" w:space="0" w:color="auto"/>
              <w:right w:val="single" w:sz="4" w:space="0" w:color="auto"/>
            </w:tcBorders>
            <w:shd w:val="clear" w:color="000000" w:fill="ED7D31"/>
            <w:noWrap/>
            <w:vAlign w:val="center"/>
            <w:hideMark/>
          </w:tcPr>
          <w:p w14:paraId="5C21C511"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Diferencia</w:t>
            </w:r>
          </w:p>
        </w:tc>
      </w:tr>
      <w:tr w:rsidR="000742BD" w:rsidRPr="000742BD" w14:paraId="277970ED" w14:textId="77777777" w:rsidTr="000742BD">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7D24F36D"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Déficit o Superávit </w:t>
            </w:r>
          </w:p>
        </w:tc>
        <w:tc>
          <w:tcPr>
            <w:tcW w:w="1559" w:type="dxa"/>
            <w:tcBorders>
              <w:top w:val="nil"/>
              <w:left w:val="nil"/>
              <w:bottom w:val="single" w:sz="4" w:space="0" w:color="auto"/>
              <w:right w:val="single" w:sz="4" w:space="0" w:color="auto"/>
            </w:tcBorders>
            <w:noWrap/>
            <w:vAlign w:val="bottom"/>
            <w:hideMark/>
          </w:tcPr>
          <w:p w14:paraId="0D9B9828"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$ 12.950</w:t>
            </w:r>
          </w:p>
        </w:tc>
        <w:tc>
          <w:tcPr>
            <w:tcW w:w="1843" w:type="dxa"/>
            <w:tcBorders>
              <w:top w:val="nil"/>
              <w:left w:val="nil"/>
              <w:bottom w:val="single" w:sz="4" w:space="0" w:color="auto"/>
              <w:right w:val="single" w:sz="4" w:space="0" w:color="auto"/>
            </w:tcBorders>
            <w:noWrap/>
            <w:vAlign w:val="bottom"/>
            <w:hideMark/>
          </w:tcPr>
          <w:p w14:paraId="2528FE3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$ 11.923</w:t>
            </w:r>
          </w:p>
        </w:tc>
        <w:tc>
          <w:tcPr>
            <w:tcW w:w="1151" w:type="dxa"/>
            <w:tcBorders>
              <w:top w:val="nil"/>
              <w:left w:val="nil"/>
              <w:bottom w:val="single" w:sz="4" w:space="0" w:color="auto"/>
              <w:right w:val="single" w:sz="4" w:space="0" w:color="auto"/>
            </w:tcBorders>
            <w:noWrap/>
            <w:vAlign w:val="bottom"/>
            <w:hideMark/>
          </w:tcPr>
          <w:p w14:paraId="30AE3D7B"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-$ 1.027</w:t>
            </w:r>
          </w:p>
        </w:tc>
      </w:tr>
      <w:tr w:rsidR="000742BD" w:rsidRPr="000742BD" w14:paraId="7250C8B2" w14:textId="77777777" w:rsidTr="000742BD">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78EDF462"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Reservas </w:t>
            </w:r>
          </w:p>
        </w:tc>
        <w:tc>
          <w:tcPr>
            <w:tcW w:w="1559" w:type="dxa"/>
            <w:tcBorders>
              <w:top w:val="nil"/>
              <w:left w:val="nil"/>
              <w:bottom w:val="single" w:sz="4" w:space="0" w:color="auto"/>
              <w:right w:val="single" w:sz="4" w:space="0" w:color="auto"/>
            </w:tcBorders>
            <w:noWrap/>
            <w:vAlign w:val="bottom"/>
            <w:hideMark/>
          </w:tcPr>
          <w:p w14:paraId="5BC54DF5"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$ 13.192</w:t>
            </w:r>
          </w:p>
        </w:tc>
        <w:tc>
          <w:tcPr>
            <w:tcW w:w="1843" w:type="dxa"/>
            <w:tcBorders>
              <w:top w:val="nil"/>
              <w:left w:val="nil"/>
              <w:bottom w:val="single" w:sz="4" w:space="0" w:color="auto"/>
              <w:right w:val="single" w:sz="4" w:space="0" w:color="auto"/>
            </w:tcBorders>
            <w:noWrap/>
            <w:vAlign w:val="bottom"/>
            <w:hideMark/>
          </w:tcPr>
          <w:p w14:paraId="3B4CA1AC"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$ 11.712</w:t>
            </w:r>
          </w:p>
        </w:tc>
        <w:tc>
          <w:tcPr>
            <w:tcW w:w="1151" w:type="dxa"/>
            <w:tcBorders>
              <w:top w:val="nil"/>
              <w:left w:val="nil"/>
              <w:bottom w:val="single" w:sz="4" w:space="0" w:color="auto"/>
              <w:right w:val="single" w:sz="4" w:space="0" w:color="auto"/>
            </w:tcBorders>
            <w:noWrap/>
            <w:vAlign w:val="bottom"/>
            <w:hideMark/>
          </w:tcPr>
          <w:p w14:paraId="05E30C05"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-$ 1.480</w:t>
            </w:r>
          </w:p>
        </w:tc>
      </w:tr>
      <w:tr w:rsidR="000742BD" w:rsidRPr="000742BD" w14:paraId="1DD851E5" w14:textId="77777777" w:rsidTr="000742BD">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20304D4D"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Cuentas por pagar </w:t>
            </w:r>
          </w:p>
        </w:tc>
        <w:tc>
          <w:tcPr>
            <w:tcW w:w="1559" w:type="dxa"/>
            <w:tcBorders>
              <w:top w:val="nil"/>
              <w:left w:val="nil"/>
              <w:bottom w:val="single" w:sz="4" w:space="0" w:color="auto"/>
              <w:right w:val="single" w:sz="4" w:space="0" w:color="auto"/>
            </w:tcBorders>
            <w:noWrap/>
            <w:vAlign w:val="bottom"/>
            <w:hideMark/>
          </w:tcPr>
          <w:p w14:paraId="78124787"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$ 1.230</w:t>
            </w:r>
          </w:p>
        </w:tc>
        <w:tc>
          <w:tcPr>
            <w:tcW w:w="1843" w:type="dxa"/>
            <w:tcBorders>
              <w:top w:val="nil"/>
              <w:left w:val="nil"/>
              <w:bottom w:val="single" w:sz="4" w:space="0" w:color="auto"/>
              <w:right w:val="single" w:sz="4" w:space="0" w:color="auto"/>
            </w:tcBorders>
            <w:noWrap/>
            <w:vAlign w:val="bottom"/>
            <w:hideMark/>
          </w:tcPr>
          <w:p w14:paraId="704F0DF6"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$ 880</w:t>
            </w:r>
          </w:p>
        </w:tc>
        <w:tc>
          <w:tcPr>
            <w:tcW w:w="1151" w:type="dxa"/>
            <w:tcBorders>
              <w:top w:val="nil"/>
              <w:left w:val="nil"/>
              <w:bottom w:val="single" w:sz="4" w:space="0" w:color="auto"/>
              <w:right w:val="single" w:sz="4" w:space="0" w:color="auto"/>
            </w:tcBorders>
            <w:noWrap/>
            <w:vAlign w:val="bottom"/>
            <w:hideMark/>
          </w:tcPr>
          <w:p w14:paraId="23D78364"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$ 879</w:t>
            </w:r>
          </w:p>
        </w:tc>
      </w:tr>
      <w:tr w:rsidR="000742BD" w:rsidRPr="000742BD" w14:paraId="1BB777DF" w14:textId="77777777" w:rsidTr="000742BD">
        <w:trPr>
          <w:trHeight w:val="300"/>
          <w:jc w:val="center"/>
        </w:trPr>
        <w:tc>
          <w:tcPr>
            <w:tcW w:w="2127" w:type="dxa"/>
            <w:tcBorders>
              <w:top w:val="nil"/>
              <w:left w:val="single" w:sz="4" w:space="0" w:color="auto"/>
              <w:bottom w:val="single" w:sz="4" w:space="0" w:color="auto"/>
              <w:right w:val="single" w:sz="4" w:space="0" w:color="auto"/>
            </w:tcBorders>
            <w:noWrap/>
            <w:vAlign w:val="bottom"/>
            <w:hideMark/>
          </w:tcPr>
          <w:p w14:paraId="0ECA8B5F"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Saldos en </w:t>
            </w:r>
            <w:r w:rsidR="00F75B1D">
              <w:rPr>
                <w:rFonts w:ascii="Arial Narrow" w:hAnsi="Arial Narrow" w:cs="Calibri"/>
                <w:color w:val="000000"/>
                <w:sz w:val="22"/>
                <w:szCs w:val="22"/>
                <w:lang w:val="es-CO"/>
              </w:rPr>
              <w:t>c</w:t>
            </w:r>
            <w:r w:rsidRPr="000742BD">
              <w:rPr>
                <w:rFonts w:ascii="Arial Narrow" w:hAnsi="Arial Narrow" w:cs="Calibri"/>
                <w:color w:val="000000"/>
                <w:sz w:val="22"/>
                <w:szCs w:val="22"/>
                <w:lang w:val="es-CO"/>
              </w:rPr>
              <w:t>aja y Bancos</w:t>
            </w:r>
          </w:p>
        </w:tc>
        <w:tc>
          <w:tcPr>
            <w:tcW w:w="1559" w:type="dxa"/>
            <w:tcBorders>
              <w:top w:val="nil"/>
              <w:left w:val="nil"/>
              <w:bottom w:val="single" w:sz="4" w:space="0" w:color="auto"/>
              <w:right w:val="single" w:sz="4" w:space="0" w:color="auto"/>
            </w:tcBorders>
            <w:noWrap/>
            <w:vAlign w:val="bottom"/>
            <w:hideMark/>
          </w:tcPr>
          <w:p w14:paraId="0B517270"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$ 27.372</w:t>
            </w:r>
          </w:p>
        </w:tc>
        <w:tc>
          <w:tcPr>
            <w:tcW w:w="1843" w:type="dxa"/>
            <w:tcBorders>
              <w:top w:val="nil"/>
              <w:left w:val="nil"/>
              <w:bottom w:val="single" w:sz="4" w:space="0" w:color="auto"/>
              <w:right w:val="single" w:sz="4" w:space="0" w:color="auto"/>
            </w:tcBorders>
            <w:noWrap/>
            <w:vAlign w:val="bottom"/>
            <w:hideMark/>
          </w:tcPr>
          <w:p w14:paraId="4E9FEBA2"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$ 25.637</w:t>
            </w:r>
          </w:p>
        </w:tc>
        <w:tc>
          <w:tcPr>
            <w:tcW w:w="1151" w:type="dxa"/>
            <w:tcBorders>
              <w:top w:val="nil"/>
              <w:left w:val="nil"/>
              <w:bottom w:val="single" w:sz="4" w:space="0" w:color="auto"/>
              <w:right w:val="single" w:sz="4" w:space="0" w:color="auto"/>
            </w:tcBorders>
            <w:noWrap/>
            <w:vAlign w:val="bottom"/>
            <w:hideMark/>
          </w:tcPr>
          <w:p w14:paraId="681F817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-$ 1.735</w:t>
            </w:r>
          </w:p>
        </w:tc>
      </w:tr>
    </w:tbl>
    <w:p w14:paraId="687E6938" w14:textId="77777777" w:rsidR="000742BD" w:rsidRPr="000742BD" w:rsidRDefault="000742BD" w:rsidP="000742BD">
      <w:pPr>
        <w:spacing w:line="276" w:lineRule="auto"/>
        <w:jc w:val="center"/>
        <w:rPr>
          <w:rFonts w:ascii="Arial Narrow" w:hAnsi="Arial Narrow" w:cs="Arial"/>
          <w:sz w:val="16"/>
          <w:szCs w:val="16"/>
        </w:rPr>
      </w:pPr>
      <w:r w:rsidRPr="000742BD">
        <w:rPr>
          <w:rFonts w:ascii="Arial Narrow" w:hAnsi="Arial Narrow" w:cs="Arial"/>
          <w:b/>
          <w:sz w:val="16"/>
          <w:szCs w:val="16"/>
        </w:rPr>
        <w:t>Fuente:</w:t>
      </w:r>
      <w:r w:rsidRPr="000742BD">
        <w:rPr>
          <w:rFonts w:ascii="Arial Narrow" w:hAnsi="Arial Narrow" w:cs="Arial"/>
          <w:sz w:val="16"/>
          <w:szCs w:val="16"/>
        </w:rPr>
        <w:t xml:space="preserve"> Elaboración propia a partir de los datos arrojados del formulario de Cierre fiscal</w:t>
      </w:r>
      <w:r w:rsidRPr="000742BD">
        <w:rPr>
          <w:rFonts w:ascii="Arial Narrow" w:hAnsi="Arial Narrow" w:cs="Arial"/>
          <w:sz w:val="16"/>
          <w:szCs w:val="16"/>
          <w:lang w:val="es-MX"/>
        </w:rPr>
        <w:t xml:space="preserve"> (Reporte de Información 2019-2020-2021)- Categoría del Formulario Único Territorial</w:t>
      </w:r>
    </w:p>
    <w:p w14:paraId="549786EC" w14:textId="77777777" w:rsidR="000742BD" w:rsidRPr="000742BD" w:rsidRDefault="000742BD" w:rsidP="000742BD">
      <w:pPr>
        <w:spacing w:line="276" w:lineRule="auto"/>
        <w:jc w:val="both"/>
        <w:rPr>
          <w:rFonts w:ascii="Arial Narrow" w:hAnsi="Arial Narrow" w:cs="Arial"/>
          <w:b/>
          <w:sz w:val="22"/>
          <w:szCs w:val="22"/>
        </w:rPr>
      </w:pPr>
    </w:p>
    <w:p w14:paraId="541FF60F" w14:textId="77777777" w:rsidR="000742BD" w:rsidRPr="000742BD" w:rsidRDefault="000742BD" w:rsidP="000742BD">
      <w:pPr>
        <w:jc w:val="both"/>
        <w:rPr>
          <w:rFonts w:ascii="Arial Narrow" w:hAnsi="Arial Narrow" w:cs="Arial"/>
          <w:b/>
          <w:sz w:val="22"/>
          <w:szCs w:val="22"/>
        </w:rPr>
      </w:pPr>
      <w:r w:rsidRPr="000742BD">
        <w:rPr>
          <w:rFonts w:ascii="Arial Narrow" w:hAnsi="Arial Narrow" w:cs="Arial"/>
          <w:b/>
          <w:sz w:val="22"/>
          <w:szCs w:val="22"/>
        </w:rPr>
        <w:t>Vigencia 2021</w:t>
      </w:r>
    </w:p>
    <w:p w14:paraId="692F6D9F" w14:textId="77777777" w:rsidR="000742BD" w:rsidRPr="000742BD" w:rsidRDefault="000742BD" w:rsidP="000742BD">
      <w:pPr>
        <w:jc w:val="both"/>
        <w:rPr>
          <w:rFonts w:ascii="Arial Narrow" w:hAnsi="Arial Narrow" w:cs="Arial"/>
          <w:b/>
          <w:sz w:val="22"/>
          <w:szCs w:val="22"/>
        </w:rPr>
      </w:pPr>
    </w:p>
    <w:p w14:paraId="5B8D543D"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Superávit de esta vigencia fue de $4.755 millones de pesos, valor distinto al arrojado por el formulario de Cierre Fiscal que es de $3.885 millones, precisando una diferencia negativa en el formulario con respecto al presente estudio por valor de -$870 millones. </w:t>
      </w:r>
    </w:p>
    <w:p w14:paraId="57E57C14" w14:textId="77777777" w:rsidR="000742BD" w:rsidRPr="000742BD" w:rsidRDefault="000742BD" w:rsidP="000742BD">
      <w:pPr>
        <w:ind w:left="720"/>
        <w:jc w:val="both"/>
        <w:rPr>
          <w:rFonts w:ascii="Arial Narrow" w:hAnsi="Arial Narrow" w:cs="Arial"/>
          <w:sz w:val="22"/>
          <w:szCs w:val="22"/>
        </w:rPr>
      </w:pPr>
    </w:p>
    <w:p w14:paraId="19D5F5E4"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lastRenderedPageBreak/>
        <w:t>En referencia a las reservas, el valor de diferencia arrojado por el formulario de Cierre Fiscal con el actual estudio es de -$2.006 millones con respecto al estudio actual. Así mismo, el valor proyectado en este estudio sobre el concepto de saldo en caja y bancos es de $17.477 millones de pesos, precisando una diferencia en el formulario con respecto al presente estudio por valor de $4.857millones.</w:t>
      </w:r>
    </w:p>
    <w:p w14:paraId="4046F183" w14:textId="77777777" w:rsidR="000742BD" w:rsidRPr="000742BD" w:rsidRDefault="000742BD" w:rsidP="000742BD">
      <w:pPr>
        <w:jc w:val="both"/>
        <w:rPr>
          <w:rFonts w:ascii="Arial Narrow" w:hAnsi="Arial Narrow" w:cs="Arial"/>
          <w:sz w:val="22"/>
          <w:szCs w:val="22"/>
        </w:rPr>
      </w:pPr>
    </w:p>
    <w:p w14:paraId="7CAC0594" w14:textId="77777777" w:rsidR="000742BD" w:rsidRPr="000742BD" w:rsidRDefault="000742BD" w:rsidP="000742BD">
      <w:pPr>
        <w:jc w:val="both"/>
        <w:rPr>
          <w:rFonts w:ascii="Arial Narrow" w:hAnsi="Arial Narrow" w:cs="Arial"/>
          <w:sz w:val="22"/>
          <w:szCs w:val="22"/>
          <w:lang w:val="es-CO"/>
        </w:rPr>
      </w:pPr>
      <w:r w:rsidRPr="000742BD">
        <w:rPr>
          <w:rFonts w:ascii="Arial Narrow" w:hAnsi="Arial Narrow" w:cs="Arial"/>
          <w:sz w:val="22"/>
          <w:szCs w:val="22"/>
        </w:rPr>
        <w:t xml:space="preserve">Por último, en el rubro de cuentas por pagar existe una diferencia de más en el formulario con respecto al presente estudio de $316 millones de pesos. </w:t>
      </w:r>
    </w:p>
    <w:p w14:paraId="6E5EFA8B" w14:textId="77777777" w:rsidR="000742BD" w:rsidRPr="000742BD" w:rsidRDefault="000742BD" w:rsidP="000742BD">
      <w:pPr>
        <w:jc w:val="both"/>
        <w:rPr>
          <w:rFonts w:ascii="Arial Narrow" w:hAnsi="Arial Narrow" w:cs="Arial"/>
          <w:sz w:val="22"/>
          <w:szCs w:val="22"/>
          <w:lang w:val="es-CO"/>
        </w:rPr>
      </w:pPr>
    </w:p>
    <w:p w14:paraId="4CBEA965" w14:textId="77777777" w:rsidR="000742BD" w:rsidRPr="000742BD" w:rsidRDefault="000742BD" w:rsidP="000742BD">
      <w:pPr>
        <w:spacing w:line="276" w:lineRule="auto"/>
        <w:jc w:val="both"/>
        <w:rPr>
          <w:rFonts w:ascii="Arial Narrow" w:hAnsi="Arial Narrow" w:cs="Arial"/>
          <w:sz w:val="22"/>
          <w:szCs w:val="22"/>
          <w:lang w:val="es-CO"/>
        </w:rPr>
      </w:pPr>
    </w:p>
    <w:tbl>
      <w:tblPr>
        <w:tblW w:w="6816" w:type="dxa"/>
        <w:jc w:val="center"/>
        <w:tblLook w:val="04A0" w:firstRow="1" w:lastRow="0" w:firstColumn="1" w:lastColumn="0" w:noHBand="0" w:noVBand="1"/>
      </w:tblPr>
      <w:tblGrid>
        <w:gridCol w:w="2268"/>
        <w:gridCol w:w="1555"/>
        <w:gridCol w:w="1842"/>
        <w:gridCol w:w="1151"/>
      </w:tblGrid>
      <w:tr w:rsidR="000742BD" w:rsidRPr="000742BD" w14:paraId="390E5A5A" w14:textId="77777777" w:rsidTr="000742BD">
        <w:trPr>
          <w:trHeight w:val="300"/>
          <w:jc w:val="center"/>
        </w:trPr>
        <w:tc>
          <w:tcPr>
            <w:tcW w:w="6816" w:type="dxa"/>
            <w:gridSpan w:val="4"/>
            <w:tcBorders>
              <w:top w:val="single" w:sz="4" w:space="0" w:color="auto"/>
              <w:left w:val="single" w:sz="4" w:space="0" w:color="auto"/>
              <w:bottom w:val="single" w:sz="4" w:space="0" w:color="auto"/>
              <w:right w:val="single" w:sz="4" w:space="0" w:color="000000"/>
            </w:tcBorders>
            <w:shd w:val="clear" w:color="000000" w:fill="ED7D31"/>
            <w:noWrap/>
            <w:vAlign w:val="center"/>
            <w:hideMark/>
          </w:tcPr>
          <w:p w14:paraId="49756E1E"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Comparación de datos - Cierre Fiscal (2021)</w:t>
            </w:r>
          </w:p>
        </w:tc>
      </w:tr>
      <w:tr w:rsidR="000742BD" w:rsidRPr="000742BD" w14:paraId="08CE287B" w14:textId="77777777" w:rsidTr="000742BD">
        <w:trPr>
          <w:trHeight w:val="600"/>
          <w:jc w:val="center"/>
        </w:trPr>
        <w:tc>
          <w:tcPr>
            <w:tcW w:w="2268" w:type="dxa"/>
            <w:tcBorders>
              <w:top w:val="nil"/>
              <w:left w:val="single" w:sz="4" w:space="0" w:color="auto"/>
              <w:bottom w:val="single" w:sz="4" w:space="0" w:color="auto"/>
              <w:right w:val="single" w:sz="4" w:space="0" w:color="auto"/>
            </w:tcBorders>
            <w:shd w:val="clear" w:color="000000" w:fill="ED7D31"/>
            <w:noWrap/>
            <w:vAlign w:val="center"/>
            <w:hideMark/>
          </w:tcPr>
          <w:p w14:paraId="76AD0649"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Conceptos</w:t>
            </w:r>
          </w:p>
        </w:tc>
        <w:tc>
          <w:tcPr>
            <w:tcW w:w="1555" w:type="dxa"/>
            <w:tcBorders>
              <w:top w:val="nil"/>
              <w:left w:val="nil"/>
              <w:bottom w:val="single" w:sz="4" w:space="0" w:color="auto"/>
              <w:right w:val="single" w:sz="4" w:space="0" w:color="auto"/>
            </w:tcBorders>
            <w:shd w:val="clear" w:color="000000" w:fill="ED7D31"/>
            <w:vAlign w:val="center"/>
            <w:hideMark/>
          </w:tcPr>
          <w:p w14:paraId="66D70552"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 (Cálculo DAF)</w:t>
            </w:r>
          </w:p>
        </w:tc>
        <w:tc>
          <w:tcPr>
            <w:tcW w:w="1842" w:type="dxa"/>
            <w:tcBorders>
              <w:top w:val="nil"/>
              <w:left w:val="nil"/>
              <w:bottom w:val="single" w:sz="4" w:space="0" w:color="auto"/>
              <w:right w:val="single" w:sz="4" w:space="0" w:color="auto"/>
            </w:tcBorders>
            <w:shd w:val="clear" w:color="000000" w:fill="ED7D31"/>
            <w:vAlign w:val="center"/>
            <w:hideMark/>
          </w:tcPr>
          <w:p w14:paraId="61F3FCB8"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 xml:space="preserve">FUT- Cierre Fiscal </w:t>
            </w:r>
          </w:p>
        </w:tc>
        <w:tc>
          <w:tcPr>
            <w:tcW w:w="1151" w:type="dxa"/>
            <w:tcBorders>
              <w:top w:val="nil"/>
              <w:left w:val="nil"/>
              <w:bottom w:val="single" w:sz="4" w:space="0" w:color="auto"/>
              <w:right w:val="single" w:sz="4" w:space="0" w:color="auto"/>
            </w:tcBorders>
            <w:shd w:val="clear" w:color="000000" w:fill="ED7D31"/>
            <w:noWrap/>
            <w:vAlign w:val="center"/>
            <w:hideMark/>
          </w:tcPr>
          <w:p w14:paraId="68330831" w14:textId="77777777" w:rsidR="000742BD" w:rsidRPr="000742BD" w:rsidRDefault="000742BD" w:rsidP="000742BD">
            <w:pPr>
              <w:jc w:val="center"/>
              <w:rPr>
                <w:rFonts w:ascii="Arial Narrow" w:hAnsi="Arial Narrow" w:cs="Calibri"/>
                <w:b/>
                <w:bCs/>
                <w:color w:val="000000"/>
                <w:sz w:val="22"/>
                <w:szCs w:val="22"/>
                <w:lang w:val="es-CO"/>
              </w:rPr>
            </w:pPr>
            <w:r w:rsidRPr="000742BD">
              <w:rPr>
                <w:rFonts w:ascii="Arial Narrow" w:hAnsi="Arial Narrow" w:cs="Calibri"/>
                <w:b/>
                <w:bCs/>
                <w:color w:val="000000"/>
                <w:sz w:val="22"/>
                <w:szCs w:val="22"/>
                <w:lang w:val="es-CO"/>
              </w:rPr>
              <w:t>Diferencia</w:t>
            </w:r>
          </w:p>
        </w:tc>
      </w:tr>
      <w:tr w:rsidR="000742BD" w:rsidRPr="000742BD" w14:paraId="6F8DE14E" w14:textId="77777777" w:rsidTr="000742BD">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67F3A0A4"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Déficit o Superávit </w:t>
            </w:r>
          </w:p>
        </w:tc>
        <w:tc>
          <w:tcPr>
            <w:tcW w:w="1555" w:type="dxa"/>
            <w:tcBorders>
              <w:top w:val="nil"/>
              <w:left w:val="nil"/>
              <w:bottom w:val="single" w:sz="4" w:space="0" w:color="auto"/>
              <w:right w:val="single" w:sz="4" w:space="0" w:color="auto"/>
            </w:tcBorders>
            <w:noWrap/>
            <w:vAlign w:val="bottom"/>
            <w:hideMark/>
          </w:tcPr>
          <w:p w14:paraId="0866A8FF"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$ 4.755</w:t>
            </w:r>
          </w:p>
        </w:tc>
        <w:tc>
          <w:tcPr>
            <w:tcW w:w="1842" w:type="dxa"/>
            <w:tcBorders>
              <w:top w:val="nil"/>
              <w:left w:val="nil"/>
              <w:bottom w:val="single" w:sz="4" w:space="0" w:color="auto"/>
              <w:right w:val="single" w:sz="4" w:space="0" w:color="auto"/>
            </w:tcBorders>
            <w:noWrap/>
            <w:vAlign w:val="bottom"/>
            <w:hideMark/>
          </w:tcPr>
          <w:p w14:paraId="656DE3F3"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$ 3.885</w:t>
            </w:r>
          </w:p>
        </w:tc>
        <w:tc>
          <w:tcPr>
            <w:tcW w:w="1151" w:type="dxa"/>
            <w:tcBorders>
              <w:top w:val="nil"/>
              <w:left w:val="nil"/>
              <w:bottom w:val="single" w:sz="4" w:space="0" w:color="auto"/>
              <w:right w:val="single" w:sz="4" w:space="0" w:color="auto"/>
            </w:tcBorders>
            <w:noWrap/>
            <w:vAlign w:val="bottom"/>
            <w:hideMark/>
          </w:tcPr>
          <w:p w14:paraId="43CECCA6"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-$ 870</w:t>
            </w:r>
          </w:p>
        </w:tc>
      </w:tr>
      <w:tr w:rsidR="000742BD" w:rsidRPr="000742BD" w14:paraId="65E5A298" w14:textId="77777777" w:rsidTr="000742BD">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10967D8"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Reservas </w:t>
            </w:r>
          </w:p>
        </w:tc>
        <w:tc>
          <w:tcPr>
            <w:tcW w:w="1555" w:type="dxa"/>
            <w:tcBorders>
              <w:top w:val="nil"/>
              <w:left w:val="nil"/>
              <w:bottom w:val="single" w:sz="4" w:space="0" w:color="auto"/>
              <w:right w:val="single" w:sz="4" w:space="0" w:color="auto"/>
            </w:tcBorders>
            <w:noWrap/>
            <w:vAlign w:val="bottom"/>
            <w:hideMark/>
          </w:tcPr>
          <w:p w14:paraId="50E1A2B5"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$ 11.108</w:t>
            </w:r>
          </w:p>
        </w:tc>
        <w:tc>
          <w:tcPr>
            <w:tcW w:w="1842" w:type="dxa"/>
            <w:tcBorders>
              <w:top w:val="nil"/>
              <w:left w:val="nil"/>
              <w:bottom w:val="single" w:sz="4" w:space="0" w:color="auto"/>
              <w:right w:val="single" w:sz="4" w:space="0" w:color="auto"/>
            </w:tcBorders>
            <w:noWrap/>
            <w:vAlign w:val="bottom"/>
            <w:hideMark/>
          </w:tcPr>
          <w:p w14:paraId="7B2BE067"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$ 9.102</w:t>
            </w:r>
          </w:p>
        </w:tc>
        <w:tc>
          <w:tcPr>
            <w:tcW w:w="1151" w:type="dxa"/>
            <w:tcBorders>
              <w:top w:val="nil"/>
              <w:left w:val="nil"/>
              <w:bottom w:val="single" w:sz="4" w:space="0" w:color="auto"/>
              <w:right w:val="single" w:sz="4" w:space="0" w:color="auto"/>
            </w:tcBorders>
            <w:noWrap/>
            <w:vAlign w:val="bottom"/>
            <w:hideMark/>
          </w:tcPr>
          <w:p w14:paraId="5D4CC9C6"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-$ 2.006</w:t>
            </w:r>
          </w:p>
        </w:tc>
      </w:tr>
      <w:tr w:rsidR="000742BD" w:rsidRPr="000742BD" w14:paraId="0AB335A3" w14:textId="77777777" w:rsidTr="000742BD">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359B901D"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 xml:space="preserve">Cuentas por pagar </w:t>
            </w:r>
          </w:p>
        </w:tc>
        <w:tc>
          <w:tcPr>
            <w:tcW w:w="1555" w:type="dxa"/>
            <w:tcBorders>
              <w:top w:val="nil"/>
              <w:left w:val="nil"/>
              <w:bottom w:val="single" w:sz="4" w:space="0" w:color="auto"/>
              <w:right w:val="single" w:sz="4" w:space="0" w:color="auto"/>
            </w:tcBorders>
            <w:noWrap/>
            <w:vAlign w:val="bottom"/>
            <w:hideMark/>
          </w:tcPr>
          <w:p w14:paraId="2BF47BC8"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$ 1.614</w:t>
            </w:r>
          </w:p>
        </w:tc>
        <w:tc>
          <w:tcPr>
            <w:tcW w:w="1842" w:type="dxa"/>
            <w:tcBorders>
              <w:top w:val="nil"/>
              <w:left w:val="nil"/>
              <w:bottom w:val="single" w:sz="4" w:space="0" w:color="auto"/>
              <w:right w:val="single" w:sz="4" w:space="0" w:color="auto"/>
            </w:tcBorders>
            <w:noWrap/>
            <w:vAlign w:val="bottom"/>
            <w:hideMark/>
          </w:tcPr>
          <w:p w14:paraId="5D3D79E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$ 1.930</w:t>
            </w:r>
          </w:p>
        </w:tc>
        <w:tc>
          <w:tcPr>
            <w:tcW w:w="1151" w:type="dxa"/>
            <w:tcBorders>
              <w:top w:val="nil"/>
              <w:left w:val="nil"/>
              <w:bottom w:val="single" w:sz="4" w:space="0" w:color="auto"/>
              <w:right w:val="single" w:sz="4" w:space="0" w:color="auto"/>
            </w:tcBorders>
            <w:noWrap/>
            <w:vAlign w:val="bottom"/>
            <w:hideMark/>
          </w:tcPr>
          <w:p w14:paraId="1A7B63E0"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$ 316</w:t>
            </w:r>
          </w:p>
        </w:tc>
      </w:tr>
      <w:tr w:rsidR="000742BD" w:rsidRPr="000742BD" w14:paraId="7442C496" w14:textId="77777777" w:rsidTr="000742BD">
        <w:trPr>
          <w:trHeight w:val="300"/>
          <w:jc w:val="center"/>
        </w:trPr>
        <w:tc>
          <w:tcPr>
            <w:tcW w:w="2268" w:type="dxa"/>
            <w:tcBorders>
              <w:top w:val="nil"/>
              <w:left w:val="single" w:sz="4" w:space="0" w:color="auto"/>
              <w:bottom w:val="single" w:sz="4" w:space="0" w:color="auto"/>
              <w:right w:val="single" w:sz="4" w:space="0" w:color="auto"/>
            </w:tcBorders>
            <w:noWrap/>
            <w:vAlign w:val="bottom"/>
            <w:hideMark/>
          </w:tcPr>
          <w:p w14:paraId="181D569B" w14:textId="77777777" w:rsidR="000742BD" w:rsidRPr="000742BD" w:rsidRDefault="000742BD" w:rsidP="000742BD">
            <w:pPr>
              <w:rPr>
                <w:rFonts w:ascii="Arial Narrow" w:hAnsi="Arial Narrow" w:cs="Calibri"/>
                <w:color w:val="000000"/>
                <w:sz w:val="22"/>
                <w:szCs w:val="22"/>
                <w:lang w:val="es-CO"/>
              </w:rPr>
            </w:pPr>
            <w:r w:rsidRPr="000742BD">
              <w:rPr>
                <w:rFonts w:ascii="Arial Narrow" w:hAnsi="Arial Narrow" w:cs="Calibri"/>
                <w:color w:val="000000"/>
                <w:sz w:val="22"/>
                <w:szCs w:val="22"/>
                <w:lang w:val="es-CO"/>
              </w:rPr>
              <w:t>Saldos en Caja y Bancos</w:t>
            </w:r>
          </w:p>
        </w:tc>
        <w:tc>
          <w:tcPr>
            <w:tcW w:w="1555" w:type="dxa"/>
            <w:tcBorders>
              <w:top w:val="nil"/>
              <w:left w:val="nil"/>
              <w:bottom w:val="single" w:sz="4" w:space="0" w:color="auto"/>
              <w:right w:val="single" w:sz="4" w:space="0" w:color="auto"/>
            </w:tcBorders>
            <w:noWrap/>
            <w:vAlign w:val="bottom"/>
            <w:hideMark/>
          </w:tcPr>
          <w:p w14:paraId="3890281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$ 17.477</w:t>
            </w:r>
          </w:p>
        </w:tc>
        <w:tc>
          <w:tcPr>
            <w:tcW w:w="1842" w:type="dxa"/>
            <w:tcBorders>
              <w:top w:val="nil"/>
              <w:left w:val="nil"/>
              <w:bottom w:val="single" w:sz="4" w:space="0" w:color="auto"/>
              <w:right w:val="single" w:sz="4" w:space="0" w:color="auto"/>
            </w:tcBorders>
            <w:noWrap/>
            <w:vAlign w:val="bottom"/>
            <w:hideMark/>
          </w:tcPr>
          <w:p w14:paraId="0D5FB608"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$ 22.334</w:t>
            </w:r>
          </w:p>
        </w:tc>
        <w:tc>
          <w:tcPr>
            <w:tcW w:w="1151" w:type="dxa"/>
            <w:tcBorders>
              <w:top w:val="nil"/>
              <w:left w:val="nil"/>
              <w:bottom w:val="single" w:sz="4" w:space="0" w:color="auto"/>
              <w:right w:val="single" w:sz="4" w:space="0" w:color="auto"/>
            </w:tcBorders>
            <w:noWrap/>
            <w:vAlign w:val="bottom"/>
            <w:hideMark/>
          </w:tcPr>
          <w:p w14:paraId="2BD70E0D" w14:textId="77777777" w:rsidR="000742BD" w:rsidRPr="000742BD" w:rsidRDefault="000742BD" w:rsidP="000742BD">
            <w:pPr>
              <w:jc w:val="center"/>
              <w:rPr>
                <w:rFonts w:ascii="Arial Narrow" w:hAnsi="Arial Narrow" w:cs="Calibri"/>
                <w:color w:val="000000"/>
                <w:sz w:val="22"/>
                <w:szCs w:val="22"/>
                <w:lang w:val="es-CO"/>
              </w:rPr>
            </w:pPr>
            <w:r w:rsidRPr="000742BD">
              <w:rPr>
                <w:rFonts w:ascii="Arial Narrow" w:hAnsi="Arial Narrow" w:cs="Calibri"/>
                <w:color w:val="000000"/>
                <w:sz w:val="22"/>
                <w:szCs w:val="22"/>
                <w:lang w:val="es-CO"/>
              </w:rPr>
              <w:t>$ 4.857</w:t>
            </w:r>
          </w:p>
        </w:tc>
      </w:tr>
    </w:tbl>
    <w:p w14:paraId="407CB3B7" w14:textId="77777777" w:rsidR="000742BD" w:rsidRPr="000742BD" w:rsidRDefault="000742BD" w:rsidP="000742BD">
      <w:pPr>
        <w:spacing w:line="276" w:lineRule="auto"/>
        <w:jc w:val="center"/>
        <w:rPr>
          <w:rFonts w:ascii="Arial Narrow" w:hAnsi="Arial Narrow" w:cs="Arial"/>
          <w:sz w:val="16"/>
          <w:szCs w:val="16"/>
        </w:rPr>
      </w:pPr>
      <w:r w:rsidRPr="000742BD">
        <w:rPr>
          <w:rFonts w:ascii="Arial Narrow" w:hAnsi="Arial Narrow" w:cs="Arial"/>
          <w:b/>
          <w:sz w:val="16"/>
          <w:szCs w:val="16"/>
          <w:lang w:val="es-CO"/>
        </w:rPr>
        <w:t>Fuente:</w:t>
      </w:r>
      <w:r w:rsidRPr="000742BD">
        <w:rPr>
          <w:rFonts w:ascii="Arial Narrow" w:hAnsi="Arial Narrow" w:cs="Arial"/>
          <w:sz w:val="16"/>
          <w:szCs w:val="16"/>
          <w:lang w:val="es-CO"/>
        </w:rPr>
        <w:t xml:space="preserve"> Elaboración propia a partir de los datos arrojados</w:t>
      </w:r>
      <w:r w:rsidRPr="000742BD">
        <w:rPr>
          <w:rFonts w:ascii="Arial Narrow" w:hAnsi="Arial Narrow" w:cs="Arial"/>
          <w:sz w:val="16"/>
          <w:szCs w:val="16"/>
        </w:rPr>
        <w:t xml:space="preserve"> del formulario de Cierre fiscal</w:t>
      </w:r>
      <w:r w:rsidRPr="000742BD">
        <w:rPr>
          <w:rFonts w:ascii="Arial Narrow" w:hAnsi="Arial Narrow" w:cs="Arial"/>
          <w:sz w:val="16"/>
          <w:szCs w:val="16"/>
          <w:lang w:val="es-MX"/>
        </w:rPr>
        <w:t xml:space="preserve"> (Reporte de Información 2019-2020-2021)- Categoría del Formulario Único Territorial</w:t>
      </w:r>
    </w:p>
    <w:p w14:paraId="0B074BD3" w14:textId="77777777" w:rsidR="000742BD" w:rsidRDefault="000742BD" w:rsidP="000742BD">
      <w:pPr>
        <w:spacing w:line="276" w:lineRule="auto"/>
        <w:jc w:val="both"/>
        <w:rPr>
          <w:rFonts w:ascii="Arial Narrow" w:hAnsi="Arial Narrow" w:cs="Arial"/>
          <w:b/>
          <w:sz w:val="22"/>
          <w:szCs w:val="22"/>
        </w:rPr>
      </w:pPr>
    </w:p>
    <w:p w14:paraId="31F4970C" w14:textId="77777777" w:rsidR="00A717F9" w:rsidRPr="00A717F9" w:rsidRDefault="00A717F9" w:rsidP="00A717F9">
      <w:pPr>
        <w:jc w:val="both"/>
        <w:rPr>
          <w:rFonts w:ascii="Arial Narrow" w:hAnsi="Arial Narrow" w:cs="Arial"/>
          <w:sz w:val="22"/>
          <w:szCs w:val="22"/>
        </w:rPr>
      </w:pPr>
      <w:r w:rsidRPr="00A717F9">
        <w:rPr>
          <w:rFonts w:ascii="Arial Narrow" w:hAnsi="Arial Narrow" w:cs="Arial"/>
          <w:sz w:val="22"/>
          <w:szCs w:val="22"/>
        </w:rPr>
        <w:t>Teniendo en cuenta que durante las vigencias del presente estudio se generó un superávit sectorial, es necesario solicitar aclaración por parte de la Entidad Territorial, sobre el origen y las causas de la no ejecución del recurso. Tal situación podría identificarse como una mala planeación presupuestal sectorial, lo que concluya con la configuración del riesgo asociado al uso ineficiente del recurso sectorial, en el marco de una medida en virtud del 028</w:t>
      </w:r>
      <w:r>
        <w:rPr>
          <w:rFonts w:ascii="Arial Narrow" w:hAnsi="Arial Narrow" w:cs="Arial"/>
          <w:sz w:val="22"/>
          <w:szCs w:val="22"/>
        </w:rPr>
        <w:t>.</w:t>
      </w:r>
    </w:p>
    <w:p w14:paraId="0F538672" w14:textId="77777777" w:rsidR="00A717F9" w:rsidRPr="000742BD" w:rsidRDefault="00A717F9" w:rsidP="000742BD">
      <w:pPr>
        <w:spacing w:line="276" w:lineRule="auto"/>
        <w:jc w:val="both"/>
        <w:rPr>
          <w:rFonts w:ascii="Arial Narrow" w:hAnsi="Arial Narrow" w:cs="Arial"/>
          <w:b/>
          <w:sz w:val="22"/>
          <w:szCs w:val="22"/>
        </w:rPr>
      </w:pPr>
    </w:p>
    <w:p w14:paraId="12598A26" w14:textId="77777777" w:rsidR="00A7773F" w:rsidRDefault="00A717F9" w:rsidP="00A7773F">
      <w:pPr>
        <w:jc w:val="both"/>
        <w:rPr>
          <w:rFonts w:ascii="Arial Narrow" w:hAnsi="Arial Narrow" w:cs="Arial"/>
          <w:sz w:val="22"/>
          <w:szCs w:val="22"/>
        </w:rPr>
      </w:pPr>
      <w:r>
        <w:rPr>
          <w:rFonts w:ascii="Arial Narrow" w:hAnsi="Arial Narrow" w:cs="Arial"/>
          <w:sz w:val="22"/>
          <w:szCs w:val="22"/>
        </w:rPr>
        <w:t xml:space="preserve">Adicional a lo anterior, </w:t>
      </w:r>
      <w:r w:rsidR="00A7773F" w:rsidRPr="00F408E1">
        <w:rPr>
          <w:rFonts w:ascii="Arial Narrow" w:hAnsi="Arial Narrow" w:cs="Arial"/>
          <w:sz w:val="22"/>
          <w:szCs w:val="22"/>
        </w:rPr>
        <w:t>se identifican diferencias sustanciales que es necesario aclarar con la Entidad Territorial en la etapa de reconocimiento,</w:t>
      </w:r>
      <w:r w:rsidR="00F408E1" w:rsidRPr="00F408E1">
        <w:rPr>
          <w:rFonts w:ascii="Arial Narrow" w:hAnsi="Arial Narrow" w:cs="Arial"/>
          <w:sz w:val="22"/>
          <w:szCs w:val="22"/>
        </w:rPr>
        <w:t xml:space="preserve"> existentes </w:t>
      </w:r>
      <w:r w:rsidR="00A7773F" w:rsidRPr="00F408E1">
        <w:rPr>
          <w:rFonts w:ascii="Arial Narrow" w:hAnsi="Arial Narrow" w:cs="Arial"/>
          <w:sz w:val="22"/>
          <w:szCs w:val="22"/>
        </w:rPr>
        <w:t xml:space="preserve">entre los valores contenidos en los gastos de inversión en las etapas </w:t>
      </w:r>
      <w:r w:rsidR="008923FA">
        <w:rPr>
          <w:rFonts w:ascii="Arial Narrow" w:hAnsi="Arial Narrow" w:cs="Arial"/>
          <w:sz w:val="22"/>
          <w:szCs w:val="22"/>
        </w:rPr>
        <w:t xml:space="preserve">presupuestales </w:t>
      </w:r>
      <w:r w:rsidR="00A7773F" w:rsidRPr="00F408E1">
        <w:rPr>
          <w:rFonts w:ascii="Arial Narrow" w:hAnsi="Arial Narrow" w:cs="Arial"/>
          <w:sz w:val="22"/>
          <w:szCs w:val="22"/>
        </w:rPr>
        <w:t>de compromisos, obligaciones y pagos durante los 3 años del estudio</w:t>
      </w:r>
      <w:r w:rsidR="00F408E1" w:rsidRPr="00F408E1">
        <w:rPr>
          <w:rFonts w:ascii="Arial Narrow" w:hAnsi="Arial Narrow" w:cs="Arial"/>
          <w:sz w:val="22"/>
          <w:szCs w:val="22"/>
        </w:rPr>
        <w:t xml:space="preserve">, </w:t>
      </w:r>
      <w:r w:rsidR="00A7773F" w:rsidRPr="00F408E1">
        <w:rPr>
          <w:rFonts w:ascii="Arial Narrow" w:hAnsi="Arial Narrow" w:cs="Arial"/>
          <w:sz w:val="22"/>
          <w:szCs w:val="22"/>
        </w:rPr>
        <w:t xml:space="preserve">contra los reportes de la información de los cierres fiscales. Si bien, los recursos del SGP APSB son para </w:t>
      </w:r>
      <w:r w:rsidR="00A7773F">
        <w:rPr>
          <w:rFonts w:ascii="Arial Narrow" w:hAnsi="Arial Narrow" w:cs="Arial"/>
          <w:sz w:val="22"/>
          <w:szCs w:val="22"/>
        </w:rPr>
        <w:t xml:space="preserve">cumplir con las competencias constitucionales sectoriales, particularmente sobre </w:t>
      </w:r>
      <w:r w:rsidR="00A7773F" w:rsidRPr="00F408E1">
        <w:rPr>
          <w:rFonts w:ascii="Arial Narrow" w:hAnsi="Arial Narrow" w:cs="Arial"/>
          <w:sz w:val="22"/>
          <w:szCs w:val="22"/>
        </w:rPr>
        <w:t>el aumento de los indicadores de cobertura, calidad y continuidad en la prestación de los servicios públicos domiciliarios de acueducto, alcantarillado y aseo, la generación de superávit durante las tres vigencias del estudio, concluyen que existe una errónea planeación y ejecución de los recursos sectoriales.</w:t>
      </w:r>
      <w:r w:rsidR="00A7773F">
        <w:rPr>
          <w:rFonts w:ascii="Arial Narrow" w:hAnsi="Arial Narrow" w:cs="Arial"/>
          <w:sz w:val="22"/>
          <w:szCs w:val="22"/>
        </w:rPr>
        <w:t xml:space="preserve"> Teniendo en cuenta lo anterior, en la etapa de reconocimiento se podrá identificar la planeación y ejecución del recurso para la presente vigencia, con el objeto de tomar los ajustes y correctivos necesarios para hacer que los recursos se inviertan en las principales necesidades sectoriales identificadas.</w:t>
      </w:r>
    </w:p>
    <w:p w14:paraId="10159944" w14:textId="77777777" w:rsidR="00A717F9" w:rsidRDefault="00A717F9" w:rsidP="00A7773F">
      <w:pPr>
        <w:jc w:val="both"/>
        <w:rPr>
          <w:rFonts w:ascii="Arial Narrow" w:hAnsi="Arial Narrow" w:cs="Arial"/>
          <w:sz w:val="22"/>
          <w:szCs w:val="22"/>
        </w:rPr>
      </w:pPr>
    </w:p>
    <w:p w14:paraId="27A587CB" w14:textId="77777777" w:rsidR="00A7773F" w:rsidRPr="00F408E1" w:rsidRDefault="00A7773F" w:rsidP="00F408E1">
      <w:pPr>
        <w:jc w:val="both"/>
        <w:rPr>
          <w:rFonts w:ascii="Arial Narrow" w:hAnsi="Arial Narrow" w:cs="Arial"/>
          <w:sz w:val="22"/>
          <w:szCs w:val="22"/>
        </w:rPr>
      </w:pPr>
    </w:p>
    <w:p w14:paraId="1457322B" w14:textId="77777777" w:rsidR="00A7773F" w:rsidRPr="000742BD" w:rsidRDefault="00A7773F" w:rsidP="000742BD">
      <w:pPr>
        <w:spacing w:line="276" w:lineRule="auto"/>
        <w:jc w:val="both"/>
        <w:rPr>
          <w:rFonts w:ascii="Arial Narrow" w:hAnsi="Arial Narrow" w:cs="Arial"/>
          <w:b/>
          <w:sz w:val="22"/>
          <w:szCs w:val="22"/>
        </w:rPr>
      </w:pPr>
    </w:p>
    <w:p w14:paraId="702C50AB" w14:textId="77777777" w:rsidR="000742BD" w:rsidRPr="000742BD" w:rsidRDefault="000742BD" w:rsidP="000742BD">
      <w:pPr>
        <w:numPr>
          <w:ilvl w:val="1"/>
          <w:numId w:val="19"/>
        </w:numPr>
        <w:contextualSpacing/>
        <w:jc w:val="both"/>
        <w:rPr>
          <w:rFonts w:ascii="Arial Narrow" w:hAnsi="Arial Narrow" w:cs="Arial"/>
          <w:b/>
          <w:sz w:val="22"/>
          <w:szCs w:val="22"/>
          <w:lang w:val="es-CO" w:eastAsia="en-US"/>
        </w:rPr>
      </w:pPr>
      <w:r w:rsidRPr="000742BD">
        <w:rPr>
          <w:rFonts w:ascii="Arial Narrow" w:hAnsi="Arial Narrow" w:cs="Arial"/>
          <w:b/>
          <w:sz w:val="22"/>
          <w:szCs w:val="22"/>
          <w:lang w:val="es-CO" w:eastAsia="en-US"/>
        </w:rPr>
        <w:t>RELACIÓN CATEGORÍA ÚNICA DE INFORMACIÓN DEL PRESUPUESTO ORDINARIO (CUIPO) Y EL FORMULARIO ÚNICO TERRITORIAL (FUT) EN LA VIGENCIA 2021.</w:t>
      </w:r>
    </w:p>
    <w:p w14:paraId="6F1FA109" w14:textId="77777777" w:rsidR="000742BD" w:rsidRPr="000742BD" w:rsidRDefault="000742BD" w:rsidP="000742BD">
      <w:pPr>
        <w:jc w:val="both"/>
        <w:rPr>
          <w:rFonts w:ascii="Arial Narrow" w:hAnsi="Arial Narrow" w:cs="Arial"/>
          <w:sz w:val="22"/>
          <w:szCs w:val="22"/>
        </w:rPr>
      </w:pPr>
    </w:p>
    <w:p w14:paraId="2B71CC48" w14:textId="77777777" w:rsidR="000742BD" w:rsidRPr="000742BD" w:rsidRDefault="000742BD" w:rsidP="000742BD">
      <w:pPr>
        <w:numPr>
          <w:ilvl w:val="0"/>
          <w:numId w:val="28"/>
        </w:numPr>
        <w:contextualSpacing/>
        <w:jc w:val="both"/>
        <w:rPr>
          <w:rFonts w:ascii="Arial Narrow" w:hAnsi="Arial Narrow" w:cs="Arial"/>
          <w:sz w:val="22"/>
          <w:szCs w:val="22"/>
        </w:rPr>
      </w:pPr>
      <w:r w:rsidRPr="000742BD">
        <w:rPr>
          <w:rFonts w:ascii="Arial Narrow" w:hAnsi="Arial Narrow" w:cs="Arial"/>
          <w:sz w:val="22"/>
          <w:szCs w:val="22"/>
        </w:rPr>
        <w:t xml:space="preserve">En referencia con los ingresos del sector SGP-Agua Potable &amp; Saneamiento Básico, ambos formularios contienen el mismo rubro de financiación. </w:t>
      </w:r>
    </w:p>
    <w:p w14:paraId="47B6C34B" w14:textId="77777777" w:rsidR="000742BD" w:rsidRPr="000742BD" w:rsidRDefault="000742BD" w:rsidP="000742BD">
      <w:pPr>
        <w:jc w:val="both"/>
        <w:rPr>
          <w:rFonts w:ascii="Arial Narrow" w:hAnsi="Arial Narrow" w:cs="Arial"/>
          <w:sz w:val="22"/>
          <w:szCs w:val="22"/>
        </w:rPr>
      </w:pPr>
    </w:p>
    <w:p w14:paraId="496EE59E" w14:textId="77777777" w:rsidR="000742BD" w:rsidRPr="000742BD" w:rsidRDefault="000742BD" w:rsidP="000742BD">
      <w:pPr>
        <w:numPr>
          <w:ilvl w:val="0"/>
          <w:numId w:val="28"/>
        </w:numPr>
        <w:contextualSpacing/>
        <w:jc w:val="both"/>
        <w:rPr>
          <w:rFonts w:ascii="Arial Narrow" w:hAnsi="Arial Narrow" w:cs="Arial"/>
          <w:sz w:val="22"/>
          <w:szCs w:val="22"/>
        </w:rPr>
      </w:pPr>
      <w:r w:rsidRPr="000742BD">
        <w:rPr>
          <w:rFonts w:ascii="Arial Narrow" w:hAnsi="Arial Narrow" w:cs="Arial"/>
          <w:sz w:val="22"/>
          <w:szCs w:val="22"/>
        </w:rPr>
        <w:lastRenderedPageBreak/>
        <w:t xml:space="preserve">En referencia con los gastos del sector SGP-Agua Potable &amp; Saneamiento Básico, contienen una diferencia por concepto de subsidios de aproximadamente de </w:t>
      </w:r>
      <w:r w:rsidRPr="000742BD">
        <w:rPr>
          <w:rFonts w:ascii="Arial Narrow" w:hAnsi="Arial Narrow" w:cs="Arial"/>
          <w:b/>
          <w:sz w:val="22"/>
          <w:szCs w:val="22"/>
        </w:rPr>
        <w:t>$ 1.033 millones de pesos</w:t>
      </w:r>
      <w:r w:rsidRPr="000742BD">
        <w:rPr>
          <w:rFonts w:ascii="Arial Narrow" w:hAnsi="Arial Narrow" w:cs="Arial"/>
          <w:sz w:val="22"/>
          <w:szCs w:val="22"/>
        </w:rPr>
        <w:t xml:space="preserve">, reflejados de la siguiente manera: </w:t>
      </w:r>
    </w:p>
    <w:p w14:paraId="3E6BC247" w14:textId="77777777" w:rsidR="000742BD" w:rsidRPr="000742BD" w:rsidRDefault="000742BD" w:rsidP="000742BD">
      <w:pPr>
        <w:ind w:left="720"/>
        <w:contextualSpacing/>
        <w:rPr>
          <w:rFonts w:ascii="Arial Narrow" w:hAnsi="Arial Narrow" w:cs="Arial"/>
          <w:sz w:val="22"/>
          <w:szCs w:val="22"/>
        </w:rPr>
      </w:pPr>
    </w:p>
    <w:tbl>
      <w:tblPr>
        <w:tblW w:w="8217" w:type="dxa"/>
        <w:jc w:val="center"/>
        <w:tblCellMar>
          <w:left w:w="70" w:type="dxa"/>
          <w:right w:w="70" w:type="dxa"/>
        </w:tblCellMar>
        <w:tblLook w:val="04A0" w:firstRow="1" w:lastRow="0" w:firstColumn="1" w:lastColumn="0" w:noHBand="0" w:noVBand="1"/>
      </w:tblPr>
      <w:tblGrid>
        <w:gridCol w:w="2274"/>
        <w:gridCol w:w="1974"/>
        <w:gridCol w:w="1984"/>
        <w:gridCol w:w="1985"/>
      </w:tblGrid>
      <w:tr w:rsidR="000742BD" w:rsidRPr="000742BD" w14:paraId="5E5F56F0" w14:textId="77777777" w:rsidTr="000742BD">
        <w:trPr>
          <w:trHeight w:val="255"/>
          <w:jc w:val="center"/>
        </w:trPr>
        <w:tc>
          <w:tcPr>
            <w:tcW w:w="2274" w:type="dxa"/>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4708FC81"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xml:space="preserve">Concepto (Subsidios) </w:t>
            </w:r>
          </w:p>
        </w:tc>
        <w:tc>
          <w:tcPr>
            <w:tcW w:w="1974" w:type="dxa"/>
            <w:tcBorders>
              <w:top w:val="single" w:sz="4" w:space="0" w:color="auto"/>
              <w:left w:val="nil"/>
              <w:bottom w:val="single" w:sz="4" w:space="0" w:color="auto"/>
              <w:right w:val="single" w:sz="4" w:space="0" w:color="auto"/>
            </w:tcBorders>
            <w:shd w:val="clear" w:color="000000" w:fill="ED7D31"/>
            <w:noWrap/>
            <w:vAlign w:val="bottom"/>
            <w:hideMark/>
          </w:tcPr>
          <w:p w14:paraId="3ECBAB1E"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CUIPO</w:t>
            </w:r>
          </w:p>
        </w:tc>
        <w:tc>
          <w:tcPr>
            <w:tcW w:w="1984" w:type="dxa"/>
            <w:tcBorders>
              <w:top w:val="single" w:sz="4" w:space="0" w:color="auto"/>
              <w:left w:val="nil"/>
              <w:bottom w:val="single" w:sz="4" w:space="0" w:color="auto"/>
              <w:right w:val="single" w:sz="4" w:space="0" w:color="auto"/>
            </w:tcBorders>
            <w:shd w:val="clear" w:color="000000" w:fill="ED7D31"/>
            <w:noWrap/>
            <w:vAlign w:val="bottom"/>
            <w:hideMark/>
          </w:tcPr>
          <w:p w14:paraId="267077F7"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FUT</w:t>
            </w:r>
          </w:p>
        </w:tc>
        <w:tc>
          <w:tcPr>
            <w:tcW w:w="1985" w:type="dxa"/>
            <w:tcBorders>
              <w:top w:val="single" w:sz="4" w:space="0" w:color="auto"/>
              <w:left w:val="nil"/>
              <w:bottom w:val="single" w:sz="4" w:space="0" w:color="auto"/>
              <w:right w:val="single" w:sz="4" w:space="0" w:color="auto"/>
            </w:tcBorders>
            <w:shd w:val="clear" w:color="000000" w:fill="ED7D31"/>
            <w:noWrap/>
            <w:vAlign w:val="bottom"/>
            <w:hideMark/>
          </w:tcPr>
          <w:p w14:paraId="43B6FEF2"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xml:space="preserve">Diferencia </w:t>
            </w:r>
          </w:p>
        </w:tc>
      </w:tr>
      <w:tr w:rsidR="000742BD" w:rsidRPr="000742BD" w14:paraId="3ACC59AE" w14:textId="77777777" w:rsidTr="000742BD">
        <w:trPr>
          <w:trHeight w:val="255"/>
          <w:jc w:val="center"/>
        </w:trPr>
        <w:tc>
          <w:tcPr>
            <w:tcW w:w="2274" w:type="dxa"/>
            <w:tcBorders>
              <w:top w:val="nil"/>
              <w:left w:val="single" w:sz="4" w:space="0" w:color="auto"/>
              <w:bottom w:val="single" w:sz="4" w:space="0" w:color="auto"/>
              <w:right w:val="single" w:sz="4" w:space="0" w:color="auto"/>
            </w:tcBorders>
            <w:noWrap/>
            <w:vAlign w:val="bottom"/>
            <w:hideMark/>
          </w:tcPr>
          <w:p w14:paraId="0A972AE7" w14:textId="77777777" w:rsidR="000742BD" w:rsidRPr="000742BD" w:rsidRDefault="000742BD" w:rsidP="000742BD">
            <w:pPr>
              <w:rPr>
                <w:rFonts w:ascii="Arial Narrow" w:hAnsi="Arial Narrow" w:cs="Arial"/>
                <w:sz w:val="22"/>
                <w:szCs w:val="22"/>
                <w:lang w:eastAsia="es-CO"/>
              </w:rPr>
            </w:pPr>
            <w:r w:rsidRPr="000742BD">
              <w:rPr>
                <w:rFonts w:ascii="Arial Narrow" w:hAnsi="Arial Narrow" w:cs="Arial"/>
                <w:sz w:val="22"/>
                <w:szCs w:val="22"/>
                <w:lang w:eastAsia="es-CO"/>
              </w:rPr>
              <w:t xml:space="preserve">ALCANTARILLADO </w:t>
            </w:r>
          </w:p>
        </w:tc>
        <w:tc>
          <w:tcPr>
            <w:tcW w:w="1974" w:type="dxa"/>
            <w:tcBorders>
              <w:top w:val="nil"/>
              <w:left w:val="nil"/>
              <w:bottom w:val="single" w:sz="4" w:space="0" w:color="auto"/>
              <w:right w:val="single" w:sz="4" w:space="0" w:color="auto"/>
            </w:tcBorders>
            <w:noWrap/>
            <w:vAlign w:val="bottom"/>
            <w:hideMark/>
          </w:tcPr>
          <w:p w14:paraId="6455A11B"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$ 2,020,456,475</w:t>
            </w:r>
          </w:p>
        </w:tc>
        <w:tc>
          <w:tcPr>
            <w:tcW w:w="1984" w:type="dxa"/>
            <w:tcBorders>
              <w:top w:val="nil"/>
              <w:left w:val="nil"/>
              <w:bottom w:val="single" w:sz="4" w:space="0" w:color="auto"/>
              <w:right w:val="single" w:sz="4" w:space="0" w:color="auto"/>
            </w:tcBorders>
            <w:noWrap/>
            <w:vAlign w:val="bottom"/>
            <w:hideMark/>
          </w:tcPr>
          <w:p w14:paraId="441263B2"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$ 1,970,456,475</w:t>
            </w:r>
          </w:p>
        </w:tc>
        <w:tc>
          <w:tcPr>
            <w:tcW w:w="1985" w:type="dxa"/>
            <w:tcBorders>
              <w:top w:val="nil"/>
              <w:left w:val="nil"/>
              <w:bottom w:val="single" w:sz="4" w:space="0" w:color="auto"/>
              <w:right w:val="single" w:sz="4" w:space="0" w:color="auto"/>
            </w:tcBorders>
            <w:noWrap/>
            <w:vAlign w:val="bottom"/>
            <w:hideMark/>
          </w:tcPr>
          <w:p w14:paraId="10878A2B"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-$ 50,000,000</w:t>
            </w:r>
          </w:p>
        </w:tc>
      </w:tr>
      <w:tr w:rsidR="000742BD" w:rsidRPr="000742BD" w14:paraId="1FBEF3F3" w14:textId="77777777" w:rsidTr="000742BD">
        <w:trPr>
          <w:trHeight w:val="255"/>
          <w:jc w:val="center"/>
        </w:trPr>
        <w:tc>
          <w:tcPr>
            <w:tcW w:w="2274" w:type="dxa"/>
            <w:tcBorders>
              <w:top w:val="nil"/>
              <w:left w:val="single" w:sz="4" w:space="0" w:color="auto"/>
              <w:bottom w:val="single" w:sz="4" w:space="0" w:color="auto"/>
              <w:right w:val="single" w:sz="4" w:space="0" w:color="auto"/>
            </w:tcBorders>
            <w:noWrap/>
            <w:vAlign w:val="bottom"/>
            <w:hideMark/>
          </w:tcPr>
          <w:p w14:paraId="4C993BAE" w14:textId="77777777" w:rsidR="000742BD" w:rsidRPr="000742BD" w:rsidRDefault="000742BD" w:rsidP="000742BD">
            <w:pPr>
              <w:rPr>
                <w:rFonts w:ascii="Arial Narrow" w:hAnsi="Arial Narrow" w:cs="Arial"/>
                <w:sz w:val="22"/>
                <w:szCs w:val="22"/>
                <w:lang w:eastAsia="es-CO"/>
              </w:rPr>
            </w:pPr>
            <w:r w:rsidRPr="000742BD">
              <w:rPr>
                <w:rFonts w:ascii="Arial Narrow" w:hAnsi="Arial Narrow" w:cs="Arial"/>
                <w:sz w:val="22"/>
                <w:szCs w:val="22"/>
                <w:lang w:eastAsia="es-CO"/>
              </w:rPr>
              <w:t xml:space="preserve">ASEO </w:t>
            </w:r>
          </w:p>
        </w:tc>
        <w:tc>
          <w:tcPr>
            <w:tcW w:w="1974" w:type="dxa"/>
            <w:tcBorders>
              <w:top w:val="nil"/>
              <w:left w:val="nil"/>
              <w:bottom w:val="single" w:sz="4" w:space="0" w:color="auto"/>
              <w:right w:val="single" w:sz="4" w:space="0" w:color="auto"/>
            </w:tcBorders>
            <w:noWrap/>
            <w:vAlign w:val="bottom"/>
            <w:hideMark/>
          </w:tcPr>
          <w:p w14:paraId="2D936963"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$ 4,922,271,245</w:t>
            </w:r>
          </w:p>
        </w:tc>
        <w:tc>
          <w:tcPr>
            <w:tcW w:w="1984" w:type="dxa"/>
            <w:tcBorders>
              <w:top w:val="nil"/>
              <w:left w:val="nil"/>
              <w:bottom w:val="single" w:sz="4" w:space="0" w:color="auto"/>
              <w:right w:val="single" w:sz="4" w:space="0" w:color="auto"/>
            </w:tcBorders>
            <w:noWrap/>
            <w:vAlign w:val="bottom"/>
            <w:hideMark/>
          </w:tcPr>
          <w:p w14:paraId="0B3ED961"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$ 3,990,822,215</w:t>
            </w:r>
          </w:p>
        </w:tc>
        <w:tc>
          <w:tcPr>
            <w:tcW w:w="1985" w:type="dxa"/>
            <w:tcBorders>
              <w:top w:val="nil"/>
              <w:left w:val="nil"/>
              <w:bottom w:val="single" w:sz="4" w:space="0" w:color="auto"/>
              <w:right w:val="single" w:sz="4" w:space="0" w:color="auto"/>
            </w:tcBorders>
            <w:noWrap/>
            <w:vAlign w:val="bottom"/>
            <w:hideMark/>
          </w:tcPr>
          <w:p w14:paraId="05260C9F"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-$ 931,449,030</w:t>
            </w:r>
          </w:p>
        </w:tc>
      </w:tr>
      <w:tr w:rsidR="000742BD" w:rsidRPr="000742BD" w14:paraId="7182487B" w14:textId="77777777" w:rsidTr="000742BD">
        <w:trPr>
          <w:trHeight w:val="255"/>
          <w:jc w:val="center"/>
        </w:trPr>
        <w:tc>
          <w:tcPr>
            <w:tcW w:w="2274" w:type="dxa"/>
            <w:tcBorders>
              <w:top w:val="nil"/>
              <w:left w:val="single" w:sz="4" w:space="0" w:color="auto"/>
              <w:bottom w:val="single" w:sz="4" w:space="0" w:color="auto"/>
              <w:right w:val="single" w:sz="4" w:space="0" w:color="auto"/>
            </w:tcBorders>
            <w:noWrap/>
            <w:vAlign w:val="bottom"/>
            <w:hideMark/>
          </w:tcPr>
          <w:p w14:paraId="7BA16FFD" w14:textId="77777777" w:rsidR="000742BD" w:rsidRPr="000742BD" w:rsidRDefault="000742BD" w:rsidP="000742BD">
            <w:pPr>
              <w:rPr>
                <w:rFonts w:ascii="Arial Narrow" w:hAnsi="Arial Narrow" w:cs="Arial"/>
                <w:sz w:val="22"/>
                <w:szCs w:val="22"/>
                <w:lang w:eastAsia="es-CO"/>
              </w:rPr>
            </w:pPr>
            <w:r w:rsidRPr="000742BD">
              <w:rPr>
                <w:rFonts w:ascii="Arial Narrow" w:hAnsi="Arial Narrow" w:cs="Arial"/>
                <w:sz w:val="22"/>
                <w:szCs w:val="22"/>
                <w:lang w:eastAsia="es-CO"/>
              </w:rPr>
              <w:t xml:space="preserve">ACUEDCUTO </w:t>
            </w:r>
          </w:p>
        </w:tc>
        <w:tc>
          <w:tcPr>
            <w:tcW w:w="1974" w:type="dxa"/>
            <w:tcBorders>
              <w:top w:val="nil"/>
              <w:left w:val="nil"/>
              <w:bottom w:val="single" w:sz="4" w:space="0" w:color="auto"/>
              <w:right w:val="single" w:sz="4" w:space="0" w:color="auto"/>
            </w:tcBorders>
            <w:noWrap/>
            <w:vAlign w:val="bottom"/>
            <w:hideMark/>
          </w:tcPr>
          <w:p w14:paraId="7B523E62"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$ 1,999,941,466</w:t>
            </w:r>
          </w:p>
        </w:tc>
        <w:tc>
          <w:tcPr>
            <w:tcW w:w="1984" w:type="dxa"/>
            <w:tcBorders>
              <w:top w:val="nil"/>
              <w:left w:val="nil"/>
              <w:bottom w:val="single" w:sz="4" w:space="0" w:color="auto"/>
              <w:right w:val="single" w:sz="4" w:space="0" w:color="auto"/>
            </w:tcBorders>
            <w:noWrap/>
            <w:vAlign w:val="bottom"/>
            <w:hideMark/>
          </w:tcPr>
          <w:p w14:paraId="1D303103"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$ 1,947,764,624</w:t>
            </w:r>
          </w:p>
        </w:tc>
        <w:tc>
          <w:tcPr>
            <w:tcW w:w="1985" w:type="dxa"/>
            <w:tcBorders>
              <w:top w:val="nil"/>
              <w:left w:val="nil"/>
              <w:bottom w:val="single" w:sz="4" w:space="0" w:color="auto"/>
              <w:right w:val="single" w:sz="4" w:space="0" w:color="auto"/>
            </w:tcBorders>
            <w:noWrap/>
            <w:vAlign w:val="bottom"/>
            <w:hideMark/>
          </w:tcPr>
          <w:p w14:paraId="5CD4F9DC" w14:textId="77777777" w:rsidR="000742BD" w:rsidRPr="000742BD" w:rsidRDefault="000742BD" w:rsidP="000742BD">
            <w:pPr>
              <w:jc w:val="center"/>
              <w:rPr>
                <w:rFonts w:ascii="Arial Narrow" w:hAnsi="Arial Narrow" w:cs="Arial"/>
                <w:sz w:val="22"/>
                <w:szCs w:val="22"/>
                <w:lang w:eastAsia="es-CO"/>
              </w:rPr>
            </w:pPr>
            <w:r w:rsidRPr="000742BD">
              <w:rPr>
                <w:rFonts w:ascii="Arial Narrow" w:hAnsi="Arial Narrow" w:cs="Arial"/>
                <w:sz w:val="22"/>
                <w:szCs w:val="22"/>
                <w:lang w:eastAsia="es-CO"/>
              </w:rPr>
              <w:t>-$ 52,176,842</w:t>
            </w:r>
          </w:p>
        </w:tc>
      </w:tr>
      <w:tr w:rsidR="000742BD" w:rsidRPr="000742BD" w14:paraId="3EF4FE95" w14:textId="77777777" w:rsidTr="000742BD">
        <w:trPr>
          <w:trHeight w:val="255"/>
          <w:jc w:val="center"/>
        </w:trPr>
        <w:tc>
          <w:tcPr>
            <w:tcW w:w="2274" w:type="dxa"/>
            <w:tcBorders>
              <w:top w:val="nil"/>
              <w:left w:val="single" w:sz="4" w:space="0" w:color="auto"/>
              <w:bottom w:val="single" w:sz="4" w:space="0" w:color="auto"/>
              <w:right w:val="single" w:sz="4" w:space="0" w:color="auto"/>
            </w:tcBorders>
            <w:shd w:val="clear" w:color="000000" w:fill="FFFF00"/>
            <w:noWrap/>
            <w:vAlign w:val="bottom"/>
            <w:hideMark/>
          </w:tcPr>
          <w:p w14:paraId="2E23958A"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xml:space="preserve">Total </w:t>
            </w:r>
          </w:p>
        </w:tc>
        <w:tc>
          <w:tcPr>
            <w:tcW w:w="1974" w:type="dxa"/>
            <w:tcBorders>
              <w:top w:val="nil"/>
              <w:left w:val="nil"/>
              <w:bottom w:val="single" w:sz="4" w:space="0" w:color="auto"/>
              <w:right w:val="single" w:sz="4" w:space="0" w:color="auto"/>
            </w:tcBorders>
            <w:shd w:val="clear" w:color="000000" w:fill="FFFF00"/>
            <w:noWrap/>
            <w:vAlign w:val="bottom"/>
            <w:hideMark/>
          </w:tcPr>
          <w:p w14:paraId="262C968B"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$ 8,942,669,186</w:t>
            </w:r>
          </w:p>
        </w:tc>
        <w:tc>
          <w:tcPr>
            <w:tcW w:w="1984" w:type="dxa"/>
            <w:tcBorders>
              <w:top w:val="nil"/>
              <w:left w:val="nil"/>
              <w:bottom w:val="single" w:sz="4" w:space="0" w:color="auto"/>
              <w:right w:val="single" w:sz="4" w:space="0" w:color="auto"/>
            </w:tcBorders>
            <w:shd w:val="clear" w:color="000000" w:fill="FFFF00"/>
            <w:noWrap/>
            <w:vAlign w:val="bottom"/>
            <w:hideMark/>
          </w:tcPr>
          <w:p w14:paraId="179809F2"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$ 7,909,043,314</w:t>
            </w:r>
          </w:p>
        </w:tc>
        <w:tc>
          <w:tcPr>
            <w:tcW w:w="1985" w:type="dxa"/>
            <w:tcBorders>
              <w:top w:val="nil"/>
              <w:left w:val="nil"/>
              <w:bottom w:val="single" w:sz="4" w:space="0" w:color="auto"/>
              <w:right w:val="single" w:sz="4" w:space="0" w:color="auto"/>
            </w:tcBorders>
            <w:shd w:val="clear" w:color="000000" w:fill="FFFF00"/>
            <w:noWrap/>
            <w:vAlign w:val="bottom"/>
            <w:hideMark/>
          </w:tcPr>
          <w:p w14:paraId="3EC24C46" w14:textId="77777777" w:rsidR="000742BD" w:rsidRPr="000742BD" w:rsidRDefault="000742BD" w:rsidP="000742BD">
            <w:pPr>
              <w:jc w:val="center"/>
              <w:rPr>
                <w:rFonts w:ascii="Arial Narrow" w:hAnsi="Arial Narrow" w:cs="Arial"/>
                <w:b/>
                <w:bCs/>
                <w:sz w:val="22"/>
                <w:szCs w:val="22"/>
                <w:lang w:eastAsia="es-CO"/>
              </w:rPr>
            </w:pPr>
            <w:r w:rsidRPr="000742BD">
              <w:rPr>
                <w:rFonts w:ascii="Arial Narrow" w:hAnsi="Arial Narrow" w:cs="Arial"/>
                <w:b/>
                <w:bCs/>
                <w:sz w:val="22"/>
                <w:szCs w:val="22"/>
                <w:lang w:eastAsia="es-CO"/>
              </w:rPr>
              <w:t>$ 1,033,625,872</w:t>
            </w:r>
          </w:p>
        </w:tc>
      </w:tr>
    </w:tbl>
    <w:p w14:paraId="57D77C35" w14:textId="77777777" w:rsidR="000742BD" w:rsidRPr="000742BD" w:rsidRDefault="000742BD" w:rsidP="000742BD">
      <w:pPr>
        <w:spacing w:line="276" w:lineRule="auto"/>
        <w:jc w:val="center"/>
        <w:rPr>
          <w:rFonts w:ascii="Arial Narrow" w:hAnsi="Arial Narrow" w:cs="Arial"/>
          <w:sz w:val="16"/>
          <w:szCs w:val="16"/>
        </w:rPr>
      </w:pPr>
      <w:r w:rsidRPr="000742BD">
        <w:rPr>
          <w:rFonts w:ascii="Arial Narrow" w:hAnsi="Arial Narrow" w:cs="Arial"/>
          <w:b/>
          <w:sz w:val="16"/>
          <w:szCs w:val="16"/>
        </w:rPr>
        <w:t>Fuente:</w:t>
      </w:r>
      <w:r w:rsidRPr="000742BD">
        <w:rPr>
          <w:rFonts w:ascii="Arial Narrow" w:hAnsi="Arial Narrow" w:cs="Arial"/>
          <w:sz w:val="16"/>
          <w:szCs w:val="16"/>
        </w:rPr>
        <w:t xml:space="preserve"> Elaboración propia a partir de los datos arrojados del formulario de Ingresos</w:t>
      </w:r>
      <w:r w:rsidRPr="000742BD">
        <w:rPr>
          <w:rFonts w:ascii="Arial Narrow" w:hAnsi="Arial Narrow" w:cs="Arial"/>
          <w:sz w:val="16"/>
          <w:szCs w:val="16"/>
          <w:lang w:val="es-MX"/>
        </w:rPr>
        <w:t xml:space="preserve"> (Reporte de Información 2019-2020-2021)- Categoría del Formulario Único Territorial &amp; Ingresos - Categoría Única De Información Del Presupuesto Ordinario.</w:t>
      </w:r>
    </w:p>
    <w:p w14:paraId="00C4F48B" w14:textId="77777777" w:rsidR="000742BD" w:rsidRPr="000742BD" w:rsidRDefault="000742BD" w:rsidP="000742BD">
      <w:pPr>
        <w:spacing w:line="276" w:lineRule="auto"/>
        <w:jc w:val="both"/>
        <w:rPr>
          <w:rFonts w:ascii="Arial Narrow" w:hAnsi="Arial Narrow" w:cs="Arial"/>
          <w:color w:val="C0504D" w:themeColor="accent2"/>
          <w:sz w:val="22"/>
          <w:szCs w:val="22"/>
        </w:rPr>
      </w:pPr>
    </w:p>
    <w:p w14:paraId="1EE63291"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t>Esta situación es necesario aclararla con la Entidad Territorial, en el marco de la visita de reconocimiento.</w:t>
      </w:r>
    </w:p>
    <w:p w14:paraId="002EB5C1" w14:textId="77777777" w:rsidR="000742BD" w:rsidRPr="000742BD" w:rsidRDefault="000742BD" w:rsidP="000742BD">
      <w:pPr>
        <w:spacing w:line="276" w:lineRule="auto"/>
        <w:jc w:val="both"/>
        <w:rPr>
          <w:rFonts w:ascii="Arial Narrow" w:hAnsi="Arial Narrow" w:cs="Arial"/>
          <w:color w:val="C0504D" w:themeColor="accent2"/>
          <w:sz w:val="22"/>
          <w:szCs w:val="22"/>
        </w:rPr>
      </w:pPr>
    </w:p>
    <w:p w14:paraId="1AFF5A43" w14:textId="77777777" w:rsidR="000742BD" w:rsidRPr="000742BD" w:rsidRDefault="000742BD" w:rsidP="000742BD">
      <w:pPr>
        <w:rPr>
          <w:rFonts w:ascii="Arial Narrow" w:hAnsi="Arial Narrow" w:cs="Arial"/>
          <w:b/>
          <w:sz w:val="22"/>
          <w:szCs w:val="22"/>
        </w:rPr>
      </w:pPr>
      <w:r w:rsidRPr="000742BD">
        <w:rPr>
          <w:rFonts w:ascii="Arial Narrow" w:hAnsi="Arial Narrow" w:cs="Arial"/>
          <w:b/>
          <w:sz w:val="22"/>
          <w:szCs w:val="22"/>
        </w:rPr>
        <w:t>REGISTROS PRESUPUESTALES</w:t>
      </w:r>
    </w:p>
    <w:p w14:paraId="51366D75" w14:textId="77777777" w:rsidR="000742BD" w:rsidRPr="000742BD" w:rsidRDefault="000742BD" w:rsidP="000742BD">
      <w:pPr>
        <w:rPr>
          <w:rFonts w:ascii="Arial Narrow" w:hAnsi="Arial Narrow" w:cs="Arial"/>
          <w:b/>
          <w:sz w:val="22"/>
          <w:szCs w:val="22"/>
        </w:rPr>
      </w:pPr>
    </w:p>
    <w:p w14:paraId="3011F90F" w14:textId="77777777" w:rsidR="000742BD" w:rsidRPr="000742BD" w:rsidRDefault="000742BD" w:rsidP="000742BD">
      <w:pPr>
        <w:jc w:val="both"/>
        <w:rPr>
          <w:rFonts w:ascii="Arial Narrow" w:hAnsi="Arial Narrow" w:cs="Arial"/>
          <w:b/>
          <w:bCs/>
          <w:sz w:val="22"/>
          <w:szCs w:val="22"/>
        </w:rPr>
      </w:pPr>
      <w:r w:rsidRPr="000742BD">
        <w:rPr>
          <w:rFonts w:ascii="Arial Narrow" w:hAnsi="Arial Narrow" w:cs="Arial"/>
          <w:b/>
          <w:bCs/>
          <w:sz w:val="22"/>
          <w:szCs w:val="22"/>
        </w:rPr>
        <w:t>VIGENCIA 2020</w:t>
      </w:r>
    </w:p>
    <w:p w14:paraId="3C8C849F" w14:textId="77777777" w:rsidR="000742BD" w:rsidRPr="000742BD" w:rsidRDefault="000742BD" w:rsidP="000742BD">
      <w:pPr>
        <w:jc w:val="both"/>
        <w:rPr>
          <w:rFonts w:ascii="Arial Narrow" w:hAnsi="Arial Narrow" w:cs="Arial"/>
          <w:sz w:val="22"/>
          <w:szCs w:val="22"/>
        </w:rPr>
      </w:pPr>
    </w:p>
    <w:p w14:paraId="75C8AF3C"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De acuerdo con el reporte de la información de RP, durante la vigencia 2020 se generaron registros presupuestales por un monto de $24.441 millones de pesos. </w:t>
      </w:r>
    </w:p>
    <w:p w14:paraId="2EF78B15" w14:textId="77777777" w:rsidR="000742BD" w:rsidRPr="000742BD" w:rsidRDefault="000742BD" w:rsidP="000742BD">
      <w:pPr>
        <w:jc w:val="both"/>
        <w:rPr>
          <w:rFonts w:ascii="Arial Narrow" w:hAnsi="Arial Narrow" w:cs="Arial"/>
          <w:color w:val="C0504D" w:themeColor="accent2"/>
          <w:sz w:val="22"/>
          <w:szCs w:val="22"/>
        </w:rPr>
      </w:pPr>
    </w:p>
    <w:p w14:paraId="699F68E3"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Para la financiación de subsidios en la prestación de los servicios públicos, el Municipio de Soacha con los recursos del SGP APSB efectuó pagos por $7.928 millones, de los cuales $2.160 millones fueron para la financiación del subsidio en acueducto para el área urbana, rural y centro poblado. $2.196 para alcantarillado y $3.572 millones para los subsidios en aseo, sector del cual se efectuaron mayores pagos.</w:t>
      </w:r>
    </w:p>
    <w:p w14:paraId="2387B883" w14:textId="77777777" w:rsidR="000742BD" w:rsidRPr="000742BD" w:rsidRDefault="000742BD" w:rsidP="000742BD">
      <w:pPr>
        <w:spacing w:line="276" w:lineRule="auto"/>
        <w:jc w:val="both"/>
        <w:rPr>
          <w:rFonts w:ascii="Arial Narrow" w:hAnsi="Arial Narrow" w:cs="Arial"/>
          <w:sz w:val="22"/>
          <w:szCs w:val="22"/>
        </w:rPr>
      </w:pPr>
    </w:p>
    <w:tbl>
      <w:tblPr>
        <w:tblStyle w:val="Tablaconcuadrcula"/>
        <w:tblW w:w="0" w:type="auto"/>
        <w:jc w:val="center"/>
        <w:tblLook w:val="04A0" w:firstRow="1" w:lastRow="0" w:firstColumn="1" w:lastColumn="0" w:noHBand="0" w:noVBand="1"/>
      </w:tblPr>
      <w:tblGrid>
        <w:gridCol w:w="2316"/>
        <w:gridCol w:w="1400"/>
        <w:gridCol w:w="1550"/>
        <w:gridCol w:w="1108"/>
      </w:tblGrid>
      <w:tr w:rsidR="000742BD" w:rsidRPr="000742BD" w14:paraId="7027B57A" w14:textId="77777777" w:rsidTr="000742BD">
        <w:trPr>
          <w:jc w:val="center"/>
        </w:trPr>
        <w:tc>
          <w:tcPr>
            <w:tcW w:w="2316" w:type="dxa"/>
          </w:tcPr>
          <w:p w14:paraId="28BE5095"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Contratista</w:t>
            </w:r>
          </w:p>
        </w:tc>
        <w:tc>
          <w:tcPr>
            <w:tcW w:w="1400" w:type="dxa"/>
          </w:tcPr>
          <w:p w14:paraId="2826398D"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Servicio</w:t>
            </w:r>
          </w:p>
        </w:tc>
        <w:tc>
          <w:tcPr>
            <w:tcW w:w="1550" w:type="dxa"/>
          </w:tcPr>
          <w:p w14:paraId="5D7A8C65"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localización</w:t>
            </w:r>
          </w:p>
        </w:tc>
        <w:tc>
          <w:tcPr>
            <w:tcW w:w="1108" w:type="dxa"/>
          </w:tcPr>
          <w:p w14:paraId="4168E50B"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 xml:space="preserve">Valor </w:t>
            </w:r>
            <w:r w:rsidRPr="000742BD">
              <w:rPr>
                <w:rFonts w:ascii="Arial Narrow" w:hAnsi="Arial Narrow" w:cs="Arial"/>
                <w:b/>
                <w:bCs/>
                <w:sz w:val="12"/>
                <w:szCs w:val="12"/>
              </w:rPr>
              <w:t>(Millones de pesos)</w:t>
            </w:r>
          </w:p>
        </w:tc>
      </w:tr>
      <w:tr w:rsidR="000742BD" w:rsidRPr="000742BD" w14:paraId="68300752" w14:textId="77777777" w:rsidTr="000742BD">
        <w:trPr>
          <w:jc w:val="center"/>
        </w:trPr>
        <w:tc>
          <w:tcPr>
            <w:tcW w:w="2316" w:type="dxa"/>
          </w:tcPr>
          <w:p w14:paraId="3E6A0B65"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Empresa de Acueducto y Alcantarillado de Bogotá</w:t>
            </w:r>
          </w:p>
        </w:tc>
        <w:tc>
          <w:tcPr>
            <w:tcW w:w="1400" w:type="dxa"/>
          </w:tcPr>
          <w:p w14:paraId="0544081F"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Acueducto</w:t>
            </w:r>
          </w:p>
        </w:tc>
        <w:tc>
          <w:tcPr>
            <w:tcW w:w="1550" w:type="dxa"/>
          </w:tcPr>
          <w:p w14:paraId="1DF84C5B"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Urbano</w:t>
            </w:r>
          </w:p>
        </w:tc>
        <w:tc>
          <w:tcPr>
            <w:tcW w:w="1108" w:type="dxa"/>
          </w:tcPr>
          <w:p w14:paraId="5995F049"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2.093</w:t>
            </w:r>
          </w:p>
        </w:tc>
      </w:tr>
      <w:tr w:rsidR="000742BD" w:rsidRPr="000742BD" w14:paraId="014582FF" w14:textId="77777777" w:rsidTr="000742BD">
        <w:trPr>
          <w:jc w:val="center"/>
        </w:trPr>
        <w:tc>
          <w:tcPr>
            <w:tcW w:w="2316" w:type="dxa"/>
          </w:tcPr>
          <w:p w14:paraId="1595B6B9"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Empresa de Acueducto y Alcantarillado de Bogotá</w:t>
            </w:r>
          </w:p>
        </w:tc>
        <w:tc>
          <w:tcPr>
            <w:tcW w:w="1400" w:type="dxa"/>
          </w:tcPr>
          <w:p w14:paraId="2B8F9A32"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Alcantarillado</w:t>
            </w:r>
          </w:p>
        </w:tc>
        <w:tc>
          <w:tcPr>
            <w:tcW w:w="1550" w:type="dxa"/>
          </w:tcPr>
          <w:p w14:paraId="3F1B327A"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Urbano</w:t>
            </w:r>
          </w:p>
        </w:tc>
        <w:tc>
          <w:tcPr>
            <w:tcW w:w="1108" w:type="dxa"/>
          </w:tcPr>
          <w:p w14:paraId="116C42A6"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2.196</w:t>
            </w:r>
          </w:p>
        </w:tc>
      </w:tr>
      <w:tr w:rsidR="000742BD" w:rsidRPr="000742BD" w14:paraId="735EBDE7" w14:textId="77777777" w:rsidTr="000742BD">
        <w:trPr>
          <w:jc w:val="center"/>
        </w:trPr>
        <w:tc>
          <w:tcPr>
            <w:tcW w:w="2316" w:type="dxa"/>
          </w:tcPr>
          <w:p w14:paraId="62BF15F3"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Aseo Internacional S.A.</w:t>
            </w:r>
          </w:p>
        </w:tc>
        <w:tc>
          <w:tcPr>
            <w:tcW w:w="1400" w:type="dxa"/>
          </w:tcPr>
          <w:p w14:paraId="57B9F6A6"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Aseo</w:t>
            </w:r>
          </w:p>
        </w:tc>
        <w:tc>
          <w:tcPr>
            <w:tcW w:w="1550" w:type="dxa"/>
          </w:tcPr>
          <w:p w14:paraId="14382EC6"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Urbano</w:t>
            </w:r>
          </w:p>
        </w:tc>
        <w:tc>
          <w:tcPr>
            <w:tcW w:w="1108" w:type="dxa"/>
          </w:tcPr>
          <w:p w14:paraId="4A672E0E"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2.479</w:t>
            </w:r>
          </w:p>
        </w:tc>
      </w:tr>
      <w:tr w:rsidR="000742BD" w:rsidRPr="000742BD" w14:paraId="649432B2" w14:textId="77777777" w:rsidTr="000742BD">
        <w:trPr>
          <w:jc w:val="center"/>
        </w:trPr>
        <w:tc>
          <w:tcPr>
            <w:tcW w:w="2316" w:type="dxa"/>
          </w:tcPr>
          <w:p w14:paraId="14A83990"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Asociación Acueducto Regional AGUASISO</w:t>
            </w:r>
          </w:p>
        </w:tc>
        <w:tc>
          <w:tcPr>
            <w:tcW w:w="1400" w:type="dxa"/>
          </w:tcPr>
          <w:p w14:paraId="14B4F97F"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Acueducto</w:t>
            </w:r>
          </w:p>
        </w:tc>
        <w:tc>
          <w:tcPr>
            <w:tcW w:w="1550" w:type="dxa"/>
          </w:tcPr>
          <w:p w14:paraId="7DD428BE"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Rural disperso</w:t>
            </w:r>
          </w:p>
        </w:tc>
        <w:tc>
          <w:tcPr>
            <w:tcW w:w="1108" w:type="dxa"/>
          </w:tcPr>
          <w:p w14:paraId="4F2BF649"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48</w:t>
            </w:r>
          </w:p>
        </w:tc>
      </w:tr>
      <w:tr w:rsidR="000742BD" w:rsidRPr="000742BD" w14:paraId="19D0F345" w14:textId="77777777" w:rsidTr="000742BD">
        <w:trPr>
          <w:jc w:val="center"/>
        </w:trPr>
        <w:tc>
          <w:tcPr>
            <w:tcW w:w="2316" w:type="dxa"/>
          </w:tcPr>
          <w:p w14:paraId="2469D140"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Asociación De Suscriptores Del Servicio</w:t>
            </w:r>
          </w:p>
        </w:tc>
        <w:tc>
          <w:tcPr>
            <w:tcW w:w="1400" w:type="dxa"/>
          </w:tcPr>
          <w:p w14:paraId="0A8D3E06"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Acueducto</w:t>
            </w:r>
          </w:p>
        </w:tc>
        <w:tc>
          <w:tcPr>
            <w:tcW w:w="1550" w:type="dxa"/>
          </w:tcPr>
          <w:p w14:paraId="67912160"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Centro poblado</w:t>
            </w:r>
          </w:p>
        </w:tc>
        <w:tc>
          <w:tcPr>
            <w:tcW w:w="1108" w:type="dxa"/>
          </w:tcPr>
          <w:p w14:paraId="45BA5EBB"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19</w:t>
            </w:r>
          </w:p>
        </w:tc>
      </w:tr>
      <w:tr w:rsidR="000742BD" w:rsidRPr="000742BD" w14:paraId="1E105009" w14:textId="77777777" w:rsidTr="000742BD">
        <w:trPr>
          <w:jc w:val="center"/>
        </w:trPr>
        <w:tc>
          <w:tcPr>
            <w:tcW w:w="2316" w:type="dxa"/>
          </w:tcPr>
          <w:p w14:paraId="00114E8D"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URBASER SOACHA SA ESP</w:t>
            </w:r>
          </w:p>
        </w:tc>
        <w:tc>
          <w:tcPr>
            <w:tcW w:w="1400" w:type="dxa"/>
          </w:tcPr>
          <w:p w14:paraId="32FF1858"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Aseo</w:t>
            </w:r>
          </w:p>
        </w:tc>
        <w:tc>
          <w:tcPr>
            <w:tcW w:w="1550" w:type="dxa"/>
          </w:tcPr>
          <w:p w14:paraId="7F55A662"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Urbano</w:t>
            </w:r>
          </w:p>
        </w:tc>
        <w:tc>
          <w:tcPr>
            <w:tcW w:w="1108" w:type="dxa"/>
          </w:tcPr>
          <w:p w14:paraId="13DCF0D8" w14:textId="77777777" w:rsidR="000742BD" w:rsidRPr="000742BD" w:rsidRDefault="000742BD" w:rsidP="000742BD">
            <w:pPr>
              <w:tabs>
                <w:tab w:val="center" w:pos="4419"/>
                <w:tab w:val="right" w:pos="8838"/>
              </w:tabs>
              <w:spacing w:line="276" w:lineRule="auto"/>
              <w:jc w:val="center"/>
              <w:rPr>
                <w:rFonts w:ascii="Arial Narrow" w:hAnsi="Arial Narrow" w:cs="Arial"/>
                <w:sz w:val="20"/>
                <w:szCs w:val="20"/>
              </w:rPr>
            </w:pPr>
            <w:r w:rsidRPr="000742BD">
              <w:rPr>
                <w:rFonts w:ascii="Arial Narrow" w:hAnsi="Arial Narrow" w:cs="Arial"/>
                <w:sz w:val="20"/>
                <w:szCs w:val="20"/>
              </w:rPr>
              <w:t>1.093</w:t>
            </w:r>
          </w:p>
        </w:tc>
      </w:tr>
      <w:tr w:rsidR="000742BD" w:rsidRPr="000742BD" w14:paraId="3E847B86" w14:textId="77777777" w:rsidTr="000742BD">
        <w:trPr>
          <w:jc w:val="center"/>
        </w:trPr>
        <w:tc>
          <w:tcPr>
            <w:tcW w:w="5266" w:type="dxa"/>
            <w:gridSpan w:val="3"/>
          </w:tcPr>
          <w:p w14:paraId="72DB1A45" w14:textId="77777777" w:rsidR="000742BD" w:rsidRPr="000742BD" w:rsidRDefault="000742BD" w:rsidP="000742BD">
            <w:pPr>
              <w:tabs>
                <w:tab w:val="center" w:pos="4419"/>
                <w:tab w:val="right" w:pos="8838"/>
              </w:tabs>
              <w:spacing w:line="276" w:lineRule="auto"/>
              <w:jc w:val="both"/>
              <w:rPr>
                <w:rFonts w:ascii="Arial Narrow" w:hAnsi="Arial Narrow" w:cs="Arial"/>
                <w:b/>
                <w:bCs/>
                <w:sz w:val="20"/>
                <w:szCs w:val="20"/>
              </w:rPr>
            </w:pPr>
            <w:r w:rsidRPr="000742BD">
              <w:rPr>
                <w:rFonts w:ascii="Arial Narrow" w:hAnsi="Arial Narrow" w:cs="Arial"/>
                <w:b/>
                <w:bCs/>
                <w:sz w:val="20"/>
                <w:szCs w:val="20"/>
              </w:rPr>
              <w:t>Total</w:t>
            </w:r>
          </w:p>
        </w:tc>
        <w:tc>
          <w:tcPr>
            <w:tcW w:w="1108" w:type="dxa"/>
          </w:tcPr>
          <w:p w14:paraId="5A8BC153"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7.928</w:t>
            </w:r>
          </w:p>
        </w:tc>
      </w:tr>
    </w:tbl>
    <w:p w14:paraId="7B838C82" w14:textId="77777777" w:rsidR="000742BD" w:rsidRPr="000742BD" w:rsidRDefault="000742BD" w:rsidP="000742BD">
      <w:pPr>
        <w:spacing w:line="276" w:lineRule="auto"/>
        <w:jc w:val="both"/>
        <w:rPr>
          <w:rFonts w:ascii="Arial Narrow" w:hAnsi="Arial Narrow" w:cs="Arial"/>
          <w:b/>
          <w:bCs/>
          <w:sz w:val="22"/>
          <w:szCs w:val="22"/>
        </w:rPr>
      </w:pPr>
    </w:p>
    <w:p w14:paraId="00B24659"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t>En la vinculación del PDA, el Municipio transfirió a las Empresas Públicas de Cundinamarca S.A. E.S.P. $1.480 millones.</w:t>
      </w:r>
    </w:p>
    <w:p w14:paraId="52418631"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t>Los siguientes contratos se ejecutaron con los recursos SGP, con base en los reportes RP al FUT:</w:t>
      </w:r>
    </w:p>
    <w:p w14:paraId="36C5F90B" w14:textId="77777777" w:rsidR="000742BD" w:rsidRPr="000742BD" w:rsidRDefault="000742BD" w:rsidP="000742BD">
      <w:pPr>
        <w:spacing w:line="276" w:lineRule="auto"/>
        <w:jc w:val="both"/>
        <w:rPr>
          <w:rFonts w:ascii="Arial Narrow" w:hAnsi="Arial Narrow" w:cs="Arial"/>
          <w:sz w:val="22"/>
          <w:szCs w:val="22"/>
        </w:rPr>
      </w:pPr>
    </w:p>
    <w:tbl>
      <w:tblPr>
        <w:tblStyle w:val="Tablaconcuadrcula"/>
        <w:tblW w:w="8926" w:type="dxa"/>
        <w:tblLayout w:type="fixed"/>
        <w:tblLook w:val="04A0" w:firstRow="1" w:lastRow="0" w:firstColumn="1" w:lastColumn="0" w:noHBand="0" w:noVBand="1"/>
      </w:tblPr>
      <w:tblGrid>
        <w:gridCol w:w="880"/>
        <w:gridCol w:w="1383"/>
        <w:gridCol w:w="1134"/>
        <w:gridCol w:w="1276"/>
        <w:gridCol w:w="2835"/>
        <w:gridCol w:w="749"/>
        <w:gridCol w:w="669"/>
      </w:tblGrid>
      <w:tr w:rsidR="000742BD" w:rsidRPr="000742BD" w14:paraId="10957144" w14:textId="77777777" w:rsidTr="000742BD">
        <w:tc>
          <w:tcPr>
            <w:tcW w:w="880" w:type="dxa"/>
          </w:tcPr>
          <w:p w14:paraId="63EFE7DF"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lastRenderedPageBreak/>
              <w:t>Contrato</w:t>
            </w:r>
          </w:p>
        </w:tc>
        <w:tc>
          <w:tcPr>
            <w:tcW w:w="1383" w:type="dxa"/>
          </w:tcPr>
          <w:p w14:paraId="059F3DCB"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Tipo contrato</w:t>
            </w:r>
          </w:p>
        </w:tc>
        <w:tc>
          <w:tcPr>
            <w:tcW w:w="1134" w:type="dxa"/>
          </w:tcPr>
          <w:p w14:paraId="491237D0"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Modalidad</w:t>
            </w:r>
          </w:p>
        </w:tc>
        <w:tc>
          <w:tcPr>
            <w:tcW w:w="1276" w:type="dxa"/>
          </w:tcPr>
          <w:p w14:paraId="5AF400B3"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Contratista</w:t>
            </w:r>
          </w:p>
        </w:tc>
        <w:tc>
          <w:tcPr>
            <w:tcW w:w="2835" w:type="dxa"/>
          </w:tcPr>
          <w:p w14:paraId="5DCBC092"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Objeto</w:t>
            </w:r>
          </w:p>
        </w:tc>
        <w:tc>
          <w:tcPr>
            <w:tcW w:w="749" w:type="dxa"/>
          </w:tcPr>
          <w:p w14:paraId="6CA7904E"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 xml:space="preserve">Valor </w:t>
            </w:r>
            <w:r w:rsidRPr="000742BD">
              <w:rPr>
                <w:rFonts w:ascii="Arial Narrow" w:hAnsi="Arial Narrow" w:cs="Arial"/>
                <w:b/>
                <w:bCs/>
                <w:sz w:val="12"/>
                <w:szCs w:val="12"/>
              </w:rPr>
              <w:t>(Millones de pesos)</w:t>
            </w:r>
          </w:p>
        </w:tc>
        <w:tc>
          <w:tcPr>
            <w:tcW w:w="669" w:type="dxa"/>
          </w:tcPr>
          <w:p w14:paraId="7357F66C"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RP</w:t>
            </w:r>
          </w:p>
        </w:tc>
      </w:tr>
      <w:tr w:rsidR="000742BD" w:rsidRPr="000742BD" w14:paraId="49FD60CD" w14:textId="77777777" w:rsidTr="000742BD">
        <w:tc>
          <w:tcPr>
            <w:tcW w:w="880" w:type="dxa"/>
          </w:tcPr>
          <w:p w14:paraId="5027040F"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166 (06-05-2020)</w:t>
            </w:r>
          </w:p>
        </w:tc>
        <w:tc>
          <w:tcPr>
            <w:tcW w:w="1383" w:type="dxa"/>
          </w:tcPr>
          <w:p w14:paraId="03D3A2CC"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OBRA PUBLICA</w:t>
            </w:r>
          </w:p>
        </w:tc>
        <w:tc>
          <w:tcPr>
            <w:tcW w:w="1134" w:type="dxa"/>
          </w:tcPr>
          <w:p w14:paraId="69191C7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LICITACION PUBLICA</w:t>
            </w:r>
          </w:p>
        </w:tc>
        <w:tc>
          <w:tcPr>
            <w:tcW w:w="1276" w:type="dxa"/>
          </w:tcPr>
          <w:p w14:paraId="0364D49A"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REDES COMUNA 6</w:t>
            </w:r>
          </w:p>
        </w:tc>
        <w:tc>
          <w:tcPr>
            <w:tcW w:w="2835" w:type="dxa"/>
          </w:tcPr>
          <w:p w14:paraId="4E3CB83D"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Decreto 166 de 2020 - construcción redes de alcantarillado sanitario y pluvial de los barrios villas del progreso y llano grande de la comuna 6 del municipio de Soacha Cundinamarca. Bmp20162575400061.</w:t>
            </w:r>
          </w:p>
        </w:tc>
        <w:tc>
          <w:tcPr>
            <w:tcW w:w="749" w:type="dxa"/>
          </w:tcPr>
          <w:p w14:paraId="0A74E104"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1.638</w:t>
            </w:r>
          </w:p>
        </w:tc>
        <w:tc>
          <w:tcPr>
            <w:tcW w:w="669" w:type="dxa"/>
          </w:tcPr>
          <w:p w14:paraId="40E91CA9"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1113</w:t>
            </w:r>
          </w:p>
        </w:tc>
      </w:tr>
      <w:tr w:rsidR="000742BD" w:rsidRPr="000742BD" w14:paraId="0E7396C9" w14:textId="77777777" w:rsidTr="000742BD">
        <w:tc>
          <w:tcPr>
            <w:tcW w:w="880" w:type="dxa"/>
          </w:tcPr>
          <w:p w14:paraId="18777769"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166 (06-05-2020)</w:t>
            </w:r>
          </w:p>
        </w:tc>
        <w:tc>
          <w:tcPr>
            <w:tcW w:w="1383" w:type="dxa"/>
          </w:tcPr>
          <w:p w14:paraId="3A2CAFF1"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INTERVENTORIA</w:t>
            </w:r>
          </w:p>
        </w:tc>
        <w:tc>
          <w:tcPr>
            <w:tcW w:w="1134" w:type="dxa"/>
          </w:tcPr>
          <w:p w14:paraId="5F667E4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MERITOS</w:t>
            </w:r>
          </w:p>
        </w:tc>
        <w:tc>
          <w:tcPr>
            <w:tcW w:w="1276" w:type="dxa"/>
          </w:tcPr>
          <w:p w14:paraId="7A0644F3"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AGUAS 2018</w:t>
            </w:r>
          </w:p>
        </w:tc>
        <w:tc>
          <w:tcPr>
            <w:tcW w:w="2835" w:type="dxa"/>
          </w:tcPr>
          <w:p w14:paraId="5D90071A"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 xml:space="preserve">Decreto 166 de 2020 - adición no. 01 al contrato no. 1328 de 2018, cuyo objeto es   interventoría técnica, administrativa, legal, financiera y ambiental para la construcción  </w:t>
            </w:r>
          </w:p>
        </w:tc>
        <w:tc>
          <w:tcPr>
            <w:tcW w:w="749" w:type="dxa"/>
          </w:tcPr>
          <w:p w14:paraId="796D4EC7"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11</w:t>
            </w:r>
          </w:p>
        </w:tc>
        <w:tc>
          <w:tcPr>
            <w:tcW w:w="669" w:type="dxa"/>
          </w:tcPr>
          <w:p w14:paraId="71741C6E"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1105</w:t>
            </w:r>
          </w:p>
        </w:tc>
      </w:tr>
      <w:tr w:rsidR="000742BD" w:rsidRPr="000742BD" w14:paraId="69CAC662" w14:textId="77777777" w:rsidTr="000742BD">
        <w:tc>
          <w:tcPr>
            <w:tcW w:w="880" w:type="dxa"/>
          </w:tcPr>
          <w:p w14:paraId="036C4303"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166 (06-05-2020)</w:t>
            </w:r>
          </w:p>
        </w:tc>
        <w:tc>
          <w:tcPr>
            <w:tcW w:w="1383" w:type="dxa"/>
          </w:tcPr>
          <w:p w14:paraId="6B53811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OBRA PUBLICA</w:t>
            </w:r>
          </w:p>
        </w:tc>
        <w:tc>
          <w:tcPr>
            <w:tcW w:w="1134" w:type="dxa"/>
          </w:tcPr>
          <w:p w14:paraId="7D8C0F44"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LICITACION PUBLICA</w:t>
            </w:r>
          </w:p>
        </w:tc>
        <w:tc>
          <w:tcPr>
            <w:tcW w:w="1276" w:type="dxa"/>
          </w:tcPr>
          <w:p w14:paraId="0132A1A9"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REDES SANEAMIENTO</w:t>
            </w:r>
          </w:p>
        </w:tc>
        <w:tc>
          <w:tcPr>
            <w:tcW w:w="2835" w:type="dxa"/>
          </w:tcPr>
          <w:p w14:paraId="0E7090E9"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Decreto 166 de 2020 -  adición no.1 y prorroga no.3 al contrato de obra no. 1327 de 2018, cuyo objeto es construcción y reparación de redes de acueducto, alcantarillado sanitario y pluvial para los barrios pablo sexto, ocales y olivares - etapa ii de</w:t>
            </w:r>
          </w:p>
        </w:tc>
        <w:tc>
          <w:tcPr>
            <w:tcW w:w="749" w:type="dxa"/>
          </w:tcPr>
          <w:p w14:paraId="0F73FD2F"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174</w:t>
            </w:r>
          </w:p>
        </w:tc>
        <w:tc>
          <w:tcPr>
            <w:tcW w:w="669" w:type="dxa"/>
          </w:tcPr>
          <w:p w14:paraId="6FC4BE7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1143</w:t>
            </w:r>
          </w:p>
        </w:tc>
      </w:tr>
      <w:tr w:rsidR="000742BD" w:rsidRPr="000742BD" w14:paraId="36C33639" w14:textId="77777777" w:rsidTr="000742BD">
        <w:tc>
          <w:tcPr>
            <w:tcW w:w="880" w:type="dxa"/>
          </w:tcPr>
          <w:p w14:paraId="2329913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166 (06-05-2020)</w:t>
            </w:r>
          </w:p>
        </w:tc>
        <w:tc>
          <w:tcPr>
            <w:tcW w:w="1383" w:type="dxa"/>
          </w:tcPr>
          <w:p w14:paraId="0CB4CF3D"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interventoría</w:t>
            </w:r>
          </w:p>
        </w:tc>
        <w:tc>
          <w:tcPr>
            <w:tcW w:w="1134" w:type="dxa"/>
          </w:tcPr>
          <w:p w14:paraId="0F7F0BFD"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méritos</w:t>
            </w:r>
          </w:p>
        </w:tc>
        <w:tc>
          <w:tcPr>
            <w:tcW w:w="1276" w:type="dxa"/>
          </w:tcPr>
          <w:p w14:paraId="17FB9E9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Soacha redes</w:t>
            </w:r>
          </w:p>
        </w:tc>
        <w:tc>
          <w:tcPr>
            <w:tcW w:w="2835" w:type="dxa"/>
          </w:tcPr>
          <w:p w14:paraId="2AFEAFE3"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Decreto 166 de 2020 - interventoría técnica, administrativa, legal, ambiental y financiera para la construcción redes de alcantarillado sanitario y pluvial de los barrios villas del progreso y llano grande de la comuna 6 del municipio de Soacha cundi</w:t>
            </w:r>
          </w:p>
        </w:tc>
        <w:tc>
          <w:tcPr>
            <w:tcW w:w="749" w:type="dxa"/>
          </w:tcPr>
          <w:p w14:paraId="07AE6C7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139</w:t>
            </w:r>
          </w:p>
        </w:tc>
        <w:tc>
          <w:tcPr>
            <w:tcW w:w="669" w:type="dxa"/>
          </w:tcPr>
          <w:p w14:paraId="4982B76A"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1145</w:t>
            </w:r>
          </w:p>
        </w:tc>
      </w:tr>
      <w:tr w:rsidR="000742BD" w:rsidRPr="000742BD" w14:paraId="2C162422" w14:textId="77777777" w:rsidTr="000742BD">
        <w:tc>
          <w:tcPr>
            <w:tcW w:w="880" w:type="dxa"/>
          </w:tcPr>
          <w:p w14:paraId="7A0404F1"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170 (13-05-2020)</w:t>
            </w:r>
          </w:p>
        </w:tc>
        <w:tc>
          <w:tcPr>
            <w:tcW w:w="1383" w:type="dxa"/>
          </w:tcPr>
          <w:p w14:paraId="073E826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CONVENIO INTERADMINISTRATIVO</w:t>
            </w:r>
          </w:p>
        </w:tc>
        <w:tc>
          <w:tcPr>
            <w:tcW w:w="1134" w:type="dxa"/>
          </w:tcPr>
          <w:p w14:paraId="041D2573"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MERITOS</w:t>
            </w:r>
          </w:p>
        </w:tc>
        <w:tc>
          <w:tcPr>
            <w:tcW w:w="1276" w:type="dxa"/>
          </w:tcPr>
          <w:p w14:paraId="6D326E9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SOACHA</w:t>
            </w:r>
          </w:p>
        </w:tc>
        <w:tc>
          <w:tcPr>
            <w:tcW w:w="2835" w:type="dxa"/>
          </w:tcPr>
          <w:p w14:paraId="42C8769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Decreto 170 de 2020 - decreto 041 de 2019 diagnostico, estudios y diseños, acueducto y sistema de manejo de aguas servidas de las veredas fusunga, Villanueva y primavera (sector san eugenio) del corregimiento uno del municipio de Soacha - Cundinamarca</w:t>
            </w:r>
          </w:p>
        </w:tc>
        <w:tc>
          <w:tcPr>
            <w:tcW w:w="749" w:type="dxa"/>
          </w:tcPr>
          <w:p w14:paraId="1F7A1E1A"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234</w:t>
            </w:r>
          </w:p>
        </w:tc>
        <w:tc>
          <w:tcPr>
            <w:tcW w:w="669" w:type="dxa"/>
          </w:tcPr>
          <w:p w14:paraId="2AE19B7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1378</w:t>
            </w:r>
          </w:p>
        </w:tc>
      </w:tr>
      <w:tr w:rsidR="000742BD" w:rsidRPr="000742BD" w14:paraId="10D8BF0B" w14:textId="77777777" w:rsidTr="000742BD">
        <w:tc>
          <w:tcPr>
            <w:tcW w:w="880" w:type="dxa"/>
          </w:tcPr>
          <w:p w14:paraId="68750883"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170</w:t>
            </w:r>
          </w:p>
        </w:tc>
        <w:tc>
          <w:tcPr>
            <w:tcW w:w="1383" w:type="dxa"/>
          </w:tcPr>
          <w:p w14:paraId="6CD4737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INTERVENTORIA</w:t>
            </w:r>
          </w:p>
        </w:tc>
        <w:tc>
          <w:tcPr>
            <w:tcW w:w="1134" w:type="dxa"/>
          </w:tcPr>
          <w:p w14:paraId="2D5E68F5"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MERITOS</w:t>
            </w:r>
          </w:p>
        </w:tc>
        <w:tc>
          <w:tcPr>
            <w:tcW w:w="1276" w:type="dxa"/>
          </w:tcPr>
          <w:p w14:paraId="19ED58D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 &amp; M CONSTRUCCIONES S.A.S</w:t>
            </w:r>
          </w:p>
        </w:tc>
        <w:tc>
          <w:tcPr>
            <w:tcW w:w="2835" w:type="dxa"/>
          </w:tcPr>
          <w:p w14:paraId="41762824"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 xml:space="preserve">Decreto 170 de 2020 - decreto 041 de 2019 interventoría técnica, administrativa, financiera y ambiental del diagnóstico, estudios y diseños, acueducto y sistema de manejo de aguas servidas de las veredas fusunga, Villanueva y primavera </w:t>
            </w:r>
          </w:p>
        </w:tc>
        <w:tc>
          <w:tcPr>
            <w:tcW w:w="749" w:type="dxa"/>
          </w:tcPr>
          <w:p w14:paraId="6CEEC677"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27</w:t>
            </w:r>
          </w:p>
        </w:tc>
        <w:tc>
          <w:tcPr>
            <w:tcW w:w="669" w:type="dxa"/>
          </w:tcPr>
          <w:p w14:paraId="1F40B7D2"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1382</w:t>
            </w:r>
          </w:p>
        </w:tc>
      </w:tr>
      <w:tr w:rsidR="000742BD" w:rsidRPr="000742BD" w14:paraId="5EB7DC2F" w14:textId="77777777" w:rsidTr="000742BD">
        <w:tc>
          <w:tcPr>
            <w:tcW w:w="880" w:type="dxa"/>
          </w:tcPr>
          <w:p w14:paraId="6625D4F9"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1537</w:t>
            </w:r>
          </w:p>
        </w:tc>
        <w:tc>
          <w:tcPr>
            <w:tcW w:w="1383" w:type="dxa"/>
          </w:tcPr>
          <w:p w14:paraId="54683557"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OBRA PUBLICA</w:t>
            </w:r>
          </w:p>
        </w:tc>
        <w:tc>
          <w:tcPr>
            <w:tcW w:w="1134" w:type="dxa"/>
          </w:tcPr>
          <w:p w14:paraId="3CD31F2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LICITACION PUBLICA</w:t>
            </w:r>
          </w:p>
        </w:tc>
        <w:tc>
          <w:tcPr>
            <w:tcW w:w="1276" w:type="dxa"/>
          </w:tcPr>
          <w:p w14:paraId="0A5DE44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REDES 2020</w:t>
            </w:r>
          </w:p>
        </w:tc>
        <w:tc>
          <w:tcPr>
            <w:tcW w:w="2835" w:type="dxa"/>
          </w:tcPr>
          <w:p w14:paraId="4F0AF625"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Construcción y renovación de redes de acueducto, alcantarillado sanitario y pluvial y obras complementarias en el municipio de Soacha Cundinamarca. Bmp 2020257540119.</w:t>
            </w:r>
          </w:p>
        </w:tc>
        <w:tc>
          <w:tcPr>
            <w:tcW w:w="749" w:type="dxa"/>
          </w:tcPr>
          <w:p w14:paraId="7291C36D"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3.845</w:t>
            </w:r>
          </w:p>
        </w:tc>
        <w:tc>
          <w:tcPr>
            <w:tcW w:w="669" w:type="dxa"/>
          </w:tcPr>
          <w:p w14:paraId="5D033291"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3645</w:t>
            </w:r>
          </w:p>
        </w:tc>
      </w:tr>
      <w:tr w:rsidR="000742BD" w:rsidRPr="000742BD" w14:paraId="6FF34D40" w14:textId="77777777" w:rsidTr="000742BD">
        <w:tc>
          <w:tcPr>
            <w:tcW w:w="880" w:type="dxa"/>
          </w:tcPr>
          <w:p w14:paraId="4E86EC69"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1537</w:t>
            </w:r>
          </w:p>
        </w:tc>
        <w:tc>
          <w:tcPr>
            <w:tcW w:w="1383" w:type="dxa"/>
          </w:tcPr>
          <w:p w14:paraId="2928633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obra publica</w:t>
            </w:r>
          </w:p>
        </w:tc>
        <w:tc>
          <w:tcPr>
            <w:tcW w:w="1134" w:type="dxa"/>
          </w:tcPr>
          <w:p w14:paraId="0D73247A"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Licitación publica</w:t>
            </w:r>
          </w:p>
        </w:tc>
        <w:tc>
          <w:tcPr>
            <w:tcW w:w="1276" w:type="dxa"/>
          </w:tcPr>
          <w:p w14:paraId="154B1A97"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Consorcio redes 2020</w:t>
            </w:r>
          </w:p>
        </w:tc>
        <w:tc>
          <w:tcPr>
            <w:tcW w:w="2835" w:type="dxa"/>
          </w:tcPr>
          <w:p w14:paraId="7D47C428"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Construcción y renovación de redes de acueducto, alcantarillado sanitario y pluvial y obras complementarias en el municipio de Soacha Cundinamarca.</w:t>
            </w:r>
          </w:p>
        </w:tc>
        <w:tc>
          <w:tcPr>
            <w:tcW w:w="749" w:type="dxa"/>
          </w:tcPr>
          <w:p w14:paraId="453D204D"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6.061</w:t>
            </w:r>
          </w:p>
        </w:tc>
        <w:tc>
          <w:tcPr>
            <w:tcW w:w="669" w:type="dxa"/>
          </w:tcPr>
          <w:p w14:paraId="550D07DB"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3646</w:t>
            </w:r>
          </w:p>
        </w:tc>
      </w:tr>
      <w:tr w:rsidR="000742BD" w:rsidRPr="000742BD" w14:paraId="511E9337" w14:textId="77777777" w:rsidTr="000742BD">
        <w:tc>
          <w:tcPr>
            <w:tcW w:w="880" w:type="dxa"/>
          </w:tcPr>
          <w:p w14:paraId="63E7714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1540</w:t>
            </w:r>
          </w:p>
        </w:tc>
        <w:tc>
          <w:tcPr>
            <w:tcW w:w="1383" w:type="dxa"/>
          </w:tcPr>
          <w:p w14:paraId="40F1B9B0"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consultoría</w:t>
            </w:r>
          </w:p>
        </w:tc>
        <w:tc>
          <w:tcPr>
            <w:tcW w:w="1134" w:type="dxa"/>
          </w:tcPr>
          <w:p w14:paraId="146D694F"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méritos</w:t>
            </w:r>
          </w:p>
        </w:tc>
        <w:tc>
          <w:tcPr>
            <w:tcW w:w="1276" w:type="dxa"/>
          </w:tcPr>
          <w:p w14:paraId="446DC368"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Estudios técnicos y construcciones SAS</w:t>
            </w:r>
          </w:p>
        </w:tc>
        <w:tc>
          <w:tcPr>
            <w:tcW w:w="2835" w:type="dxa"/>
          </w:tcPr>
          <w:p w14:paraId="41EE401A"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Interventoría administrativa, técnica, jurídica, financiera, social y ambiental para la construcción y renovación de redes de acueducto, alcantarillado sanitario y pluvial y obras complementarias del municipio de Soacha Cundinamarca</w:t>
            </w:r>
          </w:p>
        </w:tc>
        <w:tc>
          <w:tcPr>
            <w:tcW w:w="749" w:type="dxa"/>
          </w:tcPr>
          <w:p w14:paraId="6C1DFEAF"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504</w:t>
            </w:r>
          </w:p>
        </w:tc>
        <w:tc>
          <w:tcPr>
            <w:tcW w:w="669" w:type="dxa"/>
          </w:tcPr>
          <w:p w14:paraId="55C0663A"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3661</w:t>
            </w:r>
          </w:p>
        </w:tc>
      </w:tr>
      <w:tr w:rsidR="000742BD" w:rsidRPr="000742BD" w14:paraId="67BA4E53" w14:textId="77777777" w:rsidTr="000742BD">
        <w:tc>
          <w:tcPr>
            <w:tcW w:w="880" w:type="dxa"/>
          </w:tcPr>
          <w:p w14:paraId="1D027E26"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1540</w:t>
            </w:r>
          </w:p>
        </w:tc>
        <w:tc>
          <w:tcPr>
            <w:tcW w:w="1383" w:type="dxa"/>
          </w:tcPr>
          <w:p w14:paraId="03AE3121"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De consultoría</w:t>
            </w:r>
          </w:p>
        </w:tc>
        <w:tc>
          <w:tcPr>
            <w:tcW w:w="1134" w:type="dxa"/>
          </w:tcPr>
          <w:p w14:paraId="4C9F70BD"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Concurso de méritos</w:t>
            </w:r>
          </w:p>
        </w:tc>
        <w:tc>
          <w:tcPr>
            <w:tcW w:w="1276" w:type="dxa"/>
          </w:tcPr>
          <w:p w14:paraId="1BB4F3E1"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Estudios técnicos y construcciones SAS</w:t>
            </w:r>
          </w:p>
        </w:tc>
        <w:tc>
          <w:tcPr>
            <w:tcW w:w="2835" w:type="dxa"/>
          </w:tcPr>
          <w:p w14:paraId="07FCC3D3" w14:textId="77777777" w:rsidR="000742BD" w:rsidRPr="000742BD" w:rsidRDefault="000742BD" w:rsidP="000742BD">
            <w:pPr>
              <w:tabs>
                <w:tab w:val="center" w:pos="4419"/>
                <w:tab w:val="right" w:pos="8838"/>
              </w:tabs>
              <w:jc w:val="both"/>
              <w:rPr>
                <w:rFonts w:ascii="Arial Narrow" w:hAnsi="Arial Narrow" w:cs="Arial"/>
                <w:sz w:val="16"/>
                <w:szCs w:val="16"/>
              </w:rPr>
            </w:pPr>
            <w:r w:rsidRPr="000742BD">
              <w:rPr>
                <w:rFonts w:ascii="Arial Narrow" w:hAnsi="Arial Narrow" w:cs="Arial"/>
                <w:sz w:val="16"/>
                <w:szCs w:val="16"/>
              </w:rPr>
              <w:t>Interventoría administrativa, técnica, jurídica, financiera, social y ambiental para la construcción y renovación de redes de acueducto, alcantarillado sanitario y pluvial y obras complementarias del municipio de Soacha Cundinamarca</w:t>
            </w:r>
          </w:p>
        </w:tc>
        <w:tc>
          <w:tcPr>
            <w:tcW w:w="749" w:type="dxa"/>
          </w:tcPr>
          <w:p w14:paraId="06F13B44"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268</w:t>
            </w:r>
          </w:p>
        </w:tc>
        <w:tc>
          <w:tcPr>
            <w:tcW w:w="669" w:type="dxa"/>
          </w:tcPr>
          <w:p w14:paraId="6F7B495C"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3662</w:t>
            </w:r>
          </w:p>
        </w:tc>
      </w:tr>
      <w:tr w:rsidR="000742BD" w:rsidRPr="000742BD" w14:paraId="1932EDF5" w14:textId="77777777" w:rsidTr="000742BD">
        <w:tc>
          <w:tcPr>
            <w:tcW w:w="7508" w:type="dxa"/>
            <w:gridSpan w:val="5"/>
          </w:tcPr>
          <w:p w14:paraId="715BA263" w14:textId="77777777" w:rsidR="000742BD" w:rsidRPr="000742BD" w:rsidRDefault="000742BD" w:rsidP="000742BD">
            <w:pPr>
              <w:tabs>
                <w:tab w:val="center" w:pos="4419"/>
                <w:tab w:val="right" w:pos="8838"/>
              </w:tabs>
              <w:spacing w:line="276" w:lineRule="auto"/>
              <w:jc w:val="both"/>
              <w:rPr>
                <w:rFonts w:ascii="Arial Narrow" w:hAnsi="Arial Narrow" w:cs="Arial"/>
                <w:sz w:val="16"/>
                <w:szCs w:val="16"/>
              </w:rPr>
            </w:pPr>
            <w:r w:rsidRPr="000742BD">
              <w:rPr>
                <w:rFonts w:ascii="Arial Narrow" w:hAnsi="Arial Narrow" w:cs="Arial"/>
                <w:sz w:val="16"/>
                <w:szCs w:val="16"/>
              </w:rPr>
              <w:t>TOTAL</w:t>
            </w:r>
          </w:p>
        </w:tc>
        <w:tc>
          <w:tcPr>
            <w:tcW w:w="1418" w:type="dxa"/>
            <w:gridSpan w:val="2"/>
          </w:tcPr>
          <w:p w14:paraId="6371A0CE" w14:textId="77777777" w:rsidR="000742BD" w:rsidRPr="000742BD" w:rsidRDefault="000742BD" w:rsidP="000742BD">
            <w:pPr>
              <w:tabs>
                <w:tab w:val="center" w:pos="4419"/>
                <w:tab w:val="right" w:pos="8838"/>
              </w:tabs>
              <w:spacing w:line="276" w:lineRule="auto"/>
              <w:jc w:val="center"/>
              <w:rPr>
                <w:rFonts w:ascii="Arial Narrow" w:hAnsi="Arial Narrow" w:cs="Arial"/>
                <w:b/>
                <w:bCs/>
                <w:sz w:val="16"/>
                <w:szCs w:val="16"/>
              </w:rPr>
            </w:pPr>
            <w:r w:rsidRPr="000742BD">
              <w:rPr>
                <w:rFonts w:ascii="Arial Narrow" w:hAnsi="Arial Narrow" w:cs="Arial"/>
                <w:b/>
                <w:bCs/>
                <w:sz w:val="16"/>
                <w:szCs w:val="16"/>
              </w:rPr>
              <w:t>12.901</w:t>
            </w:r>
          </w:p>
        </w:tc>
      </w:tr>
    </w:tbl>
    <w:p w14:paraId="51DF91CA" w14:textId="77777777" w:rsidR="000742BD" w:rsidRPr="000742BD" w:rsidRDefault="000742BD" w:rsidP="000742BD">
      <w:pPr>
        <w:spacing w:line="276" w:lineRule="auto"/>
        <w:jc w:val="both"/>
        <w:rPr>
          <w:rFonts w:ascii="Arial Narrow" w:hAnsi="Arial Narrow" w:cs="Arial"/>
          <w:sz w:val="22"/>
          <w:szCs w:val="22"/>
        </w:rPr>
      </w:pPr>
    </w:p>
    <w:p w14:paraId="08E8DEA8"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t>Adicional a estos procesos, de los cuales se requerirá alguna información, está el siguiente:</w:t>
      </w:r>
    </w:p>
    <w:p w14:paraId="68B29890"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lastRenderedPageBreak/>
        <w:t xml:space="preserve"> </w:t>
      </w:r>
    </w:p>
    <w:tbl>
      <w:tblPr>
        <w:tblStyle w:val="Tablaconcuadrcula"/>
        <w:tblW w:w="8926" w:type="dxa"/>
        <w:tblLayout w:type="fixed"/>
        <w:tblLook w:val="04A0" w:firstRow="1" w:lastRow="0" w:firstColumn="1" w:lastColumn="0" w:noHBand="0" w:noVBand="1"/>
      </w:tblPr>
      <w:tblGrid>
        <w:gridCol w:w="880"/>
        <w:gridCol w:w="1383"/>
        <w:gridCol w:w="1134"/>
        <w:gridCol w:w="1276"/>
        <w:gridCol w:w="2835"/>
        <w:gridCol w:w="749"/>
        <w:gridCol w:w="669"/>
      </w:tblGrid>
      <w:tr w:rsidR="000742BD" w:rsidRPr="000742BD" w14:paraId="46BEAB38" w14:textId="77777777" w:rsidTr="000742BD">
        <w:tc>
          <w:tcPr>
            <w:tcW w:w="880" w:type="dxa"/>
          </w:tcPr>
          <w:p w14:paraId="2693BBBC"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Contrato</w:t>
            </w:r>
          </w:p>
        </w:tc>
        <w:tc>
          <w:tcPr>
            <w:tcW w:w="1383" w:type="dxa"/>
          </w:tcPr>
          <w:p w14:paraId="0C95D299"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Tipo contrato</w:t>
            </w:r>
          </w:p>
        </w:tc>
        <w:tc>
          <w:tcPr>
            <w:tcW w:w="1134" w:type="dxa"/>
          </w:tcPr>
          <w:p w14:paraId="6ABCED01"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Modalidad</w:t>
            </w:r>
          </w:p>
        </w:tc>
        <w:tc>
          <w:tcPr>
            <w:tcW w:w="1276" w:type="dxa"/>
          </w:tcPr>
          <w:p w14:paraId="6CDD2CC2"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Contratista</w:t>
            </w:r>
          </w:p>
        </w:tc>
        <w:tc>
          <w:tcPr>
            <w:tcW w:w="2835" w:type="dxa"/>
          </w:tcPr>
          <w:p w14:paraId="7C0AEFCE"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Objeto</w:t>
            </w:r>
          </w:p>
        </w:tc>
        <w:tc>
          <w:tcPr>
            <w:tcW w:w="749" w:type="dxa"/>
          </w:tcPr>
          <w:p w14:paraId="4A9EB03D"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 xml:space="preserve">Valor </w:t>
            </w:r>
            <w:r w:rsidRPr="000742BD">
              <w:rPr>
                <w:rFonts w:ascii="Arial Narrow" w:hAnsi="Arial Narrow" w:cs="Arial"/>
                <w:b/>
                <w:bCs/>
                <w:sz w:val="12"/>
                <w:szCs w:val="12"/>
              </w:rPr>
              <w:t>(Millones de pesos)</w:t>
            </w:r>
          </w:p>
        </w:tc>
        <w:tc>
          <w:tcPr>
            <w:tcW w:w="669" w:type="dxa"/>
          </w:tcPr>
          <w:p w14:paraId="44DBFE7C" w14:textId="77777777" w:rsidR="000742BD" w:rsidRPr="000742BD" w:rsidRDefault="000742BD" w:rsidP="000742BD">
            <w:pPr>
              <w:tabs>
                <w:tab w:val="center" w:pos="4419"/>
                <w:tab w:val="right" w:pos="8838"/>
              </w:tabs>
              <w:spacing w:line="276" w:lineRule="auto"/>
              <w:jc w:val="center"/>
              <w:rPr>
                <w:rFonts w:ascii="Arial Narrow" w:hAnsi="Arial Narrow" w:cs="Arial"/>
                <w:b/>
                <w:bCs/>
                <w:sz w:val="20"/>
                <w:szCs w:val="20"/>
              </w:rPr>
            </w:pPr>
            <w:r w:rsidRPr="000742BD">
              <w:rPr>
                <w:rFonts w:ascii="Arial Narrow" w:hAnsi="Arial Narrow" w:cs="Arial"/>
                <w:b/>
                <w:bCs/>
                <w:sz w:val="20"/>
                <w:szCs w:val="20"/>
              </w:rPr>
              <w:t>RP</w:t>
            </w:r>
          </w:p>
        </w:tc>
      </w:tr>
      <w:tr w:rsidR="000742BD" w:rsidRPr="000742BD" w14:paraId="745631A3" w14:textId="77777777" w:rsidTr="000742BD">
        <w:tc>
          <w:tcPr>
            <w:tcW w:w="880" w:type="dxa"/>
          </w:tcPr>
          <w:p w14:paraId="1BBB6AD2"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166 (06-05-2020)</w:t>
            </w:r>
          </w:p>
        </w:tc>
        <w:tc>
          <w:tcPr>
            <w:tcW w:w="1383" w:type="dxa"/>
          </w:tcPr>
          <w:p w14:paraId="7FFDCE35"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De obra publica</w:t>
            </w:r>
          </w:p>
        </w:tc>
        <w:tc>
          <w:tcPr>
            <w:tcW w:w="1134" w:type="dxa"/>
          </w:tcPr>
          <w:p w14:paraId="46DCB1E0"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Licitación publica</w:t>
            </w:r>
          </w:p>
        </w:tc>
        <w:tc>
          <w:tcPr>
            <w:tcW w:w="1276" w:type="dxa"/>
          </w:tcPr>
          <w:p w14:paraId="1BA0CA80"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Consorcio vías etapa 1</w:t>
            </w:r>
          </w:p>
        </w:tc>
        <w:tc>
          <w:tcPr>
            <w:tcW w:w="2835" w:type="dxa"/>
          </w:tcPr>
          <w:p w14:paraId="0285481A" w14:textId="77777777" w:rsidR="000742BD" w:rsidRPr="000742BD" w:rsidRDefault="000742BD" w:rsidP="000742BD">
            <w:pPr>
              <w:tabs>
                <w:tab w:val="center" w:pos="4419"/>
                <w:tab w:val="right" w:pos="8838"/>
              </w:tabs>
              <w:jc w:val="both"/>
              <w:rPr>
                <w:rFonts w:ascii="Arial Narrow" w:hAnsi="Arial Narrow" w:cs="Arial"/>
                <w:sz w:val="20"/>
                <w:szCs w:val="20"/>
              </w:rPr>
            </w:pPr>
            <w:r w:rsidRPr="000742BD">
              <w:rPr>
                <w:rFonts w:ascii="Arial Narrow" w:hAnsi="Arial Narrow" w:cs="Arial"/>
                <w:sz w:val="20"/>
                <w:szCs w:val="20"/>
              </w:rPr>
              <w:t>Decreto 166 de 2020 - adecuación, rehabilitación y mejoramiento de vías del casco urbano del municipio de Soacha Cundinamarca etapa 1 - 2019.</w:t>
            </w:r>
          </w:p>
        </w:tc>
        <w:tc>
          <w:tcPr>
            <w:tcW w:w="749" w:type="dxa"/>
          </w:tcPr>
          <w:p w14:paraId="4E2BB861"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2.132</w:t>
            </w:r>
          </w:p>
        </w:tc>
        <w:tc>
          <w:tcPr>
            <w:tcW w:w="669" w:type="dxa"/>
          </w:tcPr>
          <w:p w14:paraId="7E4D3E26" w14:textId="77777777" w:rsidR="000742BD" w:rsidRPr="000742BD" w:rsidRDefault="000742BD" w:rsidP="000742BD">
            <w:pPr>
              <w:tabs>
                <w:tab w:val="center" w:pos="4419"/>
                <w:tab w:val="right" w:pos="8838"/>
              </w:tabs>
              <w:spacing w:line="276" w:lineRule="auto"/>
              <w:jc w:val="both"/>
              <w:rPr>
                <w:rFonts w:ascii="Arial Narrow" w:hAnsi="Arial Narrow" w:cs="Arial"/>
                <w:sz w:val="20"/>
                <w:szCs w:val="20"/>
              </w:rPr>
            </w:pPr>
            <w:r w:rsidRPr="000742BD">
              <w:rPr>
                <w:rFonts w:ascii="Arial Narrow" w:hAnsi="Arial Narrow" w:cs="Arial"/>
                <w:sz w:val="20"/>
                <w:szCs w:val="20"/>
              </w:rPr>
              <w:t>1116</w:t>
            </w:r>
          </w:p>
        </w:tc>
      </w:tr>
    </w:tbl>
    <w:p w14:paraId="29BB218B" w14:textId="77777777" w:rsidR="000742BD" w:rsidRPr="000742BD" w:rsidRDefault="000742BD" w:rsidP="000742BD">
      <w:pPr>
        <w:jc w:val="both"/>
        <w:rPr>
          <w:rFonts w:ascii="Arial Narrow" w:hAnsi="Arial Narrow" w:cs="Arial"/>
          <w:sz w:val="22"/>
          <w:szCs w:val="22"/>
        </w:rPr>
      </w:pPr>
    </w:p>
    <w:p w14:paraId="0B02978F"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De acuerdo con la descripción del objeto, este proceso no está asociado al sector de APSB, ya que es sobre la adecuación, rehabilitación y mejoramiento de vías, pero fue financiado con los recursos sectoriales del SGP, efectuando un muy posible cambio en la destinación de los recursos, contemplado en el numeral 4 del artículo 9 del decreto 028 de 2008, como un evento de riesgo al uso de los recursos mencionados. Por tal razón se solicitarán informes de interventoría, contratos, registros presupuestales, y demás documentación asociada al proceso.</w:t>
      </w:r>
    </w:p>
    <w:p w14:paraId="7D7CF60D" w14:textId="77777777" w:rsidR="000742BD" w:rsidRPr="000742BD" w:rsidRDefault="000742BD" w:rsidP="000742BD">
      <w:pPr>
        <w:jc w:val="both"/>
        <w:rPr>
          <w:rFonts w:ascii="Arial Narrow" w:hAnsi="Arial Narrow" w:cs="Arial"/>
          <w:sz w:val="22"/>
          <w:szCs w:val="22"/>
        </w:rPr>
      </w:pPr>
    </w:p>
    <w:p w14:paraId="3DF85E43" w14:textId="77777777" w:rsidR="000742BD" w:rsidRPr="000742BD" w:rsidRDefault="000742BD" w:rsidP="000742BD">
      <w:pPr>
        <w:jc w:val="both"/>
        <w:rPr>
          <w:rFonts w:ascii="Arial Narrow" w:hAnsi="Arial Narrow" w:cs="Arial"/>
          <w:sz w:val="22"/>
          <w:szCs w:val="22"/>
        </w:rPr>
      </w:pPr>
    </w:p>
    <w:p w14:paraId="7C450ED2" w14:textId="77777777" w:rsidR="000742BD" w:rsidRPr="000742BD" w:rsidRDefault="000742BD" w:rsidP="000742BD">
      <w:pPr>
        <w:jc w:val="both"/>
        <w:rPr>
          <w:rFonts w:ascii="Arial Narrow" w:hAnsi="Arial Narrow" w:cs="Arial"/>
          <w:b/>
          <w:bCs/>
          <w:sz w:val="22"/>
          <w:szCs w:val="22"/>
        </w:rPr>
      </w:pPr>
      <w:r w:rsidRPr="000742BD">
        <w:rPr>
          <w:rFonts w:ascii="Arial Narrow" w:hAnsi="Arial Narrow" w:cs="Arial"/>
          <w:b/>
          <w:bCs/>
          <w:sz w:val="22"/>
          <w:szCs w:val="22"/>
        </w:rPr>
        <w:t>VIGENCIA 2021</w:t>
      </w:r>
    </w:p>
    <w:p w14:paraId="0056905E" w14:textId="77777777" w:rsidR="000742BD" w:rsidRPr="000742BD" w:rsidRDefault="000742BD" w:rsidP="000742BD">
      <w:pPr>
        <w:jc w:val="both"/>
        <w:rPr>
          <w:rFonts w:ascii="Arial Narrow" w:hAnsi="Arial Narrow" w:cs="Arial"/>
          <w:b/>
          <w:bCs/>
          <w:sz w:val="22"/>
          <w:szCs w:val="22"/>
        </w:rPr>
      </w:pPr>
    </w:p>
    <w:p w14:paraId="13ED2637"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De acuerdo con el reporte de la información de RP, durante esta vigencia se generaron registros presupuestales por un monto de $41.061 millones de pesos. </w:t>
      </w:r>
    </w:p>
    <w:p w14:paraId="0BDFCB13" w14:textId="77777777" w:rsidR="000742BD" w:rsidRPr="000742BD" w:rsidRDefault="000742BD" w:rsidP="000742BD">
      <w:pPr>
        <w:jc w:val="both"/>
        <w:rPr>
          <w:rFonts w:ascii="Arial Narrow" w:hAnsi="Arial Narrow" w:cs="Arial"/>
          <w:color w:val="C0504D" w:themeColor="accent2"/>
          <w:sz w:val="22"/>
          <w:szCs w:val="22"/>
        </w:rPr>
      </w:pPr>
    </w:p>
    <w:p w14:paraId="237E5780"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Para la financiación de subsidios en la prestación de los servicios públicos, el Municipio de Soacha con los recursos del SGP APSB efectuó pagos por $ 8.942 millones, de los cuales $ 1.988 millones fueron para acueducto. $ 2.032 millones para alcantarillado y $ 4.922 millones para los subsidios en aseo con destino al Operador Urbaser Soacha, sector del cual se efectuaron mayores pagos.</w:t>
      </w:r>
    </w:p>
    <w:p w14:paraId="40EF8CFE" w14:textId="77777777" w:rsidR="000742BD" w:rsidRPr="000742BD" w:rsidRDefault="000742BD" w:rsidP="000742BD">
      <w:pPr>
        <w:spacing w:line="276" w:lineRule="auto"/>
        <w:jc w:val="both"/>
        <w:rPr>
          <w:rFonts w:ascii="Arial Narrow" w:hAnsi="Arial Narrow" w:cs="Arial"/>
          <w:sz w:val="22"/>
          <w:szCs w:val="22"/>
        </w:rPr>
      </w:pPr>
    </w:p>
    <w:tbl>
      <w:tblPr>
        <w:tblStyle w:val="Tablaconcuadrcula"/>
        <w:tblW w:w="0" w:type="auto"/>
        <w:jc w:val="center"/>
        <w:tblLayout w:type="fixed"/>
        <w:tblLook w:val="04A0" w:firstRow="1" w:lastRow="0" w:firstColumn="1" w:lastColumn="0" w:noHBand="0" w:noVBand="1"/>
      </w:tblPr>
      <w:tblGrid>
        <w:gridCol w:w="2830"/>
        <w:gridCol w:w="1259"/>
        <w:gridCol w:w="1554"/>
        <w:gridCol w:w="768"/>
      </w:tblGrid>
      <w:tr w:rsidR="000742BD" w:rsidRPr="000742BD" w14:paraId="3BD0D38B" w14:textId="77777777" w:rsidTr="000742BD">
        <w:trPr>
          <w:jc w:val="center"/>
        </w:trPr>
        <w:tc>
          <w:tcPr>
            <w:tcW w:w="2830" w:type="dxa"/>
          </w:tcPr>
          <w:p w14:paraId="4100C0DE" w14:textId="77777777" w:rsidR="000742BD" w:rsidRPr="000742BD" w:rsidRDefault="000742BD" w:rsidP="000742BD">
            <w:pPr>
              <w:tabs>
                <w:tab w:val="center" w:pos="4419"/>
                <w:tab w:val="right" w:pos="8838"/>
              </w:tabs>
              <w:spacing w:line="276" w:lineRule="auto"/>
              <w:jc w:val="both"/>
              <w:rPr>
                <w:rFonts w:ascii="Arial Narrow" w:hAnsi="Arial Narrow" w:cs="Arial"/>
                <w:b/>
                <w:bCs/>
                <w:sz w:val="22"/>
                <w:szCs w:val="22"/>
              </w:rPr>
            </w:pPr>
            <w:r w:rsidRPr="000742BD">
              <w:rPr>
                <w:rFonts w:ascii="Arial Narrow" w:hAnsi="Arial Narrow" w:cs="Arial"/>
                <w:b/>
                <w:bCs/>
                <w:sz w:val="22"/>
                <w:szCs w:val="22"/>
              </w:rPr>
              <w:t>Contratista</w:t>
            </w:r>
          </w:p>
        </w:tc>
        <w:tc>
          <w:tcPr>
            <w:tcW w:w="1259" w:type="dxa"/>
          </w:tcPr>
          <w:p w14:paraId="54F3E142" w14:textId="77777777" w:rsidR="000742BD" w:rsidRPr="000742BD" w:rsidRDefault="000742BD" w:rsidP="000742BD">
            <w:pPr>
              <w:tabs>
                <w:tab w:val="center" w:pos="4419"/>
                <w:tab w:val="right" w:pos="8838"/>
              </w:tabs>
              <w:spacing w:line="276" w:lineRule="auto"/>
              <w:jc w:val="both"/>
              <w:rPr>
                <w:rFonts w:ascii="Arial Narrow" w:hAnsi="Arial Narrow" w:cs="Arial"/>
                <w:b/>
                <w:bCs/>
                <w:sz w:val="22"/>
                <w:szCs w:val="22"/>
              </w:rPr>
            </w:pPr>
            <w:r w:rsidRPr="000742BD">
              <w:rPr>
                <w:rFonts w:ascii="Arial Narrow" w:hAnsi="Arial Narrow" w:cs="Arial"/>
                <w:b/>
                <w:bCs/>
                <w:sz w:val="22"/>
                <w:szCs w:val="22"/>
              </w:rPr>
              <w:t>Servicio</w:t>
            </w:r>
          </w:p>
        </w:tc>
        <w:tc>
          <w:tcPr>
            <w:tcW w:w="1554" w:type="dxa"/>
          </w:tcPr>
          <w:p w14:paraId="2B158E4C" w14:textId="77777777" w:rsidR="000742BD" w:rsidRPr="000742BD" w:rsidRDefault="000742BD" w:rsidP="000742BD">
            <w:pPr>
              <w:tabs>
                <w:tab w:val="center" w:pos="4419"/>
                <w:tab w:val="right" w:pos="8838"/>
              </w:tabs>
              <w:spacing w:line="276" w:lineRule="auto"/>
              <w:jc w:val="both"/>
              <w:rPr>
                <w:rFonts w:ascii="Arial Narrow" w:hAnsi="Arial Narrow" w:cs="Arial"/>
                <w:b/>
                <w:bCs/>
                <w:sz w:val="22"/>
                <w:szCs w:val="22"/>
              </w:rPr>
            </w:pPr>
            <w:r w:rsidRPr="000742BD">
              <w:rPr>
                <w:rFonts w:ascii="Arial Narrow" w:hAnsi="Arial Narrow" w:cs="Arial"/>
                <w:b/>
                <w:bCs/>
                <w:sz w:val="22"/>
                <w:szCs w:val="22"/>
              </w:rPr>
              <w:t>localización</w:t>
            </w:r>
          </w:p>
        </w:tc>
        <w:tc>
          <w:tcPr>
            <w:tcW w:w="768" w:type="dxa"/>
          </w:tcPr>
          <w:p w14:paraId="7500D3F8" w14:textId="77777777" w:rsidR="000742BD" w:rsidRPr="000742BD" w:rsidRDefault="000742BD" w:rsidP="000742BD">
            <w:pPr>
              <w:tabs>
                <w:tab w:val="center" w:pos="4419"/>
                <w:tab w:val="right" w:pos="8838"/>
              </w:tabs>
              <w:spacing w:line="276" w:lineRule="auto"/>
              <w:jc w:val="center"/>
              <w:rPr>
                <w:rFonts w:ascii="Arial Narrow" w:hAnsi="Arial Narrow" w:cs="Arial"/>
                <w:b/>
                <w:bCs/>
                <w:sz w:val="22"/>
                <w:szCs w:val="22"/>
              </w:rPr>
            </w:pPr>
            <w:r w:rsidRPr="000742BD">
              <w:rPr>
                <w:rFonts w:ascii="Arial Narrow" w:hAnsi="Arial Narrow" w:cs="Arial"/>
                <w:b/>
                <w:bCs/>
                <w:sz w:val="22"/>
                <w:szCs w:val="22"/>
              </w:rPr>
              <w:t xml:space="preserve">Valor </w:t>
            </w:r>
            <w:r w:rsidRPr="000742BD">
              <w:rPr>
                <w:rFonts w:ascii="Arial Narrow" w:hAnsi="Arial Narrow" w:cs="Arial"/>
                <w:b/>
                <w:bCs/>
                <w:sz w:val="12"/>
                <w:szCs w:val="12"/>
              </w:rPr>
              <w:t>(Millones de pesos)</w:t>
            </w:r>
          </w:p>
        </w:tc>
      </w:tr>
      <w:tr w:rsidR="000742BD" w:rsidRPr="000742BD" w14:paraId="27A636EE" w14:textId="77777777" w:rsidTr="000742BD">
        <w:trPr>
          <w:jc w:val="center"/>
        </w:trPr>
        <w:tc>
          <w:tcPr>
            <w:tcW w:w="2830" w:type="dxa"/>
          </w:tcPr>
          <w:p w14:paraId="55505E7A"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Empresa de Acueducto y Alcantarillado de Bogotá</w:t>
            </w:r>
          </w:p>
        </w:tc>
        <w:tc>
          <w:tcPr>
            <w:tcW w:w="1259" w:type="dxa"/>
          </w:tcPr>
          <w:p w14:paraId="07454624"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Acueducto</w:t>
            </w:r>
          </w:p>
        </w:tc>
        <w:tc>
          <w:tcPr>
            <w:tcW w:w="1554" w:type="dxa"/>
          </w:tcPr>
          <w:p w14:paraId="07A08210"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Urbano</w:t>
            </w:r>
          </w:p>
        </w:tc>
        <w:tc>
          <w:tcPr>
            <w:tcW w:w="768" w:type="dxa"/>
          </w:tcPr>
          <w:p w14:paraId="33AA4F05"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1.529</w:t>
            </w:r>
          </w:p>
        </w:tc>
      </w:tr>
      <w:tr w:rsidR="000742BD" w:rsidRPr="000742BD" w14:paraId="70F481AA" w14:textId="77777777" w:rsidTr="000742BD">
        <w:trPr>
          <w:jc w:val="center"/>
        </w:trPr>
        <w:tc>
          <w:tcPr>
            <w:tcW w:w="2830" w:type="dxa"/>
          </w:tcPr>
          <w:p w14:paraId="2E960035"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Empresa de Acueducto y Alcantarillado de Bogotá</w:t>
            </w:r>
          </w:p>
        </w:tc>
        <w:tc>
          <w:tcPr>
            <w:tcW w:w="1259" w:type="dxa"/>
          </w:tcPr>
          <w:p w14:paraId="4B92D07D"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Alcantarillado</w:t>
            </w:r>
          </w:p>
        </w:tc>
        <w:tc>
          <w:tcPr>
            <w:tcW w:w="1554" w:type="dxa"/>
          </w:tcPr>
          <w:p w14:paraId="5A552014"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Urbano</w:t>
            </w:r>
          </w:p>
        </w:tc>
        <w:tc>
          <w:tcPr>
            <w:tcW w:w="768" w:type="dxa"/>
          </w:tcPr>
          <w:p w14:paraId="0EBC82D9"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1.634</w:t>
            </w:r>
          </w:p>
        </w:tc>
      </w:tr>
      <w:tr w:rsidR="000742BD" w:rsidRPr="000742BD" w14:paraId="1FC41A0F" w14:textId="77777777" w:rsidTr="000742BD">
        <w:trPr>
          <w:jc w:val="center"/>
        </w:trPr>
        <w:tc>
          <w:tcPr>
            <w:tcW w:w="2830" w:type="dxa"/>
          </w:tcPr>
          <w:p w14:paraId="6F1F57DB" w14:textId="77777777" w:rsidR="000742BD" w:rsidRPr="000742BD" w:rsidRDefault="000742BD" w:rsidP="000742BD">
            <w:pPr>
              <w:tabs>
                <w:tab w:val="center" w:pos="4419"/>
                <w:tab w:val="right" w:pos="8838"/>
              </w:tabs>
              <w:jc w:val="both"/>
              <w:rPr>
                <w:rFonts w:ascii="Arial Narrow" w:hAnsi="Arial Narrow" w:cs="Arial"/>
                <w:sz w:val="22"/>
                <w:szCs w:val="22"/>
              </w:rPr>
            </w:pPr>
            <w:r w:rsidRPr="000742BD">
              <w:rPr>
                <w:rFonts w:ascii="Arial Narrow" w:hAnsi="Arial Narrow" w:cs="Arial"/>
                <w:sz w:val="22"/>
                <w:szCs w:val="22"/>
              </w:rPr>
              <w:t>Asociación de suscriptores de servicio de acueducto aguas de Chacua</w:t>
            </w:r>
          </w:p>
        </w:tc>
        <w:tc>
          <w:tcPr>
            <w:tcW w:w="1259" w:type="dxa"/>
          </w:tcPr>
          <w:p w14:paraId="207A6B90"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Acueducto</w:t>
            </w:r>
          </w:p>
        </w:tc>
        <w:tc>
          <w:tcPr>
            <w:tcW w:w="1554" w:type="dxa"/>
          </w:tcPr>
          <w:p w14:paraId="137D48A9"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p>
        </w:tc>
        <w:tc>
          <w:tcPr>
            <w:tcW w:w="768" w:type="dxa"/>
          </w:tcPr>
          <w:p w14:paraId="48592A99"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16</w:t>
            </w:r>
          </w:p>
        </w:tc>
      </w:tr>
      <w:tr w:rsidR="000742BD" w:rsidRPr="000742BD" w14:paraId="58DA0338" w14:textId="77777777" w:rsidTr="000742BD">
        <w:trPr>
          <w:jc w:val="center"/>
        </w:trPr>
        <w:tc>
          <w:tcPr>
            <w:tcW w:w="2830" w:type="dxa"/>
          </w:tcPr>
          <w:p w14:paraId="41286932" w14:textId="77777777" w:rsidR="000742BD" w:rsidRPr="000742BD" w:rsidRDefault="000742BD" w:rsidP="000742BD">
            <w:pPr>
              <w:tabs>
                <w:tab w:val="center" w:pos="4419"/>
                <w:tab w:val="right" w:pos="8838"/>
              </w:tabs>
              <w:jc w:val="both"/>
              <w:rPr>
                <w:rFonts w:ascii="Arial Narrow" w:hAnsi="Arial Narrow" w:cs="Arial"/>
                <w:sz w:val="22"/>
                <w:szCs w:val="22"/>
              </w:rPr>
            </w:pPr>
            <w:r w:rsidRPr="000742BD">
              <w:rPr>
                <w:rFonts w:ascii="Arial Narrow" w:hAnsi="Arial Narrow" w:cs="Arial"/>
                <w:sz w:val="22"/>
                <w:szCs w:val="22"/>
              </w:rPr>
              <w:t>Empresa de acueducto y alcantarillado Santa Ana</w:t>
            </w:r>
          </w:p>
        </w:tc>
        <w:tc>
          <w:tcPr>
            <w:tcW w:w="1259" w:type="dxa"/>
          </w:tcPr>
          <w:p w14:paraId="46588266"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Acueducto</w:t>
            </w:r>
          </w:p>
        </w:tc>
        <w:tc>
          <w:tcPr>
            <w:tcW w:w="1554" w:type="dxa"/>
          </w:tcPr>
          <w:p w14:paraId="4C8F57B9"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p>
        </w:tc>
        <w:tc>
          <w:tcPr>
            <w:tcW w:w="768" w:type="dxa"/>
          </w:tcPr>
          <w:p w14:paraId="322537CA"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436</w:t>
            </w:r>
          </w:p>
        </w:tc>
      </w:tr>
      <w:tr w:rsidR="000742BD" w:rsidRPr="000742BD" w14:paraId="43A3DB7F" w14:textId="77777777" w:rsidTr="000742BD">
        <w:trPr>
          <w:jc w:val="center"/>
        </w:trPr>
        <w:tc>
          <w:tcPr>
            <w:tcW w:w="2830" w:type="dxa"/>
          </w:tcPr>
          <w:p w14:paraId="3EBA5615" w14:textId="77777777" w:rsidR="000742BD" w:rsidRPr="000742BD" w:rsidRDefault="000742BD" w:rsidP="000742BD">
            <w:pPr>
              <w:tabs>
                <w:tab w:val="center" w:pos="4419"/>
                <w:tab w:val="right" w:pos="8838"/>
              </w:tabs>
              <w:jc w:val="both"/>
              <w:rPr>
                <w:rFonts w:ascii="Arial Narrow" w:hAnsi="Arial Narrow" w:cs="Arial"/>
                <w:sz w:val="22"/>
                <w:szCs w:val="22"/>
              </w:rPr>
            </w:pPr>
            <w:r w:rsidRPr="000742BD">
              <w:rPr>
                <w:rFonts w:ascii="Arial Narrow" w:hAnsi="Arial Narrow" w:cs="Arial"/>
                <w:sz w:val="22"/>
                <w:szCs w:val="22"/>
              </w:rPr>
              <w:t>Empresa de acueducto y alcantarillado Santa Ana</w:t>
            </w:r>
          </w:p>
        </w:tc>
        <w:tc>
          <w:tcPr>
            <w:tcW w:w="1259" w:type="dxa"/>
          </w:tcPr>
          <w:p w14:paraId="0D853C33"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Alcantarillado</w:t>
            </w:r>
          </w:p>
        </w:tc>
        <w:tc>
          <w:tcPr>
            <w:tcW w:w="1554" w:type="dxa"/>
          </w:tcPr>
          <w:p w14:paraId="4B631877"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p>
        </w:tc>
        <w:tc>
          <w:tcPr>
            <w:tcW w:w="768" w:type="dxa"/>
          </w:tcPr>
          <w:p w14:paraId="33AE5FF4"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398</w:t>
            </w:r>
          </w:p>
        </w:tc>
      </w:tr>
      <w:tr w:rsidR="000742BD" w:rsidRPr="000742BD" w14:paraId="25685180" w14:textId="77777777" w:rsidTr="000742BD">
        <w:trPr>
          <w:jc w:val="center"/>
        </w:trPr>
        <w:tc>
          <w:tcPr>
            <w:tcW w:w="2830" w:type="dxa"/>
          </w:tcPr>
          <w:p w14:paraId="00287866"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Asociación De Suscriptores Del Servicio</w:t>
            </w:r>
          </w:p>
        </w:tc>
        <w:tc>
          <w:tcPr>
            <w:tcW w:w="1259" w:type="dxa"/>
          </w:tcPr>
          <w:p w14:paraId="2B9F8BB1"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Acueducto</w:t>
            </w:r>
          </w:p>
        </w:tc>
        <w:tc>
          <w:tcPr>
            <w:tcW w:w="1554" w:type="dxa"/>
          </w:tcPr>
          <w:p w14:paraId="22BEC658"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Centro poblado</w:t>
            </w:r>
          </w:p>
        </w:tc>
        <w:tc>
          <w:tcPr>
            <w:tcW w:w="768" w:type="dxa"/>
          </w:tcPr>
          <w:p w14:paraId="0BCBD2F2"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7</w:t>
            </w:r>
          </w:p>
        </w:tc>
      </w:tr>
      <w:tr w:rsidR="000742BD" w:rsidRPr="000742BD" w14:paraId="32C01F78" w14:textId="77777777" w:rsidTr="000742BD">
        <w:trPr>
          <w:jc w:val="center"/>
        </w:trPr>
        <w:tc>
          <w:tcPr>
            <w:tcW w:w="2830" w:type="dxa"/>
          </w:tcPr>
          <w:p w14:paraId="2E0B6F32"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Urbaser Soacha SA ESP</w:t>
            </w:r>
          </w:p>
        </w:tc>
        <w:tc>
          <w:tcPr>
            <w:tcW w:w="1259" w:type="dxa"/>
          </w:tcPr>
          <w:p w14:paraId="07B5A6E3"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Aseo</w:t>
            </w:r>
          </w:p>
        </w:tc>
        <w:tc>
          <w:tcPr>
            <w:tcW w:w="1554" w:type="dxa"/>
          </w:tcPr>
          <w:p w14:paraId="5ECFFE26" w14:textId="77777777" w:rsidR="000742BD" w:rsidRPr="000742BD" w:rsidRDefault="000742BD" w:rsidP="000742BD">
            <w:pPr>
              <w:tabs>
                <w:tab w:val="center" w:pos="4419"/>
                <w:tab w:val="right" w:pos="8838"/>
              </w:tabs>
              <w:spacing w:line="276" w:lineRule="auto"/>
              <w:jc w:val="both"/>
              <w:rPr>
                <w:rFonts w:ascii="Arial Narrow" w:hAnsi="Arial Narrow" w:cs="Arial"/>
                <w:sz w:val="22"/>
                <w:szCs w:val="22"/>
              </w:rPr>
            </w:pPr>
            <w:r w:rsidRPr="000742BD">
              <w:rPr>
                <w:rFonts w:ascii="Arial Narrow" w:hAnsi="Arial Narrow" w:cs="Arial"/>
                <w:sz w:val="22"/>
                <w:szCs w:val="22"/>
              </w:rPr>
              <w:t>Urbano</w:t>
            </w:r>
          </w:p>
        </w:tc>
        <w:tc>
          <w:tcPr>
            <w:tcW w:w="768" w:type="dxa"/>
          </w:tcPr>
          <w:p w14:paraId="6C55CDAC" w14:textId="77777777" w:rsidR="000742BD" w:rsidRPr="000742BD" w:rsidRDefault="000742BD" w:rsidP="000742BD">
            <w:pPr>
              <w:tabs>
                <w:tab w:val="center" w:pos="4419"/>
                <w:tab w:val="right" w:pos="8838"/>
              </w:tabs>
              <w:spacing w:line="276" w:lineRule="auto"/>
              <w:jc w:val="center"/>
              <w:rPr>
                <w:rFonts w:ascii="Arial Narrow" w:hAnsi="Arial Narrow" w:cs="Arial"/>
                <w:sz w:val="22"/>
                <w:szCs w:val="22"/>
              </w:rPr>
            </w:pPr>
            <w:r w:rsidRPr="000742BD">
              <w:rPr>
                <w:rFonts w:ascii="Arial Narrow" w:hAnsi="Arial Narrow" w:cs="Arial"/>
                <w:sz w:val="22"/>
                <w:szCs w:val="22"/>
              </w:rPr>
              <w:t>4.922</w:t>
            </w:r>
          </w:p>
        </w:tc>
      </w:tr>
      <w:tr w:rsidR="000742BD" w:rsidRPr="000742BD" w14:paraId="27D7ACBE" w14:textId="77777777" w:rsidTr="000742BD">
        <w:trPr>
          <w:jc w:val="center"/>
        </w:trPr>
        <w:tc>
          <w:tcPr>
            <w:tcW w:w="5643" w:type="dxa"/>
            <w:gridSpan w:val="3"/>
          </w:tcPr>
          <w:p w14:paraId="0F840C4C" w14:textId="77777777" w:rsidR="000742BD" w:rsidRPr="000742BD" w:rsidRDefault="000742BD" w:rsidP="000742BD">
            <w:pPr>
              <w:tabs>
                <w:tab w:val="center" w:pos="4419"/>
                <w:tab w:val="right" w:pos="8838"/>
              </w:tabs>
              <w:spacing w:line="276" w:lineRule="auto"/>
              <w:jc w:val="both"/>
              <w:rPr>
                <w:rFonts w:ascii="Arial Narrow" w:hAnsi="Arial Narrow" w:cs="Arial"/>
                <w:b/>
                <w:bCs/>
                <w:sz w:val="22"/>
                <w:szCs w:val="22"/>
              </w:rPr>
            </w:pPr>
            <w:r w:rsidRPr="000742BD">
              <w:rPr>
                <w:rFonts w:ascii="Arial Narrow" w:hAnsi="Arial Narrow" w:cs="Arial"/>
                <w:b/>
                <w:bCs/>
                <w:sz w:val="22"/>
                <w:szCs w:val="22"/>
              </w:rPr>
              <w:t>Total</w:t>
            </w:r>
          </w:p>
        </w:tc>
        <w:tc>
          <w:tcPr>
            <w:tcW w:w="768" w:type="dxa"/>
          </w:tcPr>
          <w:p w14:paraId="57D880F2" w14:textId="77777777" w:rsidR="000742BD" w:rsidRPr="000742BD" w:rsidRDefault="000742BD" w:rsidP="000742BD">
            <w:pPr>
              <w:tabs>
                <w:tab w:val="center" w:pos="4419"/>
                <w:tab w:val="right" w:pos="8838"/>
              </w:tabs>
              <w:spacing w:line="276" w:lineRule="auto"/>
              <w:jc w:val="center"/>
              <w:rPr>
                <w:rFonts w:ascii="Arial Narrow" w:hAnsi="Arial Narrow" w:cs="Arial"/>
                <w:b/>
                <w:bCs/>
                <w:sz w:val="22"/>
                <w:szCs w:val="22"/>
              </w:rPr>
            </w:pPr>
            <w:r w:rsidRPr="000742BD">
              <w:rPr>
                <w:rFonts w:ascii="Arial Narrow" w:hAnsi="Arial Narrow" w:cs="Arial"/>
                <w:b/>
                <w:bCs/>
                <w:sz w:val="22"/>
                <w:szCs w:val="22"/>
              </w:rPr>
              <w:t>8.942</w:t>
            </w:r>
          </w:p>
        </w:tc>
      </w:tr>
    </w:tbl>
    <w:p w14:paraId="180AACEC" w14:textId="77777777" w:rsidR="000742BD" w:rsidRPr="000742BD" w:rsidRDefault="000742BD" w:rsidP="000742BD">
      <w:pPr>
        <w:spacing w:line="276" w:lineRule="auto"/>
        <w:jc w:val="both"/>
        <w:rPr>
          <w:rFonts w:ascii="Arial Narrow" w:hAnsi="Arial Narrow" w:cs="Arial"/>
          <w:b/>
          <w:bCs/>
          <w:sz w:val="22"/>
          <w:szCs w:val="22"/>
        </w:rPr>
      </w:pPr>
    </w:p>
    <w:p w14:paraId="6C98A08A" w14:textId="77777777" w:rsidR="000742BD" w:rsidRPr="000742BD" w:rsidRDefault="000742BD" w:rsidP="000742BD">
      <w:pPr>
        <w:spacing w:line="276" w:lineRule="auto"/>
        <w:jc w:val="both"/>
        <w:rPr>
          <w:rFonts w:ascii="Arial Narrow" w:hAnsi="Arial Narrow" w:cs="Arial"/>
          <w:sz w:val="22"/>
          <w:szCs w:val="22"/>
        </w:rPr>
      </w:pPr>
      <w:r w:rsidRPr="000742BD">
        <w:rPr>
          <w:rFonts w:ascii="Arial Narrow" w:hAnsi="Arial Narrow" w:cs="Arial"/>
          <w:sz w:val="22"/>
          <w:szCs w:val="22"/>
        </w:rPr>
        <w:t>En la vinculación del PDA el Municipio transfirió en 2021 a las Empresas Públicas de Cundinamarca S.A. E.S.P. $1.539 millones.</w:t>
      </w:r>
    </w:p>
    <w:p w14:paraId="3653C0ED" w14:textId="77777777" w:rsidR="000742BD" w:rsidRPr="000742BD" w:rsidRDefault="000742BD" w:rsidP="000742BD">
      <w:pPr>
        <w:jc w:val="both"/>
        <w:rPr>
          <w:rFonts w:ascii="Arial Narrow" w:hAnsi="Arial Narrow" w:cs="Arial"/>
          <w:b/>
          <w:bCs/>
          <w:sz w:val="22"/>
          <w:szCs w:val="22"/>
        </w:rPr>
      </w:pPr>
    </w:p>
    <w:p w14:paraId="461D0210" w14:textId="77777777" w:rsidR="000742BD" w:rsidRDefault="000742BD" w:rsidP="000742BD">
      <w:pPr>
        <w:jc w:val="both"/>
        <w:rPr>
          <w:rFonts w:ascii="Arial Narrow" w:hAnsi="Arial Narrow" w:cs="Arial"/>
          <w:sz w:val="22"/>
          <w:szCs w:val="22"/>
        </w:rPr>
      </w:pPr>
      <w:r w:rsidRPr="000742BD">
        <w:rPr>
          <w:rFonts w:ascii="Arial Narrow" w:hAnsi="Arial Narrow" w:cs="Arial"/>
          <w:sz w:val="22"/>
          <w:szCs w:val="22"/>
        </w:rPr>
        <w:t xml:space="preserve">El resto de </w:t>
      </w:r>
      <w:r w:rsidR="00F75B1D" w:rsidRPr="000742BD">
        <w:rPr>
          <w:rFonts w:ascii="Arial Narrow" w:hAnsi="Arial Narrow" w:cs="Arial"/>
          <w:sz w:val="22"/>
          <w:szCs w:val="22"/>
        </w:rPr>
        <w:t>los compromisos</w:t>
      </w:r>
      <w:r w:rsidRPr="000742BD">
        <w:rPr>
          <w:rFonts w:ascii="Arial Narrow" w:hAnsi="Arial Narrow" w:cs="Arial"/>
          <w:sz w:val="22"/>
          <w:szCs w:val="22"/>
        </w:rPr>
        <w:t xml:space="preserve"> con los RP equivalentes a $30.580 millones, se desagregaron en subsectores de la siguiente manera: </w:t>
      </w:r>
    </w:p>
    <w:p w14:paraId="61E501F8" w14:textId="77777777" w:rsidR="00F75B1D" w:rsidRPr="000742BD" w:rsidRDefault="00F75B1D" w:rsidP="000742BD">
      <w:pPr>
        <w:jc w:val="both"/>
        <w:rPr>
          <w:rFonts w:ascii="Arial Narrow" w:hAnsi="Arial Narrow" w:cs="Arial"/>
          <w:sz w:val="22"/>
          <w:szCs w:val="22"/>
        </w:rPr>
      </w:pPr>
    </w:p>
    <w:p w14:paraId="29895EFD" w14:textId="77777777" w:rsidR="000742BD" w:rsidRPr="000742BD" w:rsidRDefault="000742BD" w:rsidP="000742BD">
      <w:pPr>
        <w:numPr>
          <w:ilvl w:val="0"/>
          <w:numId w:val="25"/>
        </w:numPr>
        <w:contextualSpacing/>
        <w:jc w:val="both"/>
        <w:rPr>
          <w:rFonts w:ascii="Arial Narrow" w:hAnsi="Arial Narrow" w:cs="Arial"/>
          <w:sz w:val="22"/>
          <w:szCs w:val="22"/>
        </w:rPr>
      </w:pPr>
      <w:r w:rsidRPr="000742BD">
        <w:rPr>
          <w:rFonts w:ascii="Arial Narrow" w:hAnsi="Arial Narrow" w:cs="Arial"/>
          <w:sz w:val="22"/>
          <w:szCs w:val="22"/>
        </w:rPr>
        <w:t>Acueducto (Pre-inversiones, estudios e interventorías) $261 millones</w:t>
      </w:r>
    </w:p>
    <w:p w14:paraId="160DC5DD" w14:textId="77777777" w:rsidR="000742BD" w:rsidRPr="000742BD" w:rsidRDefault="000742BD" w:rsidP="000742BD">
      <w:pPr>
        <w:numPr>
          <w:ilvl w:val="0"/>
          <w:numId w:val="25"/>
        </w:numPr>
        <w:contextualSpacing/>
        <w:jc w:val="both"/>
        <w:rPr>
          <w:rFonts w:ascii="Arial Narrow" w:hAnsi="Arial Narrow" w:cs="Arial"/>
          <w:sz w:val="22"/>
          <w:szCs w:val="22"/>
        </w:rPr>
      </w:pPr>
      <w:r w:rsidRPr="000742BD">
        <w:rPr>
          <w:rFonts w:ascii="Arial Narrow" w:hAnsi="Arial Narrow" w:cs="Arial"/>
          <w:sz w:val="22"/>
          <w:szCs w:val="22"/>
        </w:rPr>
        <w:t>Alcantarillado (Transporte, Pre-inversiones, estudios e interventorías) $29.119 millones.</w:t>
      </w:r>
    </w:p>
    <w:p w14:paraId="296C5A5F" w14:textId="77777777" w:rsidR="000742BD" w:rsidRPr="000742BD" w:rsidRDefault="000742BD" w:rsidP="000742BD">
      <w:pPr>
        <w:numPr>
          <w:ilvl w:val="0"/>
          <w:numId w:val="25"/>
        </w:numPr>
        <w:contextualSpacing/>
        <w:jc w:val="both"/>
        <w:rPr>
          <w:rFonts w:ascii="Arial Narrow" w:hAnsi="Arial Narrow" w:cs="Arial"/>
          <w:sz w:val="22"/>
          <w:szCs w:val="22"/>
        </w:rPr>
      </w:pPr>
      <w:r w:rsidRPr="000742BD">
        <w:rPr>
          <w:rFonts w:ascii="Arial Narrow" w:hAnsi="Arial Narrow" w:cs="Arial"/>
          <w:sz w:val="22"/>
          <w:szCs w:val="22"/>
        </w:rPr>
        <w:t>Aseo (Proyectos de tratamiento y aprovechamiento) $1.200 millones</w:t>
      </w:r>
    </w:p>
    <w:p w14:paraId="3CD3B2FF" w14:textId="77777777" w:rsidR="000742BD" w:rsidRPr="000742BD" w:rsidRDefault="000742BD" w:rsidP="000742BD">
      <w:pPr>
        <w:jc w:val="both"/>
        <w:rPr>
          <w:rFonts w:ascii="Arial Narrow" w:hAnsi="Arial Narrow" w:cs="Arial"/>
          <w:b/>
          <w:bCs/>
          <w:sz w:val="22"/>
          <w:szCs w:val="22"/>
        </w:rPr>
      </w:pPr>
    </w:p>
    <w:p w14:paraId="2086BB3A" w14:textId="77777777" w:rsidR="000742BD" w:rsidRPr="000742BD" w:rsidRDefault="000742BD" w:rsidP="000742BD">
      <w:pPr>
        <w:jc w:val="both"/>
        <w:rPr>
          <w:rFonts w:ascii="Arial Narrow" w:hAnsi="Arial Narrow" w:cs="Arial"/>
          <w:b/>
          <w:bCs/>
          <w:sz w:val="22"/>
          <w:szCs w:val="22"/>
        </w:rPr>
      </w:pPr>
    </w:p>
    <w:p w14:paraId="6BC96AB2"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De los 49 procesos contractuales ejecutados, estos son los contratos en los cuales se invirtieron mayores recursos del SGP APSB:</w:t>
      </w:r>
    </w:p>
    <w:p w14:paraId="290F2B92" w14:textId="77777777" w:rsidR="000742BD" w:rsidRPr="000742BD" w:rsidRDefault="000742BD" w:rsidP="000742BD">
      <w:pPr>
        <w:spacing w:line="276" w:lineRule="auto"/>
        <w:jc w:val="both"/>
        <w:rPr>
          <w:rFonts w:ascii="Arial Narrow" w:hAnsi="Arial Narrow" w:cs="Arial"/>
          <w:sz w:val="22"/>
          <w:szCs w:val="22"/>
        </w:rPr>
      </w:pPr>
    </w:p>
    <w:tbl>
      <w:tblPr>
        <w:tblStyle w:val="Tablaconcuadrcula"/>
        <w:tblW w:w="8926" w:type="dxa"/>
        <w:tblLayout w:type="fixed"/>
        <w:tblLook w:val="04A0" w:firstRow="1" w:lastRow="0" w:firstColumn="1" w:lastColumn="0" w:noHBand="0" w:noVBand="1"/>
      </w:tblPr>
      <w:tblGrid>
        <w:gridCol w:w="880"/>
        <w:gridCol w:w="1525"/>
        <w:gridCol w:w="992"/>
        <w:gridCol w:w="1276"/>
        <w:gridCol w:w="2835"/>
        <w:gridCol w:w="749"/>
        <w:gridCol w:w="669"/>
      </w:tblGrid>
      <w:tr w:rsidR="000742BD" w:rsidRPr="000742BD" w14:paraId="5868BBDC" w14:textId="77777777" w:rsidTr="000742BD">
        <w:tc>
          <w:tcPr>
            <w:tcW w:w="880" w:type="dxa"/>
          </w:tcPr>
          <w:p w14:paraId="46075216"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Contrato</w:t>
            </w:r>
          </w:p>
        </w:tc>
        <w:tc>
          <w:tcPr>
            <w:tcW w:w="1525" w:type="dxa"/>
          </w:tcPr>
          <w:p w14:paraId="21E4EBDD"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Tipo contrato</w:t>
            </w:r>
          </w:p>
        </w:tc>
        <w:tc>
          <w:tcPr>
            <w:tcW w:w="992" w:type="dxa"/>
          </w:tcPr>
          <w:p w14:paraId="663936E7"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Modalidad</w:t>
            </w:r>
          </w:p>
        </w:tc>
        <w:tc>
          <w:tcPr>
            <w:tcW w:w="1276" w:type="dxa"/>
          </w:tcPr>
          <w:p w14:paraId="3BFC2FE8"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Contratista</w:t>
            </w:r>
          </w:p>
        </w:tc>
        <w:tc>
          <w:tcPr>
            <w:tcW w:w="2835" w:type="dxa"/>
          </w:tcPr>
          <w:p w14:paraId="54C6B803"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Objeto</w:t>
            </w:r>
          </w:p>
        </w:tc>
        <w:tc>
          <w:tcPr>
            <w:tcW w:w="749" w:type="dxa"/>
          </w:tcPr>
          <w:p w14:paraId="668E3809"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 xml:space="preserve">Valor </w:t>
            </w:r>
            <w:r w:rsidRPr="000742BD">
              <w:rPr>
                <w:rFonts w:ascii="Arial Narrow" w:hAnsi="Arial Narrow" w:cs="Arial"/>
                <w:b/>
                <w:bCs/>
                <w:sz w:val="12"/>
                <w:szCs w:val="12"/>
              </w:rPr>
              <w:t>(Millones de pesos)</w:t>
            </w:r>
          </w:p>
        </w:tc>
        <w:tc>
          <w:tcPr>
            <w:tcW w:w="669" w:type="dxa"/>
          </w:tcPr>
          <w:p w14:paraId="79088F27"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RP</w:t>
            </w:r>
          </w:p>
        </w:tc>
      </w:tr>
      <w:tr w:rsidR="000742BD" w:rsidRPr="000742BD" w14:paraId="7579C2C2" w14:textId="77777777" w:rsidTr="000742BD">
        <w:tc>
          <w:tcPr>
            <w:tcW w:w="880" w:type="dxa"/>
          </w:tcPr>
          <w:p w14:paraId="44FBC7F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1537</w:t>
            </w:r>
          </w:p>
        </w:tc>
        <w:tc>
          <w:tcPr>
            <w:tcW w:w="1525" w:type="dxa"/>
          </w:tcPr>
          <w:p w14:paraId="0A32BE1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obra publica</w:t>
            </w:r>
          </w:p>
        </w:tc>
        <w:tc>
          <w:tcPr>
            <w:tcW w:w="992" w:type="dxa"/>
          </w:tcPr>
          <w:p w14:paraId="57B3927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Pública</w:t>
            </w:r>
          </w:p>
        </w:tc>
        <w:tc>
          <w:tcPr>
            <w:tcW w:w="1276" w:type="dxa"/>
          </w:tcPr>
          <w:p w14:paraId="1F076AE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Consorcio redes 2020</w:t>
            </w:r>
          </w:p>
        </w:tc>
        <w:tc>
          <w:tcPr>
            <w:tcW w:w="2835" w:type="dxa"/>
          </w:tcPr>
          <w:p w14:paraId="7A9BE651"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Decreto 034 de 2021-contrato 1537/20 construcción y renovación de redes de acueducto, alcantarillado sanitario y pluvial y obras complementarias en el municipio de Soacha Cundinamarca. Bmp 2020257540119.   </w:t>
            </w:r>
          </w:p>
        </w:tc>
        <w:tc>
          <w:tcPr>
            <w:tcW w:w="749" w:type="dxa"/>
          </w:tcPr>
          <w:p w14:paraId="49DFB48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9.907</w:t>
            </w:r>
          </w:p>
        </w:tc>
        <w:tc>
          <w:tcPr>
            <w:tcW w:w="669" w:type="dxa"/>
          </w:tcPr>
          <w:p w14:paraId="261E5A45"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1653 al 1658</w:t>
            </w:r>
          </w:p>
        </w:tc>
      </w:tr>
      <w:tr w:rsidR="000742BD" w:rsidRPr="000742BD" w14:paraId="25C594DF" w14:textId="77777777" w:rsidTr="000742BD">
        <w:tc>
          <w:tcPr>
            <w:tcW w:w="880" w:type="dxa"/>
          </w:tcPr>
          <w:p w14:paraId="5B31876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1540</w:t>
            </w:r>
          </w:p>
        </w:tc>
        <w:tc>
          <w:tcPr>
            <w:tcW w:w="1525" w:type="dxa"/>
          </w:tcPr>
          <w:p w14:paraId="16258A03"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interventoría</w:t>
            </w:r>
          </w:p>
        </w:tc>
        <w:tc>
          <w:tcPr>
            <w:tcW w:w="992" w:type="dxa"/>
          </w:tcPr>
          <w:p w14:paraId="392C630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Concurso de méritos</w:t>
            </w:r>
          </w:p>
        </w:tc>
        <w:tc>
          <w:tcPr>
            <w:tcW w:w="1276" w:type="dxa"/>
          </w:tcPr>
          <w:p w14:paraId="76DF66B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Estudios técnicos y construcciones SAS</w:t>
            </w:r>
          </w:p>
        </w:tc>
        <w:tc>
          <w:tcPr>
            <w:tcW w:w="2835" w:type="dxa"/>
          </w:tcPr>
          <w:p w14:paraId="7373971F"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Decreto 034 de 2021-contrato 1540/20 interventoría administrativa, técnica, jurídica, financiera, social y ambiental construcción y renovación de redes de acueducto, alcantarillado sanitario y pluvial y obras complementarias  </w:t>
            </w:r>
          </w:p>
        </w:tc>
        <w:tc>
          <w:tcPr>
            <w:tcW w:w="749" w:type="dxa"/>
          </w:tcPr>
          <w:p w14:paraId="3479862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772</w:t>
            </w:r>
          </w:p>
        </w:tc>
        <w:tc>
          <w:tcPr>
            <w:tcW w:w="669" w:type="dxa"/>
          </w:tcPr>
          <w:p w14:paraId="351C9D2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1658-1659 1661</w:t>
            </w:r>
          </w:p>
        </w:tc>
      </w:tr>
      <w:tr w:rsidR="000742BD" w:rsidRPr="000742BD" w14:paraId="562C2996" w14:textId="77777777" w:rsidTr="000742BD">
        <w:tc>
          <w:tcPr>
            <w:tcW w:w="880" w:type="dxa"/>
          </w:tcPr>
          <w:p w14:paraId="27ECEF3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w:t>
            </w:r>
          </w:p>
        </w:tc>
        <w:tc>
          <w:tcPr>
            <w:tcW w:w="1525" w:type="dxa"/>
          </w:tcPr>
          <w:p w14:paraId="47A2511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obra publica</w:t>
            </w:r>
          </w:p>
        </w:tc>
        <w:tc>
          <w:tcPr>
            <w:tcW w:w="992" w:type="dxa"/>
          </w:tcPr>
          <w:p w14:paraId="390DFB6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pública</w:t>
            </w:r>
          </w:p>
        </w:tc>
        <w:tc>
          <w:tcPr>
            <w:tcW w:w="1276" w:type="dxa"/>
          </w:tcPr>
          <w:p w14:paraId="6873928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Consorcio redes comuna 6</w:t>
            </w:r>
          </w:p>
        </w:tc>
        <w:tc>
          <w:tcPr>
            <w:tcW w:w="2835" w:type="dxa"/>
          </w:tcPr>
          <w:p w14:paraId="34C8867B"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Decreto 039 de 2021 - decreto 166 de 2020 - construcción redes de alcantarillado sanitario y pluvial de los barrios villas del progreso y llano grande de la comuna 6 del municipio de Soacha Cundinamarca. Bmp20162575400061. Adición y prórroga</w:t>
            </w:r>
          </w:p>
        </w:tc>
        <w:tc>
          <w:tcPr>
            <w:tcW w:w="749" w:type="dxa"/>
          </w:tcPr>
          <w:p w14:paraId="0BDBDCD3"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300</w:t>
            </w:r>
          </w:p>
        </w:tc>
        <w:tc>
          <w:tcPr>
            <w:tcW w:w="669" w:type="dxa"/>
          </w:tcPr>
          <w:p w14:paraId="0CB350B7"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1858</w:t>
            </w:r>
          </w:p>
        </w:tc>
      </w:tr>
      <w:tr w:rsidR="000742BD" w:rsidRPr="000742BD" w14:paraId="1D7F62FD" w14:textId="77777777" w:rsidTr="000742BD">
        <w:tc>
          <w:tcPr>
            <w:tcW w:w="880" w:type="dxa"/>
          </w:tcPr>
          <w:p w14:paraId="774446A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1764</w:t>
            </w:r>
          </w:p>
        </w:tc>
        <w:tc>
          <w:tcPr>
            <w:tcW w:w="1525" w:type="dxa"/>
          </w:tcPr>
          <w:p w14:paraId="1157EC8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consultoría</w:t>
            </w:r>
          </w:p>
        </w:tc>
        <w:tc>
          <w:tcPr>
            <w:tcW w:w="992" w:type="dxa"/>
          </w:tcPr>
          <w:p w14:paraId="7519F22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Concurso de méritos</w:t>
            </w:r>
          </w:p>
        </w:tc>
        <w:tc>
          <w:tcPr>
            <w:tcW w:w="1276" w:type="dxa"/>
          </w:tcPr>
          <w:p w14:paraId="7F6B865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Consorcio estudios y diseños</w:t>
            </w:r>
          </w:p>
        </w:tc>
        <w:tc>
          <w:tcPr>
            <w:tcW w:w="2835" w:type="dxa"/>
          </w:tcPr>
          <w:p w14:paraId="5B0E0FEC"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1764/2021 - diagnóstico estudios y diseños de las redes de acueducto, alcantarillado sanitario y pluvial diseño de conexiones que permitan eliminar los vertimientos urbanos y análisis físico-químico de vertimientos identificados  </w:t>
            </w:r>
          </w:p>
        </w:tc>
        <w:tc>
          <w:tcPr>
            <w:tcW w:w="749" w:type="dxa"/>
          </w:tcPr>
          <w:p w14:paraId="4585B9D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1.804</w:t>
            </w:r>
          </w:p>
        </w:tc>
        <w:tc>
          <w:tcPr>
            <w:tcW w:w="669" w:type="dxa"/>
          </w:tcPr>
          <w:p w14:paraId="363800B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3033</w:t>
            </w:r>
          </w:p>
        </w:tc>
      </w:tr>
      <w:tr w:rsidR="000742BD" w:rsidRPr="000742BD" w14:paraId="5A959754" w14:textId="77777777" w:rsidTr="000742BD">
        <w:tc>
          <w:tcPr>
            <w:tcW w:w="880" w:type="dxa"/>
          </w:tcPr>
          <w:p w14:paraId="3B0551D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3164</w:t>
            </w:r>
          </w:p>
        </w:tc>
        <w:tc>
          <w:tcPr>
            <w:tcW w:w="1525" w:type="dxa"/>
          </w:tcPr>
          <w:p w14:paraId="562154F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992" w:type="dxa"/>
          </w:tcPr>
          <w:p w14:paraId="57C6240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Contratación directa</w:t>
            </w:r>
          </w:p>
        </w:tc>
        <w:tc>
          <w:tcPr>
            <w:tcW w:w="1276" w:type="dxa"/>
          </w:tcPr>
          <w:p w14:paraId="6760401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Aguas de Bogota SA E.S.P</w:t>
            </w:r>
          </w:p>
        </w:tc>
        <w:tc>
          <w:tcPr>
            <w:tcW w:w="2835" w:type="dxa"/>
          </w:tcPr>
          <w:p w14:paraId="728854C6"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3164/2021 - construcción de redes de acueducto, alcantarillado pluvial y sanitario en el barrio olivos iii, de </w:t>
            </w:r>
            <w:r w:rsidR="00F75B1D" w:rsidRPr="000742BD">
              <w:rPr>
                <w:rFonts w:ascii="Arial Narrow" w:hAnsi="Arial Narrow" w:cs="Arial"/>
                <w:sz w:val="18"/>
                <w:szCs w:val="18"/>
              </w:rPr>
              <w:t>la comuna</w:t>
            </w:r>
            <w:r w:rsidRPr="000742BD">
              <w:rPr>
                <w:rFonts w:ascii="Arial Narrow" w:hAnsi="Arial Narrow" w:cs="Arial"/>
                <w:sz w:val="18"/>
                <w:szCs w:val="18"/>
              </w:rPr>
              <w:t xml:space="preserve"> 3 del municipio de Soacha Cundinamarca bmp2021257540038  </w:t>
            </w:r>
          </w:p>
        </w:tc>
        <w:tc>
          <w:tcPr>
            <w:tcW w:w="749" w:type="dxa"/>
          </w:tcPr>
          <w:p w14:paraId="732931A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6.502</w:t>
            </w:r>
          </w:p>
        </w:tc>
        <w:tc>
          <w:tcPr>
            <w:tcW w:w="669" w:type="dxa"/>
          </w:tcPr>
          <w:p w14:paraId="0E61D78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5085</w:t>
            </w:r>
          </w:p>
        </w:tc>
      </w:tr>
      <w:tr w:rsidR="000742BD" w:rsidRPr="000742BD" w14:paraId="5FA3F52D" w14:textId="77777777" w:rsidTr="000742BD">
        <w:tc>
          <w:tcPr>
            <w:tcW w:w="880" w:type="dxa"/>
          </w:tcPr>
          <w:p w14:paraId="37DB4A15"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3164</w:t>
            </w:r>
          </w:p>
        </w:tc>
        <w:tc>
          <w:tcPr>
            <w:tcW w:w="1525" w:type="dxa"/>
          </w:tcPr>
          <w:p w14:paraId="72B5D5E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992" w:type="dxa"/>
          </w:tcPr>
          <w:p w14:paraId="44DCDE2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Contratacion directa</w:t>
            </w:r>
          </w:p>
        </w:tc>
        <w:tc>
          <w:tcPr>
            <w:tcW w:w="1276" w:type="dxa"/>
          </w:tcPr>
          <w:p w14:paraId="684478E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Aguas de bogota SA E.S.P</w:t>
            </w:r>
          </w:p>
        </w:tc>
        <w:tc>
          <w:tcPr>
            <w:tcW w:w="2835" w:type="dxa"/>
          </w:tcPr>
          <w:p w14:paraId="25E023B8"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3164/2021 </w:t>
            </w:r>
            <w:r w:rsidR="00F75B1D" w:rsidRPr="000742BD">
              <w:rPr>
                <w:rFonts w:ascii="Arial Narrow" w:hAnsi="Arial Narrow" w:cs="Arial"/>
                <w:sz w:val="18"/>
                <w:szCs w:val="18"/>
              </w:rPr>
              <w:t>- optimización</w:t>
            </w:r>
            <w:r w:rsidRPr="000742BD">
              <w:rPr>
                <w:rFonts w:ascii="Arial Narrow" w:hAnsi="Arial Narrow" w:cs="Arial"/>
                <w:sz w:val="18"/>
                <w:szCs w:val="18"/>
              </w:rPr>
              <w:t xml:space="preserve"> de redes de alcantarillado en diferentes sectores de la comuna 4 del municipio de </w:t>
            </w:r>
            <w:r w:rsidR="00F75B1D" w:rsidRPr="000742BD">
              <w:rPr>
                <w:rFonts w:ascii="Arial Narrow" w:hAnsi="Arial Narrow" w:cs="Arial"/>
                <w:sz w:val="18"/>
                <w:szCs w:val="18"/>
              </w:rPr>
              <w:t>Soacha.</w:t>
            </w:r>
            <w:r w:rsidRPr="000742BD">
              <w:rPr>
                <w:rFonts w:ascii="Arial Narrow" w:hAnsi="Arial Narrow" w:cs="Arial"/>
                <w:sz w:val="18"/>
                <w:szCs w:val="18"/>
              </w:rPr>
              <w:t xml:space="preserve"> Bmp2021257540047.</w:t>
            </w:r>
          </w:p>
        </w:tc>
        <w:tc>
          <w:tcPr>
            <w:tcW w:w="749" w:type="dxa"/>
          </w:tcPr>
          <w:p w14:paraId="22C71AD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1.887</w:t>
            </w:r>
          </w:p>
        </w:tc>
        <w:tc>
          <w:tcPr>
            <w:tcW w:w="669" w:type="dxa"/>
          </w:tcPr>
          <w:p w14:paraId="4B5D918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5086</w:t>
            </w:r>
          </w:p>
        </w:tc>
      </w:tr>
      <w:tr w:rsidR="000742BD" w:rsidRPr="000742BD" w14:paraId="5E6FE3C2" w14:textId="77777777" w:rsidTr="000742BD">
        <w:tc>
          <w:tcPr>
            <w:tcW w:w="880" w:type="dxa"/>
          </w:tcPr>
          <w:p w14:paraId="3001AE1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lastRenderedPageBreak/>
              <w:t>1537</w:t>
            </w:r>
          </w:p>
        </w:tc>
        <w:tc>
          <w:tcPr>
            <w:tcW w:w="1525" w:type="dxa"/>
          </w:tcPr>
          <w:p w14:paraId="4B809407"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obra publica</w:t>
            </w:r>
          </w:p>
        </w:tc>
        <w:tc>
          <w:tcPr>
            <w:tcW w:w="992" w:type="dxa"/>
          </w:tcPr>
          <w:p w14:paraId="1EBBAB0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publica</w:t>
            </w:r>
          </w:p>
        </w:tc>
        <w:tc>
          <w:tcPr>
            <w:tcW w:w="1276" w:type="dxa"/>
          </w:tcPr>
          <w:p w14:paraId="209E221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Consorcio redes 2020</w:t>
            </w:r>
          </w:p>
        </w:tc>
        <w:tc>
          <w:tcPr>
            <w:tcW w:w="2835" w:type="dxa"/>
          </w:tcPr>
          <w:p w14:paraId="6D8F66D5"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Adición 01 y prorroga 01 del contrato de obra pública no. 1537 del 28 de diciembre del 2020 cuyo objeto es. Construcción y renovación de redes de acueducto y alcantarillado sanitario y </w:t>
            </w:r>
            <w:r w:rsidR="00F75B1D" w:rsidRPr="000742BD">
              <w:rPr>
                <w:rFonts w:ascii="Arial Narrow" w:hAnsi="Arial Narrow" w:cs="Arial"/>
                <w:sz w:val="18"/>
                <w:szCs w:val="18"/>
              </w:rPr>
              <w:t>pluvial y</w:t>
            </w:r>
            <w:r w:rsidRPr="000742BD">
              <w:rPr>
                <w:rFonts w:ascii="Arial Narrow" w:hAnsi="Arial Narrow" w:cs="Arial"/>
                <w:sz w:val="18"/>
                <w:szCs w:val="18"/>
              </w:rPr>
              <w:t xml:space="preserve"> obras complementarias  en el municipio de Soacha</w:t>
            </w:r>
          </w:p>
        </w:tc>
        <w:tc>
          <w:tcPr>
            <w:tcW w:w="749" w:type="dxa"/>
          </w:tcPr>
          <w:p w14:paraId="3168F157"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2.661</w:t>
            </w:r>
          </w:p>
        </w:tc>
        <w:tc>
          <w:tcPr>
            <w:tcW w:w="669" w:type="dxa"/>
          </w:tcPr>
          <w:p w14:paraId="21FF691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6189</w:t>
            </w:r>
          </w:p>
        </w:tc>
      </w:tr>
      <w:tr w:rsidR="000742BD" w:rsidRPr="000742BD" w14:paraId="44DDA5C0" w14:textId="77777777" w:rsidTr="000742BD">
        <w:tc>
          <w:tcPr>
            <w:tcW w:w="880" w:type="dxa"/>
          </w:tcPr>
          <w:p w14:paraId="0581771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1369</w:t>
            </w:r>
          </w:p>
        </w:tc>
        <w:tc>
          <w:tcPr>
            <w:tcW w:w="1525" w:type="dxa"/>
          </w:tcPr>
          <w:p w14:paraId="52C2C9F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suministro</w:t>
            </w:r>
          </w:p>
        </w:tc>
        <w:tc>
          <w:tcPr>
            <w:tcW w:w="992" w:type="dxa"/>
          </w:tcPr>
          <w:p w14:paraId="15CA879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Seleccion abreviada</w:t>
            </w:r>
          </w:p>
        </w:tc>
        <w:tc>
          <w:tcPr>
            <w:tcW w:w="1276" w:type="dxa"/>
          </w:tcPr>
          <w:p w14:paraId="15C129B7"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Dobocol sas</w:t>
            </w:r>
          </w:p>
        </w:tc>
        <w:tc>
          <w:tcPr>
            <w:tcW w:w="2835" w:type="dxa"/>
          </w:tcPr>
          <w:p w14:paraId="2E6A143E"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1369/2021 - suministro para la implementación de acciones del plan de gestión integral de residuos sólidos (PGIRS) del municipio de Soacha, Cundinamarca bmp20212575400022  </w:t>
            </w:r>
          </w:p>
        </w:tc>
        <w:tc>
          <w:tcPr>
            <w:tcW w:w="749" w:type="dxa"/>
          </w:tcPr>
          <w:p w14:paraId="3697624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450</w:t>
            </w:r>
          </w:p>
        </w:tc>
        <w:tc>
          <w:tcPr>
            <w:tcW w:w="669" w:type="dxa"/>
          </w:tcPr>
          <w:p w14:paraId="68A2B3E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2337</w:t>
            </w:r>
          </w:p>
        </w:tc>
      </w:tr>
    </w:tbl>
    <w:p w14:paraId="062C8CFF" w14:textId="77777777" w:rsidR="000742BD" w:rsidRPr="000742BD" w:rsidRDefault="000742BD" w:rsidP="000742BD">
      <w:pPr>
        <w:jc w:val="both"/>
        <w:rPr>
          <w:rFonts w:ascii="Arial Narrow" w:hAnsi="Arial Narrow" w:cs="Arial"/>
          <w:b/>
          <w:bCs/>
          <w:sz w:val="22"/>
          <w:szCs w:val="22"/>
        </w:rPr>
      </w:pPr>
    </w:p>
    <w:p w14:paraId="7629C8BB" w14:textId="77777777" w:rsidR="000742BD" w:rsidRPr="000742BD" w:rsidRDefault="000742BD" w:rsidP="000742BD">
      <w:pPr>
        <w:jc w:val="both"/>
        <w:rPr>
          <w:rFonts w:ascii="Arial Narrow" w:hAnsi="Arial Narrow" w:cs="Arial"/>
          <w:sz w:val="22"/>
          <w:szCs w:val="22"/>
        </w:rPr>
      </w:pPr>
      <w:r w:rsidRPr="000742BD">
        <w:rPr>
          <w:rFonts w:ascii="Arial Narrow" w:hAnsi="Arial Narrow" w:cs="Arial"/>
          <w:sz w:val="22"/>
          <w:szCs w:val="22"/>
        </w:rPr>
        <w:t>Ahora bien, los siguientes procesos contractuales, quizás no estén definidos dentro de las destinaciones de los recursos del SGP APSB, de conformidad con el artículo 11 de la Ley 1176 de 2007 por lo tanto, se han de solicitar las aclaraciones y la documentación con la cual se confirme o no, un cambio en la destinación del recurso, en virtud del numeral 4 del artículo 9 del decreto 028 de 2008.</w:t>
      </w:r>
    </w:p>
    <w:p w14:paraId="3C06B3AE" w14:textId="77777777" w:rsidR="000742BD" w:rsidRPr="000742BD" w:rsidRDefault="000742BD" w:rsidP="000742BD">
      <w:pPr>
        <w:jc w:val="both"/>
        <w:rPr>
          <w:rFonts w:ascii="Arial Narrow" w:hAnsi="Arial Narrow" w:cs="Arial"/>
          <w:b/>
          <w:bCs/>
          <w:sz w:val="22"/>
          <w:szCs w:val="22"/>
        </w:rPr>
      </w:pPr>
    </w:p>
    <w:tbl>
      <w:tblPr>
        <w:tblStyle w:val="Tablaconcuadrcula"/>
        <w:tblW w:w="9067" w:type="dxa"/>
        <w:tblLayout w:type="fixed"/>
        <w:tblLook w:val="04A0" w:firstRow="1" w:lastRow="0" w:firstColumn="1" w:lastColumn="0" w:noHBand="0" w:noVBand="1"/>
      </w:tblPr>
      <w:tblGrid>
        <w:gridCol w:w="704"/>
        <w:gridCol w:w="1134"/>
        <w:gridCol w:w="1418"/>
        <w:gridCol w:w="1417"/>
        <w:gridCol w:w="2835"/>
        <w:gridCol w:w="992"/>
        <w:gridCol w:w="567"/>
      </w:tblGrid>
      <w:tr w:rsidR="000742BD" w:rsidRPr="000742BD" w14:paraId="6E40EA65" w14:textId="77777777" w:rsidTr="000742BD">
        <w:tc>
          <w:tcPr>
            <w:tcW w:w="704" w:type="dxa"/>
          </w:tcPr>
          <w:p w14:paraId="6827FCE4"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Contrato</w:t>
            </w:r>
          </w:p>
        </w:tc>
        <w:tc>
          <w:tcPr>
            <w:tcW w:w="1134" w:type="dxa"/>
          </w:tcPr>
          <w:p w14:paraId="611D9922"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Tipo contrato</w:t>
            </w:r>
          </w:p>
        </w:tc>
        <w:tc>
          <w:tcPr>
            <w:tcW w:w="1418" w:type="dxa"/>
          </w:tcPr>
          <w:p w14:paraId="4788932E"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Modalidad</w:t>
            </w:r>
          </w:p>
        </w:tc>
        <w:tc>
          <w:tcPr>
            <w:tcW w:w="1417" w:type="dxa"/>
          </w:tcPr>
          <w:p w14:paraId="5D831FC7"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Contratista</w:t>
            </w:r>
          </w:p>
        </w:tc>
        <w:tc>
          <w:tcPr>
            <w:tcW w:w="2835" w:type="dxa"/>
          </w:tcPr>
          <w:p w14:paraId="0A670DDB"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Objeto</w:t>
            </w:r>
          </w:p>
        </w:tc>
        <w:tc>
          <w:tcPr>
            <w:tcW w:w="992" w:type="dxa"/>
          </w:tcPr>
          <w:p w14:paraId="2E8B4800"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Valor (Millones de pesos)</w:t>
            </w:r>
          </w:p>
        </w:tc>
        <w:tc>
          <w:tcPr>
            <w:tcW w:w="567" w:type="dxa"/>
          </w:tcPr>
          <w:p w14:paraId="3055FFBE"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RP</w:t>
            </w:r>
          </w:p>
        </w:tc>
      </w:tr>
      <w:tr w:rsidR="000742BD" w:rsidRPr="000742BD" w14:paraId="3CBC4580" w14:textId="77777777" w:rsidTr="000742BD">
        <w:tc>
          <w:tcPr>
            <w:tcW w:w="704" w:type="dxa"/>
          </w:tcPr>
          <w:p w14:paraId="4B6D24B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1369</w:t>
            </w:r>
          </w:p>
        </w:tc>
        <w:tc>
          <w:tcPr>
            <w:tcW w:w="1134" w:type="dxa"/>
          </w:tcPr>
          <w:p w14:paraId="35277733"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suministro</w:t>
            </w:r>
          </w:p>
        </w:tc>
        <w:tc>
          <w:tcPr>
            <w:tcW w:w="1418" w:type="dxa"/>
          </w:tcPr>
          <w:p w14:paraId="4614A1C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Selección abreviada</w:t>
            </w:r>
          </w:p>
        </w:tc>
        <w:tc>
          <w:tcPr>
            <w:tcW w:w="1417" w:type="dxa"/>
          </w:tcPr>
          <w:p w14:paraId="208EA58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Dobocol SAS</w:t>
            </w:r>
          </w:p>
        </w:tc>
        <w:tc>
          <w:tcPr>
            <w:tcW w:w="2835" w:type="dxa"/>
          </w:tcPr>
          <w:p w14:paraId="1B72321F"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1369/2021 - suministro para la implementación de acciones del plan de gestión integral de residuos sólidos (PGIRS) del municipio de Soacha, Cundinamarca bmp20212575400022  </w:t>
            </w:r>
          </w:p>
        </w:tc>
        <w:tc>
          <w:tcPr>
            <w:tcW w:w="992" w:type="dxa"/>
          </w:tcPr>
          <w:p w14:paraId="06F99A9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450</w:t>
            </w:r>
          </w:p>
        </w:tc>
        <w:tc>
          <w:tcPr>
            <w:tcW w:w="567" w:type="dxa"/>
          </w:tcPr>
          <w:p w14:paraId="30AB7535"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2337</w:t>
            </w:r>
          </w:p>
        </w:tc>
      </w:tr>
      <w:tr w:rsidR="000742BD" w:rsidRPr="000742BD" w14:paraId="7F3BC87A" w14:textId="77777777" w:rsidTr="000742BD">
        <w:tc>
          <w:tcPr>
            <w:tcW w:w="704" w:type="dxa"/>
          </w:tcPr>
          <w:p w14:paraId="1DC311C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19</w:t>
            </w:r>
          </w:p>
        </w:tc>
        <w:tc>
          <w:tcPr>
            <w:tcW w:w="1134" w:type="dxa"/>
          </w:tcPr>
          <w:p w14:paraId="5F8D9D5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1418" w:type="dxa"/>
          </w:tcPr>
          <w:p w14:paraId="56D9E63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Contratación directa</w:t>
            </w:r>
          </w:p>
        </w:tc>
        <w:tc>
          <w:tcPr>
            <w:tcW w:w="1417" w:type="dxa"/>
          </w:tcPr>
          <w:p w14:paraId="00620DD3"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 xml:space="preserve">Empresa pública del munici, </w:t>
            </w:r>
            <w:r w:rsidRPr="000742BD">
              <w:rPr>
                <w:rFonts w:ascii="Arial Narrow" w:hAnsi="Arial Narrow" w:cs="Arial"/>
                <w:b/>
                <w:bCs/>
                <w:sz w:val="18"/>
                <w:szCs w:val="18"/>
              </w:rPr>
              <w:t>epuxua</w:t>
            </w:r>
            <w:r w:rsidRPr="000742BD">
              <w:rPr>
                <w:rFonts w:ascii="Arial Narrow" w:hAnsi="Arial Narrow" w:cs="Arial"/>
                <w:sz w:val="18"/>
                <w:szCs w:val="18"/>
              </w:rPr>
              <w:t xml:space="preserve"> avanza E.I.C.E  </w:t>
            </w:r>
          </w:p>
        </w:tc>
        <w:tc>
          <w:tcPr>
            <w:tcW w:w="2835" w:type="dxa"/>
          </w:tcPr>
          <w:p w14:paraId="4CB90775"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Fortalecimiento de la empresa pública   </w:t>
            </w:r>
            <w:r w:rsidRPr="000742BD">
              <w:rPr>
                <w:rFonts w:ascii="Arial Narrow" w:hAnsi="Arial Narrow" w:cs="Arial"/>
                <w:b/>
                <w:bCs/>
                <w:sz w:val="18"/>
                <w:szCs w:val="18"/>
              </w:rPr>
              <w:t>epuxua</w:t>
            </w:r>
            <w:r w:rsidRPr="000742BD">
              <w:rPr>
                <w:rFonts w:ascii="Arial Narrow" w:hAnsi="Arial Narrow" w:cs="Arial"/>
                <w:sz w:val="18"/>
                <w:szCs w:val="18"/>
              </w:rPr>
              <w:t xml:space="preserve"> avanza   del municipio de Soacha Cundinamarca. Bmp2021257540084.  </w:t>
            </w:r>
          </w:p>
        </w:tc>
        <w:tc>
          <w:tcPr>
            <w:tcW w:w="992" w:type="dxa"/>
          </w:tcPr>
          <w:p w14:paraId="715FE8F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22</w:t>
            </w:r>
          </w:p>
        </w:tc>
        <w:tc>
          <w:tcPr>
            <w:tcW w:w="567" w:type="dxa"/>
          </w:tcPr>
          <w:p w14:paraId="077A708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4713</w:t>
            </w:r>
          </w:p>
        </w:tc>
      </w:tr>
      <w:tr w:rsidR="000742BD" w:rsidRPr="000742BD" w14:paraId="20FC266F" w14:textId="77777777" w:rsidTr="000742BD">
        <w:tc>
          <w:tcPr>
            <w:tcW w:w="704" w:type="dxa"/>
          </w:tcPr>
          <w:p w14:paraId="3386DD9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3511</w:t>
            </w:r>
          </w:p>
        </w:tc>
        <w:tc>
          <w:tcPr>
            <w:tcW w:w="1134" w:type="dxa"/>
          </w:tcPr>
          <w:p w14:paraId="57EED73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obra publica</w:t>
            </w:r>
          </w:p>
        </w:tc>
        <w:tc>
          <w:tcPr>
            <w:tcW w:w="1418" w:type="dxa"/>
          </w:tcPr>
          <w:p w14:paraId="00C36D7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publica</w:t>
            </w:r>
          </w:p>
        </w:tc>
        <w:tc>
          <w:tcPr>
            <w:tcW w:w="1417" w:type="dxa"/>
          </w:tcPr>
          <w:p w14:paraId="644C2EB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BGDSA SAS</w:t>
            </w:r>
          </w:p>
        </w:tc>
        <w:tc>
          <w:tcPr>
            <w:tcW w:w="2835" w:type="dxa"/>
          </w:tcPr>
          <w:p w14:paraId="59A85E25"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3511/2021 - construcción de vías, redes de acueducto, alcantarillado pluvial y sanitario en </w:t>
            </w:r>
            <w:r w:rsidR="00F75B1D" w:rsidRPr="000742BD">
              <w:rPr>
                <w:rFonts w:ascii="Arial Narrow" w:hAnsi="Arial Narrow" w:cs="Arial"/>
                <w:sz w:val="18"/>
                <w:szCs w:val="18"/>
              </w:rPr>
              <w:t>la comuna</w:t>
            </w:r>
            <w:r w:rsidRPr="000742BD">
              <w:rPr>
                <w:rFonts w:ascii="Arial Narrow" w:hAnsi="Arial Narrow" w:cs="Arial"/>
                <w:sz w:val="18"/>
                <w:szCs w:val="18"/>
              </w:rPr>
              <w:t xml:space="preserve"> 4 y 5 del municipio de Soacha Cundinamarca.bmp2021257540046  </w:t>
            </w:r>
            <w:bookmarkStart w:id="9" w:name="_GoBack"/>
            <w:bookmarkEnd w:id="9"/>
          </w:p>
        </w:tc>
        <w:tc>
          <w:tcPr>
            <w:tcW w:w="992" w:type="dxa"/>
          </w:tcPr>
          <w:p w14:paraId="2B30A3E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3.555</w:t>
            </w:r>
          </w:p>
        </w:tc>
        <w:tc>
          <w:tcPr>
            <w:tcW w:w="567" w:type="dxa"/>
          </w:tcPr>
          <w:p w14:paraId="040DD04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6278</w:t>
            </w:r>
          </w:p>
        </w:tc>
      </w:tr>
      <w:tr w:rsidR="000742BD" w:rsidRPr="000742BD" w14:paraId="3A17DDCB" w14:textId="77777777" w:rsidTr="000742BD">
        <w:tc>
          <w:tcPr>
            <w:tcW w:w="704" w:type="dxa"/>
          </w:tcPr>
          <w:p w14:paraId="045B46B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3431</w:t>
            </w:r>
          </w:p>
        </w:tc>
        <w:tc>
          <w:tcPr>
            <w:tcW w:w="1134" w:type="dxa"/>
          </w:tcPr>
          <w:p w14:paraId="3CB4C4E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1418" w:type="dxa"/>
          </w:tcPr>
          <w:p w14:paraId="7DF1C2E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Contratación directa</w:t>
            </w:r>
          </w:p>
        </w:tc>
        <w:tc>
          <w:tcPr>
            <w:tcW w:w="1417" w:type="dxa"/>
          </w:tcPr>
          <w:p w14:paraId="3ECE151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Empresa pública del SOA EPUXUA avanza E.I.C.E</w:t>
            </w:r>
          </w:p>
        </w:tc>
        <w:tc>
          <w:tcPr>
            <w:tcW w:w="2835" w:type="dxa"/>
          </w:tcPr>
          <w:p w14:paraId="030C0E2B"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3431/2021 - contrato interadministrativo de mandato sin representación para la interventoría administrativa, técnica, jurídica, financiera y social y ambiental </w:t>
            </w:r>
            <w:r w:rsidR="00F75B1D" w:rsidRPr="000742BD">
              <w:rPr>
                <w:rFonts w:ascii="Arial Narrow" w:hAnsi="Arial Narrow" w:cs="Arial"/>
                <w:sz w:val="18"/>
                <w:szCs w:val="18"/>
              </w:rPr>
              <w:t>para 1</w:t>
            </w:r>
            <w:r w:rsidRPr="000742BD">
              <w:rPr>
                <w:rFonts w:ascii="Arial Narrow" w:hAnsi="Arial Narrow" w:cs="Arial"/>
                <w:sz w:val="18"/>
                <w:szCs w:val="18"/>
              </w:rPr>
              <w:t xml:space="preserve">. Conservación, mantenimiento y mejoramiento de la malla vial  </w:t>
            </w:r>
          </w:p>
        </w:tc>
        <w:tc>
          <w:tcPr>
            <w:tcW w:w="992" w:type="dxa"/>
          </w:tcPr>
          <w:p w14:paraId="00882FF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296</w:t>
            </w:r>
          </w:p>
        </w:tc>
        <w:tc>
          <w:tcPr>
            <w:tcW w:w="567" w:type="dxa"/>
          </w:tcPr>
          <w:p w14:paraId="03A3B30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5812</w:t>
            </w:r>
          </w:p>
        </w:tc>
      </w:tr>
      <w:tr w:rsidR="000742BD" w:rsidRPr="000742BD" w14:paraId="6FE58ECF" w14:textId="77777777" w:rsidTr="000742BD">
        <w:tc>
          <w:tcPr>
            <w:tcW w:w="704" w:type="dxa"/>
          </w:tcPr>
          <w:p w14:paraId="40A47BA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3537</w:t>
            </w:r>
          </w:p>
        </w:tc>
        <w:tc>
          <w:tcPr>
            <w:tcW w:w="1134" w:type="dxa"/>
          </w:tcPr>
          <w:p w14:paraId="0129CAC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prestación de servicios</w:t>
            </w:r>
          </w:p>
        </w:tc>
        <w:tc>
          <w:tcPr>
            <w:tcW w:w="1418" w:type="dxa"/>
          </w:tcPr>
          <w:p w14:paraId="3B561FB2"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publica</w:t>
            </w:r>
          </w:p>
        </w:tc>
        <w:tc>
          <w:tcPr>
            <w:tcW w:w="1417" w:type="dxa"/>
          </w:tcPr>
          <w:p w14:paraId="720AC7D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Econovo SAS</w:t>
            </w:r>
          </w:p>
        </w:tc>
        <w:tc>
          <w:tcPr>
            <w:tcW w:w="2835" w:type="dxa"/>
          </w:tcPr>
          <w:p w14:paraId="22A1F9D9"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3537/2021 - prestación del servicio para la implementación del plan de gestión de residuos sólidos (PGIRS) del municipio de Soacha, Cundinamarca. Bmp2021257540022.  </w:t>
            </w:r>
          </w:p>
        </w:tc>
        <w:tc>
          <w:tcPr>
            <w:tcW w:w="992" w:type="dxa"/>
          </w:tcPr>
          <w:p w14:paraId="3AFAB2D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750</w:t>
            </w:r>
          </w:p>
        </w:tc>
        <w:tc>
          <w:tcPr>
            <w:tcW w:w="567" w:type="dxa"/>
          </w:tcPr>
          <w:p w14:paraId="3EAC37C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6323</w:t>
            </w:r>
          </w:p>
        </w:tc>
      </w:tr>
    </w:tbl>
    <w:p w14:paraId="54A48526" w14:textId="77777777" w:rsidR="000742BD" w:rsidRPr="000742BD" w:rsidRDefault="000742BD" w:rsidP="000742BD">
      <w:pPr>
        <w:jc w:val="both"/>
        <w:rPr>
          <w:rFonts w:ascii="Arial Narrow" w:hAnsi="Arial Narrow" w:cs="Arial"/>
          <w:b/>
          <w:bCs/>
          <w:sz w:val="22"/>
          <w:szCs w:val="22"/>
        </w:rPr>
      </w:pPr>
    </w:p>
    <w:p w14:paraId="4694D6A6" w14:textId="77777777" w:rsidR="000742BD" w:rsidRPr="000742BD" w:rsidRDefault="000742BD" w:rsidP="000742BD">
      <w:pPr>
        <w:jc w:val="both"/>
        <w:rPr>
          <w:rFonts w:ascii="Arial Narrow" w:hAnsi="Arial Narrow" w:cs="Arial"/>
          <w:b/>
          <w:bCs/>
          <w:sz w:val="22"/>
          <w:szCs w:val="22"/>
        </w:rPr>
      </w:pPr>
    </w:p>
    <w:p w14:paraId="56FB81F5" w14:textId="77777777" w:rsidR="000742BD" w:rsidRPr="000742BD" w:rsidRDefault="000742BD" w:rsidP="000742BD">
      <w:pPr>
        <w:rPr>
          <w:rFonts w:ascii="Arial Narrow" w:hAnsi="Arial Narrow" w:cs="Arial"/>
          <w:b/>
          <w:sz w:val="22"/>
          <w:szCs w:val="22"/>
        </w:rPr>
      </w:pPr>
      <w:r w:rsidRPr="000742BD">
        <w:rPr>
          <w:rFonts w:ascii="Arial Narrow" w:hAnsi="Arial Narrow" w:cs="Arial"/>
          <w:b/>
          <w:sz w:val="22"/>
          <w:szCs w:val="22"/>
        </w:rPr>
        <w:t>DEUDA BONOS DE AGUA</w:t>
      </w:r>
    </w:p>
    <w:p w14:paraId="09B5842D" w14:textId="77777777" w:rsidR="000742BD" w:rsidRPr="000742BD" w:rsidRDefault="000742BD" w:rsidP="000742BD">
      <w:pPr>
        <w:rPr>
          <w:rFonts w:ascii="Arial Narrow" w:hAnsi="Arial Narrow" w:cs="Arial"/>
          <w:b/>
          <w:sz w:val="22"/>
          <w:szCs w:val="22"/>
        </w:rPr>
      </w:pPr>
    </w:p>
    <w:p w14:paraId="139C629B" w14:textId="77777777" w:rsidR="000742BD" w:rsidRPr="000742BD" w:rsidRDefault="000742BD" w:rsidP="000742BD">
      <w:pPr>
        <w:jc w:val="both"/>
        <w:rPr>
          <w:rFonts w:ascii="Arial Narrow" w:hAnsi="Arial Narrow" w:cs="Arial"/>
          <w:sz w:val="22"/>
          <w:szCs w:val="22"/>
          <w:lang w:val="es-ES_tradnl"/>
        </w:rPr>
      </w:pPr>
      <w:r w:rsidRPr="000742BD">
        <w:rPr>
          <w:rFonts w:ascii="Arial Narrow" w:hAnsi="Arial Narrow" w:cs="Arial"/>
          <w:sz w:val="22"/>
          <w:szCs w:val="22"/>
          <w:lang w:val="es-ES_tradnl"/>
        </w:rPr>
        <w:t xml:space="preserve">El Municipio de Soacha celebró un contrato de Fiducia Mercantil irrevocable con la </w:t>
      </w:r>
      <w:r w:rsidR="003C32D4">
        <w:rPr>
          <w:rFonts w:ascii="Arial Narrow" w:hAnsi="Arial Narrow" w:cs="Arial"/>
          <w:sz w:val="22"/>
          <w:szCs w:val="22"/>
          <w:lang w:val="es-ES_tradnl"/>
        </w:rPr>
        <w:t>sociedad</w:t>
      </w:r>
      <w:r w:rsidRPr="000742BD">
        <w:rPr>
          <w:rFonts w:ascii="Arial Narrow" w:hAnsi="Arial Narrow" w:cs="Arial"/>
          <w:sz w:val="22"/>
          <w:szCs w:val="22"/>
          <w:lang w:val="es-ES_tradnl"/>
        </w:rPr>
        <w:t xml:space="preserve">Grupo Financiero de Infraestructura el 3 de junio de 2009 por valor de $ 15.009 millones, pero mediante Otrosí del 30 de noviembre </w:t>
      </w:r>
      <w:r w:rsidRPr="000742BD">
        <w:rPr>
          <w:rFonts w:ascii="Arial Narrow" w:hAnsi="Arial Narrow" w:cs="Arial"/>
          <w:sz w:val="22"/>
          <w:szCs w:val="22"/>
          <w:lang w:val="es-ES_tradnl"/>
        </w:rPr>
        <w:lastRenderedPageBreak/>
        <w:t>de 2009, el valor del crédito ascendió a $ 18.802 millones. En dicho documento la Entidad Territorial manifestó el interés de destinar el 37% de sus ingresos futuros derivados de las transferencias del SGP-APSB, durante 19 años. El objeto del contrato es el otorgamiento de un préstamo por parte del patrimonio emisor y prestamista a la Entidad Territorial y el monto del servicio de la deuda incluye el pago de intereses, el pago del capital, el monto de constitución o restablecimiento de los mecanismos de respaldo, el costo de los montos no previsibles y cualquier suma en mora de pago por estos conceptos.</w:t>
      </w:r>
    </w:p>
    <w:p w14:paraId="717F86E2" w14:textId="77777777" w:rsidR="000742BD" w:rsidRPr="000742BD" w:rsidRDefault="000742BD" w:rsidP="000742BD">
      <w:pPr>
        <w:jc w:val="both"/>
        <w:rPr>
          <w:rFonts w:ascii="Arial Narrow" w:hAnsi="Arial Narrow" w:cs="Arial"/>
          <w:sz w:val="22"/>
          <w:szCs w:val="22"/>
          <w:lang w:val="es-ES_tradnl"/>
        </w:rPr>
      </w:pPr>
    </w:p>
    <w:p w14:paraId="44667D3E" w14:textId="77777777" w:rsidR="000742BD" w:rsidRPr="000742BD" w:rsidRDefault="000742BD" w:rsidP="000742BD">
      <w:pPr>
        <w:jc w:val="both"/>
        <w:rPr>
          <w:rFonts w:ascii="Arial Narrow" w:hAnsi="Arial Narrow" w:cs="Arial"/>
          <w:sz w:val="22"/>
          <w:szCs w:val="22"/>
          <w:lang w:val="es-ES_tradnl"/>
        </w:rPr>
      </w:pPr>
      <w:r w:rsidRPr="000742BD">
        <w:rPr>
          <w:rFonts w:ascii="Arial Narrow" w:hAnsi="Arial Narrow" w:cs="Arial"/>
          <w:sz w:val="22"/>
          <w:szCs w:val="22"/>
          <w:lang w:val="es-ES_tradnl"/>
        </w:rPr>
        <w:t>En la vigencia 2011 durante la auditoría realizada por la Dirección de Apoyo Fiscal del Ministerio de Hacienda y Crédito Público, el municipio informó que gran parte de los recursos del crédito no se habían ejecutado, debido a inestabilidad administrativa que hubo desde el último trimestre de 2010 hasta mediados del año 2011 cuando el municipio tuvo designados cuatro alcaldes y luego por la época pre-electoral y electoral en la que terminó ese año, situaciones que imposibilitaron llevar a cabo los proyectos relacionados con la Construcción de redes de acueducto, alcantarillado sanitario y pluvial y reparaciones de redes de alcantarillado sanitario y pluvial para diversos sectores del municipio de Soacha. A 2011, se había comprometido y ejecutado $763 millones, correspondientes al 4.06% de los recursos del crédito y que los recursos por comprometer ascendían a $ 18.039 millones</w:t>
      </w:r>
    </w:p>
    <w:p w14:paraId="2ADF9827" w14:textId="77777777" w:rsidR="000742BD" w:rsidRPr="000742BD" w:rsidRDefault="000742BD" w:rsidP="000742BD">
      <w:pPr>
        <w:jc w:val="both"/>
        <w:rPr>
          <w:rFonts w:ascii="Arial Narrow" w:hAnsi="Arial Narrow" w:cs="Arial"/>
          <w:sz w:val="22"/>
          <w:szCs w:val="22"/>
          <w:lang w:val="es-ES_tradnl"/>
        </w:rPr>
      </w:pPr>
    </w:p>
    <w:p w14:paraId="5EDCE7D5" w14:textId="77777777" w:rsidR="000742BD" w:rsidRPr="000742BD" w:rsidRDefault="000742BD" w:rsidP="000742BD">
      <w:pPr>
        <w:jc w:val="both"/>
        <w:rPr>
          <w:rFonts w:ascii="Arial Narrow" w:hAnsi="Arial Narrow" w:cs="Arial"/>
          <w:bCs/>
          <w:sz w:val="22"/>
          <w:szCs w:val="22"/>
          <w:lang w:eastAsia="en-US"/>
        </w:rPr>
      </w:pPr>
      <w:r w:rsidRPr="000742BD">
        <w:rPr>
          <w:rFonts w:ascii="Arial Narrow" w:hAnsi="Arial Narrow" w:cs="Arial"/>
          <w:bCs/>
          <w:sz w:val="22"/>
          <w:szCs w:val="22"/>
          <w:lang w:eastAsia="en-US"/>
        </w:rPr>
        <w:t>A abril de 2022 se desconoce el manejo dado a las condiciones primarias de este esquema de endeudamiento ni a la ejecución de obras con estos recursos. Se ha de requerir información al respecto.</w:t>
      </w:r>
    </w:p>
    <w:p w14:paraId="5BB6C426" w14:textId="77777777" w:rsidR="000742BD" w:rsidRPr="000742BD" w:rsidRDefault="000742BD" w:rsidP="000742BD">
      <w:pPr>
        <w:jc w:val="both"/>
        <w:rPr>
          <w:rFonts w:ascii="Arial Narrow" w:hAnsi="Arial Narrow" w:cs="Arial"/>
          <w:b/>
          <w:bCs/>
          <w:sz w:val="22"/>
          <w:szCs w:val="22"/>
        </w:rPr>
      </w:pPr>
    </w:p>
    <w:p w14:paraId="0D8FC39E" w14:textId="77777777" w:rsidR="000742BD" w:rsidRPr="000742BD" w:rsidRDefault="000742BD" w:rsidP="000742BD">
      <w:pPr>
        <w:ind w:left="720"/>
        <w:contextualSpacing/>
        <w:jc w:val="both"/>
        <w:rPr>
          <w:rFonts w:ascii="Arial Narrow" w:hAnsi="Arial Narrow" w:cs="Arial"/>
          <w:b/>
          <w:sz w:val="22"/>
          <w:szCs w:val="22"/>
          <w:lang w:val="es-CO" w:eastAsia="en-US"/>
        </w:rPr>
      </w:pPr>
      <w:bookmarkStart w:id="10" w:name="_Hlk97211317"/>
      <w:r w:rsidRPr="000742BD">
        <w:rPr>
          <w:rFonts w:ascii="Arial Narrow" w:hAnsi="Arial Narrow" w:cs="Arial"/>
          <w:b/>
          <w:sz w:val="22"/>
          <w:szCs w:val="22"/>
          <w:lang w:val="es-CO" w:eastAsia="en-US"/>
        </w:rPr>
        <w:t>CONCLUSIONES</w:t>
      </w:r>
    </w:p>
    <w:p w14:paraId="5F5047C2" w14:textId="77777777" w:rsidR="000742BD" w:rsidRPr="000742BD" w:rsidRDefault="000742BD" w:rsidP="000742BD">
      <w:pPr>
        <w:ind w:left="720"/>
        <w:contextualSpacing/>
        <w:jc w:val="both"/>
        <w:rPr>
          <w:rFonts w:ascii="Arial Narrow" w:hAnsi="Arial Narrow" w:cs="Arial"/>
          <w:b/>
          <w:sz w:val="22"/>
          <w:szCs w:val="22"/>
          <w:lang w:val="es-CO" w:eastAsia="en-US"/>
        </w:rPr>
      </w:pPr>
    </w:p>
    <w:p w14:paraId="25DDC2A2" w14:textId="77777777" w:rsidR="000742BD" w:rsidRPr="000742BD" w:rsidRDefault="000742BD" w:rsidP="000742BD">
      <w:pPr>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Se debe profundizar el presente documento prediagnóstico con reunión de reconocimiento y requerimiento de información a la entidad territorial y quizás una visita a terreno, en el cual se detallen aspectos como:</w:t>
      </w:r>
    </w:p>
    <w:p w14:paraId="47807C92" w14:textId="77777777" w:rsidR="000742BD" w:rsidRPr="000742BD" w:rsidRDefault="000742BD" w:rsidP="000742BD">
      <w:pPr>
        <w:jc w:val="both"/>
        <w:rPr>
          <w:rFonts w:ascii="Arial Narrow" w:hAnsi="Arial Narrow" w:cs="Arial"/>
          <w:bCs/>
          <w:sz w:val="22"/>
          <w:szCs w:val="22"/>
          <w:lang w:val="es-CO" w:eastAsia="en-US"/>
        </w:rPr>
      </w:pPr>
    </w:p>
    <w:p w14:paraId="2737BDF7" w14:textId="77777777" w:rsid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 xml:space="preserve">Prestación de los servicios de AAA. Como funciona el esquema y cuáles empresas prestan estos servicios. A nivel urbano y rural. </w:t>
      </w:r>
    </w:p>
    <w:p w14:paraId="207F66CD" w14:textId="77777777" w:rsidR="005C79EE" w:rsidRPr="005C79EE" w:rsidRDefault="005C79EE" w:rsidP="005C79EE">
      <w:pPr>
        <w:pStyle w:val="Prrafodelista"/>
        <w:numPr>
          <w:ilvl w:val="0"/>
          <w:numId w:val="25"/>
        </w:numPr>
        <w:jc w:val="both"/>
        <w:rPr>
          <w:rFonts w:ascii="Arial Narrow" w:hAnsi="Arial Narrow" w:cs="Arial"/>
          <w:sz w:val="22"/>
          <w:szCs w:val="22"/>
        </w:rPr>
      </w:pPr>
      <w:r w:rsidRPr="005C79EE">
        <w:rPr>
          <w:rFonts w:ascii="Arial Narrow" w:hAnsi="Arial Narrow" w:cs="Arial"/>
          <w:sz w:val="22"/>
          <w:szCs w:val="22"/>
        </w:rPr>
        <w:t>Teniendo en cuenta que durante las vigencias del presente estudio se generó un superávit sectorial, es necesario solicitar aclaración por parte de la Entidad Territorial, sobre el origen y las causas de la no ejecución del recurso. Tal situación podría identificarse como una mala planeación presupuestal sectorial, lo que concluya con la configuración del riesgo asociado al uso ineficiente del recurso sectorial, en el marco de una medida en virtud del 028.</w:t>
      </w:r>
    </w:p>
    <w:p w14:paraId="5297978B" w14:textId="77777777" w:rsidR="000742BD" w:rsidRPr="000742BD" w:rsidRDefault="00F75B1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¿Por qué la Entidad invierte tanto recurso en alcantarillado Transporte?</w:t>
      </w:r>
      <w:r w:rsidR="000742BD" w:rsidRPr="000742BD">
        <w:rPr>
          <w:rFonts w:ascii="Arial Narrow" w:hAnsi="Arial Narrow" w:cs="Arial"/>
          <w:bCs/>
          <w:sz w:val="22"/>
          <w:szCs w:val="22"/>
          <w:lang w:val="es-CO" w:eastAsia="en-US"/>
        </w:rPr>
        <w:t xml:space="preserve"> </w:t>
      </w:r>
      <w:r w:rsidRPr="000742BD">
        <w:rPr>
          <w:rFonts w:ascii="Arial Narrow" w:hAnsi="Arial Narrow" w:cs="Arial"/>
          <w:bCs/>
          <w:sz w:val="22"/>
          <w:szCs w:val="22"/>
          <w:lang w:val="es-CO" w:eastAsia="en-US"/>
        </w:rPr>
        <w:t>¿Qué concepto es este?</w:t>
      </w:r>
    </w:p>
    <w:p w14:paraId="1C9D9DDE"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Ejecuciones presupuestales de las vigencias 2021 a 2022</w:t>
      </w:r>
    </w:p>
    <w:p w14:paraId="65BE167A"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Relación contractual de las vigencias 2021 y 2022 efectuada con los recursos del SGP APSB</w:t>
      </w:r>
    </w:p>
    <w:p w14:paraId="48713570"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Estado de la deuda de bonos de agua y obras ejecutadas con estos recursos.</w:t>
      </w:r>
    </w:p>
    <w:p w14:paraId="3A1BF1D7"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Participación de la entidad en el PDA, obras y recursos ejecutados.</w:t>
      </w:r>
    </w:p>
    <w:p w14:paraId="5D198B03"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Manejo del FSRI</w:t>
      </w:r>
    </w:p>
    <w:p w14:paraId="37F6DDFD"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Cuentas maestras. Detalle y manejo de estas.</w:t>
      </w:r>
    </w:p>
    <w:p w14:paraId="14AEFBF8"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 xml:space="preserve">En el análisis de los procesos contractuales, se requiere el Decreto 166 de 2020 </w:t>
      </w:r>
      <w:r w:rsidR="00F75B1D" w:rsidRPr="000742BD">
        <w:rPr>
          <w:rFonts w:ascii="Arial Narrow" w:hAnsi="Arial Narrow" w:cs="Arial"/>
          <w:bCs/>
          <w:sz w:val="22"/>
          <w:szCs w:val="22"/>
          <w:lang w:val="es-CO" w:eastAsia="en-US"/>
        </w:rPr>
        <w:t>- adición</w:t>
      </w:r>
      <w:r w:rsidRPr="000742BD">
        <w:rPr>
          <w:rFonts w:ascii="Arial Narrow" w:hAnsi="Arial Narrow" w:cs="Arial"/>
          <w:bCs/>
          <w:sz w:val="22"/>
          <w:szCs w:val="22"/>
          <w:lang w:val="es-CO" w:eastAsia="en-US"/>
        </w:rPr>
        <w:t xml:space="preserve"> no.1 y prorroga no.3 al contrato de obra no. 1327 de 2018.</w:t>
      </w:r>
    </w:p>
    <w:p w14:paraId="18051065" w14:textId="77777777" w:rsidR="000742BD" w:rsidRPr="000742BD" w:rsidRDefault="00F75B1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¿El Decreto 170 de 2020 es para la transferencia de los recursos a un acueducto?</w:t>
      </w:r>
      <w:r w:rsidR="000742BD" w:rsidRPr="000742BD">
        <w:rPr>
          <w:rFonts w:ascii="Arial Narrow" w:hAnsi="Arial Narrow" w:cs="Arial"/>
          <w:bCs/>
          <w:sz w:val="22"/>
          <w:szCs w:val="22"/>
          <w:lang w:val="es-CO" w:eastAsia="en-US"/>
        </w:rPr>
        <w:t xml:space="preserve"> </w:t>
      </w:r>
      <w:r w:rsidRPr="000742BD">
        <w:rPr>
          <w:rFonts w:ascii="Arial Narrow" w:hAnsi="Arial Narrow" w:cs="Arial"/>
          <w:bCs/>
          <w:sz w:val="22"/>
          <w:szCs w:val="22"/>
          <w:lang w:val="es-CO" w:eastAsia="en-US"/>
        </w:rPr>
        <w:t>¿O para qué es?</w:t>
      </w:r>
    </w:p>
    <w:p w14:paraId="1552A81E"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Solicitar el contrato o proceso de obra pública 1537, financiado con RP 3646</w:t>
      </w:r>
      <w:r w:rsidRPr="000742BD">
        <w:rPr>
          <w:rFonts w:ascii="Arial Narrow" w:hAnsi="Arial Narrow" w:cs="Arial"/>
          <w:bCs/>
          <w:sz w:val="22"/>
          <w:szCs w:val="22"/>
          <w:lang w:val="es-CO" w:eastAsia="en-US"/>
        </w:rPr>
        <w:tab/>
        <w:t>de fecha 29-12-2020 cuyo objeto es construcción y renovación de redes de acueducto, alcantarillado sanitario y pluvial y obras complementarias en el municipio de Soacha Cundinamarca, por valor de 5.358.202.142, y contratista es consorcio redes 2020, informes de interventoría.</w:t>
      </w:r>
    </w:p>
    <w:p w14:paraId="1F084DEF"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lastRenderedPageBreak/>
        <w:t xml:space="preserve">Contrato o proceso 166 (06-05-2020), contratista consorcio vías etapa 1, objeto decreto 166 de 2020 - adecuación, rehabilitación y mejoramiento de vías del casco urbano del municipio de Soacha Cundinamarca etapa 1 - 2019. Tipo de contrato de obra pública, modalidad licitación </w:t>
      </w:r>
      <w:r w:rsidR="00F75B1D" w:rsidRPr="000742BD">
        <w:rPr>
          <w:rFonts w:ascii="Arial Narrow" w:hAnsi="Arial Narrow" w:cs="Arial"/>
          <w:bCs/>
          <w:sz w:val="22"/>
          <w:szCs w:val="22"/>
          <w:lang w:val="es-CO" w:eastAsia="en-US"/>
        </w:rPr>
        <w:t>pública</w:t>
      </w:r>
      <w:r w:rsidRPr="000742BD">
        <w:rPr>
          <w:rFonts w:ascii="Arial Narrow" w:hAnsi="Arial Narrow" w:cs="Arial"/>
          <w:bCs/>
          <w:sz w:val="22"/>
          <w:szCs w:val="22"/>
          <w:lang w:val="es-CO" w:eastAsia="en-US"/>
        </w:rPr>
        <w:t>, por valor de $2.132. Es un posible 9.4</w:t>
      </w:r>
    </w:p>
    <w:p w14:paraId="1CA284CC" w14:textId="77777777" w:rsidR="000742BD" w:rsidRPr="000742BD" w:rsidRDefault="000742BD" w:rsidP="000742BD">
      <w:pPr>
        <w:numPr>
          <w:ilvl w:val="0"/>
          <w:numId w:val="25"/>
        </w:numPr>
        <w:contextualSpacing/>
        <w:jc w:val="both"/>
        <w:rPr>
          <w:rFonts w:ascii="Arial Narrow" w:hAnsi="Arial Narrow" w:cs="Arial"/>
          <w:bCs/>
          <w:sz w:val="22"/>
          <w:szCs w:val="22"/>
          <w:lang w:val="es-CO" w:eastAsia="en-US"/>
        </w:rPr>
      </w:pPr>
      <w:r w:rsidRPr="000742BD">
        <w:rPr>
          <w:rFonts w:ascii="Arial Narrow" w:hAnsi="Arial Narrow" w:cs="Arial"/>
          <w:bCs/>
          <w:sz w:val="22"/>
          <w:szCs w:val="22"/>
          <w:lang w:val="es-CO" w:eastAsia="en-US"/>
        </w:rPr>
        <w:t xml:space="preserve">Explicación de la prestación del servicio de aseo. Teniendo en cuenta los bajos indicadores de coberturas, los recursos para los subsidios de </w:t>
      </w:r>
      <w:r w:rsidR="00F75B1D" w:rsidRPr="000742BD">
        <w:rPr>
          <w:rFonts w:ascii="Arial Narrow" w:hAnsi="Arial Narrow" w:cs="Arial"/>
          <w:bCs/>
          <w:sz w:val="22"/>
          <w:szCs w:val="22"/>
          <w:lang w:val="es-CO" w:eastAsia="en-US"/>
        </w:rPr>
        <w:t>aseo</w:t>
      </w:r>
      <w:r w:rsidRPr="000742BD">
        <w:rPr>
          <w:rFonts w:ascii="Arial Narrow" w:hAnsi="Arial Narrow" w:cs="Arial"/>
          <w:bCs/>
          <w:sz w:val="22"/>
          <w:szCs w:val="22"/>
          <w:lang w:val="es-CO" w:eastAsia="en-US"/>
        </w:rPr>
        <w:t xml:space="preserve"> alcanzan las cifras más altas, las cuales son cobradas por un solo Operador. </w:t>
      </w:r>
      <w:r w:rsidR="00F75B1D" w:rsidRPr="000742BD">
        <w:rPr>
          <w:rFonts w:ascii="Arial Narrow" w:hAnsi="Arial Narrow" w:cs="Arial"/>
          <w:bCs/>
          <w:sz w:val="22"/>
          <w:szCs w:val="22"/>
          <w:lang w:val="es-CO" w:eastAsia="en-US"/>
        </w:rPr>
        <w:t xml:space="preserve">¿Qué pasa </w:t>
      </w:r>
      <w:r w:rsidR="00F75B1D">
        <w:rPr>
          <w:rFonts w:ascii="Arial Narrow" w:hAnsi="Arial Narrow" w:cs="Arial"/>
          <w:bCs/>
          <w:sz w:val="22"/>
          <w:szCs w:val="22"/>
          <w:lang w:val="es-CO" w:eastAsia="en-US"/>
        </w:rPr>
        <w:t>y cómo hacen parte del esquema del servicio de aseo</w:t>
      </w:r>
      <w:r w:rsidR="00F75B1D" w:rsidRPr="000742BD">
        <w:rPr>
          <w:rFonts w:ascii="Arial Narrow" w:hAnsi="Arial Narrow" w:cs="Arial"/>
          <w:bCs/>
          <w:sz w:val="22"/>
          <w:szCs w:val="22"/>
          <w:lang w:val="es-CO" w:eastAsia="en-US"/>
        </w:rPr>
        <w:t xml:space="preserve"> las Organizaciones de reciclaje?</w:t>
      </w:r>
    </w:p>
    <w:p w14:paraId="21CD37B7" w14:textId="77777777" w:rsidR="000742BD" w:rsidRPr="000742BD" w:rsidRDefault="000742BD" w:rsidP="000742BD">
      <w:pPr>
        <w:ind w:left="360"/>
        <w:jc w:val="both"/>
        <w:rPr>
          <w:rFonts w:ascii="Arial Narrow" w:hAnsi="Arial Narrow" w:cs="Arial"/>
          <w:sz w:val="22"/>
          <w:szCs w:val="22"/>
        </w:rPr>
      </w:pPr>
    </w:p>
    <w:p w14:paraId="58DF2465" w14:textId="77777777" w:rsidR="000742BD" w:rsidRPr="000742BD" w:rsidRDefault="000742BD" w:rsidP="000742BD">
      <w:pPr>
        <w:ind w:left="360"/>
        <w:jc w:val="both"/>
        <w:rPr>
          <w:rFonts w:ascii="Arial Narrow" w:hAnsi="Arial Narrow" w:cs="Arial"/>
          <w:sz w:val="22"/>
          <w:szCs w:val="22"/>
        </w:rPr>
      </w:pPr>
      <w:r w:rsidRPr="000742BD">
        <w:rPr>
          <w:rFonts w:ascii="Arial Narrow" w:hAnsi="Arial Narrow" w:cs="Arial"/>
          <w:sz w:val="22"/>
          <w:szCs w:val="22"/>
        </w:rPr>
        <w:t>Adicional a lo anterior, los siguientes procesos contractuales, quizás no estén definidos dentro de las destinaciones de los recursos del SGP APSB, de conformidad con el artículo 11 de la Ley 1176 de 2007 por lo tanto, se han de solicitar las aclaraciones y la documentación con la cual se confirme o no, un cambio en la destinación del recurso, en virtud del numeral 4 del artículo 9 del decreto 028 de 2008.</w:t>
      </w:r>
    </w:p>
    <w:p w14:paraId="03842A62" w14:textId="77777777" w:rsidR="000742BD" w:rsidRPr="000742BD" w:rsidRDefault="000742BD" w:rsidP="000742BD">
      <w:pPr>
        <w:jc w:val="both"/>
        <w:rPr>
          <w:rFonts w:ascii="Arial Narrow" w:hAnsi="Arial Narrow" w:cs="Arial"/>
          <w:b/>
          <w:bCs/>
          <w:sz w:val="22"/>
          <w:szCs w:val="22"/>
        </w:rPr>
      </w:pPr>
    </w:p>
    <w:tbl>
      <w:tblPr>
        <w:tblStyle w:val="Tablaconcuadrcula"/>
        <w:tblW w:w="9067" w:type="dxa"/>
        <w:tblLayout w:type="fixed"/>
        <w:tblLook w:val="04A0" w:firstRow="1" w:lastRow="0" w:firstColumn="1" w:lastColumn="0" w:noHBand="0" w:noVBand="1"/>
      </w:tblPr>
      <w:tblGrid>
        <w:gridCol w:w="704"/>
        <w:gridCol w:w="1134"/>
        <w:gridCol w:w="1418"/>
        <w:gridCol w:w="1417"/>
        <w:gridCol w:w="2835"/>
        <w:gridCol w:w="992"/>
        <w:gridCol w:w="567"/>
      </w:tblGrid>
      <w:tr w:rsidR="000742BD" w:rsidRPr="000742BD" w14:paraId="172CE0CC" w14:textId="77777777" w:rsidTr="000742BD">
        <w:tc>
          <w:tcPr>
            <w:tcW w:w="704" w:type="dxa"/>
          </w:tcPr>
          <w:p w14:paraId="005AB677"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Contrato</w:t>
            </w:r>
          </w:p>
        </w:tc>
        <w:tc>
          <w:tcPr>
            <w:tcW w:w="1134" w:type="dxa"/>
          </w:tcPr>
          <w:p w14:paraId="3316A3EF"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Tipo contrato</w:t>
            </w:r>
          </w:p>
        </w:tc>
        <w:tc>
          <w:tcPr>
            <w:tcW w:w="1418" w:type="dxa"/>
          </w:tcPr>
          <w:p w14:paraId="069BE437"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Modalidad</w:t>
            </w:r>
          </w:p>
        </w:tc>
        <w:tc>
          <w:tcPr>
            <w:tcW w:w="1417" w:type="dxa"/>
          </w:tcPr>
          <w:p w14:paraId="258ED26C"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Contratista</w:t>
            </w:r>
          </w:p>
        </w:tc>
        <w:tc>
          <w:tcPr>
            <w:tcW w:w="2835" w:type="dxa"/>
          </w:tcPr>
          <w:p w14:paraId="732B34CD"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Objeto</w:t>
            </w:r>
          </w:p>
        </w:tc>
        <w:tc>
          <w:tcPr>
            <w:tcW w:w="992" w:type="dxa"/>
          </w:tcPr>
          <w:p w14:paraId="5B9585D2"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Valor (Millones de pesos)</w:t>
            </w:r>
          </w:p>
        </w:tc>
        <w:tc>
          <w:tcPr>
            <w:tcW w:w="567" w:type="dxa"/>
          </w:tcPr>
          <w:p w14:paraId="123BB21E" w14:textId="77777777" w:rsidR="000742BD" w:rsidRPr="000742BD" w:rsidRDefault="000742BD" w:rsidP="000742BD">
            <w:pPr>
              <w:tabs>
                <w:tab w:val="center" w:pos="4419"/>
                <w:tab w:val="right" w:pos="8838"/>
              </w:tabs>
              <w:spacing w:line="276" w:lineRule="auto"/>
              <w:jc w:val="center"/>
              <w:rPr>
                <w:rFonts w:ascii="Arial Narrow" w:hAnsi="Arial Narrow" w:cs="Arial"/>
                <w:b/>
                <w:bCs/>
                <w:sz w:val="18"/>
                <w:szCs w:val="18"/>
              </w:rPr>
            </w:pPr>
            <w:r w:rsidRPr="000742BD">
              <w:rPr>
                <w:rFonts w:ascii="Arial Narrow" w:hAnsi="Arial Narrow" w:cs="Arial"/>
                <w:b/>
                <w:bCs/>
                <w:sz w:val="18"/>
                <w:szCs w:val="18"/>
              </w:rPr>
              <w:t>RP</w:t>
            </w:r>
          </w:p>
        </w:tc>
      </w:tr>
      <w:tr w:rsidR="000742BD" w:rsidRPr="000742BD" w14:paraId="35FB52DF" w14:textId="77777777" w:rsidTr="000742BD">
        <w:tc>
          <w:tcPr>
            <w:tcW w:w="704" w:type="dxa"/>
          </w:tcPr>
          <w:p w14:paraId="2FB8B8E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1369</w:t>
            </w:r>
          </w:p>
        </w:tc>
        <w:tc>
          <w:tcPr>
            <w:tcW w:w="1134" w:type="dxa"/>
          </w:tcPr>
          <w:p w14:paraId="5C9ADBC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suministro</w:t>
            </w:r>
          </w:p>
        </w:tc>
        <w:tc>
          <w:tcPr>
            <w:tcW w:w="1418" w:type="dxa"/>
          </w:tcPr>
          <w:p w14:paraId="3BEF057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Selección abreviada</w:t>
            </w:r>
          </w:p>
        </w:tc>
        <w:tc>
          <w:tcPr>
            <w:tcW w:w="1417" w:type="dxa"/>
          </w:tcPr>
          <w:p w14:paraId="5BB07BD8"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Dobocol SAS</w:t>
            </w:r>
          </w:p>
        </w:tc>
        <w:tc>
          <w:tcPr>
            <w:tcW w:w="2835" w:type="dxa"/>
          </w:tcPr>
          <w:p w14:paraId="1C8BE55D"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1369/2021 - suministro para la implementación de acciones del plan de gestión integral de residuos sólidos (PGIRS) del municipio de Soacha, Cundinamarca bmp20212575400022  </w:t>
            </w:r>
          </w:p>
        </w:tc>
        <w:tc>
          <w:tcPr>
            <w:tcW w:w="992" w:type="dxa"/>
          </w:tcPr>
          <w:p w14:paraId="3DEAD6B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450</w:t>
            </w:r>
          </w:p>
        </w:tc>
        <w:tc>
          <w:tcPr>
            <w:tcW w:w="567" w:type="dxa"/>
          </w:tcPr>
          <w:p w14:paraId="753CBBB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2337</w:t>
            </w:r>
          </w:p>
        </w:tc>
      </w:tr>
      <w:tr w:rsidR="000742BD" w:rsidRPr="000742BD" w14:paraId="40997D9B" w14:textId="77777777" w:rsidTr="000742BD">
        <w:tc>
          <w:tcPr>
            <w:tcW w:w="704" w:type="dxa"/>
          </w:tcPr>
          <w:p w14:paraId="05A70FC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19</w:t>
            </w:r>
          </w:p>
        </w:tc>
        <w:tc>
          <w:tcPr>
            <w:tcW w:w="1134" w:type="dxa"/>
          </w:tcPr>
          <w:p w14:paraId="7514115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1418" w:type="dxa"/>
          </w:tcPr>
          <w:p w14:paraId="1DE91EBA"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Contratación directa</w:t>
            </w:r>
          </w:p>
        </w:tc>
        <w:tc>
          <w:tcPr>
            <w:tcW w:w="1417" w:type="dxa"/>
          </w:tcPr>
          <w:p w14:paraId="134C985E"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 xml:space="preserve">Empresa pública del munici, </w:t>
            </w:r>
            <w:r w:rsidRPr="000742BD">
              <w:rPr>
                <w:rFonts w:ascii="Arial Narrow" w:hAnsi="Arial Narrow" w:cs="Arial"/>
                <w:b/>
                <w:bCs/>
                <w:sz w:val="18"/>
                <w:szCs w:val="18"/>
              </w:rPr>
              <w:t>epuxua</w:t>
            </w:r>
            <w:r w:rsidRPr="000742BD">
              <w:rPr>
                <w:rFonts w:ascii="Arial Narrow" w:hAnsi="Arial Narrow" w:cs="Arial"/>
                <w:sz w:val="18"/>
                <w:szCs w:val="18"/>
              </w:rPr>
              <w:t xml:space="preserve"> avanza E.I.C.E  </w:t>
            </w:r>
          </w:p>
        </w:tc>
        <w:tc>
          <w:tcPr>
            <w:tcW w:w="2835" w:type="dxa"/>
          </w:tcPr>
          <w:p w14:paraId="7C7E1CF8"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Fortalecimiento de la empresa pública   </w:t>
            </w:r>
            <w:r w:rsidRPr="000742BD">
              <w:rPr>
                <w:rFonts w:ascii="Arial Narrow" w:hAnsi="Arial Narrow" w:cs="Arial"/>
                <w:b/>
                <w:bCs/>
                <w:sz w:val="18"/>
                <w:szCs w:val="18"/>
              </w:rPr>
              <w:t>epuxua</w:t>
            </w:r>
            <w:r w:rsidRPr="000742BD">
              <w:rPr>
                <w:rFonts w:ascii="Arial Narrow" w:hAnsi="Arial Narrow" w:cs="Arial"/>
                <w:sz w:val="18"/>
                <w:szCs w:val="18"/>
              </w:rPr>
              <w:t xml:space="preserve"> avanza   del municipio de Soacha Cundinamarca. Bmp2021257540084.  </w:t>
            </w:r>
          </w:p>
        </w:tc>
        <w:tc>
          <w:tcPr>
            <w:tcW w:w="992" w:type="dxa"/>
          </w:tcPr>
          <w:p w14:paraId="0D2A5999"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22</w:t>
            </w:r>
          </w:p>
        </w:tc>
        <w:tc>
          <w:tcPr>
            <w:tcW w:w="567" w:type="dxa"/>
          </w:tcPr>
          <w:p w14:paraId="2CBBEDA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4713</w:t>
            </w:r>
          </w:p>
        </w:tc>
      </w:tr>
      <w:tr w:rsidR="000742BD" w:rsidRPr="000742BD" w14:paraId="64B9ECC1" w14:textId="77777777" w:rsidTr="000742BD">
        <w:tc>
          <w:tcPr>
            <w:tcW w:w="704" w:type="dxa"/>
          </w:tcPr>
          <w:p w14:paraId="5B747DE5"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3511</w:t>
            </w:r>
          </w:p>
        </w:tc>
        <w:tc>
          <w:tcPr>
            <w:tcW w:w="1134" w:type="dxa"/>
          </w:tcPr>
          <w:p w14:paraId="1F0EAB3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obra publica</w:t>
            </w:r>
          </w:p>
        </w:tc>
        <w:tc>
          <w:tcPr>
            <w:tcW w:w="1418" w:type="dxa"/>
          </w:tcPr>
          <w:p w14:paraId="10CA009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publica</w:t>
            </w:r>
          </w:p>
        </w:tc>
        <w:tc>
          <w:tcPr>
            <w:tcW w:w="1417" w:type="dxa"/>
          </w:tcPr>
          <w:p w14:paraId="30867F5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BGDSA SAS</w:t>
            </w:r>
          </w:p>
        </w:tc>
        <w:tc>
          <w:tcPr>
            <w:tcW w:w="2835" w:type="dxa"/>
          </w:tcPr>
          <w:p w14:paraId="32D12E6A"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3511/2021 - construcción de vías, redes de acueducto, alcantarillado pluvial y sanitario en la comuna 4 y 5 del municipio de Soacha Cundinamarca.bmp2021257540046  </w:t>
            </w:r>
          </w:p>
        </w:tc>
        <w:tc>
          <w:tcPr>
            <w:tcW w:w="992" w:type="dxa"/>
          </w:tcPr>
          <w:p w14:paraId="1DEE564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3.555</w:t>
            </w:r>
          </w:p>
        </w:tc>
        <w:tc>
          <w:tcPr>
            <w:tcW w:w="567" w:type="dxa"/>
          </w:tcPr>
          <w:p w14:paraId="5B6FA280"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6278</w:t>
            </w:r>
          </w:p>
        </w:tc>
      </w:tr>
      <w:tr w:rsidR="000742BD" w:rsidRPr="000742BD" w14:paraId="1833EB72" w14:textId="77777777" w:rsidTr="000742BD">
        <w:tc>
          <w:tcPr>
            <w:tcW w:w="704" w:type="dxa"/>
          </w:tcPr>
          <w:p w14:paraId="4BBC834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3431</w:t>
            </w:r>
          </w:p>
        </w:tc>
        <w:tc>
          <w:tcPr>
            <w:tcW w:w="1134" w:type="dxa"/>
          </w:tcPr>
          <w:p w14:paraId="1A05FCFD"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p>
        </w:tc>
        <w:tc>
          <w:tcPr>
            <w:tcW w:w="1418" w:type="dxa"/>
          </w:tcPr>
          <w:p w14:paraId="72C72B7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Contratación directa</w:t>
            </w:r>
          </w:p>
        </w:tc>
        <w:tc>
          <w:tcPr>
            <w:tcW w:w="1417" w:type="dxa"/>
          </w:tcPr>
          <w:p w14:paraId="5DDC090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Empresa pública del SOA EPUXUA avanza E.I.C.E</w:t>
            </w:r>
          </w:p>
        </w:tc>
        <w:tc>
          <w:tcPr>
            <w:tcW w:w="2835" w:type="dxa"/>
          </w:tcPr>
          <w:p w14:paraId="5D52B7B1"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3431/2021 - contrato interadministrativo de mandato sin representación para la interventoría administrativa, técnica, jurídica, financiera y social y ambiental para 1. Conservación, mantenimiento y mejoramiento de la malla vial  </w:t>
            </w:r>
          </w:p>
        </w:tc>
        <w:tc>
          <w:tcPr>
            <w:tcW w:w="992" w:type="dxa"/>
          </w:tcPr>
          <w:p w14:paraId="495DE7F4"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296</w:t>
            </w:r>
          </w:p>
        </w:tc>
        <w:tc>
          <w:tcPr>
            <w:tcW w:w="567" w:type="dxa"/>
          </w:tcPr>
          <w:p w14:paraId="32984FA3"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5812</w:t>
            </w:r>
          </w:p>
        </w:tc>
      </w:tr>
      <w:tr w:rsidR="000742BD" w:rsidRPr="000742BD" w14:paraId="13D1CCA8" w14:textId="77777777" w:rsidTr="000742BD">
        <w:tc>
          <w:tcPr>
            <w:tcW w:w="704" w:type="dxa"/>
          </w:tcPr>
          <w:p w14:paraId="1ADC35FB"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3537</w:t>
            </w:r>
          </w:p>
        </w:tc>
        <w:tc>
          <w:tcPr>
            <w:tcW w:w="1134" w:type="dxa"/>
          </w:tcPr>
          <w:p w14:paraId="0D0F8F31"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De prestación de servicios</w:t>
            </w:r>
          </w:p>
        </w:tc>
        <w:tc>
          <w:tcPr>
            <w:tcW w:w="1418" w:type="dxa"/>
          </w:tcPr>
          <w:p w14:paraId="28F4F656"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Licitación publica</w:t>
            </w:r>
          </w:p>
        </w:tc>
        <w:tc>
          <w:tcPr>
            <w:tcW w:w="1417" w:type="dxa"/>
          </w:tcPr>
          <w:p w14:paraId="589B092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Econovo SAS</w:t>
            </w:r>
          </w:p>
        </w:tc>
        <w:tc>
          <w:tcPr>
            <w:tcW w:w="2835" w:type="dxa"/>
          </w:tcPr>
          <w:p w14:paraId="4EBBC536" w14:textId="77777777" w:rsidR="000742BD" w:rsidRPr="000742BD" w:rsidRDefault="000742BD" w:rsidP="000742BD">
            <w:pPr>
              <w:tabs>
                <w:tab w:val="center" w:pos="4419"/>
                <w:tab w:val="right" w:pos="8838"/>
              </w:tabs>
              <w:jc w:val="both"/>
              <w:rPr>
                <w:rFonts w:ascii="Arial Narrow" w:hAnsi="Arial Narrow" w:cs="Arial"/>
                <w:sz w:val="18"/>
                <w:szCs w:val="18"/>
              </w:rPr>
            </w:pPr>
            <w:r w:rsidRPr="000742BD">
              <w:rPr>
                <w:rFonts w:ascii="Arial Narrow" w:hAnsi="Arial Narrow" w:cs="Arial"/>
                <w:sz w:val="18"/>
                <w:szCs w:val="18"/>
              </w:rPr>
              <w:t xml:space="preserve">Contrato n° 3537/2021 - prestación del servicio para la implementación del plan de gestión de residuos sólidos (PGIRS) del municipio de Soacha, Cundinamarca. Bmp2021257540022.  </w:t>
            </w:r>
          </w:p>
        </w:tc>
        <w:tc>
          <w:tcPr>
            <w:tcW w:w="992" w:type="dxa"/>
          </w:tcPr>
          <w:p w14:paraId="1489757F"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750</w:t>
            </w:r>
          </w:p>
        </w:tc>
        <w:tc>
          <w:tcPr>
            <w:tcW w:w="567" w:type="dxa"/>
          </w:tcPr>
          <w:p w14:paraId="786D4A8C" w14:textId="77777777" w:rsidR="000742BD" w:rsidRPr="000742BD" w:rsidRDefault="000742BD" w:rsidP="000742BD">
            <w:pPr>
              <w:tabs>
                <w:tab w:val="center" w:pos="4419"/>
                <w:tab w:val="right" w:pos="8838"/>
              </w:tabs>
              <w:spacing w:line="276" w:lineRule="auto"/>
              <w:jc w:val="both"/>
              <w:rPr>
                <w:rFonts w:ascii="Arial Narrow" w:hAnsi="Arial Narrow" w:cs="Arial"/>
                <w:sz w:val="18"/>
                <w:szCs w:val="18"/>
              </w:rPr>
            </w:pPr>
            <w:r w:rsidRPr="000742BD">
              <w:rPr>
                <w:rFonts w:ascii="Arial Narrow" w:hAnsi="Arial Narrow" w:cs="Arial"/>
                <w:sz w:val="18"/>
                <w:szCs w:val="18"/>
              </w:rPr>
              <w:t>6323</w:t>
            </w:r>
          </w:p>
        </w:tc>
      </w:tr>
    </w:tbl>
    <w:p w14:paraId="72A4FCCE" w14:textId="77777777" w:rsidR="000742BD" w:rsidRPr="000742BD" w:rsidRDefault="000742BD" w:rsidP="000742BD">
      <w:pPr>
        <w:jc w:val="both"/>
        <w:rPr>
          <w:rFonts w:ascii="Arial Narrow" w:hAnsi="Arial Narrow" w:cs="Arial"/>
          <w:b/>
          <w:bCs/>
          <w:sz w:val="22"/>
          <w:szCs w:val="22"/>
          <w:lang w:val="es-CO" w:eastAsia="en-US"/>
        </w:rPr>
      </w:pPr>
      <w:bookmarkStart w:id="11" w:name="_Hlk97211355"/>
      <w:bookmarkEnd w:id="10"/>
    </w:p>
    <w:bookmarkEnd w:id="11"/>
    <w:p w14:paraId="3E835862" w14:textId="77777777" w:rsidR="000742BD" w:rsidRPr="000742BD" w:rsidRDefault="000742BD" w:rsidP="000742BD">
      <w:pPr>
        <w:rPr>
          <w:rFonts w:ascii="Arial Narrow" w:hAnsi="Arial Narrow"/>
          <w:sz w:val="22"/>
          <w:szCs w:val="22"/>
        </w:rPr>
      </w:pPr>
    </w:p>
    <w:p w14:paraId="4FE270A8" w14:textId="77777777" w:rsidR="000742BD" w:rsidRPr="000742BD" w:rsidRDefault="000742BD" w:rsidP="000742BD">
      <w:pPr>
        <w:rPr>
          <w:rFonts w:ascii="Arial Narrow" w:hAnsi="Arial Narrow"/>
          <w:sz w:val="18"/>
          <w:szCs w:val="18"/>
        </w:rPr>
      </w:pPr>
      <w:r w:rsidRPr="000742BD">
        <w:rPr>
          <w:rFonts w:ascii="Arial Narrow" w:hAnsi="Arial Narrow"/>
          <w:sz w:val="18"/>
          <w:szCs w:val="18"/>
        </w:rPr>
        <w:t xml:space="preserve">Aprobó: </w:t>
      </w:r>
      <w:r w:rsidRPr="008923FA">
        <w:rPr>
          <w:rFonts w:ascii="Arial Narrow" w:hAnsi="Arial Narrow"/>
          <w:b/>
          <w:bCs/>
          <w:sz w:val="18"/>
          <w:szCs w:val="18"/>
        </w:rPr>
        <w:t>Fernando Olivera</w:t>
      </w:r>
    </w:p>
    <w:p w14:paraId="3D08BAB1" w14:textId="77777777" w:rsidR="000742BD" w:rsidRPr="000742BD" w:rsidRDefault="000742BD" w:rsidP="000742BD">
      <w:pPr>
        <w:rPr>
          <w:rFonts w:ascii="Arial Narrow" w:hAnsi="Arial Narrow"/>
          <w:sz w:val="18"/>
          <w:szCs w:val="18"/>
        </w:rPr>
      </w:pPr>
      <w:r w:rsidRPr="000742BD">
        <w:rPr>
          <w:rFonts w:ascii="Arial Narrow" w:hAnsi="Arial Narrow"/>
          <w:sz w:val="18"/>
          <w:szCs w:val="18"/>
        </w:rPr>
        <w:t xml:space="preserve">Revisó: </w:t>
      </w:r>
      <w:r w:rsidRPr="008923FA">
        <w:rPr>
          <w:rFonts w:ascii="Arial Narrow" w:hAnsi="Arial Narrow"/>
          <w:b/>
          <w:bCs/>
          <w:sz w:val="18"/>
          <w:szCs w:val="18"/>
        </w:rPr>
        <w:t>Mauricio Mendoza / Carlos Ariza</w:t>
      </w:r>
    </w:p>
    <w:p w14:paraId="12EEF417" w14:textId="77777777" w:rsidR="000742BD" w:rsidRPr="000742BD" w:rsidRDefault="000742BD" w:rsidP="000742BD">
      <w:pPr>
        <w:rPr>
          <w:rFonts w:ascii="Arial Narrow" w:hAnsi="Arial Narrow"/>
          <w:sz w:val="18"/>
          <w:szCs w:val="18"/>
        </w:rPr>
      </w:pPr>
      <w:r w:rsidRPr="000742BD">
        <w:rPr>
          <w:rFonts w:ascii="Arial Narrow" w:hAnsi="Arial Narrow"/>
          <w:sz w:val="18"/>
          <w:szCs w:val="18"/>
        </w:rPr>
        <w:t xml:space="preserve">Elaboró: </w:t>
      </w:r>
      <w:r w:rsidRPr="008923FA">
        <w:rPr>
          <w:rFonts w:ascii="Arial Narrow" w:hAnsi="Arial Narrow"/>
          <w:b/>
          <w:bCs/>
          <w:sz w:val="18"/>
          <w:szCs w:val="18"/>
        </w:rPr>
        <w:t>Giovanny Salas / Mario Rodelo</w:t>
      </w:r>
    </w:p>
    <w:p w14:paraId="7416DD62" w14:textId="77777777" w:rsidR="00370540" w:rsidRPr="000742BD" w:rsidRDefault="00370540" w:rsidP="000742BD"/>
    <w:sectPr w:rsidR="00370540" w:rsidRPr="000742BD" w:rsidSect="004E432F">
      <w:headerReference w:type="default" r:id="rId21"/>
      <w:footerReference w:type="default" r:id="rId22"/>
      <w:headerReference w:type="first" r:id="rId23"/>
      <w:footerReference w:type="first" r:id="rId24"/>
      <w:pgSz w:w="12240" w:h="15840" w:code="1"/>
      <w:pgMar w:top="1985" w:right="1701" w:bottom="1701" w:left="1701" w:header="284" w:footer="284"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Giovanny Salas Sanchez" w:date="2022-05-11T18:05:00Z" w:initials="GSS">
    <w:p w14:paraId="0C86A6FA" w14:textId="77777777" w:rsidR="00CA1897" w:rsidRDefault="00CA1897">
      <w:pPr>
        <w:pStyle w:val="Textocomentario"/>
      </w:pPr>
      <w:r>
        <w:rPr>
          <w:rStyle w:val="Refdecomentario"/>
        </w:rPr>
        <w:annotationRef/>
      </w:r>
      <w:r>
        <w:t>De acuerdo Mauro. Al respecto se incluyó un párrafo al final de capitulo financiero, en el que se solicita aclaración por parte de la Entidad Territorial, sobre el origen del superávit y las causas de la no ejecución de los recursos sectoriales. Tal situación podría reflejar una mala planeación presupuestal, lo que tal vez concluya con la identificación del riesgo asociado al uso ineficiente del recurso sectorial, en el marco de una medida en virtud del 028.</w:t>
      </w:r>
    </w:p>
  </w:comment>
  <w:comment w:id="7" w:author="Giovanny Salas Sanchez" w:date="2022-05-11T17:49:00Z" w:initials="GSS">
    <w:p w14:paraId="24C07BBF" w14:textId="77777777" w:rsidR="00C911E2" w:rsidRDefault="00C911E2">
      <w:pPr>
        <w:pStyle w:val="Textocomentario"/>
      </w:pPr>
      <w:r>
        <w:rPr>
          <w:rStyle w:val="Refdecomentario"/>
        </w:rPr>
        <w:annotationRef/>
      </w:r>
      <w:r>
        <w:t xml:space="preserve">De acuerdo Mauro. Al respecto se incluyó un párrafo al final de capitulo financiero, en el que se solicita aclaración por parte de la Entidad Territorial, sobre el origen y las causas de la no ejecución de los recursos sectoriales. Tal situación </w:t>
      </w:r>
      <w:r w:rsidR="00A717F9">
        <w:t xml:space="preserve">podría </w:t>
      </w:r>
      <w:r>
        <w:t>refleja</w:t>
      </w:r>
      <w:r w:rsidR="00A717F9">
        <w:t>r</w:t>
      </w:r>
      <w:r>
        <w:t xml:space="preserve"> una mala planeación presupuestal, lo que </w:t>
      </w:r>
      <w:r w:rsidR="00A717F9">
        <w:t>tal vez</w:t>
      </w:r>
      <w:r>
        <w:t xml:space="preserve"> concluya con la identificación del riesgo asociado al uso ineficiente del recurso sectorial, en el marco de</w:t>
      </w:r>
      <w:r w:rsidR="00A717F9">
        <w:t xml:space="preserve"> una medida en virtud del 028.</w:t>
      </w:r>
      <w:r>
        <w:t xml:space="preserve"> </w:t>
      </w:r>
    </w:p>
  </w:comment>
  <w:comment w:id="6" w:author="Giovanny Salas Sanchez" w:date="2022-05-11T17:38:00Z" w:initials="GSS">
    <w:p w14:paraId="07580756" w14:textId="77777777" w:rsidR="00C911E2" w:rsidRDefault="00C911E2">
      <w:pPr>
        <w:pStyle w:val="Textocomentario"/>
      </w:pPr>
      <w:r>
        <w:rPr>
          <w:rStyle w:val="Refdecomentario"/>
        </w:rPr>
        <w:annotationRef/>
      </w:r>
      <w:r>
        <w:t>De acuerdo Mauro, en la conclusión del capitulo financiero, incluimos un renglón asociado al trabajo que ha de realizarse, en la etapa de reconocimiento para tener una buena planeación y ejecución del recurso sectorial en medio de una cantidad de prioridades, para la presente vigencia. Ahora, la no ejecución del recurso también debe tener alguna causa que es menester indagar con la E.T. en la elaboración del diagnóstico, de lo contrario, podría configurarse un uso ineficiente del recurso en el marco del decreto 028.</w:t>
      </w:r>
    </w:p>
  </w:comment>
  <w:comment w:id="5" w:author="Giovanny Salas Sanchez" w:date="2022-05-11T17:07:00Z" w:initials="GSS">
    <w:p w14:paraId="571E2384" w14:textId="77777777" w:rsidR="00C911E2" w:rsidRDefault="00C911E2">
      <w:pPr>
        <w:pStyle w:val="Textocomentario"/>
      </w:pPr>
      <w:r>
        <w:rPr>
          <w:rStyle w:val="Refdecomentario"/>
        </w:rPr>
        <w:annotationRef/>
      </w:r>
      <w:r>
        <w:t>De acuerdo Mauro, Si Señor. Eso es uno de los temas a abordar en el reconocimiento en las reuniones con la Entidad Territorial.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C86A6FA" w15:done="0"/>
  <w15:commentEx w15:paraId="24C07BBF" w15:done="0"/>
  <w15:commentEx w15:paraId="07580756" w15:done="0"/>
  <w15:commentEx w15:paraId="571E2384" w15:done="0"/>
</w15:commentsEx>
</file>

<file path=word/commentsIds.xml><?xml version="1.0" encoding="utf-8"?>
<w16cid:commentsIds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16cid:commentId w16cid:durableId="262679DA" w16cid:paraId="52177758"/>
  <w16cid:commentId w16cid:durableId="262679DB" w16cid:paraId="694A421C"/>
  <w16cid:commentId w16cid:durableId="262679DC" w16cid:paraId="60D70F86"/>
  <w16cid:commentId w16cid:durableId="262679DD" w16cid:paraId="5311B50A"/>
  <w16cid:commentId w16cid:durableId="262679DE" w16cid:paraId="695B2B41"/>
  <w16cid:commentId w16cid:durableId="262679DF" w16cid:paraId="699748A8"/>
  <w16cid:commentId w16cid:durableId="262679E0" w16cid:paraId="5A42F09B"/>
  <w16cid:commentId w16cid:durableId="262679E4" w16cid:paraId="551548DE"/>
  <w16cid:commentId w16cid:durableId="262679E3" w16cid:paraId="2C994F55"/>
  <w16cid:commentId w16cid:durableId="262679E2" w16cid:paraId="10852BD3"/>
  <w16cid:commentId w16cid:durableId="262679E1" w16cid:paraId="5FEEFD1D"/>
  <w16cid:commentId w16cid:durableId="262679E5" w16cid:paraId="6E713BF7"/>
  <w16cid:commentId w16cid:durableId="262679E6" w16cid:paraId="09166B4B"/>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AC5FF8" w14:textId="77777777" w:rsidR="001F0153" w:rsidRDefault="001F0153" w:rsidP="00F71345">
      <w:r>
        <w:separator/>
      </w:r>
    </w:p>
  </w:endnote>
  <w:endnote w:type="continuationSeparator" w:id="0">
    <w:p w14:paraId="619238A4" w14:textId="77777777" w:rsidR="001F0153" w:rsidRDefault="001F0153"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MS Mincho">
    <w:altName w:val="Yu Gothic UI"/>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ヒラギノ角ゴ Pro W3">
    <w:altName w:val="Yu Gothic"/>
    <w:charset w:val="80"/>
    <w:family w:val="auto"/>
    <w:pitch w:val="variable"/>
    <w:sig w:usb0="00000001" w:usb1="08070000" w:usb2="00000010" w:usb3="00000000" w:csb0="00020000"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70486" w14:textId="77777777" w:rsidR="00C911E2" w:rsidRDefault="00C911E2" w:rsidP="000742BD">
    <w:pPr>
      <w:pStyle w:val="Body"/>
      <w:rPr>
        <w:rFonts w:ascii="Arial" w:hAnsi="Arial" w:cs="Arial"/>
        <w:color w:val="595959"/>
        <w:sz w:val="16"/>
        <w:szCs w:val="16"/>
        <w:lang w:val="es-ES_tradnl"/>
      </w:rPr>
    </w:pPr>
    <w:r>
      <w:rPr>
        <w:rFonts w:ascii="Arial" w:hAnsi="Arial" w:cs="Arial"/>
        <w:b/>
        <w:color w:val="595959"/>
        <w:sz w:val="16"/>
        <w:szCs w:val="16"/>
        <w:lang w:val="es-ES_tradnl"/>
      </w:rPr>
      <w:t>Ministerio de Hacienda y Crédito Público</w:t>
    </w:r>
    <w:r>
      <w:rPr>
        <w:rFonts w:ascii="Arial" w:hAnsi="Arial" w:cs="Arial"/>
        <w:b/>
        <w:color w:val="595959"/>
        <w:sz w:val="16"/>
        <w:szCs w:val="16"/>
        <w:lang w:val="es-ES_tradnl"/>
      </w:rPr>
      <w:br/>
    </w:r>
    <w:r>
      <w:rPr>
        <w:rFonts w:ascii="Arial" w:hAnsi="Arial" w:cs="Arial"/>
        <w:color w:val="595959"/>
        <w:sz w:val="16"/>
        <w:szCs w:val="16"/>
        <w:lang w:val="es-ES_tradnl"/>
      </w:rPr>
      <w:t>Código Postal 111711</w:t>
    </w:r>
  </w:p>
  <w:p w14:paraId="3B95478C" w14:textId="77777777" w:rsidR="00C911E2" w:rsidRDefault="00C911E2" w:rsidP="000742BD">
    <w:pPr>
      <w:pStyle w:val="Body"/>
      <w:rPr>
        <w:rFonts w:ascii="Arial" w:hAnsi="Arial" w:cs="Arial"/>
        <w:color w:val="595959"/>
        <w:sz w:val="16"/>
        <w:szCs w:val="16"/>
        <w:lang w:val="es-ES_tradnl"/>
      </w:rPr>
    </w:pPr>
    <w:r>
      <w:rPr>
        <w:rFonts w:ascii="Arial" w:hAnsi="Arial" w:cs="Arial"/>
        <w:color w:val="595959"/>
        <w:sz w:val="16"/>
        <w:szCs w:val="16"/>
        <w:lang w:val="es-ES_tradnl"/>
      </w:rPr>
      <w:t>PBX: (57) 601 381 1700</w:t>
    </w:r>
    <w:r>
      <w:rPr>
        <w:rFonts w:ascii="Arial" w:hAnsi="Arial" w:cs="Arial"/>
        <w:color w:val="595959"/>
        <w:sz w:val="16"/>
        <w:szCs w:val="16"/>
        <w:lang w:val="es-ES_tradnl"/>
      </w:rPr>
      <w:br/>
      <w:t>Atención al ciudadano: (57) 601 602 1270 - Línea Nacional: 01 8000 910071</w:t>
    </w:r>
    <w:r>
      <w:rPr>
        <w:rFonts w:ascii="Arial" w:hAnsi="Arial" w:cs="Arial"/>
        <w:color w:val="595959"/>
        <w:sz w:val="16"/>
        <w:szCs w:val="16"/>
        <w:lang w:val="es-ES_tradnl"/>
      </w:rPr>
      <w:br/>
      <w:t>relacionciudadano@minhacienda.gov.co</w:t>
    </w:r>
  </w:p>
  <w:p w14:paraId="68E6888B" w14:textId="77777777" w:rsidR="00C911E2" w:rsidRDefault="00C911E2" w:rsidP="000742BD">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Carrera 8 No. 6C- 38 Bogotá D.C.</w:t>
    </w:r>
  </w:p>
  <w:p w14:paraId="6F112FA9" w14:textId="77777777" w:rsidR="00C911E2" w:rsidRDefault="00C911E2" w:rsidP="000742BD">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www.minhacienda.gov.co</w:t>
    </w:r>
  </w:p>
  <w:p w14:paraId="015E4735" w14:textId="77777777" w:rsidR="00C911E2" w:rsidRPr="00F01F75" w:rsidRDefault="00C911E2" w:rsidP="00F01F7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65D25" w14:textId="77777777" w:rsidR="00C911E2" w:rsidRDefault="00C911E2" w:rsidP="000742BD">
    <w:pPr>
      <w:pStyle w:val="Body"/>
      <w:rPr>
        <w:rFonts w:ascii="Arial" w:hAnsi="Arial" w:cs="Arial"/>
        <w:color w:val="595959"/>
        <w:sz w:val="16"/>
        <w:szCs w:val="16"/>
        <w:lang w:val="es-ES_tradnl"/>
      </w:rPr>
    </w:pPr>
    <w:r>
      <w:rPr>
        <w:rFonts w:ascii="Arial" w:hAnsi="Arial" w:cs="Arial"/>
        <w:b/>
        <w:color w:val="595959"/>
        <w:sz w:val="16"/>
        <w:szCs w:val="16"/>
        <w:lang w:val="es-ES_tradnl"/>
      </w:rPr>
      <w:t>Ministerio de Hacienda y Crédito Público</w:t>
    </w:r>
    <w:r>
      <w:rPr>
        <w:rFonts w:ascii="Arial" w:hAnsi="Arial" w:cs="Arial"/>
        <w:b/>
        <w:color w:val="595959"/>
        <w:sz w:val="16"/>
        <w:szCs w:val="16"/>
        <w:lang w:val="es-ES_tradnl"/>
      </w:rPr>
      <w:br/>
    </w:r>
    <w:r>
      <w:rPr>
        <w:rFonts w:ascii="Arial" w:hAnsi="Arial" w:cs="Arial"/>
        <w:color w:val="595959"/>
        <w:sz w:val="16"/>
        <w:szCs w:val="16"/>
        <w:lang w:val="es-ES_tradnl"/>
      </w:rPr>
      <w:t>Código Postal 111711</w:t>
    </w:r>
  </w:p>
  <w:p w14:paraId="29F0491B" w14:textId="77777777" w:rsidR="00C911E2" w:rsidRDefault="00C911E2" w:rsidP="000742BD">
    <w:pPr>
      <w:pStyle w:val="Body"/>
      <w:rPr>
        <w:rFonts w:ascii="Arial" w:hAnsi="Arial" w:cs="Arial"/>
        <w:color w:val="595959"/>
        <w:sz w:val="16"/>
        <w:szCs w:val="16"/>
        <w:lang w:val="es-ES_tradnl"/>
      </w:rPr>
    </w:pPr>
    <w:r>
      <w:rPr>
        <w:rFonts w:ascii="Arial" w:hAnsi="Arial" w:cs="Arial"/>
        <w:color w:val="595959"/>
        <w:sz w:val="16"/>
        <w:szCs w:val="16"/>
        <w:lang w:val="es-ES_tradnl"/>
      </w:rPr>
      <w:t>PBX: (57) 601 381 1700</w:t>
    </w:r>
    <w:r>
      <w:rPr>
        <w:rFonts w:ascii="Arial" w:hAnsi="Arial" w:cs="Arial"/>
        <w:color w:val="595959"/>
        <w:sz w:val="16"/>
        <w:szCs w:val="16"/>
        <w:lang w:val="es-ES_tradnl"/>
      </w:rPr>
      <w:br/>
      <w:t>Atención al ciudadano: (57) 601 602 1270 - Línea Nacional: 01 8000 910071</w:t>
    </w:r>
    <w:r>
      <w:rPr>
        <w:rFonts w:ascii="Arial" w:hAnsi="Arial" w:cs="Arial"/>
        <w:color w:val="595959"/>
        <w:sz w:val="16"/>
        <w:szCs w:val="16"/>
        <w:lang w:val="es-ES_tradnl"/>
      </w:rPr>
      <w:br/>
      <w:t>relacionciudadano@minhacienda.gov.co</w:t>
    </w:r>
  </w:p>
  <w:p w14:paraId="02316389" w14:textId="77777777" w:rsidR="00C911E2" w:rsidRDefault="00C911E2" w:rsidP="000742BD">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Carrera 8 No. 6C- 38 Bogotá D.C.</w:t>
    </w:r>
  </w:p>
  <w:p w14:paraId="3BC42043" w14:textId="77777777" w:rsidR="00C911E2" w:rsidRPr="000742BD" w:rsidRDefault="00C911E2" w:rsidP="000742BD">
    <w:pPr>
      <w:pStyle w:val="Body"/>
      <w:tabs>
        <w:tab w:val="right" w:pos="8838"/>
      </w:tabs>
      <w:rPr>
        <w:rFonts w:ascii="Arial" w:hAnsi="Arial" w:cs="Arial"/>
        <w:color w:val="595959"/>
        <w:sz w:val="16"/>
        <w:szCs w:val="16"/>
        <w:lang w:val="es-ES_tradnl"/>
      </w:rPr>
    </w:pPr>
    <w:r>
      <w:rPr>
        <w:rFonts w:ascii="Arial" w:hAnsi="Arial" w:cs="Arial"/>
        <w:color w:val="595959"/>
        <w:sz w:val="16"/>
        <w:szCs w:val="16"/>
        <w:lang w:val="es-ES_tradnl"/>
      </w:rPr>
      <w:t>www.minhacienda.gov.co</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23FDCA" w14:textId="77777777" w:rsidR="001F0153" w:rsidRDefault="001F0153" w:rsidP="00F71345">
      <w:r>
        <w:separator/>
      </w:r>
    </w:p>
  </w:footnote>
  <w:footnote w:type="continuationSeparator" w:id="0">
    <w:p w14:paraId="31D3BCD6" w14:textId="77777777" w:rsidR="001F0153" w:rsidRDefault="001F0153" w:rsidP="00F71345">
      <w:r>
        <w:continuationSeparator/>
      </w:r>
    </w:p>
  </w:footnote>
  <w:footnote w:id="1">
    <w:p w14:paraId="015F11E8" w14:textId="77777777" w:rsidR="00C911E2" w:rsidRDefault="00C911E2" w:rsidP="000742BD">
      <w:pPr>
        <w:pStyle w:val="Textonotapie"/>
      </w:pPr>
      <w:r w:rsidRPr="00360309">
        <w:rPr>
          <w:rStyle w:val="Refdenotaalpie"/>
          <w:rFonts w:ascii="Arial Narrow" w:hAnsi="Arial Narrow"/>
          <w:sz w:val="16"/>
          <w:szCs w:val="16"/>
        </w:rPr>
        <w:footnoteRef/>
      </w:r>
      <w:r w:rsidRPr="00360309">
        <w:rPr>
          <w:rFonts w:ascii="Arial Narrow" w:hAnsi="Arial Narrow"/>
          <w:sz w:val="16"/>
          <w:szCs w:val="16"/>
        </w:rPr>
        <w:t xml:space="preserve"> </w:t>
      </w:r>
      <w:hyperlink r:id="rId1" w:anchor="/perfiles/25754" w:history="1">
        <w:r w:rsidRPr="00360309">
          <w:rPr>
            <w:rStyle w:val="Hipervnculo"/>
            <w:rFonts w:ascii="Arial Narrow" w:hAnsi="Arial Narrow"/>
            <w:sz w:val="16"/>
            <w:szCs w:val="16"/>
          </w:rPr>
          <w:t>https://terridata.dnp.gov.co/index-app.html#/perfiles/25754</w:t>
        </w:r>
      </w:hyperlink>
      <w:r w:rsidRPr="00360309">
        <w:rPr>
          <w:rFonts w:ascii="Arial Narrow" w:hAnsi="Arial Narrow"/>
          <w:sz w:val="16"/>
          <w:szCs w:val="16"/>
        </w:rPr>
        <w:t xml:space="preserve"> </w:t>
      </w:r>
    </w:p>
  </w:footnote>
  <w:footnote w:id="2">
    <w:p w14:paraId="373EAB80" w14:textId="77777777" w:rsidR="00C911E2" w:rsidRDefault="00C911E2" w:rsidP="000742BD">
      <w:pPr>
        <w:pStyle w:val="Textonotapie"/>
      </w:pPr>
      <w:r w:rsidRPr="00360309">
        <w:rPr>
          <w:rStyle w:val="Refdenotaalpie"/>
          <w:rFonts w:ascii="Arial Narrow" w:hAnsi="Arial Narrow"/>
          <w:sz w:val="16"/>
          <w:szCs w:val="16"/>
        </w:rPr>
        <w:footnoteRef/>
      </w:r>
      <w:r w:rsidRPr="00360309">
        <w:rPr>
          <w:rFonts w:ascii="Arial Narrow" w:hAnsi="Arial Narrow"/>
          <w:sz w:val="16"/>
          <w:szCs w:val="16"/>
        </w:rPr>
        <w:t xml:space="preserve"> </w:t>
      </w:r>
      <w:r w:rsidRPr="00360309">
        <w:rPr>
          <w:rFonts w:ascii="Arial Narrow" w:hAnsi="Arial Narrow"/>
          <w:sz w:val="16"/>
          <w:szCs w:val="16"/>
          <w:lang w:val="es-CO"/>
        </w:rPr>
        <w:t>Plan de desarrollo 2020-2024, marco estratégico – Pagina 9</w:t>
      </w:r>
    </w:p>
  </w:footnote>
  <w:footnote w:id="3">
    <w:p w14:paraId="7A462C82" w14:textId="77777777" w:rsidR="00C911E2" w:rsidRDefault="00C911E2" w:rsidP="000742BD">
      <w:pPr>
        <w:pStyle w:val="Textonotapie"/>
      </w:pPr>
      <w:r w:rsidRPr="00360309">
        <w:rPr>
          <w:rStyle w:val="Refdenotaalpie"/>
          <w:rFonts w:ascii="Arial Narrow" w:hAnsi="Arial Narrow"/>
          <w:sz w:val="16"/>
          <w:szCs w:val="16"/>
        </w:rPr>
        <w:footnoteRef/>
      </w:r>
      <w:r w:rsidRPr="00360309">
        <w:rPr>
          <w:rFonts w:ascii="Arial Narrow" w:hAnsi="Arial Narrow"/>
          <w:sz w:val="16"/>
          <w:szCs w:val="16"/>
        </w:rPr>
        <w:t xml:space="preserve"> </w:t>
      </w:r>
      <w:r w:rsidRPr="00360309">
        <w:rPr>
          <w:rFonts w:ascii="Arial Narrow" w:hAnsi="Arial Narrow"/>
          <w:sz w:val="16"/>
          <w:szCs w:val="16"/>
          <w:lang w:val="es-CO"/>
        </w:rPr>
        <w:t xml:space="preserve">Los desplazados en Bogotá y Soacha: características y protección, Clara Juliao. Disponible en: </w:t>
      </w:r>
      <w:hyperlink r:id="rId2" w:history="1">
        <w:r w:rsidRPr="00360309">
          <w:rPr>
            <w:rStyle w:val="Hipervnculo"/>
            <w:rFonts w:ascii="Arial Narrow" w:hAnsi="Arial Narrow"/>
            <w:sz w:val="16"/>
            <w:szCs w:val="16"/>
          </w:rPr>
          <w:t>https://revistaseug.ugr.es/index.php/revpaz/article/view/457/524</w:t>
        </w:r>
      </w:hyperlink>
      <w:r w:rsidRPr="00360309">
        <w:rPr>
          <w:rFonts w:ascii="Arial Narrow" w:hAnsi="Arial Narrow"/>
          <w:sz w:val="16"/>
          <w:szCs w:val="16"/>
          <w:lang w:val="es-CO"/>
        </w:rPr>
        <w:t xml:space="preserve"> </w:t>
      </w:r>
    </w:p>
  </w:footnote>
  <w:footnote w:id="4">
    <w:p w14:paraId="712668D1" w14:textId="77777777" w:rsidR="00C911E2" w:rsidRDefault="00C911E2" w:rsidP="000742BD">
      <w:pPr>
        <w:pStyle w:val="Textonotapie"/>
      </w:pPr>
      <w:r w:rsidRPr="00360309">
        <w:rPr>
          <w:rStyle w:val="Refdenotaalpie"/>
          <w:rFonts w:ascii="Arial Narrow" w:hAnsi="Arial Narrow"/>
          <w:sz w:val="16"/>
          <w:szCs w:val="16"/>
        </w:rPr>
        <w:footnoteRef/>
      </w:r>
      <w:r w:rsidRPr="00360309">
        <w:rPr>
          <w:rFonts w:ascii="Arial Narrow" w:hAnsi="Arial Narrow"/>
          <w:sz w:val="16"/>
          <w:szCs w:val="16"/>
        </w:rPr>
        <w:t xml:space="preserve"> </w:t>
      </w:r>
      <w:hyperlink r:id="rId3" w:history="1">
        <w:r w:rsidRPr="00360309">
          <w:rPr>
            <w:rStyle w:val="Hipervnculo"/>
            <w:rFonts w:ascii="Arial Narrow" w:hAnsi="Arial Narrow"/>
            <w:sz w:val="16"/>
            <w:szCs w:val="16"/>
          </w:rPr>
          <w:t>https://www.alcaldiasoacha.gov.co/NuestroMunicipio/Paginas/Geografia.aspx</w:t>
        </w:r>
      </w:hyperlink>
      <w:r w:rsidRPr="00360309">
        <w:rPr>
          <w:rFonts w:ascii="Arial Narrow" w:hAnsi="Arial Narrow"/>
          <w:sz w:val="16"/>
          <w:szCs w:val="16"/>
        </w:rPr>
        <w:t xml:space="preserve"> </w:t>
      </w:r>
    </w:p>
  </w:footnote>
  <w:footnote w:id="5">
    <w:p w14:paraId="699001D9" w14:textId="77777777" w:rsidR="00C911E2" w:rsidRDefault="00C911E2" w:rsidP="000742BD">
      <w:pPr>
        <w:pStyle w:val="Textonotapie"/>
      </w:pPr>
      <w:r w:rsidRPr="00360309">
        <w:rPr>
          <w:rStyle w:val="Refdenotaalpie"/>
          <w:rFonts w:ascii="Arial Narrow" w:hAnsi="Arial Narrow"/>
          <w:sz w:val="16"/>
          <w:szCs w:val="16"/>
        </w:rPr>
        <w:footnoteRef/>
      </w:r>
      <w:r w:rsidRPr="00360309">
        <w:rPr>
          <w:rFonts w:ascii="Arial Narrow" w:hAnsi="Arial Narrow"/>
          <w:sz w:val="16"/>
          <w:szCs w:val="16"/>
        </w:rPr>
        <w:t xml:space="preserve"> </w:t>
      </w:r>
      <w:hyperlink r:id="rId4" w:anchor="Fisiograf%C3%ADa_e_hidrograf%C3%ADa" w:history="1">
        <w:r w:rsidRPr="00360309">
          <w:rPr>
            <w:rStyle w:val="Hipervnculo"/>
            <w:rFonts w:ascii="Arial Narrow" w:hAnsi="Arial Narrow"/>
            <w:sz w:val="16"/>
            <w:szCs w:val="16"/>
          </w:rPr>
          <w:t>https://es.wikipedia.org/wiki/Soacha#Fisiograf%C3%ADa_e_hidrograf%C3%ADa</w:t>
        </w:r>
      </w:hyperlink>
      <w:r>
        <w:t xml:space="preserve"> </w:t>
      </w:r>
    </w:p>
  </w:footnote>
  <w:footnote w:id="6">
    <w:p w14:paraId="54A3DFA3" w14:textId="77777777" w:rsidR="00C911E2" w:rsidRDefault="00C911E2" w:rsidP="000742BD">
      <w:pPr>
        <w:pStyle w:val="Textonotapie"/>
      </w:pPr>
      <w:r w:rsidRPr="00F735A1">
        <w:rPr>
          <w:rStyle w:val="Refdenotaalpie"/>
          <w:rFonts w:ascii="Arial Narrow" w:hAnsi="Arial Narrow"/>
          <w:sz w:val="16"/>
          <w:szCs w:val="16"/>
        </w:rPr>
        <w:footnoteRef/>
      </w:r>
      <w:r w:rsidRPr="00F735A1">
        <w:rPr>
          <w:rFonts w:ascii="Arial Narrow" w:hAnsi="Arial Narrow"/>
          <w:sz w:val="16"/>
          <w:szCs w:val="16"/>
        </w:rPr>
        <w:t xml:space="preserve"> </w:t>
      </w:r>
      <w:hyperlink r:id="rId5" w:history="1">
        <w:r w:rsidRPr="00F735A1">
          <w:rPr>
            <w:rStyle w:val="Hipervnculo"/>
            <w:rFonts w:ascii="Arial Narrow" w:hAnsi="Arial Narrow"/>
            <w:sz w:val="16"/>
            <w:szCs w:val="16"/>
          </w:rPr>
          <w:t>https://www.alcaldiasoacha.gov.co/NuestroMunicipio/Paginas/Geografia.aspx</w:t>
        </w:r>
      </w:hyperlink>
      <w:r w:rsidRPr="00F735A1">
        <w:rPr>
          <w:rFonts w:ascii="Arial Narrow" w:hAnsi="Arial Narrow"/>
          <w:sz w:val="16"/>
          <w:szCs w:val="16"/>
        </w:rPr>
        <w:t xml:space="preserve"> </w:t>
      </w:r>
    </w:p>
  </w:footnote>
  <w:footnote w:id="7">
    <w:p w14:paraId="2DC74915" w14:textId="77777777" w:rsidR="00C911E2" w:rsidRDefault="00C911E2" w:rsidP="000742BD">
      <w:pPr>
        <w:pStyle w:val="Descripcin"/>
        <w:jc w:val="both"/>
      </w:pPr>
      <w:r w:rsidRPr="00F735A1">
        <w:rPr>
          <w:rStyle w:val="Refdenotaalpie"/>
          <w:rFonts w:ascii="Arial Narrow" w:hAnsi="Arial Narrow"/>
          <w:sz w:val="16"/>
          <w:szCs w:val="16"/>
        </w:rPr>
        <w:footnoteRef/>
      </w:r>
      <w:r w:rsidRPr="00F735A1">
        <w:rPr>
          <w:rFonts w:ascii="Arial Narrow" w:hAnsi="Arial Narrow"/>
          <w:sz w:val="16"/>
          <w:szCs w:val="16"/>
        </w:rPr>
        <w:t xml:space="preserve"> </w:t>
      </w:r>
      <w:r w:rsidRPr="00F735A1">
        <w:rPr>
          <w:rFonts w:ascii="Arial Narrow" w:hAnsi="Arial Narrow"/>
          <w:color w:val="auto"/>
          <w:sz w:val="16"/>
          <w:szCs w:val="16"/>
        </w:rPr>
        <w:t xml:space="preserve">Tomado de Wikipedia: </w:t>
      </w:r>
      <w:hyperlink r:id="rId6" w:history="1">
        <w:r w:rsidRPr="00F735A1">
          <w:rPr>
            <w:rStyle w:val="Hipervnculo"/>
            <w:rFonts w:ascii="Arial Narrow" w:eastAsia="MS Mincho" w:hAnsi="Arial Narrow"/>
            <w:sz w:val="16"/>
            <w:szCs w:val="16"/>
          </w:rPr>
          <w:t>https://upload.wikimedia.org/wikipedia/commons/0/03/Mapa_de_Soacha.svg</w:t>
        </w:r>
      </w:hyperlink>
      <w:r w:rsidRPr="00F735A1">
        <w:rPr>
          <w:rFonts w:ascii="Arial Narrow" w:hAnsi="Arial Narrow"/>
          <w:color w:val="auto"/>
          <w:sz w:val="16"/>
          <w:szCs w:val="16"/>
        </w:rPr>
        <w:t xml:space="preserve"> </w:t>
      </w:r>
    </w:p>
  </w:footnote>
  <w:footnote w:id="8">
    <w:p w14:paraId="514B6E70" w14:textId="77777777" w:rsidR="00C911E2" w:rsidRDefault="00C911E2" w:rsidP="000742BD">
      <w:pPr>
        <w:pStyle w:val="Textonotapie"/>
      </w:pPr>
      <w:r w:rsidRPr="00F735A1">
        <w:rPr>
          <w:rStyle w:val="Refdenotaalpie"/>
          <w:rFonts w:ascii="Arial Narrow" w:hAnsi="Arial Narrow"/>
          <w:sz w:val="16"/>
          <w:szCs w:val="16"/>
        </w:rPr>
        <w:footnoteRef/>
      </w:r>
      <w:r w:rsidRPr="00F735A1">
        <w:rPr>
          <w:rFonts w:ascii="Arial Narrow" w:hAnsi="Arial Narrow"/>
          <w:sz w:val="16"/>
          <w:szCs w:val="16"/>
        </w:rPr>
        <w:t xml:space="preserve"> </w:t>
      </w:r>
      <w:hyperlink r:id="rId7" w:anchor="Fisiograf%C3%ADa_e_hidrograf%C3%ADa" w:history="1">
        <w:r w:rsidRPr="00F735A1">
          <w:rPr>
            <w:rStyle w:val="Hipervnculo"/>
            <w:rFonts w:ascii="Arial Narrow" w:hAnsi="Arial Narrow"/>
            <w:sz w:val="16"/>
            <w:szCs w:val="16"/>
          </w:rPr>
          <w:t>https://es.wikipedia.org/wiki/Soacha#Fisiograf%C3%ADa_e_hidrograf%C3%ADa</w:t>
        </w:r>
      </w:hyperlink>
    </w:p>
  </w:footnote>
  <w:footnote w:id="9">
    <w:p w14:paraId="55D8A749" w14:textId="77777777" w:rsidR="00C911E2" w:rsidRDefault="00C911E2" w:rsidP="000742BD">
      <w:pPr>
        <w:pStyle w:val="Textonotapie"/>
      </w:pPr>
      <w:r w:rsidRPr="000C09C6">
        <w:rPr>
          <w:rStyle w:val="Refdenotaalpie"/>
          <w:rFonts w:ascii="Arial Narrow" w:hAnsi="Arial Narrow"/>
          <w:sz w:val="16"/>
          <w:szCs w:val="16"/>
        </w:rPr>
        <w:footnoteRef/>
      </w:r>
      <w:r w:rsidRPr="000C09C6">
        <w:rPr>
          <w:rFonts w:ascii="Arial Narrow" w:hAnsi="Arial Narrow"/>
          <w:sz w:val="16"/>
          <w:szCs w:val="16"/>
        </w:rPr>
        <w:t xml:space="preserve"> http://reportes.sui.gov.co/fabricaReportes/frameSet.jsp?idreporte=mul_adm_061</w:t>
      </w:r>
    </w:p>
  </w:footnote>
  <w:footnote w:id="10">
    <w:p w14:paraId="73968B3C" w14:textId="77777777" w:rsidR="00C911E2" w:rsidRDefault="00C911E2" w:rsidP="00810E7F">
      <w:pPr>
        <w:pStyle w:val="Textonotapie"/>
      </w:pPr>
      <w:r>
        <w:rPr>
          <w:rStyle w:val="Refdenotaalpie"/>
        </w:rPr>
        <w:footnoteRef/>
      </w:r>
      <w:r>
        <w:t xml:space="preserve"> </w:t>
      </w:r>
      <w:r w:rsidRPr="00996D0D">
        <w:rPr>
          <w:rFonts w:ascii="Arial Narrow" w:hAnsi="Arial Narrow"/>
          <w:sz w:val="16"/>
          <w:szCs w:val="16"/>
        </w:rPr>
        <w:t>https://urbaser.co/wp-content/uploads/2022/04/2204-PT-TARIFAS-SOACHA.pdf</w:t>
      </w:r>
    </w:p>
  </w:footnote>
  <w:footnote w:id="11">
    <w:p w14:paraId="71687654" w14:textId="77777777" w:rsidR="00C911E2" w:rsidRDefault="00C911E2" w:rsidP="000742BD">
      <w:pPr>
        <w:pStyle w:val="Textonotapie"/>
        <w:jc w:val="both"/>
      </w:pPr>
      <w:r>
        <w:rPr>
          <w:rStyle w:val="Refdenotaalpie"/>
          <w:rFonts w:ascii="Arial Narrow" w:hAnsi="Arial Narrow"/>
          <w:sz w:val="16"/>
          <w:szCs w:val="16"/>
        </w:rPr>
        <w:footnoteRef/>
      </w:r>
      <w:r>
        <w:rPr>
          <w:rFonts w:ascii="Arial Narrow" w:hAnsi="Arial Narrow"/>
          <w:sz w:val="16"/>
          <w:szCs w:val="16"/>
        </w:rPr>
        <w:t xml:space="preserve"> </w:t>
      </w:r>
      <w:r w:rsidRPr="000742BD">
        <w:rPr>
          <w:rFonts w:ascii="Arial Narrow" w:hAnsi="Arial Narrow" w:cs="Arial"/>
          <w:sz w:val="16"/>
          <w:szCs w:val="16"/>
        </w:rPr>
        <w:t>Fondo de Solidaridad y Redistribución de Ingresos (FSRI). Son cuentas especiales que de acuerdo con la Ley 142 de 1994, deben constituir los municipios, distritos y departamentos en su contabilidad y presupuesto, a través de las cuales se contabilizarán los recursos destinados a otorgar subsidios a los servicios públicos domiciliarios. Dentro de cada Fondo se llevará la contabilidad de cada servicio de manera separada, y al interior de ellos no podrán hacerse transferencias de recursos entre servicios.</w:t>
      </w:r>
    </w:p>
  </w:footnote>
  <w:footnote w:id="12">
    <w:p w14:paraId="4F906655" w14:textId="77777777" w:rsidR="00C911E2" w:rsidRDefault="00C911E2" w:rsidP="000742BD">
      <w:pPr>
        <w:pStyle w:val="Textonotapie"/>
        <w:jc w:val="both"/>
      </w:pPr>
      <w:r>
        <w:rPr>
          <w:rStyle w:val="Refdenotaalpie"/>
        </w:rPr>
        <w:footnoteRef/>
      </w:r>
      <w:r w:rsidRPr="003D2C19">
        <w:rPr>
          <w:rFonts w:ascii="Arial Narrow" w:hAnsi="Arial Narrow"/>
          <w:sz w:val="16"/>
          <w:szCs w:val="16"/>
        </w:rPr>
        <w:t>https://www.alcaldiasoacha.gov.co/PlaneacionyEjecucion/NuestrosPlanes/INFORME%20DE%20GESTION%20ANUALIDAD%202020%20V1.0%20EL%20CAMBIO%20AVANZA.pdf</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7706A" w14:textId="77777777" w:rsidR="00C911E2" w:rsidRDefault="00C911E2" w:rsidP="00A82889">
    <w:pPr>
      <w:jc w:val="right"/>
      <w:rPr>
        <w:rFonts w:ascii="Arial" w:hAnsi="Arial" w:cs="Arial"/>
        <w:sz w:val="16"/>
        <w:szCs w:val="16"/>
      </w:rPr>
    </w:pPr>
  </w:p>
  <w:p w14:paraId="4010878C" w14:textId="77777777" w:rsidR="00C911E2" w:rsidRDefault="00C911E2" w:rsidP="00A82889">
    <w:pPr>
      <w:jc w:val="right"/>
      <w:rPr>
        <w:rFonts w:ascii="Arial" w:hAnsi="Arial" w:cs="Arial"/>
        <w:sz w:val="16"/>
        <w:szCs w:val="16"/>
      </w:rPr>
    </w:pPr>
  </w:p>
  <w:p w14:paraId="552CD535" w14:textId="77777777" w:rsidR="00C911E2" w:rsidRDefault="00C911E2" w:rsidP="00F01F75">
    <w:pPr>
      <w:pStyle w:val="Encabezado"/>
      <w:rPr>
        <w:rFonts w:ascii="Arial" w:hAnsi="Arial" w:cs="Arial"/>
        <w:sz w:val="16"/>
        <w:szCs w:val="16"/>
      </w:rPr>
    </w:pPr>
  </w:p>
  <w:p w14:paraId="33FC39CE" w14:textId="77777777" w:rsidR="00C911E2" w:rsidRDefault="00C911E2" w:rsidP="00F01F75">
    <w:pPr>
      <w:pStyle w:val="Encabezado"/>
      <w:rPr>
        <w:rFonts w:ascii="Arial" w:hAnsi="Arial" w:cs="Arial"/>
        <w:sz w:val="16"/>
        <w:szCs w:val="16"/>
      </w:rPr>
    </w:pPr>
  </w:p>
  <w:p w14:paraId="6E426EB9" w14:textId="77777777" w:rsidR="00C911E2" w:rsidRDefault="00C911E2" w:rsidP="00F01F75">
    <w:pPr>
      <w:pStyle w:val="Encabezado"/>
      <w:rPr>
        <w:rFonts w:ascii="Arial" w:hAnsi="Arial" w:cs="Arial"/>
        <w:sz w:val="16"/>
        <w:szCs w:val="16"/>
      </w:rPr>
    </w:pPr>
  </w:p>
  <w:p w14:paraId="059E95B6" w14:textId="77777777" w:rsidR="00C911E2" w:rsidRDefault="00C911E2" w:rsidP="00F01F75">
    <w:pPr>
      <w:pStyle w:val="Encabezado"/>
      <w:rPr>
        <w:rFonts w:ascii="Arial" w:hAnsi="Arial" w:cs="Arial"/>
        <w:sz w:val="16"/>
        <w:szCs w:val="16"/>
      </w:rPr>
    </w:pPr>
  </w:p>
  <w:p w14:paraId="2FE22D2D" w14:textId="77777777" w:rsidR="00C911E2" w:rsidRDefault="00C911E2" w:rsidP="00F01F75">
    <w:pPr>
      <w:pStyle w:val="Encabezado"/>
      <w:rPr>
        <w:rFonts w:ascii="Arial" w:hAnsi="Arial" w:cs="Arial"/>
        <w:sz w:val="16"/>
        <w:szCs w:val="16"/>
      </w:rPr>
    </w:pPr>
  </w:p>
  <w:p w14:paraId="12EBEAD2" w14:textId="77777777" w:rsidR="00C911E2" w:rsidRPr="000742BD" w:rsidRDefault="00C911E2" w:rsidP="00F01F75">
    <w:pPr>
      <w:pStyle w:val="Encabezado"/>
      <w:rPr>
        <w:rFonts w:ascii="Arial" w:hAnsi="Arial" w:cs="Arial"/>
        <w:i/>
        <w:iCs/>
        <w:sz w:val="16"/>
        <w:szCs w:val="16"/>
      </w:rPr>
    </w:pPr>
  </w:p>
  <w:p w14:paraId="7F9C3B19" w14:textId="424DF595" w:rsidR="00C911E2" w:rsidRPr="00F01F75" w:rsidRDefault="00C911E2" w:rsidP="00F01F75">
    <w:pPr>
      <w:pStyle w:val="Encabezado"/>
      <w:rPr>
        <w:rFonts w:ascii="Arial" w:hAnsi="Arial" w:cs="Arial"/>
        <w:sz w:val="16"/>
        <w:szCs w:val="16"/>
      </w:rPr>
    </w:pPr>
    <w:r w:rsidRPr="000742BD">
      <w:rPr>
        <w:rFonts w:ascii="Arial" w:hAnsi="Arial" w:cs="Arial"/>
        <w:i/>
        <w:iCs/>
        <w:sz w:val="16"/>
        <w:szCs w:val="16"/>
      </w:rPr>
      <w:t>Continuación Pre Diagnóstico SOACHA APSB.</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DE3C7A">
      <w:rPr>
        <w:rStyle w:val="Nmerodepgina"/>
        <w:rFonts w:ascii="Arial" w:hAnsi="Arial" w:cs="Arial"/>
        <w:noProof/>
        <w:sz w:val="16"/>
        <w:szCs w:val="16"/>
      </w:rPr>
      <w:t>27</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DE3C7A">
      <w:rPr>
        <w:rStyle w:val="Nmerodepgina"/>
        <w:rFonts w:ascii="Arial" w:hAnsi="Arial" w:cs="Arial"/>
        <w:noProof/>
        <w:sz w:val="16"/>
        <w:szCs w:val="16"/>
      </w:rPr>
      <w:t>28</w:t>
    </w:r>
    <w:r w:rsidRPr="00F01F75">
      <w:rPr>
        <w:rStyle w:val="Nmerodepgina"/>
        <w:rFonts w:ascii="Arial" w:hAnsi="Arial" w:cs="Arial"/>
        <w:sz w:val="16"/>
        <w:szCs w:val="16"/>
      </w:rPr>
      <w:fldChar w:fldCharType="end"/>
    </w:r>
  </w:p>
  <w:p w14:paraId="279432DB" w14:textId="77777777" w:rsidR="00C911E2" w:rsidRPr="00F01F75" w:rsidRDefault="00C911E2">
    <w:pPr>
      <w:pStyle w:val="Encabezado"/>
      <w:rPr>
        <w:rFonts w:ascii="Arial" w:hAnsi="Arial" w:cs="Arial"/>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99BFD1" w14:textId="77777777" w:rsidR="00C911E2" w:rsidRDefault="00C911E2" w:rsidP="000742BD">
    <w:pPr>
      <w:pStyle w:val="Encabezado"/>
    </w:pPr>
    <w:r>
      <w:rPr>
        <w:noProof/>
        <w:lang w:eastAsia="es-CO"/>
      </w:rPr>
      <w:drawing>
        <wp:inline distT="0" distB="0" distL="0" distR="0" wp14:anchorId="1217B677" wp14:editId="32BFC115">
          <wp:extent cx="3305175" cy="723900"/>
          <wp:effectExtent l="0" t="0" r="0" b="0"/>
          <wp:docPr id="11" name="Imagen 11" descr="Interfaz de usuario gráfica, Texto,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Texto, Aplicación&#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305175" cy="723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D9DC8762"/>
    <w:lvl w:ilvl="0">
      <w:start w:val="1"/>
      <w:numFmt w:val="upperRoman"/>
      <w:suff w:val="space"/>
      <w:lvlText w:val="%1."/>
      <w:lvlJc w:val="left"/>
      <w:pPr>
        <w:ind w:left="68" w:firstLine="357"/>
      </w:pPr>
      <w:rPr>
        <w:rFonts w:hint="default"/>
        <w:color w:val="000000"/>
        <w:position w:val="0"/>
        <w:sz w:val="24"/>
      </w:rPr>
    </w:lvl>
    <w:lvl w:ilvl="1">
      <w:start w:val="1"/>
      <w:numFmt w:val="lowerLetter"/>
      <w:suff w:val="nothing"/>
      <w:lvlText w:val="%2."/>
      <w:lvlJc w:val="left"/>
      <w:pPr>
        <w:ind w:left="1083" w:firstLine="357"/>
      </w:pPr>
      <w:rPr>
        <w:rFonts w:hint="default"/>
        <w:color w:val="000000"/>
        <w:position w:val="0"/>
        <w:sz w:val="24"/>
      </w:rPr>
    </w:lvl>
    <w:lvl w:ilvl="2">
      <w:start w:val="1"/>
      <w:numFmt w:val="lowerRoman"/>
      <w:suff w:val="nothing"/>
      <w:lvlText w:val="%3."/>
      <w:lvlJc w:val="left"/>
      <w:pPr>
        <w:ind w:left="2098" w:firstLine="357"/>
      </w:pPr>
      <w:rPr>
        <w:rFonts w:hint="default"/>
        <w:color w:val="000000"/>
        <w:position w:val="0"/>
        <w:sz w:val="24"/>
      </w:rPr>
    </w:lvl>
    <w:lvl w:ilvl="3">
      <w:start w:val="1"/>
      <w:numFmt w:val="decimal"/>
      <w:isLgl/>
      <w:suff w:val="nothing"/>
      <w:lvlText w:val="%4."/>
      <w:lvlJc w:val="left"/>
      <w:pPr>
        <w:ind w:left="3113" w:firstLine="357"/>
      </w:pPr>
      <w:rPr>
        <w:rFonts w:hint="default"/>
        <w:color w:val="000000"/>
        <w:position w:val="0"/>
        <w:sz w:val="24"/>
      </w:rPr>
    </w:lvl>
    <w:lvl w:ilvl="4">
      <w:start w:val="1"/>
      <w:numFmt w:val="lowerLetter"/>
      <w:suff w:val="nothing"/>
      <w:lvlText w:val="%5."/>
      <w:lvlJc w:val="left"/>
      <w:pPr>
        <w:ind w:left="4128" w:firstLine="357"/>
      </w:pPr>
      <w:rPr>
        <w:rFonts w:hint="default"/>
        <w:color w:val="000000"/>
        <w:position w:val="0"/>
        <w:sz w:val="24"/>
      </w:rPr>
    </w:lvl>
    <w:lvl w:ilvl="5">
      <w:start w:val="1"/>
      <w:numFmt w:val="lowerRoman"/>
      <w:suff w:val="nothing"/>
      <w:lvlText w:val="%6."/>
      <w:lvlJc w:val="left"/>
      <w:pPr>
        <w:ind w:left="5143" w:firstLine="357"/>
      </w:pPr>
      <w:rPr>
        <w:rFonts w:hint="default"/>
        <w:color w:val="000000"/>
        <w:position w:val="0"/>
        <w:sz w:val="24"/>
      </w:rPr>
    </w:lvl>
    <w:lvl w:ilvl="6">
      <w:start w:val="1"/>
      <w:numFmt w:val="decimal"/>
      <w:isLgl/>
      <w:suff w:val="nothing"/>
      <w:lvlText w:val="%7."/>
      <w:lvlJc w:val="left"/>
      <w:pPr>
        <w:ind w:left="6158" w:firstLine="357"/>
      </w:pPr>
      <w:rPr>
        <w:rFonts w:hint="default"/>
        <w:color w:val="000000"/>
        <w:position w:val="0"/>
        <w:sz w:val="24"/>
      </w:rPr>
    </w:lvl>
    <w:lvl w:ilvl="7">
      <w:start w:val="1"/>
      <w:numFmt w:val="lowerLetter"/>
      <w:suff w:val="nothing"/>
      <w:lvlText w:val="%8."/>
      <w:lvlJc w:val="left"/>
      <w:pPr>
        <w:ind w:left="7173" w:firstLine="357"/>
      </w:pPr>
      <w:rPr>
        <w:rFonts w:hint="default"/>
        <w:color w:val="000000"/>
        <w:position w:val="0"/>
        <w:sz w:val="24"/>
      </w:rPr>
    </w:lvl>
    <w:lvl w:ilvl="8">
      <w:start w:val="1"/>
      <w:numFmt w:val="lowerRoman"/>
      <w:suff w:val="nothing"/>
      <w:lvlText w:val="%9."/>
      <w:lvlJc w:val="left"/>
      <w:pPr>
        <w:ind w:left="8188" w:firstLine="357"/>
      </w:pPr>
      <w:rPr>
        <w:rFonts w:hint="default"/>
        <w:color w:val="000000"/>
        <w:position w:val="0"/>
        <w:sz w:val="24"/>
      </w:rPr>
    </w:lvl>
  </w:abstractNum>
  <w:abstractNum w:abstractNumId="1" w15:restartNumberingAfterBreak="0">
    <w:nsid w:val="00000002"/>
    <w:multiLevelType w:val="multilevel"/>
    <w:tmpl w:val="894EE874"/>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720" w:firstLine="1440"/>
      </w:pPr>
      <w:rPr>
        <w:rFonts w:hint="default"/>
        <w:color w:val="000000"/>
        <w:position w:val="0"/>
        <w:sz w:val="24"/>
      </w:rPr>
    </w:lvl>
    <w:lvl w:ilvl="2">
      <w:start w:val="1"/>
      <w:numFmt w:val="lowerRoman"/>
      <w:suff w:val="nothing"/>
      <w:lvlText w:val="%3."/>
      <w:lvlJc w:val="left"/>
      <w:pPr>
        <w:ind w:left="-720" w:firstLine="2160"/>
      </w:pPr>
      <w:rPr>
        <w:rFonts w:hint="default"/>
        <w:color w:val="000000"/>
        <w:position w:val="0"/>
        <w:sz w:val="24"/>
      </w:rPr>
    </w:lvl>
    <w:lvl w:ilvl="3">
      <w:start w:val="1"/>
      <w:numFmt w:val="decimal"/>
      <w:isLgl/>
      <w:suff w:val="nothing"/>
      <w:lvlText w:val="%4."/>
      <w:lvlJc w:val="left"/>
      <w:pPr>
        <w:ind w:left="-720" w:firstLine="2880"/>
      </w:pPr>
      <w:rPr>
        <w:rFonts w:hint="default"/>
        <w:color w:val="000000"/>
        <w:position w:val="0"/>
        <w:sz w:val="24"/>
      </w:rPr>
    </w:lvl>
    <w:lvl w:ilvl="4">
      <w:start w:val="1"/>
      <w:numFmt w:val="lowerLetter"/>
      <w:suff w:val="nothing"/>
      <w:lvlText w:val="%5."/>
      <w:lvlJc w:val="left"/>
      <w:pPr>
        <w:ind w:left="-720" w:firstLine="3600"/>
      </w:pPr>
      <w:rPr>
        <w:rFonts w:hint="default"/>
        <w:color w:val="000000"/>
        <w:position w:val="0"/>
        <w:sz w:val="24"/>
      </w:rPr>
    </w:lvl>
    <w:lvl w:ilvl="5">
      <w:start w:val="1"/>
      <w:numFmt w:val="lowerRoman"/>
      <w:suff w:val="nothing"/>
      <w:lvlText w:val="%6."/>
      <w:lvlJc w:val="left"/>
      <w:pPr>
        <w:ind w:left="-720" w:firstLine="4320"/>
      </w:pPr>
      <w:rPr>
        <w:rFonts w:hint="default"/>
        <w:color w:val="000000"/>
        <w:position w:val="0"/>
        <w:sz w:val="24"/>
      </w:rPr>
    </w:lvl>
    <w:lvl w:ilvl="6">
      <w:start w:val="1"/>
      <w:numFmt w:val="decimal"/>
      <w:isLgl/>
      <w:suff w:val="nothing"/>
      <w:lvlText w:val="%7."/>
      <w:lvlJc w:val="left"/>
      <w:pPr>
        <w:ind w:left="-720" w:firstLine="5040"/>
      </w:pPr>
      <w:rPr>
        <w:rFonts w:hint="default"/>
        <w:color w:val="000000"/>
        <w:position w:val="0"/>
        <w:sz w:val="24"/>
      </w:rPr>
    </w:lvl>
    <w:lvl w:ilvl="7">
      <w:start w:val="1"/>
      <w:numFmt w:val="lowerLetter"/>
      <w:suff w:val="nothing"/>
      <w:lvlText w:val="%8."/>
      <w:lvlJc w:val="left"/>
      <w:pPr>
        <w:ind w:left="-720" w:firstLine="5760"/>
      </w:pPr>
      <w:rPr>
        <w:rFonts w:hint="default"/>
        <w:color w:val="000000"/>
        <w:position w:val="0"/>
        <w:sz w:val="24"/>
      </w:rPr>
    </w:lvl>
    <w:lvl w:ilvl="8">
      <w:start w:val="1"/>
      <w:numFmt w:val="lowerRoman"/>
      <w:suff w:val="nothing"/>
      <w:lvlText w:val="%9."/>
      <w:lvlJc w:val="left"/>
      <w:pPr>
        <w:ind w:left="-720" w:firstLine="6480"/>
      </w:pPr>
      <w:rPr>
        <w:rFonts w:hint="default"/>
        <w:color w:val="000000"/>
        <w:position w:val="0"/>
        <w:sz w:val="24"/>
      </w:rPr>
    </w:lvl>
  </w:abstractNum>
  <w:abstractNum w:abstractNumId="2" w15:restartNumberingAfterBreak="0">
    <w:nsid w:val="00000003"/>
    <w:multiLevelType w:val="multilevel"/>
    <w:tmpl w:val="EBD6F14A"/>
    <w:lvl w:ilvl="0">
      <w:start w:val="1"/>
      <w:numFmt w:val="upperLetter"/>
      <w:lvlText w:val="%1."/>
      <w:lvlJc w:val="left"/>
      <w:pPr>
        <w:tabs>
          <w:tab w:val="num" w:pos="0"/>
        </w:tabs>
        <w:ind w:left="0" w:firstLine="1440"/>
      </w:pPr>
      <w:rPr>
        <w:rFonts w:hint="default"/>
        <w:color w:val="000000"/>
        <w:position w:val="0"/>
        <w:sz w:val="24"/>
      </w:rPr>
    </w:lvl>
    <w:lvl w:ilvl="1">
      <w:start w:val="1"/>
      <w:numFmt w:val="lowerLetter"/>
      <w:suff w:val="nothing"/>
      <w:lvlText w:val="%2."/>
      <w:lvlJc w:val="left"/>
      <w:pPr>
        <w:ind w:left="-360" w:firstLine="2520"/>
      </w:pPr>
      <w:rPr>
        <w:rFonts w:hint="default"/>
        <w:color w:val="000000"/>
        <w:position w:val="0"/>
        <w:sz w:val="24"/>
      </w:rPr>
    </w:lvl>
    <w:lvl w:ilvl="2">
      <w:start w:val="1"/>
      <w:numFmt w:val="lowerRoman"/>
      <w:suff w:val="nothing"/>
      <w:lvlText w:val="%3."/>
      <w:lvlJc w:val="left"/>
      <w:pPr>
        <w:ind w:left="-360" w:firstLine="3240"/>
      </w:pPr>
      <w:rPr>
        <w:rFonts w:hint="default"/>
        <w:color w:val="000000"/>
        <w:position w:val="0"/>
        <w:sz w:val="24"/>
      </w:rPr>
    </w:lvl>
    <w:lvl w:ilvl="3">
      <w:start w:val="1"/>
      <w:numFmt w:val="decimal"/>
      <w:isLgl/>
      <w:suff w:val="nothing"/>
      <w:lvlText w:val="%4."/>
      <w:lvlJc w:val="left"/>
      <w:pPr>
        <w:ind w:left="-360" w:firstLine="3960"/>
      </w:pPr>
      <w:rPr>
        <w:rFonts w:hint="default"/>
        <w:color w:val="000000"/>
        <w:position w:val="0"/>
        <w:sz w:val="24"/>
      </w:rPr>
    </w:lvl>
    <w:lvl w:ilvl="4">
      <w:start w:val="1"/>
      <w:numFmt w:val="lowerLetter"/>
      <w:suff w:val="nothing"/>
      <w:lvlText w:val="%5."/>
      <w:lvlJc w:val="left"/>
      <w:pPr>
        <w:ind w:left="-360" w:firstLine="4680"/>
      </w:pPr>
      <w:rPr>
        <w:rFonts w:hint="default"/>
        <w:color w:val="000000"/>
        <w:position w:val="0"/>
        <w:sz w:val="24"/>
      </w:rPr>
    </w:lvl>
    <w:lvl w:ilvl="5">
      <w:start w:val="1"/>
      <w:numFmt w:val="lowerRoman"/>
      <w:suff w:val="nothing"/>
      <w:lvlText w:val="%6."/>
      <w:lvlJc w:val="left"/>
      <w:pPr>
        <w:ind w:left="-360" w:firstLine="5400"/>
      </w:pPr>
      <w:rPr>
        <w:rFonts w:hint="default"/>
        <w:color w:val="000000"/>
        <w:position w:val="0"/>
        <w:sz w:val="24"/>
      </w:rPr>
    </w:lvl>
    <w:lvl w:ilvl="6">
      <w:start w:val="1"/>
      <w:numFmt w:val="decimal"/>
      <w:isLgl/>
      <w:suff w:val="nothing"/>
      <w:lvlText w:val="%7."/>
      <w:lvlJc w:val="left"/>
      <w:pPr>
        <w:ind w:left="-360" w:firstLine="6120"/>
      </w:pPr>
      <w:rPr>
        <w:rFonts w:hint="default"/>
        <w:color w:val="000000"/>
        <w:position w:val="0"/>
        <w:sz w:val="24"/>
      </w:rPr>
    </w:lvl>
    <w:lvl w:ilvl="7">
      <w:start w:val="1"/>
      <w:numFmt w:val="lowerLetter"/>
      <w:suff w:val="nothing"/>
      <w:lvlText w:val="%8."/>
      <w:lvlJc w:val="left"/>
      <w:pPr>
        <w:ind w:left="-360" w:firstLine="6840"/>
      </w:pPr>
      <w:rPr>
        <w:rFonts w:hint="default"/>
        <w:color w:val="000000"/>
        <w:position w:val="0"/>
        <w:sz w:val="24"/>
      </w:rPr>
    </w:lvl>
    <w:lvl w:ilvl="8">
      <w:start w:val="1"/>
      <w:numFmt w:val="lowerRoman"/>
      <w:suff w:val="nothing"/>
      <w:lvlText w:val="%9."/>
      <w:lvlJc w:val="left"/>
      <w:pPr>
        <w:ind w:left="-360" w:firstLine="7560"/>
      </w:pPr>
      <w:rPr>
        <w:rFonts w:hint="default"/>
        <w:color w:val="000000"/>
        <w:position w:val="0"/>
        <w:sz w:val="24"/>
      </w:rPr>
    </w:lvl>
  </w:abstractNum>
  <w:abstractNum w:abstractNumId="3" w15:restartNumberingAfterBreak="0">
    <w:nsid w:val="00000004"/>
    <w:multiLevelType w:val="multilevel"/>
    <w:tmpl w:val="894EE876"/>
    <w:lvl w:ilvl="0">
      <w:start w:val="3"/>
      <w:numFmt w:val="upperRoman"/>
      <w:suff w:val="nothing"/>
      <w:lvlText w:val="%1."/>
      <w:lvlJc w:val="left"/>
      <w:pPr>
        <w:ind w:left="0" w:firstLine="0"/>
      </w:pPr>
      <w:rPr>
        <w:rFonts w:hint="default"/>
        <w:position w:val="0"/>
      </w:rPr>
    </w:lvl>
    <w:lvl w:ilvl="1">
      <w:start w:val="1"/>
      <w:numFmt w:val="bullet"/>
      <w:lvlText w:val=""/>
      <w:lvlJc w:val="left"/>
      <w:pPr>
        <w:tabs>
          <w:tab w:val="num" w:pos="720"/>
        </w:tabs>
        <w:ind w:left="720" w:firstLine="0"/>
      </w:pPr>
      <w:rPr>
        <w:rFonts w:hint="default"/>
        <w:position w:val="0"/>
      </w:rPr>
    </w:lvl>
    <w:lvl w:ilvl="2">
      <w:start w:val="1"/>
      <w:numFmt w:val="bullet"/>
      <w:lvlText w:val=""/>
      <w:lvlJc w:val="left"/>
      <w:pPr>
        <w:tabs>
          <w:tab w:val="num" w:pos="1440"/>
        </w:tabs>
        <w:ind w:left="1440" w:firstLine="0"/>
      </w:pPr>
      <w:rPr>
        <w:rFonts w:hint="default"/>
        <w:position w:val="0"/>
      </w:rPr>
    </w:lvl>
    <w:lvl w:ilvl="3">
      <w:start w:val="1"/>
      <w:numFmt w:val="bullet"/>
      <w:lvlText w:val=""/>
      <w:lvlJc w:val="left"/>
      <w:pPr>
        <w:tabs>
          <w:tab w:val="num" w:pos="2160"/>
        </w:tabs>
        <w:ind w:left="2160" w:firstLine="0"/>
      </w:pPr>
      <w:rPr>
        <w:rFonts w:hint="default"/>
        <w:position w:val="0"/>
      </w:rPr>
    </w:lvl>
    <w:lvl w:ilvl="4">
      <w:start w:val="1"/>
      <w:numFmt w:val="bullet"/>
      <w:lvlText w:val=""/>
      <w:lvlJc w:val="left"/>
      <w:pPr>
        <w:tabs>
          <w:tab w:val="num" w:pos="2880"/>
        </w:tabs>
        <w:ind w:left="2880" w:firstLine="0"/>
      </w:pPr>
      <w:rPr>
        <w:rFonts w:hint="default"/>
        <w:position w:val="0"/>
      </w:rPr>
    </w:lvl>
    <w:lvl w:ilvl="5">
      <w:start w:val="1"/>
      <w:numFmt w:val="bullet"/>
      <w:lvlText w:val=""/>
      <w:lvlJc w:val="left"/>
      <w:pPr>
        <w:tabs>
          <w:tab w:val="num" w:pos="3600"/>
        </w:tabs>
        <w:ind w:left="3600" w:firstLine="0"/>
      </w:pPr>
      <w:rPr>
        <w:rFonts w:hint="default"/>
        <w:position w:val="0"/>
      </w:rPr>
    </w:lvl>
    <w:lvl w:ilvl="6">
      <w:start w:val="1"/>
      <w:numFmt w:val="bullet"/>
      <w:lvlText w:val=""/>
      <w:lvlJc w:val="left"/>
      <w:pPr>
        <w:tabs>
          <w:tab w:val="num" w:pos="4320"/>
        </w:tabs>
        <w:ind w:left="4320" w:firstLine="0"/>
      </w:pPr>
      <w:rPr>
        <w:rFonts w:hint="default"/>
        <w:position w:val="0"/>
      </w:rPr>
    </w:lvl>
    <w:lvl w:ilvl="7">
      <w:start w:val="1"/>
      <w:numFmt w:val="bullet"/>
      <w:lvlText w:val=""/>
      <w:lvlJc w:val="left"/>
      <w:pPr>
        <w:tabs>
          <w:tab w:val="num" w:pos="5040"/>
        </w:tabs>
        <w:ind w:left="5040" w:firstLine="0"/>
      </w:pPr>
      <w:rPr>
        <w:rFonts w:hint="default"/>
        <w:position w:val="0"/>
      </w:rPr>
    </w:lvl>
    <w:lvl w:ilvl="8">
      <w:start w:val="1"/>
      <w:numFmt w:val="bullet"/>
      <w:lvlText w:val=""/>
      <w:lvlJc w:val="left"/>
      <w:pPr>
        <w:tabs>
          <w:tab w:val="num" w:pos="5760"/>
        </w:tabs>
        <w:ind w:left="5760" w:firstLine="0"/>
      </w:pPr>
      <w:rPr>
        <w:rFonts w:hint="default"/>
        <w:position w:val="0"/>
      </w:rPr>
    </w:lvl>
  </w:abstractNum>
  <w:abstractNum w:abstractNumId="4" w15:restartNumberingAfterBreak="0">
    <w:nsid w:val="00000005"/>
    <w:multiLevelType w:val="multilevel"/>
    <w:tmpl w:val="894EE877"/>
    <w:lvl w:ilvl="0">
      <w:start w:val="1"/>
      <w:numFmt w:val="upperLetter"/>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5" w15:restartNumberingAfterBreak="0">
    <w:nsid w:val="00000006"/>
    <w:multiLevelType w:val="multilevel"/>
    <w:tmpl w:val="894EE878"/>
    <w:lvl w:ilvl="0">
      <w:start w:val="1"/>
      <w:numFmt w:val="decimal"/>
      <w:isLgl/>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6" w15:restartNumberingAfterBreak="0">
    <w:nsid w:val="00000008"/>
    <w:multiLevelType w:val="multilevel"/>
    <w:tmpl w:val="894EE87A"/>
    <w:lvl w:ilvl="0">
      <w:start w:val="4"/>
      <w:numFmt w:val="upperRoman"/>
      <w:lvlText w:val="%1."/>
      <w:lvlJc w:val="left"/>
      <w:pPr>
        <w:tabs>
          <w:tab w:val="num" w:pos="360"/>
        </w:tabs>
        <w:ind w:left="360" w:firstLine="360"/>
      </w:pPr>
      <w:rPr>
        <w:rFonts w:hint="default"/>
        <w:color w:val="000000"/>
        <w:position w:val="0"/>
        <w:sz w:val="24"/>
      </w:rPr>
    </w:lvl>
    <w:lvl w:ilvl="1">
      <w:start w:val="1"/>
      <w:numFmt w:val="lowerLetter"/>
      <w:suff w:val="nothing"/>
      <w:lvlText w:val="%2."/>
      <w:lvlJc w:val="left"/>
      <w:pPr>
        <w:ind w:left="0" w:firstLine="1440"/>
      </w:pPr>
      <w:rPr>
        <w:rFonts w:hint="default"/>
        <w:color w:val="000000"/>
        <w:position w:val="0"/>
        <w:sz w:val="24"/>
      </w:rPr>
    </w:lvl>
    <w:lvl w:ilvl="2">
      <w:start w:val="1"/>
      <w:numFmt w:val="lowerRoman"/>
      <w:suff w:val="nothing"/>
      <w:lvlText w:val="%3."/>
      <w:lvlJc w:val="left"/>
      <w:pPr>
        <w:ind w:left="0" w:firstLine="2160"/>
      </w:pPr>
      <w:rPr>
        <w:rFonts w:hint="default"/>
        <w:color w:val="000000"/>
        <w:position w:val="0"/>
        <w:sz w:val="24"/>
      </w:rPr>
    </w:lvl>
    <w:lvl w:ilvl="3">
      <w:start w:val="1"/>
      <w:numFmt w:val="decimal"/>
      <w:isLgl/>
      <w:suff w:val="nothing"/>
      <w:lvlText w:val="%4."/>
      <w:lvlJc w:val="left"/>
      <w:pPr>
        <w:ind w:left="0" w:firstLine="2880"/>
      </w:pPr>
      <w:rPr>
        <w:rFonts w:hint="default"/>
        <w:color w:val="000000"/>
        <w:position w:val="0"/>
        <w:sz w:val="24"/>
      </w:rPr>
    </w:lvl>
    <w:lvl w:ilvl="4">
      <w:start w:val="1"/>
      <w:numFmt w:val="lowerLetter"/>
      <w:suff w:val="nothing"/>
      <w:lvlText w:val="%5."/>
      <w:lvlJc w:val="left"/>
      <w:pPr>
        <w:ind w:left="0" w:firstLine="3600"/>
      </w:pPr>
      <w:rPr>
        <w:rFonts w:hint="default"/>
        <w:color w:val="000000"/>
        <w:position w:val="0"/>
        <w:sz w:val="24"/>
      </w:rPr>
    </w:lvl>
    <w:lvl w:ilvl="5">
      <w:start w:val="1"/>
      <w:numFmt w:val="lowerRoman"/>
      <w:suff w:val="nothing"/>
      <w:lvlText w:val="%6."/>
      <w:lvlJc w:val="left"/>
      <w:pPr>
        <w:ind w:left="0" w:firstLine="4320"/>
      </w:pPr>
      <w:rPr>
        <w:rFonts w:hint="default"/>
        <w:color w:val="000000"/>
        <w:position w:val="0"/>
        <w:sz w:val="24"/>
      </w:rPr>
    </w:lvl>
    <w:lvl w:ilvl="6">
      <w:start w:val="1"/>
      <w:numFmt w:val="decimal"/>
      <w:isLgl/>
      <w:suff w:val="nothing"/>
      <w:lvlText w:val="%7."/>
      <w:lvlJc w:val="left"/>
      <w:pPr>
        <w:ind w:left="0" w:firstLine="5040"/>
      </w:pPr>
      <w:rPr>
        <w:rFonts w:hint="default"/>
        <w:color w:val="000000"/>
        <w:position w:val="0"/>
        <w:sz w:val="24"/>
      </w:rPr>
    </w:lvl>
    <w:lvl w:ilvl="7">
      <w:start w:val="1"/>
      <w:numFmt w:val="lowerLetter"/>
      <w:suff w:val="nothing"/>
      <w:lvlText w:val="%8."/>
      <w:lvlJc w:val="left"/>
      <w:pPr>
        <w:ind w:left="0" w:firstLine="5760"/>
      </w:pPr>
      <w:rPr>
        <w:rFonts w:hint="default"/>
        <w:color w:val="000000"/>
        <w:position w:val="0"/>
        <w:sz w:val="24"/>
      </w:rPr>
    </w:lvl>
    <w:lvl w:ilvl="8">
      <w:start w:val="1"/>
      <w:numFmt w:val="lowerRoman"/>
      <w:suff w:val="nothing"/>
      <w:lvlText w:val="%9."/>
      <w:lvlJc w:val="left"/>
      <w:pPr>
        <w:ind w:left="0" w:firstLine="6480"/>
      </w:pPr>
      <w:rPr>
        <w:rFonts w:hint="default"/>
        <w:color w:val="000000"/>
        <w:position w:val="0"/>
        <w:sz w:val="24"/>
      </w:rPr>
    </w:lvl>
  </w:abstractNum>
  <w:abstractNum w:abstractNumId="7" w15:restartNumberingAfterBreak="0">
    <w:nsid w:val="007946FF"/>
    <w:multiLevelType w:val="hybridMultilevel"/>
    <w:tmpl w:val="BA48FF0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C526800"/>
    <w:multiLevelType w:val="hybridMultilevel"/>
    <w:tmpl w:val="B37656E4"/>
    <w:lvl w:ilvl="0" w:tplc="23B09326">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9" w15:restartNumberingAfterBreak="0">
    <w:nsid w:val="0EE17C77"/>
    <w:multiLevelType w:val="hybridMultilevel"/>
    <w:tmpl w:val="18802BE0"/>
    <w:lvl w:ilvl="0" w:tplc="EB5015C4">
      <w:start w:val="1"/>
      <w:numFmt w:val="upperRoman"/>
      <w:lvlText w:val="%1."/>
      <w:lvlJc w:val="left"/>
      <w:pPr>
        <w:ind w:left="1080" w:hanging="720"/>
      </w:pPr>
      <w:rPr>
        <w:rFonts w:cs="Times New Roman" w:hint="default"/>
      </w:rPr>
    </w:lvl>
    <w:lvl w:ilvl="1" w:tplc="6FF0E408">
      <w:start w:val="1"/>
      <w:numFmt w:val="lowerLetter"/>
      <w:lvlText w:val="%2."/>
      <w:lvlJc w:val="left"/>
      <w:pPr>
        <w:ind w:left="1440" w:hanging="360"/>
      </w:pPr>
      <w:rPr>
        <w:rFonts w:cs="Times New Roman"/>
      </w:rPr>
    </w:lvl>
    <w:lvl w:ilvl="2" w:tplc="99304034" w:tentative="1">
      <w:start w:val="1"/>
      <w:numFmt w:val="lowerRoman"/>
      <w:lvlText w:val="%3."/>
      <w:lvlJc w:val="right"/>
      <w:pPr>
        <w:ind w:left="2160" w:hanging="180"/>
      </w:pPr>
      <w:rPr>
        <w:rFonts w:cs="Times New Roman"/>
      </w:rPr>
    </w:lvl>
    <w:lvl w:ilvl="3" w:tplc="59B61AF8" w:tentative="1">
      <w:start w:val="1"/>
      <w:numFmt w:val="decimal"/>
      <w:lvlText w:val="%4."/>
      <w:lvlJc w:val="left"/>
      <w:pPr>
        <w:ind w:left="2880" w:hanging="360"/>
      </w:pPr>
      <w:rPr>
        <w:rFonts w:cs="Times New Roman"/>
      </w:rPr>
    </w:lvl>
    <w:lvl w:ilvl="4" w:tplc="E7A41364" w:tentative="1">
      <w:start w:val="1"/>
      <w:numFmt w:val="lowerLetter"/>
      <w:lvlText w:val="%5."/>
      <w:lvlJc w:val="left"/>
      <w:pPr>
        <w:ind w:left="3600" w:hanging="360"/>
      </w:pPr>
      <w:rPr>
        <w:rFonts w:cs="Times New Roman"/>
      </w:rPr>
    </w:lvl>
    <w:lvl w:ilvl="5" w:tplc="52FA9008" w:tentative="1">
      <w:start w:val="1"/>
      <w:numFmt w:val="lowerRoman"/>
      <w:lvlText w:val="%6."/>
      <w:lvlJc w:val="right"/>
      <w:pPr>
        <w:ind w:left="4320" w:hanging="180"/>
      </w:pPr>
      <w:rPr>
        <w:rFonts w:cs="Times New Roman"/>
      </w:rPr>
    </w:lvl>
    <w:lvl w:ilvl="6" w:tplc="0EA8AFC4" w:tentative="1">
      <w:start w:val="1"/>
      <w:numFmt w:val="decimal"/>
      <w:lvlText w:val="%7."/>
      <w:lvlJc w:val="left"/>
      <w:pPr>
        <w:ind w:left="5040" w:hanging="360"/>
      </w:pPr>
      <w:rPr>
        <w:rFonts w:cs="Times New Roman"/>
      </w:rPr>
    </w:lvl>
    <w:lvl w:ilvl="7" w:tplc="6576BA8C" w:tentative="1">
      <w:start w:val="1"/>
      <w:numFmt w:val="lowerLetter"/>
      <w:lvlText w:val="%8."/>
      <w:lvlJc w:val="left"/>
      <w:pPr>
        <w:ind w:left="5760" w:hanging="360"/>
      </w:pPr>
      <w:rPr>
        <w:rFonts w:cs="Times New Roman"/>
      </w:rPr>
    </w:lvl>
    <w:lvl w:ilvl="8" w:tplc="0BBC9A38" w:tentative="1">
      <w:start w:val="1"/>
      <w:numFmt w:val="lowerRoman"/>
      <w:lvlText w:val="%9."/>
      <w:lvlJc w:val="right"/>
      <w:pPr>
        <w:ind w:left="6480" w:hanging="180"/>
      </w:pPr>
      <w:rPr>
        <w:rFonts w:cs="Times New Roman"/>
      </w:rPr>
    </w:lvl>
  </w:abstractNum>
  <w:abstractNum w:abstractNumId="10" w15:restartNumberingAfterBreak="0">
    <w:nsid w:val="12696F3C"/>
    <w:multiLevelType w:val="hybridMultilevel"/>
    <w:tmpl w:val="DC843ED6"/>
    <w:lvl w:ilvl="0" w:tplc="E77E823C">
      <w:start w:val="1"/>
      <w:numFmt w:val="lowerLetter"/>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732123D"/>
    <w:multiLevelType w:val="hybridMultilevel"/>
    <w:tmpl w:val="7D988FEA"/>
    <w:lvl w:ilvl="0" w:tplc="6E96D080">
      <w:start w:val="1"/>
      <w:numFmt w:val="upp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2" w15:restartNumberingAfterBreak="0">
    <w:nsid w:val="1B996B61"/>
    <w:multiLevelType w:val="hybridMultilevel"/>
    <w:tmpl w:val="F92E001A"/>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1E683551"/>
    <w:multiLevelType w:val="hybridMultilevel"/>
    <w:tmpl w:val="18802BE0"/>
    <w:lvl w:ilvl="0" w:tplc="7E82E3E4">
      <w:start w:val="1"/>
      <w:numFmt w:val="upperRoman"/>
      <w:lvlText w:val="%1."/>
      <w:lvlJc w:val="left"/>
      <w:pPr>
        <w:ind w:left="1080" w:hanging="720"/>
      </w:pPr>
      <w:rPr>
        <w:rFonts w:cs="Times New Roman" w:hint="default"/>
      </w:rPr>
    </w:lvl>
    <w:lvl w:ilvl="1" w:tplc="4934B69C" w:tentative="1">
      <w:start w:val="1"/>
      <w:numFmt w:val="lowerLetter"/>
      <w:lvlText w:val="%2."/>
      <w:lvlJc w:val="left"/>
      <w:pPr>
        <w:ind w:left="1440" w:hanging="360"/>
      </w:pPr>
      <w:rPr>
        <w:rFonts w:cs="Times New Roman"/>
      </w:rPr>
    </w:lvl>
    <w:lvl w:ilvl="2" w:tplc="FCC6EAA2" w:tentative="1">
      <w:start w:val="1"/>
      <w:numFmt w:val="lowerRoman"/>
      <w:lvlText w:val="%3."/>
      <w:lvlJc w:val="right"/>
      <w:pPr>
        <w:ind w:left="2160" w:hanging="180"/>
      </w:pPr>
      <w:rPr>
        <w:rFonts w:cs="Times New Roman"/>
      </w:rPr>
    </w:lvl>
    <w:lvl w:ilvl="3" w:tplc="D818905A" w:tentative="1">
      <w:start w:val="1"/>
      <w:numFmt w:val="decimal"/>
      <w:lvlText w:val="%4."/>
      <w:lvlJc w:val="left"/>
      <w:pPr>
        <w:ind w:left="2880" w:hanging="360"/>
      </w:pPr>
      <w:rPr>
        <w:rFonts w:cs="Times New Roman"/>
      </w:rPr>
    </w:lvl>
    <w:lvl w:ilvl="4" w:tplc="575E2BBC" w:tentative="1">
      <w:start w:val="1"/>
      <w:numFmt w:val="lowerLetter"/>
      <w:lvlText w:val="%5."/>
      <w:lvlJc w:val="left"/>
      <w:pPr>
        <w:ind w:left="3600" w:hanging="360"/>
      </w:pPr>
      <w:rPr>
        <w:rFonts w:cs="Times New Roman"/>
      </w:rPr>
    </w:lvl>
    <w:lvl w:ilvl="5" w:tplc="4834418C" w:tentative="1">
      <w:start w:val="1"/>
      <w:numFmt w:val="lowerRoman"/>
      <w:lvlText w:val="%6."/>
      <w:lvlJc w:val="right"/>
      <w:pPr>
        <w:ind w:left="4320" w:hanging="180"/>
      </w:pPr>
      <w:rPr>
        <w:rFonts w:cs="Times New Roman"/>
      </w:rPr>
    </w:lvl>
    <w:lvl w:ilvl="6" w:tplc="10502512" w:tentative="1">
      <w:start w:val="1"/>
      <w:numFmt w:val="decimal"/>
      <w:lvlText w:val="%7."/>
      <w:lvlJc w:val="left"/>
      <w:pPr>
        <w:ind w:left="5040" w:hanging="360"/>
      </w:pPr>
      <w:rPr>
        <w:rFonts w:cs="Times New Roman"/>
      </w:rPr>
    </w:lvl>
    <w:lvl w:ilvl="7" w:tplc="6AA847BC" w:tentative="1">
      <w:start w:val="1"/>
      <w:numFmt w:val="lowerLetter"/>
      <w:lvlText w:val="%8."/>
      <w:lvlJc w:val="left"/>
      <w:pPr>
        <w:ind w:left="5760" w:hanging="360"/>
      </w:pPr>
      <w:rPr>
        <w:rFonts w:cs="Times New Roman"/>
      </w:rPr>
    </w:lvl>
    <w:lvl w:ilvl="8" w:tplc="87AEC13E" w:tentative="1">
      <w:start w:val="1"/>
      <w:numFmt w:val="lowerRoman"/>
      <w:lvlText w:val="%9."/>
      <w:lvlJc w:val="right"/>
      <w:pPr>
        <w:ind w:left="6480" w:hanging="180"/>
      </w:pPr>
      <w:rPr>
        <w:rFonts w:cs="Times New Roman"/>
      </w:rPr>
    </w:lvl>
  </w:abstractNum>
  <w:abstractNum w:abstractNumId="14" w15:restartNumberingAfterBreak="0">
    <w:nsid w:val="1ED225C6"/>
    <w:multiLevelType w:val="multilevel"/>
    <w:tmpl w:val="894EE875"/>
    <w:lvl w:ilvl="0">
      <w:start w:val="2"/>
      <w:numFmt w:val="upperLetter"/>
      <w:lvlText w:val="%1."/>
      <w:lvlJc w:val="left"/>
      <w:pPr>
        <w:tabs>
          <w:tab w:val="num" w:pos="360"/>
        </w:tabs>
        <w:ind w:left="360" w:firstLine="1440"/>
      </w:pPr>
      <w:rPr>
        <w:rFonts w:hint="default"/>
        <w:color w:val="000000"/>
        <w:position w:val="0"/>
        <w:sz w:val="24"/>
      </w:rPr>
    </w:lvl>
    <w:lvl w:ilvl="1">
      <w:start w:val="1"/>
      <w:numFmt w:val="lowerLetter"/>
      <w:suff w:val="nothing"/>
      <w:lvlText w:val="%2."/>
      <w:lvlJc w:val="left"/>
      <w:pPr>
        <w:ind w:left="0" w:firstLine="2520"/>
      </w:pPr>
      <w:rPr>
        <w:rFonts w:hint="default"/>
        <w:color w:val="000000"/>
        <w:position w:val="0"/>
        <w:sz w:val="24"/>
      </w:rPr>
    </w:lvl>
    <w:lvl w:ilvl="2">
      <w:start w:val="1"/>
      <w:numFmt w:val="lowerRoman"/>
      <w:suff w:val="nothing"/>
      <w:lvlText w:val="%3."/>
      <w:lvlJc w:val="left"/>
      <w:pPr>
        <w:ind w:left="0" w:firstLine="3240"/>
      </w:pPr>
      <w:rPr>
        <w:rFonts w:hint="default"/>
        <w:color w:val="000000"/>
        <w:position w:val="0"/>
        <w:sz w:val="24"/>
      </w:rPr>
    </w:lvl>
    <w:lvl w:ilvl="3">
      <w:start w:val="1"/>
      <w:numFmt w:val="decimal"/>
      <w:isLgl/>
      <w:suff w:val="nothing"/>
      <w:lvlText w:val="%4."/>
      <w:lvlJc w:val="left"/>
      <w:pPr>
        <w:ind w:left="0" w:firstLine="3960"/>
      </w:pPr>
      <w:rPr>
        <w:rFonts w:hint="default"/>
        <w:color w:val="000000"/>
        <w:position w:val="0"/>
        <w:sz w:val="24"/>
      </w:rPr>
    </w:lvl>
    <w:lvl w:ilvl="4">
      <w:start w:val="1"/>
      <w:numFmt w:val="lowerLetter"/>
      <w:suff w:val="nothing"/>
      <w:lvlText w:val="%5."/>
      <w:lvlJc w:val="left"/>
      <w:pPr>
        <w:ind w:left="0" w:firstLine="4680"/>
      </w:pPr>
      <w:rPr>
        <w:rFonts w:hint="default"/>
        <w:color w:val="000000"/>
        <w:position w:val="0"/>
        <w:sz w:val="24"/>
      </w:rPr>
    </w:lvl>
    <w:lvl w:ilvl="5">
      <w:start w:val="1"/>
      <w:numFmt w:val="lowerRoman"/>
      <w:suff w:val="nothing"/>
      <w:lvlText w:val="%6."/>
      <w:lvlJc w:val="left"/>
      <w:pPr>
        <w:ind w:left="0" w:firstLine="5400"/>
      </w:pPr>
      <w:rPr>
        <w:rFonts w:hint="default"/>
        <w:color w:val="000000"/>
        <w:position w:val="0"/>
        <w:sz w:val="24"/>
      </w:rPr>
    </w:lvl>
    <w:lvl w:ilvl="6">
      <w:start w:val="1"/>
      <w:numFmt w:val="decimal"/>
      <w:isLgl/>
      <w:suff w:val="nothing"/>
      <w:lvlText w:val="%7."/>
      <w:lvlJc w:val="left"/>
      <w:pPr>
        <w:ind w:left="0" w:firstLine="6120"/>
      </w:pPr>
      <w:rPr>
        <w:rFonts w:hint="default"/>
        <w:color w:val="000000"/>
        <w:position w:val="0"/>
        <w:sz w:val="24"/>
      </w:rPr>
    </w:lvl>
    <w:lvl w:ilvl="7">
      <w:start w:val="1"/>
      <w:numFmt w:val="lowerLetter"/>
      <w:suff w:val="nothing"/>
      <w:lvlText w:val="%8."/>
      <w:lvlJc w:val="left"/>
      <w:pPr>
        <w:ind w:left="0" w:firstLine="6840"/>
      </w:pPr>
      <w:rPr>
        <w:rFonts w:hint="default"/>
        <w:color w:val="000000"/>
        <w:position w:val="0"/>
        <w:sz w:val="24"/>
      </w:rPr>
    </w:lvl>
    <w:lvl w:ilvl="8">
      <w:start w:val="1"/>
      <w:numFmt w:val="lowerRoman"/>
      <w:suff w:val="nothing"/>
      <w:lvlText w:val="%9."/>
      <w:lvlJc w:val="left"/>
      <w:pPr>
        <w:ind w:left="0" w:firstLine="7560"/>
      </w:pPr>
      <w:rPr>
        <w:rFonts w:hint="default"/>
        <w:color w:val="000000"/>
        <w:position w:val="0"/>
        <w:sz w:val="24"/>
      </w:rPr>
    </w:lvl>
  </w:abstractNum>
  <w:abstractNum w:abstractNumId="15" w15:restartNumberingAfterBreak="0">
    <w:nsid w:val="20EA680F"/>
    <w:multiLevelType w:val="hybridMultilevel"/>
    <w:tmpl w:val="8DA0C2F4"/>
    <w:lvl w:ilvl="0" w:tplc="23060736">
      <w:start w:val="1"/>
      <w:numFmt w:val="bullet"/>
      <w:lvlText w:val=""/>
      <w:lvlJc w:val="left"/>
      <w:pPr>
        <w:ind w:left="720" w:hanging="360"/>
      </w:pPr>
      <w:rPr>
        <w:rFonts w:ascii="Wingdings" w:hAnsi="Wingdings" w:hint="default"/>
      </w:rPr>
    </w:lvl>
    <w:lvl w:ilvl="1" w:tplc="20BADB3A" w:tentative="1">
      <w:start w:val="1"/>
      <w:numFmt w:val="bullet"/>
      <w:lvlText w:val="o"/>
      <w:lvlJc w:val="left"/>
      <w:pPr>
        <w:ind w:left="1440" w:hanging="360"/>
      </w:pPr>
      <w:rPr>
        <w:rFonts w:ascii="Courier New" w:hAnsi="Courier New" w:hint="default"/>
      </w:rPr>
    </w:lvl>
    <w:lvl w:ilvl="2" w:tplc="DC54FD1A" w:tentative="1">
      <w:start w:val="1"/>
      <w:numFmt w:val="bullet"/>
      <w:lvlText w:val=""/>
      <w:lvlJc w:val="left"/>
      <w:pPr>
        <w:ind w:left="2160" w:hanging="360"/>
      </w:pPr>
      <w:rPr>
        <w:rFonts w:ascii="Wingdings" w:hAnsi="Wingdings" w:hint="default"/>
      </w:rPr>
    </w:lvl>
    <w:lvl w:ilvl="3" w:tplc="6600AB5A" w:tentative="1">
      <w:start w:val="1"/>
      <w:numFmt w:val="bullet"/>
      <w:lvlText w:val=""/>
      <w:lvlJc w:val="left"/>
      <w:pPr>
        <w:ind w:left="2880" w:hanging="360"/>
      </w:pPr>
      <w:rPr>
        <w:rFonts w:ascii="Symbol" w:hAnsi="Symbol" w:hint="default"/>
      </w:rPr>
    </w:lvl>
    <w:lvl w:ilvl="4" w:tplc="09683F82" w:tentative="1">
      <w:start w:val="1"/>
      <w:numFmt w:val="bullet"/>
      <w:lvlText w:val="o"/>
      <w:lvlJc w:val="left"/>
      <w:pPr>
        <w:ind w:left="3600" w:hanging="360"/>
      </w:pPr>
      <w:rPr>
        <w:rFonts w:ascii="Courier New" w:hAnsi="Courier New" w:hint="default"/>
      </w:rPr>
    </w:lvl>
    <w:lvl w:ilvl="5" w:tplc="BED81A68" w:tentative="1">
      <w:start w:val="1"/>
      <w:numFmt w:val="bullet"/>
      <w:lvlText w:val=""/>
      <w:lvlJc w:val="left"/>
      <w:pPr>
        <w:ind w:left="4320" w:hanging="360"/>
      </w:pPr>
      <w:rPr>
        <w:rFonts w:ascii="Wingdings" w:hAnsi="Wingdings" w:hint="default"/>
      </w:rPr>
    </w:lvl>
    <w:lvl w:ilvl="6" w:tplc="50B83722" w:tentative="1">
      <w:start w:val="1"/>
      <w:numFmt w:val="bullet"/>
      <w:lvlText w:val=""/>
      <w:lvlJc w:val="left"/>
      <w:pPr>
        <w:ind w:left="5040" w:hanging="360"/>
      </w:pPr>
      <w:rPr>
        <w:rFonts w:ascii="Symbol" w:hAnsi="Symbol" w:hint="default"/>
      </w:rPr>
    </w:lvl>
    <w:lvl w:ilvl="7" w:tplc="5C3260D4" w:tentative="1">
      <w:start w:val="1"/>
      <w:numFmt w:val="bullet"/>
      <w:lvlText w:val="o"/>
      <w:lvlJc w:val="left"/>
      <w:pPr>
        <w:ind w:left="5760" w:hanging="360"/>
      </w:pPr>
      <w:rPr>
        <w:rFonts w:ascii="Courier New" w:hAnsi="Courier New" w:hint="default"/>
      </w:rPr>
    </w:lvl>
    <w:lvl w:ilvl="8" w:tplc="446C48CC" w:tentative="1">
      <w:start w:val="1"/>
      <w:numFmt w:val="bullet"/>
      <w:lvlText w:val=""/>
      <w:lvlJc w:val="left"/>
      <w:pPr>
        <w:ind w:left="6480" w:hanging="360"/>
      </w:pPr>
      <w:rPr>
        <w:rFonts w:ascii="Wingdings" w:hAnsi="Wingdings" w:hint="default"/>
      </w:rPr>
    </w:lvl>
  </w:abstractNum>
  <w:abstractNum w:abstractNumId="16" w15:restartNumberingAfterBreak="0">
    <w:nsid w:val="2C2F516E"/>
    <w:multiLevelType w:val="hybridMultilevel"/>
    <w:tmpl w:val="B9EE6238"/>
    <w:lvl w:ilvl="0" w:tplc="15E454EA">
      <w:start w:val="1"/>
      <w:numFmt w:val="bullet"/>
      <w:lvlText w:val=""/>
      <w:lvlJc w:val="left"/>
      <w:pPr>
        <w:ind w:left="360" w:hanging="360"/>
      </w:pPr>
      <w:rPr>
        <w:rFonts w:ascii="Symbol" w:hAnsi="Symbol" w:hint="default"/>
      </w:rPr>
    </w:lvl>
    <w:lvl w:ilvl="1" w:tplc="F3E07BAE">
      <w:start w:val="1"/>
      <w:numFmt w:val="bullet"/>
      <w:lvlText w:val="o"/>
      <w:lvlJc w:val="left"/>
      <w:pPr>
        <w:ind w:left="1080" w:hanging="360"/>
      </w:pPr>
      <w:rPr>
        <w:rFonts w:ascii="Courier New" w:hAnsi="Courier New" w:hint="default"/>
      </w:rPr>
    </w:lvl>
    <w:lvl w:ilvl="2" w:tplc="34BEA976">
      <w:start w:val="1"/>
      <w:numFmt w:val="bullet"/>
      <w:lvlText w:val=""/>
      <w:lvlJc w:val="left"/>
      <w:pPr>
        <w:ind w:left="1800" w:hanging="360"/>
      </w:pPr>
      <w:rPr>
        <w:rFonts w:ascii="Wingdings" w:hAnsi="Wingdings" w:hint="default"/>
      </w:rPr>
    </w:lvl>
    <w:lvl w:ilvl="3" w:tplc="997CC60E">
      <w:start w:val="1"/>
      <w:numFmt w:val="bullet"/>
      <w:lvlText w:val=""/>
      <w:lvlJc w:val="left"/>
      <w:pPr>
        <w:ind w:left="2520" w:hanging="360"/>
      </w:pPr>
      <w:rPr>
        <w:rFonts w:ascii="Symbol" w:hAnsi="Symbol" w:hint="default"/>
      </w:rPr>
    </w:lvl>
    <w:lvl w:ilvl="4" w:tplc="A7D2B5EA">
      <w:start w:val="1"/>
      <w:numFmt w:val="bullet"/>
      <w:lvlText w:val="o"/>
      <w:lvlJc w:val="left"/>
      <w:pPr>
        <w:ind w:left="3240" w:hanging="360"/>
      </w:pPr>
      <w:rPr>
        <w:rFonts w:ascii="Courier New" w:hAnsi="Courier New" w:hint="default"/>
      </w:rPr>
    </w:lvl>
    <w:lvl w:ilvl="5" w:tplc="7526A7FE">
      <w:start w:val="1"/>
      <w:numFmt w:val="bullet"/>
      <w:lvlText w:val=""/>
      <w:lvlJc w:val="left"/>
      <w:pPr>
        <w:ind w:left="3960" w:hanging="360"/>
      </w:pPr>
      <w:rPr>
        <w:rFonts w:ascii="Wingdings" w:hAnsi="Wingdings" w:hint="default"/>
      </w:rPr>
    </w:lvl>
    <w:lvl w:ilvl="6" w:tplc="4F828778">
      <w:start w:val="1"/>
      <w:numFmt w:val="bullet"/>
      <w:lvlText w:val=""/>
      <w:lvlJc w:val="left"/>
      <w:pPr>
        <w:ind w:left="4680" w:hanging="360"/>
      </w:pPr>
      <w:rPr>
        <w:rFonts w:ascii="Symbol" w:hAnsi="Symbol" w:hint="default"/>
      </w:rPr>
    </w:lvl>
    <w:lvl w:ilvl="7" w:tplc="7A6E4322">
      <w:start w:val="1"/>
      <w:numFmt w:val="bullet"/>
      <w:lvlText w:val="o"/>
      <w:lvlJc w:val="left"/>
      <w:pPr>
        <w:ind w:left="5400" w:hanging="360"/>
      </w:pPr>
      <w:rPr>
        <w:rFonts w:ascii="Courier New" w:hAnsi="Courier New" w:hint="default"/>
      </w:rPr>
    </w:lvl>
    <w:lvl w:ilvl="8" w:tplc="D5B4FF20">
      <w:start w:val="1"/>
      <w:numFmt w:val="bullet"/>
      <w:lvlText w:val=""/>
      <w:lvlJc w:val="left"/>
      <w:pPr>
        <w:ind w:left="6120" w:hanging="360"/>
      </w:pPr>
      <w:rPr>
        <w:rFonts w:ascii="Wingdings" w:hAnsi="Wingdings" w:hint="default"/>
      </w:rPr>
    </w:lvl>
  </w:abstractNum>
  <w:abstractNum w:abstractNumId="17" w15:restartNumberingAfterBreak="0">
    <w:nsid w:val="2FDB13A5"/>
    <w:multiLevelType w:val="multilevel"/>
    <w:tmpl w:val="AE2074C2"/>
    <w:lvl w:ilvl="0">
      <w:start w:val="2"/>
      <w:numFmt w:val="decimal"/>
      <w:lvlText w:val="%1."/>
      <w:lvlJc w:val="left"/>
      <w:pPr>
        <w:ind w:left="1080" w:hanging="360"/>
      </w:pPr>
      <w:rPr>
        <w:rFonts w:cs="Times New Roman" w:hint="default"/>
      </w:rPr>
    </w:lvl>
    <w:lvl w:ilvl="1">
      <w:start w:val="1"/>
      <w:numFmt w:val="decimal"/>
      <w:isLgl/>
      <w:lvlText w:val="%1.%2."/>
      <w:lvlJc w:val="left"/>
      <w:pPr>
        <w:ind w:left="1440" w:hanging="720"/>
      </w:pPr>
      <w:rPr>
        <w:rFonts w:cs="Times New Roman" w:hint="default"/>
        <w:color w:val="C0504D" w:themeColor="accent2"/>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800" w:hanging="108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2160" w:hanging="144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520" w:hanging="1800"/>
      </w:pPr>
      <w:rPr>
        <w:rFonts w:cs="Times New Roman" w:hint="default"/>
      </w:rPr>
    </w:lvl>
    <w:lvl w:ilvl="8">
      <w:start w:val="1"/>
      <w:numFmt w:val="decimal"/>
      <w:isLgl/>
      <w:lvlText w:val="%1.%2.%3.%4.%5.%6.%7.%8.%9."/>
      <w:lvlJc w:val="left"/>
      <w:pPr>
        <w:ind w:left="2880" w:hanging="2160"/>
      </w:pPr>
      <w:rPr>
        <w:rFonts w:cs="Times New Roman" w:hint="default"/>
      </w:rPr>
    </w:lvl>
  </w:abstractNum>
  <w:abstractNum w:abstractNumId="18" w15:restartNumberingAfterBreak="0">
    <w:nsid w:val="32360A55"/>
    <w:multiLevelType w:val="hybridMultilevel"/>
    <w:tmpl w:val="6C96449A"/>
    <w:lvl w:ilvl="0" w:tplc="3AC27E96">
      <w:start w:val="1"/>
      <w:numFmt w:val="upperLetter"/>
      <w:lvlText w:val="%1."/>
      <w:lvlJc w:val="left"/>
      <w:pPr>
        <w:ind w:left="1430" w:hanging="360"/>
      </w:pPr>
      <w:rPr>
        <w:rFonts w:cs="Times New Roman" w:hint="default"/>
      </w:rPr>
    </w:lvl>
    <w:lvl w:ilvl="1" w:tplc="D48A2C48">
      <w:start w:val="1"/>
      <w:numFmt w:val="lowerLetter"/>
      <w:lvlText w:val="%2."/>
      <w:lvlJc w:val="left"/>
      <w:pPr>
        <w:ind w:left="2150" w:hanging="360"/>
      </w:pPr>
      <w:rPr>
        <w:rFonts w:cs="Times New Roman"/>
      </w:rPr>
    </w:lvl>
    <w:lvl w:ilvl="2" w:tplc="51AC91A4">
      <w:start w:val="1"/>
      <w:numFmt w:val="lowerRoman"/>
      <w:lvlText w:val="%3."/>
      <w:lvlJc w:val="right"/>
      <w:pPr>
        <w:ind w:left="2870" w:hanging="180"/>
      </w:pPr>
      <w:rPr>
        <w:rFonts w:cs="Times New Roman"/>
      </w:rPr>
    </w:lvl>
    <w:lvl w:ilvl="3" w:tplc="D8DE50CE" w:tentative="1">
      <w:start w:val="1"/>
      <w:numFmt w:val="decimal"/>
      <w:lvlText w:val="%4."/>
      <w:lvlJc w:val="left"/>
      <w:pPr>
        <w:ind w:left="3590" w:hanging="360"/>
      </w:pPr>
      <w:rPr>
        <w:rFonts w:cs="Times New Roman"/>
      </w:rPr>
    </w:lvl>
    <w:lvl w:ilvl="4" w:tplc="634CC69C" w:tentative="1">
      <w:start w:val="1"/>
      <w:numFmt w:val="lowerLetter"/>
      <w:lvlText w:val="%5."/>
      <w:lvlJc w:val="left"/>
      <w:pPr>
        <w:ind w:left="4310" w:hanging="360"/>
      </w:pPr>
      <w:rPr>
        <w:rFonts w:cs="Times New Roman"/>
      </w:rPr>
    </w:lvl>
    <w:lvl w:ilvl="5" w:tplc="0B762296" w:tentative="1">
      <w:start w:val="1"/>
      <w:numFmt w:val="lowerRoman"/>
      <w:lvlText w:val="%6."/>
      <w:lvlJc w:val="right"/>
      <w:pPr>
        <w:ind w:left="5030" w:hanging="180"/>
      </w:pPr>
      <w:rPr>
        <w:rFonts w:cs="Times New Roman"/>
      </w:rPr>
    </w:lvl>
    <w:lvl w:ilvl="6" w:tplc="5AC2273A" w:tentative="1">
      <w:start w:val="1"/>
      <w:numFmt w:val="decimal"/>
      <w:lvlText w:val="%7."/>
      <w:lvlJc w:val="left"/>
      <w:pPr>
        <w:ind w:left="5750" w:hanging="360"/>
      </w:pPr>
      <w:rPr>
        <w:rFonts w:cs="Times New Roman"/>
      </w:rPr>
    </w:lvl>
    <w:lvl w:ilvl="7" w:tplc="58C88D42" w:tentative="1">
      <w:start w:val="1"/>
      <w:numFmt w:val="lowerLetter"/>
      <w:lvlText w:val="%8."/>
      <w:lvlJc w:val="left"/>
      <w:pPr>
        <w:ind w:left="6470" w:hanging="360"/>
      </w:pPr>
      <w:rPr>
        <w:rFonts w:cs="Times New Roman"/>
      </w:rPr>
    </w:lvl>
    <w:lvl w:ilvl="8" w:tplc="B3D6C21E" w:tentative="1">
      <w:start w:val="1"/>
      <w:numFmt w:val="lowerRoman"/>
      <w:lvlText w:val="%9."/>
      <w:lvlJc w:val="right"/>
      <w:pPr>
        <w:ind w:left="7190" w:hanging="180"/>
      </w:pPr>
      <w:rPr>
        <w:rFonts w:cs="Times New Roman"/>
      </w:rPr>
    </w:lvl>
  </w:abstractNum>
  <w:abstractNum w:abstractNumId="19" w15:restartNumberingAfterBreak="0">
    <w:nsid w:val="393D0F47"/>
    <w:multiLevelType w:val="hybridMultilevel"/>
    <w:tmpl w:val="FB7EBFC0"/>
    <w:lvl w:ilvl="0" w:tplc="240A0015">
      <w:start w:val="1"/>
      <w:numFmt w:val="upperLetter"/>
      <w:lvlText w:val="%1."/>
      <w:lvlJc w:val="left"/>
      <w:pPr>
        <w:ind w:left="1070" w:hanging="360"/>
      </w:pPr>
      <w:rPr>
        <w:rFonts w:hint="default"/>
      </w:rPr>
    </w:lvl>
    <w:lvl w:ilvl="1" w:tplc="240A0019" w:tentative="1">
      <w:start w:val="1"/>
      <w:numFmt w:val="lowerLetter"/>
      <w:lvlText w:val="%2."/>
      <w:lvlJc w:val="left"/>
      <w:pPr>
        <w:ind w:left="1790" w:hanging="360"/>
      </w:pPr>
    </w:lvl>
    <w:lvl w:ilvl="2" w:tplc="240A001B" w:tentative="1">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0" w15:restartNumberingAfterBreak="0">
    <w:nsid w:val="4950412E"/>
    <w:multiLevelType w:val="hybridMultilevel"/>
    <w:tmpl w:val="CA362E40"/>
    <w:lvl w:ilvl="0" w:tplc="16BEF83C">
      <w:start w:val="1"/>
      <w:numFmt w:val="decimal"/>
      <w:lvlText w:val="%1."/>
      <w:lvlJc w:val="left"/>
      <w:pPr>
        <w:ind w:left="720" w:hanging="360"/>
      </w:pPr>
      <w:rPr>
        <w:rFonts w:cs="Times New Roman" w:hint="default"/>
        <w:color w:val="C0504D" w:themeColor="accent2"/>
      </w:rPr>
    </w:lvl>
    <w:lvl w:ilvl="1" w:tplc="CECAAD7E" w:tentative="1">
      <w:start w:val="1"/>
      <w:numFmt w:val="lowerLetter"/>
      <w:lvlText w:val="%2."/>
      <w:lvlJc w:val="left"/>
      <w:pPr>
        <w:ind w:left="1440" w:hanging="360"/>
      </w:pPr>
      <w:rPr>
        <w:rFonts w:cs="Times New Roman"/>
      </w:rPr>
    </w:lvl>
    <w:lvl w:ilvl="2" w:tplc="44B07E40" w:tentative="1">
      <w:start w:val="1"/>
      <w:numFmt w:val="lowerRoman"/>
      <w:lvlText w:val="%3."/>
      <w:lvlJc w:val="right"/>
      <w:pPr>
        <w:ind w:left="2160" w:hanging="180"/>
      </w:pPr>
      <w:rPr>
        <w:rFonts w:cs="Times New Roman"/>
      </w:rPr>
    </w:lvl>
    <w:lvl w:ilvl="3" w:tplc="C0449BD8" w:tentative="1">
      <w:start w:val="1"/>
      <w:numFmt w:val="decimal"/>
      <w:lvlText w:val="%4."/>
      <w:lvlJc w:val="left"/>
      <w:pPr>
        <w:ind w:left="2880" w:hanging="360"/>
      </w:pPr>
      <w:rPr>
        <w:rFonts w:cs="Times New Roman"/>
      </w:rPr>
    </w:lvl>
    <w:lvl w:ilvl="4" w:tplc="5EEAC956" w:tentative="1">
      <w:start w:val="1"/>
      <w:numFmt w:val="lowerLetter"/>
      <w:lvlText w:val="%5."/>
      <w:lvlJc w:val="left"/>
      <w:pPr>
        <w:ind w:left="3600" w:hanging="360"/>
      </w:pPr>
      <w:rPr>
        <w:rFonts w:cs="Times New Roman"/>
      </w:rPr>
    </w:lvl>
    <w:lvl w:ilvl="5" w:tplc="9CDABE90" w:tentative="1">
      <w:start w:val="1"/>
      <w:numFmt w:val="lowerRoman"/>
      <w:lvlText w:val="%6."/>
      <w:lvlJc w:val="right"/>
      <w:pPr>
        <w:ind w:left="4320" w:hanging="180"/>
      </w:pPr>
      <w:rPr>
        <w:rFonts w:cs="Times New Roman"/>
      </w:rPr>
    </w:lvl>
    <w:lvl w:ilvl="6" w:tplc="3702D83A" w:tentative="1">
      <w:start w:val="1"/>
      <w:numFmt w:val="decimal"/>
      <w:lvlText w:val="%7."/>
      <w:lvlJc w:val="left"/>
      <w:pPr>
        <w:ind w:left="5040" w:hanging="360"/>
      </w:pPr>
      <w:rPr>
        <w:rFonts w:cs="Times New Roman"/>
      </w:rPr>
    </w:lvl>
    <w:lvl w:ilvl="7" w:tplc="CD2818CA" w:tentative="1">
      <w:start w:val="1"/>
      <w:numFmt w:val="lowerLetter"/>
      <w:lvlText w:val="%8."/>
      <w:lvlJc w:val="left"/>
      <w:pPr>
        <w:ind w:left="5760" w:hanging="360"/>
      </w:pPr>
      <w:rPr>
        <w:rFonts w:cs="Times New Roman"/>
      </w:rPr>
    </w:lvl>
    <w:lvl w:ilvl="8" w:tplc="815E57F8" w:tentative="1">
      <w:start w:val="1"/>
      <w:numFmt w:val="lowerRoman"/>
      <w:lvlText w:val="%9."/>
      <w:lvlJc w:val="right"/>
      <w:pPr>
        <w:ind w:left="6480" w:hanging="180"/>
      </w:pPr>
      <w:rPr>
        <w:rFonts w:cs="Times New Roman"/>
      </w:rPr>
    </w:lvl>
  </w:abstractNum>
  <w:abstractNum w:abstractNumId="21" w15:restartNumberingAfterBreak="0">
    <w:nsid w:val="566B062C"/>
    <w:multiLevelType w:val="hybridMultilevel"/>
    <w:tmpl w:val="FB7EBFC0"/>
    <w:lvl w:ilvl="0" w:tplc="240A0015">
      <w:start w:val="1"/>
      <w:numFmt w:val="upperLetter"/>
      <w:lvlText w:val="%1."/>
      <w:lvlJc w:val="left"/>
      <w:pPr>
        <w:ind w:left="1070" w:hanging="360"/>
      </w:pPr>
      <w:rPr>
        <w:rFonts w:hint="default"/>
      </w:rPr>
    </w:lvl>
    <w:lvl w:ilvl="1" w:tplc="240A0019">
      <w:start w:val="1"/>
      <w:numFmt w:val="lowerLetter"/>
      <w:lvlText w:val="%2."/>
      <w:lvlJc w:val="left"/>
      <w:pPr>
        <w:ind w:left="1790" w:hanging="360"/>
      </w:pPr>
    </w:lvl>
    <w:lvl w:ilvl="2" w:tplc="240A001B">
      <w:start w:val="1"/>
      <w:numFmt w:val="lowerRoman"/>
      <w:lvlText w:val="%3."/>
      <w:lvlJc w:val="right"/>
      <w:pPr>
        <w:ind w:left="2510" w:hanging="180"/>
      </w:pPr>
    </w:lvl>
    <w:lvl w:ilvl="3" w:tplc="240A000F" w:tentative="1">
      <w:start w:val="1"/>
      <w:numFmt w:val="decimal"/>
      <w:lvlText w:val="%4."/>
      <w:lvlJc w:val="left"/>
      <w:pPr>
        <w:ind w:left="3230" w:hanging="360"/>
      </w:pPr>
    </w:lvl>
    <w:lvl w:ilvl="4" w:tplc="240A0019" w:tentative="1">
      <w:start w:val="1"/>
      <w:numFmt w:val="lowerLetter"/>
      <w:lvlText w:val="%5."/>
      <w:lvlJc w:val="left"/>
      <w:pPr>
        <w:ind w:left="3950" w:hanging="360"/>
      </w:pPr>
    </w:lvl>
    <w:lvl w:ilvl="5" w:tplc="240A001B" w:tentative="1">
      <w:start w:val="1"/>
      <w:numFmt w:val="lowerRoman"/>
      <w:lvlText w:val="%6."/>
      <w:lvlJc w:val="right"/>
      <w:pPr>
        <w:ind w:left="4670" w:hanging="180"/>
      </w:pPr>
    </w:lvl>
    <w:lvl w:ilvl="6" w:tplc="240A000F" w:tentative="1">
      <w:start w:val="1"/>
      <w:numFmt w:val="decimal"/>
      <w:lvlText w:val="%7."/>
      <w:lvlJc w:val="left"/>
      <w:pPr>
        <w:ind w:left="5390" w:hanging="360"/>
      </w:pPr>
    </w:lvl>
    <w:lvl w:ilvl="7" w:tplc="240A0019" w:tentative="1">
      <w:start w:val="1"/>
      <w:numFmt w:val="lowerLetter"/>
      <w:lvlText w:val="%8."/>
      <w:lvlJc w:val="left"/>
      <w:pPr>
        <w:ind w:left="6110" w:hanging="360"/>
      </w:pPr>
    </w:lvl>
    <w:lvl w:ilvl="8" w:tplc="240A001B" w:tentative="1">
      <w:start w:val="1"/>
      <w:numFmt w:val="lowerRoman"/>
      <w:lvlText w:val="%9."/>
      <w:lvlJc w:val="right"/>
      <w:pPr>
        <w:ind w:left="6830" w:hanging="180"/>
      </w:pPr>
    </w:lvl>
  </w:abstractNum>
  <w:abstractNum w:abstractNumId="22" w15:restartNumberingAfterBreak="0">
    <w:nsid w:val="66970A1E"/>
    <w:multiLevelType w:val="hybridMultilevel"/>
    <w:tmpl w:val="CDBE7720"/>
    <w:lvl w:ilvl="0" w:tplc="96164EB6">
      <w:numFmt w:val="bullet"/>
      <w:lvlText w:val="-"/>
      <w:lvlJc w:val="left"/>
      <w:pPr>
        <w:ind w:left="720" w:hanging="360"/>
      </w:pPr>
      <w:rPr>
        <w:rFonts w:ascii="Arial Narrow" w:eastAsia="MS Mincho" w:hAnsi="Arial Narrow" w:hint="default"/>
      </w:rPr>
    </w:lvl>
    <w:lvl w:ilvl="1" w:tplc="1EAAD552" w:tentative="1">
      <w:start w:val="1"/>
      <w:numFmt w:val="bullet"/>
      <w:lvlText w:val="o"/>
      <w:lvlJc w:val="left"/>
      <w:pPr>
        <w:ind w:left="1440" w:hanging="360"/>
      </w:pPr>
      <w:rPr>
        <w:rFonts w:ascii="Courier New" w:hAnsi="Courier New" w:hint="default"/>
      </w:rPr>
    </w:lvl>
    <w:lvl w:ilvl="2" w:tplc="330E19AA" w:tentative="1">
      <w:start w:val="1"/>
      <w:numFmt w:val="bullet"/>
      <w:lvlText w:val=""/>
      <w:lvlJc w:val="left"/>
      <w:pPr>
        <w:ind w:left="2160" w:hanging="360"/>
      </w:pPr>
      <w:rPr>
        <w:rFonts w:ascii="Wingdings" w:hAnsi="Wingdings" w:hint="default"/>
      </w:rPr>
    </w:lvl>
    <w:lvl w:ilvl="3" w:tplc="DC08DEB4" w:tentative="1">
      <w:start w:val="1"/>
      <w:numFmt w:val="bullet"/>
      <w:lvlText w:val=""/>
      <w:lvlJc w:val="left"/>
      <w:pPr>
        <w:ind w:left="2880" w:hanging="360"/>
      </w:pPr>
      <w:rPr>
        <w:rFonts w:ascii="Symbol" w:hAnsi="Symbol" w:hint="default"/>
      </w:rPr>
    </w:lvl>
    <w:lvl w:ilvl="4" w:tplc="45BED6C6" w:tentative="1">
      <w:start w:val="1"/>
      <w:numFmt w:val="bullet"/>
      <w:lvlText w:val="o"/>
      <w:lvlJc w:val="left"/>
      <w:pPr>
        <w:ind w:left="3600" w:hanging="360"/>
      </w:pPr>
      <w:rPr>
        <w:rFonts w:ascii="Courier New" w:hAnsi="Courier New" w:hint="default"/>
      </w:rPr>
    </w:lvl>
    <w:lvl w:ilvl="5" w:tplc="ECF6538E" w:tentative="1">
      <w:start w:val="1"/>
      <w:numFmt w:val="bullet"/>
      <w:lvlText w:val=""/>
      <w:lvlJc w:val="left"/>
      <w:pPr>
        <w:ind w:left="4320" w:hanging="360"/>
      </w:pPr>
      <w:rPr>
        <w:rFonts w:ascii="Wingdings" w:hAnsi="Wingdings" w:hint="default"/>
      </w:rPr>
    </w:lvl>
    <w:lvl w:ilvl="6" w:tplc="E90C27C4" w:tentative="1">
      <w:start w:val="1"/>
      <w:numFmt w:val="bullet"/>
      <w:lvlText w:val=""/>
      <w:lvlJc w:val="left"/>
      <w:pPr>
        <w:ind w:left="5040" w:hanging="360"/>
      </w:pPr>
      <w:rPr>
        <w:rFonts w:ascii="Symbol" w:hAnsi="Symbol" w:hint="default"/>
      </w:rPr>
    </w:lvl>
    <w:lvl w:ilvl="7" w:tplc="FB2EB4AA" w:tentative="1">
      <w:start w:val="1"/>
      <w:numFmt w:val="bullet"/>
      <w:lvlText w:val="o"/>
      <w:lvlJc w:val="left"/>
      <w:pPr>
        <w:ind w:left="5760" w:hanging="360"/>
      </w:pPr>
      <w:rPr>
        <w:rFonts w:ascii="Courier New" w:hAnsi="Courier New" w:hint="default"/>
      </w:rPr>
    </w:lvl>
    <w:lvl w:ilvl="8" w:tplc="68E46D06" w:tentative="1">
      <w:start w:val="1"/>
      <w:numFmt w:val="bullet"/>
      <w:lvlText w:val=""/>
      <w:lvlJc w:val="left"/>
      <w:pPr>
        <w:ind w:left="6480" w:hanging="360"/>
      </w:pPr>
      <w:rPr>
        <w:rFonts w:ascii="Wingdings" w:hAnsi="Wingdings" w:hint="default"/>
      </w:rPr>
    </w:lvl>
  </w:abstractNum>
  <w:abstractNum w:abstractNumId="23" w15:restartNumberingAfterBreak="0">
    <w:nsid w:val="68DF04A8"/>
    <w:multiLevelType w:val="hybridMultilevel"/>
    <w:tmpl w:val="A7C6DD7C"/>
    <w:lvl w:ilvl="0" w:tplc="DB4ED004">
      <w:start w:val="3"/>
      <w:numFmt w:val="upperRoman"/>
      <w:lvlText w:val="%1."/>
      <w:lvlJc w:val="left"/>
      <w:pPr>
        <w:ind w:left="1800" w:hanging="720"/>
      </w:pPr>
      <w:rPr>
        <w:rFonts w:hint="default"/>
      </w:r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4" w15:restartNumberingAfterBreak="0">
    <w:nsid w:val="6B2F37B9"/>
    <w:multiLevelType w:val="hybridMultilevel"/>
    <w:tmpl w:val="CD6890E6"/>
    <w:lvl w:ilvl="0" w:tplc="240A000F">
      <w:start w:val="1"/>
      <w:numFmt w:val="decimal"/>
      <w:lvlText w:val="%1."/>
      <w:lvlJc w:val="left"/>
      <w:pPr>
        <w:ind w:left="1004" w:hanging="360"/>
      </w:pPr>
    </w:lvl>
    <w:lvl w:ilvl="1" w:tplc="240A0019" w:tentative="1">
      <w:start w:val="1"/>
      <w:numFmt w:val="lowerLetter"/>
      <w:lvlText w:val="%2."/>
      <w:lvlJc w:val="left"/>
      <w:pPr>
        <w:ind w:left="1724" w:hanging="360"/>
      </w:pPr>
    </w:lvl>
    <w:lvl w:ilvl="2" w:tplc="240A001B" w:tentative="1">
      <w:start w:val="1"/>
      <w:numFmt w:val="lowerRoman"/>
      <w:lvlText w:val="%3."/>
      <w:lvlJc w:val="right"/>
      <w:pPr>
        <w:ind w:left="2444" w:hanging="180"/>
      </w:pPr>
    </w:lvl>
    <w:lvl w:ilvl="3" w:tplc="240A000F" w:tentative="1">
      <w:start w:val="1"/>
      <w:numFmt w:val="decimal"/>
      <w:lvlText w:val="%4."/>
      <w:lvlJc w:val="left"/>
      <w:pPr>
        <w:ind w:left="3164" w:hanging="360"/>
      </w:pPr>
    </w:lvl>
    <w:lvl w:ilvl="4" w:tplc="240A0019" w:tentative="1">
      <w:start w:val="1"/>
      <w:numFmt w:val="lowerLetter"/>
      <w:lvlText w:val="%5."/>
      <w:lvlJc w:val="left"/>
      <w:pPr>
        <w:ind w:left="3884" w:hanging="360"/>
      </w:pPr>
    </w:lvl>
    <w:lvl w:ilvl="5" w:tplc="240A001B" w:tentative="1">
      <w:start w:val="1"/>
      <w:numFmt w:val="lowerRoman"/>
      <w:lvlText w:val="%6."/>
      <w:lvlJc w:val="right"/>
      <w:pPr>
        <w:ind w:left="4604" w:hanging="180"/>
      </w:pPr>
    </w:lvl>
    <w:lvl w:ilvl="6" w:tplc="240A000F" w:tentative="1">
      <w:start w:val="1"/>
      <w:numFmt w:val="decimal"/>
      <w:lvlText w:val="%7."/>
      <w:lvlJc w:val="left"/>
      <w:pPr>
        <w:ind w:left="5324" w:hanging="360"/>
      </w:pPr>
    </w:lvl>
    <w:lvl w:ilvl="7" w:tplc="240A0019" w:tentative="1">
      <w:start w:val="1"/>
      <w:numFmt w:val="lowerLetter"/>
      <w:lvlText w:val="%8."/>
      <w:lvlJc w:val="left"/>
      <w:pPr>
        <w:ind w:left="6044" w:hanging="360"/>
      </w:pPr>
    </w:lvl>
    <w:lvl w:ilvl="8" w:tplc="240A001B" w:tentative="1">
      <w:start w:val="1"/>
      <w:numFmt w:val="lowerRoman"/>
      <w:lvlText w:val="%9."/>
      <w:lvlJc w:val="right"/>
      <w:pPr>
        <w:ind w:left="6764" w:hanging="180"/>
      </w:pPr>
    </w:lvl>
  </w:abstractNum>
  <w:abstractNum w:abstractNumId="25" w15:restartNumberingAfterBreak="0">
    <w:nsid w:val="71E35FC9"/>
    <w:multiLevelType w:val="hybridMultilevel"/>
    <w:tmpl w:val="456CD42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73D211CA"/>
    <w:multiLevelType w:val="hybridMultilevel"/>
    <w:tmpl w:val="ECAAED06"/>
    <w:lvl w:ilvl="0" w:tplc="03A65826">
      <w:start w:val="1"/>
      <w:numFmt w:val="decimal"/>
      <w:lvlText w:val="%1."/>
      <w:lvlJc w:val="left"/>
      <w:pPr>
        <w:ind w:left="720" w:hanging="360"/>
      </w:pPr>
      <w:rPr>
        <w:rFonts w:cs="Times New Roman"/>
      </w:rPr>
    </w:lvl>
    <w:lvl w:ilvl="1" w:tplc="3544C646" w:tentative="1">
      <w:start w:val="1"/>
      <w:numFmt w:val="lowerLetter"/>
      <w:lvlText w:val="%2."/>
      <w:lvlJc w:val="left"/>
      <w:pPr>
        <w:ind w:left="1440" w:hanging="360"/>
      </w:pPr>
      <w:rPr>
        <w:rFonts w:cs="Times New Roman"/>
      </w:rPr>
    </w:lvl>
    <w:lvl w:ilvl="2" w:tplc="17DCB4B0" w:tentative="1">
      <w:start w:val="1"/>
      <w:numFmt w:val="lowerRoman"/>
      <w:lvlText w:val="%3."/>
      <w:lvlJc w:val="right"/>
      <w:pPr>
        <w:ind w:left="2160" w:hanging="180"/>
      </w:pPr>
      <w:rPr>
        <w:rFonts w:cs="Times New Roman"/>
      </w:rPr>
    </w:lvl>
    <w:lvl w:ilvl="3" w:tplc="601C6D02" w:tentative="1">
      <w:start w:val="1"/>
      <w:numFmt w:val="decimal"/>
      <w:lvlText w:val="%4."/>
      <w:lvlJc w:val="left"/>
      <w:pPr>
        <w:ind w:left="2880" w:hanging="360"/>
      </w:pPr>
      <w:rPr>
        <w:rFonts w:cs="Times New Roman"/>
      </w:rPr>
    </w:lvl>
    <w:lvl w:ilvl="4" w:tplc="6B0C1738" w:tentative="1">
      <w:start w:val="1"/>
      <w:numFmt w:val="lowerLetter"/>
      <w:lvlText w:val="%5."/>
      <w:lvlJc w:val="left"/>
      <w:pPr>
        <w:ind w:left="3600" w:hanging="360"/>
      </w:pPr>
      <w:rPr>
        <w:rFonts w:cs="Times New Roman"/>
      </w:rPr>
    </w:lvl>
    <w:lvl w:ilvl="5" w:tplc="3D402A0A" w:tentative="1">
      <w:start w:val="1"/>
      <w:numFmt w:val="lowerRoman"/>
      <w:lvlText w:val="%6."/>
      <w:lvlJc w:val="right"/>
      <w:pPr>
        <w:ind w:left="4320" w:hanging="180"/>
      </w:pPr>
      <w:rPr>
        <w:rFonts w:cs="Times New Roman"/>
      </w:rPr>
    </w:lvl>
    <w:lvl w:ilvl="6" w:tplc="2D9AB39E" w:tentative="1">
      <w:start w:val="1"/>
      <w:numFmt w:val="decimal"/>
      <w:lvlText w:val="%7."/>
      <w:lvlJc w:val="left"/>
      <w:pPr>
        <w:ind w:left="5040" w:hanging="360"/>
      </w:pPr>
      <w:rPr>
        <w:rFonts w:cs="Times New Roman"/>
      </w:rPr>
    </w:lvl>
    <w:lvl w:ilvl="7" w:tplc="40FC663C" w:tentative="1">
      <w:start w:val="1"/>
      <w:numFmt w:val="lowerLetter"/>
      <w:lvlText w:val="%8."/>
      <w:lvlJc w:val="left"/>
      <w:pPr>
        <w:ind w:left="5760" w:hanging="360"/>
      </w:pPr>
      <w:rPr>
        <w:rFonts w:cs="Times New Roman"/>
      </w:rPr>
    </w:lvl>
    <w:lvl w:ilvl="8" w:tplc="9F3C310A" w:tentative="1">
      <w:start w:val="1"/>
      <w:numFmt w:val="lowerRoman"/>
      <w:lvlText w:val="%9."/>
      <w:lvlJc w:val="right"/>
      <w:pPr>
        <w:ind w:left="6480" w:hanging="180"/>
      </w:pPr>
      <w:rPr>
        <w:rFonts w:cs="Times New Roman"/>
      </w:rPr>
    </w:lvl>
  </w:abstractNum>
  <w:abstractNum w:abstractNumId="27" w15:restartNumberingAfterBreak="0">
    <w:nsid w:val="789833E6"/>
    <w:multiLevelType w:val="hybridMultilevel"/>
    <w:tmpl w:val="6C96449A"/>
    <w:lvl w:ilvl="0" w:tplc="551A445A">
      <w:start w:val="1"/>
      <w:numFmt w:val="upperLetter"/>
      <w:lvlText w:val="%1."/>
      <w:lvlJc w:val="left"/>
      <w:pPr>
        <w:ind w:left="1430" w:hanging="360"/>
      </w:pPr>
      <w:rPr>
        <w:rFonts w:cs="Times New Roman" w:hint="default"/>
      </w:rPr>
    </w:lvl>
    <w:lvl w:ilvl="1" w:tplc="C3D203C2">
      <w:start w:val="1"/>
      <w:numFmt w:val="lowerLetter"/>
      <w:lvlText w:val="%2."/>
      <w:lvlJc w:val="left"/>
      <w:pPr>
        <w:ind w:left="2150" w:hanging="360"/>
      </w:pPr>
      <w:rPr>
        <w:rFonts w:cs="Times New Roman"/>
      </w:rPr>
    </w:lvl>
    <w:lvl w:ilvl="2" w:tplc="96BAD88E">
      <w:start w:val="1"/>
      <w:numFmt w:val="lowerRoman"/>
      <w:lvlText w:val="%3."/>
      <w:lvlJc w:val="right"/>
      <w:pPr>
        <w:ind w:left="2870" w:hanging="180"/>
      </w:pPr>
      <w:rPr>
        <w:rFonts w:cs="Times New Roman"/>
      </w:rPr>
    </w:lvl>
    <w:lvl w:ilvl="3" w:tplc="601EB81E" w:tentative="1">
      <w:start w:val="1"/>
      <w:numFmt w:val="decimal"/>
      <w:lvlText w:val="%4."/>
      <w:lvlJc w:val="left"/>
      <w:pPr>
        <w:ind w:left="3590" w:hanging="360"/>
      </w:pPr>
      <w:rPr>
        <w:rFonts w:cs="Times New Roman"/>
      </w:rPr>
    </w:lvl>
    <w:lvl w:ilvl="4" w:tplc="E08861BE" w:tentative="1">
      <w:start w:val="1"/>
      <w:numFmt w:val="lowerLetter"/>
      <w:lvlText w:val="%5."/>
      <w:lvlJc w:val="left"/>
      <w:pPr>
        <w:ind w:left="4310" w:hanging="360"/>
      </w:pPr>
      <w:rPr>
        <w:rFonts w:cs="Times New Roman"/>
      </w:rPr>
    </w:lvl>
    <w:lvl w:ilvl="5" w:tplc="12F46FD6" w:tentative="1">
      <w:start w:val="1"/>
      <w:numFmt w:val="lowerRoman"/>
      <w:lvlText w:val="%6."/>
      <w:lvlJc w:val="right"/>
      <w:pPr>
        <w:ind w:left="5030" w:hanging="180"/>
      </w:pPr>
      <w:rPr>
        <w:rFonts w:cs="Times New Roman"/>
      </w:rPr>
    </w:lvl>
    <w:lvl w:ilvl="6" w:tplc="E4FE8296" w:tentative="1">
      <w:start w:val="1"/>
      <w:numFmt w:val="decimal"/>
      <w:lvlText w:val="%7."/>
      <w:lvlJc w:val="left"/>
      <w:pPr>
        <w:ind w:left="5750" w:hanging="360"/>
      </w:pPr>
      <w:rPr>
        <w:rFonts w:cs="Times New Roman"/>
      </w:rPr>
    </w:lvl>
    <w:lvl w:ilvl="7" w:tplc="2B92EDC4" w:tentative="1">
      <w:start w:val="1"/>
      <w:numFmt w:val="lowerLetter"/>
      <w:lvlText w:val="%8."/>
      <w:lvlJc w:val="left"/>
      <w:pPr>
        <w:ind w:left="6470" w:hanging="360"/>
      </w:pPr>
      <w:rPr>
        <w:rFonts w:cs="Times New Roman"/>
      </w:rPr>
    </w:lvl>
    <w:lvl w:ilvl="8" w:tplc="3534714A" w:tentative="1">
      <w:start w:val="1"/>
      <w:numFmt w:val="lowerRoman"/>
      <w:lvlText w:val="%9."/>
      <w:lvlJc w:val="right"/>
      <w:pPr>
        <w:ind w:left="7190" w:hanging="180"/>
      </w:pPr>
      <w:rPr>
        <w:rFonts w:cs="Times New Roman"/>
      </w:rPr>
    </w:lvl>
  </w:abstractNum>
  <w:num w:numId="1">
    <w:abstractNumId w:val="8"/>
  </w:num>
  <w:num w:numId="2">
    <w:abstractNumId w:val="23"/>
  </w:num>
  <w:num w:numId="3">
    <w:abstractNumId w:val="0"/>
  </w:num>
  <w:num w:numId="4">
    <w:abstractNumId w:val="1"/>
  </w:num>
  <w:num w:numId="5">
    <w:abstractNumId w:val="4"/>
  </w:num>
  <w:num w:numId="6">
    <w:abstractNumId w:val="6"/>
  </w:num>
  <w:num w:numId="7">
    <w:abstractNumId w:val="11"/>
  </w:num>
  <w:num w:numId="8">
    <w:abstractNumId w:val="2"/>
  </w:num>
  <w:num w:numId="9">
    <w:abstractNumId w:val="3"/>
  </w:num>
  <w:num w:numId="10">
    <w:abstractNumId w:val="5"/>
  </w:num>
  <w:num w:numId="11">
    <w:abstractNumId w:val="14"/>
  </w:num>
  <w:num w:numId="12">
    <w:abstractNumId w:val="10"/>
  </w:num>
  <w:num w:numId="13">
    <w:abstractNumId w:val="7"/>
  </w:num>
  <w:num w:numId="14">
    <w:abstractNumId w:val="25"/>
  </w:num>
  <w:num w:numId="15">
    <w:abstractNumId w:val="12"/>
  </w:num>
  <w:num w:numId="16">
    <w:abstractNumId w:val="24"/>
  </w:num>
  <w:num w:numId="17">
    <w:abstractNumId w:val="21"/>
  </w:num>
  <w:num w:numId="18">
    <w:abstractNumId w:val="19"/>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num>
  <w:num w:numId="21">
    <w:abstractNumId w:val="13"/>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6"/>
  </w:num>
  <w:num w:numId="25">
    <w:abstractNumId w:val="22"/>
  </w:num>
  <w:num w:numId="26">
    <w:abstractNumId w:val="17"/>
  </w:num>
  <w:num w:numId="27">
    <w:abstractNumId w:val="15"/>
  </w:num>
  <w:num w:numId="28">
    <w:abstractNumId w:val="26"/>
  </w:num>
  <w:num w:numId="29">
    <w:abstractNumId w:val="18"/>
  </w:num>
  <w:num w:numId="30">
    <w:abstractNumId w:val="27"/>
  </w:num>
  <w:num w:numId="31">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Giovanny Salas Sanchez">
    <w15:presenceInfo w15:providerId="AD" w15:userId="S::jsalas@minhacienda.gov.co::4cbad6ac-9f02-45d0-be6c-27093650aa1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trackRevisio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1999"/>
    <w:rsid w:val="00015D8E"/>
    <w:rsid w:val="000322E3"/>
    <w:rsid w:val="00042D32"/>
    <w:rsid w:val="00057AF8"/>
    <w:rsid w:val="000643E9"/>
    <w:rsid w:val="00066D3A"/>
    <w:rsid w:val="00071B7E"/>
    <w:rsid w:val="00073A1F"/>
    <w:rsid w:val="000742BD"/>
    <w:rsid w:val="00075AD5"/>
    <w:rsid w:val="00077AA2"/>
    <w:rsid w:val="00077DA5"/>
    <w:rsid w:val="0008210A"/>
    <w:rsid w:val="0008507C"/>
    <w:rsid w:val="000877D1"/>
    <w:rsid w:val="00093EB8"/>
    <w:rsid w:val="000A1163"/>
    <w:rsid w:val="000A2FC8"/>
    <w:rsid w:val="000A31BA"/>
    <w:rsid w:val="000A4383"/>
    <w:rsid w:val="000B20AE"/>
    <w:rsid w:val="000C1DA7"/>
    <w:rsid w:val="000C2C96"/>
    <w:rsid w:val="000C4465"/>
    <w:rsid w:val="000D09AB"/>
    <w:rsid w:val="000D466B"/>
    <w:rsid w:val="000E4714"/>
    <w:rsid w:val="000E5163"/>
    <w:rsid w:val="000E6513"/>
    <w:rsid w:val="000F0EAD"/>
    <w:rsid w:val="000F1CBA"/>
    <w:rsid w:val="000F3807"/>
    <w:rsid w:val="00103AE9"/>
    <w:rsid w:val="0010497F"/>
    <w:rsid w:val="001100A5"/>
    <w:rsid w:val="0011263A"/>
    <w:rsid w:val="0011350E"/>
    <w:rsid w:val="00114AE3"/>
    <w:rsid w:val="00117B7B"/>
    <w:rsid w:val="00120EEB"/>
    <w:rsid w:val="001258D6"/>
    <w:rsid w:val="001339E2"/>
    <w:rsid w:val="0013472A"/>
    <w:rsid w:val="00144777"/>
    <w:rsid w:val="001448E3"/>
    <w:rsid w:val="00147E82"/>
    <w:rsid w:val="001515F9"/>
    <w:rsid w:val="001518F2"/>
    <w:rsid w:val="00153C65"/>
    <w:rsid w:val="00156301"/>
    <w:rsid w:val="0017111C"/>
    <w:rsid w:val="0017545B"/>
    <w:rsid w:val="00182DEA"/>
    <w:rsid w:val="0019035D"/>
    <w:rsid w:val="00191D96"/>
    <w:rsid w:val="00191E93"/>
    <w:rsid w:val="001A1ABA"/>
    <w:rsid w:val="001B0799"/>
    <w:rsid w:val="001C1507"/>
    <w:rsid w:val="001C2A75"/>
    <w:rsid w:val="001D1F25"/>
    <w:rsid w:val="001D36C0"/>
    <w:rsid w:val="001D7796"/>
    <w:rsid w:val="001E3E05"/>
    <w:rsid w:val="001E50F4"/>
    <w:rsid w:val="001E5520"/>
    <w:rsid w:val="001E60E2"/>
    <w:rsid w:val="001F0127"/>
    <w:rsid w:val="001F0153"/>
    <w:rsid w:val="001F0B1A"/>
    <w:rsid w:val="001F4D1B"/>
    <w:rsid w:val="001F4ED2"/>
    <w:rsid w:val="001F6014"/>
    <w:rsid w:val="001F7009"/>
    <w:rsid w:val="001F72C4"/>
    <w:rsid w:val="0020773D"/>
    <w:rsid w:val="0021375B"/>
    <w:rsid w:val="002176E6"/>
    <w:rsid w:val="002211EF"/>
    <w:rsid w:val="00221EF1"/>
    <w:rsid w:val="0022260B"/>
    <w:rsid w:val="0022264A"/>
    <w:rsid w:val="00226B16"/>
    <w:rsid w:val="00237795"/>
    <w:rsid w:val="00237DFE"/>
    <w:rsid w:val="00241348"/>
    <w:rsid w:val="002414B0"/>
    <w:rsid w:val="0024487B"/>
    <w:rsid w:val="002567A2"/>
    <w:rsid w:val="002658A7"/>
    <w:rsid w:val="00271E28"/>
    <w:rsid w:val="0027421A"/>
    <w:rsid w:val="00280A31"/>
    <w:rsid w:val="00283D9E"/>
    <w:rsid w:val="002850DB"/>
    <w:rsid w:val="002A13EA"/>
    <w:rsid w:val="002A2626"/>
    <w:rsid w:val="002A6351"/>
    <w:rsid w:val="002B2812"/>
    <w:rsid w:val="002B2E03"/>
    <w:rsid w:val="002B3410"/>
    <w:rsid w:val="002B4E93"/>
    <w:rsid w:val="002C45F1"/>
    <w:rsid w:val="002C64C1"/>
    <w:rsid w:val="002C6BBE"/>
    <w:rsid w:val="002D3CF8"/>
    <w:rsid w:val="002D4B67"/>
    <w:rsid w:val="002D6C5F"/>
    <w:rsid w:val="002E3E8B"/>
    <w:rsid w:val="002E6BE9"/>
    <w:rsid w:val="002E72FA"/>
    <w:rsid w:val="002E7640"/>
    <w:rsid w:val="002E7778"/>
    <w:rsid w:val="002F01D9"/>
    <w:rsid w:val="00301846"/>
    <w:rsid w:val="0030295A"/>
    <w:rsid w:val="003057C9"/>
    <w:rsid w:val="003226AB"/>
    <w:rsid w:val="0032474D"/>
    <w:rsid w:val="003300CE"/>
    <w:rsid w:val="00330AC6"/>
    <w:rsid w:val="0033289D"/>
    <w:rsid w:val="003334C8"/>
    <w:rsid w:val="0033489C"/>
    <w:rsid w:val="00336BAB"/>
    <w:rsid w:val="00341877"/>
    <w:rsid w:val="003421FA"/>
    <w:rsid w:val="0034312A"/>
    <w:rsid w:val="00350C08"/>
    <w:rsid w:val="0035116E"/>
    <w:rsid w:val="003560AE"/>
    <w:rsid w:val="0036144E"/>
    <w:rsid w:val="00370540"/>
    <w:rsid w:val="0037189F"/>
    <w:rsid w:val="00372BAD"/>
    <w:rsid w:val="0038265A"/>
    <w:rsid w:val="00384066"/>
    <w:rsid w:val="00387857"/>
    <w:rsid w:val="00391021"/>
    <w:rsid w:val="00395375"/>
    <w:rsid w:val="003A4D61"/>
    <w:rsid w:val="003A520B"/>
    <w:rsid w:val="003B1D05"/>
    <w:rsid w:val="003B7FE6"/>
    <w:rsid w:val="003C102D"/>
    <w:rsid w:val="003C32D4"/>
    <w:rsid w:val="003C6D25"/>
    <w:rsid w:val="003D395F"/>
    <w:rsid w:val="003D4DD3"/>
    <w:rsid w:val="003D7FD2"/>
    <w:rsid w:val="003E31A7"/>
    <w:rsid w:val="003E59CF"/>
    <w:rsid w:val="003E632D"/>
    <w:rsid w:val="003E77FC"/>
    <w:rsid w:val="003F07EB"/>
    <w:rsid w:val="003F59D9"/>
    <w:rsid w:val="003F617A"/>
    <w:rsid w:val="003F6A30"/>
    <w:rsid w:val="003F7900"/>
    <w:rsid w:val="004057C1"/>
    <w:rsid w:val="00410C94"/>
    <w:rsid w:val="00412976"/>
    <w:rsid w:val="0041494D"/>
    <w:rsid w:val="004315F2"/>
    <w:rsid w:val="00434B41"/>
    <w:rsid w:val="00437A6B"/>
    <w:rsid w:val="0044344C"/>
    <w:rsid w:val="00447D2A"/>
    <w:rsid w:val="00453CE2"/>
    <w:rsid w:val="00467143"/>
    <w:rsid w:val="004700D0"/>
    <w:rsid w:val="00472DB8"/>
    <w:rsid w:val="00473B82"/>
    <w:rsid w:val="00473F70"/>
    <w:rsid w:val="00474633"/>
    <w:rsid w:val="0049010D"/>
    <w:rsid w:val="004B299B"/>
    <w:rsid w:val="004D66AD"/>
    <w:rsid w:val="004E0565"/>
    <w:rsid w:val="004E432F"/>
    <w:rsid w:val="004E49E9"/>
    <w:rsid w:val="004E4D21"/>
    <w:rsid w:val="004E7B18"/>
    <w:rsid w:val="004F2BB0"/>
    <w:rsid w:val="005125B0"/>
    <w:rsid w:val="0052323E"/>
    <w:rsid w:val="0053089E"/>
    <w:rsid w:val="005333CF"/>
    <w:rsid w:val="00537794"/>
    <w:rsid w:val="0053783B"/>
    <w:rsid w:val="00537AEC"/>
    <w:rsid w:val="00542591"/>
    <w:rsid w:val="005445CE"/>
    <w:rsid w:val="00552AE0"/>
    <w:rsid w:val="00553C66"/>
    <w:rsid w:val="0055424A"/>
    <w:rsid w:val="005553A4"/>
    <w:rsid w:val="00561999"/>
    <w:rsid w:val="00562716"/>
    <w:rsid w:val="00571ED1"/>
    <w:rsid w:val="00576F0C"/>
    <w:rsid w:val="00577720"/>
    <w:rsid w:val="00593364"/>
    <w:rsid w:val="005A27D0"/>
    <w:rsid w:val="005A34AD"/>
    <w:rsid w:val="005A3BD8"/>
    <w:rsid w:val="005C5817"/>
    <w:rsid w:val="005C6301"/>
    <w:rsid w:val="005C7523"/>
    <w:rsid w:val="005C79EE"/>
    <w:rsid w:val="005D214D"/>
    <w:rsid w:val="005E04F5"/>
    <w:rsid w:val="005E1133"/>
    <w:rsid w:val="005F245D"/>
    <w:rsid w:val="005F726F"/>
    <w:rsid w:val="005F77DF"/>
    <w:rsid w:val="0060069D"/>
    <w:rsid w:val="00604180"/>
    <w:rsid w:val="00605557"/>
    <w:rsid w:val="00611CFE"/>
    <w:rsid w:val="00616130"/>
    <w:rsid w:val="006170E3"/>
    <w:rsid w:val="006206EE"/>
    <w:rsid w:val="006228F4"/>
    <w:rsid w:val="006252FE"/>
    <w:rsid w:val="00625968"/>
    <w:rsid w:val="00625FC7"/>
    <w:rsid w:val="0063188F"/>
    <w:rsid w:val="00636431"/>
    <w:rsid w:val="00641321"/>
    <w:rsid w:val="006473B9"/>
    <w:rsid w:val="00656C7D"/>
    <w:rsid w:val="00675639"/>
    <w:rsid w:val="00675B68"/>
    <w:rsid w:val="00681239"/>
    <w:rsid w:val="006845A4"/>
    <w:rsid w:val="00687E5C"/>
    <w:rsid w:val="0069486D"/>
    <w:rsid w:val="00695F10"/>
    <w:rsid w:val="006A042D"/>
    <w:rsid w:val="006A05E2"/>
    <w:rsid w:val="006A18EF"/>
    <w:rsid w:val="006A29E0"/>
    <w:rsid w:val="006A7F83"/>
    <w:rsid w:val="006B67C9"/>
    <w:rsid w:val="006C2B4A"/>
    <w:rsid w:val="006C3264"/>
    <w:rsid w:val="006C509B"/>
    <w:rsid w:val="006E137B"/>
    <w:rsid w:val="006E358F"/>
    <w:rsid w:val="006E5C99"/>
    <w:rsid w:val="006E77A1"/>
    <w:rsid w:val="00702037"/>
    <w:rsid w:val="00702AA8"/>
    <w:rsid w:val="00705EA4"/>
    <w:rsid w:val="00711742"/>
    <w:rsid w:val="00717F9F"/>
    <w:rsid w:val="0072156C"/>
    <w:rsid w:val="00721671"/>
    <w:rsid w:val="00724108"/>
    <w:rsid w:val="007326C6"/>
    <w:rsid w:val="00736096"/>
    <w:rsid w:val="007364A7"/>
    <w:rsid w:val="00741E0C"/>
    <w:rsid w:val="0074453A"/>
    <w:rsid w:val="00746297"/>
    <w:rsid w:val="00751CA6"/>
    <w:rsid w:val="00755F76"/>
    <w:rsid w:val="00756840"/>
    <w:rsid w:val="007760F2"/>
    <w:rsid w:val="0077677C"/>
    <w:rsid w:val="00777211"/>
    <w:rsid w:val="007810B5"/>
    <w:rsid w:val="007902C2"/>
    <w:rsid w:val="00797B07"/>
    <w:rsid w:val="00797DA6"/>
    <w:rsid w:val="007B1D31"/>
    <w:rsid w:val="007D55D3"/>
    <w:rsid w:val="007E0BF0"/>
    <w:rsid w:val="007E2B39"/>
    <w:rsid w:val="007E2C10"/>
    <w:rsid w:val="007E47EB"/>
    <w:rsid w:val="007E4AF5"/>
    <w:rsid w:val="007E55C0"/>
    <w:rsid w:val="0080212F"/>
    <w:rsid w:val="00804184"/>
    <w:rsid w:val="00805F1F"/>
    <w:rsid w:val="00807524"/>
    <w:rsid w:val="0081002E"/>
    <w:rsid w:val="00810E7F"/>
    <w:rsid w:val="0081542F"/>
    <w:rsid w:val="00823102"/>
    <w:rsid w:val="00823ABF"/>
    <w:rsid w:val="008341CE"/>
    <w:rsid w:val="008363B6"/>
    <w:rsid w:val="00843519"/>
    <w:rsid w:val="00844E5C"/>
    <w:rsid w:val="00851356"/>
    <w:rsid w:val="008540DC"/>
    <w:rsid w:val="00862A45"/>
    <w:rsid w:val="008634CC"/>
    <w:rsid w:val="008663CA"/>
    <w:rsid w:val="00866801"/>
    <w:rsid w:val="008674EE"/>
    <w:rsid w:val="00870E09"/>
    <w:rsid w:val="00874628"/>
    <w:rsid w:val="00876917"/>
    <w:rsid w:val="00891CEC"/>
    <w:rsid w:val="008923FA"/>
    <w:rsid w:val="00894E28"/>
    <w:rsid w:val="008958DB"/>
    <w:rsid w:val="008A1BA2"/>
    <w:rsid w:val="008A2D0E"/>
    <w:rsid w:val="008A2D15"/>
    <w:rsid w:val="008A4DC4"/>
    <w:rsid w:val="008A73E0"/>
    <w:rsid w:val="008B3DEC"/>
    <w:rsid w:val="008C49F3"/>
    <w:rsid w:val="008C705B"/>
    <w:rsid w:val="008D7E24"/>
    <w:rsid w:val="008E33A2"/>
    <w:rsid w:val="00902163"/>
    <w:rsid w:val="0090467A"/>
    <w:rsid w:val="0092035F"/>
    <w:rsid w:val="00924B7E"/>
    <w:rsid w:val="00931D87"/>
    <w:rsid w:val="009436F2"/>
    <w:rsid w:val="00944394"/>
    <w:rsid w:val="00945819"/>
    <w:rsid w:val="00957FBF"/>
    <w:rsid w:val="009600C8"/>
    <w:rsid w:val="0096240B"/>
    <w:rsid w:val="009677C0"/>
    <w:rsid w:val="00982AC4"/>
    <w:rsid w:val="00992748"/>
    <w:rsid w:val="00993237"/>
    <w:rsid w:val="00996E42"/>
    <w:rsid w:val="00996E4F"/>
    <w:rsid w:val="0099728C"/>
    <w:rsid w:val="0099760B"/>
    <w:rsid w:val="009B0744"/>
    <w:rsid w:val="009B3C7A"/>
    <w:rsid w:val="009B4F70"/>
    <w:rsid w:val="009B62ED"/>
    <w:rsid w:val="009C1E4E"/>
    <w:rsid w:val="009C6FEB"/>
    <w:rsid w:val="009D2198"/>
    <w:rsid w:val="009D3916"/>
    <w:rsid w:val="009E36F1"/>
    <w:rsid w:val="009E6F2A"/>
    <w:rsid w:val="009F1065"/>
    <w:rsid w:val="00A00B26"/>
    <w:rsid w:val="00A117D7"/>
    <w:rsid w:val="00A21993"/>
    <w:rsid w:val="00A240A7"/>
    <w:rsid w:val="00A25DEC"/>
    <w:rsid w:val="00A36875"/>
    <w:rsid w:val="00A405D3"/>
    <w:rsid w:val="00A45C91"/>
    <w:rsid w:val="00A50048"/>
    <w:rsid w:val="00A62B42"/>
    <w:rsid w:val="00A63200"/>
    <w:rsid w:val="00A646FC"/>
    <w:rsid w:val="00A65BBE"/>
    <w:rsid w:val="00A65FDF"/>
    <w:rsid w:val="00A71316"/>
    <w:rsid w:val="00A717F9"/>
    <w:rsid w:val="00A7773F"/>
    <w:rsid w:val="00A77A34"/>
    <w:rsid w:val="00A82889"/>
    <w:rsid w:val="00A9281B"/>
    <w:rsid w:val="00A92B59"/>
    <w:rsid w:val="00A9301E"/>
    <w:rsid w:val="00A963CA"/>
    <w:rsid w:val="00AA3408"/>
    <w:rsid w:val="00AA56AC"/>
    <w:rsid w:val="00AB3160"/>
    <w:rsid w:val="00AC150F"/>
    <w:rsid w:val="00AC47A2"/>
    <w:rsid w:val="00AD0830"/>
    <w:rsid w:val="00AD3D48"/>
    <w:rsid w:val="00AD46E2"/>
    <w:rsid w:val="00AE60FB"/>
    <w:rsid w:val="00AF5DE1"/>
    <w:rsid w:val="00B01DA2"/>
    <w:rsid w:val="00B022F5"/>
    <w:rsid w:val="00B04F94"/>
    <w:rsid w:val="00B13B7F"/>
    <w:rsid w:val="00B15D52"/>
    <w:rsid w:val="00B165CB"/>
    <w:rsid w:val="00B16A12"/>
    <w:rsid w:val="00B22F0D"/>
    <w:rsid w:val="00B23027"/>
    <w:rsid w:val="00B268C2"/>
    <w:rsid w:val="00B3089A"/>
    <w:rsid w:val="00B32956"/>
    <w:rsid w:val="00B415FE"/>
    <w:rsid w:val="00B41AE8"/>
    <w:rsid w:val="00B42B54"/>
    <w:rsid w:val="00B43896"/>
    <w:rsid w:val="00B44184"/>
    <w:rsid w:val="00B45154"/>
    <w:rsid w:val="00B50692"/>
    <w:rsid w:val="00B51957"/>
    <w:rsid w:val="00B55812"/>
    <w:rsid w:val="00B56A74"/>
    <w:rsid w:val="00B600DD"/>
    <w:rsid w:val="00B62D9B"/>
    <w:rsid w:val="00B62FD1"/>
    <w:rsid w:val="00B66236"/>
    <w:rsid w:val="00B667E4"/>
    <w:rsid w:val="00B73CE0"/>
    <w:rsid w:val="00B74688"/>
    <w:rsid w:val="00B81971"/>
    <w:rsid w:val="00B90B4B"/>
    <w:rsid w:val="00B9309E"/>
    <w:rsid w:val="00B93DE5"/>
    <w:rsid w:val="00BA08A8"/>
    <w:rsid w:val="00BA1ABA"/>
    <w:rsid w:val="00BA46B9"/>
    <w:rsid w:val="00BB23F6"/>
    <w:rsid w:val="00BB2B65"/>
    <w:rsid w:val="00BB381F"/>
    <w:rsid w:val="00BB3FEA"/>
    <w:rsid w:val="00BB40CD"/>
    <w:rsid w:val="00BB5205"/>
    <w:rsid w:val="00BB76D5"/>
    <w:rsid w:val="00BC14DC"/>
    <w:rsid w:val="00BC1762"/>
    <w:rsid w:val="00BC6847"/>
    <w:rsid w:val="00BC6ABE"/>
    <w:rsid w:val="00BF7E7E"/>
    <w:rsid w:val="00C0298B"/>
    <w:rsid w:val="00C057ED"/>
    <w:rsid w:val="00C10D22"/>
    <w:rsid w:val="00C11141"/>
    <w:rsid w:val="00C27CC8"/>
    <w:rsid w:val="00C32D7F"/>
    <w:rsid w:val="00C427C0"/>
    <w:rsid w:val="00C43727"/>
    <w:rsid w:val="00C447A9"/>
    <w:rsid w:val="00C45AFC"/>
    <w:rsid w:val="00C47352"/>
    <w:rsid w:val="00C52A22"/>
    <w:rsid w:val="00C539EB"/>
    <w:rsid w:val="00C6415B"/>
    <w:rsid w:val="00C668DD"/>
    <w:rsid w:val="00C67A77"/>
    <w:rsid w:val="00C77C56"/>
    <w:rsid w:val="00C83999"/>
    <w:rsid w:val="00C90BA5"/>
    <w:rsid w:val="00C911E2"/>
    <w:rsid w:val="00C9192F"/>
    <w:rsid w:val="00C943ED"/>
    <w:rsid w:val="00C94DE4"/>
    <w:rsid w:val="00CA1897"/>
    <w:rsid w:val="00CA4476"/>
    <w:rsid w:val="00CA4EF8"/>
    <w:rsid w:val="00CA5028"/>
    <w:rsid w:val="00CB6B23"/>
    <w:rsid w:val="00CB70F7"/>
    <w:rsid w:val="00CD1C0F"/>
    <w:rsid w:val="00CD2418"/>
    <w:rsid w:val="00CD3A81"/>
    <w:rsid w:val="00CD4627"/>
    <w:rsid w:val="00CD65EA"/>
    <w:rsid w:val="00CE7065"/>
    <w:rsid w:val="00CF5704"/>
    <w:rsid w:val="00D0144F"/>
    <w:rsid w:val="00D06885"/>
    <w:rsid w:val="00D12651"/>
    <w:rsid w:val="00D12FFB"/>
    <w:rsid w:val="00D210E1"/>
    <w:rsid w:val="00D2162C"/>
    <w:rsid w:val="00D27A6F"/>
    <w:rsid w:val="00D36A89"/>
    <w:rsid w:val="00D45F04"/>
    <w:rsid w:val="00D55234"/>
    <w:rsid w:val="00D8162B"/>
    <w:rsid w:val="00D85863"/>
    <w:rsid w:val="00DB1A70"/>
    <w:rsid w:val="00DB1B9A"/>
    <w:rsid w:val="00DB264B"/>
    <w:rsid w:val="00DB3E9F"/>
    <w:rsid w:val="00DB5119"/>
    <w:rsid w:val="00DC25D3"/>
    <w:rsid w:val="00DC2787"/>
    <w:rsid w:val="00DC60BE"/>
    <w:rsid w:val="00DD3C3F"/>
    <w:rsid w:val="00DD4C14"/>
    <w:rsid w:val="00DE3C7A"/>
    <w:rsid w:val="00DE7CD9"/>
    <w:rsid w:val="00DF13EB"/>
    <w:rsid w:val="00DF4CC1"/>
    <w:rsid w:val="00E02036"/>
    <w:rsid w:val="00E02276"/>
    <w:rsid w:val="00E11760"/>
    <w:rsid w:val="00E14B50"/>
    <w:rsid w:val="00E15BE8"/>
    <w:rsid w:val="00E22584"/>
    <w:rsid w:val="00E22771"/>
    <w:rsid w:val="00E30903"/>
    <w:rsid w:val="00E32B27"/>
    <w:rsid w:val="00E33180"/>
    <w:rsid w:val="00E33AD6"/>
    <w:rsid w:val="00E35077"/>
    <w:rsid w:val="00E35715"/>
    <w:rsid w:val="00E35E3F"/>
    <w:rsid w:val="00E40750"/>
    <w:rsid w:val="00E45087"/>
    <w:rsid w:val="00E543C2"/>
    <w:rsid w:val="00E5464B"/>
    <w:rsid w:val="00E5534B"/>
    <w:rsid w:val="00E603F8"/>
    <w:rsid w:val="00E61E67"/>
    <w:rsid w:val="00E674BE"/>
    <w:rsid w:val="00E678D9"/>
    <w:rsid w:val="00E70292"/>
    <w:rsid w:val="00E708C1"/>
    <w:rsid w:val="00E71A3E"/>
    <w:rsid w:val="00E72535"/>
    <w:rsid w:val="00E84405"/>
    <w:rsid w:val="00E84A33"/>
    <w:rsid w:val="00E97BFD"/>
    <w:rsid w:val="00EA1AF5"/>
    <w:rsid w:val="00EA3B62"/>
    <w:rsid w:val="00EB2676"/>
    <w:rsid w:val="00EB2BC9"/>
    <w:rsid w:val="00EB3399"/>
    <w:rsid w:val="00EB3AAB"/>
    <w:rsid w:val="00ED2360"/>
    <w:rsid w:val="00ED3344"/>
    <w:rsid w:val="00ED42E5"/>
    <w:rsid w:val="00EE10E1"/>
    <w:rsid w:val="00EE231F"/>
    <w:rsid w:val="00EE3936"/>
    <w:rsid w:val="00EF04A8"/>
    <w:rsid w:val="00EF0EE4"/>
    <w:rsid w:val="00EF27B9"/>
    <w:rsid w:val="00EF3D14"/>
    <w:rsid w:val="00EF523B"/>
    <w:rsid w:val="00F018CF"/>
    <w:rsid w:val="00F01F75"/>
    <w:rsid w:val="00F02B45"/>
    <w:rsid w:val="00F04D0A"/>
    <w:rsid w:val="00F10C44"/>
    <w:rsid w:val="00F140E1"/>
    <w:rsid w:val="00F17232"/>
    <w:rsid w:val="00F2208E"/>
    <w:rsid w:val="00F267FC"/>
    <w:rsid w:val="00F302D8"/>
    <w:rsid w:val="00F310FC"/>
    <w:rsid w:val="00F31BF9"/>
    <w:rsid w:val="00F33B61"/>
    <w:rsid w:val="00F34DFC"/>
    <w:rsid w:val="00F35F61"/>
    <w:rsid w:val="00F408E1"/>
    <w:rsid w:val="00F418EA"/>
    <w:rsid w:val="00F436BA"/>
    <w:rsid w:val="00F46181"/>
    <w:rsid w:val="00F565B6"/>
    <w:rsid w:val="00F6219F"/>
    <w:rsid w:val="00F62A45"/>
    <w:rsid w:val="00F65748"/>
    <w:rsid w:val="00F71345"/>
    <w:rsid w:val="00F746FF"/>
    <w:rsid w:val="00F75B1D"/>
    <w:rsid w:val="00F77A5D"/>
    <w:rsid w:val="00F80CAD"/>
    <w:rsid w:val="00F82BD2"/>
    <w:rsid w:val="00F87245"/>
    <w:rsid w:val="00F93F04"/>
    <w:rsid w:val="00F970D0"/>
    <w:rsid w:val="00FB58C7"/>
    <w:rsid w:val="00FC1BF5"/>
    <w:rsid w:val="00FC4A32"/>
    <w:rsid w:val="00FC5946"/>
    <w:rsid w:val="00FD4185"/>
    <w:rsid w:val="00FD6239"/>
    <w:rsid w:val="00FE03FA"/>
    <w:rsid w:val="00FF0B33"/>
    <w:rsid w:val="00FF40D6"/>
    <w:rsid w:val="00FF4B12"/>
    <w:rsid w:val="00FF6628"/>
    <w:rsid w:val="00FF7D8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888C29"/>
  <w15:docId w15:val="{1FE4EBB1-0E26-4973-B4DE-A2F24693B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0830"/>
    <w:rPr>
      <w:rFonts w:ascii="Times New Roman" w:eastAsia="MS Mincho" w:hAnsi="Times New Roman" w:cs="Times New Roman"/>
      <w:sz w:val="24"/>
      <w:szCs w:val="24"/>
      <w:lang w:val="es-ES" w:eastAsia="es-ES"/>
    </w:rPr>
  </w:style>
  <w:style w:type="paragraph" w:styleId="Ttulo2">
    <w:name w:val="heading 2"/>
    <w:basedOn w:val="Normal"/>
    <w:next w:val="Normal"/>
    <w:link w:val="Ttulo2Car"/>
    <w:uiPriority w:val="9"/>
    <w:semiHidden/>
    <w:unhideWhenUsed/>
    <w:qFormat/>
    <w:rsid w:val="000742BD"/>
    <w:pPr>
      <w:keepNext/>
      <w:keepLines/>
      <w:spacing w:before="40" w:line="256" w:lineRule="auto"/>
      <w:outlineLvl w:val="1"/>
    </w:pPr>
    <w:rPr>
      <w:rFonts w:asciiTheme="majorHAnsi" w:eastAsiaTheme="majorEastAsia" w:hAnsiTheme="majorHAnsi"/>
      <w:color w:val="365F91" w:themeColor="accent1" w:themeShade="BF"/>
      <w:sz w:val="26"/>
      <w:szCs w:val="26"/>
      <w:lang w:val="es-CO" w:eastAsia="en-US"/>
    </w:rPr>
  </w:style>
  <w:style w:type="paragraph" w:styleId="Ttulo3">
    <w:name w:val="heading 3"/>
    <w:basedOn w:val="Normal"/>
    <w:next w:val="Normal"/>
    <w:link w:val="Ttulo3Car"/>
    <w:uiPriority w:val="9"/>
    <w:semiHidden/>
    <w:unhideWhenUsed/>
    <w:qFormat/>
    <w:rsid w:val="000742BD"/>
    <w:pPr>
      <w:keepNext/>
      <w:keepLines/>
      <w:spacing w:before="40" w:line="256" w:lineRule="auto"/>
      <w:outlineLvl w:val="2"/>
    </w:pPr>
    <w:rPr>
      <w:rFonts w:asciiTheme="majorHAnsi" w:eastAsiaTheme="majorEastAsia" w:hAnsiTheme="majorHAnsi"/>
      <w:color w:val="243F60" w:themeColor="accent1" w:themeShade="7F"/>
      <w:lang w:val="es-C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3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aliases w:val="BOLA,BOLADEF,Bolita,Bullets,Cuadrícula clara - Énfasis 31,Fluvial1,Guión,HOJA,Ha,Lista1,Lista vistosa - Énfasis 11,Lista11,Nivel 1 OS,Normal. Viñetas,Párrafo de lista21,Párrafo de lista3,Párrafo de lista4,Titulo 8,titulo 3"/>
    <w:basedOn w:val="Normal"/>
    <w:link w:val="PrrafodelistaCar"/>
    <w:uiPriority w:val="34"/>
    <w:qFormat/>
    <w:rsid w:val="005E04F5"/>
    <w:pPr>
      <w:ind w:left="720"/>
      <w:contextualSpacing/>
    </w:pPr>
  </w:style>
  <w:style w:type="character" w:styleId="Textoennegrita">
    <w:name w:val="Strong"/>
    <w:basedOn w:val="Fuentedeprrafopredeter"/>
    <w:uiPriority w:val="22"/>
    <w:qFormat/>
    <w:rsid w:val="005E04F5"/>
    <w:rPr>
      <w:b/>
      <w:bCs/>
    </w:rPr>
  </w:style>
  <w:style w:type="paragraph" w:customStyle="1" w:styleId="Prrafodelista1">
    <w:name w:val="Párrafo de lista1"/>
    <w:rsid w:val="0080212F"/>
    <w:pPr>
      <w:ind w:left="720"/>
    </w:pPr>
    <w:rPr>
      <w:rFonts w:ascii="Times New Roman" w:eastAsia="ヒラギノ角ゴ Pro W3" w:hAnsi="Times New Roman" w:cs="Times New Roman"/>
      <w:color w:val="000000"/>
      <w:sz w:val="24"/>
      <w:szCs w:val="20"/>
      <w:lang w:val="es-ES_tradnl" w:eastAsia="es-CO"/>
    </w:rPr>
  </w:style>
  <w:style w:type="paragraph" w:customStyle="1" w:styleId="FormatolibreCB">
    <w:name w:val="Formato libre C B"/>
    <w:autoRedefine/>
    <w:rsid w:val="0080212F"/>
    <w:rPr>
      <w:rFonts w:ascii="Times New Roman" w:eastAsia="ヒラギノ角ゴ Pro W3" w:hAnsi="Times New Roman" w:cs="Times New Roman"/>
      <w:color w:val="000000"/>
      <w:sz w:val="20"/>
      <w:szCs w:val="20"/>
      <w:lang w:eastAsia="es-CO"/>
    </w:rPr>
  </w:style>
  <w:style w:type="paragraph" w:customStyle="1" w:styleId="FormatolibreCAAA">
    <w:name w:val="Formato libre C A A A"/>
    <w:rsid w:val="0080212F"/>
    <w:rPr>
      <w:rFonts w:ascii="Times New Roman" w:eastAsia="ヒラギノ角ゴ Pro W3" w:hAnsi="Times New Roman" w:cs="Times New Roman"/>
      <w:color w:val="000000"/>
      <w:sz w:val="20"/>
      <w:szCs w:val="20"/>
      <w:lang w:eastAsia="es-CO"/>
    </w:rPr>
  </w:style>
  <w:style w:type="paragraph" w:customStyle="1" w:styleId="Formatolibre">
    <w:name w:val="Formato libre"/>
    <w:rsid w:val="00FD4185"/>
    <w:rPr>
      <w:rFonts w:ascii="Times New Roman" w:eastAsia="ヒラギノ角ゴ Pro W3" w:hAnsi="Times New Roman" w:cs="Times New Roman"/>
      <w:color w:val="000000"/>
      <w:sz w:val="20"/>
      <w:szCs w:val="20"/>
      <w:lang w:eastAsia="es-CO"/>
    </w:rPr>
  </w:style>
  <w:style w:type="paragraph" w:customStyle="1" w:styleId="FormatolibreCA">
    <w:name w:val="Formato libre C A"/>
    <w:rsid w:val="00FD4185"/>
    <w:rPr>
      <w:rFonts w:ascii="Times New Roman" w:eastAsia="ヒラギノ角ゴ Pro W3" w:hAnsi="Times New Roman" w:cs="Times New Roman"/>
      <w:color w:val="000000"/>
      <w:sz w:val="20"/>
      <w:szCs w:val="20"/>
      <w:lang w:eastAsia="es-CO"/>
    </w:rPr>
  </w:style>
  <w:style w:type="paragraph" w:customStyle="1" w:styleId="Prrafodelista2">
    <w:name w:val="Párrafo de lista2"/>
    <w:rsid w:val="00FD4185"/>
    <w:pPr>
      <w:ind w:left="720"/>
    </w:pPr>
    <w:rPr>
      <w:rFonts w:ascii="Times New Roman" w:eastAsia="ヒラギノ角ゴ Pro W3" w:hAnsi="Times New Roman" w:cs="Times New Roman"/>
      <w:color w:val="000000"/>
      <w:sz w:val="24"/>
      <w:szCs w:val="20"/>
      <w:lang w:val="es-ES_tradnl" w:eastAsia="es-CO"/>
    </w:rPr>
  </w:style>
  <w:style w:type="paragraph" w:styleId="Sinespaciado">
    <w:name w:val="No Spacing"/>
    <w:uiPriority w:val="1"/>
    <w:qFormat/>
    <w:rsid w:val="007B1D31"/>
  </w:style>
  <w:style w:type="character" w:styleId="Refdecomentario">
    <w:name w:val="annotation reference"/>
    <w:basedOn w:val="Fuentedeprrafopredeter"/>
    <w:uiPriority w:val="99"/>
    <w:semiHidden/>
    <w:unhideWhenUsed/>
    <w:rsid w:val="00CB6B23"/>
    <w:rPr>
      <w:sz w:val="16"/>
      <w:szCs w:val="16"/>
    </w:rPr>
  </w:style>
  <w:style w:type="paragraph" w:styleId="Textocomentario">
    <w:name w:val="annotation text"/>
    <w:basedOn w:val="Normal"/>
    <w:link w:val="TextocomentarioCar"/>
    <w:uiPriority w:val="99"/>
    <w:semiHidden/>
    <w:unhideWhenUsed/>
    <w:rsid w:val="00CB6B23"/>
    <w:rPr>
      <w:sz w:val="20"/>
      <w:szCs w:val="20"/>
    </w:rPr>
  </w:style>
  <w:style w:type="character" w:customStyle="1" w:styleId="TextocomentarioCar">
    <w:name w:val="Texto comentario Car"/>
    <w:basedOn w:val="Fuentedeprrafopredeter"/>
    <w:link w:val="Textocomentario"/>
    <w:uiPriority w:val="99"/>
    <w:semiHidden/>
    <w:rsid w:val="00CB6B23"/>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CB6B23"/>
    <w:rPr>
      <w:b/>
      <w:bCs/>
    </w:rPr>
  </w:style>
  <w:style w:type="character" w:customStyle="1" w:styleId="AsuntodelcomentarioCar">
    <w:name w:val="Asunto del comentario Car"/>
    <w:basedOn w:val="TextocomentarioCar"/>
    <w:link w:val="Asuntodelcomentario"/>
    <w:uiPriority w:val="99"/>
    <w:semiHidden/>
    <w:rsid w:val="00CB6B23"/>
    <w:rPr>
      <w:rFonts w:ascii="Times New Roman" w:eastAsia="MS Mincho" w:hAnsi="Times New Roman" w:cs="Times New Roman"/>
      <w:b/>
      <w:bCs/>
      <w:sz w:val="20"/>
      <w:szCs w:val="20"/>
      <w:lang w:val="es-ES" w:eastAsia="es-ES"/>
    </w:rPr>
  </w:style>
  <w:style w:type="paragraph" w:styleId="NormalWeb">
    <w:name w:val="Normal (Web)"/>
    <w:basedOn w:val="Normal"/>
    <w:uiPriority w:val="99"/>
    <w:rsid w:val="007E47EB"/>
    <w:pPr>
      <w:spacing w:before="100" w:beforeAutospacing="1" w:after="119"/>
    </w:pPr>
    <w:rPr>
      <w:rFonts w:eastAsia="Calibri"/>
    </w:rPr>
  </w:style>
  <w:style w:type="character" w:customStyle="1" w:styleId="Ttulo2Car">
    <w:name w:val="Título 2 Car"/>
    <w:basedOn w:val="Fuentedeprrafopredeter"/>
    <w:link w:val="Ttulo2"/>
    <w:uiPriority w:val="9"/>
    <w:semiHidden/>
    <w:rsid w:val="000742BD"/>
    <w:rPr>
      <w:rFonts w:asciiTheme="majorHAnsi" w:eastAsiaTheme="majorEastAsia" w:hAnsiTheme="majorHAnsi" w:cs="Times New Roman"/>
      <w:color w:val="365F91" w:themeColor="accent1" w:themeShade="BF"/>
      <w:sz w:val="26"/>
      <w:szCs w:val="26"/>
    </w:rPr>
  </w:style>
  <w:style w:type="character" w:customStyle="1" w:styleId="Ttulo3Car">
    <w:name w:val="Título 3 Car"/>
    <w:basedOn w:val="Fuentedeprrafopredeter"/>
    <w:link w:val="Ttulo3"/>
    <w:uiPriority w:val="9"/>
    <w:semiHidden/>
    <w:rsid w:val="000742BD"/>
    <w:rPr>
      <w:rFonts w:asciiTheme="majorHAnsi" w:eastAsiaTheme="majorEastAsia" w:hAnsiTheme="majorHAnsi" w:cs="Times New Roman"/>
      <w:color w:val="243F60" w:themeColor="accent1" w:themeShade="7F"/>
      <w:sz w:val="24"/>
      <w:szCs w:val="24"/>
    </w:rPr>
  </w:style>
  <w:style w:type="character" w:customStyle="1" w:styleId="PrrafodelistaCar">
    <w:name w:val="Párrafo de lista Car"/>
    <w:aliases w:val="BOLA Car,BOLADEF Car,Bolita Car,Bullets Car,Cuadrícula clara - Énfasis 31 Car,Fluvial1 Car,Guión Car,HOJA Car,Ha Car,Lista1 Car,Lista vistosa - Énfasis 11 Car,Lista11 Car,Nivel 1 OS Car,Normal. Viñetas Car,Párrafo de lista21 Car"/>
    <w:basedOn w:val="Fuentedeprrafopredeter"/>
    <w:link w:val="Prrafodelista"/>
    <w:uiPriority w:val="34"/>
    <w:locked/>
    <w:rsid w:val="000742BD"/>
    <w:rPr>
      <w:rFonts w:ascii="Times New Roman" w:eastAsia="MS Mincho" w:hAnsi="Times New Roman" w:cs="Times New Roman"/>
      <w:sz w:val="24"/>
      <w:szCs w:val="24"/>
      <w:lang w:val="es-ES" w:eastAsia="es-ES"/>
    </w:rPr>
  </w:style>
  <w:style w:type="paragraph" w:styleId="Textonotapie">
    <w:name w:val="footnote text"/>
    <w:aliases w:val="Car,Footnote Text1 Cha,Footnote ak,Nota a pie/Bibliog,Texto nota pie Car Car,Texto nota pie Car Car Car,Texto nota pie Car1 Car,f,fn,ft,ft Car Car Car,texto de nota al pie,texto de nota al pie Car Car,texto de nota al pie Car Car Car Car"/>
    <w:basedOn w:val="Normal"/>
    <w:link w:val="TextonotapieCar"/>
    <w:uiPriority w:val="99"/>
    <w:unhideWhenUsed/>
    <w:qFormat/>
    <w:rsid w:val="000742BD"/>
    <w:rPr>
      <w:sz w:val="20"/>
      <w:szCs w:val="20"/>
    </w:rPr>
  </w:style>
  <w:style w:type="character" w:customStyle="1" w:styleId="TextonotapieCar">
    <w:name w:val="Texto nota pie Car"/>
    <w:aliases w:val="Car Car,Footnote Text1 Cha Car,Footnote ak Car,Nota a pie/Bibliog Car,Texto nota pie Car Car Car1,Texto nota pie Car Car Car Car,Texto nota pie Car1 Car Car,f Car,fn Car,ft Car,ft Car Car Car Car,texto de nota al pie Car"/>
    <w:basedOn w:val="Fuentedeprrafopredeter"/>
    <w:link w:val="Textonotapie"/>
    <w:uiPriority w:val="99"/>
    <w:rsid w:val="000742BD"/>
    <w:rPr>
      <w:rFonts w:ascii="Times New Roman" w:eastAsia="MS Mincho" w:hAnsi="Times New Roman" w:cs="Times New Roman"/>
      <w:sz w:val="20"/>
      <w:szCs w:val="20"/>
      <w:lang w:val="es-ES" w:eastAsia="es-ES"/>
    </w:rPr>
  </w:style>
  <w:style w:type="character" w:styleId="Refdenotaalpie">
    <w:name w:val="footnote reference"/>
    <w:aliases w:val="Appel note de bas de p,BVI fnr,FC,Footnote,Footnote symbol,Footnotes refss,Nota de pie,Pie de pagina,Re,Ref,Ref. de nota al pie2,Texto Nota Pie de Pagina,Texto de nota al pie,Texto nota al pie,de nota al pie,referencia nota al pie"/>
    <w:basedOn w:val="Fuentedeprrafopredeter"/>
    <w:uiPriority w:val="99"/>
    <w:unhideWhenUsed/>
    <w:qFormat/>
    <w:rsid w:val="000742BD"/>
    <w:rPr>
      <w:rFonts w:cs="Times New Roman"/>
      <w:vertAlign w:val="superscript"/>
    </w:rPr>
  </w:style>
  <w:style w:type="paragraph" w:customStyle="1" w:styleId="epgrafe">
    <w:name w:val="epgrafe"/>
    <w:basedOn w:val="Normal"/>
    <w:uiPriority w:val="99"/>
    <w:rsid w:val="000742BD"/>
    <w:pPr>
      <w:spacing w:before="100" w:beforeAutospacing="1" w:after="100" w:afterAutospacing="1"/>
    </w:pPr>
    <w:rPr>
      <w:rFonts w:eastAsia="Times New Roman"/>
    </w:rPr>
  </w:style>
  <w:style w:type="paragraph" w:styleId="Descripcin">
    <w:name w:val="caption"/>
    <w:basedOn w:val="Normal"/>
    <w:next w:val="Normal"/>
    <w:uiPriority w:val="35"/>
    <w:unhideWhenUsed/>
    <w:qFormat/>
    <w:rsid w:val="000742BD"/>
    <w:pPr>
      <w:spacing w:after="200"/>
    </w:pPr>
    <w:rPr>
      <w:rFonts w:eastAsia="Times New Roman"/>
      <w:i/>
      <w:iCs/>
      <w:color w:val="1F497D" w:themeColor="text2"/>
      <w:sz w:val="18"/>
      <w:szCs w:val="18"/>
      <w:lang w:val="es-CO" w:eastAsia="en-US"/>
    </w:rPr>
  </w:style>
  <w:style w:type="paragraph" w:customStyle="1" w:styleId="Body">
    <w:name w:val="Body"/>
    <w:rsid w:val="000742BD"/>
    <w:rPr>
      <w:rFonts w:ascii="Helvetica" w:eastAsia="ヒラギノ角ゴ Pro W3" w:hAnsi="Helvetica" w:cs="Times New Roman"/>
      <w:color w:val="000000"/>
      <w:sz w:val="24"/>
      <w:szCs w:val="20"/>
      <w:lang w:val="en-US"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823940">
      <w:bodyDiv w:val="1"/>
      <w:marLeft w:val="0"/>
      <w:marRight w:val="0"/>
      <w:marTop w:val="0"/>
      <w:marBottom w:val="0"/>
      <w:divBdr>
        <w:top w:val="none" w:sz="0" w:space="0" w:color="auto"/>
        <w:left w:val="none" w:sz="0" w:space="0" w:color="auto"/>
        <w:bottom w:val="none" w:sz="0" w:space="0" w:color="auto"/>
        <w:right w:val="none" w:sz="0" w:space="0" w:color="auto"/>
      </w:divBdr>
    </w:div>
    <w:div w:id="303051801">
      <w:bodyDiv w:val="1"/>
      <w:marLeft w:val="0"/>
      <w:marRight w:val="0"/>
      <w:marTop w:val="0"/>
      <w:marBottom w:val="0"/>
      <w:divBdr>
        <w:top w:val="none" w:sz="0" w:space="0" w:color="auto"/>
        <w:left w:val="none" w:sz="0" w:space="0" w:color="auto"/>
        <w:bottom w:val="none" w:sz="0" w:space="0" w:color="auto"/>
        <w:right w:val="none" w:sz="0" w:space="0" w:color="auto"/>
      </w:divBdr>
    </w:div>
    <w:div w:id="625696727">
      <w:bodyDiv w:val="1"/>
      <w:marLeft w:val="0"/>
      <w:marRight w:val="0"/>
      <w:marTop w:val="0"/>
      <w:marBottom w:val="0"/>
      <w:divBdr>
        <w:top w:val="none" w:sz="0" w:space="0" w:color="auto"/>
        <w:left w:val="none" w:sz="0" w:space="0" w:color="auto"/>
        <w:bottom w:val="none" w:sz="0" w:space="0" w:color="auto"/>
        <w:right w:val="none" w:sz="0" w:space="0" w:color="auto"/>
      </w:divBdr>
    </w:div>
    <w:div w:id="1299611285">
      <w:bodyDiv w:val="1"/>
      <w:marLeft w:val="0"/>
      <w:marRight w:val="0"/>
      <w:marTop w:val="0"/>
      <w:marBottom w:val="0"/>
      <w:divBdr>
        <w:top w:val="none" w:sz="0" w:space="0" w:color="auto"/>
        <w:left w:val="none" w:sz="0" w:space="0" w:color="auto"/>
        <w:bottom w:val="none" w:sz="0" w:space="0" w:color="auto"/>
        <w:right w:val="none" w:sz="0" w:space="0" w:color="auto"/>
      </w:divBdr>
    </w:div>
    <w:div w:id="1883787966">
      <w:bodyDiv w:val="1"/>
      <w:marLeft w:val="0"/>
      <w:marRight w:val="0"/>
      <w:marTop w:val="0"/>
      <w:marBottom w:val="0"/>
      <w:divBdr>
        <w:top w:val="none" w:sz="0" w:space="0" w:color="auto"/>
        <w:left w:val="none" w:sz="0" w:space="0" w:color="auto"/>
        <w:bottom w:val="none" w:sz="0" w:space="0" w:color="auto"/>
        <w:right w:val="none" w:sz="0" w:space="0" w:color="auto"/>
      </w:divBdr>
    </w:div>
    <w:div w:id="2084449455">
      <w:bodyDiv w:val="1"/>
      <w:marLeft w:val="0"/>
      <w:marRight w:val="0"/>
      <w:marTop w:val="0"/>
      <w:marBottom w:val="0"/>
      <w:divBdr>
        <w:top w:val="none" w:sz="0" w:space="0" w:color="auto"/>
        <w:left w:val="none" w:sz="0" w:space="0" w:color="auto"/>
        <w:bottom w:val="none" w:sz="0" w:space="0" w:color="auto"/>
        <w:right w:val="none" w:sz="0" w:space="0" w:color="auto"/>
      </w:divBdr>
    </w:div>
    <w:div w:id="2118331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microsoft.com/office/2011/relationships/commentsExtended" Target="commentsExtended.xml"/><Relationship Id="rId26" Type="http://schemas.microsoft.com/office/2011/relationships/people" Target="peop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omments" Target="comments.xml"/><Relationship Id="rId25" Type="http://schemas.openxmlformats.org/officeDocument/2006/relationships/fontTable" Target="fontTable.xml"/><Relationship Id="rId20" Type="http://schemas.openxmlformats.org/officeDocument/2006/relationships/chart" Target="charts/chart2.xml"/><Relationship Id="rId16" Type="http://schemas.openxmlformats.org/officeDocument/2006/relationships/chart" Target="charts/chart1.xml"/><Relationship Id="rId29"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uncionpublica.gov.co/eva/gestornormativo/norma.php?i=2752" TargetMode="External"/><Relationship Id="rId23" Type="http://schemas.openxmlformats.org/officeDocument/2006/relationships/header" Target="header2.xml"/><Relationship Id="rId28" Type="http://schemas.microsoft.com/office/2016/09/relationships/commentsIds" Target="commentsIds.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alcaldiasoacha.gov.co/NuestroMunicipio/Paginas/Geografia.aspx" TargetMode="External"/><Relationship Id="rId7" Type="http://schemas.openxmlformats.org/officeDocument/2006/relationships/hyperlink" Target="https://es.wikipedia.org/wiki/Soacha" TargetMode="External"/><Relationship Id="rId2" Type="http://schemas.openxmlformats.org/officeDocument/2006/relationships/hyperlink" Target="https://revistaseug.ugr.es/index.php/revpaz/article/view/457/524" TargetMode="External"/><Relationship Id="rId1" Type="http://schemas.openxmlformats.org/officeDocument/2006/relationships/hyperlink" Target="https://terridata.dnp.gov.co/index-app.html" TargetMode="External"/><Relationship Id="rId6" Type="http://schemas.openxmlformats.org/officeDocument/2006/relationships/hyperlink" Target="https://upload.wikimedia.org/wikipedia/commons/0/03/Mapa_de_Soacha.svg" TargetMode="External"/><Relationship Id="rId5" Type="http://schemas.openxmlformats.org/officeDocument/2006/relationships/hyperlink" Target="https://www.alcaldiasoacha.gov.co/NuestroMunicipio/Paginas/Geografia.aspx" TargetMode="External"/><Relationship Id="rId4" Type="http://schemas.openxmlformats.org/officeDocument/2006/relationships/hyperlink" Target="https://es.wikipedia.org/wiki/Soacha"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C:\Users\Mario\Dropbox\1.%20Universidad%20del%20Atl&#225;ntico\4.%20MinHacienda%20-%20Pr&#225;cticas%20Laborales\4.%20Desarrollo\Apoyo%20Territorial%20(Soacha)\0.%20Hoja%20de%20trabajo.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Mario\Dropbox\1.%20Universidad%20del%20Atl&#225;ntico\4.%20MinHacienda%20-%20Pr&#225;cticas%20Laborales\4.%20Desarrollo\Apoyo%20Territorial%20(Soacha)\0.%20Hoja%20de%20trabajo.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r>
              <a:rPr lang="es-CO" sz="1600" b="0" i="0" baseline="0">
                <a:effectLst/>
              </a:rPr>
              <a:t>Distribución de los Recursos SGP APSB </a:t>
            </a:r>
            <a:endParaRPr lang="en-US" sz="1600">
              <a:effectLst/>
            </a:endParaRPr>
          </a:p>
        </c:rich>
      </c:tx>
      <c:overlay val="0"/>
      <c:spPr>
        <a:noFill/>
        <a:ln>
          <a:noFill/>
        </a:ln>
        <a:effectLst/>
      </c:spPr>
      <c:txPr>
        <a:bodyPr rot="0" spcFirstLastPara="1" vertOverflow="ellipsis" vert="horz" wrap="square" anchor="ctr" anchorCtr="1"/>
        <a:lstStyle/>
        <a:p>
          <a:pPr>
            <a:defRPr b="0" i="0" u="none" strike="noStrike" kern="1200" baseline="0">
              <a:solidFill>
                <a:schemeClr val="dk1">
                  <a:lumMod val="65000"/>
                  <a:lumOff val="35000"/>
                </a:schemeClr>
              </a:solidFill>
              <a:effectLst/>
              <a:latin typeface="+mn-lt"/>
              <a:ea typeface="+mn-ea"/>
              <a:cs typeface="+mn-cs"/>
            </a:defRPr>
          </a:pPr>
          <a:endParaRPr lang="es-CO"/>
        </a:p>
      </c:txPr>
    </c:title>
    <c:autoTitleDeleted val="0"/>
    <c:plotArea>
      <c:layout>
        <c:manualLayout>
          <c:layoutTarget val="inner"/>
          <c:xMode val="edge"/>
          <c:yMode val="edge"/>
          <c:x val="6.1111111111111109E-2"/>
          <c:y val="0.1804399970836979"/>
          <c:w val="0.93888888888888888"/>
          <c:h val="0.69827172645086033"/>
        </c:manualLayout>
      </c:layout>
      <c:barChart>
        <c:barDir val="col"/>
        <c:grouping val="clustered"/>
        <c:varyColors val="0"/>
        <c:ser>
          <c:idx val="0"/>
          <c:order val="0"/>
          <c:tx>
            <c:strRef>
              <c:f>'Distribución '!$B$6</c:f>
              <c:strCache>
                <c:ptCount val="1"/>
                <c:pt idx="0">
                  <c:v>Rubro</c:v>
                </c:pt>
              </c:strCache>
            </c:strRef>
          </c:tx>
          <c:spPr>
            <a:gradFill>
              <a:gsLst>
                <a:gs pos="0">
                  <a:schemeClr val="accent1"/>
                </a:gs>
                <a:gs pos="100000">
                  <a:schemeClr val="accent1">
                    <a:lumMod val="84000"/>
                  </a:schemeClr>
                </a:gs>
              </a:gsLst>
              <a:lin ang="5400000" scaled="1"/>
            </a:gradFill>
            <a:ln>
              <a:noFill/>
            </a:ln>
            <a:effectLst>
              <a:outerShdw blurRad="76200" dir="18900000" sy="23000" kx="-1200000" algn="bl" rotWithShape="0">
                <a:prstClr val="black">
                  <a:alpha val="20000"/>
                </a:prstClr>
              </a:outerShdw>
            </a:effectLst>
          </c:spPr>
          <c:invertIfNegative val="0"/>
          <c:dPt>
            <c:idx val="1"/>
            <c:invertIfNegative val="0"/>
            <c:bubble3D val="0"/>
            <c:spPr>
              <a:solidFill>
                <a:schemeClr val="accent2"/>
              </a:solidFill>
              <a:ln>
                <a:noFill/>
              </a:ln>
              <a:effectLst>
                <a:outerShdw blurRad="76200" dir="18900000" sy="23000" kx="-1200000" algn="bl" rotWithShape="0">
                  <a:prstClr val="black">
                    <a:alpha val="20000"/>
                  </a:prstClr>
                </a:outerShdw>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F920-451E-A4AC-066FFE960BE7}"/>
              </c:ext>
            </c:extLst>
          </c:dPt>
          <c:dPt>
            <c:idx val="2"/>
            <c:invertIfNegative val="0"/>
            <c:bubble3D val="0"/>
            <c:spPr>
              <a:solidFill>
                <a:schemeClr val="accent6"/>
              </a:solidFill>
              <a:ln>
                <a:noFill/>
              </a:ln>
              <a:effectLst>
                <a:outerShdw blurRad="76200" dir="18900000" sy="23000" kx="-1200000" algn="bl" rotWithShape="0">
                  <a:prstClr val="black">
                    <a:alpha val="20000"/>
                  </a:prstClr>
                </a:outerShdw>
              </a:effectLst>
            </c:spPr>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3-F920-451E-A4AC-066FFE960BE7}"/>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CO"/>
              </a:p>
            </c:txPr>
            <c:dLblPos val="inEnd"/>
            <c:showLegendKey val="0"/>
            <c:showVal val="1"/>
            <c:showCatName val="0"/>
            <c:showSerName val="0"/>
            <c:showPercent val="0"/>
            <c:showBubbleSize val="0"/>
            <c:showLeaderLines val="0"/>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5="http://schemas.microsoft.com/office/drawing/2012/chart" uri="{CE6537A1-D6FC-4f65-9D91-7224C49458BB}">
                <c15:showLeaderLines val="0"/>
              </c:ext>
            </c:extLst>
          </c:dLbls>
          <c:cat>
            <c:numRef>
              <c:f>'Distribución '!$C$5:$E$5</c:f>
              <c:numCache>
                <c:formatCode>General</c:formatCode>
                <c:ptCount val="3"/>
                <c:pt idx="0">
                  <c:v>2019</c:v>
                </c:pt>
                <c:pt idx="1">
                  <c:v>2020</c:v>
                </c:pt>
                <c:pt idx="2">
                  <c:v>2021</c:v>
                </c:pt>
              </c:numCache>
            </c:numRef>
          </c:cat>
          <c:val>
            <c:numRef>
              <c:f>'Distribución '!$C$6:$E$6</c:f>
              <c:numCache>
                <c:formatCode>"$"\ #,##0</c:formatCode>
                <c:ptCount val="3"/>
                <c:pt idx="0">
                  <c:v>16858</c:v>
                </c:pt>
                <c:pt idx="1">
                  <c:v>20833</c:v>
                </c:pt>
                <c:pt idx="2">
                  <c:v>21812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4-F920-451E-A4AC-066FFE960BE7}"/>
            </c:ext>
          </c:extLst>
        </c:ser>
        <c:dLbls>
          <c:dLblPos val="inEnd"/>
          <c:showLegendKey val="0"/>
          <c:showVal val="1"/>
          <c:showCatName val="0"/>
          <c:showSerName val="0"/>
          <c:showPercent val="0"/>
          <c:showBubbleSize val="0"/>
        </c:dLbls>
        <c:gapWidth val="41"/>
        <c:axId val="694157584"/>
        <c:axId val="694156752"/>
      </c:barChart>
      <c:catAx>
        <c:axId val="694157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dk1">
                    <a:lumMod val="65000"/>
                    <a:lumOff val="35000"/>
                  </a:schemeClr>
                </a:solidFill>
                <a:effectLst/>
                <a:latin typeface="+mn-lt"/>
                <a:ea typeface="+mn-ea"/>
                <a:cs typeface="+mn-cs"/>
              </a:defRPr>
            </a:pPr>
            <a:endParaRPr lang="es-CO"/>
          </a:p>
        </c:txPr>
        <c:crossAx val="694156752"/>
        <c:crosses val="autoZero"/>
        <c:auto val="1"/>
        <c:lblAlgn val="ctr"/>
        <c:lblOffset val="100"/>
        <c:noMultiLvlLbl val="0"/>
      </c:catAx>
      <c:valAx>
        <c:axId val="694156752"/>
        <c:scaling>
          <c:orientation val="minMax"/>
        </c:scaling>
        <c:delete val="1"/>
        <c:axPos val="l"/>
        <c:title>
          <c:tx>
            <c:rich>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r>
                  <a:rPr lang="en-US" sz="900" b="1" i="0" u="none" strike="noStrike" baseline="0">
                    <a:effectLst/>
                  </a:rPr>
                  <a:t>RUBROS (Millones de pesos</a:t>
                </a:r>
                <a:endParaRPr lang="en-US"/>
              </a:p>
            </c:rich>
          </c:tx>
          <c:overlay val="0"/>
          <c:spPr>
            <a:noFill/>
            <a:ln>
              <a:noFill/>
            </a:ln>
            <a:effectLst/>
          </c:spPr>
          <c:txPr>
            <a:bodyPr rot="-5400000" spcFirstLastPara="1" vertOverflow="ellipsis" vert="horz" wrap="square" anchor="ctr" anchorCtr="1"/>
            <a:lstStyle/>
            <a:p>
              <a:pPr>
                <a:defRPr sz="900" b="1" i="0" u="none" strike="noStrike" kern="1200" baseline="0">
                  <a:solidFill>
                    <a:schemeClr val="dk1">
                      <a:lumMod val="65000"/>
                      <a:lumOff val="35000"/>
                    </a:schemeClr>
                  </a:solidFill>
                  <a:latin typeface="+mn-lt"/>
                  <a:ea typeface="+mn-ea"/>
                  <a:cs typeface="+mn-cs"/>
                </a:defRPr>
              </a:pPr>
              <a:endParaRPr lang="es-CO"/>
            </a:p>
          </c:txPr>
        </c:title>
        <c:numFmt formatCode="&quot;$&quot;\ #,##0" sourceLinked="1"/>
        <c:majorTickMark val="none"/>
        <c:minorTickMark val="none"/>
        <c:tickLblPos val="nextTo"/>
        <c:crossAx val="694157584"/>
        <c:crosses val="autoZero"/>
        <c:crossBetween val="between"/>
      </c:valAx>
      <c:spPr>
        <a:noFill/>
        <a:ln>
          <a:noFill/>
        </a:ln>
        <a:effectLst/>
      </c:spPr>
    </c:plotArea>
    <c:plotVisOnly val="1"/>
    <c:dispBlanksAs val="gap"/>
    <c:showDLblsOverMax val="0"/>
  </c:chart>
  <c: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a:effectLst/>
  </c:spPr>
  <c:txPr>
    <a:bodyPr/>
    <a:lstStyle/>
    <a:p>
      <a:pPr>
        <a:defRPr/>
      </a:pPr>
      <a:endParaRPr lang="es-CO"/>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en-US" sz="1100"/>
              <a:t>Informe de Cierre de Vigencias. (Cifras en millones de Pesos)</a:t>
            </a:r>
          </a:p>
        </c:rich>
      </c:tx>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barChart>
        <c:barDir val="col"/>
        <c:grouping val="clustered"/>
        <c:varyColors val="0"/>
        <c:ser>
          <c:idx val="0"/>
          <c:order val="0"/>
          <c:tx>
            <c:strRef>
              <c:f>'Resultado - Cierre'!$D$4</c:f>
              <c:strCache>
                <c:ptCount val="1"/>
                <c:pt idx="0">
                  <c:v>Vigencia 2019</c:v>
                </c:pt>
              </c:strCache>
            </c:strRef>
          </c:tx>
          <c:spPr>
            <a:solidFill>
              <a:schemeClr val="accent1"/>
            </a:solidFill>
            <a:ln>
              <a:noFill/>
            </a:ln>
            <a:effectLst/>
          </c:spPr>
          <c:invertIfNegative val="0"/>
          <c:cat>
            <c:strRef>
              <c:f>'Resultado - Cierre'!$C$8:$C$12</c:f>
              <c:strCache>
                <c:ptCount val="5"/>
                <c:pt idx="0">
                  <c:v>4. Pagos </c:v>
                </c:pt>
                <c:pt idx="1">
                  <c:v>Défecit o Superávit (1-2)</c:v>
                </c:pt>
                <c:pt idx="2">
                  <c:v>Reservas (2-3)</c:v>
                </c:pt>
                <c:pt idx="3">
                  <c:v>Cuentas por pagar (3-4)</c:v>
                </c:pt>
                <c:pt idx="4">
                  <c:v>Saldos en Caja y Bancos(1-4)</c:v>
                </c:pt>
              </c:strCache>
            </c:strRef>
          </c:cat>
          <c:val>
            <c:numRef>
              <c:f>'Resultado - Cierre'!$D$8:$D$12</c:f>
              <c:numCache>
                <c:formatCode>"$"\ #,##0</c:formatCode>
                <c:ptCount val="5"/>
                <c:pt idx="0">
                  <c:v>14089</c:v>
                </c:pt>
                <c:pt idx="1">
                  <c:v>4311</c:v>
                </c:pt>
                <c:pt idx="2">
                  <c:v>4978</c:v>
                </c:pt>
                <c:pt idx="3">
                  <c:v>224</c:v>
                </c:pt>
                <c:pt idx="4">
                  <c:v>9513</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0-43CF-4AB9-A3D6-58DA99743D58}"/>
            </c:ext>
          </c:extLst>
        </c:ser>
        <c:ser>
          <c:idx val="1"/>
          <c:order val="1"/>
          <c:tx>
            <c:strRef>
              <c:f>'Resultado - Cierre'!$F$4</c:f>
              <c:strCache>
                <c:ptCount val="1"/>
                <c:pt idx="0">
                  <c:v>Vigencia 2020</c:v>
                </c:pt>
              </c:strCache>
            </c:strRef>
          </c:tx>
          <c:spPr>
            <a:solidFill>
              <a:schemeClr val="accent2"/>
            </a:solidFill>
            <a:ln>
              <a:noFill/>
            </a:ln>
            <a:effectLst/>
          </c:spPr>
          <c:invertIfNegative val="0"/>
          <c:cat>
            <c:strRef>
              <c:f>'Resultado - Cierre'!$C$8:$C$12</c:f>
              <c:strCache>
                <c:ptCount val="5"/>
                <c:pt idx="0">
                  <c:v>4. Pagos </c:v>
                </c:pt>
                <c:pt idx="1">
                  <c:v>Défecit o Superávit (1-2)</c:v>
                </c:pt>
                <c:pt idx="2">
                  <c:v>Reservas (2-3)</c:v>
                </c:pt>
                <c:pt idx="3">
                  <c:v>Cuentas por pagar (3-4)</c:v>
                </c:pt>
                <c:pt idx="4">
                  <c:v>Saldos en Caja y Bancos(1-4)</c:v>
                </c:pt>
              </c:strCache>
            </c:strRef>
          </c:cat>
          <c:val>
            <c:numRef>
              <c:f>'Resultado - Cierre'!$F$8:$F$12</c:f>
              <c:numCache>
                <c:formatCode>"$"\ #,##0</c:formatCode>
                <c:ptCount val="5"/>
                <c:pt idx="0">
                  <c:v>5009</c:v>
                </c:pt>
                <c:pt idx="1">
                  <c:v>12950</c:v>
                </c:pt>
                <c:pt idx="2">
                  <c:v>13192</c:v>
                </c:pt>
                <c:pt idx="3">
                  <c:v>1230</c:v>
                </c:pt>
                <c:pt idx="4">
                  <c:v>27372</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1-43CF-4AB9-A3D6-58DA99743D58}"/>
            </c:ext>
          </c:extLst>
        </c:ser>
        <c:ser>
          <c:idx val="2"/>
          <c:order val="2"/>
          <c:tx>
            <c:strRef>
              <c:f>'Resultado - Cierre'!$H$4</c:f>
              <c:strCache>
                <c:ptCount val="1"/>
                <c:pt idx="0">
                  <c:v>Vigencia 2021</c:v>
                </c:pt>
              </c:strCache>
            </c:strRef>
          </c:tx>
          <c:spPr>
            <a:solidFill>
              <a:schemeClr val="accent3"/>
            </a:solidFill>
            <a:ln>
              <a:noFill/>
            </a:ln>
            <a:effectLst/>
          </c:spPr>
          <c:invertIfNegative val="0"/>
          <c:cat>
            <c:strRef>
              <c:f>'Resultado - Cierre'!$C$8:$C$12</c:f>
              <c:strCache>
                <c:ptCount val="5"/>
                <c:pt idx="0">
                  <c:v>4. Pagos </c:v>
                </c:pt>
                <c:pt idx="1">
                  <c:v>Défecit o Superávit (1-2)</c:v>
                </c:pt>
                <c:pt idx="2">
                  <c:v>Reservas (2-3)</c:v>
                </c:pt>
                <c:pt idx="3">
                  <c:v>Cuentas por pagar (3-4)</c:v>
                </c:pt>
                <c:pt idx="4">
                  <c:v>Saldos en Caja y Bancos(1-4)</c:v>
                </c:pt>
              </c:strCache>
            </c:strRef>
          </c:cat>
          <c:val>
            <c:numRef>
              <c:f>'Resultado - Cierre'!$H$8:$H$12</c:f>
              <c:numCache>
                <c:formatCode>"$"\ #,##0</c:formatCode>
                <c:ptCount val="5"/>
                <c:pt idx="0">
                  <c:v>17169</c:v>
                </c:pt>
                <c:pt idx="1">
                  <c:v>4755</c:v>
                </c:pt>
                <c:pt idx="2">
                  <c:v>11108</c:v>
                </c:pt>
                <c:pt idx="3">
                  <c:v>1614</c:v>
                </c:pt>
                <c:pt idx="4">
                  <c:v>17477</c:v>
                </c:pt>
              </c:numCache>
            </c:numRef>
          </c:val>
          <c:extLst xmlns:w="http://schemas.openxmlformats.org/wordprocessingml/2006/main" xmlns:m="http://schemas.openxmlformats.org/officeDocument/2006/math" xmlns:wp="http://schemas.openxmlformats.org/drawingml/2006/wordprocessingDrawing" xmlns:ns6="http://schemas.openxmlformats.org/schemaLibrary/2006/main"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c:ext xmlns:c16="http://schemas.microsoft.com/office/drawing/2014/chart" uri="{C3380CC4-5D6E-409C-BE32-E72D297353CC}">
              <c16:uniqueId val="{00000002-43CF-4AB9-A3D6-58DA99743D58}"/>
            </c:ext>
          </c:extLst>
        </c:ser>
        <c:dLbls>
          <c:showLegendKey val="0"/>
          <c:showVal val="0"/>
          <c:showCatName val="0"/>
          <c:showSerName val="0"/>
          <c:showPercent val="0"/>
          <c:showBubbleSize val="0"/>
        </c:dLbls>
        <c:gapWidth val="182"/>
        <c:axId val="499283104"/>
        <c:axId val="499293920"/>
      </c:barChart>
      <c:catAx>
        <c:axId val="499283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293920"/>
        <c:crosses val="autoZero"/>
        <c:auto val="1"/>
        <c:lblAlgn val="ctr"/>
        <c:lblOffset val="100"/>
        <c:noMultiLvlLbl val="0"/>
      </c:catAx>
      <c:valAx>
        <c:axId val="499293920"/>
        <c:scaling>
          <c:orientation val="minMax"/>
        </c:scaling>
        <c:delete val="0"/>
        <c:axPos val="l"/>
        <c:majorGridlines>
          <c:spPr>
            <a:ln w="9525" cap="flat" cmpd="sng" algn="ctr">
              <a:solidFill>
                <a:schemeClr val="tx1">
                  <a:lumMod val="15000"/>
                  <a:lumOff val="85000"/>
                </a:schemeClr>
              </a:solidFill>
              <a:round/>
            </a:ln>
            <a:effectLst/>
          </c:spPr>
        </c:majorGridlines>
        <c:numFmt formatCode="&quot;$&quot;\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99283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4">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defRPr sz="900" kern="1200">
      <a:effectLst/>
    </cs:defRPr>
  </cs:categoryAxis>
  <cs:chartArea>
    <cs:lnRef idx="0"/>
    <cs:fillRef idx="0"/>
    <cs:effectRef idx="0"/>
    <cs:fontRef idx="minor">
      <a:schemeClr val="dk1"/>
    </cs:fontRef>
    <cs:spPr>
      <a:gradFill flip="none" rotWithShape="1">
        <a:gsLst>
          <a:gs pos="0">
            <a:schemeClr val="lt1"/>
          </a:gs>
          <a:gs pos="68000">
            <a:schemeClr val="lt1">
              <a:lumMod val="85000"/>
            </a:schemeClr>
          </a:gs>
          <a:gs pos="100000">
            <a:schemeClr val="lt1"/>
          </a:gs>
        </a:gsLst>
        <a:lin ang="5400000" scaled="1"/>
        <a:tileRect/>
      </a:gradFill>
      <a:ln w="9525" cap="flat" cmpd="sng" algn="ctr">
        <a:solidFill>
          <a:schemeClr val="dk1">
            <a:lumMod val="15000"/>
            <a:lumOff val="85000"/>
          </a:schemeClr>
        </a:solidFill>
        <a:round/>
      </a:ln>
    </cs:spPr>
    <cs:defRPr sz="1000" kern="1200"/>
  </cs:chartArea>
  <cs:dataLabel>
    <cs:lnRef idx="0"/>
    <cs:fillRef idx="0"/>
    <cs:effectRef idx="0"/>
    <cs:fontRef idx="minor">
      <a:schemeClr val="lt1"/>
    </cs:fontRef>
    <cs:spPr/>
    <cs:defRPr sz="10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10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
  <cs:dataPoint3D>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3D>
  <cs:dataPointLine>
    <cs:lnRef idx="0">
      <cs:styleClr val="auto"/>
    </cs:lnRef>
    <cs:fillRef idx="0"/>
    <cs:effectRef idx="0"/>
    <cs:fontRef idx="minor">
      <a:schemeClr val="dk1"/>
    </cs:fontRef>
    <cs:spPr>
      <a:ln w="28575" cap="rnd">
        <a:gradFill>
          <a:gsLst>
            <a:gs pos="0">
              <a:schemeClr val="phClr"/>
            </a:gs>
            <a:gs pos="100000">
              <a:schemeClr val="phClr">
                <a:lumMod val="84000"/>
              </a:schemeClr>
            </a:gs>
          </a:gsLst>
          <a:lin ang="5400000" scaled="1"/>
        </a:gradFill>
        <a:round/>
      </a:ln>
    </cs:spPr>
  </cs:dataPointLine>
  <cs:dataPointMarker>
    <cs:lnRef idx="0"/>
    <cs:fillRef idx="0">
      <cs:styleClr val="auto"/>
    </cs:fillRef>
    <cs:effectRef idx="0"/>
    <cs:fontRef idx="minor">
      <a:schemeClr val="dk1"/>
    </cs:fontRef>
    <cs:spPr>
      <a:gradFill>
        <a:gsLst>
          <a:gs pos="0">
            <a:schemeClr val="phClr"/>
          </a:gs>
          <a:gs pos="100000">
            <a:schemeClr val="phClr">
              <a:lumMod val="84000"/>
            </a:schemeClr>
          </a:gs>
        </a:gsLst>
        <a:lin ang="5400000" scaled="1"/>
      </a:gradFill>
      <a:effectLst>
        <a:outerShdw blurRad="76200" dir="18900000" sy="23000" kx="-1200000" algn="bl" rotWithShape="0">
          <a:prstClr val="black">
            <a:alpha val="20000"/>
          </a:prstClr>
        </a:outerShdw>
      </a:effectLst>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35000"/>
          <a:lumOff val="65000"/>
        </a:schemeClr>
      </a:solidFill>
      <a:ln w="9525">
        <a:solidFill>
          <a:schemeClr val="dk1">
            <a:lumMod val="50000"/>
            <a:lumOff val="50000"/>
          </a:schemeClr>
        </a:solidFill>
      </a:ln>
    </cs:spPr>
  </cs:downBar>
  <cs:dropLine>
    <cs:lnRef idx="0"/>
    <cs:fillRef idx="0"/>
    <cs:effectRef idx="0"/>
    <cs:fontRef idx="minor">
      <a:schemeClr val="dk1"/>
    </cs:fontRef>
    <cs:spPr>
      <a:ln w="9525">
        <a:solidFill>
          <a:schemeClr val="dk1">
            <a:lumMod val="50000"/>
            <a:lumOff val="50000"/>
          </a:schemeClr>
        </a:solidFill>
        <a:round/>
      </a:ln>
    </cs:spPr>
  </cs:dropLine>
  <cs:errorBar>
    <cs:lnRef idx="0"/>
    <cs:fillRef idx="0"/>
    <cs:effectRef idx="0"/>
    <cs:fontRef idx="minor">
      <a:schemeClr val="dk1"/>
    </cs:fontRef>
    <cs:spPr>
      <a:ln w="9525">
        <a:solidFill>
          <a:schemeClr val="dk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50000"/>
            <a:lumOff val="50000"/>
          </a:schemeClr>
        </a:solidFill>
        <a:round/>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65000"/>
        <a:lumOff val="35000"/>
      </a:schemeClr>
    </cs:fontRef>
    <cs:defRPr kern="1200">
      <a:effectLst/>
    </cs:defRPr>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lumMod val="95000"/>
        </a:schemeClr>
      </a:solidFill>
      <a:ln w="9525">
        <a:solidFill>
          <a:schemeClr val="dk1">
            <a:lumMod val="15000"/>
            <a:lumOff val="85000"/>
          </a:schemeClr>
        </a:solidFill>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3.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xsi="http://www.w3.org/2001/XMLSchema-instance" xmlns:pc="http://schemas.microsoft.com/office/infopath/2007/PartnerControls">
  <documentManagement>
    <Fecha xmlns="2b710913-f553-4708-ac69-012d148fa8aa" xsi:nil="true"/>
    <Fecha1 xmlns="2b710913-f553-4708-ac69-012d148fa8aa" xsi:nil="true"/>
    <Cargado xmlns="2b710913-f553-4708-ac69-012d148fa8aa">false</Cargado>
    <lcf76f155ced4ddcb4097134ff3c332f xmlns="2b710913-f553-4708-ac69-012d148fa8aa">
      <Terms xmlns="http://schemas.microsoft.com/office/infopath/2007/PartnerControls"/>
    </lcf76f155ced4ddcb4097134ff3c332f>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2.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715AAA-13A1-4418-8017-628BBAA4CF07}"/>
</file>

<file path=customXml/itemProps4.xml><?xml version="1.0" encoding="utf-8"?>
<ds:datastoreItem xmlns:ds="http://schemas.openxmlformats.org/officeDocument/2006/customXml" ds:itemID="{A81DEDEC-ACA2-4790-B1E8-D8FCFDC4C94E}">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54F6E2C4-A8B6-4333-8FEE-1607D945A876}"/>
</file>

<file path=docProps/app.xml><?xml version="1.0" encoding="utf-8"?>
<Properties xmlns="http://schemas.openxmlformats.org/officeDocument/2006/extended-properties" xmlns:vt="http://schemas.openxmlformats.org/officeDocument/2006/docPropsVTypes">
  <Template>Plantilla_Oficio_Comunicación_Oficial_Enviada</Template>
  <TotalTime>2</TotalTime>
  <Pages>28</Pages>
  <Words>10116</Words>
  <Characters>55641</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65626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cp:lastModifiedBy>Pablo Andres Parra Cubides</cp:lastModifiedBy>
  <cp:revision>3</cp:revision>
  <cp:lastPrinted>2015-12-16T15:04:00Z</cp:lastPrinted>
  <dcterms:created xsi:type="dcterms:W3CDTF">2022-06-17T05:48:00Z</dcterms:created>
  <dcterms:modified xsi:type="dcterms:W3CDTF">2022-06-17T05:50:00Z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