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96B9E" w14:textId="77777777" w:rsidR="0041698C" w:rsidRPr="00DB281B" w:rsidRDefault="0041698C" w:rsidP="00DB281B">
      <w:pPr>
        <w:pStyle w:val="Ttulo1"/>
        <w:spacing w:before="0"/>
        <w:jc w:val="center"/>
        <w:rPr>
          <w:rFonts w:ascii="Arial" w:hAnsi="Arial" w:cs="Arial"/>
          <w:b/>
          <w:color w:val="auto"/>
          <w:sz w:val="22"/>
          <w:szCs w:val="22"/>
        </w:rPr>
      </w:pPr>
      <w:bookmarkStart w:id="0" w:name="_GoBack"/>
      <w:bookmarkEnd w:id="0"/>
      <w:r w:rsidRPr="00DB281B">
        <w:rPr>
          <w:rFonts w:ascii="Arial" w:hAnsi="Arial" w:cs="Arial"/>
          <w:b/>
          <w:color w:val="auto"/>
          <w:sz w:val="22"/>
          <w:szCs w:val="22"/>
        </w:rPr>
        <w:t>INFORME DE PREDIAGNÓSTICO</w:t>
      </w:r>
    </w:p>
    <w:p w14:paraId="01E2547C" w14:textId="77777777" w:rsidR="0041698C" w:rsidRPr="00DB281B" w:rsidRDefault="0041698C" w:rsidP="00DB281B">
      <w:pPr>
        <w:jc w:val="both"/>
        <w:rPr>
          <w:rFonts w:ascii="Arial" w:eastAsiaTheme="minorHAnsi" w:hAnsi="Arial" w:cs="Arial"/>
          <w:b/>
          <w:sz w:val="22"/>
          <w:szCs w:val="22"/>
          <w:lang w:val="es-CO"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41698C" w:rsidRPr="00DB281B" w14:paraId="5219B9BD" w14:textId="77777777" w:rsidTr="0BACE2A6">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62CFC27B" w14:textId="77777777" w:rsidR="0041698C" w:rsidRPr="00DB281B" w:rsidRDefault="0041698C" w:rsidP="00DB281B">
            <w:pPr>
              <w:pStyle w:val="NormalWeb"/>
              <w:spacing w:before="0" w:beforeAutospacing="0" w:after="0"/>
              <w:jc w:val="both"/>
              <w:rPr>
                <w:rFonts w:ascii="Arial" w:hAnsi="Arial" w:cs="Arial"/>
                <w:bCs/>
                <w:i/>
                <w:sz w:val="18"/>
                <w:szCs w:val="18"/>
              </w:rPr>
            </w:pPr>
            <w:r w:rsidRPr="00DB281B">
              <w:rPr>
                <w:rFonts w:ascii="Arial" w:hAnsi="Arial" w:cs="Arial"/>
                <w:bCs/>
                <w:i/>
                <w:sz w:val="18"/>
                <w:szCs w:val="18"/>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5764D3AF" w14:textId="12818F98" w:rsidR="0041698C" w:rsidRPr="00DB281B" w:rsidRDefault="0041698C" w:rsidP="00DB281B">
            <w:pPr>
              <w:pStyle w:val="NormalWeb"/>
              <w:tabs>
                <w:tab w:val="left" w:pos="915"/>
              </w:tabs>
              <w:spacing w:before="0" w:beforeAutospacing="0" w:after="0"/>
              <w:rPr>
                <w:rFonts w:ascii="Arial" w:hAnsi="Arial" w:cs="Arial"/>
                <w:b/>
                <w:bCs/>
                <w:sz w:val="18"/>
                <w:szCs w:val="18"/>
              </w:rPr>
            </w:pPr>
            <w:bookmarkStart w:id="1" w:name="numexpcompartido"/>
            <w:bookmarkEnd w:id="1"/>
            <w:r w:rsidRPr="00DB281B">
              <w:rPr>
                <w:rFonts w:ascii="Arial" w:hAnsi="Arial" w:cs="Arial"/>
                <w:b/>
                <w:bCs/>
                <w:sz w:val="18"/>
                <w:szCs w:val="18"/>
              </w:rPr>
              <w:t>2</w:t>
            </w:r>
            <w:r w:rsidR="00464FE9" w:rsidRPr="00DB281B">
              <w:rPr>
                <w:rFonts w:ascii="Arial" w:hAnsi="Arial" w:cs="Arial"/>
                <w:b/>
                <w:bCs/>
                <w:sz w:val="18"/>
                <w:szCs w:val="18"/>
              </w:rPr>
              <w:t>1</w:t>
            </w:r>
            <w:r w:rsidRPr="00DB281B">
              <w:rPr>
                <w:rFonts w:ascii="Arial" w:hAnsi="Arial" w:cs="Arial"/>
                <w:b/>
                <w:bCs/>
                <w:sz w:val="18"/>
                <w:szCs w:val="18"/>
              </w:rPr>
              <w:t>/2020/D028-PREDI</w:t>
            </w:r>
          </w:p>
        </w:tc>
      </w:tr>
      <w:tr w:rsidR="0041698C" w:rsidRPr="00DB281B" w14:paraId="09FFDDD9" w14:textId="77777777" w:rsidTr="0BACE2A6">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3FF76758" w14:textId="77777777" w:rsidR="0041698C" w:rsidRPr="00DB281B" w:rsidRDefault="0041698C" w:rsidP="00DB281B">
            <w:pPr>
              <w:pStyle w:val="NormalWeb"/>
              <w:spacing w:before="0" w:beforeAutospacing="0" w:after="0"/>
              <w:jc w:val="both"/>
              <w:rPr>
                <w:rFonts w:ascii="Arial" w:hAnsi="Arial" w:cs="Arial"/>
                <w:bCs/>
                <w:i/>
                <w:sz w:val="18"/>
                <w:szCs w:val="18"/>
              </w:rPr>
            </w:pPr>
            <w:r w:rsidRPr="00DB281B">
              <w:rPr>
                <w:rFonts w:ascii="Arial" w:hAnsi="Arial" w:cs="Arial"/>
                <w:bCs/>
                <w:i/>
                <w:sz w:val="18"/>
                <w:szCs w:val="18"/>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11447316" w14:textId="77777777" w:rsidR="0041698C" w:rsidRPr="00DB281B" w:rsidRDefault="0041698C" w:rsidP="00DB281B">
            <w:pPr>
              <w:pStyle w:val="NormalWeb"/>
              <w:spacing w:before="0" w:beforeAutospacing="0" w:after="0"/>
              <w:rPr>
                <w:rFonts w:ascii="Arial" w:hAnsi="Arial" w:cs="Arial"/>
                <w:b/>
                <w:bCs/>
                <w:sz w:val="18"/>
                <w:szCs w:val="18"/>
              </w:rPr>
            </w:pPr>
            <w:bookmarkStart w:id="2" w:name="cmbsector"/>
            <w:bookmarkEnd w:id="2"/>
            <w:r w:rsidRPr="00DB281B">
              <w:rPr>
                <w:rFonts w:ascii="Arial" w:hAnsi="Arial" w:cs="Arial"/>
                <w:b/>
                <w:bCs/>
                <w:sz w:val="18"/>
                <w:szCs w:val="18"/>
              </w:rPr>
              <w:t>Educación</w:t>
            </w:r>
          </w:p>
        </w:tc>
      </w:tr>
      <w:tr w:rsidR="0041698C" w:rsidRPr="00DB281B" w14:paraId="15239B36" w14:textId="77777777" w:rsidTr="0BACE2A6">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37EE92EB" w14:textId="77777777" w:rsidR="0041698C" w:rsidRPr="00DB281B" w:rsidRDefault="0041698C" w:rsidP="00DB281B">
            <w:pPr>
              <w:pStyle w:val="NormalWeb"/>
              <w:spacing w:before="0" w:beforeAutospacing="0" w:after="0"/>
              <w:jc w:val="both"/>
              <w:rPr>
                <w:rFonts w:ascii="Arial" w:hAnsi="Arial" w:cs="Arial"/>
                <w:bCs/>
                <w:i/>
                <w:sz w:val="18"/>
                <w:szCs w:val="18"/>
              </w:rPr>
            </w:pPr>
            <w:r w:rsidRPr="00DB281B">
              <w:rPr>
                <w:rFonts w:ascii="Arial" w:hAnsi="Arial" w:cs="Arial"/>
                <w:bCs/>
                <w:i/>
                <w:sz w:val="18"/>
                <w:szCs w:val="18"/>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568706FA" w14:textId="363C5A78" w:rsidR="0041698C" w:rsidRPr="00DB281B" w:rsidRDefault="00161111" w:rsidP="00DB281B">
            <w:pPr>
              <w:rPr>
                <w:rFonts w:ascii="Arial" w:hAnsi="Arial" w:cs="Arial"/>
                <w:b/>
                <w:sz w:val="18"/>
                <w:szCs w:val="18"/>
              </w:rPr>
            </w:pPr>
            <w:bookmarkStart w:id="3" w:name="cmbtipoentidad"/>
            <w:bookmarkEnd w:id="3"/>
            <w:r w:rsidRPr="00DB281B">
              <w:rPr>
                <w:rFonts w:ascii="Arial" w:hAnsi="Arial" w:cs="Arial"/>
                <w:b/>
                <w:sz w:val="18"/>
                <w:szCs w:val="18"/>
              </w:rPr>
              <w:t>Departamento</w:t>
            </w:r>
          </w:p>
        </w:tc>
      </w:tr>
      <w:tr w:rsidR="0041698C" w:rsidRPr="00DB281B" w14:paraId="34B11A28" w14:textId="77777777" w:rsidTr="0BACE2A6">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120619CC" w14:textId="77777777" w:rsidR="0041698C" w:rsidRPr="00DB281B" w:rsidRDefault="0041698C" w:rsidP="00DB281B">
            <w:pPr>
              <w:pStyle w:val="NormalWeb"/>
              <w:spacing w:before="0" w:beforeAutospacing="0" w:after="0"/>
              <w:jc w:val="both"/>
              <w:rPr>
                <w:rFonts w:ascii="Arial" w:hAnsi="Arial" w:cs="Arial"/>
                <w:bCs/>
                <w:i/>
                <w:sz w:val="18"/>
                <w:szCs w:val="18"/>
              </w:rPr>
            </w:pPr>
            <w:r w:rsidRPr="00DB281B">
              <w:rPr>
                <w:rFonts w:ascii="Arial" w:hAnsi="Arial" w:cs="Arial"/>
                <w:bCs/>
                <w:i/>
                <w:sz w:val="18"/>
                <w:szCs w:val="18"/>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0F185CE9" w14:textId="56D478E9" w:rsidR="0041698C" w:rsidRPr="00DB281B" w:rsidRDefault="00161111" w:rsidP="00DB281B">
            <w:pPr>
              <w:tabs>
                <w:tab w:val="left" w:pos="1305"/>
              </w:tabs>
              <w:rPr>
                <w:rFonts w:ascii="Arial" w:hAnsi="Arial" w:cs="Arial"/>
                <w:b/>
                <w:sz w:val="18"/>
                <w:szCs w:val="18"/>
              </w:rPr>
            </w:pPr>
            <w:bookmarkStart w:id="4" w:name="deptoymuni"/>
            <w:bookmarkStart w:id="5" w:name="cmbresguardo"/>
            <w:bookmarkEnd w:id="4"/>
            <w:bookmarkEnd w:id="5"/>
            <w:r w:rsidRPr="00DB281B">
              <w:rPr>
                <w:rFonts w:ascii="Arial" w:hAnsi="Arial" w:cs="Arial"/>
                <w:b/>
                <w:sz w:val="18"/>
                <w:szCs w:val="18"/>
              </w:rPr>
              <w:t>Cundinamarca</w:t>
            </w:r>
          </w:p>
        </w:tc>
      </w:tr>
    </w:tbl>
    <w:p w14:paraId="5FC7B694" w14:textId="5CA0DFE7" w:rsidR="0BACE2A6" w:rsidRPr="00DB281B" w:rsidRDefault="0BACE2A6" w:rsidP="00DB281B">
      <w:pPr>
        <w:rPr>
          <w:rFonts w:ascii="Arial" w:hAnsi="Arial" w:cs="Arial"/>
        </w:rPr>
      </w:pPr>
    </w:p>
    <w:p w14:paraId="404BE6D1" w14:textId="77777777" w:rsidR="0041698C" w:rsidRPr="00DB281B" w:rsidRDefault="0041698C" w:rsidP="001F0ED4">
      <w:pPr>
        <w:pStyle w:val="Ttulo1"/>
        <w:numPr>
          <w:ilvl w:val="0"/>
          <w:numId w:val="1"/>
        </w:numPr>
        <w:spacing w:before="0"/>
        <w:ind w:left="426" w:hanging="426"/>
        <w:jc w:val="both"/>
        <w:rPr>
          <w:rFonts w:ascii="Arial" w:hAnsi="Arial" w:cs="Arial"/>
          <w:b/>
          <w:color w:val="auto"/>
          <w:sz w:val="22"/>
          <w:szCs w:val="22"/>
        </w:rPr>
      </w:pPr>
      <w:r w:rsidRPr="00DB281B">
        <w:rPr>
          <w:rFonts w:ascii="Arial" w:hAnsi="Arial" w:cs="Arial"/>
          <w:b/>
          <w:color w:val="auto"/>
          <w:sz w:val="22"/>
          <w:szCs w:val="22"/>
        </w:rPr>
        <w:t xml:space="preserve">ANTECEDENTES </w:t>
      </w:r>
    </w:p>
    <w:p w14:paraId="3AE2B199" w14:textId="77777777" w:rsidR="0041698C" w:rsidRPr="00DB281B" w:rsidRDefault="0041698C" w:rsidP="00DB281B">
      <w:pPr>
        <w:jc w:val="both"/>
        <w:rPr>
          <w:rFonts w:ascii="Arial" w:hAnsi="Arial" w:cs="Arial"/>
          <w:sz w:val="22"/>
          <w:szCs w:val="22"/>
        </w:rPr>
      </w:pPr>
    </w:p>
    <w:p w14:paraId="6E3F05AE" w14:textId="1679D479" w:rsidR="0041698C" w:rsidRPr="00DB281B" w:rsidRDefault="0041698C" w:rsidP="00DB281B">
      <w:pPr>
        <w:autoSpaceDE w:val="0"/>
        <w:autoSpaceDN w:val="0"/>
        <w:adjustRightInd w:val="0"/>
        <w:jc w:val="both"/>
        <w:rPr>
          <w:rFonts w:ascii="Arial" w:eastAsia="Times New Roman" w:hAnsi="Arial" w:cs="Arial"/>
          <w:sz w:val="22"/>
          <w:szCs w:val="22"/>
          <w:lang w:val="es-ES_tradnl"/>
        </w:rPr>
      </w:pPr>
      <w:r w:rsidRPr="00DB281B">
        <w:rPr>
          <w:rFonts w:ascii="Arial" w:eastAsia="Times New Roman" w:hAnsi="Arial" w:cs="Arial"/>
          <w:sz w:val="22"/>
          <w:szCs w:val="22"/>
          <w:lang w:val="es-ES_tradnl"/>
        </w:rPr>
        <w:t xml:space="preserve">El </w:t>
      </w:r>
      <w:r w:rsidR="005C492F" w:rsidRPr="00DB281B">
        <w:rPr>
          <w:rFonts w:ascii="Arial" w:eastAsia="Times New Roman" w:hAnsi="Arial" w:cs="Arial"/>
          <w:sz w:val="22"/>
          <w:szCs w:val="22"/>
          <w:lang w:val="es-ES_tradnl"/>
        </w:rPr>
        <w:t>Departamento de Cundinamarca</w:t>
      </w:r>
      <w:r w:rsidRPr="00DB281B">
        <w:rPr>
          <w:rFonts w:ascii="Arial" w:eastAsia="Times New Roman" w:hAnsi="Arial" w:cs="Arial"/>
          <w:sz w:val="22"/>
          <w:szCs w:val="22"/>
          <w:lang w:val="es-ES_tradnl"/>
        </w:rPr>
        <w:t xml:space="preserve"> fue priorizado para aplicar las actividades de seguimiento y control al uso de recursos del Sistema General de participaciones, incluidas en la estrategia a la que se refiere el Decreto 028 de 2008, siguiendo las recomendaciones contenidas en el oficio enviado por el Ministerio de Educación a esta dirección el</w:t>
      </w:r>
      <w:r w:rsidR="005C492F" w:rsidRPr="00DB281B">
        <w:rPr>
          <w:rFonts w:ascii="Arial" w:eastAsia="Times New Roman" w:hAnsi="Arial" w:cs="Arial"/>
          <w:sz w:val="22"/>
          <w:szCs w:val="22"/>
          <w:lang w:val="es-ES_tradnl"/>
        </w:rPr>
        <w:t xml:space="preserve"> 13 de agosto de 2019 </w:t>
      </w:r>
      <w:r w:rsidR="00CF6EB4" w:rsidRPr="00DB281B">
        <w:rPr>
          <w:rFonts w:ascii="Arial" w:eastAsia="Times New Roman" w:hAnsi="Arial" w:cs="Arial"/>
          <w:sz w:val="22"/>
          <w:szCs w:val="22"/>
          <w:lang w:val="es-ES_tradnl"/>
        </w:rPr>
        <w:t>mediante el radicado No. 1-2019-083344</w:t>
      </w:r>
      <w:r w:rsidRPr="00DB281B">
        <w:rPr>
          <w:rFonts w:ascii="Arial" w:eastAsia="Times New Roman" w:hAnsi="Arial" w:cs="Arial"/>
          <w:sz w:val="22"/>
          <w:szCs w:val="22"/>
          <w:lang w:val="es-ES_tradnl"/>
        </w:rPr>
        <w:t xml:space="preserve">. En éste se </w:t>
      </w:r>
      <w:r w:rsidR="00CF6EB4" w:rsidRPr="00DB281B">
        <w:rPr>
          <w:rFonts w:ascii="Arial" w:eastAsia="Times New Roman" w:hAnsi="Arial" w:cs="Arial"/>
          <w:sz w:val="22"/>
          <w:szCs w:val="22"/>
          <w:lang w:val="es-ES_tradnl"/>
        </w:rPr>
        <w:t xml:space="preserve">indica que la Entidad presenta </w:t>
      </w:r>
      <w:r w:rsidR="00E94F80" w:rsidRPr="00DB281B">
        <w:rPr>
          <w:rFonts w:ascii="Arial" w:eastAsia="Times New Roman" w:hAnsi="Arial" w:cs="Arial"/>
          <w:sz w:val="22"/>
          <w:szCs w:val="22"/>
          <w:lang w:val="es-ES_tradnl"/>
        </w:rPr>
        <w:t>situaciones en la gestión de los recursos del Sistema General de Participaciones en el Sector Educación, asociadas a los eventos de riesgo</w:t>
      </w:r>
      <w:r w:rsidR="0014266D" w:rsidRPr="00DB281B">
        <w:rPr>
          <w:rFonts w:ascii="Arial" w:eastAsia="Times New Roman" w:hAnsi="Arial" w:cs="Arial"/>
          <w:sz w:val="22"/>
          <w:szCs w:val="22"/>
          <w:lang w:val="es-ES_tradnl"/>
        </w:rPr>
        <w:t xml:space="preserve"> 9.1, 9.5 y 9.18</w:t>
      </w:r>
      <w:r w:rsidR="004E188B" w:rsidRPr="00DB281B">
        <w:rPr>
          <w:rFonts w:ascii="Arial" w:eastAsia="Times New Roman" w:hAnsi="Arial" w:cs="Arial"/>
          <w:sz w:val="22"/>
          <w:szCs w:val="22"/>
          <w:lang w:val="es-ES_tradnl"/>
        </w:rPr>
        <w:t xml:space="preserve">, </w:t>
      </w:r>
      <w:r w:rsidR="00277EEC" w:rsidRPr="00DB281B">
        <w:rPr>
          <w:rFonts w:ascii="Arial" w:eastAsia="Times New Roman" w:hAnsi="Arial" w:cs="Arial"/>
          <w:sz w:val="22"/>
          <w:szCs w:val="22"/>
          <w:lang w:val="es-ES_tradnl"/>
        </w:rPr>
        <w:t xml:space="preserve">las cuales describen </w:t>
      </w:r>
      <w:r w:rsidR="000B789C" w:rsidRPr="00DB281B">
        <w:rPr>
          <w:rFonts w:ascii="Arial" w:eastAsia="Times New Roman" w:hAnsi="Arial" w:cs="Arial"/>
          <w:sz w:val="22"/>
          <w:szCs w:val="22"/>
          <w:lang w:val="es-ES_tradnl"/>
        </w:rPr>
        <w:t xml:space="preserve">inconsistencias en el reporte de información financiera al Formulario Único Territorial – FUT en las categorías de </w:t>
      </w:r>
      <w:r w:rsidR="00E70E50" w:rsidRPr="00DB281B">
        <w:rPr>
          <w:rFonts w:ascii="Arial" w:eastAsia="Times New Roman" w:hAnsi="Arial" w:cs="Arial"/>
          <w:sz w:val="22"/>
          <w:szCs w:val="22"/>
          <w:lang w:val="es-ES_tradnl"/>
        </w:rPr>
        <w:t>Cierre Fiscal, Gastos de Funcionamiento y Gastos de Inversión en la vigencia 2018</w:t>
      </w:r>
      <w:r w:rsidR="00DC21E6" w:rsidRPr="00DB281B">
        <w:rPr>
          <w:rFonts w:ascii="Arial" w:eastAsia="Times New Roman" w:hAnsi="Arial" w:cs="Arial"/>
          <w:sz w:val="22"/>
          <w:szCs w:val="22"/>
          <w:lang w:val="es-ES_tradnl"/>
        </w:rPr>
        <w:t xml:space="preserve">; el manejo de los recursos de </w:t>
      </w:r>
      <w:r w:rsidR="004836A1" w:rsidRPr="00DB281B">
        <w:rPr>
          <w:rFonts w:ascii="Arial" w:eastAsia="Times New Roman" w:hAnsi="Arial" w:cs="Arial"/>
          <w:sz w:val="22"/>
          <w:szCs w:val="22"/>
          <w:lang w:val="es-ES_tradnl"/>
        </w:rPr>
        <w:t xml:space="preserve">la participación de Educación en cuentas </w:t>
      </w:r>
      <w:r w:rsidR="00427C15" w:rsidRPr="00DB281B">
        <w:rPr>
          <w:rFonts w:ascii="Arial" w:eastAsia="Times New Roman" w:hAnsi="Arial" w:cs="Arial"/>
          <w:sz w:val="22"/>
          <w:szCs w:val="22"/>
          <w:lang w:val="es-ES_tradnl"/>
        </w:rPr>
        <w:t>ordinarias distintas a las cuentas maestras</w:t>
      </w:r>
      <w:r w:rsidR="00806DFC" w:rsidRPr="00DB281B">
        <w:rPr>
          <w:rFonts w:ascii="Arial" w:eastAsia="Times New Roman" w:hAnsi="Arial" w:cs="Arial"/>
          <w:sz w:val="22"/>
          <w:szCs w:val="22"/>
          <w:lang w:val="es-ES_tradnl"/>
        </w:rPr>
        <w:t>,</w:t>
      </w:r>
      <w:r w:rsidR="00427C15" w:rsidRPr="00DB281B">
        <w:rPr>
          <w:rFonts w:ascii="Arial" w:eastAsia="Times New Roman" w:hAnsi="Arial" w:cs="Arial"/>
          <w:sz w:val="22"/>
          <w:szCs w:val="22"/>
          <w:lang w:val="es-ES_tradnl"/>
        </w:rPr>
        <w:t xml:space="preserve"> </w:t>
      </w:r>
      <w:r w:rsidR="00576C4B" w:rsidRPr="00DB281B">
        <w:rPr>
          <w:rFonts w:ascii="Arial" w:eastAsia="Times New Roman" w:hAnsi="Arial" w:cs="Arial"/>
          <w:sz w:val="22"/>
          <w:szCs w:val="22"/>
          <w:lang w:val="es-ES_tradnl"/>
        </w:rPr>
        <w:t xml:space="preserve">la falta de conciliación de los recursos </w:t>
      </w:r>
      <w:r w:rsidR="00EC2A83" w:rsidRPr="00DB281B">
        <w:rPr>
          <w:rFonts w:ascii="Arial" w:eastAsia="Times New Roman" w:hAnsi="Arial" w:cs="Arial"/>
          <w:sz w:val="22"/>
          <w:szCs w:val="22"/>
          <w:lang w:val="es-ES_tradnl"/>
        </w:rPr>
        <w:t>SGP Educación S</w:t>
      </w:r>
      <w:r w:rsidR="00DB281B">
        <w:rPr>
          <w:rFonts w:ascii="Arial" w:eastAsia="Times New Roman" w:hAnsi="Arial" w:cs="Arial"/>
          <w:sz w:val="22"/>
          <w:szCs w:val="22"/>
          <w:lang w:val="es-ES_tradnl"/>
        </w:rPr>
        <w:t xml:space="preserve">in </w:t>
      </w:r>
      <w:r w:rsidR="00EC2A83" w:rsidRPr="00DB281B">
        <w:rPr>
          <w:rFonts w:ascii="Arial" w:eastAsia="Times New Roman" w:hAnsi="Arial" w:cs="Arial"/>
          <w:sz w:val="22"/>
          <w:szCs w:val="22"/>
          <w:lang w:val="es-ES_tradnl"/>
        </w:rPr>
        <w:t>S</w:t>
      </w:r>
      <w:r w:rsidR="00DB281B">
        <w:rPr>
          <w:rFonts w:ascii="Arial" w:eastAsia="Times New Roman" w:hAnsi="Arial" w:cs="Arial"/>
          <w:sz w:val="22"/>
          <w:szCs w:val="22"/>
          <w:lang w:val="es-ES_tradnl"/>
        </w:rPr>
        <w:t xml:space="preserve">ituación de </w:t>
      </w:r>
      <w:r w:rsidR="00EC2A83" w:rsidRPr="00DB281B">
        <w:rPr>
          <w:rFonts w:ascii="Arial" w:eastAsia="Times New Roman" w:hAnsi="Arial" w:cs="Arial"/>
          <w:sz w:val="22"/>
          <w:szCs w:val="22"/>
          <w:lang w:val="es-ES_tradnl"/>
        </w:rPr>
        <w:t>F</w:t>
      </w:r>
      <w:r w:rsidR="00DB281B">
        <w:rPr>
          <w:rFonts w:ascii="Arial" w:eastAsia="Times New Roman" w:hAnsi="Arial" w:cs="Arial"/>
          <w:sz w:val="22"/>
          <w:szCs w:val="22"/>
          <w:lang w:val="es-ES_tradnl"/>
        </w:rPr>
        <w:t>ondos</w:t>
      </w:r>
      <w:r w:rsidR="00EC2A83" w:rsidRPr="00DB281B">
        <w:rPr>
          <w:rFonts w:ascii="Arial" w:eastAsia="Times New Roman" w:hAnsi="Arial" w:cs="Arial"/>
          <w:sz w:val="22"/>
          <w:szCs w:val="22"/>
          <w:lang w:val="es-ES_tradnl"/>
        </w:rPr>
        <w:t xml:space="preserve"> con la </w:t>
      </w:r>
      <w:proofErr w:type="spellStart"/>
      <w:r w:rsidR="00EC2A83" w:rsidRPr="00DB281B">
        <w:rPr>
          <w:rFonts w:ascii="Arial" w:eastAsia="Times New Roman" w:hAnsi="Arial" w:cs="Arial"/>
          <w:sz w:val="22"/>
          <w:szCs w:val="22"/>
          <w:lang w:val="es-ES_tradnl"/>
        </w:rPr>
        <w:t>Fiduprevisora</w:t>
      </w:r>
      <w:proofErr w:type="spellEnd"/>
      <w:r w:rsidR="00806DFC" w:rsidRPr="00DB281B">
        <w:rPr>
          <w:rFonts w:ascii="Arial" w:eastAsia="Times New Roman" w:hAnsi="Arial" w:cs="Arial"/>
          <w:sz w:val="22"/>
          <w:szCs w:val="22"/>
          <w:lang w:val="es-ES_tradnl"/>
        </w:rPr>
        <w:t xml:space="preserve"> y la falta de </w:t>
      </w:r>
      <w:r w:rsidR="0088761B" w:rsidRPr="00DB281B">
        <w:rPr>
          <w:rFonts w:ascii="Arial" w:eastAsia="Times New Roman" w:hAnsi="Arial" w:cs="Arial"/>
          <w:sz w:val="22"/>
          <w:szCs w:val="22"/>
          <w:lang w:val="es-ES_tradnl"/>
        </w:rPr>
        <w:t>recursos para el cubrimiento del pasivo por concepto de cesantías retroactivas del personal administrativo.</w:t>
      </w:r>
    </w:p>
    <w:p w14:paraId="40AD107B" w14:textId="77777777" w:rsidR="0088761B" w:rsidRPr="00DB281B" w:rsidRDefault="0088761B" w:rsidP="00DB281B">
      <w:pPr>
        <w:autoSpaceDE w:val="0"/>
        <w:autoSpaceDN w:val="0"/>
        <w:adjustRightInd w:val="0"/>
        <w:jc w:val="both"/>
        <w:rPr>
          <w:rFonts w:ascii="Arial" w:eastAsia="Times New Roman" w:hAnsi="Arial" w:cs="Arial"/>
          <w:sz w:val="22"/>
          <w:szCs w:val="22"/>
          <w:lang w:val="es-ES_tradnl"/>
        </w:rPr>
      </w:pPr>
    </w:p>
    <w:p w14:paraId="77DFCADD" w14:textId="61CF30D4" w:rsidR="0041698C" w:rsidRPr="00DB281B" w:rsidRDefault="0041698C" w:rsidP="00DB281B">
      <w:pPr>
        <w:autoSpaceDE w:val="0"/>
        <w:autoSpaceDN w:val="0"/>
        <w:adjustRightInd w:val="0"/>
        <w:jc w:val="both"/>
        <w:rPr>
          <w:rFonts w:ascii="Arial" w:eastAsia="Times New Roman" w:hAnsi="Arial" w:cs="Arial"/>
          <w:sz w:val="22"/>
          <w:szCs w:val="22"/>
          <w:lang w:val="es-ES_tradnl"/>
        </w:rPr>
      </w:pPr>
      <w:r w:rsidRPr="00DB281B">
        <w:rPr>
          <w:rFonts w:ascii="Arial" w:eastAsia="Times New Roman" w:hAnsi="Arial" w:cs="Arial"/>
          <w:sz w:val="22"/>
          <w:szCs w:val="22"/>
          <w:lang w:val="es-ES_tradnl"/>
        </w:rPr>
        <w:t>Así, la Dirección General de Apoyo Fiscal del Ministerio de Hacienda y Crédito Público, con base en sus criterios de priorización</w:t>
      </w:r>
      <w:r w:rsidR="001F0ED4">
        <w:rPr>
          <w:rFonts w:ascii="Arial" w:eastAsia="Times New Roman" w:hAnsi="Arial" w:cs="Arial"/>
          <w:sz w:val="22"/>
          <w:szCs w:val="22"/>
          <w:lang w:val="es-ES_tradnl"/>
        </w:rPr>
        <w:t>,</w:t>
      </w:r>
      <w:r w:rsidRPr="00DB281B">
        <w:rPr>
          <w:rFonts w:ascii="Arial" w:eastAsia="Times New Roman" w:hAnsi="Arial" w:cs="Arial"/>
          <w:sz w:val="22"/>
          <w:szCs w:val="22"/>
          <w:lang w:val="es-ES_tradnl"/>
        </w:rPr>
        <w:t xml:space="preserve"> determinó el inicio de las actividades de seguimiento y control a su cargo en dicho </w:t>
      </w:r>
      <w:r w:rsidR="00562CD7" w:rsidRPr="00DB281B">
        <w:rPr>
          <w:rFonts w:ascii="Arial" w:eastAsia="Times New Roman" w:hAnsi="Arial" w:cs="Arial"/>
          <w:sz w:val="22"/>
          <w:szCs w:val="22"/>
          <w:lang w:val="es-ES_tradnl"/>
        </w:rPr>
        <w:t>Departamento</w:t>
      </w:r>
      <w:r w:rsidRPr="00DB281B">
        <w:rPr>
          <w:rFonts w:ascii="Arial" w:eastAsia="Times New Roman" w:hAnsi="Arial" w:cs="Arial"/>
          <w:sz w:val="22"/>
          <w:szCs w:val="22"/>
          <w:lang w:val="es-ES_tradnl"/>
        </w:rPr>
        <w:t xml:space="preserve"> y </w:t>
      </w:r>
      <w:r w:rsidR="002E6BD3" w:rsidRPr="00DB281B">
        <w:rPr>
          <w:rFonts w:ascii="Arial" w:eastAsia="Times New Roman" w:hAnsi="Arial" w:cs="Arial"/>
          <w:sz w:val="22"/>
          <w:szCs w:val="22"/>
          <w:lang w:val="es-ES_tradnl"/>
        </w:rPr>
        <w:t xml:space="preserve">mediante oficio con radicado </w:t>
      </w:r>
      <w:r w:rsidR="001F0ED4">
        <w:rPr>
          <w:rFonts w:ascii="Arial" w:eastAsia="Times New Roman" w:hAnsi="Arial" w:cs="Arial"/>
          <w:sz w:val="22"/>
          <w:szCs w:val="22"/>
          <w:lang w:val="es-ES_tradnl"/>
        </w:rPr>
        <w:t xml:space="preserve">No. </w:t>
      </w:r>
      <w:r w:rsidR="00AD3BEA" w:rsidRPr="00DB281B">
        <w:rPr>
          <w:rFonts w:ascii="Arial" w:eastAsia="Times New Roman" w:hAnsi="Arial" w:cs="Arial"/>
          <w:sz w:val="22"/>
          <w:szCs w:val="22"/>
          <w:lang w:val="es-ES_tradnl"/>
        </w:rPr>
        <w:t>2-2021-015534 del 29 de marzo de 2021</w:t>
      </w:r>
      <w:r w:rsidR="002E6BD3" w:rsidRPr="00DB281B">
        <w:rPr>
          <w:rFonts w:ascii="Arial" w:eastAsia="Times New Roman" w:hAnsi="Arial" w:cs="Arial"/>
          <w:sz w:val="22"/>
          <w:szCs w:val="22"/>
          <w:lang w:val="es-ES_tradnl"/>
        </w:rPr>
        <w:t xml:space="preserve"> </w:t>
      </w:r>
      <w:r w:rsidRPr="00DB281B">
        <w:rPr>
          <w:rFonts w:ascii="Arial" w:eastAsia="Times New Roman" w:hAnsi="Arial" w:cs="Arial"/>
          <w:sz w:val="22"/>
          <w:szCs w:val="22"/>
          <w:lang w:val="es-ES_tradnl"/>
        </w:rPr>
        <w:t>solicitó la información básica para recolección de antecedentes de la Entidad conducente a preparar la visita de reconocimiento institucional respectiva</w:t>
      </w:r>
      <w:r w:rsidR="002E6BD3" w:rsidRPr="00DB281B">
        <w:rPr>
          <w:rFonts w:ascii="Arial" w:eastAsia="Times New Roman" w:hAnsi="Arial" w:cs="Arial"/>
          <w:sz w:val="22"/>
          <w:szCs w:val="22"/>
          <w:lang w:val="es-ES_tradnl"/>
        </w:rPr>
        <w:t xml:space="preserve">. </w:t>
      </w:r>
      <w:r w:rsidR="00DF71E1" w:rsidRPr="00DB281B">
        <w:rPr>
          <w:rFonts w:ascii="Arial" w:eastAsia="Times New Roman" w:hAnsi="Arial" w:cs="Arial"/>
          <w:sz w:val="22"/>
          <w:szCs w:val="22"/>
          <w:lang w:val="es-ES_tradnl"/>
        </w:rPr>
        <w:t xml:space="preserve">A partir de esta solicitud, </w:t>
      </w:r>
      <w:r w:rsidRPr="00DB281B">
        <w:rPr>
          <w:rFonts w:ascii="Arial" w:eastAsia="Times New Roman" w:hAnsi="Arial" w:cs="Arial"/>
          <w:sz w:val="22"/>
          <w:szCs w:val="22"/>
          <w:lang w:val="es-ES_tradnl"/>
        </w:rPr>
        <w:t xml:space="preserve">la Entidad Territorial </w:t>
      </w:r>
      <w:r w:rsidR="00BC25B2" w:rsidRPr="00DB281B">
        <w:rPr>
          <w:rFonts w:ascii="Arial" w:eastAsia="Times New Roman" w:hAnsi="Arial" w:cs="Arial"/>
          <w:sz w:val="22"/>
          <w:szCs w:val="22"/>
          <w:lang w:val="es-ES_tradnl"/>
        </w:rPr>
        <w:t xml:space="preserve">allegó </w:t>
      </w:r>
      <w:r w:rsidRPr="00DB281B">
        <w:rPr>
          <w:rFonts w:ascii="Arial" w:eastAsia="Times New Roman" w:hAnsi="Arial" w:cs="Arial"/>
          <w:sz w:val="22"/>
          <w:szCs w:val="22"/>
          <w:lang w:val="es-ES_tradnl"/>
        </w:rPr>
        <w:t xml:space="preserve">la documentación requerida mediante </w:t>
      </w:r>
      <w:r w:rsidR="00EB4F8F" w:rsidRPr="00DB281B">
        <w:rPr>
          <w:rFonts w:ascii="Arial" w:eastAsia="Times New Roman" w:hAnsi="Arial" w:cs="Arial"/>
          <w:sz w:val="22"/>
          <w:szCs w:val="22"/>
          <w:lang w:val="es-ES_tradnl"/>
        </w:rPr>
        <w:t xml:space="preserve">radicado No. </w:t>
      </w:r>
      <w:r w:rsidR="001D562A" w:rsidRPr="00DB281B">
        <w:rPr>
          <w:rFonts w:ascii="Arial" w:eastAsia="Times New Roman" w:hAnsi="Arial" w:cs="Arial"/>
          <w:sz w:val="22"/>
          <w:szCs w:val="22"/>
          <w:lang w:val="es-ES_tradnl"/>
        </w:rPr>
        <w:t>1-2021-045549 del 25 de mayo de 2021</w:t>
      </w:r>
      <w:r w:rsidR="002E6BD3" w:rsidRPr="00DB281B">
        <w:rPr>
          <w:rFonts w:ascii="Arial" w:eastAsia="Times New Roman" w:hAnsi="Arial" w:cs="Arial"/>
          <w:sz w:val="22"/>
          <w:szCs w:val="22"/>
          <w:lang w:val="es-ES_tradnl"/>
        </w:rPr>
        <w:t>, cuyo análisis se presenta en este informe</w:t>
      </w:r>
      <w:r w:rsidRPr="00DB281B">
        <w:rPr>
          <w:rFonts w:ascii="Arial" w:eastAsia="Times New Roman" w:hAnsi="Arial" w:cs="Arial"/>
          <w:sz w:val="22"/>
          <w:szCs w:val="22"/>
          <w:lang w:val="es-ES_tradnl"/>
        </w:rPr>
        <w:t>.</w:t>
      </w:r>
    </w:p>
    <w:p w14:paraId="5F7668CF" w14:textId="77777777" w:rsidR="0041698C" w:rsidRPr="00DB281B" w:rsidRDefault="0041698C" w:rsidP="00DB281B">
      <w:pPr>
        <w:pStyle w:val="Textoindependiente2"/>
        <w:rPr>
          <w:rFonts w:cs="Arial"/>
          <w:color w:val="FF0000"/>
          <w:sz w:val="22"/>
          <w:szCs w:val="22"/>
        </w:rPr>
      </w:pPr>
    </w:p>
    <w:p w14:paraId="2A55AB88" w14:textId="77777777" w:rsidR="001F0ED4" w:rsidRDefault="001F0ED4">
      <w:pPr>
        <w:rPr>
          <w:rFonts w:ascii="Arial" w:eastAsiaTheme="majorEastAsia" w:hAnsi="Arial" w:cs="Arial"/>
          <w:b/>
          <w:sz w:val="22"/>
          <w:szCs w:val="22"/>
        </w:rPr>
      </w:pPr>
      <w:r>
        <w:rPr>
          <w:rFonts w:ascii="Arial" w:hAnsi="Arial" w:cs="Arial"/>
          <w:b/>
          <w:sz w:val="22"/>
          <w:szCs w:val="22"/>
        </w:rPr>
        <w:br w:type="page"/>
      </w:r>
    </w:p>
    <w:p w14:paraId="5C9FB606" w14:textId="3FD004D1" w:rsidR="0041698C" w:rsidRPr="00DB281B" w:rsidRDefault="0041698C" w:rsidP="001F0ED4">
      <w:pPr>
        <w:pStyle w:val="Ttulo1"/>
        <w:numPr>
          <w:ilvl w:val="0"/>
          <w:numId w:val="1"/>
        </w:numPr>
        <w:spacing w:before="0"/>
        <w:ind w:left="426" w:hanging="426"/>
        <w:jc w:val="both"/>
        <w:rPr>
          <w:rFonts w:ascii="Arial" w:hAnsi="Arial" w:cs="Arial"/>
          <w:b/>
          <w:color w:val="auto"/>
          <w:sz w:val="22"/>
          <w:szCs w:val="22"/>
        </w:rPr>
      </w:pPr>
      <w:r w:rsidRPr="00DB281B">
        <w:rPr>
          <w:rFonts w:ascii="Arial" w:hAnsi="Arial" w:cs="Arial"/>
          <w:b/>
          <w:color w:val="auto"/>
          <w:sz w:val="22"/>
          <w:szCs w:val="22"/>
        </w:rPr>
        <w:lastRenderedPageBreak/>
        <w:t xml:space="preserve">CARACTERIZACIÓN </w:t>
      </w:r>
    </w:p>
    <w:p w14:paraId="7616E270" w14:textId="77777777" w:rsidR="0041698C" w:rsidRPr="00DB281B" w:rsidRDefault="0041698C" w:rsidP="00DB281B">
      <w:pPr>
        <w:jc w:val="both"/>
        <w:rPr>
          <w:rFonts w:ascii="Arial" w:hAnsi="Arial" w:cs="Arial"/>
          <w:b/>
          <w:sz w:val="22"/>
          <w:szCs w:val="22"/>
        </w:rPr>
      </w:pPr>
    </w:p>
    <w:p w14:paraId="66F9CFDB" w14:textId="33F8CE9F" w:rsidR="0041698C" w:rsidRPr="00DB281B" w:rsidRDefault="00DE0522" w:rsidP="00DB281B">
      <w:pPr>
        <w:jc w:val="center"/>
        <w:rPr>
          <w:rFonts w:ascii="Arial" w:hAnsi="Arial" w:cs="Arial"/>
          <w:sz w:val="22"/>
          <w:szCs w:val="22"/>
          <w:lang w:val="es-CO"/>
        </w:rPr>
      </w:pPr>
      <w:r w:rsidRPr="00DB281B">
        <w:rPr>
          <w:rFonts w:ascii="Arial" w:hAnsi="Arial" w:cs="Arial"/>
          <w:noProof/>
          <w:sz w:val="22"/>
          <w:szCs w:val="22"/>
          <w:lang w:val="es-CO" w:eastAsia="es-CO"/>
        </w:rPr>
        <w:drawing>
          <wp:inline distT="0" distB="0" distL="0" distR="0" wp14:anchorId="6B1B6853" wp14:editId="4C48486E">
            <wp:extent cx="5467350" cy="7048500"/>
            <wp:effectExtent l="0" t="0" r="0" b="0"/>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3073" t="11749" r="5317" b="11634"/>
                    <a:stretch/>
                  </pic:blipFill>
                  <pic:spPr bwMode="auto">
                    <a:xfrm>
                      <a:off x="0" y="0"/>
                      <a:ext cx="5467350" cy="7048500"/>
                    </a:xfrm>
                    <a:prstGeom prst="rect">
                      <a:avLst/>
                    </a:prstGeom>
                    <a:ln>
                      <a:noFill/>
                    </a:ln>
                    <a:extLst>
                      <a:ext uri="{53640926-AAD7-44D8-BBD7-CCE9431645EC}">
                        <a14:shadowObscured xmlns:a14="http://schemas.microsoft.com/office/drawing/2010/main"/>
                      </a:ext>
                    </a:extLst>
                  </pic:spPr>
                </pic:pic>
              </a:graphicData>
            </a:graphic>
          </wp:inline>
        </w:drawing>
      </w:r>
    </w:p>
    <w:p w14:paraId="18A7F76D" w14:textId="77777777" w:rsidR="0041698C" w:rsidRPr="00DB281B" w:rsidRDefault="0041698C" w:rsidP="00DB281B">
      <w:pPr>
        <w:rPr>
          <w:rFonts w:ascii="Arial" w:hAnsi="Arial" w:cs="Arial"/>
          <w:sz w:val="22"/>
          <w:szCs w:val="22"/>
        </w:rPr>
      </w:pPr>
    </w:p>
    <w:p w14:paraId="7ECBD587" w14:textId="77777777" w:rsidR="0041698C" w:rsidRPr="00DB281B" w:rsidRDefault="0041698C" w:rsidP="001F0ED4">
      <w:pPr>
        <w:pStyle w:val="Ttulo1"/>
        <w:numPr>
          <w:ilvl w:val="0"/>
          <w:numId w:val="1"/>
        </w:numPr>
        <w:spacing w:before="0"/>
        <w:ind w:left="426" w:hanging="426"/>
        <w:jc w:val="both"/>
        <w:rPr>
          <w:rFonts w:ascii="Arial" w:hAnsi="Arial" w:cs="Arial"/>
          <w:b/>
          <w:color w:val="auto"/>
          <w:sz w:val="22"/>
          <w:szCs w:val="22"/>
        </w:rPr>
      </w:pPr>
      <w:r w:rsidRPr="00DB281B">
        <w:rPr>
          <w:rFonts w:ascii="Arial" w:hAnsi="Arial" w:cs="Arial"/>
          <w:b/>
          <w:color w:val="auto"/>
          <w:sz w:val="22"/>
          <w:szCs w:val="22"/>
        </w:rPr>
        <w:lastRenderedPageBreak/>
        <w:t xml:space="preserve">ANÁLISIS FINANCIERO </w:t>
      </w:r>
    </w:p>
    <w:p w14:paraId="6CCBA070" w14:textId="77777777" w:rsidR="0041698C" w:rsidRPr="00DB281B" w:rsidRDefault="0041698C" w:rsidP="00DB281B">
      <w:pPr>
        <w:rPr>
          <w:rFonts w:ascii="Arial" w:hAnsi="Arial" w:cs="Arial"/>
          <w:sz w:val="22"/>
          <w:szCs w:val="22"/>
        </w:rPr>
      </w:pPr>
    </w:p>
    <w:p w14:paraId="5AD6E764" w14:textId="77777777" w:rsidR="0041698C" w:rsidRPr="00DB281B" w:rsidRDefault="0041698C" w:rsidP="00DB281B">
      <w:pPr>
        <w:pStyle w:val="Sinespaciado"/>
        <w:jc w:val="both"/>
        <w:rPr>
          <w:rFonts w:ascii="Arial" w:hAnsi="Arial" w:cs="Arial"/>
          <w:b/>
          <w:iCs/>
          <w:u w:val="single"/>
        </w:rPr>
      </w:pPr>
      <w:r w:rsidRPr="00DB281B">
        <w:rPr>
          <w:rFonts w:ascii="Arial" w:hAnsi="Arial" w:cs="Arial"/>
          <w:b/>
          <w:iCs/>
          <w:u w:val="single"/>
        </w:rPr>
        <w:t>Ingresos</w:t>
      </w:r>
    </w:p>
    <w:p w14:paraId="0177C72A" w14:textId="77777777" w:rsidR="0041698C" w:rsidRPr="00DB281B" w:rsidRDefault="0041698C" w:rsidP="00DB281B">
      <w:pPr>
        <w:jc w:val="both"/>
        <w:rPr>
          <w:rFonts w:ascii="Arial" w:hAnsi="Arial" w:cs="Arial"/>
          <w:color w:val="FF0000"/>
          <w:sz w:val="22"/>
          <w:szCs w:val="22"/>
          <w:lang w:val="es-ES_tradnl"/>
        </w:rPr>
      </w:pPr>
    </w:p>
    <w:p w14:paraId="1FDFCB47" w14:textId="77777777" w:rsidR="001F0ED4" w:rsidRDefault="0041698C" w:rsidP="00DB281B">
      <w:pPr>
        <w:jc w:val="both"/>
        <w:rPr>
          <w:rFonts w:ascii="Arial" w:hAnsi="Arial" w:cs="Arial"/>
          <w:sz w:val="22"/>
          <w:szCs w:val="22"/>
          <w:lang w:val="es-ES_tradnl"/>
        </w:rPr>
      </w:pPr>
      <w:r w:rsidRPr="00DB281B">
        <w:rPr>
          <w:rFonts w:ascii="Arial" w:hAnsi="Arial" w:cs="Arial"/>
          <w:sz w:val="22"/>
          <w:szCs w:val="22"/>
          <w:lang w:val="es-ES_tradnl"/>
        </w:rPr>
        <w:t xml:space="preserve">En lo </w:t>
      </w:r>
      <w:r w:rsidRPr="00DB281B">
        <w:rPr>
          <w:rFonts w:ascii="Arial" w:hAnsi="Arial" w:cs="Arial"/>
          <w:sz w:val="22"/>
          <w:szCs w:val="22"/>
        </w:rPr>
        <w:t xml:space="preserve">financiero, durante la vigencia </w:t>
      </w:r>
      <w:r w:rsidR="00D0340C" w:rsidRPr="00DB281B">
        <w:rPr>
          <w:rFonts w:ascii="Arial" w:hAnsi="Arial" w:cs="Arial"/>
          <w:sz w:val="22"/>
          <w:szCs w:val="22"/>
        </w:rPr>
        <w:t>2019</w:t>
      </w:r>
      <w:r w:rsidRPr="00DB281B">
        <w:rPr>
          <w:rFonts w:ascii="Arial" w:hAnsi="Arial" w:cs="Arial"/>
          <w:sz w:val="22"/>
          <w:szCs w:val="22"/>
        </w:rPr>
        <w:t xml:space="preserve"> se asign</w:t>
      </w:r>
      <w:r w:rsidR="001F0ED4">
        <w:rPr>
          <w:rFonts w:ascii="Arial" w:hAnsi="Arial" w:cs="Arial"/>
          <w:sz w:val="22"/>
          <w:szCs w:val="22"/>
        </w:rPr>
        <w:t xml:space="preserve">aron </w:t>
      </w:r>
      <w:r w:rsidRPr="00DB281B">
        <w:rPr>
          <w:rFonts w:ascii="Arial" w:hAnsi="Arial" w:cs="Arial"/>
          <w:sz w:val="22"/>
          <w:szCs w:val="22"/>
        </w:rPr>
        <w:t xml:space="preserve">al </w:t>
      </w:r>
      <w:r w:rsidR="00D0340C" w:rsidRPr="00DB281B">
        <w:rPr>
          <w:rFonts w:ascii="Arial" w:hAnsi="Arial" w:cs="Arial"/>
          <w:sz w:val="22"/>
          <w:szCs w:val="22"/>
        </w:rPr>
        <w:t>Departamento</w:t>
      </w:r>
      <w:r w:rsidRPr="00DB281B">
        <w:rPr>
          <w:rFonts w:ascii="Arial" w:hAnsi="Arial" w:cs="Arial"/>
          <w:sz w:val="22"/>
          <w:szCs w:val="22"/>
          <w:lang w:val="es-ES_tradnl"/>
        </w:rPr>
        <w:t xml:space="preserve"> $</w:t>
      </w:r>
      <w:r w:rsidR="00BE09A1" w:rsidRPr="00DB281B">
        <w:rPr>
          <w:rFonts w:ascii="Arial" w:hAnsi="Arial" w:cs="Arial"/>
          <w:sz w:val="22"/>
          <w:szCs w:val="22"/>
          <w:lang w:val="es-ES_tradnl"/>
        </w:rPr>
        <w:t>743.599</w:t>
      </w:r>
      <w:r w:rsidRPr="00DB281B">
        <w:rPr>
          <w:rFonts w:ascii="Arial" w:hAnsi="Arial" w:cs="Arial"/>
          <w:sz w:val="22"/>
          <w:szCs w:val="22"/>
          <w:lang w:val="es-ES_tradnl"/>
        </w:rPr>
        <w:t xml:space="preserve"> millones del SGP-</w:t>
      </w:r>
      <w:r w:rsidR="00BE09A1" w:rsidRPr="00DB281B">
        <w:rPr>
          <w:rFonts w:ascii="Arial" w:hAnsi="Arial" w:cs="Arial"/>
          <w:sz w:val="22"/>
          <w:szCs w:val="22"/>
          <w:lang w:val="es-ES_tradnl"/>
        </w:rPr>
        <w:t>E</w:t>
      </w:r>
      <w:r w:rsidRPr="00DB281B">
        <w:rPr>
          <w:rFonts w:ascii="Arial" w:hAnsi="Arial" w:cs="Arial"/>
          <w:sz w:val="22"/>
          <w:szCs w:val="22"/>
          <w:lang w:val="es-ES_tradnl"/>
        </w:rPr>
        <w:t>ducación mediante Documentos de Distribución</w:t>
      </w:r>
      <w:r w:rsidR="002947E5" w:rsidRPr="00DB281B">
        <w:rPr>
          <w:rFonts w:ascii="Arial" w:hAnsi="Arial" w:cs="Arial"/>
          <w:sz w:val="22"/>
          <w:szCs w:val="22"/>
          <w:lang w:val="es-ES_tradnl"/>
        </w:rPr>
        <w:t xml:space="preserve"> 36</w:t>
      </w:r>
      <w:r w:rsidR="001F0ED4">
        <w:rPr>
          <w:rFonts w:ascii="Arial" w:hAnsi="Arial" w:cs="Arial"/>
          <w:sz w:val="22"/>
          <w:szCs w:val="22"/>
          <w:lang w:val="es-ES_tradnl"/>
        </w:rPr>
        <w:t xml:space="preserve"> y </w:t>
      </w:r>
      <w:r w:rsidR="003008F3" w:rsidRPr="00DB281B">
        <w:rPr>
          <w:rFonts w:ascii="Arial" w:hAnsi="Arial" w:cs="Arial"/>
          <w:sz w:val="22"/>
          <w:szCs w:val="22"/>
          <w:lang w:val="es-ES_tradnl"/>
        </w:rPr>
        <w:t>3</w:t>
      </w:r>
      <w:r w:rsidR="00B22BA2" w:rsidRPr="00DB281B">
        <w:rPr>
          <w:rFonts w:ascii="Arial" w:hAnsi="Arial" w:cs="Arial"/>
          <w:sz w:val="22"/>
          <w:szCs w:val="22"/>
          <w:lang w:val="es-ES_tradnl"/>
        </w:rPr>
        <w:t>8 (</w:t>
      </w:r>
      <w:r w:rsidR="00DC2240" w:rsidRPr="00DB281B">
        <w:rPr>
          <w:rFonts w:ascii="Arial" w:hAnsi="Arial" w:cs="Arial"/>
          <w:sz w:val="22"/>
          <w:szCs w:val="22"/>
          <w:lang w:val="es-ES_tradnl"/>
        </w:rPr>
        <w:t>$546.691 millones</w:t>
      </w:r>
      <w:r w:rsidR="005E59AD" w:rsidRPr="00DB281B">
        <w:rPr>
          <w:rFonts w:ascii="Arial" w:hAnsi="Arial" w:cs="Arial"/>
          <w:sz w:val="22"/>
          <w:szCs w:val="22"/>
          <w:lang w:val="es-ES_tradnl"/>
        </w:rPr>
        <w:t xml:space="preserve"> para prestación del servicio</w:t>
      </w:r>
      <w:r w:rsidR="00C0772C" w:rsidRPr="00DB281B">
        <w:rPr>
          <w:rFonts w:ascii="Arial" w:hAnsi="Arial" w:cs="Arial"/>
          <w:sz w:val="22"/>
          <w:szCs w:val="22"/>
          <w:lang w:val="es-ES_tradnl"/>
        </w:rPr>
        <w:t xml:space="preserve">, </w:t>
      </w:r>
      <w:r w:rsidR="005E59AD" w:rsidRPr="00DB281B">
        <w:rPr>
          <w:rFonts w:ascii="Arial" w:hAnsi="Arial" w:cs="Arial"/>
          <w:sz w:val="22"/>
          <w:szCs w:val="22"/>
          <w:lang w:val="es-ES_tradnl"/>
        </w:rPr>
        <w:t>$</w:t>
      </w:r>
      <w:r w:rsidR="00C0772C" w:rsidRPr="00DB281B">
        <w:rPr>
          <w:rFonts w:ascii="Arial" w:hAnsi="Arial" w:cs="Arial"/>
          <w:sz w:val="22"/>
          <w:szCs w:val="22"/>
          <w:lang w:val="es-ES_tradnl"/>
        </w:rPr>
        <w:t>43.465 millones</w:t>
      </w:r>
      <w:r w:rsidR="005E59AD" w:rsidRPr="00DB281B">
        <w:rPr>
          <w:rFonts w:ascii="Arial" w:hAnsi="Arial" w:cs="Arial"/>
          <w:sz w:val="22"/>
          <w:szCs w:val="22"/>
          <w:lang w:val="es-ES_tradnl"/>
        </w:rPr>
        <w:t xml:space="preserve"> para cancelaciones</w:t>
      </w:r>
      <w:r w:rsidR="00C0772C" w:rsidRPr="00DB281B">
        <w:rPr>
          <w:rFonts w:ascii="Arial" w:hAnsi="Arial" w:cs="Arial"/>
          <w:sz w:val="22"/>
          <w:szCs w:val="22"/>
          <w:lang w:val="es-ES_tradnl"/>
        </w:rPr>
        <w:t xml:space="preserve">, </w:t>
      </w:r>
      <w:r w:rsidR="005E59AD" w:rsidRPr="00DB281B">
        <w:rPr>
          <w:rFonts w:ascii="Arial" w:hAnsi="Arial" w:cs="Arial"/>
          <w:sz w:val="22"/>
          <w:szCs w:val="22"/>
          <w:lang w:val="es-ES_tradnl"/>
        </w:rPr>
        <w:t>$</w:t>
      </w:r>
      <w:r w:rsidR="00C0772C" w:rsidRPr="00DB281B">
        <w:rPr>
          <w:rFonts w:ascii="Arial" w:hAnsi="Arial" w:cs="Arial"/>
          <w:sz w:val="22"/>
          <w:szCs w:val="22"/>
          <w:lang w:val="es-ES_tradnl"/>
        </w:rPr>
        <w:t>2.222</w:t>
      </w:r>
      <w:r w:rsidR="005E59AD" w:rsidRPr="00DB281B">
        <w:rPr>
          <w:rFonts w:ascii="Arial" w:hAnsi="Arial" w:cs="Arial"/>
          <w:sz w:val="22"/>
          <w:szCs w:val="22"/>
          <w:lang w:val="es-ES_tradnl"/>
        </w:rPr>
        <w:t xml:space="preserve"> </w:t>
      </w:r>
      <w:r w:rsidR="00244711" w:rsidRPr="00DB281B">
        <w:rPr>
          <w:rFonts w:ascii="Arial" w:hAnsi="Arial" w:cs="Arial"/>
          <w:sz w:val="22"/>
          <w:szCs w:val="22"/>
          <w:lang w:val="es-ES_tradnl"/>
        </w:rPr>
        <w:t xml:space="preserve">millones para </w:t>
      </w:r>
      <w:r w:rsidR="002947E5" w:rsidRPr="00DB281B">
        <w:rPr>
          <w:rFonts w:ascii="Arial" w:hAnsi="Arial" w:cs="Arial"/>
          <w:sz w:val="22"/>
          <w:szCs w:val="22"/>
          <w:lang w:val="es-ES_tradnl"/>
        </w:rPr>
        <w:t>conectividad</w:t>
      </w:r>
      <w:r w:rsidR="00C0772C" w:rsidRPr="00DB281B">
        <w:rPr>
          <w:rFonts w:ascii="Arial" w:hAnsi="Arial" w:cs="Arial"/>
          <w:sz w:val="22"/>
          <w:szCs w:val="22"/>
          <w:lang w:val="es-ES_tradnl"/>
        </w:rPr>
        <w:t xml:space="preserve"> y 151.221</w:t>
      </w:r>
      <w:r w:rsidR="003008F3" w:rsidRPr="00DB281B">
        <w:rPr>
          <w:rFonts w:ascii="Arial" w:hAnsi="Arial" w:cs="Arial"/>
          <w:sz w:val="22"/>
          <w:szCs w:val="22"/>
          <w:lang w:val="es-ES_tradnl"/>
        </w:rPr>
        <w:t xml:space="preserve"> </w:t>
      </w:r>
      <w:r w:rsidR="002947E5" w:rsidRPr="00DB281B">
        <w:rPr>
          <w:rFonts w:ascii="Arial" w:hAnsi="Arial" w:cs="Arial"/>
          <w:sz w:val="22"/>
          <w:szCs w:val="22"/>
          <w:lang w:val="es-ES_tradnl"/>
        </w:rPr>
        <w:t>millones como complemento)</w:t>
      </w:r>
      <w:r w:rsidR="00A37733" w:rsidRPr="00DB281B">
        <w:rPr>
          <w:rFonts w:ascii="Arial" w:hAnsi="Arial" w:cs="Arial"/>
          <w:sz w:val="22"/>
          <w:szCs w:val="22"/>
          <w:lang w:val="es-ES_tradnl"/>
        </w:rPr>
        <w:t>. En 2020 fueron asignados $792.627 millones</w:t>
      </w:r>
      <w:r w:rsidR="000311F3" w:rsidRPr="00DB281B">
        <w:rPr>
          <w:rFonts w:ascii="Arial" w:hAnsi="Arial" w:cs="Arial"/>
          <w:sz w:val="22"/>
          <w:szCs w:val="22"/>
          <w:lang w:val="es-ES_tradnl"/>
        </w:rPr>
        <w:t xml:space="preserve"> mediante DD-SGP-4</w:t>
      </w:r>
      <w:r w:rsidR="00E878FD" w:rsidRPr="00DB281B">
        <w:rPr>
          <w:rFonts w:ascii="Arial" w:hAnsi="Arial" w:cs="Arial"/>
          <w:sz w:val="22"/>
          <w:szCs w:val="22"/>
          <w:lang w:val="es-ES_tradnl"/>
        </w:rPr>
        <w:t>6</w:t>
      </w:r>
      <w:r w:rsidR="001F0ED4">
        <w:rPr>
          <w:rFonts w:ascii="Arial" w:hAnsi="Arial" w:cs="Arial"/>
          <w:sz w:val="22"/>
          <w:szCs w:val="22"/>
          <w:lang w:val="es-ES_tradnl"/>
        </w:rPr>
        <w:t xml:space="preserve"> y </w:t>
      </w:r>
      <w:r w:rsidR="00E878FD" w:rsidRPr="00DB281B">
        <w:rPr>
          <w:rFonts w:ascii="Arial" w:hAnsi="Arial" w:cs="Arial"/>
          <w:sz w:val="22"/>
          <w:szCs w:val="22"/>
          <w:lang w:val="es-ES_tradnl"/>
        </w:rPr>
        <w:t>50</w:t>
      </w:r>
      <w:r w:rsidR="000311F3" w:rsidRPr="00DB281B">
        <w:rPr>
          <w:rFonts w:ascii="Arial" w:hAnsi="Arial" w:cs="Arial"/>
          <w:sz w:val="22"/>
          <w:szCs w:val="22"/>
          <w:lang w:val="es-ES_tradnl"/>
        </w:rPr>
        <w:t>-2020</w:t>
      </w:r>
      <w:r w:rsidR="00D87B4B" w:rsidRPr="00DB281B">
        <w:rPr>
          <w:rFonts w:ascii="Arial" w:hAnsi="Arial" w:cs="Arial"/>
          <w:sz w:val="22"/>
          <w:szCs w:val="22"/>
          <w:lang w:val="es-ES_tradnl"/>
        </w:rPr>
        <w:t xml:space="preserve"> ($547.542 millones para </w:t>
      </w:r>
      <w:r w:rsidR="004D17EC" w:rsidRPr="00DB281B">
        <w:rPr>
          <w:rFonts w:ascii="Arial" w:hAnsi="Arial" w:cs="Arial"/>
          <w:sz w:val="22"/>
          <w:szCs w:val="22"/>
          <w:lang w:val="es-ES_tradnl"/>
        </w:rPr>
        <w:t>prestación del servicio</w:t>
      </w:r>
      <w:r w:rsidR="00D87B4B" w:rsidRPr="00DB281B">
        <w:rPr>
          <w:rFonts w:ascii="Arial" w:hAnsi="Arial" w:cs="Arial"/>
          <w:sz w:val="22"/>
          <w:szCs w:val="22"/>
          <w:lang w:val="es-ES_tradnl"/>
        </w:rPr>
        <w:t xml:space="preserve">, </w:t>
      </w:r>
      <w:r w:rsidR="00133FBD" w:rsidRPr="00DB281B">
        <w:rPr>
          <w:rFonts w:ascii="Arial" w:hAnsi="Arial" w:cs="Arial"/>
          <w:sz w:val="22"/>
          <w:szCs w:val="22"/>
          <w:lang w:val="es-ES_tradnl"/>
        </w:rPr>
        <w:t xml:space="preserve">$48.936 millones para </w:t>
      </w:r>
      <w:r w:rsidR="004D17EC" w:rsidRPr="00DB281B">
        <w:rPr>
          <w:rFonts w:ascii="Arial" w:hAnsi="Arial" w:cs="Arial"/>
          <w:sz w:val="22"/>
          <w:szCs w:val="22"/>
          <w:lang w:val="es-ES_tradnl"/>
        </w:rPr>
        <w:t>cancelaciones</w:t>
      </w:r>
      <w:r w:rsidR="00133FBD" w:rsidRPr="00DB281B">
        <w:rPr>
          <w:rFonts w:ascii="Arial" w:hAnsi="Arial" w:cs="Arial"/>
          <w:sz w:val="22"/>
          <w:szCs w:val="22"/>
          <w:lang w:val="es-ES_tradnl"/>
        </w:rPr>
        <w:t xml:space="preserve">, $2.053 millones para </w:t>
      </w:r>
      <w:r w:rsidR="004D17EC" w:rsidRPr="00DB281B">
        <w:rPr>
          <w:rFonts w:ascii="Arial" w:hAnsi="Arial" w:cs="Arial"/>
          <w:sz w:val="22"/>
          <w:szCs w:val="22"/>
          <w:lang w:val="es-ES_tradnl"/>
        </w:rPr>
        <w:t>conectividad</w:t>
      </w:r>
      <w:r w:rsidR="006E734F" w:rsidRPr="00DB281B">
        <w:rPr>
          <w:rFonts w:ascii="Arial" w:hAnsi="Arial" w:cs="Arial"/>
          <w:sz w:val="22"/>
          <w:szCs w:val="22"/>
          <w:lang w:val="es-ES_tradnl"/>
        </w:rPr>
        <w:t xml:space="preserve">, $191.843 millones como complemento y $2.253 millones </w:t>
      </w:r>
      <w:r w:rsidR="001F0ED4">
        <w:rPr>
          <w:rFonts w:ascii="Arial" w:hAnsi="Arial" w:cs="Arial"/>
          <w:sz w:val="22"/>
          <w:szCs w:val="22"/>
          <w:lang w:val="es-ES_tradnl"/>
        </w:rPr>
        <w:t xml:space="preserve">de </w:t>
      </w:r>
      <w:r w:rsidR="004D17EC" w:rsidRPr="00DB281B">
        <w:rPr>
          <w:rFonts w:ascii="Arial" w:hAnsi="Arial" w:cs="Arial"/>
          <w:sz w:val="22"/>
          <w:szCs w:val="22"/>
          <w:lang w:val="es-ES_tradnl"/>
        </w:rPr>
        <w:t>calidad matrícula para alimentación de emergencia de acuerdo con el Decreto 470 de 2020).</w:t>
      </w:r>
      <w:r w:rsidR="00196C8F" w:rsidRPr="00DB281B">
        <w:rPr>
          <w:rFonts w:ascii="Arial" w:hAnsi="Arial" w:cs="Arial"/>
          <w:sz w:val="22"/>
          <w:szCs w:val="22"/>
          <w:lang w:val="es-ES_tradnl"/>
        </w:rPr>
        <w:t xml:space="preserve"> </w:t>
      </w:r>
    </w:p>
    <w:p w14:paraId="01BC3DF1" w14:textId="77777777" w:rsidR="001F0ED4" w:rsidRDefault="001F0ED4" w:rsidP="00DB281B">
      <w:pPr>
        <w:jc w:val="both"/>
        <w:rPr>
          <w:rFonts w:ascii="Arial" w:hAnsi="Arial" w:cs="Arial"/>
          <w:sz w:val="22"/>
          <w:szCs w:val="22"/>
          <w:lang w:val="es-ES_tradnl"/>
        </w:rPr>
      </w:pPr>
    </w:p>
    <w:p w14:paraId="6B2055F2" w14:textId="12A34D77" w:rsidR="0041698C" w:rsidRPr="00DB281B" w:rsidRDefault="0041698C" w:rsidP="00DB281B">
      <w:pPr>
        <w:jc w:val="both"/>
        <w:rPr>
          <w:rFonts w:ascii="Arial" w:hAnsi="Arial" w:cs="Arial"/>
          <w:sz w:val="22"/>
          <w:szCs w:val="22"/>
          <w:lang w:val="es-ES_tradnl"/>
        </w:rPr>
      </w:pPr>
      <w:r w:rsidRPr="00DB281B">
        <w:rPr>
          <w:rFonts w:ascii="Arial" w:hAnsi="Arial" w:cs="Arial"/>
          <w:sz w:val="22"/>
          <w:szCs w:val="22"/>
          <w:lang w:val="es-ES_tradnl"/>
        </w:rPr>
        <w:t>A marzo del año 202</w:t>
      </w:r>
      <w:r w:rsidR="00196C8F" w:rsidRPr="00DB281B">
        <w:rPr>
          <w:rFonts w:ascii="Arial" w:hAnsi="Arial" w:cs="Arial"/>
          <w:sz w:val="22"/>
          <w:szCs w:val="22"/>
          <w:lang w:val="es-ES_tradnl"/>
        </w:rPr>
        <w:t>1</w:t>
      </w:r>
      <w:r w:rsidRPr="00DB281B">
        <w:rPr>
          <w:rFonts w:ascii="Arial" w:hAnsi="Arial" w:cs="Arial"/>
          <w:sz w:val="22"/>
          <w:szCs w:val="22"/>
          <w:lang w:val="es-ES_tradnl"/>
        </w:rPr>
        <w:t>, los recursos corresponden a $</w:t>
      </w:r>
      <w:r w:rsidR="00196C8F" w:rsidRPr="00DB281B">
        <w:rPr>
          <w:rFonts w:ascii="Arial" w:hAnsi="Arial" w:cs="Arial"/>
          <w:sz w:val="22"/>
          <w:szCs w:val="22"/>
          <w:lang w:val="es-ES_tradnl"/>
        </w:rPr>
        <w:t>563.168</w:t>
      </w:r>
      <w:r w:rsidRPr="00DB281B">
        <w:rPr>
          <w:rFonts w:ascii="Arial" w:hAnsi="Arial" w:cs="Arial"/>
          <w:sz w:val="22"/>
          <w:szCs w:val="22"/>
          <w:lang w:val="es-ES_tradnl"/>
        </w:rPr>
        <w:t xml:space="preserve"> millones asignados mediante DD-SGP-</w:t>
      </w:r>
      <w:r w:rsidR="00EE13A0" w:rsidRPr="00DB281B">
        <w:rPr>
          <w:rFonts w:ascii="Arial" w:hAnsi="Arial" w:cs="Arial"/>
          <w:sz w:val="22"/>
          <w:szCs w:val="22"/>
          <w:lang w:val="es-ES_tradnl"/>
        </w:rPr>
        <w:t>53</w:t>
      </w:r>
      <w:r w:rsidRPr="00DB281B">
        <w:rPr>
          <w:rFonts w:ascii="Arial" w:hAnsi="Arial" w:cs="Arial"/>
          <w:sz w:val="22"/>
          <w:szCs w:val="22"/>
          <w:lang w:val="es-ES_tradnl"/>
        </w:rPr>
        <w:t>-202</w:t>
      </w:r>
      <w:r w:rsidR="00EE13A0" w:rsidRPr="00DB281B">
        <w:rPr>
          <w:rFonts w:ascii="Arial" w:hAnsi="Arial" w:cs="Arial"/>
          <w:sz w:val="22"/>
          <w:szCs w:val="22"/>
          <w:lang w:val="es-ES_tradnl"/>
        </w:rPr>
        <w:t>1</w:t>
      </w:r>
      <w:r w:rsidRPr="00DB281B">
        <w:rPr>
          <w:rFonts w:ascii="Arial" w:hAnsi="Arial" w:cs="Arial"/>
          <w:sz w:val="22"/>
          <w:szCs w:val="22"/>
          <w:lang w:val="es-ES_tradnl"/>
        </w:rPr>
        <w:t xml:space="preserve"> ($</w:t>
      </w:r>
      <w:r w:rsidR="0096244E" w:rsidRPr="00DB281B">
        <w:rPr>
          <w:rFonts w:ascii="Arial" w:hAnsi="Arial" w:cs="Arial"/>
          <w:sz w:val="22"/>
          <w:szCs w:val="22"/>
          <w:lang w:val="es-ES_tradnl"/>
        </w:rPr>
        <w:t>529.037</w:t>
      </w:r>
      <w:r w:rsidRPr="00DB281B">
        <w:rPr>
          <w:rFonts w:ascii="Arial" w:hAnsi="Arial" w:cs="Arial"/>
          <w:sz w:val="22"/>
          <w:szCs w:val="22"/>
          <w:lang w:val="es-ES_tradnl"/>
        </w:rPr>
        <w:t xml:space="preserve"> millones para prestación del servicio, $</w:t>
      </w:r>
      <w:r w:rsidR="0096244E" w:rsidRPr="00DB281B">
        <w:rPr>
          <w:rFonts w:ascii="Arial" w:hAnsi="Arial" w:cs="Arial"/>
          <w:sz w:val="22"/>
          <w:szCs w:val="22"/>
          <w:lang w:val="es-ES_tradnl"/>
        </w:rPr>
        <w:t>31</w:t>
      </w:r>
      <w:r w:rsidR="00CB0216" w:rsidRPr="00DB281B">
        <w:rPr>
          <w:rFonts w:ascii="Arial" w:hAnsi="Arial" w:cs="Arial"/>
          <w:sz w:val="22"/>
          <w:szCs w:val="22"/>
          <w:lang w:val="es-ES_tradnl"/>
        </w:rPr>
        <w:t>.978</w:t>
      </w:r>
      <w:r w:rsidRPr="00DB281B">
        <w:rPr>
          <w:rFonts w:ascii="Arial" w:hAnsi="Arial" w:cs="Arial"/>
          <w:sz w:val="22"/>
          <w:szCs w:val="22"/>
          <w:lang w:val="es-ES_tradnl"/>
        </w:rPr>
        <w:t xml:space="preserve"> millones para </w:t>
      </w:r>
      <w:r w:rsidR="00CB0216" w:rsidRPr="00DB281B">
        <w:rPr>
          <w:rFonts w:ascii="Arial" w:hAnsi="Arial" w:cs="Arial"/>
          <w:sz w:val="22"/>
          <w:szCs w:val="22"/>
          <w:lang w:val="es-ES_tradnl"/>
        </w:rPr>
        <w:t>cancelaciones</w:t>
      </w:r>
      <w:r w:rsidRPr="00DB281B">
        <w:rPr>
          <w:rFonts w:ascii="Arial" w:hAnsi="Arial" w:cs="Arial"/>
          <w:sz w:val="22"/>
          <w:szCs w:val="22"/>
          <w:lang w:val="es-ES_tradnl"/>
        </w:rPr>
        <w:t xml:space="preserve"> y $</w:t>
      </w:r>
      <w:r w:rsidR="00364CBA" w:rsidRPr="00DB281B">
        <w:rPr>
          <w:rFonts w:ascii="Arial" w:hAnsi="Arial" w:cs="Arial"/>
          <w:sz w:val="22"/>
          <w:szCs w:val="22"/>
          <w:lang w:val="es-ES_tradnl"/>
        </w:rPr>
        <w:t>2.</w:t>
      </w:r>
      <w:r w:rsidR="00B36EBB" w:rsidRPr="00DB281B">
        <w:rPr>
          <w:rFonts w:ascii="Arial" w:hAnsi="Arial" w:cs="Arial"/>
          <w:sz w:val="22"/>
          <w:szCs w:val="22"/>
          <w:lang w:val="es-ES_tradnl"/>
        </w:rPr>
        <w:t>153</w:t>
      </w:r>
      <w:r w:rsidRPr="00DB281B">
        <w:rPr>
          <w:rFonts w:ascii="Arial" w:hAnsi="Arial" w:cs="Arial"/>
          <w:sz w:val="22"/>
          <w:szCs w:val="22"/>
          <w:lang w:val="es-ES_tradnl"/>
        </w:rPr>
        <w:t xml:space="preserve"> millones para </w:t>
      </w:r>
      <w:r w:rsidR="00B36EBB" w:rsidRPr="00DB281B">
        <w:rPr>
          <w:rFonts w:ascii="Arial" w:hAnsi="Arial" w:cs="Arial"/>
          <w:sz w:val="22"/>
          <w:szCs w:val="22"/>
          <w:lang w:val="es-ES_tradnl"/>
        </w:rPr>
        <w:t>conectividad</w:t>
      </w:r>
      <w:r w:rsidRPr="00DB281B">
        <w:rPr>
          <w:rFonts w:ascii="Arial" w:hAnsi="Arial" w:cs="Arial"/>
          <w:sz w:val="22"/>
          <w:szCs w:val="22"/>
          <w:lang w:val="es-ES_tradnl"/>
        </w:rPr>
        <w:t xml:space="preserve">). </w:t>
      </w:r>
    </w:p>
    <w:p w14:paraId="09EB07A2" w14:textId="189079A4" w:rsidR="00BC3DFF" w:rsidRPr="00DB281B" w:rsidRDefault="00BC3DFF" w:rsidP="00DB281B">
      <w:pPr>
        <w:jc w:val="both"/>
        <w:rPr>
          <w:rFonts w:ascii="Arial" w:hAnsi="Arial" w:cs="Arial"/>
          <w:sz w:val="22"/>
          <w:szCs w:val="22"/>
          <w:lang w:val="es-ES_tradnl"/>
        </w:rPr>
      </w:pPr>
    </w:p>
    <w:tbl>
      <w:tblPr>
        <w:tblW w:w="5000" w:type="pct"/>
        <w:tblCellMar>
          <w:left w:w="70" w:type="dxa"/>
          <w:right w:w="70" w:type="dxa"/>
        </w:tblCellMar>
        <w:tblLook w:val="04A0" w:firstRow="1" w:lastRow="0" w:firstColumn="1" w:lastColumn="0" w:noHBand="0" w:noVBand="1"/>
      </w:tblPr>
      <w:tblGrid>
        <w:gridCol w:w="4522"/>
        <w:gridCol w:w="1205"/>
        <w:gridCol w:w="1885"/>
        <w:gridCol w:w="1206"/>
      </w:tblGrid>
      <w:tr w:rsidR="00CA3D04" w:rsidRPr="00DB281B" w14:paraId="1F870E2A" w14:textId="77777777" w:rsidTr="00CA3D04">
        <w:trPr>
          <w:trHeight w:val="20"/>
        </w:trPr>
        <w:tc>
          <w:tcPr>
            <w:tcW w:w="5000" w:type="pct"/>
            <w:gridSpan w:val="4"/>
            <w:tcBorders>
              <w:top w:val="single" w:sz="8" w:space="0" w:color="auto"/>
              <w:left w:val="single" w:sz="8" w:space="0" w:color="auto"/>
              <w:bottom w:val="nil"/>
              <w:right w:val="single" w:sz="8" w:space="0" w:color="000000"/>
            </w:tcBorders>
            <w:shd w:val="clear" w:color="000000" w:fill="244061"/>
            <w:vAlign w:val="center"/>
            <w:hideMark/>
          </w:tcPr>
          <w:p w14:paraId="054E14F7" w14:textId="77777777" w:rsidR="00CA3D04" w:rsidRPr="00DB281B" w:rsidRDefault="00CA3D04" w:rsidP="00DB281B">
            <w:pPr>
              <w:jc w:val="center"/>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 xml:space="preserve">TABLA1. INGRESOS A DICIEMBRE DE 2019 - 2020 Y MARZO DEL 2021 </w:t>
            </w:r>
          </w:p>
        </w:tc>
      </w:tr>
      <w:tr w:rsidR="00CA3D04" w:rsidRPr="00DB281B" w14:paraId="2F6790D4" w14:textId="77777777" w:rsidTr="00CA3D04">
        <w:trPr>
          <w:trHeight w:val="20"/>
        </w:trPr>
        <w:tc>
          <w:tcPr>
            <w:tcW w:w="5000" w:type="pct"/>
            <w:gridSpan w:val="4"/>
            <w:tcBorders>
              <w:top w:val="nil"/>
              <w:left w:val="single" w:sz="8" w:space="0" w:color="auto"/>
              <w:bottom w:val="single" w:sz="8" w:space="0" w:color="auto"/>
              <w:right w:val="single" w:sz="8" w:space="0" w:color="000000"/>
            </w:tcBorders>
            <w:shd w:val="clear" w:color="000000" w:fill="244061"/>
            <w:vAlign w:val="center"/>
            <w:hideMark/>
          </w:tcPr>
          <w:p w14:paraId="1B373135" w14:textId="77777777" w:rsidR="00CA3D04" w:rsidRPr="00DB281B" w:rsidRDefault="00CA3D04" w:rsidP="00DB281B">
            <w:pPr>
              <w:jc w:val="center"/>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(MILLONES DE $)</w:t>
            </w:r>
            <w:r w:rsidRPr="00DB281B">
              <w:rPr>
                <w:rFonts w:ascii="Arial" w:eastAsia="Times New Roman" w:hAnsi="Arial" w:cs="Arial"/>
                <w:color w:val="FFFFFF"/>
                <w:sz w:val="18"/>
                <w:szCs w:val="18"/>
                <w:lang w:val="es-CO" w:eastAsia="es-CO"/>
              </w:rPr>
              <w:t> </w:t>
            </w:r>
          </w:p>
        </w:tc>
      </w:tr>
      <w:tr w:rsidR="00CA3D04" w:rsidRPr="00DB281B" w14:paraId="6DE39066" w14:textId="77777777" w:rsidTr="00CA3D04">
        <w:trPr>
          <w:trHeight w:val="20"/>
        </w:trPr>
        <w:tc>
          <w:tcPr>
            <w:tcW w:w="2564" w:type="pct"/>
            <w:vMerge w:val="restart"/>
            <w:tcBorders>
              <w:top w:val="nil"/>
              <w:left w:val="single" w:sz="8" w:space="0" w:color="auto"/>
              <w:bottom w:val="single" w:sz="8" w:space="0" w:color="000000"/>
              <w:right w:val="single" w:sz="8" w:space="0" w:color="auto"/>
            </w:tcBorders>
            <w:shd w:val="clear" w:color="000000" w:fill="95B3D7"/>
            <w:vAlign w:val="center"/>
            <w:hideMark/>
          </w:tcPr>
          <w:p w14:paraId="332BCEF0" w14:textId="77777777" w:rsidR="00CA3D04" w:rsidRPr="00DB281B" w:rsidRDefault="00CA3D0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CONCEPTOS</w:t>
            </w:r>
          </w:p>
        </w:tc>
        <w:tc>
          <w:tcPr>
            <w:tcW w:w="2436" w:type="pct"/>
            <w:gridSpan w:val="3"/>
            <w:tcBorders>
              <w:top w:val="single" w:sz="8" w:space="0" w:color="auto"/>
              <w:left w:val="nil"/>
              <w:bottom w:val="single" w:sz="8" w:space="0" w:color="auto"/>
              <w:right w:val="single" w:sz="8" w:space="0" w:color="000000"/>
            </w:tcBorders>
            <w:shd w:val="clear" w:color="000000" w:fill="95B3D7"/>
            <w:vAlign w:val="center"/>
            <w:hideMark/>
          </w:tcPr>
          <w:p w14:paraId="32AE9053" w14:textId="77777777" w:rsidR="00CA3D04" w:rsidRPr="00DB281B" w:rsidRDefault="00CA3D0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VIGENCIAS</w:t>
            </w:r>
          </w:p>
        </w:tc>
      </w:tr>
      <w:tr w:rsidR="00CA3D04" w:rsidRPr="00DB281B" w14:paraId="3A43399C" w14:textId="77777777" w:rsidTr="00CA3D04">
        <w:trPr>
          <w:trHeight w:val="20"/>
        </w:trPr>
        <w:tc>
          <w:tcPr>
            <w:tcW w:w="2564" w:type="pct"/>
            <w:vMerge/>
            <w:tcBorders>
              <w:top w:val="nil"/>
              <w:left w:val="single" w:sz="8" w:space="0" w:color="auto"/>
              <w:bottom w:val="single" w:sz="8" w:space="0" w:color="000000"/>
              <w:right w:val="single" w:sz="8" w:space="0" w:color="auto"/>
            </w:tcBorders>
            <w:vAlign w:val="center"/>
            <w:hideMark/>
          </w:tcPr>
          <w:p w14:paraId="4E278780" w14:textId="77777777" w:rsidR="00CA3D04" w:rsidRPr="00DB281B" w:rsidRDefault="00CA3D04" w:rsidP="00DB281B">
            <w:pPr>
              <w:rPr>
                <w:rFonts w:ascii="Arial" w:eastAsia="Times New Roman" w:hAnsi="Arial" w:cs="Arial"/>
                <w:b/>
                <w:bCs/>
                <w:color w:val="000000"/>
                <w:sz w:val="18"/>
                <w:szCs w:val="18"/>
                <w:lang w:val="es-CO" w:eastAsia="es-CO"/>
              </w:rPr>
            </w:pPr>
          </w:p>
        </w:tc>
        <w:tc>
          <w:tcPr>
            <w:tcW w:w="683" w:type="pct"/>
            <w:tcBorders>
              <w:top w:val="nil"/>
              <w:left w:val="nil"/>
              <w:bottom w:val="single" w:sz="8" w:space="0" w:color="auto"/>
              <w:right w:val="single" w:sz="8" w:space="0" w:color="auto"/>
            </w:tcBorders>
            <w:shd w:val="clear" w:color="000000" w:fill="95B3D7"/>
            <w:vAlign w:val="center"/>
            <w:hideMark/>
          </w:tcPr>
          <w:p w14:paraId="5D860972" w14:textId="77777777" w:rsidR="00CA3D04" w:rsidRPr="00DB281B" w:rsidRDefault="00CA3D0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2019</w:t>
            </w:r>
          </w:p>
        </w:tc>
        <w:tc>
          <w:tcPr>
            <w:tcW w:w="1069" w:type="pct"/>
            <w:tcBorders>
              <w:top w:val="nil"/>
              <w:left w:val="nil"/>
              <w:bottom w:val="single" w:sz="8" w:space="0" w:color="auto"/>
              <w:right w:val="single" w:sz="8" w:space="0" w:color="auto"/>
            </w:tcBorders>
            <w:shd w:val="clear" w:color="000000" w:fill="95B3D7"/>
            <w:vAlign w:val="center"/>
            <w:hideMark/>
          </w:tcPr>
          <w:p w14:paraId="7A255358" w14:textId="77777777" w:rsidR="00CA3D04" w:rsidRPr="00DB281B" w:rsidRDefault="00CA3D0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2020</w:t>
            </w:r>
          </w:p>
        </w:tc>
        <w:tc>
          <w:tcPr>
            <w:tcW w:w="683" w:type="pct"/>
            <w:tcBorders>
              <w:top w:val="nil"/>
              <w:left w:val="nil"/>
              <w:bottom w:val="single" w:sz="8" w:space="0" w:color="auto"/>
              <w:right w:val="single" w:sz="8" w:space="0" w:color="auto"/>
            </w:tcBorders>
            <w:shd w:val="clear" w:color="000000" w:fill="95B3D7"/>
            <w:vAlign w:val="center"/>
            <w:hideMark/>
          </w:tcPr>
          <w:p w14:paraId="04FB5D9E" w14:textId="77777777" w:rsidR="00CA3D04" w:rsidRPr="00DB281B" w:rsidRDefault="00CA3D0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Mar - 2021</w:t>
            </w:r>
          </w:p>
        </w:tc>
      </w:tr>
      <w:tr w:rsidR="00CA3D04" w:rsidRPr="00DB281B" w14:paraId="5A6D1BBB" w14:textId="77777777" w:rsidTr="00CA3D04">
        <w:trPr>
          <w:trHeight w:val="20"/>
        </w:trPr>
        <w:tc>
          <w:tcPr>
            <w:tcW w:w="2564" w:type="pct"/>
            <w:tcBorders>
              <w:top w:val="nil"/>
              <w:left w:val="single" w:sz="8" w:space="0" w:color="auto"/>
              <w:bottom w:val="single" w:sz="8" w:space="0" w:color="auto"/>
              <w:right w:val="single" w:sz="8" w:space="0" w:color="auto"/>
            </w:tcBorders>
            <w:shd w:val="clear" w:color="auto" w:fill="auto"/>
            <w:vAlign w:val="center"/>
            <w:hideMark/>
          </w:tcPr>
          <w:p w14:paraId="4005ECE4" w14:textId="77777777" w:rsidR="00CA3D04" w:rsidRPr="00DB281B" w:rsidRDefault="00CA3D04" w:rsidP="00DB281B">
            <w:pPr>
              <w:jc w:val="center"/>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Asignación SGP-educación</w:t>
            </w:r>
          </w:p>
        </w:tc>
        <w:tc>
          <w:tcPr>
            <w:tcW w:w="683" w:type="pct"/>
            <w:tcBorders>
              <w:top w:val="nil"/>
              <w:left w:val="nil"/>
              <w:bottom w:val="single" w:sz="8" w:space="0" w:color="auto"/>
              <w:right w:val="single" w:sz="8" w:space="0" w:color="auto"/>
            </w:tcBorders>
            <w:shd w:val="clear" w:color="auto" w:fill="auto"/>
            <w:vAlign w:val="center"/>
            <w:hideMark/>
          </w:tcPr>
          <w:p w14:paraId="3E5DAACA"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743.599</w:t>
            </w:r>
          </w:p>
        </w:tc>
        <w:tc>
          <w:tcPr>
            <w:tcW w:w="1069" w:type="pct"/>
            <w:tcBorders>
              <w:top w:val="nil"/>
              <w:left w:val="nil"/>
              <w:bottom w:val="single" w:sz="8" w:space="0" w:color="auto"/>
              <w:right w:val="single" w:sz="8" w:space="0" w:color="auto"/>
            </w:tcBorders>
            <w:shd w:val="clear" w:color="auto" w:fill="auto"/>
            <w:vAlign w:val="center"/>
            <w:hideMark/>
          </w:tcPr>
          <w:p w14:paraId="2A6DD78F"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792.627</w:t>
            </w:r>
          </w:p>
        </w:tc>
        <w:tc>
          <w:tcPr>
            <w:tcW w:w="683" w:type="pct"/>
            <w:tcBorders>
              <w:top w:val="nil"/>
              <w:left w:val="nil"/>
              <w:bottom w:val="single" w:sz="8" w:space="0" w:color="auto"/>
              <w:right w:val="single" w:sz="8" w:space="0" w:color="auto"/>
            </w:tcBorders>
            <w:shd w:val="clear" w:color="auto" w:fill="auto"/>
            <w:vAlign w:val="center"/>
            <w:hideMark/>
          </w:tcPr>
          <w:p w14:paraId="52F34A10"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563.168</w:t>
            </w:r>
          </w:p>
        </w:tc>
      </w:tr>
      <w:tr w:rsidR="00CA3D04" w:rsidRPr="00DB281B" w14:paraId="280E1B01" w14:textId="77777777" w:rsidTr="00CA3D04">
        <w:trPr>
          <w:trHeight w:val="20"/>
        </w:trPr>
        <w:tc>
          <w:tcPr>
            <w:tcW w:w="2564" w:type="pct"/>
            <w:tcBorders>
              <w:top w:val="nil"/>
              <w:left w:val="single" w:sz="8" w:space="0" w:color="auto"/>
              <w:bottom w:val="single" w:sz="8" w:space="0" w:color="auto"/>
              <w:right w:val="single" w:sz="8" w:space="0" w:color="auto"/>
            </w:tcBorders>
            <w:shd w:val="clear" w:color="auto" w:fill="auto"/>
            <w:vAlign w:val="center"/>
            <w:hideMark/>
          </w:tcPr>
          <w:p w14:paraId="26CDBF8F" w14:textId="77777777" w:rsidR="00CA3D04" w:rsidRPr="00DB281B" w:rsidRDefault="00CA3D04" w:rsidP="00DB281B">
            <w:pPr>
              <w:jc w:val="center"/>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Giro MEN-ET </w:t>
            </w:r>
          </w:p>
        </w:tc>
        <w:tc>
          <w:tcPr>
            <w:tcW w:w="683" w:type="pct"/>
            <w:tcBorders>
              <w:top w:val="nil"/>
              <w:left w:val="nil"/>
              <w:bottom w:val="single" w:sz="8" w:space="0" w:color="auto"/>
              <w:right w:val="single" w:sz="8" w:space="0" w:color="auto"/>
            </w:tcBorders>
            <w:shd w:val="clear" w:color="auto" w:fill="auto"/>
            <w:vAlign w:val="center"/>
            <w:hideMark/>
          </w:tcPr>
          <w:p w14:paraId="3E3A96A2"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743.599</w:t>
            </w:r>
          </w:p>
        </w:tc>
        <w:tc>
          <w:tcPr>
            <w:tcW w:w="1069" w:type="pct"/>
            <w:tcBorders>
              <w:top w:val="nil"/>
              <w:left w:val="nil"/>
              <w:bottom w:val="single" w:sz="8" w:space="0" w:color="auto"/>
              <w:right w:val="single" w:sz="8" w:space="0" w:color="auto"/>
            </w:tcBorders>
            <w:shd w:val="clear" w:color="auto" w:fill="auto"/>
            <w:vAlign w:val="center"/>
            <w:hideMark/>
          </w:tcPr>
          <w:p w14:paraId="68B19BD7"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792.627</w:t>
            </w:r>
          </w:p>
        </w:tc>
        <w:tc>
          <w:tcPr>
            <w:tcW w:w="683" w:type="pct"/>
            <w:tcBorders>
              <w:top w:val="nil"/>
              <w:left w:val="nil"/>
              <w:bottom w:val="single" w:sz="8" w:space="0" w:color="auto"/>
              <w:right w:val="single" w:sz="8" w:space="0" w:color="auto"/>
            </w:tcBorders>
            <w:shd w:val="clear" w:color="auto" w:fill="auto"/>
            <w:vAlign w:val="center"/>
            <w:hideMark/>
          </w:tcPr>
          <w:p w14:paraId="00B482E4"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188.942</w:t>
            </w:r>
          </w:p>
        </w:tc>
      </w:tr>
      <w:tr w:rsidR="00CA3D04" w:rsidRPr="00DB281B" w14:paraId="5AF027AE" w14:textId="77777777" w:rsidTr="00CA3D04">
        <w:trPr>
          <w:trHeight w:val="20"/>
        </w:trPr>
        <w:tc>
          <w:tcPr>
            <w:tcW w:w="5000" w:type="pct"/>
            <w:gridSpan w:val="4"/>
            <w:tcBorders>
              <w:top w:val="single" w:sz="8" w:space="0" w:color="auto"/>
              <w:left w:val="single" w:sz="8" w:space="0" w:color="auto"/>
              <w:bottom w:val="nil"/>
              <w:right w:val="single" w:sz="8" w:space="0" w:color="000000"/>
            </w:tcBorders>
            <w:shd w:val="clear" w:color="000000" w:fill="95B3D7"/>
            <w:vAlign w:val="center"/>
            <w:hideMark/>
          </w:tcPr>
          <w:p w14:paraId="402EB55B" w14:textId="77777777" w:rsidR="00CA3D04" w:rsidRPr="00DB281B" w:rsidRDefault="00CA3D04" w:rsidP="00DB281B">
            <w:pP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EJECUCIÓN PRESUPUESTAL</w:t>
            </w:r>
          </w:p>
        </w:tc>
      </w:tr>
      <w:tr w:rsidR="00CA3D04" w:rsidRPr="00DB281B" w14:paraId="1C6E18DD" w14:textId="77777777" w:rsidTr="00CA3D04">
        <w:trPr>
          <w:trHeight w:val="20"/>
        </w:trPr>
        <w:tc>
          <w:tcPr>
            <w:tcW w:w="2564" w:type="pct"/>
            <w:tcBorders>
              <w:top w:val="single" w:sz="8" w:space="0" w:color="666699"/>
              <w:left w:val="single" w:sz="8" w:space="0" w:color="auto"/>
              <w:bottom w:val="single" w:sz="8" w:space="0" w:color="666699"/>
              <w:right w:val="nil"/>
            </w:tcBorders>
            <w:shd w:val="clear" w:color="000000" w:fill="D9D9D9"/>
            <w:vAlign w:val="center"/>
            <w:hideMark/>
          </w:tcPr>
          <w:p w14:paraId="4A2F289C" w14:textId="77777777" w:rsidR="00CA3D04" w:rsidRPr="00DB281B" w:rsidRDefault="00CA3D04" w:rsidP="00DB281B">
            <w:pPr>
              <w:jc w:val="both"/>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Ingresos Corrientes</w:t>
            </w:r>
            <w:r w:rsidRPr="00DB281B">
              <w:rPr>
                <w:rFonts w:ascii="Arial" w:eastAsia="Times New Roman" w:hAnsi="Arial" w:cs="Arial"/>
                <w:color w:val="000000"/>
                <w:sz w:val="18"/>
                <w:szCs w:val="18"/>
                <w:lang w:val="es-CO" w:eastAsia="es-CO"/>
              </w:rPr>
              <w:t> </w:t>
            </w:r>
          </w:p>
        </w:tc>
        <w:tc>
          <w:tcPr>
            <w:tcW w:w="683" w:type="pct"/>
            <w:tcBorders>
              <w:top w:val="single" w:sz="8" w:space="0" w:color="60497A"/>
              <w:left w:val="single" w:sz="8" w:space="0" w:color="60497A"/>
              <w:bottom w:val="single" w:sz="8" w:space="0" w:color="60497A"/>
              <w:right w:val="single" w:sz="8" w:space="0" w:color="60497A"/>
            </w:tcBorders>
            <w:shd w:val="clear" w:color="000000" w:fill="D9D9D9"/>
            <w:vAlign w:val="center"/>
            <w:hideMark/>
          </w:tcPr>
          <w:p w14:paraId="0E35BFD1"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743.599</w:t>
            </w:r>
          </w:p>
        </w:tc>
        <w:tc>
          <w:tcPr>
            <w:tcW w:w="1069" w:type="pct"/>
            <w:tcBorders>
              <w:top w:val="single" w:sz="8" w:space="0" w:color="60497A"/>
              <w:left w:val="nil"/>
              <w:bottom w:val="single" w:sz="8" w:space="0" w:color="60497A"/>
              <w:right w:val="single" w:sz="8" w:space="0" w:color="60497A"/>
            </w:tcBorders>
            <w:shd w:val="clear" w:color="000000" w:fill="D9D9D9"/>
            <w:vAlign w:val="center"/>
            <w:hideMark/>
          </w:tcPr>
          <w:p w14:paraId="3F0C71EB" w14:textId="0D689B6A"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790.375</w:t>
            </w:r>
            <w:r w:rsidR="009B605F" w:rsidRPr="00DB281B">
              <w:rPr>
                <w:rFonts w:ascii="Arial" w:eastAsia="Times New Roman" w:hAnsi="Arial" w:cs="Arial"/>
                <w:b/>
                <w:bCs/>
                <w:color w:val="000000"/>
                <w:sz w:val="18"/>
                <w:szCs w:val="18"/>
                <w:lang w:val="es-CO" w:eastAsia="es-CO"/>
              </w:rPr>
              <w:t xml:space="preserve"> </w:t>
            </w:r>
            <w:r w:rsidR="009B605F" w:rsidRPr="00DB281B">
              <w:rPr>
                <w:rFonts w:ascii="Arial" w:eastAsia="Times New Roman" w:hAnsi="Arial" w:cs="Arial"/>
                <w:b/>
                <w:bCs/>
                <w:color w:val="FF0000"/>
                <w:sz w:val="18"/>
                <w:szCs w:val="18"/>
                <w:lang w:val="es-CO" w:eastAsia="es-CO"/>
              </w:rPr>
              <w:t>(1)</w:t>
            </w:r>
            <w:r w:rsidR="009B605F" w:rsidRPr="00DB281B">
              <w:rPr>
                <w:rFonts w:ascii="Arial" w:eastAsia="Times New Roman" w:hAnsi="Arial" w:cs="Arial"/>
                <w:b/>
                <w:bCs/>
                <w:color w:val="000000"/>
                <w:sz w:val="18"/>
                <w:szCs w:val="18"/>
                <w:lang w:val="es-CO" w:eastAsia="es-CO"/>
              </w:rPr>
              <w:t xml:space="preserve"> </w:t>
            </w:r>
          </w:p>
        </w:tc>
        <w:tc>
          <w:tcPr>
            <w:tcW w:w="683" w:type="pct"/>
            <w:tcBorders>
              <w:top w:val="single" w:sz="8" w:space="0" w:color="60497A"/>
              <w:left w:val="nil"/>
              <w:bottom w:val="single" w:sz="8" w:space="0" w:color="60497A"/>
              <w:right w:val="single" w:sz="8" w:space="0" w:color="auto"/>
            </w:tcBorders>
            <w:shd w:val="clear" w:color="000000" w:fill="D9D9D9"/>
            <w:vAlign w:val="center"/>
            <w:hideMark/>
          </w:tcPr>
          <w:p w14:paraId="5B7B18AA"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188.942</w:t>
            </w:r>
          </w:p>
        </w:tc>
      </w:tr>
      <w:tr w:rsidR="00CA3D04" w:rsidRPr="00DB281B" w14:paraId="49735017"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46BC875D" w14:textId="77777777" w:rsidR="00CA3D04" w:rsidRPr="00DB281B" w:rsidRDefault="00CA3D04" w:rsidP="00DB281B">
            <w:pPr>
              <w:jc w:val="both"/>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Sistema General de Participaciones -Educación</w:t>
            </w:r>
            <w:r w:rsidRPr="00DB281B">
              <w:rPr>
                <w:rFonts w:ascii="Arial" w:eastAsia="Times New Roman" w:hAnsi="Arial" w:cs="Arial"/>
                <w:color w:val="000000"/>
                <w:sz w:val="18"/>
                <w:szCs w:val="18"/>
                <w:lang w:val="es-CO" w:eastAsia="es-CO"/>
              </w:rPr>
              <w:t> </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49A1D3A6"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743.599</w:t>
            </w:r>
          </w:p>
        </w:tc>
        <w:tc>
          <w:tcPr>
            <w:tcW w:w="1069" w:type="pct"/>
            <w:tcBorders>
              <w:top w:val="nil"/>
              <w:left w:val="nil"/>
              <w:bottom w:val="single" w:sz="8" w:space="0" w:color="60497A"/>
              <w:right w:val="single" w:sz="8" w:space="0" w:color="60497A"/>
            </w:tcBorders>
            <w:shd w:val="clear" w:color="auto" w:fill="auto"/>
            <w:vAlign w:val="center"/>
            <w:hideMark/>
          </w:tcPr>
          <w:p w14:paraId="6041717A"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790.375</w:t>
            </w:r>
          </w:p>
        </w:tc>
        <w:tc>
          <w:tcPr>
            <w:tcW w:w="683" w:type="pct"/>
            <w:tcBorders>
              <w:top w:val="nil"/>
              <w:left w:val="nil"/>
              <w:bottom w:val="single" w:sz="8" w:space="0" w:color="60497A"/>
              <w:right w:val="single" w:sz="8" w:space="0" w:color="auto"/>
            </w:tcBorders>
            <w:shd w:val="clear" w:color="auto" w:fill="auto"/>
            <w:vAlign w:val="center"/>
            <w:hideMark/>
          </w:tcPr>
          <w:p w14:paraId="49AB3DEC"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188.942</w:t>
            </w:r>
          </w:p>
        </w:tc>
      </w:tr>
      <w:tr w:rsidR="00CA3D04" w:rsidRPr="00DB281B" w14:paraId="5720D1AD"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67D45586" w14:textId="77777777" w:rsidR="00CA3D04" w:rsidRPr="00DB281B" w:rsidRDefault="00CA3D04" w:rsidP="00DB281B">
            <w:pPr>
              <w:jc w:val="both"/>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Prestación de servicios</w:t>
            </w:r>
            <w:r w:rsidRPr="00DB281B">
              <w:rPr>
                <w:rFonts w:ascii="Arial" w:eastAsia="Times New Roman" w:hAnsi="Arial" w:cs="Arial"/>
                <w:color w:val="000000"/>
                <w:sz w:val="18"/>
                <w:szCs w:val="18"/>
                <w:lang w:val="es-CO" w:eastAsia="es-CO"/>
              </w:rPr>
              <w:t> </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57E1E758"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700.134</w:t>
            </w:r>
          </w:p>
        </w:tc>
        <w:tc>
          <w:tcPr>
            <w:tcW w:w="1069" w:type="pct"/>
            <w:tcBorders>
              <w:top w:val="nil"/>
              <w:left w:val="nil"/>
              <w:bottom w:val="single" w:sz="8" w:space="0" w:color="60497A"/>
              <w:right w:val="single" w:sz="8" w:space="0" w:color="60497A"/>
            </w:tcBorders>
            <w:shd w:val="clear" w:color="auto" w:fill="auto"/>
            <w:vAlign w:val="center"/>
            <w:hideMark/>
          </w:tcPr>
          <w:p w14:paraId="107509DE"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741.438</w:t>
            </w:r>
          </w:p>
        </w:tc>
        <w:tc>
          <w:tcPr>
            <w:tcW w:w="683" w:type="pct"/>
            <w:tcBorders>
              <w:top w:val="nil"/>
              <w:left w:val="nil"/>
              <w:bottom w:val="single" w:sz="8" w:space="0" w:color="60497A"/>
              <w:right w:val="single" w:sz="8" w:space="0" w:color="auto"/>
            </w:tcBorders>
            <w:shd w:val="clear" w:color="auto" w:fill="auto"/>
            <w:vAlign w:val="center"/>
            <w:hideMark/>
          </w:tcPr>
          <w:p w14:paraId="75083687"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178.891</w:t>
            </w:r>
          </w:p>
        </w:tc>
      </w:tr>
      <w:tr w:rsidR="00CA3D04" w:rsidRPr="00DB281B" w14:paraId="4B0AA184"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2118C4C6" w14:textId="77777777" w:rsidR="00CA3D04" w:rsidRPr="00DB281B" w:rsidRDefault="00CA3D04" w:rsidP="00DB281B">
            <w:pPr>
              <w:jc w:val="both"/>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 Con Situación de Fondos </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4E419B1F"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580.625</w:t>
            </w:r>
          </w:p>
        </w:tc>
        <w:tc>
          <w:tcPr>
            <w:tcW w:w="1069" w:type="pct"/>
            <w:tcBorders>
              <w:top w:val="nil"/>
              <w:left w:val="nil"/>
              <w:bottom w:val="single" w:sz="8" w:space="0" w:color="60497A"/>
              <w:right w:val="single" w:sz="8" w:space="0" w:color="60497A"/>
            </w:tcBorders>
            <w:shd w:val="clear" w:color="auto" w:fill="auto"/>
            <w:vAlign w:val="center"/>
            <w:hideMark/>
          </w:tcPr>
          <w:p w14:paraId="45E8E122"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623.613</w:t>
            </w:r>
          </w:p>
        </w:tc>
        <w:tc>
          <w:tcPr>
            <w:tcW w:w="683" w:type="pct"/>
            <w:tcBorders>
              <w:top w:val="nil"/>
              <w:left w:val="nil"/>
              <w:bottom w:val="single" w:sz="8" w:space="0" w:color="60497A"/>
              <w:right w:val="single" w:sz="8" w:space="0" w:color="auto"/>
            </w:tcBorders>
            <w:shd w:val="clear" w:color="auto" w:fill="auto"/>
            <w:vAlign w:val="center"/>
            <w:hideMark/>
          </w:tcPr>
          <w:p w14:paraId="1211AC46"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131.446</w:t>
            </w:r>
          </w:p>
        </w:tc>
      </w:tr>
      <w:tr w:rsidR="00CA3D04" w:rsidRPr="00DB281B" w14:paraId="0C7717E7"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71E3259C" w14:textId="77777777" w:rsidR="00CA3D04" w:rsidRPr="00DB281B" w:rsidRDefault="00CA3D04" w:rsidP="00DB281B">
            <w:pPr>
              <w:jc w:val="both"/>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 Sin Situación de Fondos </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3226B7A7"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119.509</w:t>
            </w:r>
          </w:p>
        </w:tc>
        <w:tc>
          <w:tcPr>
            <w:tcW w:w="1069" w:type="pct"/>
            <w:tcBorders>
              <w:top w:val="nil"/>
              <w:left w:val="nil"/>
              <w:bottom w:val="single" w:sz="8" w:space="0" w:color="60497A"/>
              <w:right w:val="single" w:sz="8" w:space="0" w:color="60497A"/>
            </w:tcBorders>
            <w:shd w:val="clear" w:color="auto" w:fill="auto"/>
            <w:vAlign w:val="center"/>
            <w:hideMark/>
          </w:tcPr>
          <w:p w14:paraId="12603D64"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117.825</w:t>
            </w:r>
          </w:p>
        </w:tc>
        <w:tc>
          <w:tcPr>
            <w:tcW w:w="683" w:type="pct"/>
            <w:tcBorders>
              <w:top w:val="nil"/>
              <w:left w:val="nil"/>
              <w:bottom w:val="single" w:sz="8" w:space="0" w:color="60497A"/>
              <w:right w:val="single" w:sz="8" w:space="0" w:color="auto"/>
            </w:tcBorders>
            <w:shd w:val="clear" w:color="auto" w:fill="auto"/>
            <w:vAlign w:val="center"/>
            <w:hideMark/>
          </w:tcPr>
          <w:p w14:paraId="111FCFE4"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47.445</w:t>
            </w:r>
          </w:p>
        </w:tc>
      </w:tr>
      <w:tr w:rsidR="00CA3D04" w:rsidRPr="00DB281B" w14:paraId="4C7741FB"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4FDCA3A0" w14:textId="77777777" w:rsidR="00CA3D04" w:rsidRPr="00DB281B" w:rsidRDefault="00CA3D04" w:rsidP="00DB281B">
            <w:pPr>
              <w:jc w:val="both"/>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Cancelaciones</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5E7E1F7E"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43.465</w:t>
            </w:r>
          </w:p>
        </w:tc>
        <w:tc>
          <w:tcPr>
            <w:tcW w:w="1069" w:type="pct"/>
            <w:tcBorders>
              <w:top w:val="nil"/>
              <w:left w:val="nil"/>
              <w:bottom w:val="single" w:sz="8" w:space="0" w:color="60497A"/>
              <w:right w:val="single" w:sz="8" w:space="0" w:color="60497A"/>
            </w:tcBorders>
            <w:shd w:val="clear" w:color="auto" w:fill="auto"/>
            <w:vAlign w:val="center"/>
            <w:hideMark/>
          </w:tcPr>
          <w:p w14:paraId="278B13F8"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48.936</w:t>
            </w:r>
          </w:p>
        </w:tc>
        <w:tc>
          <w:tcPr>
            <w:tcW w:w="683" w:type="pct"/>
            <w:tcBorders>
              <w:top w:val="nil"/>
              <w:left w:val="nil"/>
              <w:bottom w:val="single" w:sz="8" w:space="0" w:color="60497A"/>
              <w:right w:val="single" w:sz="8" w:space="0" w:color="auto"/>
            </w:tcBorders>
            <w:shd w:val="clear" w:color="auto" w:fill="auto"/>
            <w:vAlign w:val="center"/>
            <w:hideMark/>
          </w:tcPr>
          <w:p w14:paraId="1D89D9DA"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10.052</w:t>
            </w:r>
          </w:p>
        </w:tc>
      </w:tr>
      <w:tr w:rsidR="00CA3D04" w:rsidRPr="00DB281B" w14:paraId="00DD0660" w14:textId="77777777" w:rsidTr="00CA3D04">
        <w:trPr>
          <w:trHeight w:val="20"/>
        </w:trPr>
        <w:tc>
          <w:tcPr>
            <w:tcW w:w="2564" w:type="pct"/>
            <w:tcBorders>
              <w:top w:val="nil"/>
              <w:left w:val="single" w:sz="8" w:space="0" w:color="auto"/>
              <w:bottom w:val="single" w:sz="8" w:space="0" w:color="666699"/>
              <w:right w:val="nil"/>
            </w:tcBorders>
            <w:shd w:val="clear" w:color="000000" w:fill="D9D9D9"/>
            <w:vAlign w:val="center"/>
            <w:hideMark/>
          </w:tcPr>
          <w:p w14:paraId="162B2675" w14:textId="77777777" w:rsidR="00CA3D04" w:rsidRPr="00DB281B" w:rsidRDefault="00CA3D04" w:rsidP="00DB281B">
            <w:pPr>
              <w:jc w:val="both"/>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Ingresos de Capital </w:t>
            </w:r>
          </w:p>
        </w:tc>
        <w:tc>
          <w:tcPr>
            <w:tcW w:w="683" w:type="pct"/>
            <w:tcBorders>
              <w:top w:val="nil"/>
              <w:left w:val="single" w:sz="8" w:space="0" w:color="60497A"/>
              <w:bottom w:val="single" w:sz="8" w:space="0" w:color="60497A"/>
              <w:right w:val="single" w:sz="8" w:space="0" w:color="60497A"/>
            </w:tcBorders>
            <w:shd w:val="clear" w:color="000000" w:fill="D9D9D9"/>
            <w:vAlign w:val="center"/>
            <w:hideMark/>
          </w:tcPr>
          <w:p w14:paraId="106F1C0A"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6.492</w:t>
            </w:r>
          </w:p>
        </w:tc>
        <w:tc>
          <w:tcPr>
            <w:tcW w:w="1069" w:type="pct"/>
            <w:tcBorders>
              <w:top w:val="nil"/>
              <w:left w:val="nil"/>
              <w:bottom w:val="single" w:sz="8" w:space="0" w:color="60497A"/>
              <w:right w:val="single" w:sz="8" w:space="0" w:color="60497A"/>
            </w:tcBorders>
            <w:shd w:val="clear" w:color="000000" w:fill="D9D9D9"/>
            <w:vAlign w:val="center"/>
            <w:hideMark/>
          </w:tcPr>
          <w:p w14:paraId="119374B1"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9.431</w:t>
            </w:r>
          </w:p>
        </w:tc>
        <w:tc>
          <w:tcPr>
            <w:tcW w:w="683" w:type="pct"/>
            <w:tcBorders>
              <w:top w:val="nil"/>
              <w:left w:val="nil"/>
              <w:bottom w:val="single" w:sz="8" w:space="0" w:color="60497A"/>
              <w:right w:val="single" w:sz="8" w:space="0" w:color="auto"/>
            </w:tcBorders>
            <w:shd w:val="clear" w:color="000000" w:fill="D9D9D9"/>
            <w:vAlign w:val="center"/>
            <w:hideMark/>
          </w:tcPr>
          <w:p w14:paraId="60F06199"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0</w:t>
            </w:r>
          </w:p>
        </w:tc>
      </w:tr>
      <w:tr w:rsidR="00CA3D04" w:rsidRPr="00DB281B" w14:paraId="291871D4"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3A4A318B" w14:textId="77777777" w:rsidR="00CA3D04" w:rsidRPr="00DB281B" w:rsidRDefault="00CA3D04" w:rsidP="00DB281B">
            <w:pPr>
              <w:jc w:val="both"/>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Rendimientos Financieros</w:t>
            </w:r>
            <w:r w:rsidRPr="00DB281B">
              <w:rPr>
                <w:rFonts w:ascii="Arial" w:eastAsia="Times New Roman" w:hAnsi="Arial" w:cs="Arial"/>
                <w:color w:val="000000"/>
                <w:sz w:val="18"/>
                <w:szCs w:val="18"/>
                <w:lang w:val="es-CO" w:eastAsia="es-CO"/>
              </w:rPr>
              <w:t> </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4B5B82D4"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1.058</w:t>
            </w:r>
          </w:p>
        </w:tc>
        <w:tc>
          <w:tcPr>
            <w:tcW w:w="1069" w:type="pct"/>
            <w:tcBorders>
              <w:top w:val="nil"/>
              <w:left w:val="nil"/>
              <w:bottom w:val="single" w:sz="8" w:space="0" w:color="60497A"/>
              <w:right w:val="single" w:sz="8" w:space="0" w:color="60497A"/>
            </w:tcBorders>
            <w:shd w:val="clear" w:color="auto" w:fill="auto"/>
            <w:vAlign w:val="center"/>
            <w:hideMark/>
          </w:tcPr>
          <w:p w14:paraId="10B6E273"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814</w:t>
            </w:r>
          </w:p>
        </w:tc>
        <w:tc>
          <w:tcPr>
            <w:tcW w:w="683" w:type="pct"/>
            <w:tcBorders>
              <w:top w:val="nil"/>
              <w:left w:val="nil"/>
              <w:bottom w:val="single" w:sz="8" w:space="0" w:color="60497A"/>
              <w:right w:val="single" w:sz="8" w:space="0" w:color="auto"/>
            </w:tcBorders>
            <w:shd w:val="clear" w:color="auto" w:fill="auto"/>
            <w:vAlign w:val="center"/>
            <w:hideMark/>
          </w:tcPr>
          <w:p w14:paraId="531A0AAD"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0</w:t>
            </w:r>
          </w:p>
        </w:tc>
      </w:tr>
      <w:tr w:rsidR="00CA3D04" w:rsidRPr="00DB281B" w14:paraId="2E320288"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29D3A9D5" w14:textId="77777777" w:rsidR="00CA3D04" w:rsidRPr="00DB281B" w:rsidRDefault="00CA3D04" w:rsidP="00DB281B">
            <w:pPr>
              <w:jc w:val="both"/>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 xml:space="preserve">Recursos del Balance </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382725B9"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5.434</w:t>
            </w:r>
          </w:p>
        </w:tc>
        <w:tc>
          <w:tcPr>
            <w:tcW w:w="1069" w:type="pct"/>
            <w:tcBorders>
              <w:top w:val="nil"/>
              <w:left w:val="nil"/>
              <w:bottom w:val="single" w:sz="8" w:space="0" w:color="60497A"/>
              <w:right w:val="single" w:sz="8" w:space="0" w:color="60497A"/>
            </w:tcBorders>
            <w:shd w:val="clear" w:color="auto" w:fill="auto"/>
            <w:vAlign w:val="center"/>
            <w:hideMark/>
          </w:tcPr>
          <w:p w14:paraId="50DEFFC6"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8.616</w:t>
            </w:r>
          </w:p>
        </w:tc>
        <w:tc>
          <w:tcPr>
            <w:tcW w:w="683" w:type="pct"/>
            <w:tcBorders>
              <w:top w:val="nil"/>
              <w:left w:val="nil"/>
              <w:bottom w:val="single" w:sz="8" w:space="0" w:color="60497A"/>
              <w:right w:val="single" w:sz="8" w:space="0" w:color="auto"/>
            </w:tcBorders>
            <w:shd w:val="clear" w:color="auto" w:fill="auto"/>
            <w:vAlign w:val="center"/>
            <w:hideMark/>
          </w:tcPr>
          <w:p w14:paraId="16073968"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0</w:t>
            </w:r>
          </w:p>
        </w:tc>
      </w:tr>
      <w:tr w:rsidR="00CA3D04" w:rsidRPr="00DB281B" w14:paraId="09FDB5C7"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4F97D447" w14:textId="77777777" w:rsidR="00CA3D04" w:rsidRPr="00DB281B" w:rsidRDefault="00CA3D04" w:rsidP="00DB281B">
            <w:pPr>
              <w:jc w:val="both"/>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 Superávit fiscal </w:t>
            </w:r>
          </w:p>
        </w:tc>
        <w:tc>
          <w:tcPr>
            <w:tcW w:w="683" w:type="pct"/>
            <w:tcBorders>
              <w:top w:val="nil"/>
              <w:left w:val="single" w:sz="8" w:space="0" w:color="60497A"/>
              <w:bottom w:val="single" w:sz="8" w:space="0" w:color="60497A"/>
              <w:right w:val="single" w:sz="8" w:space="0" w:color="60497A"/>
            </w:tcBorders>
            <w:shd w:val="clear" w:color="auto" w:fill="auto"/>
            <w:vAlign w:val="center"/>
            <w:hideMark/>
          </w:tcPr>
          <w:p w14:paraId="0EB77C77"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5.434</w:t>
            </w:r>
          </w:p>
        </w:tc>
        <w:tc>
          <w:tcPr>
            <w:tcW w:w="1069" w:type="pct"/>
            <w:tcBorders>
              <w:top w:val="nil"/>
              <w:left w:val="nil"/>
              <w:bottom w:val="single" w:sz="8" w:space="0" w:color="60497A"/>
              <w:right w:val="single" w:sz="8" w:space="0" w:color="60497A"/>
            </w:tcBorders>
            <w:shd w:val="clear" w:color="auto" w:fill="auto"/>
            <w:vAlign w:val="center"/>
            <w:hideMark/>
          </w:tcPr>
          <w:p w14:paraId="302E9E73"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8.616</w:t>
            </w:r>
          </w:p>
        </w:tc>
        <w:tc>
          <w:tcPr>
            <w:tcW w:w="683" w:type="pct"/>
            <w:tcBorders>
              <w:top w:val="nil"/>
              <w:left w:val="nil"/>
              <w:bottom w:val="single" w:sz="8" w:space="0" w:color="60497A"/>
              <w:right w:val="single" w:sz="8" w:space="0" w:color="auto"/>
            </w:tcBorders>
            <w:shd w:val="clear" w:color="auto" w:fill="auto"/>
            <w:vAlign w:val="center"/>
            <w:hideMark/>
          </w:tcPr>
          <w:p w14:paraId="0781649E"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0</w:t>
            </w:r>
          </w:p>
        </w:tc>
      </w:tr>
      <w:tr w:rsidR="00CA3D04" w:rsidRPr="00DB281B" w14:paraId="231C0B55" w14:textId="77777777" w:rsidTr="00CA3D04">
        <w:trPr>
          <w:trHeight w:val="20"/>
        </w:trPr>
        <w:tc>
          <w:tcPr>
            <w:tcW w:w="2564" w:type="pct"/>
            <w:tcBorders>
              <w:top w:val="nil"/>
              <w:left w:val="single" w:sz="8" w:space="0" w:color="auto"/>
              <w:bottom w:val="single" w:sz="8" w:space="0" w:color="666699"/>
              <w:right w:val="nil"/>
            </w:tcBorders>
            <w:shd w:val="clear" w:color="auto" w:fill="auto"/>
            <w:vAlign w:val="center"/>
            <w:hideMark/>
          </w:tcPr>
          <w:p w14:paraId="6533457E" w14:textId="77777777" w:rsidR="00CA3D04" w:rsidRPr="00DB281B" w:rsidRDefault="00CA3D04" w:rsidP="00DB281B">
            <w:pPr>
              <w:jc w:val="both"/>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Cancelación de reserva</w:t>
            </w:r>
          </w:p>
        </w:tc>
        <w:tc>
          <w:tcPr>
            <w:tcW w:w="683" w:type="pct"/>
            <w:tcBorders>
              <w:top w:val="nil"/>
              <w:left w:val="single" w:sz="8" w:space="0" w:color="60497A"/>
              <w:bottom w:val="single" w:sz="8" w:space="0" w:color="60497A"/>
              <w:right w:val="nil"/>
            </w:tcBorders>
            <w:shd w:val="clear" w:color="auto" w:fill="auto"/>
            <w:vAlign w:val="center"/>
            <w:hideMark/>
          </w:tcPr>
          <w:p w14:paraId="7AFDE76F"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0</w:t>
            </w:r>
          </w:p>
        </w:tc>
        <w:tc>
          <w:tcPr>
            <w:tcW w:w="1069" w:type="pct"/>
            <w:tcBorders>
              <w:top w:val="nil"/>
              <w:left w:val="single" w:sz="8" w:space="0" w:color="60497A"/>
              <w:bottom w:val="single" w:sz="8" w:space="0" w:color="60497A"/>
              <w:right w:val="nil"/>
            </w:tcBorders>
            <w:shd w:val="clear" w:color="auto" w:fill="auto"/>
            <w:vAlign w:val="center"/>
            <w:hideMark/>
          </w:tcPr>
          <w:p w14:paraId="79A48668"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0</w:t>
            </w:r>
          </w:p>
        </w:tc>
        <w:tc>
          <w:tcPr>
            <w:tcW w:w="683" w:type="pct"/>
            <w:tcBorders>
              <w:top w:val="nil"/>
              <w:left w:val="single" w:sz="8" w:space="0" w:color="60497A"/>
              <w:bottom w:val="single" w:sz="8" w:space="0" w:color="60497A"/>
              <w:right w:val="single" w:sz="8" w:space="0" w:color="auto"/>
            </w:tcBorders>
            <w:shd w:val="clear" w:color="auto" w:fill="auto"/>
            <w:vAlign w:val="center"/>
            <w:hideMark/>
          </w:tcPr>
          <w:p w14:paraId="37C53200" w14:textId="77777777" w:rsidR="00CA3D04" w:rsidRPr="00DB281B" w:rsidRDefault="00CA3D04" w:rsidP="00DB281B">
            <w:pPr>
              <w:jc w:val="right"/>
              <w:rPr>
                <w:rFonts w:ascii="Arial" w:eastAsia="Times New Roman" w:hAnsi="Arial" w:cs="Arial"/>
                <w:color w:val="000000"/>
                <w:sz w:val="18"/>
                <w:szCs w:val="18"/>
                <w:lang w:val="es-CO" w:eastAsia="es-CO"/>
              </w:rPr>
            </w:pPr>
            <w:r w:rsidRPr="00DB281B">
              <w:rPr>
                <w:rFonts w:ascii="Arial" w:eastAsia="Times New Roman" w:hAnsi="Arial" w:cs="Arial"/>
                <w:color w:val="000000"/>
                <w:sz w:val="18"/>
                <w:szCs w:val="18"/>
                <w:lang w:val="es-CO" w:eastAsia="es-CO"/>
              </w:rPr>
              <w:t>0</w:t>
            </w:r>
          </w:p>
        </w:tc>
      </w:tr>
      <w:tr w:rsidR="00CA3D04" w:rsidRPr="00DB281B" w14:paraId="6C3189C4" w14:textId="77777777" w:rsidTr="00CA3D04">
        <w:trPr>
          <w:trHeight w:val="20"/>
        </w:trPr>
        <w:tc>
          <w:tcPr>
            <w:tcW w:w="2564" w:type="pct"/>
            <w:tcBorders>
              <w:top w:val="nil"/>
              <w:left w:val="single" w:sz="8" w:space="0" w:color="auto"/>
              <w:bottom w:val="single" w:sz="8" w:space="0" w:color="60497A"/>
              <w:right w:val="single" w:sz="8" w:space="0" w:color="000000"/>
            </w:tcBorders>
            <w:shd w:val="clear" w:color="auto" w:fill="auto"/>
            <w:vAlign w:val="center"/>
            <w:hideMark/>
          </w:tcPr>
          <w:p w14:paraId="05EB93D9" w14:textId="77777777" w:rsidR="00CA3D04" w:rsidRPr="00DB281B" w:rsidRDefault="00CA3D04" w:rsidP="00DB281B">
            <w:pP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Reintegros</w:t>
            </w:r>
          </w:p>
        </w:tc>
        <w:tc>
          <w:tcPr>
            <w:tcW w:w="683" w:type="pct"/>
            <w:tcBorders>
              <w:top w:val="nil"/>
              <w:left w:val="nil"/>
              <w:bottom w:val="single" w:sz="8" w:space="0" w:color="60497A"/>
              <w:right w:val="single" w:sz="8" w:space="0" w:color="000000"/>
            </w:tcBorders>
            <w:shd w:val="clear" w:color="auto" w:fill="auto"/>
            <w:vAlign w:val="center"/>
            <w:hideMark/>
          </w:tcPr>
          <w:p w14:paraId="3993A8C0"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0</w:t>
            </w:r>
          </w:p>
        </w:tc>
        <w:tc>
          <w:tcPr>
            <w:tcW w:w="1069" w:type="pct"/>
            <w:tcBorders>
              <w:top w:val="nil"/>
              <w:left w:val="nil"/>
              <w:bottom w:val="single" w:sz="8" w:space="0" w:color="60497A"/>
              <w:right w:val="single" w:sz="8" w:space="0" w:color="000000"/>
            </w:tcBorders>
            <w:shd w:val="clear" w:color="auto" w:fill="auto"/>
            <w:vAlign w:val="center"/>
            <w:hideMark/>
          </w:tcPr>
          <w:p w14:paraId="70BD9B13"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0</w:t>
            </w:r>
          </w:p>
        </w:tc>
        <w:tc>
          <w:tcPr>
            <w:tcW w:w="683" w:type="pct"/>
            <w:tcBorders>
              <w:top w:val="nil"/>
              <w:left w:val="nil"/>
              <w:bottom w:val="single" w:sz="8" w:space="0" w:color="60497A"/>
              <w:right w:val="single" w:sz="8" w:space="0" w:color="auto"/>
            </w:tcBorders>
            <w:shd w:val="clear" w:color="auto" w:fill="auto"/>
            <w:vAlign w:val="center"/>
            <w:hideMark/>
          </w:tcPr>
          <w:p w14:paraId="34F31320" w14:textId="77777777" w:rsidR="00CA3D04" w:rsidRPr="00DB281B" w:rsidRDefault="00CA3D04" w:rsidP="00DB281B">
            <w:pPr>
              <w:jc w:val="right"/>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0</w:t>
            </w:r>
          </w:p>
        </w:tc>
      </w:tr>
      <w:tr w:rsidR="00CA3D04" w:rsidRPr="00DB281B" w14:paraId="72815AAF" w14:textId="77777777" w:rsidTr="00CA3D04">
        <w:trPr>
          <w:trHeight w:val="20"/>
        </w:trPr>
        <w:tc>
          <w:tcPr>
            <w:tcW w:w="2564" w:type="pct"/>
            <w:tcBorders>
              <w:top w:val="nil"/>
              <w:left w:val="single" w:sz="8" w:space="0" w:color="auto"/>
              <w:bottom w:val="single" w:sz="8" w:space="0" w:color="auto"/>
              <w:right w:val="single" w:sz="8" w:space="0" w:color="000000"/>
            </w:tcBorders>
            <w:shd w:val="clear" w:color="000000" w:fill="244061"/>
            <w:vAlign w:val="center"/>
            <w:hideMark/>
          </w:tcPr>
          <w:p w14:paraId="437F078F" w14:textId="77777777" w:rsidR="00CA3D04" w:rsidRPr="00DB281B" w:rsidRDefault="00CA3D04" w:rsidP="00DB281B">
            <w:pPr>
              <w:jc w:val="both"/>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INGRESOS TOTALES</w:t>
            </w:r>
            <w:r w:rsidRPr="00DB281B">
              <w:rPr>
                <w:rFonts w:ascii="Arial" w:eastAsia="Times New Roman" w:hAnsi="Arial" w:cs="Arial"/>
                <w:color w:val="FFFFFF"/>
                <w:sz w:val="18"/>
                <w:szCs w:val="18"/>
                <w:lang w:val="es-CO" w:eastAsia="es-CO"/>
              </w:rPr>
              <w:t> </w:t>
            </w:r>
          </w:p>
        </w:tc>
        <w:tc>
          <w:tcPr>
            <w:tcW w:w="683" w:type="pct"/>
            <w:tcBorders>
              <w:top w:val="nil"/>
              <w:left w:val="nil"/>
              <w:bottom w:val="single" w:sz="8" w:space="0" w:color="auto"/>
              <w:right w:val="single" w:sz="8" w:space="0" w:color="000000"/>
            </w:tcBorders>
            <w:shd w:val="clear" w:color="000000" w:fill="244061"/>
            <w:vAlign w:val="center"/>
            <w:hideMark/>
          </w:tcPr>
          <w:p w14:paraId="7B51CD64" w14:textId="77777777" w:rsidR="00CA3D04" w:rsidRPr="00DB281B" w:rsidRDefault="00CA3D04" w:rsidP="00DB281B">
            <w:pPr>
              <w:jc w:val="right"/>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750.091</w:t>
            </w:r>
          </w:p>
        </w:tc>
        <w:tc>
          <w:tcPr>
            <w:tcW w:w="1069" w:type="pct"/>
            <w:tcBorders>
              <w:top w:val="nil"/>
              <w:left w:val="nil"/>
              <w:bottom w:val="single" w:sz="8" w:space="0" w:color="auto"/>
              <w:right w:val="single" w:sz="8" w:space="0" w:color="000000"/>
            </w:tcBorders>
            <w:shd w:val="clear" w:color="000000" w:fill="244061"/>
            <w:vAlign w:val="center"/>
            <w:hideMark/>
          </w:tcPr>
          <w:p w14:paraId="0C416A5F" w14:textId="77777777" w:rsidR="00CA3D04" w:rsidRPr="00DB281B" w:rsidRDefault="00CA3D04" w:rsidP="00DB281B">
            <w:pPr>
              <w:jc w:val="right"/>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799.805</w:t>
            </w:r>
          </w:p>
        </w:tc>
        <w:tc>
          <w:tcPr>
            <w:tcW w:w="683" w:type="pct"/>
            <w:tcBorders>
              <w:top w:val="nil"/>
              <w:left w:val="nil"/>
              <w:bottom w:val="single" w:sz="8" w:space="0" w:color="auto"/>
              <w:right w:val="single" w:sz="8" w:space="0" w:color="auto"/>
            </w:tcBorders>
            <w:shd w:val="clear" w:color="000000" w:fill="244061"/>
            <w:vAlign w:val="center"/>
            <w:hideMark/>
          </w:tcPr>
          <w:p w14:paraId="449A677F" w14:textId="77777777" w:rsidR="00CA3D04" w:rsidRPr="00DB281B" w:rsidRDefault="00CA3D04" w:rsidP="00DB281B">
            <w:pPr>
              <w:jc w:val="right"/>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188.942</w:t>
            </w:r>
          </w:p>
        </w:tc>
      </w:tr>
    </w:tbl>
    <w:p w14:paraId="609ECFFA" w14:textId="1BD28627" w:rsidR="0041698C" w:rsidRPr="00DB281B" w:rsidRDefault="0041698C" w:rsidP="00DB281B">
      <w:pPr>
        <w:autoSpaceDE w:val="0"/>
        <w:autoSpaceDN w:val="0"/>
        <w:adjustRightInd w:val="0"/>
        <w:jc w:val="center"/>
        <w:rPr>
          <w:rStyle w:val="nfasissutil"/>
          <w:szCs w:val="16"/>
        </w:rPr>
      </w:pPr>
      <w:r w:rsidRPr="00DB281B">
        <w:rPr>
          <w:rStyle w:val="nfasissutil"/>
          <w:szCs w:val="16"/>
        </w:rPr>
        <w:t>Fuente: Ejecución presupuestal suministrada por la entidad territorial a corte de 31 de diciembre de 201</w:t>
      </w:r>
      <w:r w:rsidR="00C55A12" w:rsidRPr="00DB281B">
        <w:rPr>
          <w:rStyle w:val="nfasissutil"/>
          <w:szCs w:val="16"/>
        </w:rPr>
        <w:t>9</w:t>
      </w:r>
      <w:r w:rsidRPr="00DB281B">
        <w:rPr>
          <w:rStyle w:val="nfasissutil"/>
          <w:szCs w:val="16"/>
        </w:rPr>
        <w:t>, 20</w:t>
      </w:r>
      <w:r w:rsidR="00C55A12" w:rsidRPr="00DB281B">
        <w:rPr>
          <w:rStyle w:val="nfasissutil"/>
          <w:szCs w:val="16"/>
        </w:rPr>
        <w:t>20</w:t>
      </w:r>
      <w:r w:rsidRPr="00DB281B">
        <w:rPr>
          <w:rStyle w:val="nfasissutil"/>
          <w:szCs w:val="16"/>
        </w:rPr>
        <w:t xml:space="preserve"> y marzo del 202</w:t>
      </w:r>
      <w:r w:rsidR="00C55A12" w:rsidRPr="00DB281B">
        <w:rPr>
          <w:rStyle w:val="nfasissutil"/>
          <w:szCs w:val="16"/>
        </w:rPr>
        <w:t>1</w:t>
      </w:r>
      <w:r w:rsidRPr="00DB281B">
        <w:rPr>
          <w:rStyle w:val="nfasissutil"/>
          <w:szCs w:val="16"/>
        </w:rPr>
        <w:t>. El total de la asignación y giros documentados corresponden a los valores reportados en los Documentos de Distribución: DD-SGP-</w:t>
      </w:r>
      <w:r w:rsidR="00DF33E7" w:rsidRPr="00DB281B">
        <w:rPr>
          <w:rStyle w:val="nfasissutil"/>
          <w:szCs w:val="16"/>
        </w:rPr>
        <w:t>36</w:t>
      </w:r>
      <w:r w:rsidRPr="00DB281B">
        <w:rPr>
          <w:rStyle w:val="nfasissutil"/>
          <w:szCs w:val="16"/>
        </w:rPr>
        <w:t>-201</w:t>
      </w:r>
      <w:r w:rsidR="00DF33E7" w:rsidRPr="00DB281B">
        <w:rPr>
          <w:rStyle w:val="nfasissutil"/>
          <w:szCs w:val="16"/>
        </w:rPr>
        <w:t>9</w:t>
      </w:r>
      <w:r w:rsidRPr="00DB281B">
        <w:rPr>
          <w:rStyle w:val="nfasissutil"/>
          <w:szCs w:val="16"/>
        </w:rPr>
        <w:t>, DD-SGP-3</w:t>
      </w:r>
      <w:r w:rsidR="00DF33E7" w:rsidRPr="00DB281B">
        <w:rPr>
          <w:rStyle w:val="nfasissutil"/>
          <w:szCs w:val="16"/>
        </w:rPr>
        <w:t>8</w:t>
      </w:r>
      <w:r w:rsidRPr="00DB281B">
        <w:rPr>
          <w:rStyle w:val="nfasissutil"/>
          <w:szCs w:val="16"/>
        </w:rPr>
        <w:t>-201</w:t>
      </w:r>
      <w:r w:rsidR="00DF33E7" w:rsidRPr="00DB281B">
        <w:rPr>
          <w:rStyle w:val="nfasissutil"/>
          <w:szCs w:val="16"/>
        </w:rPr>
        <w:t>9</w:t>
      </w:r>
      <w:r w:rsidRPr="00DB281B">
        <w:rPr>
          <w:rStyle w:val="nfasissutil"/>
          <w:szCs w:val="16"/>
        </w:rPr>
        <w:t>, DD-SGP-</w:t>
      </w:r>
      <w:r w:rsidR="0003360E" w:rsidRPr="00DB281B">
        <w:rPr>
          <w:rStyle w:val="nfasissutil"/>
          <w:szCs w:val="16"/>
        </w:rPr>
        <w:t>4</w:t>
      </w:r>
      <w:r w:rsidRPr="00DB281B">
        <w:rPr>
          <w:rStyle w:val="nfasissutil"/>
          <w:szCs w:val="16"/>
        </w:rPr>
        <w:t>6-20</w:t>
      </w:r>
      <w:r w:rsidR="0003360E" w:rsidRPr="00DB281B">
        <w:rPr>
          <w:rStyle w:val="nfasissutil"/>
          <w:szCs w:val="16"/>
        </w:rPr>
        <w:t>20</w:t>
      </w:r>
      <w:r w:rsidRPr="00DB281B">
        <w:rPr>
          <w:rStyle w:val="nfasissutil"/>
          <w:szCs w:val="16"/>
        </w:rPr>
        <w:t>, DD-SGP-</w:t>
      </w:r>
      <w:r w:rsidR="0003360E" w:rsidRPr="00DB281B">
        <w:rPr>
          <w:rStyle w:val="nfasissutil"/>
          <w:szCs w:val="16"/>
        </w:rPr>
        <w:t>50</w:t>
      </w:r>
      <w:r w:rsidRPr="00DB281B">
        <w:rPr>
          <w:rStyle w:val="nfasissutil"/>
          <w:szCs w:val="16"/>
        </w:rPr>
        <w:t>-20</w:t>
      </w:r>
      <w:r w:rsidR="0003360E" w:rsidRPr="00DB281B">
        <w:rPr>
          <w:rStyle w:val="nfasissutil"/>
          <w:szCs w:val="16"/>
        </w:rPr>
        <w:t>20</w:t>
      </w:r>
      <w:r w:rsidRPr="00DB281B">
        <w:rPr>
          <w:rStyle w:val="nfasissutil"/>
          <w:szCs w:val="16"/>
        </w:rPr>
        <w:t xml:space="preserve"> y DD-SGP-</w:t>
      </w:r>
      <w:r w:rsidR="0003360E" w:rsidRPr="00DB281B">
        <w:rPr>
          <w:rStyle w:val="nfasissutil"/>
          <w:szCs w:val="16"/>
        </w:rPr>
        <w:t>53</w:t>
      </w:r>
      <w:r w:rsidRPr="00DB281B">
        <w:rPr>
          <w:rStyle w:val="nfasissutil"/>
          <w:szCs w:val="16"/>
        </w:rPr>
        <w:t>-202</w:t>
      </w:r>
      <w:r w:rsidR="0003360E" w:rsidRPr="00DB281B">
        <w:rPr>
          <w:rStyle w:val="nfasissutil"/>
          <w:szCs w:val="16"/>
        </w:rPr>
        <w:t>1</w:t>
      </w:r>
      <w:r w:rsidRPr="00DB281B">
        <w:rPr>
          <w:rStyle w:val="nfasissutil"/>
          <w:szCs w:val="16"/>
        </w:rPr>
        <w:t>.</w:t>
      </w:r>
    </w:p>
    <w:p w14:paraId="479DA574" w14:textId="77777777" w:rsidR="0041698C" w:rsidRPr="00DB281B" w:rsidRDefault="0041698C" w:rsidP="00DB281B">
      <w:pPr>
        <w:autoSpaceDE w:val="0"/>
        <w:autoSpaceDN w:val="0"/>
        <w:adjustRightInd w:val="0"/>
        <w:jc w:val="both"/>
        <w:rPr>
          <w:rStyle w:val="nfasissutil"/>
          <w:sz w:val="22"/>
          <w:szCs w:val="22"/>
        </w:rPr>
      </w:pPr>
    </w:p>
    <w:p w14:paraId="05E121BF" w14:textId="1EAF15DC" w:rsidR="0041698C" w:rsidRPr="00DB281B" w:rsidRDefault="0041698C" w:rsidP="00DB281B">
      <w:pPr>
        <w:pStyle w:val="Prrafodelista"/>
        <w:numPr>
          <w:ilvl w:val="0"/>
          <w:numId w:val="2"/>
        </w:numPr>
        <w:autoSpaceDE w:val="0"/>
        <w:autoSpaceDN w:val="0"/>
        <w:adjustRightInd w:val="0"/>
        <w:ind w:left="426" w:hanging="437"/>
        <w:jc w:val="both"/>
        <w:rPr>
          <w:rStyle w:val="nfasissutil"/>
          <w:sz w:val="22"/>
          <w:szCs w:val="22"/>
        </w:rPr>
      </w:pPr>
      <w:bookmarkStart w:id="6" w:name="_Hlk75947098"/>
      <w:r w:rsidRPr="00DB281B">
        <w:rPr>
          <w:rStyle w:val="nfasissutil"/>
          <w:sz w:val="22"/>
          <w:szCs w:val="22"/>
        </w:rPr>
        <w:t xml:space="preserve">La diferencia </w:t>
      </w:r>
      <w:r w:rsidR="001F0ED4" w:rsidRPr="00DB281B">
        <w:rPr>
          <w:rStyle w:val="nfasissutil"/>
          <w:sz w:val="22"/>
          <w:szCs w:val="22"/>
        </w:rPr>
        <w:t>por $2.252 millones</w:t>
      </w:r>
      <w:r w:rsidR="001F0ED4">
        <w:rPr>
          <w:rStyle w:val="nfasissutil"/>
          <w:sz w:val="22"/>
          <w:szCs w:val="22"/>
        </w:rPr>
        <w:t>,</w:t>
      </w:r>
      <w:r w:rsidR="001F0ED4" w:rsidRPr="00DB281B">
        <w:rPr>
          <w:rStyle w:val="nfasissutil"/>
          <w:sz w:val="22"/>
          <w:szCs w:val="22"/>
        </w:rPr>
        <w:t xml:space="preserve"> </w:t>
      </w:r>
      <w:r w:rsidRPr="00DB281B">
        <w:rPr>
          <w:rStyle w:val="nfasissutil"/>
          <w:sz w:val="22"/>
          <w:szCs w:val="22"/>
        </w:rPr>
        <w:t>entre los recursos</w:t>
      </w:r>
      <w:r w:rsidR="00997184" w:rsidRPr="00DB281B">
        <w:rPr>
          <w:rStyle w:val="nfasissutil"/>
          <w:sz w:val="22"/>
          <w:szCs w:val="22"/>
        </w:rPr>
        <w:t xml:space="preserve"> </w:t>
      </w:r>
      <w:r w:rsidR="001F0ED4" w:rsidRPr="00DB281B">
        <w:rPr>
          <w:rStyle w:val="nfasissutil"/>
          <w:sz w:val="22"/>
          <w:szCs w:val="22"/>
        </w:rPr>
        <w:t xml:space="preserve">asignados y girados </w:t>
      </w:r>
      <w:r w:rsidR="009064FD" w:rsidRPr="00DB281B">
        <w:rPr>
          <w:rStyle w:val="nfasissutil"/>
          <w:sz w:val="22"/>
          <w:szCs w:val="22"/>
        </w:rPr>
        <w:t xml:space="preserve">con respecto a los incorporados </w:t>
      </w:r>
      <w:r w:rsidR="0076073F" w:rsidRPr="00DB281B">
        <w:rPr>
          <w:rStyle w:val="nfasissutil"/>
          <w:sz w:val="22"/>
          <w:szCs w:val="22"/>
        </w:rPr>
        <w:t>como ingresos por el Departamento</w:t>
      </w:r>
      <w:r w:rsidRPr="00DB281B">
        <w:rPr>
          <w:rStyle w:val="nfasissutil"/>
          <w:sz w:val="22"/>
          <w:szCs w:val="22"/>
        </w:rPr>
        <w:t>, responde</w:t>
      </w:r>
      <w:r w:rsidR="00D32EDB" w:rsidRPr="00DB281B">
        <w:rPr>
          <w:rStyle w:val="nfasissutil"/>
          <w:sz w:val="22"/>
          <w:szCs w:val="22"/>
        </w:rPr>
        <w:t xml:space="preserve"> </w:t>
      </w:r>
      <w:r w:rsidR="00D17017" w:rsidRPr="00DB281B">
        <w:rPr>
          <w:rStyle w:val="nfasissutil"/>
          <w:sz w:val="22"/>
          <w:szCs w:val="22"/>
        </w:rPr>
        <w:t xml:space="preserve">a la falta de </w:t>
      </w:r>
      <w:r w:rsidR="001F0ED4">
        <w:rPr>
          <w:rStyle w:val="nfasissutil"/>
          <w:sz w:val="22"/>
          <w:szCs w:val="22"/>
        </w:rPr>
        <w:t xml:space="preserve">recaudo </w:t>
      </w:r>
      <w:r w:rsidR="00D17017" w:rsidRPr="00DB281B">
        <w:rPr>
          <w:rStyle w:val="nfasissutil"/>
          <w:sz w:val="22"/>
          <w:szCs w:val="22"/>
        </w:rPr>
        <w:t xml:space="preserve">de los recursos </w:t>
      </w:r>
      <w:r w:rsidR="001F0ED4">
        <w:rPr>
          <w:rStyle w:val="nfasissutil"/>
          <w:sz w:val="22"/>
          <w:szCs w:val="22"/>
        </w:rPr>
        <w:t>de Ca</w:t>
      </w:r>
      <w:r w:rsidR="00662B60" w:rsidRPr="00DB281B">
        <w:rPr>
          <w:rStyle w:val="nfasissutil"/>
          <w:sz w:val="22"/>
          <w:szCs w:val="22"/>
        </w:rPr>
        <w:t>lidad matrícula para alimentación escolar de e</w:t>
      </w:r>
      <w:r w:rsidR="00A83922" w:rsidRPr="00DB281B">
        <w:rPr>
          <w:rStyle w:val="nfasissutil"/>
          <w:sz w:val="22"/>
          <w:szCs w:val="22"/>
        </w:rPr>
        <w:t>mergencia de acuerdo con el Decreto 470 de 2020.</w:t>
      </w:r>
    </w:p>
    <w:bookmarkEnd w:id="6"/>
    <w:p w14:paraId="28D83E42" w14:textId="77777777" w:rsidR="0041698C" w:rsidRPr="00DB281B" w:rsidRDefault="0041698C" w:rsidP="00DB281B">
      <w:pPr>
        <w:pStyle w:val="Sinespaciado"/>
        <w:jc w:val="both"/>
        <w:rPr>
          <w:rFonts w:ascii="Arial" w:hAnsi="Arial" w:cs="Arial"/>
          <w:b/>
          <w:u w:val="single"/>
          <w:lang w:val="es-ES"/>
        </w:rPr>
      </w:pPr>
    </w:p>
    <w:p w14:paraId="0AD9215A" w14:textId="77777777" w:rsidR="0041698C" w:rsidRPr="00DB281B" w:rsidRDefault="0041698C" w:rsidP="00DB281B">
      <w:pPr>
        <w:pStyle w:val="Sinespaciado"/>
        <w:jc w:val="both"/>
        <w:rPr>
          <w:rFonts w:ascii="Arial" w:hAnsi="Arial" w:cs="Arial"/>
          <w:b/>
          <w:iCs/>
          <w:u w:val="single"/>
        </w:rPr>
      </w:pPr>
      <w:r w:rsidRPr="00DB281B">
        <w:rPr>
          <w:rFonts w:ascii="Arial" w:hAnsi="Arial" w:cs="Arial"/>
          <w:b/>
          <w:iCs/>
          <w:u w:val="single"/>
        </w:rPr>
        <w:t>Gastos</w:t>
      </w:r>
    </w:p>
    <w:p w14:paraId="46E13616" w14:textId="77777777" w:rsidR="0041698C" w:rsidRPr="00DB281B" w:rsidRDefault="0041698C" w:rsidP="00DB281B">
      <w:pPr>
        <w:pStyle w:val="Sinespaciado"/>
        <w:jc w:val="both"/>
        <w:rPr>
          <w:rFonts w:ascii="Arial" w:hAnsi="Arial" w:cs="Arial"/>
          <w:b/>
          <w:i/>
          <w:u w:val="single"/>
        </w:rPr>
      </w:pPr>
    </w:p>
    <w:p w14:paraId="340D26F5" w14:textId="76E79E3E" w:rsidR="007119C9" w:rsidRPr="00DB281B" w:rsidRDefault="0041698C" w:rsidP="00DB281B">
      <w:pPr>
        <w:jc w:val="both"/>
        <w:rPr>
          <w:rFonts w:ascii="Arial" w:hAnsi="Arial" w:cs="Arial"/>
          <w:bCs/>
          <w:sz w:val="22"/>
          <w:szCs w:val="22"/>
          <w:lang w:val="es-ES_tradnl"/>
        </w:rPr>
      </w:pPr>
      <w:r w:rsidRPr="00DB281B">
        <w:rPr>
          <w:rFonts w:ascii="Arial" w:hAnsi="Arial" w:cs="Arial"/>
          <w:bCs/>
          <w:sz w:val="22"/>
          <w:szCs w:val="22"/>
          <w:lang w:val="es-ES_tradnl"/>
        </w:rPr>
        <w:t xml:space="preserve">Para la vigencia </w:t>
      </w:r>
      <w:r w:rsidR="0059571F" w:rsidRPr="00DB281B">
        <w:rPr>
          <w:rFonts w:ascii="Arial" w:hAnsi="Arial" w:cs="Arial"/>
          <w:bCs/>
          <w:sz w:val="22"/>
          <w:szCs w:val="22"/>
          <w:lang w:val="es-ES_tradnl"/>
        </w:rPr>
        <w:t>2020</w:t>
      </w:r>
      <w:r w:rsidRPr="00DB281B">
        <w:rPr>
          <w:rFonts w:ascii="Arial" w:hAnsi="Arial" w:cs="Arial"/>
          <w:bCs/>
          <w:sz w:val="22"/>
          <w:szCs w:val="22"/>
          <w:lang w:val="es-ES_tradnl"/>
        </w:rPr>
        <w:t xml:space="preserve">, el </w:t>
      </w:r>
      <w:r w:rsidR="00622144" w:rsidRPr="00DB281B">
        <w:rPr>
          <w:rFonts w:ascii="Arial" w:hAnsi="Arial" w:cs="Arial"/>
          <w:bCs/>
          <w:sz w:val="22"/>
          <w:szCs w:val="22"/>
          <w:lang w:val="es-ES_tradnl"/>
        </w:rPr>
        <w:t>Departamento de Cundinamarca</w:t>
      </w:r>
      <w:r w:rsidRPr="00DB281B">
        <w:rPr>
          <w:rFonts w:ascii="Arial" w:hAnsi="Arial" w:cs="Arial"/>
          <w:bCs/>
          <w:sz w:val="22"/>
          <w:szCs w:val="22"/>
          <w:lang w:val="es-ES_tradnl"/>
        </w:rPr>
        <w:t xml:space="preserve"> comprometió $</w:t>
      </w:r>
      <w:r w:rsidR="00C1066A" w:rsidRPr="00DB281B">
        <w:rPr>
          <w:rFonts w:ascii="Arial" w:hAnsi="Arial" w:cs="Arial"/>
          <w:bCs/>
          <w:sz w:val="22"/>
          <w:szCs w:val="22"/>
          <w:lang w:val="es-ES_tradnl"/>
        </w:rPr>
        <w:t>793.543</w:t>
      </w:r>
      <w:r w:rsidRPr="00DB281B">
        <w:rPr>
          <w:rFonts w:ascii="Arial" w:hAnsi="Arial" w:cs="Arial"/>
          <w:sz w:val="22"/>
          <w:szCs w:val="22"/>
          <w:lang w:val="es-ES_tradnl"/>
        </w:rPr>
        <w:t xml:space="preserve"> </w:t>
      </w:r>
      <w:r w:rsidRPr="00DB281B">
        <w:rPr>
          <w:rFonts w:ascii="Arial" w:hAnsi="Arial" w:cs="Arial"/>
          <w:bCs/>
          <w:sz w:val="22"/>
          <w:szCs w:val="22"/>
          <w:lang w:val="es-ES_tradnl"/>
        </w:rPr>
        <w:t>millones con cargo a los recursos del SGP asignados al sector, de los cuales se obligaron $</w:t>
      </w:r>
      <w:r w:rsidR="00C1066A" w:rsidRPr="00DB281B">
        <w:rPr>
          <w:rFonts w:ascii="Arial" w:hAnsi="Arial" w:cs="Arial"/>
          <w:bCs/>
          <w:sz w:val="22"/>
          <w:szCs w:val="22"/>
          <w:lang w:val="es-ES_tradnl"/>
        </w:rPr>
        <w:t>793.351</w:t>
      </w:r>
      <w:r w:rsidRPr="00DB281B">
        <w:rPr>
          <w:rFonts w:ascii="Arial" w:hAnsi="Arial" w:cs="Arial"/>
          <w:sz w:val="22"/>
          <w:szCs w:val="22"/>
          <w:lang w:val="es-ES_tradnl"/>
        </w:rPr>
        <w:t xml:space="preserve"> </w:t>
      </w:r>
      <w:r w:rsidRPr="00DB281B">
        <w:rPr>
          <w:rFonts w:ascii="Arial" w:hAnsi="Arial" w:cs="Arial"/>
          <w:bCs/>
          <w:sz w:val="22"/>
          <w:szCs w:val="22"/>
          <w:lang w:val="es-ES_tradnl"/>
        </w:rPr>
        <w:lastRenderedPageBreak/>
        <w:t>millones y se pagaron $</w:t>
      </w:r>
      <w:r w:rsidR="00C1066A" w:rsidRPr="00DB281B">
        <w:rPr>
          <w:rFonts w:ascii="Arial" w:hAnsi="Arial" w:cs="Arial"/>
          <w:bCs/>
          <w:sz w:val="22"/>
          <w:szCs w:val="22"/>
          <w:lang w:val="es-ES_tradnl"/>
        </w:rPr>
        <w:t>972.</w:t>
      </w:r>
      <w:r w:rsidR="00C235D4" w:rsidRPr="00DB281B">
        <w:rPr>
          <w:rFonts w:ascii="Arial" w:hAnsi="Arial" w:cs="Arial"/>
          <w:bCs/>
          <w:sz w:val="22"/>
          <w:szCs w:val="22"/>
          <w:lang w:val="es-ES_tradnl"/>
        </w:rPr>
        <w:t>799</w:t>
      </w:r>
      <w:r w:rsidRPr="00DB281B">
        <w:rPr>
          <w:rFonts w:ascii="Arial" w:hAnsi="Arial" w:cs="Arial"/>
          <w:sz w:val="22"/>
          <w:szCs w:val="22"/>
          <w:lang w:val="es-ES_tradnl"/>
        </w:rPr>
        <w:t xml:space="preserve"> </w:t>
      </w:r>
      <w:r w:rsidRPr="00DB281B">
        <w:rPr>
          <w:rFonts w:ascii="Arial" w:hAnsi="Arial" w:cs="Arial"/>
          <w:bCs/>
          <w:sz w:val="22"/>
          <w:szCs w:val="22"/>
          <w:lang w:val="es-ES_tradnl"/>
        </w:rPr>
        <w:t xml:space="preserve">millones. </w:t>
      </w:r>
      <w:r w:rsidR="00506FD2" w:rsidRPr="00DB281B">
        <w:rPr>
          <w:rFonts w:ascii="Arial" w:hAnsi="Arial" w:cs="Arial"/>
          <w:bCs/>
          <w:sz w:val="22"/>
          <w:szCs w:val="22"/>
          <w:lang w:val="es-ES_tradnl"/>
        </w:rPr>
        <w:t>Los gastos financiados con recursos del SGP de la vigencia y las anteriores en promedio comprometieron</w:t>
      </w:r>
      <w:r w:rsidR="009F3ACB" w:rsidRPr="00DB281B">
        <w:rPr>
          <w:rFonts w:ascii="Arial" w:hAnsi="Arial" w:cs="Arial"/>
          <w:bCs/>
          <w:sz w:val="22"/>
          <w:szCs w:val="22"/>
          <w:lang w:val="es-ES_tradnl"/>
        </w:rPr>
        <w:t xml:space="preserve"> </w:t>
      </w:r>
      <w:r w:rsidR="00465E21" w:rsidRPr="00DB281B">
        <w:rPr>
          <w:rFonts w:ascii="Arial" w:hAnsi="Arial" w:cs="Arial"/>
          <w:bCs/>
          <w:sz w:val="22"/>
          <w:szCs w:val="22"/>
          <w:lang w:val="es-ES_tradnl"/>
        </w:rPr>
        <w:t xml:space="preserve">de la siguiente manera: </w:t>
      </w:r>
      <w:r w:rsidR="009649A8" w:rsidRPr="00DB281B">
        <w:rPr>
          <w:rFonts w:ascii="Arial" w:hAnsi="Arial" w:cs="Arial"/>
          <w:bCs/>
          <w:sz w:val="22"/>
          <w:szCs w:val="22"/>
          <w:lang w:val="es-ES_tradnl"/>
        </w:rPr>
        <w:t>99</w:t>
      </w:r>
      <w:r w:rsidR="00310DFD" w:rsidRPr="00DB281B">
        <w:rPr>
          <w:rFonts w:ascii="Arial" w:hAnsi="Arial" w:cs="Arial"/>
          <w:bCs/>
          <w:sz w:val="22"/>
          <w:szCs w:val="22"/>
          <w:lang w:val="es-ES_tradnl"/>
        </w:rPr>
        <w:t>,3</w:t>
      </w:r>
      <w:r w:rsidR="009649A8" w:rsidRPr="00DB281B">
        <w:rPr>
          <w:rFonts w:ascii="Arial" w:hAnsi="Arial" w:cs="Arial"/>
          <w:bCs/>
          <w:sz w:val="22"/>
          <w:szCs w:val="22"/>
          <w:lang w:val="es-ES_tradnl"/>
        </w:rPr>
        <w:t xml:space="preserve">% en cobertura, </w:t>
      </w:r>
      <w:r w:rsidR="00310DFD" w:rsidRPr="00DB281B">
        <w:rPr>
          <w:rFonts w:ascii="Arial" w:hAnsi="Arial" w:cs="Arial"/>
          <w:bCs/>
          <w:sz w:val="22"/>
          <w:szCs w:val="22"/>
          <w:lang w:val="es-ES_tradnl"/>
        </w:rPr>
        <w:t>0,4% en calidad y 0,</w:t>
      </w:r>
      <w:r w:rsidR="003133A5" w:rsidRPr="00DB281B">
        <w:rPr>
          <w:rFonts w:ascii="Arial" w:hAnsi="Arial" w:cs="Arial"/>
          <w:bCs/>
          <w:sz w:val="22"/>
          <w:szCs w:val="22"/>
          <w:lang w:val="es-ES_tradnl"/>
        </w:rPr>
        <w:t>3</w:t>
      </w:r>
      <w:r w:rsidR="00310DFD" w:rsidRPr="00DB281B">
        <w:rPr>
          <w:rFonts w:ascii="Arial" w:hAnsi="Arial" w:cs="Arial"/>
          <w:bCs/>
          <w:sz w:val="22"/>
          <w:szCs w:val="22"/>
          <w:lang w:val="es-ES_tradnl"/>
        </w:rPr>
        <w:t>%</w:t>
      </w:r>
      <w:r w:rsidR="003133A5" w:rsidRPr="00DB281B">
        <w:rPr>
          <w:rFonts w:ascii="Arial" w:hAnsi="Arial" w:cs="Arial"/>
          <w:bCs/>
          <w:sz w:val="22"/>
          <w:szCs w:val="22"/>
          <w:lang w:val="es-ES_tradnl"/>
        </w:rPr>
        <w:t xml:space="preserve"> en gastos de eficiencia, necesidades educativas especiales y </w:t>
      </w:r>
      <w:r w:rsidR="00534E54" w:rsidRPr="00DB281B">
        <w:rPr>
          <w:rFonts w:ascii="Arial" w:hAnsi="Arial" w:cs="Arial"/>
          <w:bCs/>
          <w:sz w:val="22"/>
          <w:szCs w:val="22"/>
          <w:lang w:val="es-ES_tradnl"/>
        </w:rPr>
        <w:t>aplicación de proyectos educativos transversales.</w:t>
      </w:r>
    </w:p>
    <w:p w14:paraId="523BE941" w14:textId="77777777" w:rsidR="00B63C6D" w:rsidRPr="00DB281B" w:rsidRDefault="00B63C6D" w:rsidP="00DB281B">
      <w:pPr>
        <w:jc w:val="both"/>
        <w:rPr>
          <w:rFonts w:ascii="Arial" w:hAnsi="Arial" w:cs="Arial"/>
          <w:bCs/>
          <w:sz w:val="22"/>
          <w:szCs w:val="22"/>
          <w:lang w:val="es-ES_tradnl"/>
        </w:rPr>
      </w:pPr>
    </w:p>
    <w:tbl>
      <w:tblPr>
        <w:tblW w:w="9060" w:type="dxa"/>
        <w:tblCellMar>
          <w:left w:w="70" w:type="dxa"/>
          <w:right w:w="70" w:type="dxa"/>
        </w:tblCellMar>
        <w:tblLook w:val="04A0" w:firstRow="1" w:lastRow="0" w:firstColumn="1" w:lastColumn="0" w:noHBand="0" w:noVBand="1"/>
      </w:tblPr>
      <w:tblGrid>
        <w:gridCol w:w="5345"/>
        <w:gridCol w:w="978"/>
        <w:gridCol w:w="859"/>
        <w:gridCol w:w="861"/>
        <w:gridCol w:w="1017"/>
      </w:tblGrid>
      <w:tr w:rsidR="007119C9" w:rsidRPr="00DB281B" w14:paraId="6B69D26A" w14:textId="77777777" w:rsidTr="007119C9">
        <w:trPr>
          <w:trHeight w:val="20"/>
          <w:tblHeader/>
        </w:trPr>
        <w:tc>
          <w:tcPr>
            <w:tcW w:w="9060" w:type="dxa"/>
            <w:gridSpan w:val="5"/>
            <w:tcBorders>
              <w:top w:val="single" w:sz="8" w:space="0" w:color="auto"/>
              <w:left w:val="single" w:sz="8" w:space="0" w:color="auto"/>
              <w:bottom w:val="single" w:sz="8" w:space="0" w:color="auto"/>
              <w:right w:val="single" w:sz="8" w:space="0" w:color="000000"/>
            </w:tcBorders>
            <w:shd w:val="clear" w:color="000000" w:fill="244061"/>
            <w:vAlign w:val="center"/>
            <w:hideMark/>
          </w:tcPr>
          <w:p w14:paraId="76426000" w14:textId="77777777" w:rsidR="007119C9" w:rsidRPr="00DB281B" w:rsidRDefault="007119C9" w:rsidP="00DB281B">
            <w:pPr>
              <w:jc w:val="center"/>
              <w:rPr>
                <w:rFonts w:ascii="Arial" w:eastAsia="Times New Roman" w:hAnsi="Arial" w:cs="Arial"/>
                <w:b/>
                <w:bCs/>
                <w:color w:val="FFFFFF"/>
                <w:sz w:val="16"/>
                <w:szCs w:val="16"/>
                <w:lang w:eastAsia="es-CO"/>
              </w:rPr>
            </w:pPr>
            <w:r w:rsidRPr="00DB281B">
              <w:rPr>
                <w:rFonts w:ascii="Arial" w:eastAsia="Times New Roman" w:hAnsi="Arial" w:cs="Arial"/>
                <w:b/>
                <w:bCs/>
                <w:color w:val="FFFFFF"/>
                <w:sz w:val="16"/>
                <w:szCs w:val="16"/>
                <w:lang w:eastAsia="es-CO"/>
              </w:rPr>
              <w:t>TABLA 2. GASTOS DE LA ENTIDAD TERRITORIAL (MILLONES DE $)</w:t>
            </w:r>
            <w:r w:rsidRPr="00DB281B">
              <w:rPr>
                <w:rFonts w:ascii="Arial" w:eastAsia="Times New Roman" w:hAnsi="Arial" w:cs="Arial"/>
                <w:color w:val="FFFFFF"/>
                <w:sz w:val="16"/>
                <w:szCs w:val="16"/>
                <w:lang w:eastAsia="es-CO"/>
              </w:rPr>
              <w:t> </w:t>
            </w:r>
          </w:p>
        </w:tc>
      </w:tr>
      <w:tr w:rsidR="007119C9" w:rsidRPr="00DB281B" w14:paraId="72780B0C" w14:textId="77777777" w:rsidTr="007119C9">
        <w:trPr>
          <w:trHeight w:val="20"/>
          <w:tblHeader/>
        </w:trPr>
        <w:tc>
          <w:tcPr>
            <w:tcW w:w="5380" w:type="dxa"/>
            <w:tcBorders>
              <w:top w:val="nil"/>
              <w:left w:val="single" w:sz="8" w:space="0" w:color="auto"/>
              <w:bottom w:val="single" w:sz="8" w:space="0" w:color="auto"/>
              <w:right w:val="single" w:sz="8" w:space="0" w:color="auto"/>
            </w:tcBorders>
            <w:shd w:val="clear" w:color="000000" w:fill="95B3D7"/>
            <w:vAlign w:val="center"/>
            <w:hideMark/>
          </w:tcPr>
          <w:p w14:paraId="55BA146F" w14:textId="77777777" w:rsidR="007119C9" w:rsidRPr="00DB281B" w:rsidRDefault="007119C9" w:rsidP="00DB281B">
            <w:pPr>
              <w:jc w:val="cente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RUBRO</w:t>
            </w:r>
            <w:r w:rsidRPr="00DB281B">
              <w:rPr>
                <w:rFonts w:ascii="Arial" w:eastAsia="Times New Roman" w:hAnsi="Arial" w:cs="Arial"/>
                <w:color w:val="000000"/>
                <w:sz w:val="16"/>
                <w:szCs w:val="16"/>
                <w:lang w:eastAsia="es-CO"/>
              </w:rPr>
              <w:t> </w:t>
            </w:r>
          </w:p>
        </w:tc>
        <w:tc>
          <w:tcPr>
            <w:tcW w:w="980" w:type="dxa"/>
            <w:tcBorders>
              <w:top w:val="nil"/>
              <w:left w:val="nil"/>
              <w:bottom w:val="single" w:sz="8" w:space="0" w:color="auto"/>
              <w:right w:val="single" w:sz="8" w:space="0" w:color="auto"/>
            </w:tcBorders>
            <w:shd w:val="clear" w:color="000000" w:fill="95B3D7"/>
            <w:vAlign w:val="center"/>
            <w:hideMark/>
          </w:tcPr>
          <w:p w14:paraId="5EAEBDC4" w14:textId="77777777" w:rsidR="007119C9" w:rsidRPr="00DB281B" w:rsidRDefault="007119C9" w:rsidP="00DB281B">
            <w:pPr>
              <w:jc w:val="cente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2.019</w:t>
            </w:r>
          </w:p>
        </w:tc>
        <w:tc>
          <w:tcPr>
            <w:tcW w:w="860" w:type="dxa"/>
            <w:tcBorders>
              <w:top w:val="nil"/>
              <w:left w:val="nil"/>
              <w:bottom w:val="single" w:sz="8" w:space="0" w:color="auto"/>
              <w:right w:val="single" w:sz="8" w:space="0" w:color="auto"/>
            </w:tcBorders>
            <w:shd w:val="clear" w:color="000000" w:fill="95B3D7"/>
            <w:vAlign w:val="center"/>
            <w:hideMark/>
          </w:tcPr>
          <w:p w14:paraId="70B2E111" w14:textId="77777777" w:rsidR="007119C9" w:rsidRPr="00DB281B" w:rsidRDefault="007119C9" w:rsidP="00DB281B">
            <w:pPr>
              <w:jc w:val="cente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2020</w:t>
            </w:r>
          </w:p>
        </w:tc>
        <w:tc>
          <w:tcPr>
            <w:tcW w:w="820" w:type="dxa"/>
            <w:tcBorders>
              <w:top w:val="nil"/>
              <w:left w:val="nil"/>
              <w:bottom w:val="single" w:sz="8" w:space="0" w:color="auto"/>
              <w:right w:val="single" w:sz="8" w:space="0" w:color="auto"/>
            </w:tcBorders>
            <w:shd w:val="clear" w:color="000000" w:fill="95B3D7"/>
            <w:vAlign w:val="center"/>
            <w:hideMark/>
          </w:tcPr>
          <w:p w14:paraId="1971335A" w14:textId="77777777" w:rsidR="007119C9" w:rsidRPr="00DB281B" w:rsidRDefault="007119C9" w:rsidP="00DB281B">
            <w:pPr>
              <w:jc w:val="cente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Variación</w:t>
            </w:r>
          </w:p>
        </w:tc>
        <w:tc>
          <w:tcPr>
            <w:tcW w:w="1020" w:type="dxa"/>
            <w:tcBorders>
              <w:top w:val="nil"/>
              <w:left w:val="nil"/>
              <w:bottom w:val="single" w:sz="8" w:space="0" w:color="auto"/>
              <w:right w:val="single" w:sz="8" w:space="0" w:color="auto"/>
            </w:tcBorders>
            <w:shd w:val="clear" w:color="000000" w:fill="95B3D7"/>
            <w:vAlign w:val="center"/>
            <w:hideMark/>
          </w:tcPr>
          <w:p w14:paraId="26CBC602" w14:textId="77777777" w:rsidR="007119C9" w:rsidRPr="00DB281B" w:rsidRDefault="007119C9" w:rsidP="00DB281B">
            <w:pPr>
              <w:jc w:val="cente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2021-MARZO</w:t>
            </w:r>
          </w:p>
        </w:tc>
      </w:tr>
      <w:tr w:rsidR="007119C9" w:rsidRPr="00DB281B" w14:paraId="5B5E5AAA"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D9D9D9"/>
            <w:vAlign w:val="center"/>
            <w:hideMark/>
          </w:tcPr>
          <w:p w14:paraId="024CC0C7"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COBERTURA</w:t>
            </w:r>
            <w:r w:rsidRPr="00DB281B">
              <w:rPr>
                <w:rFonts w:ascii="Arial" w:eastAsia="Times New Roman" w:hAnsi="Arial" w:cs="Arial"/>
                <w:color w:val="000000"/>
                <w:sz w:val="16"/>
                <w:szCs w:val="16"/>
                <w:lang w:eastAsia="es-CO"/>
              </w:rPr>
              <w:t> </w:t>
            </w:r>
          </w:p>
        </w:tc>
        <w:tc>
          <w:tcPr>
            <w:tcW w:w="980" w:type="dxa"/>
            <w:tcBorders>
              <w:top w:val="nil"/>
              <w:left w:val="nil"/>
              <w:bottom w:val="single" w:sz="8" w:space="0" w:color="auto"/>
              <w:right w:val="single" w:sz="8" w:space="0" w:color="auto"/>
            </w:tcBorders>
            <w:shd w:val="clear" w:color="000000" w:fill="D9D9D9"/>
            <w:vAlign w:val="center"/>
            <w:hideMark/>
          </w:tcPr>
          <w:p w14:paraId="558C37AE"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739.826</w:t>
            </w:r>
          </w:p>
        </w:tc>
        <w:tc>
          <w:tcPr>
            <w:tcW w:w="860" w:type="dxa"/>
            <w:tcBorders>
              <w:top w:val="nil"/>
              <w:left w:val="nil"/>
              <w:bottom w:val="single" w:sz="8" w:space="0" w:color="auto"/>
              <w:right w:val="single" w:sz="8" w:space="0" w:color="auto"/>
            </w:tcBorders>
            <w:shd w:val="clear" w:color="000000" w:fill="D9D9D9"/>
            <w:vAlign w:val="center"/>
            <w:hideMark/>
          </w:tcPr>
          <w:p w14:paraId="7F41008D"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788.870</w:t>
            </w:r>
          </w:p>
        </w:tc>
        <w:tc>
          <w:tcPr>
            <w:tcW w:w="820" w:type="dxa"/>
            <w:tcBorders>
              <w:top w:val="nil"/>
              <w:left w:val="nil"/>
              <w:bottom w:val="single" w:sz="8" w:space="0" w:color="auto"/>
              <w:right w:val="single" w:sz="8" w:space="0" w:color="auto"/>
            </w:tcBorders>
            <w:shd w:val="clear" w:color="000000" w:fill="D9D9D9"/>
            <w:vAlign w:val="center"/>
            <w:hideMark/>
          </w:tcPr>
          <w:p w14:paraId="7BBF191B"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7%</w:t>
            </w:r>
          </w:p>
        </w:tc>
        <w:tc>
          <w:tcPr>
            <w:tcW w:w="1020" w:type="dxa"/>
            <w:tcBorders>
              <w:top w:val="nil"/>
              <w:left w:val="nil"/>
              <w:bottom w:val="single" w:sz="8" w:space="0" w:color="auto"/>
              <w:right w:val="single" w:sz="8" w:space="0" w:color="auto"/>
            </w:tcBorders>
            <w:shd w:val="clear" w:color="000000" w:fill="D9D9D9"/>
            <w:vAlign w:val="center"/>
            <w:hideMark/>
          </w:tcPr>
          <w:p w14:paraId="6D33129F"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196.985</w:t>
            </w:r>
          </w:p>
        </w:tc>
      </w:tr>
      <w:tr w:rsidR="007119C9" w:rsidRPr="00DB281B" w14:paraId="0A8B218E"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4DC9242B"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 xml:space="preserve">Gastos de Personal </w:t>
            </w:r>
          </w:p>
        </w:tc>
        <w:tc>
          <w:tcPr>
            <w:tcW w:w="980" w:type="dxa"/>
            <w:tcBorders>
              <w:top w:val="nil"/>
              <w:left w:val="nil"/>
              <w:bottom w:val="single" w:sz="8" w:space="0" w:color="auto"/>
              <w:right w:val="single" w:sz="8" w:space="0" w:color="auto"/>
            </w:tcBorders>
            <w:shd w:val="clear" w:color="auto" w:fill="auto"/>
            <w:vAlign w:val="center"/>
            <w:hideMark/>
          </w:tcPr>
          <w:p w14:paraId="387D5B7D"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520.308</w:t>
            </w:r>
          </w:p>
        </w:tc>
        <w:tc>
          <w:tcPr>
            <w:tcW w:w="860" w:type="dxa"/>
            <w:tcBorders>
              <w:top w:val="nil"/>
              <w:left w:val="nil"/>
              <w:bottom w:val="single" w:sz="8" w:space="0" w:color="auto"/>
              <w:right w:val="single" w:sz="8" w:space="0" w:color="auto"/>
            </w:tcBorders>
            <w:shd w:val="clear" w:color="auto" w:fill="auto"/>
            <w:vAlign w:val="center"/>
            <w:hideMark/>
          </w:tcPr>
          <w:p w14:paraId="3C2BAA65"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567.203</w:t>
            </w:r>
          </w:p>
        </w:tc>
        <w:tc>
          <w:tcPr>
            <w:tcW w:w="820" w:type="dxa"/>
            <w:tcBorders>
              <w:top w:val="nil"/>
              <w:left w:val="nil"/>
              <w:bottom w:val="single" w:sz="8" w:space="0" w:color="auto"/>
              <w:right w:val="single" w:sz="8" w:space="0" w:color="auto"/>
            </w:tcBorders>
            <w:shd w:val="clear" w:color="auto" w:fill="auto"/>
            <w:vAlign w:val="center"/>
            <w:hideMark/>
          </w:tcPr>
          <w:p w14:paraId="7234B250"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9%</w:t>
            </w:r>
          </w:p>
        </w:tc>
        <w:tc>
          <w:tcPr>
            <w:tcW w:w="1020" w:type="dxa"/>
            <w:tcBorders>
              <w:top w:val="nil"/>
              <w:left w:val="nil"/>
              <w:bottom w:val="single" w:sz="8" w:space="0" w:color="auto"/>
              <w:right w:val="single" w:sz="8" w:space="0" w:color="auto"/>
            </w:tcBorders>
            <w:shd w:val="clear" w:color="auto" w:fill="auto"/>
            <w:vAlign w:val="center"/>
            <w:hideMark/>
          </w:tcPr>
          <w:p w14:paraId="6AA9AE28"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115.618</w:t>
            </w:r>
          </w:p>
        </w:tc>
      </w:tr>
      <w:tr w:rsidR="007119C9" w:rsidRPr="00DB281B" w14:paraId="6F2FC710"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16930314"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Personal Docente </w:t>
            </w:r>
          </w:p>
        </w:tc>
        <w:tc>
          <w:tcPr>
            <w:tcW w:w="980" w:type="dxa"/>
            <w:tcBorders>
              <w:top w:val="nil"/>
              <w:left w:val="nil"/>
              <w:bottom w:val="single" w:sz="8" w:space="0" w:color="auto"/>
              <w:right w:val="single" w:sz="8" w:space="0" w:color="auto"/>
            </w:tcBorders>
            <w:shd w:val="clear" w:color="auto" w:fill="auto"/>
            <w:vAlign w:val="center"/>
            <w:hideMark/>
          </w:tcPr>
          <w:p w14:paraId="20E9DC7A"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440.817</w:t>
            </w:r>
          </w:p>
        </w:tc>
        <w:tc>
          <w:tcPr>
            <w:tcW w:w="860" w:type="dxa"/>
            <w:tcBorders>
              <w:top w:val="nil"/>
              <w:left w:val="nil"/>
              <w:bottom w:val="single" w:sz="8" w:space="0" w:color="auto"/>
              <w:right w:val="single" w:sz="8" w:space="0" w:color="auto"/>
            </w:tcBorders>
            <w:shd w:val="clear" w:color="auto" w:fill="auto"/>
            <w:vAlign w:val="center"/>
            <w:hideMark/>
          </w:tcPr>
          <w:p w14:paraId="46BBEF5D"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484.315</w:t>
            </w:r>
          </w:p>
        </w:tc>
        <w:tc>
          <w:tcPr>
            <w:tcW w:w="820" w:type="dxa"/>
            <w:tcBorders>
              <w:top w:val="nil"/>
              <w:left w:val="nil"/>
              <w:bottom w:val="single" w:sz="8" w:space="0" w:color="auto"/>
              <w:right w:val="single" w:sz="8" w:space="0" w:color="auto"/>
            </w:tcBorders>
            <w:shd w:val="clear" w:color="auto" w:fill="auto"/>
            <w:vAlign w:val="center"/>
            <w:hideMark/>
          </w:tcPr>
          <w:p w14:paraId="32DAA1B8"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10%</w:t>
            </w:r>
          </w:p>
        </w:tc>
        <w:tc>
          <w:tcPr>
            <w:tcW w:w="1020" w:type="dxa"/>
            <w:tcBorders>
              <w:top w:val="nil"/>
              <w:left w:val="nil"/>
              <w:bottom w:val="single" w:sz="8" w:space="0" w:color="auto"/>
              <w:right w:val="single" w:sz="8" w:space="0" w:color="auto"/>
            </w:tcBorders>
            <w:shd w:val="clear" w:color="auto" w:fill="auto"/>
            <w:vAlign w:val="center"/>
            <w:hideMark/>
          </w:tcPr>
          <w:p w14:paraId="087AEF02"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98.405</w:t>
            </w:r>
          </w:p>
        </w:tc>
      </w:tr>
      <w:tr w:rsidR="007119C9" w:rsidRPr="00DB281B" w14:paraId="29FB4F4E"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16F49884"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Personal Directivo - Docente </w:t>
            </w:r>
          </w:p>
        </w:tc>
        <w:tc>
          <w:tcPr>
            <w:tcW w:w="980" w:type="dxa"/>
            <w:tcBorders>
              <w:top w:val="nil"/>
              <w:left w:val="nil"/>
              <w:bottom w:val="single" w:sz="8" w:space="0" w:color="auto"/>
              <w:right w:val="single" w:sz="8" w:space="0" w:color="auto"/>
            </w:tcBorders>
            <w:shd w:val="clear" w:color="auto" w:fill="auto"/>
            <w:vAlign w:val="center"/>
            <w:hideMark/>
          </w:tcPr>
          <w:p w14:paraId="408BC26A"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44.489</w:t>
            </w:r>
          </w:p>
        </w:tc>
        <w:tc>
          <w:tcPr>
            <w:tcW w:w="860" w:type="dxa"/>
            <w:tcBorders>
              <w:top w:val="nil"/>
              <w:left w:val="nil"/>
              <w:bottom w:val="single" w:sz="8" w:space="0" w:color="auto"/>
              <w:right w:val="single" w:sz="8" w:space="0" w:color="auto"/>
            </w:tcBorders>
            <w:shd w:val="clear" w:color="auto" w:fill="auto"/>
            <w:vAlign w:val="center"/>
            <w:hideMark/>
          </w:tcPr>
          <w:p w14:paraId="4CAE3AC4"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47.175</w:t>
            </w:r>
          </w:p>
        </w:tc>
        <w:tc>
          <w:tcPr>
            <w:tcW w:w="820" w:type="dxa"/>
            <w:tcBorders>
              <w:top w:val="nil"/>
              <w:left w:val="nil"/>
              <w:bottom w:val="single" w:sz="8" w:space="0" w:color="auto"/>
              <w:right w:val="single" w:sz="8" w:space="0" w:color="auto"/>
            </w:tcBorders>
            <w:shd w:val="clear" w:color="auto" w:fill="auto"/>
            <w:vAlign w:val="center"/>
            <w:hideMark/>
          </w:tcPr>
          <w:p w14:paraId="53115E5F"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6%</w:t>
            </w:r>
          </w:p>
        </w:tc>
        <w:tc>
          <w:tcPr>
            <w:tcW w:w="1020" w:type="dxa"/>
            <w:tcBorders>
              <w:top w:val="nil"/>
              <w:left w:val="nil"/>
              <w:bottom w:val="single" w:sz="8" w:space="0" w:color="auto"/>
              <w:right w:val="single" w:sz="8" w:space="0" w:color="auto"/>
            </w:tcBorders>
            <w:shd w:val="clear" w:color="auto" w:fill="auto"/>
            <w:vAlign w:val="center"/>
            <w:hideMark/>
          </w:tcPr>
          <w:p w14:paraId="5C5E554D"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9.294</w:t>
            </w:r>
          </w:p>
        </w:tc>
      </w:tr>
      <w:tr w:rsidR="007119C9" w:rsidRPr="00DB281B" w14:paraId="3CAED62F"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291E1F21"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Personal Administrativo de Instituciones Educativas </w:t>
            </w:r>
          </w:p>
        </w:tc>
        <w:tc>
          <w:tcPr>
            <w:tcW w:w="980" w:type="dxa"/>
            <w:tcBorders>
              <w:top w:val="nil"/>
              <w:left w:val="nil"/>
              <w:bottom w:val="single" w:sz="8" w:space="0" w:color="auto"/>
              <w:right w:val="single" w:sz="8" w:space="0" w:color="auto"/>
            </w:tcBorders>
            <w:shd w:val="clear" w:color="auto" w:fill="auto"/>
            <w:vAlign w:val="center"/>
            <w:hideMark/>
          </w:tcPr>
          <w:p w14:paraId="039D0CE2"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29.580</w:t>
            </w:r>
          </w:p>
        </w:tc>
        <w:tc>
          <w:tcPr>
            <w:tcW w:w="860" w:type="dxa"/>
            <w:tcBorders>
              <w:top w:val="nil"/>
              <w:left w:val="nil"/>
              <w:bottom w:val="single" w:sz="8" w:space="0" w:color="auto"/>
              <w:right w:val="single" w:sz="8" w:space="0" w:color="auto"/>
            </w:tcBorders>
            <w:shd w:val="clear" w:color="auto" w:fill="auto"/>
            <w:vAlign w:val="center"/>
            <w:hideMark/>
          </w:tcPr>
          <w:p w14:paraId="3B03F00D"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30.779</w:t>
            </w:r>
          </w:p>
        </w:tc>
        <w:tc>
          <w:tcPr>
            <w:tcW w:w="820" w:type="dxa"/>
            <w:tcBorders>
              <w:top w:val="nil"/>
              <w:left w:val="nil"/>
              <w:bottom w:val="single" w:sz="8" w:space="0" w:color="auto"/>
              <w:right w:val="single" w:sz="8" w:space="0" w:color="auto"/>
            </w:tcBorders>
            <w:shd w:val="clear" w:color="auto" w:fill="auto"/>
            <w:vAlign w:val="center"/>
            <w:hideMark/>
          </w:tcPr>
          <w:p w14:paraId="211CF42C"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w:t>
            </w:r>
          </w:p>
        </w:tc>
        <w:tc>
          <w:tcPr>
            <w:tcW w:w="1020" w:type="dxa"/>
            <w:tcBorders>
              <w:top w:val="nil"/>
              <w:left w:val="nil"/>
              <w:bottom w:val="single" w:sz="8" w:space="0" w:color="auto"/>
              <w:right w:val="single" w:sz="8" w:space="0" w:color="auto"/>
            </w:tcBorders>
            <w:shd w:val="clear" w:color="auto" w:fill="auto"/>
            <w:vAlign w:val="center"/>
            <w:hideMark/>
          </w:tcPr>
          <w:p w14:paraId="6ED00077"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6.004</w:t>
            </w:r>
          </w:p>
        </w:tc>
      </w:tr>
      <w:tr w:rsidR="007119C9" w:rsidRPr="00DB281B" w14:paraId="1430D48A"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1A5B93C8"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Personal Administrativo Secretaría de Educación </w:t>
            </w:r>
          </w:p>
        </w:tc>
        <w:tc>
          <w:tcPr>
            <w:tcW w:w="980" w:type="dxa"/>
            <w:tcBorders>
              <w:top w:val="nil"/>
              <w:left w:val="nil"/>
              <w:bottom w:val="single" w:sz="8" w:space="0" w:color="auto"/>
              <w:right w:val="single" w:sz="8" w:space="0" w:color="auto"/>
            </w:tcBorders>
            <w:shd w:val="clear" w:color="auto" w:fill="auto"/>
            <w:vAlign w:val="center"/>
            <w:hideMark/>
          </w:tcPr>
          <w:p w14:paraId="464116CE"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4.988</w:t>
            </w:r>
          </w:p>
        </w:tc>
        <w:tc>
          <w:tcPr>
            <w:tcW w:w="860" w:type="dxa"/>
            <w:tcBorders>
              <w:top w:val="nil"/>
              <w:left w:val="nil"/>
              <w:bottom w:val="single" w:sz="8" w:space="0" w:color="auto"/>
              <w:right w:val="single" w:sz="8" w:space="0" w:color="auto"/>
            </w:tcBorders>
            <w:shd w:val="clear" w:color="auto" w:fill="auto"/>
            <w:vAlign w:val="center"/>
            <w:hideMark/>
          </w:tcPr>
          <w:p w14:paraId="4A14AAB0"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4.927</w:t>
            </w:r>
          </w:p>
        </w:tc>
        <w:tc>
          <w:tcPr>
            <w:tcW w:w="820" w:type="dxa"/>
            <w:tcBorders>
              <w:top w:val="nil"/>
              <w:left w:val="nil"/>
              <w:bottom w:val="single" w:sz="8" w:space="0" w:color="auto"/>
              <w:right w:val="single" w:sz="8" w:space="0" w:color="auto"/>
            </w:tcBorders>
            <w:shd w:val="clear" w:color="auto" w:fill="auto"/>
            <w:vAlign w:val="center"/>
            <w:hideMark/>
          </w:tcPr>
          <w:p w14:paraId="15E4F137"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w:t>
            </w:r>
          </w:p>
        </w:tc>
        <w:tc>
          <w:tcPr>
            <w:tcW w:w="1020" w:type="dxa"/>
            <w:tcBorders>
              <w:top w:val="nil"/>
              <w:left w:val="nil"/>
              <w:bottom w:val="single" w:sz="8" w:space="0" w:color="auto"/>
              <w:right w:val="single" w:sz="8" w:space="0" w:color="auto"/>
            </w:tcBorders>
            <w:shd w:val="clear" w:color="auto" w:fill="auto"/>
            <w:vAlign w:val="center"/>
            <w:hideMark/>
          </w:tcPr>
          <w:p w14:paraId="0B068534"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1.915</w:t>
            </w:r>
          </w:p>
        </w:tc>
      </w:tr>
      <w:tr w:rsidR="007119C9" w:rsidRPr="00DB281B" w14:paraId="0BC7DCFA"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305671E6"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Viáticos y Gastos de Viaje </w:t>
            </w:r>
          </w:p>
        </w:tc>
        <w:tc>
          <w:tcPr>
            <w:tcW w:w="980" w:type="dxa"/>
            <w:tcBorders>
              <w:top w:val="nil"/>
              <w:left w:val="nil"/>
              <w:bottom w:val="single" w:sz="8" w:space="0" w:color="auto"/>
              <w:right w:val="single" w:sz="8" w:space="0" w:color="auto"/>
            </w:tcBorders>
            <w:shd w:val="clear" w:color="auto" w:fill="auto"/>
            <w:vAlign w:val="center"/>
            <w:hideMark/>
          </w:tcPr>
          <w:p w14:paraId="7F5C4E21"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434</w:t>
            </w:r>
          </w:p>
        </w:tc>
        <w:tc>
          <w:tcPr>
            <w:tcW w:w="860" w:type="dxa"/>
            <w:tcBorders>
              <w:top w:val="nil"/>
              <w:left w:val="nil"/>
              <w:bottom w:val="single" w:sz="8" w:space="0" w:color="auto"/>
              <w:right w:val="single" w:sz="8" w:space="0" w:color="auto"/>
            </w:tcBorders>
            <w:shd w:val="clear" w:color="auto" w:fill="auto"/>
            <w:vAlign w:val="center"/>
            <w:hideMark/>
          </w:tcPr>
          <w:p w14:paraId="132E566E"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8</w:t>
            </w:r>
          </w:p>
        </w:tc>
        <w:tc>
          <w:tcPr>
            <w:tcW w:w="820" w:type="dxa"/>
            <w:tcBorders>
              <w:top w:val="nil"/>
              <w:left w:val="nil"/>
              <w:bottom w:val="single" w:sz="8" w:space="0" w:color="auto"/>
              <w:right w:val="single" w:sz="8" w:space="0" w:color="auto"/>
            </w:tcBorders>
            <w:shd w:val="clear" w:color="auto" w:fill="auto"/>
            <w:vAlign w:val="center"/>
            <w:hideMark/>
          </w:tcPr>
          <w:p w14:paraId="73B678F9"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-98%</w:t>
            </w:r>
          </w:p>
        </w:tc>
        <w:tc>
          <w:tcPr>
            <w:tcW w:w="1020" w:type="dxa"/>
            <w:tcBorders>
              <w:top w:val="nil"/>
              <w:left w:val="nil"/>
              <w:bottom w:val="single" w:sz="8" w:space="0" w:color="auto"/>
              <w:right w:val="single" w:sz="8" w:space="0" w:color="auto"/>
            </w:tcBorders>
            <w:shd w:val="clear" w:color="auto" w:fill="auto"/>
            <w:vAlign w:val="center"/>
            <w:hideMark/>
          </w:tcPr>
          <w:p w14:paraId="3A4BDF72"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w:t>
            </w:r>
          </w:p>
        </w:tc>
      </w:tr>
      <w:tr w:rsidR="007119C9" w:rsidRPr="00DB281B" w14:paraId="63EE54BA"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0D751E04"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 xml:space="preserve">Aportes Patronales </w:t>
            </w:r>
          </w:p>
        </w:tc>
        <w:tc>
          <w:tcPr>
            <w:tcW w:w="980" w:type="dxa"/>
            <w:tcBorders>
              <w:top w:val="nil"/>
              <w:left w:val="nil"/>
              <w:bottom w:val="single" w:sz="8" w:space="0" w:color="auto"/>
              <w:right w:val="single" w:sz="8" w:space="0" w:color="auto"/>
            </w:tcBorders>
            <w:shd w:val="clear" w:color="auto" w:fill="auto"/>
            <w:vAlign w:val="center"/>
            <w:hideMark/>
          </w:tcPr>
          <w:p w14:paraId="610D45F5"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173.818</w:t>
            </w:r>
          </w:p>
        </w:tc>
        <w:tc>
          <w:tcPr>
            <w:tcW w:w="860" w:type="dxa"/>
            <w:tcBorders>
              <w:top w:val="nil"/>
              <w:left w:val="nil"/>
              <w:bottom w:val="single" w:sz="8" w:space="0" w:color="auto"/>
              <w:right w:val="single" w:sz="8" w:space="0" w:color="auto"/>
            </w:tcBorders>
            <w:shd w:val="clear" w:color="auto" w:fill="auto"/>
            <w:vAlign w:val="center"/>
            <w:hideMark/>
          </w:tcPr>
          <w:p w14:paraId="5541C548"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175.572</w:t>
            </w:r>
          </w:p>
        </w:tc>
        <w:tc>
          <w:tcPr>
            <w:tcW w:w="820" w:type="dxa"/>
            <w:tcBorders>
              <w:top w:val="nil"/>
              <w:left w:val="nil"/>
              <w:bottom w:val="single" w:sz="8" w:space="0" w:color="auto"/>
              <w:right w:val="single" w:sz="8" w:space="0" w:color="auto"/>
            </w:tcBorders>
            <w:shd w:val="clear" w:color="auto" w:fill="auto"/>
            <w:vAlign w:val="center"/>
            <w:hideMark/>
          </w:tcPr>
          <w:p w14:paraId="573A4FF8"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w:t>
            </w:r>
          </w:p>
        </w:tc>
        <w:tc>
          <w:tcPr>
            <w:tcW w:w="1020" w:type="dxa"/>
            <w:tcBorders>
              <w:top w:val="nil"/>
              <w:left w:val="nil"/>
              <w:bottom w:val="single" w:sz="8" w:space="0" w:color="auto"/>
              <w:right w:val="single" w:sz="8" w:space="0" w:color="auto"/>
            </w:tcBorders>
            <w:shd w:val="clear" w:color="auto" w:fill="auto"/>
            <w:vAlign w:val="center"/>
            <w:hideMark/>
          </w:tcPr>
          <w:p w14:paraId="731ABDC0"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62.112</w:t>
            </w:r>
          </w:p>
        </w:tc>
      </w:tr>
      <w:tr w:rsidR="007119C9" w:rsidRPr="00DB281B" w14:paraId="3F0DAAEC"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493545A7"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Sin Situación de Fondos (Docentes y Directivos Docentes) </w:t>
            </w:r>
          </w:p>
        </w:tc>
        <w:tc>
          <w:tcPr>
            <w:tcW w:w="980" w:type="dxa"/>
            <w:tcBorders>
              <w:top w:val="nil"/>
              <w:left w:val="nil"/>
              <w:bottom w:val="single" w:sz="8" w:space="0" w:color="auto"/>
              <w:right w:val="single" w:sz="8" w:space="0" w:color="auto"/>
            </w:tcBorders>
            <w:shd w:val="clear" w:color="auto" w:fill="auto"/>
            <w:vAlign w:val="center"/>
            <w:hideMark/>
          </w:tcPr>
          <w:p w14:paraId="1BBDE898" w14:textId="791A07BC"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119.535</w:t>
            </w:r>
            <w:r w:rsidR="00811D4E" w:rsidRPr="00DB281B">
              <w:rPr>
                <w:rFonts w:ascii="Arial" w:eastAsia="Times New Roman" w:hAnsi="Arial" w:cs="Arial"/>
                <w:color w:val="000000"/>
                <w:sz w:val="16"/>
                <w:szCs w:val="16"/>
                <w:lang w:eastAsia="es-CO"/>
              </w:rPr>
              <w:t xml:space="preserve"> </w:t>
            </w:r>
            <w:r w:rsidR="00811D4E" w:rsidRPr="00DB281B">
              <w:rPr>
                <w:rFonts w:ascii="Arial" w:eastAsia="Times New Roman" w:hAnsi="Arial" w:cs="Arial"/>
                <w:color w:val="FF0000"/>
                <w:sz w:val="16"/>
                <w:szCs w:val="16"/>
                <w:lang w:eastAsia="es-CO"/>
              </w:rPr>
              <w:t>(1)</w:t>
            </w:r>
          </w:p>
        </w:tc>
        <w:tc>
          <w:tcPr>
            <w:tcW w:w="860" w:type="dxa"/>
            <w:tcBorders>
              <w:top w:val="nil"/>
              <w:left w:val="nil"/>
              <w:bottom w:val="single" w:sz="8" w:space="0" w:color="auto"/>
              <w:right w:val="single" w:sz="8" w:space="0" w:color="auto"/>
            </w:tcBorders>
            <w:shd w:val="clear" w:color="auto" w:fill="auto"/>
            <w:vAlign w:val="center"/>
            <w:hideMark/>
          </w:tcPr>
          <w:p w14:paraId="5F90C949"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118.046</w:t>
            </w:r>
          </w:p>
        </w:tc>
        <w:tc>
          <w:tcPr>
            <w:tcW w:w="820" w:type="dxa"/>
            <w:tcBorders>
              <w:top w:val="nil"/>
              <w:left w:val="nil"/>
              <w:bottom w:val="single" w:sz="8" w:space="0" w:color="auto"/>
              <w:right w:val="single" w:sz="8" w:space="0" w:color="auto"/>
            </w:tcBorders>
            <w:shd w:val="clear" w:color="auto" w:fill="auto"/>
            <w:vAlign w:val="center"/>
            <w:hideMark/>
          </w:tcPr>
          <w:p w14:paraId="5086ECF4"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w:t>
            </w:r>
          </w:p>
        </w:tc>
        <w:tc>
          <w:tcPr>
            <w:tcW w:w="1020" w:type="dxa"/>
            <w:tcBorders>
              <w:top w:val="nil"/>
              <w:left w:val="nil"/>
              <w:bottom w:val="single" w:sz="8" w:space="0" w:color="auto"/>
              <w:right w:val="single" w:sz="8" w:space="0" w:color="auto"/>
            </w:tcBorders>
            <w:shd w:val="clear" w:color="auto" w:fill="auto"/>
            <w:vAlign w:val="center"/>
            <w:hideMark/>
          </w:tcPr>
          <w:p w14:paraId="633D3B02"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47.019</w:t>
            </w:r>
          </w:p>
        </w:tc>
      </w:tr>
      <w:tr w:rsidR="007119C9" w:rsidRPr="00DB281B" w14:paraId="241B5F6E"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0A62E87E"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Con situación de fondos (Docentes y Directivos Docentes) </w:t>
            </w:r>
          </w:p>
        </w:tc>
        <w:tc>
          <w:tcPr>
            <w:tcW w:w="980" w:type="dxa"/>
            <w:tcBorders>
              <w:top w:val="nil"/>
              <w:left w:val="nil"/>
              <w:bottom w:val="single" w:sz="8" w:space="0" w:color="auto"/>
              <w:right w:val="single" w:sz="8" w:space="0" w:color="auto"/>
            </w:tcBorders>
            <w:shd w:val="clear" w:color="auto" w:fill="auto"/>
            <w:vAlign w:val="center"/>
            <w:hideMark/>
          </w:tcPr>
          <w:p w14:paraId="0F7DEB90"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41.520</w:t>
            </w:r>
          </w:p>
        </w:tc>
        <w:tc>
          <w:tcPr>
            <w:tcW w:w="860" w:type="dxa"/>
            <w:tcBorders>
              <w:top w:val="nil"/>
              <w:left w:val="nil"/>
              <w:bottom w:val="single" w:sz="8" w:space="0" w:color="auto"/>
              <w:right w:val="single" w:sz="8" w:space="0" w:color="auto"/>
            </w:tcBorders>
            <w:shd w:val="clear" w:color="auto" w:fill="auto"/>
            <w:vAlign w:val="center"/>
            <w:hideMark/>
          </w:tcPr>
          <w:p w14:paraId="6CC2B938"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45.841</w:t>
            </w:r>
          </w:p>
        </w:tc>
        <w:tc>
          <w:tcPr>
            <w:tcW w:w="820" w:type="dxa"/>
            <w:tcBorders>
              <w:top w:val="nil"/>
              <w:left w:val="nil"/>
              <w:bottom w:val="single" w:sz="8" w:space="0" w:color="auto"/>
              <w:right w:val="single" w:sz="8" w:space="0" w:color="auto"/>
            </w:tcBorders>
            <w:shd w:val="clear" w:color="auto" w:fill="auto"/>
            <w:vAlign w:val="center"/>
            <w:hideMark/>
          </w:tcPr>
          <w:p w14:paraId="0548853F"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10%</w:t>
            </w:r>
          </w:p>
        </w:tc>
        <w:tc>
          <w:tcPr>
            <w:tcW w:w="1020" w:type="dxa"/>
            <w:tcBorders>
              <w:top w:val="nil"/>
              <w:left w:val="nil"/>
              <w:bottom w:val="single" w:sz="8" w:space="0" w:color="auto"/>
              <w:right w:val="single" w:sz="8" w:space="0" w:color="auto"/>
            </w:tcBorders>
            <w:shd w:val="clear" w:color="auto" w:fill="auto"/>
            <w:vAlign w:val="center"/>
            <w:hideMark/>
          </w:tcPr>
          <w:p w14:paraId="4A2C6494"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10.187</w:t>
            </w:r>
          </w:p>
        </w:tc>
      </w:tr>
      <w:tr w:rsidR="007119C9" w:rsidRPr="00DB281B" w14:paraId="0D963243"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4928B462"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Personal Administrativo de Instituciones Educativas (A.P)</w:t>
            </w:r>
          </w:p>
        </w:tc>
        <w:tc>
          <w:tcPr>
            <w:tcW w:w="980" w:type="dxa"/>
            <w:tcBorders>
              <w:top w:val="nil"/>
              <w:left w:val="nil"/>
              <w:bottom w:val="single" w:sz="8" w:space="0" w:color="auto"/>
              <w:right w:val="single" w:sz="8" w:space="0" w:color="auto"/>
            </w:tcBorders>
            <w:shd w:val="clear" w:color="auto" w:fill="auto"/>
            <w:vAlign w:val="center"/>
            <w:hideMark/>
          </w:tcPr>
          <w:p w14:paraId="399D00FF"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11.199</w:t>
            </w:r>
          </w:p>
        </w:tc>
        <w:tc>
          <w:tcPr>
            <w:tcW w:w="860" w:type="dxa"/>
            <w:tcBorders>
              <w:top w:val="nil"/>
              <w:left w:val="nil"/>
              <w:bottom w:val="single" w:sz="8" w:space="0" w:color="auto"/>
              <w:right w:val="single" w:sz="8" w:space="0" w:color="auto"/>
            </w:tcBorders>
            <w:shd w:val="clear" w:color="auto" w:fill="auto"/>
            <w:vAlign w:val="center"/>
            <w:hideMark/>
          </w:tcPr>
          <w:p w14:paraId="573C17F8"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10.149</w:t>
            </w:r>
          </w:p>
        </w:tc>
        <w:tc>
          <w:tcPr>
            <w:tcW w:w="820" w:type="dxa"/>
            <w:tcBorders>
              <w:top w:val="nil"/>
              <w:left w:val="nil"/>
              <w:bottom w:val="single" w:sz="8" w:space="0" w:color="auto"/>
              <w:right w:val="single" w:sz="8" w:space="0" w:color="auto"/>
            </w:tcBorders>
            <w:shd w:val="clear" w:color="auto" w:fill="auto"/>
            <w:vAlign w:val="center"/>
            <w:hideMark/>
          </w:tcPr>
          <w:p w14:paraId="37705D0F"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-9%</w:t>
            </w:r>
          </w:p>
        </w:tc>
        <w:tc>
          <w:tcPr>
            <w:tcW w:w="1020" w:type="dxa"/>
            <w:tcBorders>
              <w:top w:val="nil"/>
              <w:left w:val="nil"/>
              <w:bottom w:val="single" w:sz="8" w:space="0" w:color="auto"/>
              <w:right w:val="single" w:sz="8" w:space="0" w:color="auto"/>
            </w:tcBorders>
            <w:shd w:val="clear" w:color="auto" w:fill="auto"/>
            <w:vAlign w:val="center"/>
            <w:hideMark/>
          </w:tcPr>
          <w:p w14:paraId="6CAEEBBA"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4.277</w:t>
            </w:r>
          </w:p>
        </w:tc>
      </w:tr>
      <w:tr w:rsidR="007119C9" w:rsidRPr="00DB281B" w14:paraId="2CD4AFCA"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5612F933"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 Personal Administrativo Secretaría de Educación (A.P)</w:t>
            </w:r>
          </w:p>
        </w:tc>
        <w:tc>
          <w:tcPr>
            <w:tcW w:w="980" w:type="dxa"/>
            <w:tcBorders>
              <w:top w:val="nil"/>
              <w:left w:val="nil"/>
              <w:bottom w:val="single" w:sz="8" w:space="0" w:color="auto"/>
              <w:right w:val="single" w:sz="8" w:space="0" w:color="auto"/>
            </w:tcBorders>
            <w:shd w:val="clear" w:color="auto" w:fill="auto"/>
            <w:vAlign w:val="center"/>
            <w:hideMark/>
          </w:tcPr>
          <w:p w14:paraId="30EEF098"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1.564</w:t>
            </w:r>
          </w:p>
        </w:tc>
        <w:tc>
          <w:tcPr>
            <w:tcW w:w="860" w:type="dxa"/>
            <w:tcBorders>
              <w:top w:val="nil"/>
              <w:left w:val="nil"/>
              <w:bottom w:val="single" w:sz="8" w:space="0" w:color="auto"/>
              <w:right w:val="single" w:sz="8" w:space="0" w:color="auto"/>
            </w:tcBorders>
            <w:shd w:val="clear" w:color="auto" w:fill="auto"/>
            <w:vAlign w:val="center"/>
            <w:hideMark/>
          </w:tcPr>
          <w:p w14:paraId="5990D39B"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1.536</w:t>
            </w:r>
          </w:p>
        </w:tc>
        <w:tc>
          <w:tcPr>
            <w:tcW w:w="820" w:type="dxa"/>
            <w:tcBorders>
              <w:top w:val="nil"/>
              <w:left w:val="nil"/>
              <w:bottom w:val="single" w:sz="8" w:space="0" w:color="auto"/>
              <w:right w:val="single" w:sz="8" w:space="0" w:color="auto"/>
            </w:tcBorders>
            <w:shd w:val="clear" w:color="auto" w:fill="auto"/>
            <w:vAlign w:val="center"/>
            <w:hideMark/>
          </w:tcPr>
          <w:p w14:paraId="2412B9BA"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-2%</w:t>
            </w:r>
          </w:p>
        </w:tc>
        <w:tc>
          <w:tcPr>
            <w:tcW w:w="1020" w:type="dxa"/>
            <w:tcBorders>
              <w:top w:val="nil"/>
              <w:left w:val="nil"/>
              <w:bottom w:val="single" w:sz="8" w:space="0" w:color="auto"/>
              <w:right w:val="single" w:sz="8" w:space="0" w:color="auto"/>
            </w:tcBorders>
            <w:shd w:val="clear" w:color="auto" w:fill="auto"/>
            <w:vAlign w:val="center"/>
            <w:hideMark/>
          </w:tcPr>
          <w:p w14:paraId="7D6BD4EE"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630</w:t>
            </w:r>
          </w:p>
        </w:tc>
      </w:tr>
      <w:tr w:rsidR="007119C9" w:rsidRPr="00DB281B" w14:paraId="5E709F62" w14:textId="77777777" w:rsidTr="007119C9">
        <w:trPr>
          <w:trHeight w:val="20"/>
        </w:trPr>
        <w:tc>
          <w:tcPr>
            <w:tcW w:w="5380" w:type="dxa"/>
            <w:tcBorders>
              <w:top w:val="nil"/>
              <w:left w:val="single" w:sz="8" w:space="0" w:color="auto"/>
              <w:bottom w:val="single" w:sz="8" w:space="0" w:color="auto"/>
              <w:right w:val="single" w:sz="8" w:space="0" w:color="auto"/>
            </w:tcBorders>
            <w:shd w:val="clear" w:color="auto" w:fill="auto"/>
            <w:vAlign w:val="center"/>
            <w:hideMark/>
          </w:tcPr>
          <w:p w14:paraId="76689FA3"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Gastos Generales</w:t>
            </w:r>
            <w:r w:rsidRPr="00DB281B">
              <w:rPr>
                <w:rFonts w:ascii="Arial" w:eastAsia="Times New Roman" w:hAnsi="Arial" w:cs="Arial"/>
                <w:color w:val="000000"/>
                <w:sz w:val="16"/>
                <w:szCs w:val="16"/>
                <w:lang w:eastAsia="es-CO"/>
              </w:rPr>
              <w:t> </w:t>
            </w:r>
          </w:p>
        </w:tc>
        <w:tc>
          <w:tcPr>
            <w:tcW w:w="980" w:type="dxa"/>
            <w:tcBorders>
              <w:top w:val="nil"/>
              <w:left w:val="nil"/>
              <w:bottom w:val="single" w:sz="8" w:space="0" w:color="auto"/>
              <w:right w:val="single" w:sz="8" w:space="0" w:color="auto"/>
            </w:tcBorders>
            <w:shd w:val="clear" w:color="auto" w:fill="auto"/>
            <w:vAlign w:val="center"/>
            <w:hideMark/>
          </w:tcPr>
          <w:p w14:paraId="26C12674" w14:textId="19714FAF"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93</w:t>
            </w:r>
            <w:r w:rsidR="0055134F" w:rsidRPr="00DB281B">
              <w:rPr>
                <w:rFonts w:ascii="Arial" w:eastAsia="Times New Roman" w:hAnsi="Arial" w:cs="Arial"/>
                <w:b/>
                <w:bCs/>
                <w:color w:val="000000"/>
                <w:sz w:val="16"/>
                <w:szCs w:val="16"/>
                <w:lang w:eastAsia="es-CO"/>
              </w:rPr>
              <w:t xml:space="preserve"> </w:t>
            </w:r>
            <w:r w:rsidR="0055134F" w:rsidRPr="00DB281B">
              <w:rPr>
                <w:rFonts w:ascii="Arial" w:eastAsia="Times New Roman" w:hAnsi="Arial" w:cs="Arial"/>
                <w:b/>
                <w:bCs/>
                <w:color w:val="FF0000"/>
                <w:sz w:val="16"/>
                <w:szCs w:val="16"/>
                <w:lang w:eastAsia="es-CO"/>
              </w:rPr>
              <w:t>(</w:t>
            </w:r>
            <w:r w:rsidR="00811D4E" w:rsidRPr="00DB281B">
              <w:rPr>
                <w:rFonts w:ascii="Arial" w:eastAsia="Times New Roman" w:hAnsi="Arial" w:cs="Arial"/>
                <w:b/>
                <w:bCs/>
                <w:color w:val="FF0000"/>
                <w:sz w:val="16"/>
                <w:szCs w:val="16"/>
                <w:lang w:eastAsia="es-CO"/>
              </w:rPr>
              <w:t>2</w:t>
            </w:r>
            <w:r w:rsidR="0055134F" w:rsidRPr="00DB281B">
              <w:rPr>
                <w:rFonts w:ascii="Arial" w:eastAsia="Times New Roman" w:hAnsi="Arial" w:cs="Arial"/>
                <w:b/>
                <w:bCs/>
                <w:color w:val="FF0000"/>
                <w:sz w:val="16"/>
                <w:szCs w:val="16"/>
                <w:lang w:eastAsia="es-CO"/>
              </w:rPr>
              <w:t>)</w:t>
            </w:r>
          </w:p>
        </w:tc>
        <w:tc>
          <w:tcPr>
            <w:tcW w:w="860" w:type="dxa"/>
            <w:tcBorders>
              <w:top w:val="nil"/>
              <w:left w:val="nil"/>
              <w:bottom w:val="single" w:sz="8" w:space="0" w:color="auto"/>
              <w:right w:val="single" w:sz="8" w:space="0" w:color="auto"/>
            </w:tcBorders>
            <w:shd w:val="clear" w:color="auto" w:fill="auto"/>
            <w:vAlign w:val="center"/>
            <w:hideMark/>
          </w:tcPr>
          <w:p w14:paraId="5AECFBE4"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33</w:t>
            </w:r>
          </w:p>
        </w:tc>
        <w:tc>
          <w:tcPr>
            <w:tcW w:w="820" w:type="dxa"/>
            <w:tcBorders>
              <w:top w:val="nil"/>
              <w:left w:val="nil"/>
              <w:bottom w:val="single" w:sz="8" w:space="0" w:color="auto"/>
              <w:right w:val="single" w:sz="8" w:space="0" w:color="auto"/>
            </w:tcBorders>
            <w:shd w:val="clear" w:color="auto" w:fill="auto"/>
            <w:vAlign w:val="center"/>
            <w:hideMark/>
          </w:tcPr>
          <w:p w14:paraId="50884C2B"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-64%</w:t>
            </w:r>
          </w:p>
        </w:tc>
        <w:tc>
          <w:tcPr>
            <w:tcW w:w="1020" w:type="dxa"/>
            <w:tcBorders>
              <w:top w:val="nil"/>
              <w:left w:val="nil"/>
              <w:bottom w:val="single" w:sz="8" w:space="0" w:color="auto"/>
              <w:right w:val="single" w:sz="8" w:space="0" w:color="auto"/>
            </w:tcBorders>
            <w:shd w:val="clear" w:color="auto" w:fill="auto"/>
            <w:vAlign w:val="center"/>
            <w:hideMark/>
          </w:tcPr>
          <w:p w14:paraId="17DEEE82"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w:t>
            </w:r>
          </w:p>
        </w:tc>
      </w:tr>
      <w:tr w:rsidR="007119C9" w:rsidRPr="00DB281B" w14:paraId="37B15C9F"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FFFFFF"/>
            <w:vAlign w:val="center"/>
            <w:hideMark/>
          </w:tcPr>
          <w:p w14:paraId="219F483F"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Pensiones Docentes Nacionalizados (Cancelaciones)</w:t>
            </w:r>
          </w:p>
        </w:tc>
        <w:tc>
          <w:tcPr>
            <w:tcW w:w="980" w:type="dxa"/>
            <w:tcBorders>
              <w:top w:val="nil"/>
              <w:left w:val="nil"/>
              <w:bottom w:val="single" w:sz="8" w:space="0" w:color="auto"/>
              <w:right w:val="single" w:sz="8" w:space="0" w:color="auto"/>
            </w:tcBorders>
            <w:shd w:val="clear" w:color="auto" w:fill="auto"/>
            <w:vAlign w:val="center"/>
            <w:hideMark/>
          </w:tcPr>
          <w:p w14:paraId="76A363F6"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44.407</w:t>
            </w:r>
          </w:p>
        </w:tc>
        <w:tc>
          <w:tcPr>
            <w:tcW w:w="860" w:type="dxa"/>
            <w:tcBorders>
              <w:top w:val="nil"/>
              <w:left w:val="nil"/>
              <w:bottom w:val="single" w:sz="8" w:space="0" w:color="auto"/>
              <w:right w:val="single" w:sz="8" w:space="0" w:color="auto"/>
            </w:tcBorders>
            <w:shd w:val="clear" w:color="auto" w:fill="auto"/>
            <w:vAlign w:val="center"/>
            <w:hideMark/>
          </w:tcPr>
          <w:p w14:paraId="753ED4B7"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45.342</w:t>
            </w:r>
          </w:p>
        </w:tc>
        <w:tc>
          <w:tcPr>
            <w:tcW w:w="820" w:type="dxa"/>
            <w:tcBorders>
              <w:top w:val="nil"/>
              <w:left w:val="nil"/>
              <w:bottom w:val="single" w:sz="8" w:space="0" w:color="auto"/>
              <w:right w:val="single" w:sz="8" w:space="0" w:color="auto"/>
            </w:tcBorders>
            <w:shd w:val="clear" w:color="auto" w:fill="auto"/>
            <w:vAlign w:val="center"/>
            <w:hideMark/>
          </w:tcPr>
          <w:p w14:paraId="06737688"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2%</w:t>
            </w:r>
          </w:p>
        </w:tc>
        <w:tc>
          <w:tcPr>
            <w:tcW w:w="1020" w:type="dxa"/>
            <w:tcBorders>
              <w:top w:val="nil"/>
              <w:left w:val="nil"/>
              <w:bottom w:val="single" w:sz="8" w:space="0" w:color="auto"/>
              <w:right w:val="single" w:sz="8" w:space="0" w:color="auto"/>
            </w:tcBorders>
            <w:shd w:val="clear" w:color="auto" w:fill="auto"/>
            <w:vAlign w:val="center"/>
            <w:hideMark/>
          </w:tcPr>
          <w:p w14:paraId="1696F13D"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9.489</w:t>
            </w:r>
          </w:p>
        </w:tc>
      </w:tr>
      <w:tr w:rsidR="007119C9" w:rsidRPr="00DB281B" w14:paraId="78ECFBA2"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FFFFFF"/>
            <w:vAlign w:val="center"/>
            <w:hideMark/>
          </w:tcPr>
          <w:p w14:paraId="2A3B00BA"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Contratos para la Prestación del Servicio Educativo</w:t>
            </w:r>
          </w:p>
        </w:tc>
        <w:tc>
          <w:tcPr>
            <w:tcW w:w="980" w:type="dxa"/>
            <w:tcBorders>
              <w:top w:val="nil"/>
              <w:left w:val="nil"/>
              <w:bottom w:val="single" w:sz="8" w:space="0" w:color="auto"/>
              <w:right w:val="single" w:sz="8" w:space="0" w:color="auto"/>
            </w:tcBorders>
            <w:shd w:val="clear" w:color="auto" w:fill="auto"/>
            <w:vAlign w:val="center"/>
            <w:hideMark/>
          </w:tcPr>
          <w:p w14:paraId="3497A58E" w14:textId="527F9AD3"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 xml:space="preserve">1.201 </w:t>
            </w:r>
            <w:r w:rsidRPr="00DB281B">
              <w:rPr>
                <w:rFonts w:ascii="Arial" w:eastAsia="Times New Roman" w:hAnsi="Arial" w:cs="Arial"/>
                <w:b/>
                <w:bCs/>
                <w:color w:val="FF0000"/>
                <w:sz w:val="16"/>
                <w:szCs w:val="16"/>
                <w:lang w:eastAsia="es-CO"/>
              </w:rPr>
              <w:t>(</w:t>
            </w:r>
            <w:r w:rsidR="00811D4E" w:rsidRPr="00DB281B">
              <w:rPr>
                <w:rFonts w:ascii="Arial" w:eastAsia="Times New Roman" w:hAnsi="Arial" w:cs="Arial"/>
                <w:b/>
                <w:bCs/>
                <w:color w:val="FF0000"/>
                <w:sz w:val="16"/>
                <w:szCs w:val="16"/>
                <w:lang w:eastAsia="es-CO"/>
              </w:rPr>
              <w:t>3</w:t>
            </w:r>
            <w:r w:rsidRPr="00DB281B">
              <w:rPr>
                <w:rFonts w:ascii="Arial" w:eastAsia="Times New Roman" w:hAnsi="Arial" w:cs="Arial"/>
                <w:b/>
                <w:bCs/>
                <w:color w:val="FF0000"/>
                <w:sz w:val="16"/>
                <w:szCs w:val="16"/>
                <w:lang w:eastAsia="es-CO"/>
              </w:rPr>
              <w:t>)</w:t>
            </w:r>
          </w:p>
        </w:tc>
        <w:tc>
          <w:tcPr>
            <w:tcW w:w="860" w:type="dxa"/>
            <w:tcBorders>
              <w:top w:val="nil"/>
              <w:left w:val="nil"/>
              <w:bottom w:val="single" w:sz="8" w:space="0" w:color="auto"/>
              <w:right w:val="single" w:sz="8" w:space="0" w:color="auto"/>
            </w:tcBorders>
            <w:shd w:val="clear" w:color="auto" w:fill="auto"/>
            <w:vAlign w:val="center"/>
            <w:hideMark/>
          </w:tcPr>
          <w:p w14:paraId="38B70517"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586</w:t>
            </w:r>
          </w:p>
        </w:tc>
        <w:tc>
          <w:tcPr>
            <w:tcW w:w="820" w:type="dxa"/>
            <w:tcBorders>
              <w:top w:val="nil"/>
              <w:left w:val="nil"/>
              <w:bottom w:val="single" w:sz="8" w:space="0" w:color="auto"/>
              <w:right w:val="single" w:sz="8" w:space="0" w:color="auto"/>
            </w:tcBorders>
            <w:shd w:val="clear" w:color="auto" w:fill="auto"/>
            <w:vAlign w:val="center"/>
            <w:hideMark/>
          </w:tcPr>
          <w:p w14:paraId="604B084A"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-51%</w:t>
            </w:r>
          </w:p>
        </w:tc>
        <w:tc>
          <w:tcPr>
            <w:tcW w:w="1020" w:type="dxa"/>
            <w:tcBorders>
              <w:top w:val="nil"/>
              <w:left w:val="nil"/>
              <w:bottom w:val="single" w:sz="8" w:space="0" w:color="auto"/>
              <w:right w:val="single" w:sz="8" w:space="0" w:color="auto"/>
            </w:tcBorders>
            <w:shd w:val="clear" w:color="auto" w:fill="auto"/>
            <w:vAlign w:val="center"/>
            <w:hideMark/>
          </w:tcPr>
          <w:p w14:paraId="3989DCEB" w14:textId="6581B7AC"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 xml:space="preserve">637 </w:t>
            </w:r>
            <w:r w:rsidRPr="00DB281B">
              <w:rPr>
                <w:rFonts w:ascii="Arial" w:eastAsia="Times New Roman" w:hAnsi="Arial" w:cs="Arial"/>
                <w:b/>
                <w:bCs/>
                <w:color w:val="FF0000"/>
                <w:sz w:val="16"/>
                <w:szCs w:val="16"/>
                <w:lang w:eastAsia="es-CO"/>
              </w:rPr>
              <w:t>(</w:t>
            </w:r>
            <w:r w:rsidR="00811D4E" w:rsidRPr="00DB281B">
              <w:rPr>
                <w:rFonts w:ascii="Arial" w:eastAsia="Times New Roman" w:hAnsi="Arial" w:cs="Arial"/>
                <w:b/>
                <w:bCs/>
                <w:color w:val="FF0000"/>
                <w:sz w:val="16"/>
                <w:szCs w:val="16"/>
                <w:lang w:eastAsia="es-CO"/>
              </w:rPr>
              <w:t>6</w:t>
            </w:r>
            <w:r w:rsidRPr="00DB281B">
              <w:rPr>
                <w:rFonts w:ascii="Arial" w:eastAsia="Times New Roman" w:hAnsi="Arial" w:cs="Arial"/>
                <w:b/>
                <w:bCs/>
                <w:color w:val="FF0000"/>
                <w:sz w:val="16"/>
                <w:szCs w:val="16"/>
                <w:lang w:eastAsia="es-CO"/>
              </w:rPr>
              <w:t>)</w:t>
            </w:r>
          </w:p>
        </w:tc>
      </w:tr>
      <w:tr w:rsidR="007119C9" w:rsidRPr="00DB281B" w14:paraId="0BAEB6A6"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FFFFFF"/>
            <w:vAlign w:val="center"/>
            <w:hideMark/>
          </w:tcPr>
          <w:p w14:paraId="367E7501"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Contratos Aseo y Vigilancia</w:t>
            </w:r>
          </w:p>
        </w:tc>
        <w:tc>
          <w:tcPr>
            <w:tcW w:w="980" w:type="dxa"/>
            <w:tcBorders>
              <w:top w:val="nil"/>
              <w:left w:val="nil"/>
              <w:bottom w:val="single" w:sz="8" w:space="0" w:color="auto"/>
              <w:right w:val="single" w:sz="8" w:space="0" w:color="auto"/>
            </w:tcBorders>
            <w:shd w:val="clear" w:color="auto" w:fill="auto"/>
            <w:vAlign w:val="center"/>
            <w:hideMark/>
          </w:tcPr>
          <w:p w14:paraId="2C5B8AA5"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0</w:t>
            </w:r>
          </w:p>
        </w:tc>
        <w:tc>
          <w:tcPr>
            <w:tcW w:w="860" w:type="dxa"/>
            <w:tcBorders>
              <w:top w:val="nil"/>
              <w:left w:val="nil"/>
              <w:bottom w:val="single" w:sz="8" w:space="0" w:color="auto"/>
              <w:right w:val="single" w:sz="8" w:space="0" w:color="auto"/>
            </w:tcBorders>
            <w:shd w:val="clear" w:color="auto" w:fill="auto"/>
            <w:vAlign w:val="center"/>
            <w:hideMark/>
          </w:tcPr>
          <w:p w14:paraId="4EE2A944"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134</w:t>
            </w:r>
          </w:p>
        </w:tc>
        <w:tc>
          <w:tcPr>
            <w:tcW w:w="820" w:type="dxa"/>
            <w:tcBorders>
              <w:top w:val="nil"/>
              <w:left w:val="nil"/>
              <w:bottom w:val="single" w:sz="8" w:space="0" w:color="auto"/>
              <w:right w:val="single" w:sz="8" w:space="0" w:color="auto"/>
            </w:tcBorders>
            <w:shd w:val="clear" w:color="auto" w:fill="auto"/>
            <w:vAlign w:val="center"/>
            <w:hideMark/>
          </w:tcPr>
          <w:p w14:paraId="688480EC"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100%</w:t>
            </w:r>
          </w:p>
        </w:tc>
        <w:tc>
          <w:tcPr>
            <w:tcW w:w="1020" w:type="dxa"/>
            <w:tcBorders>
              <w:top w:val="nil"/>
              <w:left w:val="nil"/>
              <w:bottom w:val="single" w:sz="8" w:space="0" w:color="auto"/>
              <w:right w:val="single" w:sz="8" w:space="0" w:color="auto"/>
            </w:tcBorders>
            <w:shd w:val="clear" w:color="auto" w:fill="auto"/>
            <w:vAlign w:val="center"/>
            <w:hideMark/>
          </w:tcPr>
          <w:p w14:paraId="3E52DB2A"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9.128</w:t>
            </w:r>
          </w:p>
        </w:tc>
      </w:tr>
      <w:tr w:rsidR="007119C9" w:rsidRPr="00DB281B" w14:paraId="748247B8"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D9D9D9"/>
            <w:vAlign w:val="center"/>
            <w:hideMark/>
          </w:tcPr>
          <w:p w14:paraId="48A1B05B"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CALIDAD</w:t>
            </w:r>
            <w:r w:rsidRPr="00DB281B">
              <w:rPr>
                <w:rFonts w:ascii="Arial" w:eastAsia="Times New Roman" w:hAnsi="Arial" w:cs="Arial"/>
                <w:color w:val="000000"/>
                <w:sz w:val="16"/>
                <w:szCs w:val="16"/>
                <w:lang w:eastAsia="es-CO"/>
              </w:rPr>
              <w:t> </w:t>
            </w:r>
          </w:p>
        </w:tc>
        <w:tc>
          <w:tcPr>
            <w:tcW w:w="980" w:type="dxa"/>
            <w:tcBorders>
              <w:top w:val="nil"/>
              <w:left w:val="nil"/>
              <w:bottom w:val="single" w:sz="8" w:space="0" w:color="auto"/>
              <w:right w:val="single" w:sz="8" w:space="0" w:color="auto"/>
            </w:tcBorders>
            <w:shd w:val="clear" w:color="000000" w:fill="D9D9D9"/>
            <w:vAlign w:val="center"/>
            <w:hideMark/>
          </w:tcPr>
          <w:p w14:paraId="7DF779C8"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4.138</w:t>
            </w:r>
          </w:p>
        </w:tc>
        <w:tc>
          <w:tcPr>
            <w:tcW w:w="860" w:type="dxa"/>
            <w:tcBorders>
              <w:top w:val="nil"/>
              <w:left w:val="nil"/>
              <w:bottom w:val="single" w:sz="8" w:space="0" w:color="auto"/>
              <w:right w:val="single" w:sz="8" w:space="0" w:color="auto"/>
            </w:tcBorders>
            <w:shd w:val="clear" w:color="000000" w:fill="D9D9D9"/>
            <w:vAlign w:val="center"/>
            <w:hideMark/>
          </w:tcPr>
          <w:p w14:paraId="1A07EEFC"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2.581</w:t>
            </w:r>
          </w:p>
        </w:tc>
        <w:tc>
          <w:tcPr>
            <w:tcW w:w="820" w:type="dxa"/>
            <w:tcBorders>
              <w:top w:val="nil"/>
              <w:left w:val="nil"/>
              <w:bottom w:val="single" w:sz="8" w:space="0" w:color="auto"/>
              <w:right w:val="single" w:sz="8" w:space="0" w:color="auto"/>
            </w:tcBorders>
            <w:shd w:val="clear" w:color="000000" w:fill="D9D9D9"/>
            <w:vAlign w:val="center"/>
            <w:hideMark/>
          </w:tcPr>
          <w:p w14:paraId="3D6800CE"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-38%</w:t>
            </w:r>
          </w:p>
        </w:tc>
        <w:tc>
          <w:tcPr>
            <w:tcW w:w="1020" w:type="dxa"/>
            <w:tcBorders>
              <w:top w:val="nil"/>
              <w:left w:val="nil"/>
              <w:bottom w:val="single" w:sz="8" w:space="0" w:color="auto"/>
              <w:right w:val="single" w:sz="8" w:space="0" w:color="auto"/>
            </w:tcBorders>
            <w:shd w:val="clear" w:color="000000" w:fill="D9D9D9"/>
            <w:vAlign w:val="center"/>
            <w:hideMark/>
          </w:tcPr>
          <w:p w14:paraId="59F3AEB5"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606</w:t>
            </w:r>
          </w:p>
        </w:tc>
      </w:tr>
      <w:tr w:rsidR="007119C9" w:rsidRPr="00DB281B" w14:paraId="7D46DFD2"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FFFFFF"/>
            <w:vAlign w:val="center"/>
            <w:hideMark/>
          </w:tcPr>
          <w:p w14:paraId="4506423F"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Pago Servicios Públicos de las Instituciones Educativas </w:t>
            </w:r>
          </w:p>
        </w:tc>
        <w:tc>
          <w:tcPr>
            <w:tcW w:w="980" w:type="dxa"/>
            <w:tcBorders>
              <w:top w:val="nil"/>
              <w:left w:val="nil"/>
              <w:bottom w:val="single" w:sz="8" w:space="0" w:color="auto"/>
              <w:right w:val="single" w:sz="8" w:space="0" w:color="auto"/>
            </w:tcBorders>
            <w:shd w:val="clear" w:color="auto" w:fill="auto"/>
            <w:vAlign w:val="center"/>
            <w:hideMark/>
          </w:tcPr>
          <w:p w14:paraId="1C285403"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2.614</w:t>
            </w:r>
          </w:p>
        </w:tc>
        <w:tc>
          <w:tcPr>
            <w:tcW w:w="860" w:type="dxa"/>
            <w:tcBorders>
              <w:top w:val="nil"/>
              <w:left w:val="nil"/>
              <w:bottom w:val="single" w:sz="8" w:space="0" w:color="auto"/>
              <w:right w:val="single" w:sz="8" w:space="0" w:color="auto"/>
            </w:tcBorders>
            <w:shd w:val="clear" w:color="auto" w:fill="auto"/>
            <w:vAlign w:val="center"/>
            <w:hideMark/>
          </w:tcPr>
          <w:p w14:paraId="522BCADC"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1.836</w:t>
            </w:r>
          </w:p>
        </w:tc>
        <w:tc>
          <w:tcPr>
            <w:tcW w:w="820" w:type="dxa"/>
            <w:tcBorders>
              <w:top w:val="nil"/>
              <w:left w:val="nil"/>
              <w:bottom w:val="single" w:sz="8" w:space="0" w:color="auto"/>
              <w:right w:val="single" w:sz="8" w:space="0" w:color="auto"/>
            </w:tcBorders>
            <w:shd w:val="clear" w:color="auto" w:fill="auto"/>
            <w:vAlign w:val="center"/>
            <w:hideMark/>
          </w:tcPr>
          <w:p w14:paraId="7512369B"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-30%</w:t>
            </w:r>
          </w:p>
        </w:tc>
        <w:tc>
          <w:tcPr>
            <w:tcW w:w="1020" w:type="dxa"/>
            <w:tcBorders>
              <w:top w:val="nil"/>
              <w:left w:val="nil"/>
              <w:bottom w:val="single" w:sz="8" w:space="0" w:color="auto"/>
              <w:right w:val="single" w:sz="8" w:space="0" w:color="auto"/>
            </w:tcBorders>
            <w:shd w:val="clear" w:color="auto" w:fill="auto"/>
            <w:vAlign w:val="center"/>
            <w:hideMark/>
          </w:tcPr>
          <w:p w14:paraId="56C5CC99"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0</w:t>
            </w:r>
          </w:p>
        </w:tc>
      </w:tr>
      <w:tr w:rsidR="007119C9" w:rsidRPr="00DB281B" w14:paraId="3100A51E"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FFFFFF"/>
            <w:vAlign w:val="center"/>
            <w:hideMark/>
          </w:tcPr>
          <w:p w14:paraId="23057E1E"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Transporte Escolar </w:t>
            </w:r>
          </w:p>
        </w:tc>
        <w:tc>
          <w:tcPr>
            <w:tcW w:w="980" w:type="dxa"/>
            <w:tcBorders>
              <w:top w:val="nil"/>
              <w:left w:val="nil"/>
              <w:bottom w:val="single" w:sz="8" w:space="0" w:color="auto"/>
              <w:right w:val="single" w:sz="8" w:space="0" w:color="auto"/>
            </w:tcBorders>
            <w:shd w:val="clear" w:color="auto" w:fill="auto"/>
            <w:vAlign w:val="center"/>
            <w:hideMark/>
          </w:tcPr>
          <w:p w14:paraId="24C3FE12"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947</w:t>
            </w:r>
          </w:p>
        </w:tc>
        <w:tc>
          <w:tcPr>
            <w:tcW w:w="860" w:type="dxa"/>
            <w:tcBorders>
              <w:top w:val="nil"/>
              <w:left w:val="nil"/>
              <w:bottom w:val="single" w:sz="8" w:space="0" w:color="auto"/>
              <w:right w:val="single" w:sz="8" w:space="0" w:color="auto"/>
            </w:tcBorders>
            <w:shd w:val="clear" w:color="auto" w:fill="auto"/>
            <w:vAlign w:val="center"/>
            <w:hideMark/>
          </w:tcPr>
          <w:p w14:paraId="0DF6C2B9"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86</w:t>
            </w:r>
          </w:p>
        </w:tc>
        <w:tc>
          <w:tcPr>
            <w:tcW w:w="820" w:type="dxa"/>
            <w:tcBorders>
              <w:top w:val="nil"/>
              <w:left w:val="nil"/>
              <w:bottom w:val="single" w:sz="8" w:space="0" w:color="auto"/>
              <w:right w:val="single" w:sz="8" w:space="0" w:color="auto"/>
            </w:tcBorders>
            <w:shd w:val="clear" w:color="auto" w:fill="auto"/>
            <w:vAlign w:val="center"/>
            <w:hideMark/>
          </w:tcPr>
          <w:p w14:paraId="4E98DFF0"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-91%</w:t>
            </w:r>
          </w:p>
        </w:tc>
        <w:tc>
          <w:tcPr>
            <w:tcW w:w="1020" w:type="dxa"/>
            <w:tcBorders>
              <w:top w:val="nil"/>
              <w:left w:val="nil"/>
              <w:bottom w:val="single" w:sz="8" w:space="0" w:color="auto"/>
              <w:right w:val="single" w:sz="8" w:space="0" w:color="auto"/>
            </w:tcBorders>
            <w:shd w:val="clear" w:color="auto" w:fill="auto"/>
            <w:vAlign w:val="center"/>
            <w:hideMark/>
          </w:tcPr>
          <w:p w14:paraId="59D3E4E2"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0</w:t>
            </w:r>
          </w:p>
        </w:tc>
      </w:tr>
      <w:tr w:rsidR="007119C9" w:rsidRPr="00DB281B" w14:paraId="513E34E5"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FFFFFF"/>
            <w:vAlign w:val="center"/>
            <w:hideMark/>
          </w:tcPr>
          <w:p w14:paraId="00CB42C6"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Funcionamiento Básico de los Establecimientos Educativos </w:t>
            </w:r>
          </w:p>
        </w:tc>
        <w:tc>
          <w:tcPr>
            <w:tcW w:w="980" w:type="dxa"/>
            <w:tcBorders>
              <w:top w:val="nil"/>
              <w:left w:val="nil"/>
              <w:bottom w:val="single" w:sz="8" w:space="0" w:color="auto"/>
              <w:right w:val="single" w:sz="8" w:space="0" w:color="auto"/>
            </w:tcBorders>
            <w:shd w:val="clear" w:color="auto" w:fill="auto"/>
            <w:vAlign w:val="center"/>
            <w:hideMark/>
          </w:tcPr>
          <w:p w14:paraId="10CD555D"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577</w:t>
            </w:r>
          </w:p>
        </w:tc>
        <w:tc>
          <w:tcPr>
            <w:tcW w:w="860" w:type="dxa"/>
            <w:tcBorders>
              <w:top w:val="nil"/>
              <w:left w:val="nil"/>
              <w:bottom w:val="single" w:sz="8" w:space="0" w:color="auto"/>
              <w:right w:val="single" w:sz="8" w:space="0" w:color="auto"/>
            </w:tcBorders>
            <w:shd w:val="clear" w:color="auto" w:fill="auto"/>
            <w:vAlign w:val="center"/>
            <w:hideMark/>
          </w:tcPr>
          <w:p w14:paraId="30508370"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660</w:t>
            </w:r>
          </w:p>
        </w:tc>
        <w:tc>
          <w:tcPr>
            <w:tcW w:w="820" w:type="dxa"/>
            <w:tcBorders>
              <w:top w:val="nil"/>
              <w:left w:val="nil"/>
              <w:bottom w:val="single" w:sz="8" w:space="0" w:color="auto"/>
              <w:right w:val="single" w:sz="8" w:space="0" w:color="auto"/>
            </w:tcBorders>
            <w:shd w:val="clear" w:color="auto" w:fill="auto"/>
            <w:vAlign w:val="center"/>
            <w:hideMark/>
          </w:tcPr>
          <w:p w14:paraId="1BCF3CF0"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14%</w:t>
            </w:r>
          </w:p>
        </w:tc>
        <w:tc>
          <w:tcPr>
            <w:tcW w:w="1020" w:type="dxa"/>
            <w:tcBorders>
              <w:top w:val="nil"/>
              <w:left w:val="nil"/>
              <w:bottom w:val="single" w:sz="8" w:space="0" w:color="auto"/>
              <w:right w:val="single" w:sz="8" w:space="0" w:color="auto"/>
            </w:tcBorders>
            <w:shd w:val="clear" w:color="auto" w:fill="auto"/>
            <w:vAlign w:val="center"/>
            <w:hideMark/>
          </w:tcPr>
          <w:p w14:paraId="78618BD4" w14:textId="34CF2593"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 xml:space="preserve">606 </w:t>
            </w:r>
            <w:r w:rsidRPr="00DB281B">
              <w:rPr>
                <w:rFonts w:ascii="Arial" w:eastAsia="Times New Roman" w:hAnsi="Arial" w:cs="Arial"/>
                <w:color w:val="FF0000"/>
                <w:sz w:val="16"/>
                <w:szCs w:val="16"/>
                <w:lang w:eastAsia="es-CO"/>
              </w:rPr>
              <w:t>(</w:t>
            </w:r>
            <w:r w:rsidR="00811D4E" w:rsidRPr="00DB281B">
              <w:rPr>
                <w:rFonts w:ascii="Arial" w:eastAsia="Times New Roman" w:hAnsi="Arial" w:cs="Arial"/>
                <w:color w:val="FF0000"/>
                <w:sz w:val="16"/>
                <w:szCs w:val="16"/>
                <w:lang w:eastAsia="es-CO"/>
              </w:rPr>
              <w:t>6</w:t>
            </w:r>
            <w:r w:rsidRPr="00DB281B">
              <w:rPr>
                <w:rFonts w:ascii="Arial" w:eastAsia="Times New Roman" w:hAnsi="Arial" w:cs="Arial"/>
                <w:color w:val="FF0000"/>
                <w:sz w:val="16"/>
                <w:szCs w:val="16"/>
                <w:lang w:eastAsia="es-CO"/>
              </w:rPr>
              <w:t>)</w:t>
            </w:r>
          </w:p>
        </w:tc>
      </w:tr>
      <w:tr w:rsidR="007119C9" w:rsidRPr="00DB281B" w14:paraId="4C398061"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FFFFFF"/>
            <w:vAlign w:val="center"/>
            <w:hideMark/>
          </w:tcPr>
          <w:p w14:paraId="5A801493" w14:textId="77777777" w:rsidR="007119C9" w:rsidRPr="00DB281B" w:rsidRDefault="007119C9" w:rsidP="00DB281B">
            <w:pPr>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Dotación Institucional de Material y Medio pedagógicos para el Aprendizaje</w:t>
            </w:r>
          </w:p>
        </w:tc>
        <w:tc>
          <w:tcPr>
            <w:tcW w:w="980" w:type="dxa"/>
            <w:tcBorders>
              <w:top w:val="nil"/>
              <w:left w:val="nil"/>
              <w:bottom w:val="single" w:sz="8" w:space="0" w:color="auto"/>
              <w:right w:val="single" w:sz="8" w:space="0" w:color="auto"/>
            </w:tcBorders>
            <w:shd w:val="clear" w:color="auto" w:fill="auto"/>
            <w:vAlign w:val="center"/>
            <w:hideMark/>
          </w:tcPr>
          <w:p w14:paraId="7EA22E01"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0</w:t>
            </w:r>
          </w:p>
        </w:tc>
        <w:tc>
          <w:tcPr>
            <w:tcW w:w="860" w:type="dxa"/>
            <w:tcBorders>
              <w:top w:val="nil"/>
              <w:left w:val="nil"/>
              <w:bottom w:val="single" w:sz="8" w:space="0" w:color="auto"/>
              <w:right w:val="single" w:sz="8" w:space="0" w:color="auto"/>
            </w:tcBorders>
            <w:shd w:val="clear" w:color="auto" w:fill="auto"/>
            <w:vAlign w:val="center"/>
            <w:hideMark/>
          </w:tcPr>
          <w:p w14:paraId="2ECBDE11"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0</w:t>
            </w:r>
          </w:p>
        </w:tc>
        <w:tc>
          <w:tcPr>
            <w:tcW w:w="820" w:type="dxa"/>
            <w:tcBorders>
              <w:top w:val="nil"/>
              <w:left w:val="nil"/>
              <w:bottom w:val="single" w:sz="8" w:space="0" w:color="auto"/>
              <w:right w:val="single" w:sz="8" w:space="0" w:color="auto"/>
            </w:tcBorders>
            <w:shd w:val="clear" w:color="auto" w:fill="auto"/>
            <w:vAlign w:val="center"/>
            <w:hideMark/>
          </w:tcPr>
          <w:p w14:paraId="5E12F5D6"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0%</w:t>
            </w:r>
          </w:p>
        </w:tc>
        <w:tc>
          <w:tcPr>
            <w:tcW w:w="1020" w:type="dxa"/>
            <w:tcBorders>
              <w:top w:val="nil"/>
              <w:left w:val="nil"/>
              <w:bottom w:val="single" w:sz="8" w:space="0" w:color="auto"/>
              <w:right w:val="single" w:sz="8" w:space="0" w:color="auto"/>
            </w:tcBorders>
            <w:shd w:val="clear" w:color="auto" w:fill="auto"/>
            <w:vAlign w:val="center"/>
            <w:hideMark/>
          </w:tcPr>
          <w:p w14:paraId="186DED68" w14:textId="77777777" w:rsidR="007119C9" w:rsidRPr="00DB281B" w:rsidRDefault="007119C9" w:rsidP="00DB281B">
            <w:pPr>
              <w:jc w:val="right"/>
              <w:rPr>
                <w:rFonts w:ascii="Arial" w:eastAsia="Times New Roman" w:hAnsi="Arial" w:cs="Arial"/>
                <w:color w:val="000000"/>
                <w:sz w:val="16"/>
                <w:szCs w:val="16"/>
                <w:lang w:eastAsia="es-CO"/>
              </w:rPr>
            </w:pPr>
            <w:r w:rsidRPr="00DB281B">
              <w:rPr>
                <w:rFonts w:ascii="Arial" w:eastAsia="Times New Roman" w:hAnsi="Arial" w:cs="Arial"/>
                <w:color w:val="000000"/>
                <w:sz w:val="16"/>
                <w:szCs w:val="16"/>
                <w:lang w:eastAsia="es-CO"/>
              </w:rPr>
              <w:t>0</w:t>
            </w:r>
          </w:p>
        </w:tc>
      </w:tr>
      <w:tr w:rsidR="007119C9" w:rsidRPr="00DB281B" w14:paraId="2822FEC9"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D9D9D9"/>
            <w:vAlign w:val="center"/>
            <w:hideMark/>
          </w:tcPr>
          <w:p w14:paraId="54FEDBA9" w14:textId="77777777" w:rsidR="007119C9" w:rsidRPr="00DB281B" w:rsidRDefault="007119C9" w:rsidP="00DB281B">
            <w:pPr>
              <w:jc w:val="both"/>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GASTOS EFICIENCIA</w:t>
            </w:r>
          </w:p>
        </w:tc>
        <w:tc>
          <w:tcPr>
            <w:tcW w:w="980" w:type="dxa"/>
            <w:tcBorders>
              <w:top w:val="nil"/>
              <w:left w:val="nil"/>
              <w:bottom w:val="single" w:sz="8" w:space="0" w:color="auto"/>
              <w:right w:val="single" w:sz="8" w:space="0" w:color="auto"/>
            </w:tcBorders>
            <w:shd w:val="clear" w:color="000000" w:fill="D9D9D9"/>
            <w:vAlign w:val="center"/>
            <w:hideMark/>
          </w:tcPr>
          <w:p w14:paraId="503DB4BD" w14:textId="7532B2DB"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 xml:space="preserve">2.222 </w:t>
            </w:r>
            <w:r w:rsidRPr="00DB281B">
              <w:rPr>
                <w:rFonts w:ascii="Arial" w:eastAsia="Times New Roman" w:hAnsi="Arial" w:cs="Arial"/>
                <w:b/>
                <w:bCs/>
                <w:color w:val="FF0000"/>
                <w:sz w:val="16"/>
                <w:szCs w:val="16"/>
                <w:lang w:eastAsia="es-CO"/>
              </w:rPr>
              <w:t>(</w:t>
            </w:r>
            <w:r w:rsidR="00811D4E" w:rsidRPr="00DB281B">
              <w:rPr>
                <w:rFonts w:ascii="Arial" w:eastAsia="Times New Roman" w:hAnsi="Arial" w:cs="Arial"/>
                <w:b/>
                <w:bCs/>
                <w:color w:val="FF0000"/>
                <w:sz w:val="16"/>
                <w:szCs w:val="16"/>
                <w:lang w:eastAsia="es-CO"/>
              </w:rPr>
              <w:t>4</w:t>
            </w:r>
            <w:r w:rsidRPr="00DB281B">
              <w:rPr>
                <w:rFonts w:ascii="Arial" w:eastAsia="Times New Roman" w:hAnsi="Arial" w:cs="Arial"/>
                <w:b/>
                <w:bCs/>
                <w:color w:val="FF0000"/>
                <w:sz w:val="16"/>
                <w:szCs w:val="16"/>
                <w:lang w:eastAsia="es-CO"/>
              </w:rPr>
              <w:t>)</w:t>
            </w:r>
          </w:p>
        </w:tc>
        <w:tc>
          <w:tcPr>
            <w:tcW w:w="860" w:type="dxa"/>
            <w:tcBorders>
              <w:top w:val="nil"/>
              <w:left w:val="nil"/>
              <w:bottom w:val="single" w:sz="8" w:space="0" w:color="auto"/>
              <w:right w:val="single" w:sz="8" w:space="0" w:color="auto"/>
            </w:tcBorders>
            <w:shd w:val="clear" w:color="000000" w:fill="D9D9D9"/>
            <w:vAlign w:val="center"/>
            <w:hideMark/>
          </w:tcPr>
          <w:p w14:paraId="6A4BA866"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0</w:t>
            </w:r>
          </w:p>
        </w:tc>
        <w:tc>
          <w:tcPr>
            <w:tcW w:w="820" w:type="dxa"/>
            <w:tcBorders>
              <w:top w:val="nil"/>
              <w:left w:val="nil"/>
              <w:bottom w:val="single" w:sz="8" w:space="0" w:color="auto"/>
              <w:right w:val="single" w:sz="8" w:space="0" w:color="auto"/>
            </w:tcBorders>
            <w:shd w:val="clear" w:color="000000" w:fill="D9D9D9"/>
            <w:vAlign w:val="center"/>
            <w:hideMark/>
          </w:tcPr>
          <w:p w14:paraId="738846EA"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-100%</w:t>
            </w:r>
          </w:p>
        </w:tc>
        <w:tc>
          <w:tcPr>
            <w:tcW w:w="1020" w:type="dxa"/>
            <w:tcBorders>
              <w:top w:val="nil"/>
              <w:left w:val="nil"/>
              <w:bottom w:val="single" w:sz="8" w:space="0" w:color="auto"/>
              <w:right w:val="single" w:sz="8" w:space="0" w:color="auto"/>
            </w:tcBorders>
            <w:shd w:val="clear" w:color="000000" w:fill="D9D9D9"/>
            <w:vAlign w:val="center"/>
            <w:hideMark/>
          </w:tcPr>
          <w:p w14:paraId="4E15747F"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0</w:t>
            </w:r>
          </w:p>
        </w:tc>
      </w:tr>
      <w:tr w:rsidR="007119C9" w:rsidRPr="00DB281B" w14:paraId="3733AED5"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D9D9D9"/>
            <w:vAlign w:val="center"/>
            <w:hideMark/>
          </w:tcPr>
          <w:p w14:paraId="619525E8"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NECESIDADES EDUCATIVAS ESPECIALES</w:t>
            </w:r>
            <w:r w:rsidRPr="00DB281B">
              <w:rPr>
                <w:rFonts w:ascii="Arial" w:eastAsia="Times New Roman" w:hAnsi="Arial" w:cs="Arial"/>
                <w:color w:val="000000"/>
                <w:sz w:val="16"/>
                <w:szCs w:val="16"/>
                <w:lang w:eastAsia="es-CO"/>
              </w:rPr>
              <w:t> </w:t>
            </w:r>
          </w:p>
        </w:tc>
        <w:tc>
          <w:tcPr>
            <w:tcW w:w="980" w:type="dxa"/>
            <w:tcBorders>
              <w:top w:val="nil"/>
              <w:left w:val="nil"/>
              <w:bottom w:val="single" w:sz="8" w:space="0" w:color="auto"/>
              <w:right w:val="single" w:sz="8" w:space="0" w:color="auto"/>
            </w:tcBorders>
            <w:shd w:val="clear" w:color="000000" w:fill="D9D9D9"/>
            <w:vAlign w:val="center"/>
            <w:hideMark/>
          </w:tcPr>
          <w:p w14:paraId="31DC1AA9"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839</w:t>
            </w:r>
          </w:p>
        </w:tc>
        <w:tc>
          <w:tcPr>
            <w:tcW w:w="860" w:type="dxa"/>
            <w:tcBorders>
              <w:top w:val="nil"/>
              <w:left w:val="nil"/>
              <w:bottom w:val="single" w:sz="8" w:space="0" w:color="auto"/>
              <w:right w:val="single" w:sz="8" w:space="0" w:color="auto"/>
            </w:tcBorders>
            <w:shd w:val="clear" w:color="000000" w:fill="D9D9D9"/>
            <w:vAlign w:val="center"/>
            <w:hideMark/>
          </w:tcPr>
          <w:p w14:paraId="63F79604"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1.866</w:t>
            </w:r>
          </w:p>
        </w:tc>
        <w:tc>
          <w:tcPr>
            <w:tcW w:w="820" w:type="dxa"/>
            <w:tcBorders>
              <w:top w:val="nil"/>
              <w:left w:val="nil"/>
              <w:bottom w:val="single" w:sz="8" w:space="0" w:color="auto"/>
              <w:right w:val="single" w:sz="8" w:space="0" w:color="auto"/>
            </w:tcBorders>
            <w:shd w:val="clear" w:color="000000" w:fill="D9D9D9"/>
            <w:vAlign w:val="center"/>
            <w:hideMark/>
          </w:tcPr>
          <w:p w14:paraId="2C430261"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122%</w:t>
            </w:r>
          </w:p>
        </w:tc>
        <w:tc>
          <w:tcPr>
            <w:tcW w:w="1020" w:type="dxa"/>
            <w:tcBorders>
              <w:top w:val="nil"/>
              <w:left w:val="nil"/>
              <w:bottom w:val="single" w:sz="8" w:space="0" w:color="auto"/>
              <w:right w:val="single" w:sz="8" w:space="0" w:color="auto"/>
            </w:tcBorders>
            <w:shd w:val="clear" w:color="000000" w:fill="D9D9D9"/>
            <w:vAlign w:val="center"/>
            <w:hideMark/>
          </w:tcPr>
          <w:p w14:paraId="21BEFE6F"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103</w:t>
            </w:r>
          </w:p>
        </w:tc>
      </w:tr>
      <w:tr w:rsidR="007119C9" w:rsidRPr="00DB281B" w14:paraId="47184A47"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D9D9D9"/>
            <w:vAlign w:val="center"/>
            <w:hideMark/>
          </w:tcPr>
          <w:p w14:paraId="54C6F84B" w14:textId="77777777" w:rsidR="007119C9" w:rsidRPr="00DB281B" w:rsidRDefault="007119C9" w:rsidP="00DB281B">
            <w:pPr>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 xml:space="preserve">COMPETENCIAS LABORALES GENERALES Y FORMACIÓN PARA EL TRABAJO Y EL DESARROLLO HUMANO </w:t>
            </w:r>
          </w:p>
        </w:tc>
        <w:tc>
          <w:tcPr>
            <w:tcW w:w="980" w:type="dxa"/>
            <w:tcBorders>
              <w:top w:val="nil"/>
              <w:left w:val="nil"/>
              <w:bottom w:val="single" w:sz="8" w:space="0" w:color="auto"/>
              <w:right w:val="single" w:sz="8" w:space="0" w:color="auto"/>
            </w:tcBorders>
            <w:shd w:val="clear" w:color="000000" w:fill="D9D9D9"/>
            <w:vAlign w:val="center"/>
            <w:hideMark/>
          </w:tcPr>
          <w:p w14:paraId="70304A0F"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0</w:t>
            </w:r>
          </w:p>
        </w:tc>
        <w:tc>
          <w:tcPr>
            <w:tcW w:w="860" w:type="dxa"/>
            <w:tcBorders>
              <w:top w:val="nil"/>
              <w:left w:val="nil"/>
              <w:bottom w:val="single" w:sz="8" w:space="0" w:color="auto"/>
              <w:right w:val="single" w:sz="8" w:space="0" w:color="auto"/>
            </w:tcBorders>
            <w:shd w:val="clear" w:color="000000" w:fill="D9D9D9"/>
            <w:vAlign w:val="center"/>
            <w:hideMark/>
          </w:tcPr>
          <w:p w14:paraId="0796021C"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226</w:t>
            </w:r>
          </w:p>
        </w:tc>
        <w:tc>
          <w:tcPr>
            <w:tcW w:w="820" w:type="dxa"/>
            <w:tcBorders>
              <w:top w:val="nil"/>
              <w:left w:val="nil"/>
              <w:bottom w:val="single" w:sz="8" w:space="0" w:color="auto"/>
              <w:right w:val="single" w:sz="8" w:space="0" w:color="auto"/>
            </w:tcBorders>
            <w:shd w:val="clear" w:color="000000" w:fill="D9D9D9"/>
            <w:vAlign w:val="center"/>
            <w:hideMark/>
          </w:tcPr>
          <w:p w14:paraId="20DBABF0"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100%</w:t>
            </w:r>
          </w:p>
        </w:tc>
        <w:tc>
          <w:tcPr>
            <w:tcW w:w="1020" w:type="dxa"/>
            <w:tcBorders>
              <w:top w:val="nil"/>
              <w:left w:val="nil"/>
              <w:bottom w:val="single" w:sz="8" w:space="0" w:color="auto"/>
              <w:right w:val="single" w:sz="8" w:space="0" w:color="auto"/>
            </w:tcBorders>
            <w:shd w:val="clear" w:color="000000" w:fill="D9D9D9"/>
            <w:vAlign w:val="center"/>
            <w:hideMark/>
          </w:tcPr>
          <w:p w14:paraId="265FDFC5"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0</w:t>
            </w:r>
          </w:p>
        </w:tc>
      </w:tr>
      <w:tr w:rsidR="007119C9" w:rsidRPr="00DB281B" w14:paraId="1D1772AB"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D9D9D9"/>
            <w:vAlign w:val="center"/>
            <w:hideMark/>
          </w:tcPr>
          <w:p w14:paraId="09E66B1A" w14:textId="77777777" w:rsidR="007119C9" w:rsidRPr="00DB281B" w:rsidRDefault="007119C9" w:rsidP="00DB281B">
            <w:pPr>
              <w:jc w:val="both"/>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APLICACIÓN DE PROYECTOS EDUCATIVOS TRANSVERSALES</w:t>
            </w:r>
            <w:r w:rsidRPr="00DB281B">
              <w:rPr>
                <w:rFonts w:ascii="Arial" w:eastAsia="Times New Roman" w:hAnsi="Arial" w:cs="Arial"/>
                <w:color w:val="000000"/>
                <w:sz w:val="16"/>
                <w:szCs w:val="16"/>
                <w:lang w:eastAsia="es-CO"/>
              </w:rPr>
              <w:t> </w:t>
            </w:r>
          </w:p>
        </w:tc>
        <w:tc>
          <w:tcPr>
            <w:tcW w:w="980" w:type="dxa"/>
            <w:tcBorders>
              <w:top w:val="nil"/>
              <w:left w:val="nil"/>
              <w:bottom w:val="single" w:sz="8" w:space="0" w:color="auto"/>
              <w:right w:val="single" w:sz="8" w:space="0" w:color="auto"/>
            </w:tcBorders>
            <w:shd w:val="clear" w:color="000000" w:fill="D9D9D9"/>
            <w:vAlign w:val="center"/>
            <w:hideMark/>
          </w:tcPr>
          <w:p w14:paraId="67A767BC" w14:textId="07210432"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 xml:space="preserve">306 </w:t>
            </w:r>
            <w:r w:rsidRPr="00DB281B">
              <w:rPr>
                <w:rFonts w:ascii="Arial" w:eastAsia="Times New Roman" w:hAnsi="Arial" w:cs="Arial"/>
                <w:b/>
                <w:bCs/>
                <w:color w:val="FF0000"/>
                <w:sz w:val="16"/>
                <w:szCs w:val="16"/>
                <w:lang w:eastAsia="es-CO"/>
              </w:rPr>
              <w:t>(</w:t>
            </w:r>
            <w:r w:rsidR="00811D4E" w:rsidRPr="00DB281B">
              <w:rPr>
                <w:rFonts w:ascii="Arial" w:eastAsia="Times New Roman" w:hAnsi="Arial" w:cs="Arial"/>
                <w:b/>
                <w:bCs/>
                <w:color w:val="FF0000"/>
                <w:sz w:val="16"/>
                <w:szCs w:val="16"/>
                <w:lang w:eastAsia="es-CO"/>
              </w:rPr>
              <w:t>5</w:t>
            </w:r>
            <w:r w:rsidRPr="00DB281B">
              <w:rPr>
                <w:rFonts w:ascii="Arial" w:eastAsia="Times New Roman" w:hAnsi="Arial" w:cs="Arial"/>
                <w:b/>
                <w:bCs/>
                <w:color w:val="FF0000"/>
                <w:sz w:val="16"/>
                <w:szCs w:val="16"/>
                <w:lang w:eastAsia="es-CO"/>
              </w:rPr>
              <w:t>)</w:t>
            </w:r>
          </w:p>
        </w:tc>
        <w:tc>
          <w:tcPr>
            <w:tcW w:w="860" w:type="dxa"/>
            <w:tcBorders>
              <w:top w:val="nil"/>
              <w:left w:val="nil"/>
              <w:bottom w:val="single" w:sz="8" w:space="0" w:color="auto"/>
              <w:right w:val="single" w:sz="8" w:space="0" w:color="auto"/>
            </w:tcBorders>
            <w:shd w:val="clear" w:color="000000" w:fill="D9D9D9"/>
            <w:vAlign w:val="center"/>
            <w:hideMark/>
          </w:tcPr>
          <w:p w14:paraId="1C438658"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0</w:t>
            </w:r>
          </w:p>
        </w:tc>
        <w:tc>
          <w:tcPr>
            <w:tcW w:w="820" w:type="dxa"/>
            <w:tcBorders>
              <w:top w:val="nil"/>
              <w:left w:val="nil"/>
              <w:bottom w:val="single" w:sz="8" w:space="0" w:color="auto"/>
              <w:right w:val="single" w:sz="8" w:space="0" w:color="auto"/>
            </w:tcBorders>
            <w:shd w:val="clear" w:color="000000" w:fill="D9D9D9"/>
            <w:vAlign w:val="center"/>
            <w:hideMark/>
          </w:tcPr>
          <w:p w14:paraId="658598C9"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-100%</w:t>
            </w:r>
          </w:p>
        </w:tc>
        <w:tc>
          <w:tcPr>
            <w:tcW w:w="1020" w:type="dxa"/>
            <w:tcBorders>
              <w:top w:val="nil"/>
              <w:left w:val="nil"/>
              <w:bottom w:val="single" w:sz="8" w:space="0" w:color="auto"/>
              <w:right w:val="single" w:sz="8" w:space="0" w:color="auto"/>
            </w:tcBorders>
            <w:shd w:val="clear" w:color="000000" w:fill="D9D9D9"/>
            <w:vAlign w:val="center"/>
            <w:hideMark/>
          </w:tcPr>
          <w:p w14:paraId="51434769" w14:textId="77777777" w:rsidR="007119C9" w:rsidRPr="00DB281B" w:rsidRDefault="007119C9" w:rsidP="00DB281B">
            <w:pPr>
              <w:jc w:val="right"/>
              <w:rPr>
                <w:rFonts w:ascii="Arial" w:eastAsia="Times New Roman" w:hAnsi="Arial" w:cs="Arial"/>
                <w:b/>
                <w:bCs/>
                <w:color w:val="000000"/>
                <w:sz w:val="16"/>
                <w:szCs w:val="16"/>
                <w:lang w:eastAsia="es-CO"/>
              </w:rPr>
            </w:pPr>
            <w:r w:rsidRPr="00DB281B">
              <w:rPr>
                <w:rFonts w:ascii="Arial" w:eastAsia="Times New Roman" w:hAnsi="Arial" w:cs="Arial"/>
                <w:b/>
                <w:bCs/>
                <w:color w:val="000000"/>
                <w:sz w:val="16"/>
                <w:szCs w:val="16"/>
                <w:lang w:eastAsia="es-CO"/>
              </w:rPr>
              <w:t>0</w:t>
            </w:r>
          </w:p>
        </w:tc>
      </w:tr>
      <w:tr w:rsidR="007119C9" w:rsidRPr="00DB281B" w14:paraId="2BF8452E" w14:textId="77777777" w:rsidTr="007119C9">
        <w:trPr>
          <w:trHeight w:val="20"/>
        </w:trPr>
        <w:tc>
          <w:tcPr>
            <w:tcW w:w="5380" w:type="dxa"/>
            <w:tcBorders>
              <w:top w:val="nil"/>
              <w:left w:val="single" w:sz="8" w:space="0" w:color="auto"/>
              <w:bottom w:val="single" w:sz="8" w:space="0" w:color="auto"/>
              <w:right w:val="single" w:sz="8" w:space="0" w:color="auto"/>
            </w:tcBorders>
            <w:shd w:val="clear" w:color="000000" w:fill="244061"/>
            <w:vAlign w:val="center"/>
            <w:hideMark/>
          </w:tcPr>
          <w:p w14:paraId="2796D6B3" w14:textId="77777777" w:rsidR="007119C9" w:rsidRPr="00DB281B" w:rsidRDefault="007119C9" w:rsidP="00DB281B">
            <w:pPr>
              <w:jc w:val="both"/>
              <w:rPr>
                <w:rFonts w:ascii="Arial" w:eastAsia="Times New Roman" w:hAnsi="Arial" w:cs="Arial"/>
                <w:b/>
                <w:bCs/>
                <w:color w:val="FFFFFF"/>
                <w:sz w:val="16"/>
                <w:szCs w:val="16"/>
                <w:lang w:eastAsia="es-CO"/>
              </w:rPr>
            </w:pPr>
            <w:r w:rsidRPr="00DB281B">
              <w:rPr>
                <w:rFonts w:ascii="Arial" w:eastAsia="Times New Roman" w:hAnsi="Arial" w:cs="Arial"/>
                <w:b/>
                <w:bCs/>
                <w:color w:val="FFFFFF"/>
                <w:sz w:val="16"/>
                <w:szCs w:val="16"/>
                <w:lang w:eastAsia="es-CO"/>
              </w:rPr>
              <w:t>TOTAL COMPROMISOS SGP – Educación</w:t>
            </w:r>
            <w:r w:rsidRPr="00DB281B">
              <w:rPr>
                <w:rFonts w:ascii="Arial" w:eastAsia="Times New Roman" w:hAnsi="Arial" w:cs="Arial"/>
                <w:color w:val="FFFFFF"/>
                <w:sz w:val="16"/>
                <w:szCs w:val="16"/>
                <w:lang w:eastAsia="es-CO"/>
              </w:rPr>
              <w:t> </w:t>
            </w:r>
          </w:p>
        </w:tc>
        <w:tc>
          <w:tcPr>
            <w:tcW w:w="980" w:type="dxa"/>
            <w:tcBorders>
              <w:top w:val="nil"/>
              <w:left w:val="nil"/>
              <w:bottom w:val="single" w:sz="8" w:space="0" w:color="auto"/>
              <w:right w:val="single" w:sz="8" w:space="0" w:color="auto"/>
            </w:tcBorders>
            <w:shd w:val="clear" w:color="000000" w:fill="244061"/>
            <w:vAlign w:val="center"/>
            <w:hideMark/>
          </w:tcPr>
          <w:p w14:paraId="60B75CEE" w14:textId="77777777" w:rsidR="007119C9" w:rsidRPr="00DB281B" w:rsidRDefault="007119C9" w:rsidP="00DB281B">
            <w:pPr>
              <w:jc w:val="right"/>
              <w:rPr>
                <w:rFonts w:ascii="Arial" w:eastAsia="Times New Roman" w:hAnsi="Arial" w:cs="Arial"/>
                <w:b/>
                <w:bCs/>
                <w:color w:val="FFFFFF"/>
                <w:sz w:val="16"/>
                <w:szCs w:val="16"/>
                <w:lang w:eastAsia="es-CO"/>
              </w:rPr>
            </w:pPr>
            <w:r w:rsidRPr="00DB281B">
              <w:rPr>
                <w:rFonts w:ascii="Arial" w:eastAsia="Times New Roman" w:hAnsi="Arial" w:cs="Arial"/>
                <w:b/>
                <w:bCs/>
                <w:color w:val="FFFFFF"/>
                <w:sz w:val="16"/>
                <w:szCs w:val="16"/>
                <w:lang w:eastAsia="es-CO"/>
              </w:rPr>
              <w:t>747.332</w:t>
            </w:r>
          </w:p>
        </w:tc>
        <w:tc>
          <w:tcPr>
            <w:tcW w:w="860" w:type="dxa"/>
            <w:tcBorders>
              <w:top w:val="nil"/>
              <w:left w:val="nil"/>
              <w:bottom w:val="single" w:sz="8" w:space="0" w:color="auto"/>
              <w:right w:val="single" w:sz="8" w:space="0" w:color="auto"/>
            </w:tcBorders>
            <w:shd w:val="clear" w:color="000000" w:fill="244061"/>
            <w:vAlign w:val="center"/>
            <w:hideMark/>
          </w:tcPr>
          <w:p w14:paraId="7574F05F" w14:textId="77777777" w:rsidR="007119C9" w:rsidRPr="00DB281B" w:rsidRDefault="007119C9" w:rsidP="00DB281B">
            <w:pPr>
              <w:jc w:val="right"/>
              <w:rPr>
                <w:rFonts w:ascii="Arial" w:eastAsia="Times New Roman" w:hAnsi="Arial" w:cs="Arial"/>
                <w:b/>
                <w:bCs/>
                <w:color w:val="FFFFFF"/>
                <w:sz w:val="16"/>
                <w:szCs w:val="16"/>
                <w:lang w:eastAsia="es-CO"/>
              </w:rPr>
            </w:pPr>
            <w:r w:rsidRPr="00DB281B">
              <w:rPr>
                <w:rFonts w:ascii="Arial" w:eastAsia="Times New Roman" w:hAnsi="Arial" w:cs="Arial"/>
                <w:b/>
                <w:bCs/>
                <w:color w:val="FFFFFF"/>
                <w:sz w:val="16"/>
                <w:szCs w:val="16"/>
                <w:lang w:eastAsia="es-CO"/>
              </w:rPr>
              <w:t>793.543</w:t>
            </w:r>
          </w:p>
        </w:tc>
        <w:tc>
          <w:tcPr>
            <w:tcW w:w="820" w:type="dxa"/>
            <w:tcBorders>
              <w:top w:val="nil"/>
              <w:left w:val="nil"/>
              <w:bottom w:val="single" w:sz="8" w:space="0" w:color="auto"/>
              <w:right w:val="single" w:sz="8" w:space="0" w:color="auto"/>
            </w:tcBorders>
            <w:shd w:val="clear" w:color="000000" w:fill="244061"/>
            <w:vAlign w:val="center"/>
            <w:hideMark/>
          </w:tcPr>
          <w:p w14:paraId="22366B84" w14:textId="77777777" w:rsidR="007119C9" w:rsidRPr="00DB281B" w:rsidRDefault="007119C9" w:rsidP="00DB281B">
            <w:pPr>
              <w:jc w:val="right"/>
              <w:rPr>
                <w:rFonts w:ascii="Arial" w:eastAsia="Times New Roman" w:hAnsi="Arial" w:cs="Arial"/>
                <w:b/>
                <w:bCs/>
                <w:color w:val="FFFFFF"/>
                <w:sz w:val="16"/>
                <w:szCs w:val="16"/>
                <w:lang w:eastAsia="es-CO"/>
              </w:rPr>
            </w:pPr>
            <w:r w:rsidRPr="00DB281B">
              <w:rPr>
                <w:rFonts w:ascii="Arial" w:eastAsia="Times New Roman" w:hAnsi="Arial" w:cs="Arial"/>
                <w:b/>
                <w:bCs/>
                <w:color w:val="FFFFFF"/>
                <w:sz w:val="16"/>
                <w:szCs w:val="16"/>
                <w:lang w:eastAsia="es-CO"/>
              </w:rPr>
              <w:t>6%</w:t>
            </w:r>
          </w:p>
        </w:tc>
        <w:tc>
          <w:tcPr>
            <w:tcW w:w="1020" w:type="dxa"/>
            <w:tcBorders>
              <w:top w:val="nil"/>
              <w:left w:val="nil"/>
              <w:bottom w:val="single" w:sz="8" w:space="0" w:color="auto"/>
              <w:right w:val="single" w:sz="8" w:space="0" w:color="auto"/>
            </w:tcBorders>
            <w:shd w:val="clear" w:color="000000" w:fill="244061"/>
            <w:vAlign w:val="center"/>
            <w:hideMark/>
          </w:tcPr>
          <w:p w14:paraId="1CC77C4D" w14:textId="77777777" w:rsidR="007119C9" w:rsidRPr="00DB281B" w:rsidRDefault="007119C9" w:rsidP="00DB281B">
            <w:pPr>
              <w:jc w:val="right"/>
              <w:rPr>
                <w:rFonts w:ascii="Arial" w:eastAsia="Times New Roman" w:hAnsi="Arial" w:cs="Arial"/>
                <w:b/>
                <w:bCs/>
                <w:color w:val="FFFFFF"/>
                <w:sz w:val="16"/>
                <w:szCs w:val="16"/>
                <w:lang w:eastAsia="es-CO"/>
              </w:rPr>
            </w:pPr>
            <w:r w:rsidRPr="00DB281B">
              <w:rPr>
                <w:rFonts w:ascii="Arial" w:eastAsia="Times New Roman" w:hAnsi="Arial" w:cs="Arial"/>
                <w:b/>
                <w:bCs/>
                <w:color w:val="FFFFFF"/>
                <w:sz w:val="16"/>
                <w:szCs w:val="16"/>
                <w:lang w:eastAsia="es-CO"/>
              </w:rPr>
              <w:t>197.695</w:t>
            </w:r>
          </w:p>
        </w:tc>
      </w:tr>
    </w:tbl>
    <w:p w14:paraId="68BCA75B" w14:textId="2DDE5A31" w:rsidR="0041698C" w:rsidRPr="00DB281B" w:rsidRDefault="0041698C" w:rsidP="00DB281B">
      <w:pPr>
        <w:autoSpaceDE w:val="0"/>
        <w:autoSpaceDN w:val="0"/>
        <w:adjustRightInd w:val="0"/>
        <w:jc w:val="center"/>
        <w:rPr>
          <w:rStyle w:val="nfasissutil"/>
          <w:szCs w:val="16"/>
        </w:rPr>
      </w:pPr>
      <w:r w:rsidRPr="00DB281B">
        <w:rPr>
          <w:rStyle w:val="nfasissutil"/>
          <w:szCs w:val="16"/>
        </w:rPr>
        <w:t>Fuente: Ejecución presupuestal entregada por la entidad territorial a corte 31 de diciembre de 201</w:t>
      </w:r>
      <w:r w:rsidR="00FC6550" w:rsidRPr="00DB281B">
        <w:rPr>
          <w:rStyle w:val="nfasissutil"/>
          <w:szCs w:val="16"/>
        </w:rPr>
        <w:t>9</w:t>
      </w:r>
      <w:r w:rsidRPr="00DB281B">
        <w:rPr>
          <w:rStyle w:val="nfasissutil"/>
          <w:szCs w:val="16"/>
        </w:rPr>
        <w:t>, 20</w:t>
      </w:r>
      <w:r w:rsidR="00FC6550" w:rsidRPr="00DB281B">
        <w:rPr>
          <w:rStyle w:val="nfasissutil"/>
          <w:szCs w:val="16"/>
        </w:rPr>
        <w:t>20</w:t>
      </w:r>
      <w:r w:rsidRPr="00DB281B">
        <w:rPr>
          <w:rStyle w:val="nfasissutil"/>
          <w:szCs w:val="16"/>
        </w:rPr>
        <w:t xml:space="preserve"> y marzo del 202</w:t>
      </w:r>
      <w:r w:rsidR="00FC6550" w:rsidRPr="00DB281B">
        <w:rPr>
          <w:rStyle w:val="nfasissutil"/>
          <w:szCs w:val="16"/>
        </w:rPr>
        <w:t>1</w:t>
      </w:r>
      <w:r w:rsidRPr="00DB281B">
        <w:rPr>
          <w:rStyle w:val="nfasissutil"/>
          <w:szCs w:val="16"/>
        </w:rPr>
        <w:t>.</w:t>
      </w:r>
    </w:p>
    <w:p w14:paraId="286D3264" w14:textId="06C6A3AD" w:rsidR="0041698C" w:rsidRPr="00DB281B" w:rsidRDefault="0041698C" w:rsidP="00DB281B">
      <w:pPr>
        <w:autoSpaceDE w:val="0"/>
        <w:autoSpaceDN w:val="0"/>
        <w:adjustRightInd w:val="0"/>
        <w:jc w:val="center"/>
        <w:rPr>
          <w:rStyle w:val="nfasissutil"/>
          <w:sz w:val="22"/>
          <w:szCs w:val="22"/>
        </w:rPr>
      </w:pPr>
    </w:p>
    <w:p w14:paraId="3CDBC307" w14:textId="64F2F3B8" w:rsidR="004D174A" w:rsidRPr="00DB281B" w:rsidRDefault="004D174A" w:rsidP="00DB281B">
      <w:pPr>
        <w:pStyle w:val="Prrafodelista"/>
        <w:numPr>
          <w:ilvl w:val="0"/>
          <w:numId w:val="54"/>
        </w:numPr>
        <w:ind w:left="426" w:hanging="426"/>
        <w:jc w:val="both"/>
        <w:rPr>
          <w:rFonts w:ascii="Arial" w:hAnsi="Arial" w:cs="Arial"/>
          <w:sz w:val="22"/>
          <w:szCs w:val="22"/>
        </w:rPr>
      </w:pPr>
      <w:r w:rsidRPr="00DB281B">
        <w:rPr>
          <w:rFonts w:ascii="Arial" w:hAnsi="Arial" w:cs="Arial"/>
          <w:sz w:val="22"/>
          <w:szCs w:val="22"/>
        </w:rPr>
        <w:t xml:space="preserve">Se debe indagar en visita de reconocimiento el compromiso </w:t>
      </w:r>
      <w:r w:rsidR="001F0ED4">
        <w:rPr>
          <w:rFonts w:ascii="Arial" w:hAnsi="Arial" w:cs="Arial"/>
          <w:sz w:val="22"/>
          <w:szCs w:val="22"/>
        </w:rPr>
        <w:t xml:space="preserve">de </w:t>
      </w:r>
      <w:r w:rsidR="00490870" w:rsidRPr="00DB281B">
        <w:rPr>
          <w:rFonts w:ascii="Arial" w:hAnsi="Arial" w:cs="Arial"/>
          <w:sz w:val="22"/>
          <w:szCs w:val="22"/>
        </w:rPr>
        <w:t>$642 millones por concepto de “</w:t>
      </w:r>
      <w:r w:rsidR="00490870" w:rsidRPr="00DB281B">
        <w:rPr>
          <w:rFonts w:ascii="Arial" w:hAnsi="Arial" w:cs="Arial"/>
          <w:i/>
          <w:iCs/>
          <w:sz w:val="22"/>
          <w:szCs w:val="22"/>
        </w:rPr>
        <w:t>Pago de deuda aportes patronales</w:t>
      </w:r>
      <w:r w:rsidR="00490870" w:rsidRPr="00DB281B">
        <w:rPr>
          <w:rFonts w:ascii="Arial" w:hAnsi="Arial" w:cs="Arial"/>
          <w:sz w:val="22"/>
          <w:szCs w:val="22"/>
        </w:rPr>
        <w:t>”</w:t>
      </w:r>
      <w:r w:rsidR="004E7E81" w:rsidRPr="00DB281B">
        <w:rPr>
          <w:rFonts w:ascii="Arial" w:hAnsi="Arial" w:cs="Arial"/>
          <w:sz w:val="22"/>
          <w:szCs w:val="22"/>
        </w:rPr>
        <w:t xml:space="preserve"> con los recursos Sin Situación de Fondos de la participación SGP Educación, de acuerdo con la conciliación de aportes a la </w:t>
      </w:r>
      <w:proofErr w:type="spellStart"/>
      <w:r w:rsidR="004E7E81" w:rsidRPr="00DB281B">
        <w:rPr>
          <w:rFonts w:ascii="Arial" w:hAnsi="Arial" w:cs="Arial"/>
          <w:sz w:val="22"/>
          <w:szCs w:val="22"/>
        </w:rPr>
        <w:t>Fiduprevisora</w:t>
      </w:r>
      <w:proofErr w:type="spellEnd"/>
      <w:r w:rsidR="004E7E81" w:rsidRPr="00DB281B">
        <w:rPr>
          <w:rFonts w:ascii="Arial" w:hAnsi="Arial" w:cs="Arial"/>
          <w:sz w:val="22"/>
          <w:szCs w:val="22"/>
        </w:rPr>
        <w:t>.</w:t>
      </w:r>
    </w:p>
    <w:p w14:paraId="6DBF17E6" w14:textId="77777777" w:rsidR="004E7E81" w:rsidRPr="00DB281B" w:rsidRDefault="004E7E81" w:rsidP="00DB281B">
      <w:pPr>
        <w:pStyle w:val="Prrafodelista"/>
        <w:ind w:left="426" w:hanging="426"/>
        <w:jc w:val="both"/>
        <w:rPr>
          <w:rFonts w:ascii="Arial" w:hAnsi="Arial" w:cs="Arial"/>
          <w:sz w:val="22"/>
          <w:szCs w:val="22"/>
        </w:rPr>
      </w:pPr>
    </w:p>
    <w:p w14:paraId="3EE6F62C" w14:textId="197AAFB6" w:rsidR="004E7E81" w:rsidRPr="00DB281B" w:rsidRDefault="00477FB9" w:rsidP="00DB281B">
      <w:pPr>
        <w:pStyle w:val="Prrafodelista"/>
        <w:numPr>
          <w:ilvl w:val="0"/>
          <w:numId w:val="54"/>
        </w:numPr>
        <w:ind w:left="426" w:hanging="426"/>
        <w:jc w:val="both"/>
        <w:rPr>
          <w:rFonts w:ascii="Arial" w:hAnsi="Arial" w:cs="Arial"/>
          <w:sz w:val="22"/>
          <w:szCs w:val="22"/>
        </w:rPr>
      </w:pPr>
      <w:r w:rsidRPr="00DB281B">
        <w:rPr>
          <w:rFonts w:ascii="Arial" w:hAnsi="Arial" w:cs="Arial"/>
          <w:sz w:val="22"/>
          <w:szCs w:val="22"/>
        </w:rPr>
        <w:t>Se debe indagar en visita de reconocimiento a qué corresponden los $56 millones comprometidos por concepto de “</w:t>
      </w:r>
      <w:r w:rsidRPr="00DB281B">
        <w:rPr>
          <w:rFonts w:ascii="Arial" w:hAnsi="Arial" w:cs="Arial"/>
          <w:i/>
          <w:iCs/>
          <w:sz w:val="22"/>
          <w:szCs w:val="22"/>
        </w:rPr>
        <w:t>Seguros</w:t>
      </w:r>
      <w:r w:rsidRPr="00DB281B">
        <w:rPr>
          <w:rFonts w:ascii="Arial" w:hAnsi="Arial" w:cs="Arial"/>
          <w:sz w:val="22"/>
          <w:szCs w:val="22"/>
        </w:rPr>
        <w:t xml:space="preserve">”, puesto que los seguros estudiantiles no son conceptos legalmente aceptados para ser cancelados con recursos del SGP. </w:t>
      </w:r>
    </w:p>
    <w:p w14:paraId="0E1CA9C6" w14:textId="77777777" w:rsidR="004E7E81" w:rsidRPr="00DB281B" w:rsidRDefault="004E7E81" w:rsidP="00DB281B">
      <w:pPr>
        <w:pStyle w:val="Prrafodelista"/>
        <w:ind w:left="426" w:hanging="426"/>
        <w:jc w:val="both"/>
        <w:rPr>
          <w:rFonts w:ascii="Arial" w:hAnsi="Arial" w:cs="Arial"/>
          <w:sz w:val="22"/>
          <w:szCs w:val="22"/>
        </w:rPr>
      </w:pPr>
    </w:p>
    <w:p w14:paraId="7173D138" w14:textId="644D38A6" w:rsidR="007D1753" w:rsidRPr="00DB281B" w:rsidRDefault="007D1753" w:rsidP="00DB281B">
      <w:pPr>
        <w:pStyle w:val="Prrafodelista"/>
        <w:numPr>
          <w:ilvl w:val="0"/>
          <w:numId w:val="54"/>
        </w:numPr>
        <w:ind w:left="426" w:hanging="426"/>
        <w:jc w:val="both"/>
        <w:rPr>
          <w:rFonts w:ascii="Arial" w:hAnsi="Arial" w:cs="Arial"/>
          <w:sz w:val="22"/>
          <w:szCs w:val="22"/>
        </w:rPr>
      </w:pPr>
      <w:r w:rsidRPr="00DB281B">
        <w:rPr>
          <w:rFonts w:ascii="Arial" w:hAnsi="Arial" w:cs="Arial"/>
          <w:sz w:val="22"/>
          <w:szCs w:val="22"/>
        </w:rPr>
        <w:t>No se reportaron los contratos de prestación del servicio educativo ejecutados durante la vigencia 2019 en la categoría de Gastos de Inversión del FUT</w:t>
      </w:r>
      <w:r w:rsidR="00D863AB" w:rsidRPr="00DB281B">
        <w:rPr>
          <w:rFonts w:ascii="Arial" w:hAnsi="Arial" w:cs="Arial"/>
          <w:sz w:val="22"/>
          <w:szCs w:val="22"/>
        </w:rPr>
        <w:t xml:space="preserve"> como Contrataciones de</w:t>
      </w:r>
      <w:r w:rsidR="00EE085A" w:rsidRPr="00DB281B">
        <w:rPr>
          <w:rFonts w:ascii="Arial" w:hAnsi="Arial" w:cs="Arial"/>
          <w:sz w:val="22"/>
          <w:szCs w:val="22"/>
        </w:rPr>
        <w:t xml:space="preserve"> Prestación del Servicio Educativo sino como Gastos de Eficiencia</w:t>
      </w:r>
      <w:r w:rsidR="00841F7D" w:rsidRPr="00DB281B">
        <w:rPr>
          <w:rFonts w:ascii="Arial" w:hAnsi="Arial" w:cs="Arial"/>
          <w:sz w:val="22"/>
          <w:szCs w:val="22"/>
        </w:rPr>
        <w:t xml:space="preserve">. Estos </w:t>
      </w:r>
      <w:r w:rsidR="001F0ED4">
        <w:rPr>
          <w:rFonts w:ascii="Arial" w:hAnsi="Arial" w:cs="Arial"/>
          <w:sz w:val="22"/>
          <w:szCs w:val="22"/>
        </w:rPr>
        <w:t xml:space="preserve">gastos </w:t>
      </w:r>
      <w:r w:rsidRPr="00DB281B">
        <w:rPr>
          <w:rFonts w:ascii="Arial" w:hAnsi="Arial" w:cs="Arial"/>
          <w:sz w:val="22"/>
          <w:szCs w:val="22"/>
        </w:rPr>
        <w:t>ascienden a $1.236.700.410</w:t>
      </w:r>
      <w:r w:rsidR="00841F7D" w:rsidRPr="00DB281B">
        <w:rPr>
          <w:rFonts w:ascii="Arial" w:hAnsi="Arial" w:cs="Arial"/>
          <w:sz w:val="22"/>
          <w:szCs w:val="22"/>
        </w:rPr>
        <w:t>,</w:t>
      </w:r>
      <w:r w:rsidRPr="00DB281B">
        <w:rPr>
          <w:rFonts w:ascii="Arial" w:hAnsi="Arial" w:cs="Arial"/>
          <w:sz w:val="22"/>
          <w:szCs w:val="22"/>
        </w:rPr>
        <w:t xml:space="preserve"> de acuerdo con</w:t>
      </w:r>
      <w:r w:rsidR="00403DFF" w:rsidRPr="00DB281B">
        <w:rPr>
          <w:rFonts w:ascii="Arial" w:hAnsi="Arial" w:cs="Arial"/>
          <w:sz w:val="22"/>
          <w:szCs w:val="22"/>
        </w:rPr>
        <w:t xml:space="preserve"> los contratos 432-18, 433-18 y 434-18</w:t>
      </w:r>
      <w:r w:rsidR="00BD012F" w:rsidRPr="00DB281B">
        <w:rPr>
          <w:rFonts w:ascii="Arial" w:hAnsi="Arial" w:cs="Arial"/>
          <w:sz w:val="22"/>
          <w:szCs w:val="22"/>
        </w:rPr>
        <w:t xml:space="preserve"> reportados a</w:t>
      </w:r>
      <w:r w:rsidRPr="00DB281B">
        <w:rPr>
          <w:rFonts w:ascii="Arial" w:hAnsi="Arial" w:cs="Arial"/>
          <w:sz w:val="22"/>
          <w:szCs w:val="22"/>
        </w:rPr>
        <w:t>l FUC</w:t>
      </w:r>
      <w:r w:rsidR="00BD012F" w:rsidRPr="00DB281B">
        <w:rPr>
          <w:rFonts w:ascii="Arial" w:hAnsi="Arial" w:cs="Arial"/>
          <w:sz w:val="22"/>
          <w:szCs w:val="22"/>
        </w:rPr>
        <w:t xml:space="preserve"> como financiados con la participación del SGP Educación.</w:t>
      </w:r>
    </w:p>
    <w:p w14:paraId="14449191" w14:textId="77777777" w:rsidR="009A4923" w:rsidRPr="00DB281B" w:rsidRDefault="009A4923" w:rsidP="00DB281B">
      <w:pPr>
        <w:pStyle w:val="Prrafodelista"/>
        <w:ind w:left="426" w:hanging="426"/>
        <w:jc w:val="both"/>
        <w:rPr>
          <w:rFonts w:ascii="Arial" w:hAnsi="Arial" w:cs="Arial"/>
          <w:sz w:val="22"/>
          <w:szCs w:val="22"/>
        </w:rPr>
      </w:pPr>
    </w:p>
    <w:p w14:paraId="613E3718" w14:textId="0694C48A" w:rsidR="00BD012F" w:rsidRPr="00DB281B" w:rsidRDefault="003E6253" w:rsidP="00DB281B">
      <w:pPr>
        <w:pStyle w:val="Prrafodelista"/>
        <w:numPr>
          <w:ilvl w:val="0"/>
          <w:numId w:val="54"/>
        </w:numPr>
        <w:ind w:left="426" w:hanging="426"/>
        <w:jc w:val="both"/>
        <w:rPr>
          <w:rFonts w:ascii="Arial" w:hAnsi="Arial" w:cs="Arial"/>
          <w:sz w:val="22"/>
          <w:szCs w:val="22"/>
        </w:rPr>
      </w:pPr>
      <w:r w:rsidRPr="00DB281B">
        <w:rPr>
          <w:rFonts w:ascii="Arial" w:hAnsi="Arial" w:cs="Arial"/>
          <w:sz w:val="22"/>
          <w:szCs w:val="22"/>
        </w:rPr>
        <w:lastRenderedPageBreak/>
        <w:t>Se presenta el compromiso de $5</w:t>
      </w:r>
      <w:r w:rsidR="00C77012" w:rsidRPr="00DB281B">
        <w:rPr>
          <w:rFonts w:ascii="Arial" w:hAnsi="Arial" w:cs="Arial"/>
          <w:sz w:val="22"/>
          <w:szCs w:val="22"/>
        </w:rPr>
        <w:t>69</w:t>
      </w:r>
      <w:r w:rsidRPr="00DB281B">
        <w:rPr>
          <w:rFonts w:ascii="Arial" w:hAnsi="Arial" w:cs="Arial"/>
          <w:sz w:val="22"/>
          <w:szCs w:val="22"/>
        </w:rPr>
        <w:t xml:space="preserve"> millones por concepto de </w:t>
      </w:r>
      <w:r w:rsidR="00477FB9" w:rsidRPr="00DB281B">
        <w:rPr>
          <w:rFonts w:ascii="Arial" w:hAnsi="Arial" w:cs="Arial"/>
          <w:sz w:val="22"/>
          <w:szCs w:val="22"/>
        </w:rPr>
        <w:t>“</w:t>
      </w:r>
      <w:r w:rsidR="00477FB9" w:rsidRPr="00DB281B">
        <w:rPr>
          <w:rFonts w:ascii="Arial" w:hAnsi="Arial" w:cs="Arial"/>
          <w:i/>
          <w:iCs/>
          <w:sz w:val="22"/>
          <w:szCs w:val="22"/>
        </w:rPr>
        <w:t>A</w:t>
      </w:r>
      <w:r w:rsidRPr="00DB281B">
        <w:rPr>
          <w:rFonts w:ascii="Arial" w:hAnsi="Arial" w:cs="Arial"/>
          <w:i/>
          <w:iCs/>
          <w:sz w:val="22"/>
          <w:szCs w:val="22"/>
        </w:rPr>
        <w:t>rrendamiento</w:t>
      </w:r>
      <w:r w:rsidR="004F1512" w:rsidRPr="00DB281B">
        <w:rPr>
          <w:rFonts w:ascii="Arial" w:hAnsi="Arial" w:cs="Arial"/>
          <w:i/>
          <w:iCs/>
          <w:sz w:val="22"/>
          <w:szCs w:val="22"/>
        </w:rPr>
        <w:t xml:space="preserve"> de infraestructura educativa</w:t>
      </w:r>
      <w:r w:rsidR="00477FB9" w:rsidRPr="00DB281B">
        <w:rPr>
          <w:rFonts w:ascii="Arial" w:hAnsi="Arial" w:cs="Arial"/>
          <w:sz w:val="22"/>
          <w:szCs w:val="22"/>
        </w:rPr>
        <w:t>”</w:t>
      </w:r>
      <w:r w:rsidR="004F1512" w:rsidRPr="00DB281B">
        <w:rPr>
          <w:rFonts w:ascii="Arial" w:hAnsi="Arial" w:cs="Arial"/>
          <w:sz w:val="22"/>
          <w:szCs w:val="22"/>
        </w:rPr>
        <w:t xml:space="preserve">, los cuales fueron reportados como Gastos de Eficiencia en vez de </w:t>
      </w:r>
      <w:r w:rsidR="006B1007" w:rsidRPr="00DB281B">
        <w:rPr>
          <w:rFonts w:ascii="Arial" w:hAnsi="Arial" w:cs="Arial"/>
          <w:sz w:val="22"/>
          <w:szCs w:val="22"/>
        </w:rPr>
        <w:t>Funcionamiento Básico de los Establecimientos Educativos.</w:t>
      </w:r>
    </w:p>
    <w:p w14:paraId="4AABDA43" w14:textId="77777777" w:rsidR="009A4923" w:rsidRPr="00DB281B" w:rsidRDefault="009A4923" w:rsidP="00DB281B">
      <w:pPr>
        <w:pStyle w:val="Prrafodelista"/>
        <w:ind w:left="426" w:hanging="426"/>
        <w:jc w:val="both"/>
        <w:rPr>
          <w:rFonts w:ascii="Arial" w:hAnsi="Arial" w:cs="Arial"/>
          <w:sz w:val="22"/>
          <w:szCs w:val="22"/>
        </w:rPr>
      </w:pPr>
    </w:p>
    <w:p w14:paraId="56B36507" w14:textId="1696288F" w:rsidR="006B1007" w:rsidRPr="00DB281B" w:rsidRDefault="00F946DF" w:rsidP="00DB281B">
      <w:pPr>
        <w:pStyle w:val="Prrafodelista"/>
        <w:numPr>
          <w:ilvl w:val="0"/>
          <w:numId w:val="54"/>
        </w:numPr>
        <w:ind w:left="426" w:hanging="426"/>
        <w:jc w:val="both"/>
        <w:rPr>
          <w:rFonts w:ascii="Arial" w:hAnsi="Arial" w:cs="Arial"/>
          <w:sz w:val="22"/>
          <w:szCs w:val="22"/>
        </w:rPr>
      </w:pPr>
      <w:r w:rsidRPr="00DB281B">
        <w:rPr>
          <w:rFonts w:ascii="Arial" w:hAnsi="Arial" w:cs="Arial"/>
          <w:sz w:val="22"/>
          <w:szCs w:val="22"/>
        </w:rPr>
        <w:t xml:space="preserve">Se comprometieron $103 millones bajo el concepto de </w:t>
      </w:r>
      <w:r w:rsidR="00C65BC3" w:rsidRPr="00DB281B">
        <w:rPr>
          <w:rFonts w:ascii="Arial" w:hAnsi="Arial" w:cs="Arial"/>
          <w:sz w:val="22"/>
          <w:szCs w:val="22"/>
        </w:rPr>
        <w:t>“</w:t>
      </w:r>
      <w:r w:rsidR="00C65BC3" w:rsidRPr="00DB281B">
        <w:rPr>
          <w:rFonts w:ascii="Arial" w:hAnsi="Arial" w:cs="Arial"/>
          <w:i/>
          <w:iCs/>
          <w:sz w:val="22"/>
          <w:szCs w:val="22"/>
        </w:rPr>
        <w:t>Servicio de articulación entre la educación media”</w:t>
      </w:r>
      <w:r w:rsidR="00A730FD" w:rsidRPr="00DB281B">
        <w:rPr>
          <w:rFonts w:ascii="Arial" w:hAnsi="Arial" w:cs="Arial"/>
          <w:sz w:val="22"/>
          <w:szCs w:val="22"/>
        </w:rPr>
        <w:t xml:space="preserve">, los cuales no fueron reportados al FUT en la categoría de Gastos de Inversión por la Entidad. Es importante indagar por el proceso contractual que soporta esta ejecución en </w:t>
      </w:r>
      <w:r w:rsidR="001F0ED4">
        <w:rPr>
          <w:rFonts w:ascii="Arial" w:hAnsi="Arial" w:cs="Arial"/>
          <w:sz w:val="22"/>
          <w:szCs w:val="22"/>
        </w:rPr>
        <w:t xml:space="preserve">la </w:t>
      </w:r>
      <w:r w:rsidR="00A730FD" w:rsidRPr="00DB281B">
        <w:rPr>
          <w:rFonts w:ascii="Arial" w:hAnsi="Arial" w:cs="Arial"/>
          <w:sz w:val="22"/>
          <w:szCs w:val="22"/>
        </w:rPr>
        <w:t>visita de reconocimiento.</w:t>
      </w:r>
    </w:p>
    <w:p w14:paraId="20511492" w14:textId="77777777" w:rsidR="00AB5619" w:rsidRPr="00DB281B" w:rsidRDefault="00AB5619" w:rsidP="00DB281B">
      <w:pPr>
        <w:pStyle w:val="Prrafodelista"/>
        <w:ind w:left="426" w:hanging="426"/>
        <w:jc w:val="both"/>
        <w:rPr>
          <w:rFonts w:ascii="Arial" w:hAnsi="Arial" w:cs="Arial"/>
          <w:sz w:val="22"/>
          <w:szCs w:val="22"/>
        </w:rPr>
      </w:pPr>
    </w:p>
    <w:p w14:paraId="4804E722" w14:textId="397B54A4" w:rsidR="00A730FD" w:rsidRPr="00DB281B" w:rsidRDefault="009A4923" w:rsidP="00DB281B">
      <w:pPr>
        <w:pStyle w:val="Prrafodelista"/>
        <w:numPr>
          <w:ilvl w:val="0"/>
          <w:numId w:val="54"/>
        </w:numPr>
        <w:ind w:left="426" w:hanging="426"/>
        <w:jc w:val="both"/>
        <w:rPr>
          <w:rFonts w:ascii="Arial" w:hAnsi="Arial" w:cs="Arial"/>
          <w:sz w:val="22"/>
          <w:szCs w:val="22"/>
        </w:rPr>
      </w:pPr>
      <w:r w:rsidRPr="00DB281B">
        <w:rPr>
          <w:rFonts w:ascii="Arial" w:hAnsi="Arial" w:cs="Arial"/>
          <w:sz w:val="22"/>
          <w:szCs w:val="22"/>
        </w:rPr>
        <w:t xml:space="preserve">Se debe indagar </w:t>
      </w:r>
      <w:r w:rsidR="0039112C" w:rsidRPr="00DB281B">
        <w:rPr>
          <w:rFonts w:ascii="Arial" w:hAnsi="Arial" w:cs="Arial"/>
          <w:sz w:val="22"/>
          <w:szCs w:val="22"/>
        </w:rPr>
        <w:t xml:space="preserve">en visita de reconocimiento sobre el proceso de contratación de la prestación del servicio educativo </w:t>
      </w:r>
      <w:r w:rsidR="001F0ED4">
        <w:rPr>
          <w:rFonts w:ascii="Arial" w:hAnsi="Arial" w:cs="Arial"/>
          <w:sz w:val="22"/>
          <w:szCs w:val="22"/>
        </w:rPr>
        <w:t xml:space="preserve">de </w:t>
      </w:r>
      <w:r w:rsidR="0039112C" w:rsidRPr="00DB281B">
        <w:rPr>
          <w:rFonts w:ascii="Arial" w:hAnsi="Arial" w:cs="Arial"/>
          <w:sz w:val="22"/>
          <w:szCs w:val="22"/>
        </w:rPr>
        <w:t>la vigencia 2021, el cual presupuestalmente se divide en dos va</w:t>
      </w:r>
      <w:r w:rsidR="00795CB1" w:rsidRPr="00DB281B">
        <w:rPr>
          <w:rFonts w:ascii="Arial" w:hAnsi="Arial" w:cs="Arial"/>
          <w:sz w:val="22"/>
          <w:szCs w:val="22"/>
        </w:rPr>
        <w:t>lores reportados</w:t>
      </w:r>
      <w:r w:rsidR="001F0ED4">
        <w:rPr>
          <w:rFonts w:ascii="Arial" w:hAnsi="Arial" w:cs="Arial"/>
          <w:sz w:val="22"/>
          <w:szCs w:val="22"/>
        </w:rPr>
        <w:t>:</w:t>
      </w:r>
      <w:r w:rsidR="00795CB1" w:rsidRPr="00DB281B">
        <w:rPr>
          <w:rFonts w:ascii="Arial" w:hAnsi="Arial" w:cs="Arial"/>
          <w:sz w:val="22"/>
          <w:szCs w:val="22"/>
        </w:rPr>
        <w:t xml:space="preserve"> en el rubro de contratación de la prestación del servicio educativo por $637 millones y en </w:t>
      </w:r>
      <w:r w:rsidR="00066C35" w:rsidRPr="00DB281B">
        <w:rPr>
          <w:rFonts w:ascii="Arial" w:hAnsi="Arial" w:cs="Arial"/>
          <w:sz w:val="22"/>
          <w:szCs w:val="22"/>
        </w:rPr>
        <w:t>funcionamiento básico de los establecimientos educativos por $606 millones</w:t>
      </w:r>
      <w:r w:rsidR="001F0ED4">
        <w:rPr>
          <w:rFonts w:ascii="Arial" w:hAnsi="Arial" w:cs="Arial"/>
          <w:sz w:val="22"/>
          <w:szCs w:val="22"/>
        </w:rPr>
        <w:t>;</w:t>
      </w:r>
      <w:r w:rsidR="00066C35" w:rsidRPr="00DB281B">
        <w:rPr>
          <w:rFonts w:ascii="Arial" w:hAnsi="Arial" w:cs="Arial"/>
          <w:sz w:val="22"/>
          <w:szCs w:val="22"/>
        </w:rPr>
        <w:t xml:space="preserve"> </w:t>
      </w:r>
      <w:r w:rsidR="001F0ED4">
        <w:rPr>
          <w:rFonts w:ascii="Arial" w:hAnsi="Arial" w:cs="Arial"/>
          <w:sz w:val="22"/>
          <w:szCs w:val="22"/>
        </w:rPr>
        <w:t xml:space="preserve">y </w:t>
      </w:r>
      <w:r w:rsidR="00066C35" w:rsidRPr="00DB281B">
        <w:rPr>
          <w:rFonts w:ascii="Arial" w:hAnsi="Arial" w:cs="Arial"/>
          <w:sz w:val="22"/>
          <w:szCs w:val="22"/>
        </w:rPr>
        <w:t>no se encuentra reportado en el FUC.</w:t>
      </w:r>
    </w:p>
    <w:p w14:paraId="4318D710" w14:textId="77777777" w:rsidR="00B51C0F" w:rsidRPr="00DB281B" w:rsidRDefault="00B51C0F" w:rsidP="00DB281B">
      <w:pPr>
        <w:jc w:val="both"/>
        <w:rPr>
          <w:rFonts w:ascii="Arial" w:hAnsi="Arial" w:cs="Arial"/>
          <w:sz w:val="22"/>
          <w:szCs w:val="22"/>
        </w:rPr>
      </w:pPr>
    </w:p>
    <w:p w14:paraId="5B6D7B34" w14:textId="364FD8B8" w:rsidR="00374A04" w:rsidRPr="00DB281B" w:rsidRDefault="00AB5619" w:rsidP="00DB281B">
      <w:pPr>
        <w:jc w:val="both"/>
        <w:rPr>
          <w:rFonts w:ascii="Arial" w:hAnsi="Arial" w:cs="Arial"/>
          <w:sz w:val="22"/>
          <w:szCs w:val="22"/>
        </w:rPr>
      </w:pPr>
      <w:r w:rsidRPr="00DB281B">
        <w:rPr>
          <w:rFonts w:ascii="Arial" w:hAnsi="Arial" w:cs="Arial"/>
          <w:sz w:val="22"/>
          <w:szCs w:val="22"/>
        </w:rPr>
        <w:t>Adicionalmente, los Documento de Distribución DD-SGP-</w:t>
      </w:r>
      <w:r w:rsidR="00374A04" w:rsidRPr="00DB281B">
        <w:rPr>
          <w:rFonts w:ascii="Arial" w:hAnsi="Arial" w:cs="Arial"/>
          <w:sz w:val="22"/>
          <w:szCs w:val="22"/>
        </w:rPr>
        <w:t>3</w:t>
      </w:r>
      <w:r w:rsidRPr="00DB281B">
        <w:rPr>
          <w:rFonts w:ascii="Arial" w:hAnsi="Arial" w:cs="Arial"/>
          <w:sz w:val="22"/>
          <w:szCs w:val="22"/>
        </w:rPr>
        <w:t>4-201</w:t>
      </w:r>
      <w:r w:rsidR="00374A04" w:rsidRPr="00DB281B">
        <w:rPr>
          <w:rFonts w:ascii="Arial" w:hAnsi="Arial" w:cs="Arial"/>
          <w:sz w:val="22"/>
          <w:szCs w:val="22"/>
        </w:rPr>
        <w:t>9, DD-SGP-50-2020 y DD-SGP-53-202</w:t>
      </w:r>
      <w:r w:rsidR="005E4960" w:rsidRPr="00DB281B">
        <w:rPr>
          <w:rFonts w:ascii="Arial" w:hAnsi="Arial" w:cs="Arial"/>
          <w:sz w:val="22"/>
          <w:szCs w:val="22"/>
        </w:rPr>
        <w:t xml:space="preserve">1, establecieron los límites de gasto administrativo </w:t>
      </w:r>
      <w:r w:rsidR="001121D0" w:rsidRPr="00DB281B">
        <w:rPr>
          <w:rFonts w:ascii="Arial" w:hAnsi="Arial" w:cs="Arial"/>
          <w:sz w:val="22"/>
          <w:szCs w:val="22"/>
        </w:rPr>
        <w:t xml:space="preserve">en el Departamento para las vigencias 2019, 2020 y 2021, respectivamente. Del análisis de las ejecuciones presupuestales, se concluye que la Entidad no sobrepasa el límite de gasto </w:t>
      </w:r>
      <w:r w:rsidR="0002519E" w:rsidRPr="00DB281B">
        <w:rPr>
          <w:rFonts w:ascii="Arial" w:hAnsi="Arial" w:cs="Arial"/>
          <w:sz w:val="22"/>
          <w:szCs w:val="22"/>
        </w:rPr>
        <w:t>establecido</w:t>
      </w:r>
      <w:r w:rsidR="004161D7" w:rsidRPr="00DB281B">
        <w:rPr>
          <w:rFonts w:ascii="Arial" w:hAnsi="Arial" w:cs="Arial"/>
          <w:sz w:val="22"/>
          <w:szCs w:val="22"/>
        </w:rPr>
        <w:t xml:space="preserve"> así</w:t>
      </w:r>
      <w:r w:rsidR="0002519E" w:rsidRPr="00DB281B">
        <w:rPr>
          <w:rFonts w:ascii="Arial" w:hAnsi="Arial" w:cs="Arial"/>
          <w:sz w:val="22"/>
          <w:szCs w:val="22"/>
        </w:rPr>
        <w:t>:</w:t>
      </w:r>
    </w:p>
    <w:p w14:paraId="58F97382" w14:textId="74D11EAF" w:rsidR="00F05E81" w:rsidRPr="00DB281B" w:rsidRDefault="00F05E81" w:rsidP="00DB281B">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3535"/>
        <w:gridCol w:w="1985"/>
        <w:gridCol w:w="1700"/>
        <w:gridCol w:w="1608"/>
      </w:tblGrid>
      <w:tr w:rsidR="00276554" w:rsidRPr="00DB281B" w14:paraId="3024F3E2" w14:textId="77777777" w:rsidTr="00276554">
        <w:trPr>
          <w:trHeight w:val="20"/>
        </w:trPr>
        <w:tc>
          <w:tcPr>
            <w:tcW w:w="5000" w:type="pct"/>
            <w:gridSpan w:val="4"/>
            <w:tcBorders>
              <w:top w:val="nil"/>
              <w:left w:val="single" w:sz="8" w:space="0" w:color="auto"/>
              <w:bottom w:val="nil"/>
              <w:right w:val="nil"/>
            </w:tcBorders>
            <w:shd w:val="clear" w:color="000000" w:fill="244061"/>
            <w:vAlign w:val="center"/>
            <w:hideMark/>
          </w:tcPr>
          <w:p w14:paraId="12390296" w14:textId="77777777" w:rsidR="00276554" w:rsidRPr="00DB281B" w:rsidRDefault="00276554" w:rsidP="00DB281B">
            <w:pPr>
              <w:jc w:val="center"/>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TABLA 3. GASTOS ADMINISTRATIVOS DE LA ENTIDAD VIGENCIA 2019, 2020 y 2021</w:t>
            </w:r>
          </w:p>
        </w:tc>
      </w:tr>
      <w:tr w:rsidR="00276554" w:rsidRPr="00DB281B" w14:paraId="49D48B35" w14:textId="77777777" w:rsidTr="00276554">
        <w:trPr>
          <w:trHeight w:val="20"/>
        </w:trPr>
        <w:tc>
          <w:tcPr>
            <w:tcW w:w="5000" w:type="pct"/>
            <w:gridSpan w:val="4"/>
            <w:tcBorders>
              <w:top w:val="nil"/>
              <w:left w:val="single" w:sz="8" w:space="0" w:color="auto"/>
              <w:bottom w:val="nil"/>
              <w:right w:val="nil"/>
            </w:tcBorders>
            <w:shd w:val="clear" w:color="000000" w:fill="244061"/>
            <w:vAlign w:val="center"/>
            <w:hideMark/>
          </w:tcPr>
          <w:p w14:paraId="14ACF235" w14:textId="77777777" w:rsidR="00276554" w:rsidRPr="00DB281B" w:rsidRDefault="00276554" w:rsidP="00DB281B">
            <w:pPr>
              <w:jc w:val="center"/>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(MILLONES DE $)</w:t>
            </w:r>
          </w:p>
        </w:tc>
      </w:tr>
      <w:tr w:rsidR="00276554" w:rsidRPr="00DB281B" w14:paraId="5FD5F74D" w14:textId="77777777" w:rsidTr="00276554">
        <w:trPr>
          <w:trHeight w:val="20"/>
        </w:trPr>
        <w:tc>
          <w:tcPr>
            <w:tcW w:w="2002" w:type="pct"/>
            <w:tcBorders>
              <w:top w:val="nil"/>
              <w:left w:val="single" w:sz="8" w:space="0" w:color="auto"/>
              <w:bottom w:val="single" w:sz="8" w:space="0" w:color="auto"/>
              <w:right w:val="single" w:sz="8" w:space="0" w:color="auto"/>
            </w:tcBorders>
            <w:shd w:val="clear" w:color="000000" w:fill="95B3D7"/>
            <w:noWrap/>
            <w:vAlign w:val="center"/>
            <w:hideMark/>
          </w:tcPr>
          <w:p w14:paraId="79ED53AE" w14:textId="77777777" w:rsidR="00276554" w:rsidRPr="00DB281B" w:rsidRDefault="0027655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Vigencia</w:t>
            </w:r>
          </w:p>
        </w:tc>
        <w:tc>
          <w:tcPr>
            <w:tcW w:w="1124" w:type="pct"/>
            <w:tcBorders>
              <w:top w:val="nil"/>
              <w:left w:val="nil"/>
              <w:bottom w:val="single" w:sz="8" w:space="0" w:color="auto"/>
              <w:right w:val="single" w:sz="8" w:space="0" w:color="auto"/>
            </w:tcBorders>
            <w:shd w:val="clear" w:color="000000" w:fill="95B3D7"/>
            <w:noWrap/>
            <w:vAlign w:val="center"/>
            <w:hideMark/>
          </w:tcPr>
          <w:p w14:paraId="20B03BD7" w14:textId="77777777" w:rsidR="00276554" w:rsidRPr="00DB281B" w:rsidRDefault="0027655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2019</w:t>
            </w:r>
          </w:p>
        </w:tc>
        <w:tc>
          <w:tcPr>
            <w:tcW w:w="963" w:type="pct"/>
            <w:tcBorders>
              <w:top w:val="nil"/>
              <w:left w:val="nil"/>
              <w:bottom w:val="single" w:sz="8" w:space="0" w:color="auto"/>
              <w:right w:val="single" w:sz="8" w:space="0" w:color="auto"/>
            </w:tcBorders>
            <w:shd w:val="clear" w:color="000000" w:fill="95B3D7"/>
            <w:noWrap/>
            <w:vAlign w:val="center"/>
            <w:hideMark/>
          </w:tcPr>
          <w:p w14:paraId="23F463E0" w14:textId="77777777" w:rsidR="00276554" w:rsidRPr="00DB281B" w:rsidRDefault="0027655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2020</w:t>
            </w:r>
          </w:p>
        </w:tc>
        <w:tc>
          <w:tcPr>
            <w:tcW w:w="911" w:type="pct"/>
            <w:tcBorders>
              <w:top w:val="nil"/>
              <w:left w:val="nil"/>
              <w:bottom w:val="single" w:sz="8" w:space="0" w:color="auto"/>
              <w:right w:val="single" w:sz="8" w:space="0" w:color="auto"/>
            </w:tcBorders>
            <w:shd w:val="clear" w:color="000000" w:fill="95B3D7"/>
            <w:noWrap/>
            <w:vAlign w:val="center"/>
            <w:hideMark/>
          </w:tcPr>
          <w:p w14:paraId="71A847C3" w14:textId="77777777" w:rsidR="00276554" w:rsidRPr="00DB281B" w:rsidRDefault="00276554" w:rsidP="00DB281B">
            <w:pPr>
              <w:jc w:val="center"/>
              <w:rPr>
                <w:rFonts w:ascii="Arial" w:eastAsia="Times New Roman" w:hAnsi="Arial" w:cs="Arial"/>
                <w:b/>
                <w:bCs/>
                <w:color w:val="000000"/>
                <w:sz w:val="18"/>
                <w:szCs w:val="18"/>
                <w:lang w:val="es-CO" w:eastAsia="es-CO"/>
              </w:rPr>
            </w:pPr>
            <w:r w:rsidRPr="00DB281B">
              <w:rPr>
                <w:rFonts w:ascii="Arial" w:eastAsia="Times New Roman" w:hAnsi="Arial" w:cs="Arial"/>
                <w:b/>
                <w:bCs/>
                <w:color w:val="000000"/>
                <w:sz w:val="18"/>
                <w:szCs w:val="18"/>
                <w:lang w:val="es-CO" w:eastAsia="es-CO"/>
              </w:rPr>
              <w:t>2021</w:t>
            </w:r>
          </w:p>
        </w:tc>
      </w:tr>
      <w:tr w:rsidR="00276554" w:rsidRPr="00DB281B" w14:paraId="3EA8309D" w14:textId="77777777" w:rsidTr="00276554">
        <w:trPr>
          <w:trHeight w:val="20"/>
        </w:trPr>
        <w:tc>
          <w:tcPr>
            <w:tcW w:w="2002" w:type="pct"/>
            <w:tcBorders>
              <w:top w:val="nil"/>
              <w:left w:val="single" w:sz="8" w:space="0" w:color="auto"/>
              <w:bottom w:val="single" w:sz="8" w:space="0" w:color="auto"/>
              <w:right w:val="single" w:sz="8" w:space="0" w:color="auto"/>
            </w:tcBorders>
            <w:shd w:val="clear" w:color="auto" w:fill="auto"/>
            <w:vAlign w:val="center"/>
            <w:hideMark/>
          </w:tcPr>
          <w:p w14:paraId="2E7D41BB" w14:textId="77777777" w:rsidR="00276554" w:rsidRPr="00DB281B" w:rsidRDefault="00276554" w:rsidP="00DB281B">
            <w:pPr>
              <w:jc w:val="center"/>
              <w:rPr>
                <w:rFonts w:ascii="Arial" w:eastAsia="Times New Roman" w:hAnsi="Arial" w:cs="Arial"/>
                <w:i/>
                <w:iCs/>
                <w:color w:val="000000"/>
                <w:sz w:val="18"/>
                <w:szCs w:val="18"/>
                <w:lang w:val="es-CO" w:eastAsia="es-CO"/>
              </w:rPr>
            </w:pPr>
            <w:r w:rsidRPr="00DB281B">
              <w:rPr>
                <w:rFonts w:ascii="Arial" w:eastAsia="Times New Roman" w:hAnsi="Arial" w:cs="Arial"/>
                <w:i/>
                <w:iCs/>
                <w:color w:val="000000"/>
                <w:sz w:val="18"/>
                <w:szCs w:val="18"/>
                <w:lang w:val="es-CO" w:eastAsia="es-CO"/>
              </w:rPr>
              <w:t xml:space="preserve">Autorizado </w:t>
            </w:r>
          </w:p>
        </w:tc>
        <w:tc>
          <w:tcPr>
            <w:tcW w:w="1124" w:type="pct"/>
            <w:tcBorders>
              <w:top w:val="nil"/>
              <w:left w:val="nil"/>
              <w:bottom w:val="single" w:sz="8" w:space="0" w:color="auto"/>
              <w:right w:val="single" w:sz="8" w:space="0" w:color="auto"/>
            </w:tcBorders>
            <w:shd w:val="clear" w:color="auto" w:fill="auto"/>
            <w:vAlign w:val="center"/>
            <w:hideMark/>
          </w:tcPr>
          <w:p w14:paraId="164F66F9" w14:textId="510C626C" w:rsidR="00276554" w:rsidRPr="00DB281B" w:rsidRDefault="00DB281B" w:rsidP="00DB281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276554" w:rsidRPr="00DB281B">
              <w:rPr>
                <w:rFonts w:ascii="Arial" w:eastAsia="Times New Roman" w:hAnsi="Arial" w:cs="Arial"/>
                <w:color w:val="000000"/>
                <w:sz w:val="18"/>
                <w:szCs w:val="18"/>
                <w:lang w:val="es-CO" w:eastAsia="es-CO"/>
              </w:rPr>
              <w:t>58.603</w:t>
            </w:r>
          </w:p>
        </w:tc>
        <w:tc>
          <w:tcPr>
            <w:tcW w:w="963" w:type="pct"/>
            <w:tcBorders>
              <w:top w:val="nil"/>
              <w:left w:val="nil"/>
              <w:bottom w:val="single" w:sz="8" w:space="0" w:color="auto"/>
              <w:right w:val="single" w:sz="8" w:space="0" w:color="auto"/>
            </w:tcBorders>
            <w:shd w:val="clear" w:color="auto" w:fill="auto"/>
            <w:vAlign w:val="center"/>
            <w:hideMark/>
          </w:tcPr>
          <w:p w14:paraId="7F2E0F3B" w14:textId="280ACCD4" w:rsidR="00276554" w:rsidRPr="00DB281B" w:rsidRDefault="00DB281B" w:rsidP="00DB281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276554" w:rsidRPr="00DB281B">
              <w:rPr>
                <w:rFonts w:ascii="Arial" w:eastAsia="Times New Roman" w:hAnsi="Arial" w:cs="Arial"/>
                <w:color w:val="000000"/>
                <w:sz w:val="18"/>
                <w:szCs w:val="18"/>
                <w:lang w:val="es-CO" w:eastAsia="es-CO"/>
              </w:rPr>
              <w:t>51.679</w:t>
            </w:r>
          </w:p>
        </w:tc>
        <w:tc>
          <w:tcPr>
            <w:tcW w:w="911" w:type="pct"/>
            <w:tcBorders>
              <w:top w:val="nil"/>
              <w:left w:val="nil"/>
              <w:bottom w:val="single" w:sz="8" w:space="0" w:color="auto"/>
              <w:right w:val="single" w:sz="8" w:space="0" w:color="auto"/>
            </w:tcBorders>
            <w:shd w:val="clear" w:color="auto" w:fill="auto"/>
            <w:vAlign w:val="center"/>
            <w:hideMark/>
          </w:tcPr>
          <w:p w14:paraId="250B5427" w14:textId="33190155" w:rsidR="00276554" w:rsidRPr="00DB281B" w:rsidRDefault="00DB281B" w:rsidP="00DB281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276554" w:rsidRPr="00DB281B">
              <w:rPr>
                <w:rFonts w:ascii="Arial" w:eastAsia="Times New Roman" w:hAnsi="Arial" w:cs="Arial"/>
                <w:color w:val="000000"/>
                <w:sz w:val="18"/>
                <w:szCs w:val="18"/>
                <w:lang w:val="es-CO" w:eastAsia="es-CO"/>
              </w:rPr>
              <w:t>42.286</w:t>
            </w:r>
          </w:p>
        </w:tc>
      </w:tr>
      <w:tr w:rsidR="00276554" w:rsidRPr="00DB281B" w14:paraId="41589B98" w14:textId="77777777" w:rsidTr="00276554">
        <w:trPr>
          <w:trHeight w:val="20"/>
        </w:trPr>
        <w:tc>
          <w:tcPr>
            <w:tcW w:w="2002" w:type="pct"/>
            <w:tcBorders>
              <w:top w:val="nil"/>
              <w:left w:val="single" w:sz="8" w:space="0" w:color="auto"/>
              <w:bottom w:val="single" w:sz="8" w:space="0" w:color="auto"/>
              <w:right w:val="single" w:sz="8" w:space="0" w:color="auto"/>
            </w:tcBorders>
            <w:shd w:val="clear" w:color="auto" w:fill="auto"/>
            <w:vAlign w:val="center"/>
            <w:hideMark/>
          </w:tcPr>
          <w:p w14:paraId="555DC5B5" w14:textId="77777777" w:rsidR="00276554" w:rsidRPr="00DB281B" w:rsidRDefault="00276554" w:rsidP="00DB281B">
            <w:pPr>
              <w:jc w:val="center"/>
              <w:rPr>
                <w:rFonts w:ascii="Arial" w:eastAsia="Times New Roman" w:hAnsi="Arial" w:cs="Arial"/>
                <w:i/>
                <w:iCs/>
                <w:color w:val="000000"/>
                <w:sz w:val="18"/>
                <w:szCs w:val="18"/>
                <w:lang w:val="es-CO" w:eastAsia="es-CO"/>
              </w:rPr>
            </w:pPr>
            <w:r w:rsidRPr="00DB281B">
              <w:rPr>
                <w:rFonts w:ascii="Arial" w:eastAsia="Times New Roman" w:hAnsi="Arial" w:cs="Arial"/>
                <w:i/>
                <w:iCs/>
                <w:color w:val="000000"/>
                <w:sz w:val="18"/>
                <w:szCs w:val="18"/>
                <w:lang w:val="es-CO" w:eastAsia="es-CO"/>
              </w:rPr>
              <w:t>Ejecutado</w:t>
            </w:r>
          </w:p>
        </w:tc>
        <w:tc>
          <w:tcPr>
            <w:tcW w:w="1124" w:type="pct"/>
            <w:tcBorders>
              <w:top w:val="nil"/>
              <w:left w:val="nil"/>
              <w:bottom w:val="single" w:sz="8" w:space="0" w:color="auto"/>
              <w:right w:val="single" w:sz="8" w:space="0" w:color="auto"/>
            </w:tcBorders>
            <w:shd w:val="clear" w:color="auto" w:fill="auto"/>
            <w:vAlign w:val="center"/>
            <w:hideMark/>
          </w:tcPr>
          <w:p w14:paraId="0976A652" w14:textId="10E624BD" w:rsidR="00276554" w:rsidRPr="00DB281B" w:rsidRDefault="00DB281B" w:rsidP="00DB281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276554" w:rsidRPr="00DB281B">
              <w:rPr>
                <w:rFonts w:ascii="Arial" w:eastAsia="Times New Roman" w:hAnsi="Arial" w:cs="Arial"/>
                <w:color w:val="000000"/>
                <w:sz w:val="18"/>
                <w:szCs w:val="18"/>
                <w:lang w:val="es-CO" w:eastAsia="es-CO"/>
              </w:rPr>
              <w:t>47.858</w:t>
            </w:r>
          </w:p>
        </w:tc>
        <w:tc>
          <w:tcPr>
            <w:tcW w:w="963" w:type="pct"/>
            <w:tcBorders>
              <w:top w:val="nil"/>
              <w:left w:val="nil"/>
              <w:bottom w:val="single" w:sz="8" w:space="0" w:color="auto"/>
              <w:right w:val="single" w:sz="8" w:space="0" w:color="auto"/>
            </w:tcBorders>
            <w:shd w:val="clear" w:color="auto" w:fill="auto"/>
            <w:vAlign w:val="center"/>
            <w:hideMark/>
          </w:tcPr>
          <w:p w14:paraId="27D74B0B" w14:textId="18C4A6A8" w:rsidR="00276554" w:rsidRPr="00DB281B" w:rsidRDefault="00DB281B" w:rsidP="00DB281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276554" w:rsidRPr="00DB281B">
              <w:rPr>
                <w:rFonts w:ascii="Arial" w:eastAsia="Times New Roman" w:hAnsi="Arial" w:cs="Arial"/>
                <w:color w:val="000000"/>
                <w:sz w:val="18"/>
                <w:szCs w:val="18"/>
                <w:lang w:val="es-CO" w:eastAsia="es-CO"/>
              </w:rPr>
              <w:t>47.566</w:t>
            </w:r>
          </w:p>
        </w:tc>
        <w:tc>
          <w:tcPr>
            <w:tcW w:w="911" w:type="pct"/>
            <w:tcBorders>
              <w:top w:val="nil"/>
              <w:left w:val="nil"/>
              <w:bottom w:val="single" w:sz="8" w:space="0" w:color="auto"/>
              <w:right w:val="single" w:sz="8" w:space="0" w:color="auto"/>
            </w:tcBorders>
            <w:shd w:val="clear" w:color="auto" w:fill="auto"/>
            <w:vAlign w:val="center"/>
            <w:hideMark/>
          </w:tcPr>
          <w:p w14:paraId="0966A1C4" w14:textId="1527BF98" w:rsidR="00276554" w:rsidRPr="00DB281B" w:rsidRDefault="00DB281B" w:rsidP="00DB281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276554" w:rsidRPr="00DB281B">
              <w:rPr>
                <w:rFonts w:ascii="Arial" w:eastAsia="Times New Roman" w:hAnsi="Arial" w:cs="Arial"/>
                <w:color w:val="000000"/>
                <w:sz w:val="18"/>
                <w:szCs w:val="18"/>
                <w:lang w:val="es-CO" w:eastAsia="es-CO"/>
              </w:rPr>
              <w:t>21.955</w:t>
            </w:r>
          </w:p>
        </w:tc>
      </w:tr>
      <w:tr w:rsidR="00276554" w:rsidRPr="00DB281B" w14:paraId="33A44F5E" w14:textId="77777777" w:rsidTr="00276554">
        <w:trPr>
          <w:trHeight w:val="20"/>
        </w:trPr>
        <w:tc>
          <w:tcPr>
            <w:tcW w:w="2002" w:type="pct"/>
            <w:tcBorders>
              <w:top w:val="nil"/>
              <w:left w:val="single" w:sz="8" w:space="0" w:color="auto"/>
              <w:bottom w:val="single" w:sz="8" w:space="0" w:color="auto"/>
              <w:right w:val="single" w:sz="8" w:space="0" w:color="auto"/>
            </w:tcBorders>
            <w:shd w:val="clear" w:color="000000" w:fill="244061"/>
            <w:noWrap/>
            <w:vAlign w:val="center"/>
            <w:hideMark/>
          </w:tcPr>
          <w:p w14:paraId="7F55E351" w14:textId="77777777" w:rsidR="00276554" w:rsidRPr="00DB281B" w:rsidRDefault="00276554" w:rsidP="00DB281B">
            <w:pPr>
              <w:jc w:val="both"/>
              <w:rPr>
                <w:rFonts w:ascii="Arial" w:eastAsia="Times New Roman" w:hAnsi="Arial" w:cs="Arial"/>
                <w:b/>
                <w:bCs/>
                <w:color w:val="FFFFFF"/>
                <w:sz w:val="18"/>
                <w:szCs w:val="18"/>
                <w:lang w:val="es-CO" w:eastAsia="es-CO"/>
              </w:rPr>
            </w:pPr>
            <w:r w:rsidRPr="00DB281B">
              <w:rPr>
                <w:rFonts w:ascii="Arial" w:eastAsia="Times New Roman" w:hAnsi="Arial" w:cs="Arial"/>
                <w:b/>
                <w:bCs/>
                <w:color w:val="FFFFFF"/>
                <w:sz w:val="18"/>
                <w:szCs w:val="18"/>
                <w:lang w:val="es-CO" w:eastAsia="es-CO"/>
              </w:rPr>
              <w:t>DIFERENCIA</w:t>
            </w:r>
          </w:p>
        </w:tc>
        <w:tc>
          <w:tcPr>
            <w:tcW w:w="1124" w:type="pct"/>
            <w:tcBorders>
              <w:top w:val="nil"/>
              <w:left w:val="nil"/>
              <w:bottom w:val="single" w:sz="8" w:space="0" w:color="auto"/>
              <w:right w:val="single" w:sz="8" w:space="0" w:color="auto"/>
            </w:tcBorders>
            <w:shd w:val="clear" w:color="000000" w:fill="244061"/>
            <w:noWrap/>
            <w:vAlign w:val="center"/>
            <w:hideMark/>
          </w:tcPr>
          <w:p w14:paraId="1CFE971C" w14:textId="342D3B7F" w:rsidR="00276554" w:rsidRPr="00DB281B" w:rsidRDefault="00DB281B" w:rsidP="00DB281B">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w:t>
            </w:r>
            <w:r w:rsidR="00276554" w:rsidRPr="00DB281B">
              <w:rPr>
                <w:rFonts w:ascii="Arial" w:eastAsia="Times New Roman" w:hAnsi="Arial" w:cs="Arial"/>
                <w:b/>
                <w:bCs/>
                <w:color w:val="FFFFFF"/>
                <w:sz w:val="18"/>
                <w:szCs w:val="18"/>
                <w:lang w:val="es-CO" w:eastAsia="es-CO"/>
              </w:rPr>
              <w:t>10.745</w:t>
            </w:r>
          </w:p>
        </w:tc>
        <w:tc>
          <w:tcPr>
            <w:tcW w:w="963" w:type="pct"/>
            <w:tcBorders>
              <w:top w:val="nil"/>
              <w:left w:val="nil"/>
              <w:bottom w:val="single" w:sz="8" w:space="0" w:color="auto"/>
              <w:right w:val="single" w:sz="8" w:space="0" w:color="auto"/>
            </w:tcBorders>
            <w:shd w:val="clear" w:color="000000" w:fill="244061"/>
            <w:noWrap/>
            <w:vAlign w:val="center"/>
            <w:hideMark/>
          </w:tcPr>
          <w:p w14:paraId="6DF7CA3C" w14:textId="0FC9D4D1" w:rsidR="00276554" w:rsidRPr="00DB281B" w:rsidRDefault="00DB281B" w:rsidP="00DB281B">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w:t>
            </w:r>
            <w:r w:rsidR="00276554" w:rsidRPr="00DB281B">
              <w:rPr>
                <w:rFonts w:ascii="Arial" w:eastAsia="Times New Roman" w:hAnsi="Arial" w:cs="Arial"/>
                <w:b/>
                <w:bCs/>
                <w:color w:val="FFFFFF"/>
                <w:sz w:val="18"/>
                <w:szCs w:val="18"/>
                <w:lang w:val="es-CO" w:eastAsia="es-CO"/>
              </w:rPr>
              <w:t>4.113</w:t>
            </w:r>
          </w:p>
        </w:tc>
        <w:tc>
          <w:tcPr>
            <w:tcW w:w="911" w:type="pct"/>
            <w:tcBorders>
              <w:top w:val="nil"/>
              <w:left w:val="nil"/>
              <w:bottom w:val="single" w:sz="8" w:space="0" w:color="auto"/>
              <w:right w:val="single" w:sz="8" w:space="0" w:color="auto"/>
            </w:tcBorders>
            <w:shd w:val="clear" w:color="000000" w:fill="244061"/>
            <w:noWrap/>
            <w:vAlign w:val="center"/>
            <w:hideMark/>
          </w:tcPr>
          <w:p w14:paraId="5616616C" w14:textId="18C78414" w:rsidR="00276554" w:rsidRPr="00DB281B" w:rsidRDefault="00DB281B" w:rsidP="00DB281B">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w:t>
            </w:r>
            <w:r w:rsidR="00276554" w:rsidRPr="00DB281B">
              <w:rPr>
                <w:rFonts w:ascii="Arial" w:eastAsia="Times New Roman" w:hAnsi="Arial" w:cs="Arial"/>
                <w:b/>
                <w:bCs/>
                <w:color w:val="FFFFFF"/>
                <w:sz w:val="18"/>
                <w:szCs w:val="18"/>
                <w:lang w:val="es-CO" w:eastAsia="es-CO"/>
              </w:rPr>
              <w:t>20.331</w:t>
            </w:r>
          </w:p>
        </w:tc>
      </w:tr>
    </w:tbl>
    <w:p w14:paraId="673C5326" w14:textId="77777777" w:rsidR="00276554" w:rsidRPr="00DB281B" w:rsidRDefault="00276554" w:rsidP="00DB281B">
      <w:pPr>
        <w:autoSpaceDE w:val="0"/>
        <w:autoSpaceDN w:val="0"/>
        <w:adjustRightInd w:val="0"/>
        <w:jc w:val="center"/>
        <w:rPr>
          <w:rStyle w:val="nfasissutil"/>
          <w:szCs w:val="16"/>
        </w:rPr>
      </w:pPr>
      <w:r w:rsidRPr="00DB281B">
        <w:rPr>
          <w:rStyle w:val="nfasissutil"/>
          <w:szCs w:val="16"/>
        </w:rPr>
        <w:t>Fuente: Ejecución presupuestal entregada por la entidad territorial a corte 31 de diciembre de 2019, 2020 y marzo del 2021.</w:t>
      </w:r>
    </w:p>
    <w:p w14:paraId="15932553" w14:textId="490B9D78" w:rsidR="00F05E81" w:rsidRPr="00DB281B" w:rsidRDefault="00F05E81" w:rsidP="00DB281B">
      <w:pPr>
        <w:jc w:val="both"/>
        <w:rPr>
          <w:rFonts w:ascii="Arial" w:hAnsi="Arial" w:cs="Arial"/>
          <w:sz w:val="22"/>
          <w:szCs w:val="22"/>
        </w:rPr>
      </w:pPr>
    </w:p>
    <w:p w14:paraId="58AA9E74" w14:textId="77777777" w:rsidR="00FD1814" w:rsidRPr="00DB281B" w:rsidRDefault="00FD1814" w:rsidP="00DB281B">
      <w:pPr>
        <w:pStyle w:val="Sinespaciado"/>
        <w:jc w:val="both"/>
        <w:rPr>
          <w:rFonts w:ascii="Arial" w:hAnsi="Arial" w:cs="Arial"/>
          <w:b/>
          <w:iCs/>
        </w:rPr>
      </w:pPr>
      <w:r w:rsidRPr="00DB281B">
        <w:rPr>
          <w:rFonts w:ascii="Arial" w:hAnsi="Arial" w:cs="Arial"/>
          <w:b/>
          <w:iCs/>
          <w:u w:val="single"/>
        </w:rPr>
        <w:t xml:space="preserve">Cierre de Tesorería </w:t>
      </w:r>
    </w:p>
    <w:p w14:paraId="6164E2AB" w14:textId="7658B2AD" w:rsidR="00F05E81" w:rsidRPr="00DB281B" w:rsidRDefault="00F05E81" w:rsidP="00DB281B">
      <w:pPr>
        <w:jc w:val="both"/>
        <w:rPr>
          <w:rFonts w:ascii="Arial" w:hAnsi="Arial" w:cs="Arial"/>
          <w:sz w:val="22"/>
          <w:szCs w:val="22"/>
        </w:rPr>
      </w:pPr>
    </w:p>
    <w:p w14:paraId="7AA684C0" w14:textId="7E3A84CA" w:rsidR="00360555" w:rsidRPr="00DB281B" w:rsidRDefault="00F35864" w:rsidP="00DB281B">
      <w:pPr>
        <w:jc w:val="both"/>
        <w:rPr>
          <w:rFonts w:ascii="Arial" w:hAnsi="Arial" w:cs="Arial"/>
          <w:sz w:val="22"/>
          <w:szCs w:val="22"/>
        </w:rPr>
      </w:pPr>
      <w:r w:rsidRPr="00DB281B">
        <w:rPr>
          <w:rFonts w:ascii="Arial" w:hAnsi="Arial" w:cs="Arial"/>
          <w:sz w:val="22"/>
          <w:szCs w:val="22"/>
        </w:rPr>
        <w:t>Sobre el cierre del 2019, la</w:t>
      </w:r>
      <w:r w:rsidR="00EB055A" w:rsidRPr="00DB281B">
        <w:rPr>
          <w:rFonts w:ascii="Arial" w:hAnsi="Arial" w:cs="Arial"/>
          <w:sz w:val="22"/>
          <w:szCs w:val="22"/>
        </w:rPr>
        <w:t>s</w:t>
      </w:r>
      <w:r w:rsidRPr="00DB281B">
        <w:rPr>
          <w:rFonts w:ascii="Arial" w:hAnsi="Arial" w:cs="Arial"/>
          <w:sz w:val="22"/>
          <w:szCs w:val="22"/>
        </w:rPr>
        <w:t xml:space="preserve"> ejecuci</w:t>
      </w:r>
      <w:r w:rsidR="00EB055A" w:rsidRPr="00DB281B">
        <w:rPr>
          <w:rFonts w:ascii="Arial" w:hAnsi="Arial" w:cs="Arial"/>
          <w:sz w:val="22"/>
          <w:szCs w:val="22"/>
        </w:rPr>
        <w:t>ones</w:t>
      </w:r>
      <w:r w:rsidRPr="00DB281B">
        <w:rPr>
          <w:rFonts w:ascii="Arial" w:hAnsi="Arial" w:cs="Arial"/>
          <w:sz w:val="22"/>
          <w:szCs w:val="22"/>
        </w:rPr>
        <w:t xml:space="preserve"> presupuestal</w:t>
      </w:r>
      <w:r w:rsidR="00EB055A" w:rsidRPr="00DB281B">
        <w:rPr>
          <w:rFonts w:ascii="Arial" w:hAnsi="Arial" w:cs="Arial"/>
          <w:sz w:val="22"/>
          <w:szCs w:val="22"/>
        </w:rPr>
        <w:t>es</w:t>
      </w:r>
      <w:r w:rsidRPr="00DB281B">
        <w:rPr>
          <w:rFonts w:ascii="Arial" w:hAnsi="Arial" w:cs="Arial"/>
          <w:sz w:val="22"/>
          <w:szCs w:val="22"/>
        </w:rPr>
        <w:t xml:space="preserve"> de ingresos y gastos arroj</w:t>
      </w:r>
      <w:r w:rsidR="00783002" w:rsidRPr="00DB281B">
        <w:rPr>
          <w:rFonts w:ascii="Arial" w:hAnsi="Arial" w:cs="Arial"/>
          <w:sz w:val="22"/>
          <w:szCs w:val="22"/>
        </w:rPr>
        <w:t>aron</w:t>
      </w:r>
      <w:r w:rsidRPr="00DB281B">
        <w:rPr>
          <w:rFonts w:ascii="Arial" w:hAnsi="Arial" w:cs="Arial"/>
          <w:sz w:val="22"/>
          <w:szCs w:val="22"/>
        </w:rPr>
        <w:t xml:space="preserve"> un resultado presupuestal superavitario para el sector educativo </w:t>
      </w:r>
      <w:r w:rsidR="00A713CD" w:rsidRPr="00DB281B">
        <w:rPr>
          <w:rFonts w:ascii="Arial" w:hAnsi="Arial" w:cs="Arial"/>
          <w:sz w:val="22"/>
          <w:szCs w:val="22"/>
        </w:rPr>
        <w:t xml:space="preserve">en la fuente Prestación del Servicio de $3.701 millones y $2.667 millones </w:t>
      </w:r>
      <w:r w:rsidR="00E41E64" w:rsidRPr="00DB281B">
        <w:rPr>
          <w:rFonts w:ascii="Arial" w:hAnsi="Arial" w:cs="Arial"/>
          <w:sz w:val="22"/>
          <w:szCs w:val="22"/>
        </w:rPr>
        <w:t>en las vigencias 2019 y 2020</w:t>
      </w:r>
      <w:r w:rsidR="005375EA">
        <w:rPr>
          <w:rFonts w:ascii="Arial" w:hAnsi="Arial" w:cs="Arial"/>
          <w:sz w:val="22"/>
          <w:szCs w:val="22"/>
        </w:rPr>
        <w:t>, respectivamente</w:t>
      </w:r>
      <w:r w:rsidR="00E41E64" w:rsidRPr="00DB281B">
        <w:rPr>
          <w:rFonts w:ascii="Arial" w:hAnsi="Arial" w:cs="Arial"/>
          <w:sz w:val="22"/>
          <w:szCs w:val="22"/>
        </w:rPr>
        <w:t>; mientras que, para la fuente de Cancelaciones, se identifica un déficit de $942 millones</w:t>
      </w:r>
      <w:r w:rsidR="00360555" w:rsidRPr="00DB281B">
        <w:rPr>
          <w:rFonts w:ascii="Arial" w:hAnsi="Arial" w:cs="Arial"/>
          <w:sz w:val="22"/>
          <w:szCs w:val="22"/>
        </w:rPr>
        <w:t xml:space="preserve"> en la vigencia 2019 y un superávit de $3.595 millones en 2020.</w:t>
      </w:r>
      <w:r w:rsidR="00A738CD" w:rsidRPr="00DB281B">
        <w:rPr>
          <w:rFonts w:ascii="Arial" w:hAnsi="Arial" w:cs="Arial"/>
          <w:sz w:val="22"/>
          <w:szCs w:val="22"/>
        </w:rPr>
        <w:t xml:space="preserve"> Estos saldos no concuerdan con los valores reportados por la Entidad como superávit o déficit </w:t>
      </w:r>
      <w:r w:rsidR="00343A7A" w:rsidRPr="00DB281B">
        <w:rPr>
          <w:rFonts w:ascii="Arial" w:hAnsi="Arial" w:cs="Arial"/>
          <w:sz w:val="22"/>
          <w:szCs w:val="22"/>
        </w:rPr>
        <w:t>en la categoría de Cierre Fiscal del FUT</w:t>
      </w:r>
      <w:r w:rsidR="00F6701B" w:rsidRPr="00DB281B">
        <w:rPr>
          <w:rFonts w:ascii="Arial" w:hAnsi="Arial" w:cs="Arial"/>
          <w:sz w:val="22"/>
          <w:szCs w:val="22"/>
        </w:rPr>
        <w:t xml:space="preserve">, presentándose diferencias en ambas fuentes </w:t>
      </w:r>
      <w:r w:rsidR="005375EA">
        <w:rPr>
          <w:rFonts w:ascii="Arial" w:hAnsi="Arial" w:cs="Arial"/>
          <w:sz w:val="22"/>
          <w:szCs w:val="22"/>
        </w:rPr>
        <w:t xml:space="preserve">y ambas </w:t>
      </w:r>
      <w:r w:rsidR="00F6701B" w:rsidRPr="00DB281B">
        <w:rPr>
          <w:rFonts w:ascii="Arial" w:hAnsi="Arial" w:cs="Arial"/>
          <w:sz w:val="22"/>
          <w:szCs w:val="22"/>
        </w:rPr>
        <w:t>vigencia</w:t>
      </w:r>
      <w:r w:rsidR="005375EA">
        <w:rPr>
          <w:rFonts w:ascii="Arial" w:hAnsi="Arial" w:cs="Arial"/>
          <w:sz w:val="22"/>
          <w:szCs w:val="22"/>
        </w:rPr>
        <w:t>s</w:t>
      </w:r>
      <w:r w:rsidR="00F6701B" w:rsidRPr="00DB281B">
        <w:rPr>
          <w:rFonts w:ascii="Arial" w:hAnsi="Arial" w:cs="Arial"/>
          <w:sz w:val="22"/>
          <w:szCs w:val="22"/>
        </w:rPr>
        <w:t>.</w:t>
      </w:r>
    </w:p>
    <w:p w14:paraId="636C0738" w14:textId="7264373B" w:rsidR="00360555" w:rsidRPr="00DB281B" w:rsidRDefault="00360555" w:rsidP="00DB281B">
      <w:pPr>
        <w:jc w:val="both"/>
        <w:rPr>
          <w:rFonts w:ascii="Arial" w:hAnsi="Arial" w:cs="Arial"/>
          <w:sz w:val="22"/>
          <w:szCs w:val="22"/>
        </w:rPr>
      </w:pPr>
    </w:p>
    <w:p w14:paraId="790027C1" w14:textId="5B44BDB8" w:rsidR="00F35864" w:rsidRPr="00DB281B" w:rsidRDefault="002D280C" w:rsidP="00DB281B">
      <w:pPr>
        <w:jc w:val="both"/>
        <w:rPr>
          <w:rFonts w:ascii="Arial" w:hAnsi="Arial" w:cs="Arial"/>
          <w:sz w:val="22"/>
          <w:szCs w:val="22"/>
        </w:rPr>
      </w:pPr>
      <w:r w:rsidRPr="00DB281B">
        <w:rPr>
          <w:rFonts w:ascii="Arial" w:hAnsi="Arial" w:cs="Arial"/>
          <w:sz w:val="22"/>
          <w:szCs w:val="22"/>
        </w:rPr>
        <w:t>El déficit presentado en la cuenta de Cancelaciones llama la atención,</w:t>
      </w:r>
      <w:r w:rsidR="005375EA">
        <w:rPr>
          <w:rFonts w:ascii="Arial" w:hAnsi="Arial" w:cs="Arial"/>
          <w:sz w:val="22"/>
          <w:szCs w:val="22"/>
        </w:rPr>
        <w:t xml:space="preserve"> por lo que </w:t>
      </w:r>
      <w:r w:rsidR="00CA60F8" w:rsidRPr="00DB281B">
        <w:rPr>
          <w:rFonts w:ascii="Arial" w:hAnsi="Arial" w:cs="Arial"/>
          <w:sz w:val="22"/>
          <w:szCs w:val="22"/>
        </w:rPr>
        <w:t xml:space="preserve">se </w:t>
      </w:r>
      <w:r w:rsidR="00D40155" w:rsidRPr="00DB281B">
        <w:rPr>
          <w:rFonts w:ascii="Arial" w:hAnsi="Arial" w:cs="Arial"/>
          <w:sz w:val="22"/>
          <w:szCs w:val="22"/>
        </w:rPr>
        <w:t>recomienda en visita de reconocimiento indagar sobre la ejecución de estos recursos con el personal de nómina de la Secretaría de Educación de la Entidad.</w:t>
      </w:r>
    </w:p>
    <w:p w14:paraId="0EDEFB7A" w14:textId="1B623597" w:rsidR="00D40155" w:rsidRPr="00DB281B" w:rsidRDefault="00D40155" w:rsidP="00DB281B">
      <w:pPr>
        <w:jc w:val="both"/>
        <w:rPr>
          <w:rFonts w:ascii="Arial" w:hAnsi="Arial" w:cs="Arial"/>
          <w:sz w:val="22"/>
          <w:szCs w:val="22"/>
        </w:rPr>
      </w:pPr>
    </w:p>
    <w:p w14:paraId="21AE9329" w14:textId="001BE81A" w:rsidR="00D40155" w:rsidRPr="00DB281B" w:rsidRDefault="00D40155" w:rsidP="00DB281B">
      <w:pPr>
        <w:jc w:val="both"/>
        <w:rPr>
          <w:rFonts w:ascii="Arial" w:hAnsi="Arial" w:cs="Arial"/>
          <w:sz w:val="22"/>
          <w:szCs w:val="22"/>
        </w:rPr>
      </w:pPr>
      <w:r w:rsidRPr="00DB281B">
        <w:rPr>
          <w:rFonts w:ascii="Arial" w:hAnsi="Arial" w:cs="Arial"/>
          <w:sz w:val="22"/>
          <w:szCs w:val="22"/>
        </w:rPr>
        <w:t xml:space="preserve">Igualmente, al comparar los saldos en caja y bancos reportados en la categoría de Cierre Fiscal con los saldos finales de los extractos bancarios de las cuentas registradas y autorizadas para la Entidad ante el MEN, se reconocen diferencias </w:t>
      </w:r>
      <w:r w:rsidR="00A738CD" w:rsidRPr="00DB281B">
        <w:rPr>
          <w:rFonts w:ascii="Arial" w:hAnsi="Arial" w:cs="Arial"/>
          <w:sz w:val="22"/>
          <w:szCs w:val="22"/>
        </w:rPr>
        <w:t>en los valores reportados para la fuente de Prestación del Servicio</w:t>
      </w:r>
      <w:r w:rsidR="00500926" w:rsidRPr="00DB281B">
        <w:rPr>
          <w:rFonts w:ascii="Arial" w:hAnsi="Arial" w:cs="Arial"/>
          <w:sz w:val="22"/>
          <w:szCs w:val="22"/>
        </w:rPr>
        <w:t xml:space="preserve"> en la vigencia 2020 por $17.694 </w:t>
      </w:r>
      <w:r w:rsidR="00500926" w:rsidRPr="00DB281B">
        <w:rPr>
          <w:rFonts w:ascii="Arial" w:hAnsi="Arial" w:cs="Arial"/>
          <w:sz w:val="22"/>
          <w:szCs w:val="22"/>
        </w:rPr>
        <w:lastRenderedPageBreak/>
        <w:t>millones menos</w:t>
      </w:r>
      <w:r w:rsidR="001E2699" w:rsidRPr="00DB281B">
        <w:rPr>
          <w:rFonts w:ascii="Arial" w:hAnsi="Arial" w:cs="Arial"/>
          <w:sz w:val="22"/>
          <w:szCs w:val="22"/>
        </w:rPr>
        <w:t>, es decir, se reportó en dicha categoría un saldo en caja y bancos superior al presente en el extracto bancario de esta cuenta maestra para la vigencia 2020.</w:t>
      </w:r>
    </w:p>
    <w:p w14:paraId="1D7AC28B" w14:textId="098601FA" w:rsidR="00F05E81" w:rsidRPr="00DB281B" w:rsidRDefault="00F05E81" w:rsidP="00DB281B">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3190"/>
        <w:gridCol w:w="1372"/>
        <w:gridCol w:w="1061"/>
        <w:gridCol w:w="864"/>
        <w:gridCol w:w="758"/>
        <w:gridCol w:w="709"/>
        <w:gridCol w:w="864"/>
      </w:tblGrid>
      <w:tr w:rsidR="00343A7A" w:rsidRPr="005375EA" w14:paraId="36EEC16B" w14:textId="77777777" w:rsidTr="00DB281B">
        <w:trPr>
          <w:trHeight w:val="20"/>
        </w:trPr>
        <w:tc>
          <w:tcPr>
            <w:tcW w:w="5000" w:type="pct"/>
            <w:gridSpan w:val="7"/>
            <w:tcBorders>
              <w:top w:val="single" w:sz="8" w:space="0" w:color="auto"/>
              <w:left w:val="single" w:sz="8" w:space="0" w:color="auto"/>
              <w:bottom w:val="single" w:sz="8" w:space="0" w:color="000000"/>
              <w:right w:val="single" w:sz="8" w:space="0" w:color="000000"/>
            </w:tcBorders>
            <w:shd w:val="clear" w:color="000000" w:fill="244061"/>
            <w:noWrap/>
            <w:vAlign w:val="center"/>
          </w:tcPr>
          <w:p w14:paraId="1055641F" w14:textId="7A7FE768" w:rsidR="00343A7A" w:rsidRPr="005375EA" w:rsidRDefault="00343A7A"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 xml:space="preserve">TABLA 4. </w:t>
            </w:r>
            <w:r w:rsidR="00487AC6" w:rsidRPr="005375EA">
              <w:rPr>
                <w:rFonts w:ascii="Arial" w:eastAsia="Times New Roman" w:hAnsi="Arial" w:cs="Arial"/>
                <w:b/>
                <w:bCs/>
                <w:color w:val="FFFFFF"/>
                <w:sz w:val="14"/>
                <w:szCs w:val="14"/>
                <w:lang w:val="es-CO" w:eastAsia="es-CO"/>
              </w:rPr>
              <w:t>ANÁLISIS DEL CIERRE FISCAL</w:t>
            </w:r>
          </w:p>
        </w:tc>
      </w:tr>
      <w:tr w:rsidR="0094015B" w:rsidRPr="005375EA" w14:paraId="51F59305" w14:textId="77777777" w:rsidTr="005375EA">
        <w:trPr>
          <w:trHeight w:val="20"/>
        </w:trPr>
        <w:tc>
          <w:tcPr>
            <w:tcW w:w="1689" w:type="pct"/>
            <w:vMerge w:val="restart"/>
            <w:tcBorders>
              <w:top w:val="single" w:sz="8" w:space="0" w:color="auto"/>
              <w:left w:val="single" w:sz="8" w:space="0" w:color="auto"/>
              <w:bottom w:val="single" w:sz="8" w:space="0" w:color="000000"/>
              <w:right w:val="single" w:sz="8" w:space="0" w:color="auto"/>
            </w:tcBorders>
            <w:shd w:val="clear" w:color="000000" w:fill="244061"/>
            <w:noWrap/>
            <w:vAlign w:val="center"/>
            <w:hideMark/>
          </w:tcPr>
          <w:p w14:paraId="61D34195" w14:textId="77777777"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CONCEPTO</w:t>
            </w:r>
          </w:p>
        </w:tc>
        <w:tc>
          <w:tcPr>
            <w:tcW w:w="2049" w:type="pct"/>
            <w:gridSpan w:val="3"/>
            <w:tcBorders>
              <w:top w:val="single" w:sz="8" w:space="0" w:color="auto"/>
              <w:left w:val="nil"/>
              <w:bottom w:val="single" w:sz="8" w:space="0" w:color="auto"/>
              <w:right w:val="single" w:sz="8" w:space="0" w:color="000000"/>
            </w:tcBorders>
            <w:shd w:val="clear" w:color="000000" w:fill="244061"/>
            <w:noWrap/>
            <w:vAlign w:val="center"/>
            <w:hideMark/>
          </w:tcPr>
          <w:p w14:paraId="0087D397" w14:textId="77777777"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2019</w:t>
            </w:r>
          </w:p>
        </w:tc>
        <w:tc>
          <w:tcPr>
            <w:tcW w:w="1262" w:type="pct"/>
            <w:gridSpan w:val="3"/>
            <w:tcBorders>
              <w:top w:val="single" w:sz="8" w:space="0" w:color="auto"/>
              <w:left w:val="nil"/>
              <w:bottom w:val="single" w:sz="8" w:space="0" w:color="auto"/>
              <w:right w:val="single" w:sz="8" w:space="0" w:color="000000"/>
            </w:tcBorders>
            <w:shd w:val="clear" w:color="000000" w:fill="244061"/>
            <w:noWrap/>
            <w:vAlign w:val="center"/>
            <w:hideMark/>
          </w:tcPr>
          <w:p w14:paraId="75CCEEE4" w14:textId="77777777"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2020</w:t>
            </w:r>
          </w:p>
        </w:tc>
      </w:tr>
      <w:tr w:rsidR="00DB281B" w:rsidRPr="005375EA" w14:paraId="08BDF480" w14:textId="77777777" w:rsidTr="005375EA">
        <w:trPr>
          <w:trHeight w:val="20"/>
        </w:trPr>
        <w:tc>
          <w:tcPr>
            <w:tcW w:w="1689" w:type="pct"/>
            <w:vMerge/>
            <w:tcBorders>
              <w:top w:val="single" w:sz="8" w:space="0" w:color="auto"/>
              <w:left w:val="single" w:sz="8" w:space="0" w:color="auto"/>
              <w:bottom w:val="single" w:sz="8" w:space="0" w:color="000000"/>
              <w:right w:val="single" w:sz="8" w:space="0" w:color="auto"/>
            </w:tcBorders>
            <w:vAlign w:val="center"/>
            <w:hideMark/>
          </w:tcPr>
          <w:p w14:paraId="5516054D" w14:textId="77777777" w:rsidR="00F05E81" w:rsidRPr="005375EA" w:rsidRDefault="00F05E81" w:rsidP="00DB281B">
            <w:pPr>
              <w:rPr>
                <w:rFonts w:ascii="Arial" w:eastAsia="Times New Roman" w:hAnsi="Arial" w:cs="Arial"/>
                <w:b/>
                <w:bCs/>
                <w:color w:val="FFFFFF"/>
                <w:sz w:val="14"/>
                <w:szCs w:val="14"/>
                <w:lang w:val="es-CO" w:eastAsia="es-CO"/>
              </w:rPr>
            </w:pPr>
          </w:p>
        </w:tc>
        <w:tc>
          <w:tcPr>
            <w:tcW w:w="722" w:type="pct"/>
            <w:tcBorders>
              <w:top w:val="nil"/>
              <w:left w:val="nil"/>
              <w:bottom w:val="single" w:sz="8" w:space="0" w:color="auto"/>
              <w:right w:val="single" w:sz="8" w:space="0" w:color="auto"/>
            </w:tcBorders>
            <w:shd w:val="clear" w:color="000000" w:fill="244061"/>
            <w:noWrap/>
            <w:vAlign w:val="center"/>
            <w:hideMark/>
          </w:tcPr>
          <w:p w14:paraId="48D636AF" w14:textId="77777777"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 INGRESO</w:t>
            </w:r>
          </w:p>
        </w:tc>
        <w:tc>
          <w:tcPr>
            <w:tcW w:w="557" w:type="pct"/>
            <w:tcBorders>
              <w:top w:val="nil"/>
              <w:left w:val="nil"/>
              <w:bottom w:val="single" w:sz="8" w:space="0" w:color="auto"/>
              <w:right w:val="single" w:sz="8" w:space="0" w:color="auto"/>
            </w:tcBorders>
            <w:shd w:val="clear" w:color="000000" w:fill="244061"/>
            <w:noWrap/>
            <w:vAlign w:val="center"/>
            <w:hideMark/>
          </w:tcPr>
          <w:p w14:paraId="5CFCBE00" w14:textId="77777777"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 GASTOS</w:t>
            </w:r>
          </w:p>
        </w:tc>
        <w:tc>
          <w:tcPr>
            <w:tcW w:w="769" w:type="pct"/>
            <w:tcBorders>
              <w:top w:val="nil"/>
              <w:left w:val="nil"/>
              <w:bottom w:val="single" w:sz="8" w:space="0" w:color="auto"/>
              <w:right w:val="single" w:sz="8" w:space="0" w:color="auto"/>
            </w:tcBorders>
            <w:shd w:val="clear" w:color="000000" w:fill="244061"/>
            <w:vAlign w:val="center"/>
            <w:hideMark/>
          </w:tcPr>
          <w:p w14:paraId="3886879B" w14:textId="77777777" w:rsidR="00DB281B"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SUPERÁVIT</w:t>
            </w:r>
          </w:p>
          <w:p w14:paraId="6711EB73" w14:textId="17E49DCD"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/DÉFICIT</w:t>
            </w:r>
          </w:p>
        </w:tc>
        <w:tc>
          <w:tcPr>
            <w:tcW w:w="409" w:type="pct"/>
            <w:tcBorders>
              <w:top w:val="nil"/>
              <w:left w:val="nil"/>
              <w:bottom w:val="single" w:sz="8" w:space="0" w:color="auto"/>
              <w:right w:val="single" w:sz="8" w:space="0" w:color="auto"/>
            </w:tcBorders>
            <w:shd w:val="clear" w:color="000000" w:fill="244061"/>
            <w:noWrap/>
            <w:vAlign w:val="center"/>
            <w:hideMark/>
          </w:tcPr>
          <w:p w14:paraId="358298BC" w14:textId="77777777"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 INGRESO</w:t>
            </w:r>
          </w:p>
        </w:tc>
        <w:tc>
          <w:tcPr>
            <w:tcW w:w="409" w:type="pct"/>
            <w:tcBorders>
              <w:top w:val="nil"/>
              <w:left w:val="nil"/>
              <w:bottom w:val="single" w:sz="8" w:space="0" w:color="auto"/>
              <w:right w:val="single" w:sz="8" w:space="0" w:color="auto"/>
            </w:tcBorders>
            <w:shd w:val="clear" w:color="000000" w:fill="244061"/>
            <w:noWrap/>
            <w:vAlign w:val="center"/>
            <w:hideMark/>
          </w:tcPr>
          <w:p w14:paraId="6E2A24BC" w14:textId="77777777"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 GASTOS</w:t>
            </w:r>
          </w:p>
        </w:tc>
        <w:tc>
          <w:tcPr>
            <w:tcW w:w="443" w:type="pct"/>
            <w:tcBorders>
              <w:top w:val="nil"/>
              <w:left w:val="nil"/>
              <w:bottom w:val="single" w:sz="8" w:space="0" w:color="auto"/>
              <w:right w:val="single" w:sz="8" w:space="0" w:color="auto"/>
            </w:tcBorders>
            <w:shd w:val="clear" w:color="000000" w:fill="244061"/>
            <w:vAlign w:val="center"/>
            <w:hideMark/>
          </w:tcPr>
          <w:p w14:paraId="5130FC7F" w14:textId="77777777" w:rsidR="00DB281B"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SUPERÁVIT</w:t>
            </w:r>
          </w:p>
          <w:p w14:paraId="61D0223A" w14:textId="48787BC4" w:rsidR="00F05E81" w:rsidRPr="005375EA" w:rsidRDefault="00F05E81" w:rsidP="00DB281B">
            <w:pPr>
              <w:jc w:val="center"/>
              <w:rPr>
                <w:rFonts w:ascii="Arial" w:eastAsia="Times New Roman" w:hAnsi="Arial" w:cs="Arial"/>
                <w:b/>
                <w:bCs/>
                <w:color w:val="FFFFFF"/>
                <w:sz w:val="14"/>
                <w:szCs w:val="14"/>
                <w:lang w:val="es-CO" w:eastAsia="es-CO"/>
              </w:rPr>
            </w:pPr>
            <w:r w:rsidRPr="005375EA">
              <w:rPr>
                <w:rFonts w:ascii="Arial" w:eastAsia="Times New Roman" w:hAnsi="Arial" w:cs="Arial"/>
                <w:b/>
                <w:bCs/>
                <w:color w:val="FFFFFF"/>
                <w:sz w:val="14"/>
                <w:szCs w:val="14"/>
                <w:lang w:val="es-CO" w:eastAsia="es-CO"/>
              </w:rPr>
              <w:t>/DÉFICIT</w:t>
            </w:r>
            <w:r w:rsidRPr="005375EA">
              <w:rPr>
                <w:rFonts w:ascii="Arial" w:eastAsia="Times New Roman" w:hAnsi="Arial" w:cs="Arial"/>
                <w:color w:val="FFFFFF"/>
                <w:sz w:val="14"/>
                <w:szCs w:val="14"/>
                <w:lang w:val="es-CO" w:eastAsia="es-CO"/>
              </w:rPr>
              <w:t> </w:t>
            </w:r>
          </w:p>
        </w:tc>
      </w:tr>
      <w:tr w:rsidR="00F05E81" w:rsidRPr="005375EA" w14:paraId="74C4B5DA" w14:textId="77777777" w:rsidTr="005375EA">
        <w:trPr>
          <w:trHeight w:val="20"/>
        </w:trPr>
        <w:tc>
          <w:tcPr>
            <w:tcW w:w="1689" w:type="pct"/>
            <w:tcBorders>
              <w:top w:val="nil"/>
              <w:left w:val="single" w:sz="8" w:space="0" w:color="auto"/>
              <w:bottom w:val="single" w:sz="8" w:space="0" w:color="auto"/>
              <w:right w:val="single" w:sz="8" w:space="0" w:color="auto"/>
            </w:tcBorders>
            <w:shd w:val="clear" w:color="auto" w:fill="auto"/>
            <w:noWrap/>
            <w:vAlign w:val="center"/>
            <w:hideMark/>
          </w:tcPr>
          <w:p w14:paraId="7A59756A" w14:textId="77777777" w:rsidR="00F05E81" w:rsidRPr="005375EA" w:rsidRDefault="00F05E81" w:rsidP="00DB281B">
            <w:pPr>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Prestación de servicio CSF</w:t>
            </w:r>
          </w:p>
        </w:tc>
        <w:tc>
          <w:tcPr>
            <w:tcW w:w="722" w:type="pct"/>
            <w:tcBorders>
              <w:top w:val="nil"/>
              <w:left w:val="nil"/>
              <w:bottom w:val="single" w:sz="8" w:space="0" w:color="auto"/>
              <w:right w:val="single" w:sz="8" w:space="0" w:color="auto"/>
            </w:tcBorders>
            <w:shd w:val="clear" w:color="auto" w:fill="auto"/>
            <w:vAlign w:val="center"/>
            <w:hideMark/>
          </w:tcPr>
          <w:p w14:paraId="54FA5612" w14:textId="059F47F1"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580.625</w:t>
            </w:r>
          </w:p>
        </w:tc>
        <w:tc>
          <w:tcPr>
            <w:tcW w:w="557" w:type="pct"/>
            <w:tcBorders>
              <w:top w:val="nil"/>
              <w:left w:val="nil"/>
              <w:bottom w:val="single" w:sz="8" w:space="0" w:color="auto"/>
              <w:right w:val="single" w:sz="8" w:space="0" w:color="auto"/>
            </w:tcBorders>
            <w:shd w:val="clear" w:color="auto" w:fill="auto"/>
            <w:vAlign w:val="center"/>
            <w:hideMark/>
          </w:tcPr>
          <w:p w14:paraId="22C4E667" w14:textId="381B09C1"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578.846</w:t>
            </w:r>
          </w:p>
        </w:tc>
        <w:tc>
          <w:tcPr>
            <w:tcW w:w="769" w:type="pct"/>
            <w:tcBorders>
              <w:top w:val="nil"/>
              <w:left w:val="nil"/>
              <w:bottom w:val="single" w:sz="8" w:space="0" w:color="auto"/>
              <w:right w:val="single" w:sz="8" w:space="0" w:color="auto"/>
            </w:tcBorders>
            <w:shd w:val="clear" w:color="auto" w:fill="auto"/>
            <w:vAlign w:val="center"/>
            <w:hideMark/>
          </w:tcPr>
          <w:p w14:paraId="76C7CC8A" w14:textId="66A062A1"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1.779</w:t>
            </w:r>
          </w:p>
        </w:tc>
        <w:tc>
          <w:tcPr>
            <w:tcW w:w="409" w:type="pct"/>
            <w:tcBorders>
              <w:top w:val="nil"/>
              <w:left w:val="nil"/>
              <w:bottom w:val="single" w:sz="8" w:space="0" w:color="auto"/>
              <w:right w:val="single" w:sz="8" w:space="0" w:color="auto"/>
            </w:tcBorders>
            <w:shd w:val="clear" w:color="auto" w:fill="auto"/>
            <w:vAlign w:val="center"/>
            <w:hideMark/>
          </w:tcPr>
          <w:p w14:paraId="69FEC324" w14:textId="12523364"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623.613</w:t>
            </w:r>
          </w:p>
        </w:tc>
        <w:tc>
          <w:tcPr>
            <w:tcW w:w="409" w:type="pct"/>
            <w:tcBorders>
              <w:top w:val="nil"/>
              <w:left w:val="nil"/>
              <w:bottom w:val="single" w:sz="8" w:space="0" w:color="auto"/>
              <w:right w:val="single" w:sz="8" w:space="0" w:color="auto"/>
            </w:tcBorders>
            <w:shd w:val="clear" w:color="auto" w:fill="auto"/>
            <w:vAlign w:val="center"/>
            <w:hideMark/>
          </w:tcPr>
          <w:p w14:paraId="6D912367" w14:textId="313419B0"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622.604</w:t>
            </w:r>
          </w:p>
        </w:tc>
        <w:tc>
          <w:tcPr>
            <w:tcW w:w="443" w:type="pct"/>
            <w:tcBorders>
              <w:top w:val="nil"/>
              <w:left w:val="nil"/>
              <w:bottom w:val="single" w:sz="8" w:space="0" w:color="auto"/>
              <w:right w:val="single" w:sz="8" w:space="0" w:color="auto"/>
            </w:tcBorders>
            <w:shd w:val="clear" w:color="auto" w:fill="auto"/>
            <w:vAlign w:val="center"/>
            <w:hideMark/>
          </w:tcPr>
          <w:p w14:paraId="740812C3" w14:textId="087C8E25"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1.009</w:t>
            </w:r>
          </w:p>
        </w:tc>
      </w:tr>
      <w:tr w:rsidR="00F05E81" w:rsidRPr="005375EA" w14:paraId="0C742701" w14:textId="77777777" w:rsidTr="005375EA">
        <w:trPr>
          <w:trHeight w:val="20"/>
        </w:trPr>
        <w:tc>
          <w:tcPr>
            <w:tcW w:w="1689" w:type="pct"/>
            <w:tcBorders>
              <w:top w:val="nil"/>
              <w:left w:val="single" w:sz="8" w:space="0" w:color="auto"/>
              <w:bottom w:val="single" w:sz="8" w:space="0" w:color="auto"/>
              <w:right w:val="single" w:sz="8" w:space="0" w:color="auto"/>
            </w:tcBorders>
            <w:shd w:val="clear" w:color="auto" w:fill="auto"/>
            <w:noWrap/>
            <w:vAlign w:val="center"/>
            <w:hideMark/>
          </w:tcPr>
          <w:p w14:paraId="39816581" w14:textId="77777777" w:rsidR="00F05E81" w:rsidRPr="005375EA" w:rsidRDefault="00F05E81" w:rsidP="00DB281B">
            <w:pPr>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Prestación de servicio SSF</w:t>
            </w:r>
          </w:p>
        </w:tc>
        <w:tc>
          <w:tcPr>
            <w:tcW w:w="722" w:type="pct"/>
            <w:tcBorders>
              <w:top w:val="nil"/>
              <w:left w:val="nil"/>
              <w:bottom w:val="single" w:sz="8" w:space="0" w:color="auto"/>
              <w:right w:val="single" w:sz="8" w:space="0" w:color="auto"/>
            </w:tcBorders>
            <w:shd w:val="clear" w:color="auto" w:fill="auto"/>
            <w:vAlign w:val="center"/>
            <w:hideMark/>
          </w:tcPr>
          <w:p w14:paraId="341FE2B3" w14:textId="35305DDB"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119.509</w:t>
            </w:r>
          </w:p>
        </w:tc>
        <w:tc>
          <w:tcPr>
            <w:tcW w:w="557" w:type="pct"/>
            <w:tcBorders>
              <w:top w:val="nil"/>
              <w:left w:val="nil"/>
              <w:bottom w:val="single" w:sz="8" w:space="0" w:color="auto"/>
              <w:right w:val="single" w:sz="8" w:space="0" w:color="auto"/>
            </w:tcBorders>
            <w:shd w:val="clear" w:color="auto" w:fill="auto"/>
            <w:vAlign w:val="center"/>
            <w:hideMark/>
          </w:tcPr>
          <w:p w14:paraId="4648C8E4" w14:textId="1C7241D5"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119.509</w:t>
            </w:r>
          </w:p>
        </w:tc>
        <w:tc>
          <w:tcPr>
            <w:tcW w:w="769" w:type="pct"/>
            <w:tcBorders>
              <w:top w:val="nil"/>
              <w:left w:val="nil"/>
              <w:bottom w:val="single" w:sz="8" w:space="0" w:color="auto"/>
              <w:right w:val="single" w:sz="8" w:space="0" w:color="auto"/>
            </w:tcBorders>
            <w:shd w:val="clear" w:color="auto" w:fill="auto"/>
            <w:vAlign w:val="center"/>
            <w:hideMark/>
          </w:tcPr>
          <w:p w14:paraId="714FA0D3" w14:textId="4BCAACBA"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409" w:type="pct"/>
            <w:tcBorders>
              <w:top w:val="nil"/>
              <w:left w:val="nil"/>
              <w:bottom w:val="single" w:sz="8" w:space="0" w:color="auto"/>
              <w:right w:val="single" w:sz="8" w:space="0" w:color="auto"/>
            </w:tcBorders>
            <w:shd w:val="clear" w:color="auto" w:fill="auto"/>
            <w:vAlign w:val="center"/>
            <w:hideMark/>
          </w:tcPr>
          <w:p w14:paraId="16D9C23B" w14:textId="7A8959AD"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117.825</w:t>
            </w:r>
          </w:p>
        </w:tc>
        <w:tc>
          <w:tcPr>
            <w:tcW w:w="409" w:type="pct"/>
            <w:tcBorders>
              <w:top w:val="nil"/>
              <w:left w:val="nil"/>
              <w:bottom w:val="single" w:sz="8" w:space="0" w:color="auto"/>
              <w:right w:val="single" w:sz="8" w:space="0" w:color="auto"/>
            </w:tcBorders>
            <w:shd w:val="clear" w:color="auto" w:fill="auto"/>
            <w:vAlign w:val="center"/>
            <w:hideMark/>
          </w:tcPr>
          <w:p w14:paraId="3AFD0369" w14:textId="42FDFDB2"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117.825</w:t>
            </w:r>
          </w:p>
        </w:tc>
        <w:tc>
          <w:tcPr>
            <w:tcW w:w="443" w:type="pct"/>
            <w:tcBorders>
              <w:top w:val="nil"/>
              <w:left w:val="nil"/>
              <w:bottom w:val="single" w:sz="8" w:space="0" w:color="auto"/>
              <w:right w:val="single" w:sz="8" w:space="0" w:color="auto"/>
            </w:tcBorders>
            <w:shd w:val="clear" w:color="auto" w:fill="auto"/>
            <w:vAlign w:val="center"/>
            <w:hideMark/>
          </w:tcPr>
          <w:p w14:paraId="1778B2E8" w14:textId="33DA0FF7"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r>
      <w:tr w:rsidR="00F05E81" w:rsidRPr="005375EA" w14:paraId="30AA3405" w14:textId="77777777" w:rsidTr="005375EA">
        <w:trPr>
          <w:trHeight w:val="20"/>
        </w:trPr>
        <w:tc>
          <w:tcPr>
            <w:tcW w:w="1689" w:type="pct"/>
            <w:tcBorders>
              <w:top w:val="nil"/>
              <w:left w:val="single" w:sz="8" w:space="0" w:color="auto"/>
              <w:bottom w:val="single" w:sz="8" w:space="0" w:color="auto"/>
              <w:right w:val="single" w:sz="8" w:space="0" w:color="auto"/>
            </w:tcBorders>
            <w:shd w:val="clear" w:color="auto" w:fill="auto"/>
            <w:noWrap/>
            <w:vAlign w:val="center"/>
            <w:hideMark/>
          </w:tcPr>
          <w:p w14:paraId="5F091818" w14:textId="77777777" w:rsidR="00F05E81" w:rsidRPr="005375EA" w:rsidRDefault="00F05E81" w:rsidP="00DB281B">
            <w:pPr>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Recursos del balance</w:t>
            </w:r>
          </w:p>
        </w:tc>
        <w:tc>
          <w:tcPr>
            <w:tcW w:w="722" w:type="pct"/>
            <w:tcBorders>
              <w:top w:val="nil"/>
              <w:left w:val="nil"/>
              <w:bottom w:val="single" w:sz="8" w:space="0" w:color="auto"/>
              <w:right w:val="single" w:sz="8" w:space="0" w:color="auto"/>
            </w:tcBorders>
            <w:shd w:val="clear" w:color="auto" w:fill="auto"/>
            <w:vAlign w:val="center"/>
            <w:hideMark/>
          </w:tcPr>
          <w:p w14:paraId="7AEE3C8A" w14:textId="46820C48"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5.434</w:t>
            </w:r>
          </w:p>
        </w:tc>
        <w:tc>
          <w:tcPr>
            <w:tcW w:w="557" w:type="pct"/>
            <w:tcBorders>
              <w:top w:val="nil"/>
              <w:left w:val="nil"/>
              <w:bottom w:val="single" w:sz="8" w:space="0" w:color="auto"/>
              <w:right w:val="single" w:sz="8" w:space="0" w:color="auto"/>
            </w:tcBorders>
            <w:shd w:val="clear" w:color="auto" w:fill="auto"/>
            <w:vAlign w:val="center"/>
            <w:hideMark/>
          </w:tcPr>
          <w:p w14:paraId="20956296" w14:textId="4796AF72"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3.979</w:t>
            </w:r>
          </w:p>
        </w:tc>
        <w:tc>
          <w:tcPr>
            <w:tcW w:w="769" w:type="pct"/>
            <w:tcBorders>
              <w:top w:val="nil"/>
              <w:left w:val="nil"/>
              <w:bottom w:val="single" w:sz="8" w:space="0" w:color="auto"/>
              <w:right w:val="single" w:sz="8" w:space="0" w:color="auto"/>
            </w:tcBorders>
            <w:shd w:val="clear" w:color="auto" w:fill="auto"/>
            <w:vAlign w:val="center"/>
            <w:hideMark/>
          </w:tcPr>
          <w:p w14:paraId="1DF3D010" w14:textId="6E656D17"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1.455</w:t>
            </w:r>
          </w:p>
        </w:tc>
        <w:tc>
          <w:tcPr>
            <w:tcW w:w="409" w:type="pct"/>
            <w:tcBorders>
              <w:top w:val="nil"/>
              <w:left w:val="nil"/>
              <w:bottom w:val="single" w:sz="8" w:space="0" w:color="auto"/>
              <w:right w:val="single" w:sz="8" w:space="0" w:color="auto"/>
            </w:tcBorders>
            <w:shd w:val="clear" w:color="auto" w:fill="auto"/>
            <w:vAlign w:val="center"/>
            <w:hideMark/>
          </w:tcPr>
          <w:p w14:paraId="2D81B8CD" w14:textId="40AADB26"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8.616</w:t>
            </w:r>
          </w:p>
        </w:tc>
        <w:tc>
          <w:tcPr>
            <w:tcW w:w="409" w:type="pct"/>
            <w:tcBorders>
              <w:top w:val="nil"/>
              <w:left w:val="nil"/>
              <w:bottom w:val="single" w:sz="8" w:space="0" w:color="auto"/>
              <w:right w:val="single" w:sz="8" w:space="0" w:color="auto"/>
            </w:tcBorders>
            <w:shd w:val="clear" w:color="auto" w:fill="auto"/>
            <w:vAlign w:val="center"/>
            <w:hideMark/>
          </w:tcPr>
          <w:p w14:paraId="649B52C8" w14:textId="7F36AAAC"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7.687</w:t>
            </w:r>
          </w:p>
        </w:tc>
        <w:tc>
          <w:tcPr>
            <w:tcW w:w="443" w:type="pct"/>
            <w:tcBorders>
              <w:top w:val="nil"/>
              <w:left w:val="nil"/>
              <w:bottom w:val="single" w:sz="8" w:space="0" w:color="auto"/>
              <w:right w:val="single" w:sz="8" w:space="0" w:color="auto"/>
            </w:tcBorders>
            <w:shd w:val="clear" w:color="auto" w:fill="auto"/>
            <w:vAlign w:val="center"/>
            <w:hideMark/>
          </w:tcPr>
          <w:p w14:paraId="35C3B958" w14:textId="4C22E44A"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929</w:t>
            </w:r>
          </w:p>
        </w:tc>
      </w:tr>
      <w:tr w:rsidR="00F05E81" w:rsidRPr="005375EA" w14:paraId="60D38997" w14:textId="77777777" w:rsidTr="005375EA">
        <w:trPr>
          <w:trHeight w:val="20"/>
        </w:trPr>
        <w:tc>
          <w:tcPr>
            <w:tcW w:w="1689" w:type="pct"/>
            <w:tcBorders>
              <w:top w:val="nil"/>
              <w:left w:val="single" w:sz="8" w:space="0" w:color="auto"/>
              <w:bottom w:val="single" w:sz="8" w:space="0" w:color="auto"/>
              <w:right w:val="single" w:sz="8" w:space="0" w:color="auto"/>
            </w:tcBorders>
            <w:shd w:val="clear" w:color="auto" w:fill="auto"/>
            <w:noWrap/>
            <w:vAlign w:val="center"/>
            <w:hideMark/>
          </w:tcPr>
          <w:p w14:paraId="0C9A6F7F" w14:textId="77777777" w:rsidR="00F05E81" w:rsidRPr="005375EA" w:rsidRDefault="00F05E81" w:rsidP="00DB281B">
            <w:pPr>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Cancelación de reservas</w:t>
            </w:r>
          </w:p>
        </w:tc>
        <w:tc>
          <w:tcPr>
            <w:tcW w:w="722" w:type="pct"/>
            <w:tcBorders>
              <w:top w:val="nil"/>
              <w:left w:val="nil"/>
              <w:bottom w:val="single" w:sz="8" w:space="0" w:color="auto"/>
              <w:right w:val="single" w:sz="8" w:space="0" w:color="auto"/>
            </w:tcBorders>
            <w:shd w:val="clear" w:color="auto" w:fill="auto"/>
            <w:vAlign w:val="center"/>
            <w:hideMark/>
          </w:tcPr>
          <w:p w14:paraId="1BB42026" w14:textId="2617002D"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557" w:type="pct"/>
            <w:tcBorders>
              <w:top w:val="nil"/>
              <w:left w:val="nil"/>
              <w:bottom w:val="single" w:sz="8" w:space="0" w:color="auto"/>
              <w:right w:val="single" w:sz="8" w:space="0" w:color="auto"/>
            </w:tcBorders>
            <w:shd w:val="clear" w:color="auto" w:fill="auto"/>
            <w:vAlign w:val="center"/>
            <w:hideMark/>
          </w:tcPr>
          <w:p w14:paraId="68421071" w14:textId="376D7930"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769" w:type="pct"/>
            <w:tcBorders>
              <w:top w:val="nil"/>
              <w:left w:val="nil"/>
              <w:bottom w:val="single" w:sz="8" w:space="0" w:color="auto"/>
              <w:right w:val="single" w:sz="8" w:space="0" w:color="auto"/>
            </w:tcBorders>
            <w:shd w:val="clear" w:color="auto" w:fill="auto"/>
            <w:vAlign w:val="center"/>
            <w:hideMark/>
          </w:tcPr>
          <w:p w14:paraId="497DB98F" w14:textId="06B55337"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409" w:type="pct"/>
            <w:tcBorders>
              <w:top w:val="nil"/>
              <w:left w:val="nil"/>
              <w:bottom w:val="single" w:sz="8" w:space="0" w:color="auto"/>
              <w:right w:val="single" w:sz="8" w:space="0" w:color="auto"/>
            </w:tcBorders>
            <w:shd w:val="clear" w:color="auto" w:fill="auto"/>
            <w:vAlign w:val="center"/>
            <w:hideMark/>
          </w:tcPr>
          <w:p w14:paraId="77447C1C" w14:textId="1B64A65A"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409" w:type="pct"/>
            <w:tcBorders>
              <w:top w:val="nil"/>
              <w:left w:val="nil"/>
              <w:bottom w:val="single" w:sz="8" w:space="0" w:color="auto"/>
              <w:right w:val="single" w:sz="8" w:space="0" w:color="auto"/>
            </w:tcBorders>
            <w:shd w:val="clear" w:color="auto" w:fill="auto"/>
            <w:vAlign w:val="center"/>
            <w:hideMark/>
          </w:tcPr>
          <w:p w14:paraId="195A4439" w14:textId="059AFE00"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443" w:type="pct"/>
            <w:tcBorders>
              <w:top w:val="nil"/>
              <w:left w:val="nil"/>
              <w:bottom w:val="single" w:sz="8" w:space="0" w:color="auto"/>
              <w:right w:val="single" w:sz="8" w:space="0" w:color="auto"/>
            </w:tcBorders>
            <w:shd w:val="clear" w:color="auto" w:fill="auto"/>
            <w:vAlign w:val="center"/>
            <w:hideMark/>
          </w:tcPr>
          <w:p w14:paraId="36F7F089" w14:textId="260A2011"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r>
      <w:tr w:rsidR="00F05E81" w:rsidRPr="005375EA" w14:paraId="2A5CEB2B" w14:textId="77777777" w:rsidTr="005375EA">
        <w:trPr>
          <w:trHeight w:val="20"/>
        </w:trPr>
        <w:tc>
          <w:tcPr>
            <w:tcW w:w="1689" w:type="pct"/>
            <w:tcBorders>
              <w:top w:val="nil"/>
              <w:left w:val="single" w:sz="8" w:space="0" w:color="auto"/>
              <w:bottom w:val="single" w:sz="8" w:space="0" w:color="auto"/>
              <w:right w:val="single" w:sz="8" w:space="0" w:color="auto"/>
            </w:tcBorders>
            <w:shd w:val="clear" w:color="auto" w:fill="auto"/>
            <w:noWrap/>
            <w:vAlign w:val="center"/>
            <w:hideMark/>
          </w:tcPr>
          <w:p w14:paraId="2E524D2F" w14:textId="77777777" w:rsidR="00F05E81" w:rsidRPr="005375EA" w:rsidRDefault="00F05E81" w:rsidP="00DB281B">
            <w:pPr>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Reintegros Prestación del Servicio</w:t>
            </w:r>
          </w:p>
        </w:tc>
        <w:tc>
          <w:tcPr>
            <w:tcW w:w="722" w:type="pct"/>
            <w:tcBorders>
              <w:top w:val="nil"/>
              <w:left w:val="nil"/>
              <w:bottom w:val="single" w:sz="8" w:space="0" w:color="auto"/>
              <w:right w:val="single" w:sz="8" w:space="0" w:color="auto"/>
            </w:tcBorders>
            <w:shd w:val="clear" w:color="auto" w:fill="auto"/>
            <w:vAlign w:val="center"/>
            <w:hideMark/>
          </w:tcPr>
          <w:p w14:paraId="2667CA0F" w14:textId="6B941037"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557" w:type="pct"/>
            <w:tcBorders>
              <w:top w:val="nil"/>
              <w:left w:val="nil"/>
              <w:bottom w:val="single" w:sz="8" w:space="0" w:color="auto"/>
              <w:right w:val="single" w:sz="8" w:space="0" w:color="auto"/>
            </w:tcBorders>
            <w:shd w:val="clear" w:color="auto" w:fill="auto"/>
            <w:vAlign w:val="center"/>
            <w:hideMark/>
          </w:tcPr>
          <w:p w14:paraId="76BF6DF3" w14:textId="4EA00360"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769" w:type="pct"/>
            <w:tcBorders>
              <w:top w:val="nil"/>
              <w:left w:val="nil"/>
              <w:bottom w:val="single" w:sz="8" w:space="0" w:color="auto"/>
              <w:right w:val="single" w:sz="8" w:space="0" w:color="auto"/>
            </w:tcBorders>
            <w:shd w:val="clear" w:color="auto" w:fill="auto"/>
            <w:vAlign w:val="center"/>
            <w:hideMark/>
          </w:tcPr>
          <w:p w14:paraId="28E9EE94" w14:textId="19588A75"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409" w:type="pct"/>
            <w:tcBorders>
              <w:top w:val="nil"/>
              <w:left w:val="nil"/>
              <w:bottom w:val="single" w:sz="8" w:space="0" w:color="auto"/>
              <w:right w:val="single" w:sz="8" w:space="0" w:color="auto"/>
            </w:tcBorders>
            <w:shd w:val="clear" w:color="auto" w:fill="auto"/>
            <w:vAlign w:val="center"/>
            <w:hideMark/>
          </w:tcPr>
          <w:p w14:paraId="31725B70" w14:textId="2E9ADDBC"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409" w:type="pct"/>
            <w:tcBorders>
              <w:top w:val="nil"/>
              <w:left w:val="nil"/>
              <w:bottom w:val="single" w:sz="8" w:space="0" w:color="auto"/>
              <w:right w:val="single" w:sz="8" w:space="0" w:color="auto"/>
            </w:tcBorders>
            <w:shd w:val="clear" w:color="auto" w:fill="auto"/>
            <w:vAlign w:val="center"/>
            <w:hideMark/>
          </w:tcPr>
          <w:p w14:paraId="0B2AAFF5" w14:textId="5B877276"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c>
          <w:tcPr>
            <w:tcW w:w="443" w:type="pct"/>
            <w:tcBorders>
              <w:top w:val="nil"/>
              <w:left w:val="nil"/>
              <w:bottom w:val="single" w:sz="8" w:space="0" w:color="auto"/>
              <w:right w:val="single" w:sz="8" w:space="0" w:color="auto"/>
            </w:tcBorders>
            <w:shd w:val="clear" w:color="auto" w:fill="auto"/>
            <w:vAlign w:val="center"/>
            <w:hideMark/>
          </w:tcPr>
          <w:p w14:paraId="7FACFC6D" w14:textId="6876157A"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0</w:t>
            </w:r>
          </w:p>
        </w:tc>
      </w:tr>
      <w:tr w:rsidR="00F05E81" w:rsidRPr="005375EA" w14:paraId="303BCA99" w14:textId="77777777" w:rsidTr="005375EA">
        <w:trPr>
          <w:trHeight w:val="20"/>
        </w:trPr>
        <w:tc>
          <w:tcPr>
            <w:tcW w:w="1689" w:type="pct"/>
            <w:tcBorders>
              <w:top w:val="nil"/>
              <w:left w:val="single" w:sz="8" w:space="0" w:color="auto"/>
              <w:bottom w:val="single" w:sz="8" w:space="0" w:color="auto"/>
              <w:right w:val="single" w:sz="8" w:space="0" w:color="auto"/>
            </w:tcBorders>
            <w:shd w:val="clear" w:color="auto" w:fill="auto"/>
            <w:noWrap/>
            <w:vAlign w:val="center"/>
            <w:hideMark/>
          </w:tcPr>
          <w:p w14:paraId="49B696FA" w14:textId="77777777" w:rsidR="00F05E81" w:rsidRPr="005375EA" w:rsidRDefault="00F05E81" w:rsidP="00DB281B">
            <w:pPr>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Rendimientos financieros prestación</w:t>
            </w:r>
          </w:p>
        </w:tc>
        <w:tc>
          <w:tcPr>
            <w:tcW w:w="722" w:type="pct"/>
            <w:tcBorders>
              <w:top w:val="nil"/>
              <w:left w:val="nil"/>
              <w:bottom w:val="single" w:sz="8" w:space="0" w:color="auto"/>
              <w:right w:val="single" w:sz="8" w:space="0" w:color="auto"/>
            </w:tcBorders>
            <w:shd w:val="clear" w:color="auto" w:fill="auto"/>
            <w:vAlign w:val="center"/>
            <w:hideMark/>
          </w:tcPr>
          <w:p w14:paraId="7CCAE429" w14:textId="71EACA76"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1.058</w:t>
            </w:r>
          </w:p>
        </w:tc>
        <w:tc>
          <w:tcPr>
            <w:tcW w:w="557" w:type="pct"/>
            <w:tcBorders>
              <w:top w:val="nil"/>
              <w:left w:val="nil"/>
              <w:bottom w:val="single" w:sz="8" w:space="0" w:color="auto"/>
              <w:right w:val="single" w:sz="8" w:space="0" w:color="auto"/>
            </w:tcBorders>
            <w:shd w:val="clear" w:color="auto" w:fill="auto"/>
            <w:vAlign w:val="center"/>
            <w:hideMark/>
          </w:tcPr>
          <w:p w14:paraId="0E9FF5F4" w14:textId="7E459857"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591</w:t>
            </w:r>
          </w:p>
        </w:tc>
        <w:tc>
          <w:tcPr>
            <w:tcW w:w="769" w:type="pct"/>
            <w:tcBorders>
              <w:top w:val="nil"/>
              <w:left w:val="nil"/>
              <w:bottom w:val="single" w:sz="8" w:space="0" w:color="auto"/>
              <w:right w:val="single" w:sz="8" w:space="0" w:color="auto"/>
            </w:tcBorders>
            <w:shd w:val="clear" w:color="auto" w:fill="auto"/>
            <w:vAlign w:val="center"/>
            <w:hideMark/>
          </w:tcPr>
          <w:p w14:paraId="29AB4B43" w14:textId="3C976D9C"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467</w:t>
            </w:r>
          </w:p>
        </w:tc>
        <w:tc>
          <w:tcPr>
            <w:tcW w:w="409" w:type="pct"/>
            <w:tcBorders>
              <w:top w:val="nil"/>
              <w:left w:val="nil"/>
              <w:bottom w:val="single" w:sz="8" w:space="0" w:color="auto"/>
              <w:right w:val="single" w:sz="8" w:space="0" w:color="auto"/>
            </w:tcBorders>
            <w:shd w:val="clear" w:color="auto" w:fill="auto"/>
            <w:vAlign w:val="center"/>
            <w:hideMark/>
          </w:tcPr>
          <w:p w14:paraId="2B7316F8" w14:textId="059CE44C"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814</w:t>
            </w:r>
          </w:p>
        </w:tc>
        <w:tc>
          <w:tcPr>
            <w:tcW w:w="409" w:type="pct"/>
            <w:tcBorders>
              <w:top w:val="nil"/>
              <w:left w:val="nil"/>
              <w:bottom w:val="single" w:sz="8" w:space="0" w:color="auto"/>
              <w:right w:val="single" w:sz="8" w:space="0" w:color="auto"/>
            </w:tcBorders>
            <w:shd w:val="clear" w:color="auto" w:fill="auto"/>
            <w:vAlign w:val="center"/>
            <w:hideMark/>
          </w:tcPr>
          <w:p w14:paraId="7944E276" w14:textId="5E2AE342"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86</w:t>
            </w:r>
          </w:p>
        </w:tc>
        <w:tc>
          <w:tcPr>
            <w:tcW w:w="443" w:type="pct"/>
            <w:tcBorders>
              <w:top w:val="nil"/>
              <w:left w:val="nil"/>
              <w:bottom w:val="single" w:sz="8" w:space="0" w:color="auto"/>
              <w:right w:val="single" w:sz="8" w:space="0" w:color="auto"/>
            </w:tcBorders>
            <w:shd w:val="clear" w:color="auto" w:fill="auto"/>
            <w:vAlign w:val="center"/>
            <w:hideMark/>
          </w:tcPr>
          <w:p w14:paraId="62B0B5D0" w14:textId="4B71E88F"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729</w:t>
            </w:r>
          </w:p>
        </w:tc>
      </w:tr>
      <w:tr w:rsidR="00DB281B" w:rsidRPr="005375EA" w14:paraId="76EC46B4" w14:textId="77777777" w:rsidTr="005375EA">
        <w:trPr>
          <w:trHeight w:val="20"/>
        </w:trPr>
        <w:tc>
          <w:tcPr>
            <w:tcW w:w="1689" w:type="pct"/>
            <w:tcBorders>
              <w:top w:val="nil"/>
              <w:left w:val="single" w:sz="8" w:space="0" w:color="auto"/>
              <w:bottom w:val="single" w:sz="8" w:space="0" w:color="auto"/>
              <w:right w:val="single" w:sz="8" w:space="0" w:color="auto"/>
            </w:tcBorders>
            <w:shd w:val="clear" w:color="000000" w:fill="9BC2E6"/>
            <w:noWrap/>
            <w:vAlign w:val="center"/>
            <w:hideMark/>
          </w:tcPr>
          <w:p w14:paraId="00D827DA" w14:textId="77777777" w:rsidR="00F05E81" w:rsidRPr="005375EA" w:rsidRDefault="00F05E81" w:rsidP="00DB281B">
            <w:pP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TOTAL PRESTACION DEL SERVICIO</w:t>
            </w:r>
          </w:p>
        </w:tc>
        <w:tc>
          <w:tcPr>
            <w:tcW w:w="722" w:type="pct"/>
            <w:tcBorders>
              <w:top w:val="nil"/>
              <w:left w:val="nil"/>
              <w:bottom w:val="single" w:sz="8" w:space="0" w:color="auto"/>
              <w:right w:val="single" w:sz="8" w:space="0" w:color="auto"/>
            </w:tcBorders>
            <w:shd w:val="clear" w:color="000000" w:fill="9BC2E6"/>
            <w:noWrap/>
            <w:vAlign w:val="center"/>
            <w:hideMark/>
          </w:tcPr>
          <w:p w14:paraId="7F7D889E" w14:textId="7B10BC58"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706.626 </w:t>
            </w:r>
          </w:p>
        </w:tc>
        <w:tc>
          <w:tcPr>
            <w:tcW w:w="557" w:type="pct"/>
            <w:tcBorders>
              <w:top w:val="nil"/>
              <w:left w:val="nil"/>
              <w:bottom w:val="single" w:sz="8" w:space="0" w:color="auto"/>
              <w:right w:val="single" w:sz="8" w:space="0" w:color="auto"/>
            </w:tcBorders>
            <w:shd w:val="clear" w:color="000000" w:fill="9BC2E6"/>
            <w:noWrap/>
            <w:vAlign w:val="center"/>
            <w:hideMark/>
          </w:tcPr>
          <w:p w14:paraId="0DEF1EF9" w14:textId="135C101E"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702.925 </w:t>
            </w:r>
          </w:p>
        </w:tc>
        <w:tc>
          <w:tcPr>
            <w:tcW w:w="769" w:type="pct"/>
            <w:tcBorders>
              <w:top w:val="nil"/>
              <w:left w:val="nil"/>
              <w:bottom w:val="single" w:sz="8" w:space="0" w:color="auto"/>
              <w:right w:val="single" w:sz="8" w:space="0" w:color="auto"/>
            </w:tcBorders>
            <w:shd w:val="clear" w:color="000000" w:fill="9BC2E6"/>
            <w:noWrap/>
            <w:vAlign w:val="center"/>
            <w:hideMark/>
          </w:tcPr>
          <w:p w14:paraId="2983E1FE" w14:textId="195A88FD"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3.701 </w:t>
            </w:r>
          </w:p>
        </w:tc>
        <w:tc>
          <w:tcPr>
            <w:tcW w:w="409" w:type="pct"/>
            <w:tcBorders>
              <w:top w:val="nil"/>
              <w:left w:val="nil"/>
              <w:bottom w:val="single" w:sz="8" w:space="0" w:color="auto"/>
              <w:right w:val="single" w:sz="8" w:space="0" w:color="auto"/>
            </w:tcBorders>
            <w:shd w:val="clear" w:color="000000" w:fill="9BC2E6"/>
            <w:noWrap/>
            <w:vAlign w:val="center"/>
            <w:hideMark/>
          </w:tcPr>
          <w:p w14:paraId="43819534" w14:textId="3868C032"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750.869 </w:t>
            </w:r>
          </w:p>
        </w:tc>
        <w:tc>
          <w:tcPr>
            <w:tcW w:w="409" w:type="pct"/>
            <w:tcBorders>
              <w:top w:val="nil"/>
              <w:left w:val="nil"/>
              <w:bottom w:val="single" w:sz="8" w:space="0" w:color="auto"/>
              <w:right w:val="single" w:sz="8" w:space="0" w:color="auto"/>
            </w:tcBorders>
            <w:shd w:val="clear" w:color="000000" w:fill="9BC2E6"/>
            <w:noWrap/>
            <w:vAlign w:val="center"/>
            <w:hideMark/>
          </w:tcPr>
          <w:p w14:paraId="5D45D41D" w14:textId="54B0E4DB"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748.202 </w:t>
            </w:r>
          </w:p>
        </w:tc>
        <w:tc>
          <w:tcPr>
            <w:tcW w:w="443" w:type="pct"/>
            <w:tcBorders>
              <w:top w:val="nil"/>
              <w:left w:val="nil"/>
              <w:bottom w:val="single" w:sz="8" w:space="0" w:color="auto"/>
              <w:right w:val="single" w:sz="8" w:space="0" w:color="auto"/>
            </w:tcBorders>
            <w:shd w:val="clear" w:color="000000" w:fill="9BC2E6"/>
            <w:noWrap/>
            <w:vAlign w:val="center"/>
            <w:hideMark/>
          </w:tcPr>
          <w:p w14:paraId="5AE74FC6" w14:textId="76ED0AF9"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2.667 </w:t>
            </w:r>
          </w:p>
        </w:tc>
      </w:tr>
      <w:tr w:rsidR="0094015B" w:rsidRPr="005375EA" w14:paraId="06026551" w14:textId="77777777" w:rsidTr="005375EA">
        <w:trPr>
          <w:trHeight w:val="20"/>
        </w:trPr>
        <w:tc>
          <w:tcPr>
            <w:tcW w:w="2968"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6161572F" w14:textId="433AC40C" w:rsidR="00F05E81" w:rsidRPr="005375EA" w:rsidRDefault="00F05E81" w:rsidP="00DB281B">
            <w:pPr>
              <w:jc w:val="cente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TESORERÍA PRESTACIÓN DEL SERVICIO </w:t>
            </w:r>
            <w:r w:rsidR="006F4ADF" w:rsidRPr="005375EA">
              <w:rPr>
                <w:rFonts w:ascii="Arial" w:eastAsia="Times New Roman" w:hAnsi="Arial" w:cs="Arial"/>
                <w:b/>
                <w:bCs/>
                <w:color w:val="000000"/>
                <w:sz w:val="14"/>
                <w:szCs w:val="14"/>
                <w:lang w:val="es-CO" w:eastAsia="es-CO"/>
              </w:rPr>
              <w:t>(Saldos Extractos Bancarios)</w:t>
            </w:r>
          </w:p>
        </w:tc>
        <w:tc>
          <w:tcPr>
            <w:tcW w:w="769" w:type="pct"/>
            <w:tcBorders>
              <w:top w:val="nil"/>
              <w:left w:val="nil"/>
              <w:bottom w:val="single" w:sz="8" w:space="0" w:color="auto"/>
              <w:right w:val="single" w:sz="8" w:space="0" w:color="auto"/>
            </w:tcBorders>
            <w:shd w:val="clear" w:color="000000" w:fill="9BC2E6"/>
            <w:noWrap/>
            <w:vAlign w:val="center"/>
            <w:hideMark/>
          </w:tcPr>
          <w:p w14:paraId="6E5A8036" w14:textId="476AD625"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16.806 </w:t>
            </w:r>
          </w:p>
        </w:tc>
        <w:tc>
          <w:tcPr>
            <w:tcW w:w="1262" w:type="pct"/>
            <w:gridSpan w:val="3"/>
            <w:tcBorders>
              <w:top w:val="single" w:sz="8" w:space="0" w:color="auto"/>
              <w:left w:val="nil"/>
              <w:bottom w:val="single" w:sz="8" w:space="0" w:color="auto"/>
              <w:right w:val="single" w:sz="8" w:space="0" w:color="000000"/>
            </w:tcBorders>
            <w:shd w:val="clear" w:color="000000" w:fill="9BC2E6"/>
            <w:noWrap/>
            <w:vAlign w:val="center"/>
            <w:hideMark/>
          </w:tcPr>
          <w:p w14:paraId="20F5852A" w14:textId="46D86785"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48.925 </w:t>
            </w:r>
          </w:p>
        </w:tc>
      </w:tr>
      <w:tr w:rsidR="0094015B" w:rsidRPr="005375EA" w14:paraId="60BE5574" w14:textId="77777777" w:rsidTr="005375EA">
        <w:trPr>
          <w:trHeight w:val="20"/>
        </w:trPr>
        <w:tc>
          <w:tcPr>
            <w:tcW w:w="2968"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24F58BBA" w14:textId="207ADEE7" w:rsidR="00F05E81" w:rsidRPr="005375EA" w:rsidRDefault="00F05E81" w:rsidP="00DB281B">
            <w:pPr>
              <w:jc w:val="cente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DIFERENCIA CON FUT</w:t>
            </w:r>
            <w:r w:rsidR="001C2CE1" w:rsidRPr="005375EA">
              <w:rPr>
                <w:rFonts w:ascii="Arial" w:eastAsia="Times New Roman" w:hAnsi="Arial" w:cs="Arial"/>
                <w:b/>
                <w:bCs/>
                <w:color w:val="000000"/>
                <w:sz w:val="14"/>
                <w:szCs w:val="14"/>
                <w:lang w:val="es-CO" w:eastAsia="es-CO"/>
              </w:rPr>
              <w:t xml:space="preserve"> (Superávit/Déficit Ejecución - Superávit/Déficit FUT)</w:t>
            </w:r>
          </w:p>
        </w:tc>
        <w:tc>
          <w:tcPr>
            <w:tcW w:w="769" w:type="pct"/>
            <w:tcBorders>
              <w:top w:val="nil"/>
              <w:left w:val="nil"/>
              <w:bottom w:val="single" w:sz="8" w:space="0" w:color="auto"/>
              <w:right w:val="single" w:sz="8" w:space="0" w:color="auto"/>
            </w:tcBorders>
            <w:shd w:val="clear" w:color="000000" w:fill="9BC2E6"/>
            <w:noWrap/>
            <w:vAlign w:val="center"/>
            <w:hideMark/>
          </w:tcPr>
          <w:p w14:paraId="7AFE13FE" w14:textId="11A20B91" w:rsidR="00F05E81" w:rsidRPr="005375EA" w:rsidRDefault="00F05E81" w:rsidP="00DB281B">
            <w:pPr>
              <w:jc w:val="right"/>
              <w:rPr>
                <w:rFonts w:ascii="Arial" w:eastAsia="Times New Roman" w:hAnsi="Arial" w:cs="Arial"/>
                <w:b/>
                <w:bCs/>
                <w:color w:val="FF0000"/>
                <w:sz w:val="14"/>
                <w:szCs w:val="14"/>
                <w:lang w:val="es-CO" w:eastAsia="es-CO"/>
              </w:rPr>
            </w:pPr>
            <w:r w:rsidRPr="005375EA">
              <w:rPr>
                <w:rFonts w:ascii="Arial" w:eastAsia="Times New Roman" w:hAnsi="Arial" w:cs="Arial"/>
                <w:b/>
                <w:bCs/>
                <w:color w:val="FF0000"/>
                <w:sz w:val="14"/>
                <w:szCs w:val="14"/>
                <w:lang w:val="es-CO" w:eastAsia="es-CO"/>
              </w:rPr>
              <w:t>-</w:t>
            </w:r>
            <w:r w:rsidR="00DB281B" w:rsidRPr="005375EA">
              <w:rPr>
                <w:rFonts w:ascii="Arial" w:eastAsia="Times New Roman" w:hAnsi="Arial" w:cs="Arial"/>
                <w:b/>
                <w:bCs/>
                <w:color w:val="FF0000"/>
                <w:sz w:val="14"/>
                <w:szCs w:val="14"/>
                <w:lang w:val="es-CO" w:eastAsia="es-CO"/>
              </w:rPr>
              <w:t>$</w:t>
            </w:r>
            <w:r w:rsidRPr="005375EA">
              <w:rPr>
                <w:rFonts w:ascii="Arial" w:eastAsia="Times New Roman" w:hAnsi="Arial" w:cs="Arial"/>
                <w:b/>
                <w:bCs/>
                <w:color w:val="FF0000"/>
                <w:sz w:val="14"/>
                <w:szCs w:val="14"/>
                <w:lang w:val="es-CO" w:eastAsia="es-CO"/>
              </w:rPr>
              <w:t>19</w:t>
            </w:r>
            <w:r w:rsidR="00246573" w:rsidRPr="005375EA">
              <w:rPr>
                <w:rFonts w:ascii="Arial" w:eastAsia="Times New Roman" w:hAnsi="Arial" w:cs="Arial"/>
                <w:b/>
                <w:bCs/>
                <w:color w:val="FF0000"/>
                <w:sz w:val="14"/>
                <w:szCs w:val="14"/>
                <w:lang w:val="es-CO" w:eastAsia="es-CO"/>
              </w:rPr>
              <w:t xml:space="preserve"> (1)</w:t>
            </w:r>
            <w:r w:rsidRPr="005375EA">
              <w:rPr>
                <w:rFonts w:ascii="Arial" w:eastAsia="Times New Roman" w:hAnsi="Arial" w:cs="Arial"/>
                <w:b/>
                <w:bCs/>
                <w:color w:val="FF0000"/>
                <w:sz w:val="14"/>
                <w:szCs w:val="14"/>
                <w:lang w:val="es-CO" w:eastAsia="es-CO"/>
              </w:rPr>
              <w:t xml:space="preserve"> </w:t>
            </w:r>
          </w:p>
        </w:tc>
        <w:tc>
          <w:tcPr>
            <w:tcW w:w="1262" w:type="pct"/>
            <w:gridSpan w:val="3"/>
            <w:tcBorders>
              <w:top w:val="single" w:sz="8" w:space="0" w:color="auto"/>
              <w:left w:val="nil"/>
              <w:bottom w:val="single" w:sz="8" w:space="0" w:color="auto"/>
              <w:right w:val="single" w:sz="8" w:space="0" w:color="000000"/>
            </w:tcBorders>
            <w:shd w:val="clear" w:color="000000" w:fill="9BC2E6"/>
            <w:noWrap/>
            <w:vAlign w:val="center"/>
            <w:hideMark/>
          </w:tcPr>
          <w:p w14:paraId="0051E4AC" w14:textId="4419ADA1" w:rsidR="00F05E81" w:rsidRPr="005375EA" w:rsidRDefault="00F05E81" w:rsidP="00DB281B">
            <w:pPr>
              <w:jc w:val="right"/>
              <w:rPr>
                <w:rFonts w:ascii="Arial" w:eastAsia="Times New Roman" w:hAnsi="Arial" w:cs="Arial"/>
                <w:b/>
                <w:bCs/>
                <w:color w:val="FF0000"/>
                <w:sz w:val="14"/>
                <w:szCs w:val="14"/>
                <w:lang w:val="es-CO" w:eastAsia="es-CO"/>
              </w:rPr>
            </w:pPr>
            <w:r w:rsidRPr="005375EA">
              <w:rPr>
                <w:rFonts w:ascii="Arial" w:eastAsia="Times New Roman" w:hAnsi="Arial" w:cs="Arial"/>
                <w:b/>
                <w:bCs/>
                <w:color w:val="FF0000"/>
                <w:sz w:val="14"/>
                <w:szCs w:val="14"/>
                <w:lang w:val="es-CO" w:eastAsia="es-CO"/>
              </w:rPr>
              <w:t>-</w:t>
            </w:r>
            <w:r w:rsidR="00DB281B" w:rsidRPr="005375EA">
              <w:rPr>
                <w:rFonts w:ascii="Arial" w:eastAsia="Times New Roman" w:hAnsi="Arial" w:cs="Arial"/>
                <w:b/>
                <w:bCs/>
                <w:color w:val="FF0000"/>
                <w:sz w:val="14"/>
                <w:szCs w:val="14"/>
                <w:lang w:val="es-CO" w:eastAsia="es-CO"/>
              </w:rPr>
              <w:t>$</w:t>
            </w:r>
            <w:r w:rsidRPr="005375EA">
              <w:rPr>
                <w:rFonts w:ascii="Arial" w:eastAsia="Times New Roman" w:hAnsi="Arial" w:cs="Arial"/>
                <w:b/>
                <w:bCs/>
                <w:color w:val="FF0000"/>
                <w:sz w:val="14"/>
                <w:szCs w:val="14"/>
                <w:lang w:val="es-CO" w:eastAsia="es-CO"/>
              </w:rPr>
              <w:t>7.607</w:t>
            </w:r>
            <w:r w:rsidR="00246573" w:rsidRPr="005375EA">
              <w:rPr>
                <w:rFonts w:ascii="Arial" w:eastAsia="Times New Roman" w:hAnsi="Arial" w:cs="Arial"/>
                <w:b/>
                <w:bCs/>
                <w:color w:val="FF0000"/>
                <w:sz w:val="14"/>
                <w:szCs w:val="14"/>
                <w:lang w:val="es-CO" w:eastAsia="es-CO"/>
              </w:rPr>
              <w:t xml:space="preserve"> (4)</w:t>
            </w:r>
            <w:r w:rsidRPr="005375EA">
              <w:rPr>
                <w:rFonts w:ascii="Arial" w:eastAsia="Times New Roman" w:hAnsi="Arial" w:cs="Arial"/>
                <w:b/>
                <w:bCs/>
                <w:color w:val="FF0000"/>
                <w:sz w:val="14"/>
                <w:szCs w:val="14"/>
                <w:lang w:val="es-CO" w:eastAsia="es-CO"/>
              </w:rPr>
              <w:t xml:space="preserve"> </w:t>
            </w:r>
          </w:p>
        </w:tc>
      </w:tr>
      <w:tr w:rsidR="0094015B" w:rsidRPr="005375EA" w14:paraId="427385E8" w14:textId="77777777" w:rsidTr="005375EA">
        <w:trPr>
          <w:trHeight w:val="20"/>
        </w:trPr>
        <w:tc>
          <w:tcPr>
            <w:tcW w:w="2968"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00E11B1D" w14:textId="2D055993" w:rsidR="00F05E81" w:rsidRPr="005375EA" w:rsidRDefault="00F05E81" w:rsidP="00DB281B">
            <w:pPr>
              <w:jc w:val="cente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DIFERENCIA CON TESORERÍA</w:t>
            </w:r>
            <w:r w:rsidR="001C2CE1" w:rsidRPr="005375EA">
              <w:rPr>
                <w:rFonts w:ascii="Arial" w:eastAsia="Times New Roman" w:hAnsi="Arial" w:cs="Arial"/>
                <w:b/>
                <w:bCs/>
                <w:color w:val="000000"/>
                <w:sz w:val="14"/>
                <w:szCs w:val="14"/>
                <w:lang w:val="es-CO" w:eastAsia="es-CO"/>
              </w:rPr>
              <w:t xml:space="preserve"> (Saldos Extractos Bancarios </w:t>
            </w:r>
            <w:r w:rsidR="006F4ADF" w:rsidRPr="005375EA">
              <w:rPr>
                <w:rFonts w:ascii="Arial" w:eastAsia="Times New Roman" w:hAnsi="Arial" w:cs="Arial"/>
                <w:b/>
                <w:bCs/>
                <w:color w:val="000000"/>
                <w:sz w:val="14"/>
                <w:szCs w:val="14"/>
                <w:lang w:val="es-CO" w:eastAsia="es-CO"/>
              </w:rPr>
              <w:t>– Disponibilidad Cierre Fiscal)</w:t>
            </w:r>
          </w:p>
        </w:tc>
        <w:tc>
          <w:tcPr>
            <w:tcW w:w="769" w:type="pct"/>
            <w:tcBorders>
              <w:top w:val="nil"/>
              <w:left w:val="nil"/>
              <w:bottom w:val="single" w:sz="8" w:space="0" w:color="auto"/>
              <w:right w:val="single" w:sz="8" w:space="0" w:color="auto"/>
            </w:tcBorders>
            <w:shd w:val="clear" w:color="000000" w:fill="9BC2E6"/>
            <w:noWrap/>
            <w:vAlign w:val="center"/>
            <w:hideMark/>
          </w:tcPr>
          <w:p w14:paraId="56D9CC79" w14:textId="76A8369D"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w:t>
            </w:r>
            <w:r w:rsidR="00DB281B" w:rsidRPr="005375EA">
              <w:rPr>
                <w:rFonts w:ascii="Arial" w:eastAsia="Times New Roman" w:hAnsi="Arial" w:cs="Arial"/>
                <w:b/>
                <w:bCs/>
                <w:color w:val="000000"/>
                <w:sz w:val="14"/>
                <w:szCs w:val="14"/>
                <w:lang w:val="es-CO" w:eastAsia="es-CO"/>
              </w:rPr>
              <w:t xml:space="preserve"> </w:t>
            </w:r>
          </w:p>
        </w:tc>
        <w:tc>
          <w:tcPr>
            <w:tcW w:w="1262" w:type="pct"/>
            <w:gridSpan w:val="3"/>
            <w:tcBorders>
              <w:top w:val="single" w:sz="8" w:space="0" w:color="auto"/>
              <w:left w:val="nil"/>
              <w:bottom w:val="single" w:sz="8" w:space="0" w:color="auto"/>
              <w:right w:val="single" w:sz="8" w:space="0" w:color="000000"/>
            </w:tcBorders>
            <w:shd w:val="clear" w:color="000000" w:fill="9BC2E6"/>
            <w:noWrap/>
            <w:vAlign w:val="center"/>
            <w:hideMark/>
          </w:tcPr>
          <w:p w14:paraId="7C862CD9" w14:textId="04E882D8" w:rsidR="00F05E81" w:rsidRPr="005375EA" w:rsidRDefault="00F05E81" w:rsidP="00DB281B">
            <w:pPr>
              <w:jc w:val="right"/>
              <w:rPr>
                <w:rFonts w:ascii="Arial" w:eastAsia="Times New Roman" w:hAnsi="Arial" w:cs="Arial"/>
                <w:b/>
                <w:bCs/>
                <w:color w:val="FF0000"/>
                <w:sz w:val="14"/>
                <w:szCs w:val="14"/>
                <w:lang w:val="es-CO" w:eastAsia="es-CO"/>
              </w:rPr>
            </w:pPr>
            <w:r w:rsidRPr="005375EA">
              <w:rPr>
                <w:rFonts w:ascii="Arial" w:eastAsia="Times New Roman" w:hAnsi="Arial" w:cs="Arial"/>
                <w:b/>
                <w:bCs/>
                <w:color w:val="FF0000"/>
                <w:sz w:val="14"/>
                <w:szCs w:val="14"/>
                <w:lang w:val="es-CO" w:eastAsia="es-CO"/>
              </w:rPr>
              <w:t>-</w:t>
            </w:r>
            <w:r w:rsidR="00DB281B" w:rsidRPr="005375EA">
              <w:rPr>
                <w:rFonts w:ascii="Arial" w:eastAsia="Times New Roman" w:hAnsi="Arial" w:cs="Arial"/>
                <w:b/>
                <w:bCs/>
                <w:color w:val="FF0000"/>
                <w:sz w:val="14"/>
                <w:szCs w:val="14"/>
                <w:lang w:val="es-CO" w:eastAsia="es-CO"/>
              </w:rPr>
              <w:t>$</w:t>
            </w:r>
            <w:r w:rsidRPr="005375EA">
              <w:rPr>
                <w:rFonts w:ascii="Arial" w:eastAsia="Times New Roman" w:hAnsi="Arial" w:cs="Arial"/>
                <w:b/>
                <w:bCs/>
                <w:color w:val="FF0000"/>
                <w:sz w:val="14"/>
                <w:szCs w:val="14"/>
                <w:lang w:val="es-CO" w:eastAsia="es-CO"/>
              </w:rPr>
              <w:t>17.694</w:t>
            </w:r>
            <w:r w:rsidR="00246573" w:rsidRPr="005375EA">
              <w:rPr>
                <w:rFonts w:ascii="Arial" w:eastAsia="Times New Roman" w:hAnsi="Arial" w:cs="Arial"/>
                <w:b/>
                <w:bCs/>
                <w:color w:val="FF0000"/>
                <w:sz w:val="14"/>
                <w:szCs w:val="14"/>
                <w:lang w:val="es-CO" w:eastAsia="es-CO"/>
              </w:rPr>
              <w:t xml:space="preserve"> (5)</w:t>
            </w:r>
            <w:r w:rsidRPr="005375EA">
              <w:rPr>
                <w:rFonts w:ascii="Arial" w:eastAsia="Times New Roman" w:hAnsi="Arial" w:cs="Arial"/>
                <w:b/>
                <w:bCs/>
                <w:color w:val="FF0000"/>
                <w:sz w:val="14"/>
                <w:szCs w:val="14"/>
                <w:lang w:val="es-CO" w:eastAsia="es-CO"/>
              </w:rPr>
              <w:t xml:space="preserve"> </w:t>
            </w:r>
          </w:p>
        </w:tc>
      </w:tr>
      <w:tr w:rsidR="00F05E81" w:rsidRPr="005375EA" w14:paraId="5045DC04" w14:textId="77777777" w:rsidTr="005375EA">
        <w:trPr>
          <w:trHeight w:val="20"/>
        </w:trPr>
        <w:tc>
          <w:tcPr>
            <w:tcW w:w="1689" w:type="pct"/>
            <w:tcBorders>
              <w:top w:val="nil"/>
              <w:left w:val="single" w:sz="8" w:space="0" w:color="auto"/>
              <w:bottom w:val="single" w:sz="8" w:space="0" w:color="auto"/>
              <w:right w:val="single" w:sz="8" w:space="0" w:color="auto"/>
            </w:tcBorders>
            <w:shd w:val="clear" w:color="auto" w:fill="auto"/>
            <w:noWrap/>
            <w:vAlign w:val="center"/>
            <w:hideMark/>
          </w:tcPr>
          <w:p w14:paraId="64E4DF89" w14:textId="77777777" w:rsidR="00F05E81" w:rsidRPr="005375EA" w:rsidRDefault="00F05E81" w:rsidP="00DB281B">
            <w:pPr>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Cancelaciones</w:t>
            </w:r>
          </w:p>
        </w:tc>
        <w:tc>
          <w:tcPr>
            <w:tcW w:w="722" w:type="pct"/>
            <w:tcBorders>
              <w:top w:val="nil"/>
              <w:left w:val="nil"/>
              <w:bottom w:val="single" w:sz="8" w:space="0" w:color="auto"/>
              <w:right w:val="single" w:sz="8" w:space="0" w:color="auto"/>
            </w:tcBorders>
            <w:shd w:val="clear" w:color="auto" w:fill="auto"/>
            <w:vAlign w:val="center"/>
            <w:hideMark/>
          </w:tcPr>
          <w:p w14:paraId="3B6064D5" w14:textId="2DC35BE3"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43.465</w:t>
            </w:r>
          </w:p>
        </w:tc>
        <w:tc>
          <w:tcPr>
            <w:tcW w:w="557" w:type="pct"/>
            <w:tcBorders>
              <w:top w:val="nil"/>
              <w:left w:val="nil"/>
              <w:bottom w:val="single" w:sz="8" w:space="0" w:color="auto"/>
              <w:right w:val="single" w:sz="8" w:space="0" w:color="auto"/>
            </w:tcBorders>
            <w:shd w:val="clear" w:color="auto" w:fill="auto"/>
            <w:vAlign w:val="center"/>
            <w:hideMark/>
          </w:tcPr>
          <w:p w14:paraId="7C0925F4" w14:textId="7A999E0D"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44.407</w:t>
            </w:r>
          </w:p>
        </w:tc>
        <w:tc>
          <w:tcPr>
            <w:tcW w:w="769" w:type="pct"/>
            <w:tcBorders>
              <w:top w:val="nil"/>
              <w:left w:val="nil"/>
              <w:bottom w:val="single" w:sz="8" w:space="0" w:color="auto"/>
              <w:right w:val="single" w:sz="8" w:space="0" w:color="auto"/>
            </w:tcBorders>
            <w:shd w:val="clear" w:color="auto" w:fill="auto"/>
            <w:vAlign w:val="center"/>
            <w:hideMark/>
          </w:tcPr>
          <w:p w14:paraId="0601F509" w14:textId="365FE753" w:rsidR="00F05E81" w:rsidRPr="005375EA" w:rsidRDefault="00F05E81"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FF0000"/>
                <w:sz w:val="14"/>
                <w:szCs w:val="14"/>
                <w:lang w:val="es-CO" w:eastAsia="es-CO"/>
              </w:rPr>
              <w:t>-</w:t>
            </w:r>
            <w:r w:rsidR="00DB281B" w:rsidRPr="005375EA">
              <w:rPr>
                <w:rFonts w:ascii="Arial" w:eastAsia="Times New Roman" w:hAnsi="Arial" w:cs="Arial"/>
                <w:color w:val="FF0000"/>
                <w:sz w:val="14"/>
                <w:szCs w:val="14"/>
                <w:lang w:val="es-CO" w:eastAsia="es-CO"/>
              </w:rPr>
              <w:t>$</w:t>
            </w:r>
            <w:r w:rsidRPr="005375EA">
              <w:rPr>
                <w:rFonts w:ascii="Arial" w:eastAsia="Times New Roman" w:hAnsi="Arial" w:cs="Arial"/>
                <w:color w:val="FF0000"/>
                <w:sz w:val="14"/>
                <w:szCs w:val="14"/>
                <w:lang w:val="es-CO" w:eastAsia="es-CO"/>
              </w:rPr>
              <w:t>942</w:t>
            </w:r>
          </w:p>
        </w:tc>
        <w:tc>
          <w:tcPr>
            <w:tcW w:w="409" w:type="pct"/>
            <w:tcBorders>
              <w:top w:val="nil"/>
              <w:left w:val="nil"/>
              <w:bottom w:val="single" w:sz="8" w:space="0" w:color="auto"/>
              <w:right w:val="single" w:sz="8" w:space="0" w:color="auto"/>
            </w:tcBorders>
            <w:shd w:val="clear" w:color="auto" w:fill="auto"/>
            <w:vAlign w:val="center"/>
            <w:hideMark/>
          </w:tcPr>
          <w:p w14:paraId="14220342" w14:textId="0B57CE3A"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48.936</w:t>
            </w:r>
          </w:p>
        </w:tc>
        <w:tc>
          <w:tcPr>
            <w:tcW w:w="409" w:type="pct"/>
            <w:tcBorders>
              <w:top w:val="nil"/>
              <w:left w:val="nil"/>
              <w:bottom w:val="single" w:sz="8" w:space="0" w:color="auto"/>
              <w:right w:val="single" w:sz="8" w:space="0" w:color="auto"/>
            </w:tcBorders>
            <w:shd w:val="clear" w:color="auto" w:fill="auto"/>
            <w:vAlign w:val="center"/>
            <w:hideMark/>
          </w:tcPr>
          <w:p w14:paraId="77E3BC29" w14:textId="0AFCA796"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45.342</w:t>
            </w:r>
          </w:p>
        </w:tc>
        <w:tc>
          <w:tcPr>
            <w:tcW w:w="443" w:type="pct"/>
            <w:tcBorders>
              <w:top w:val="nil"/>
              <w:left w:val="nil"/>
              <w:bottom w:val="single" w:sz="8" w:space="0" w:color="auto"/>
              <w:right w:val="single" w:sz="8" w:space="0" w:color="auto"/>
            </w:tcBorders>
            <w:shd w:val="clear" w:color="auto" w:fill="auto"/>
            <w:vAlign w:val="center"/>
            <w:hideMark/>
          </w:tcPr>
          <w:p w14:paraId="76B67225" w14:textId="733CD223" w:rsidR="00F05E81" w:rsidRPr="005375EA" w:rsidRDefault="00DB281B" w:rsidP="00DB281B">
            <w:pPr>
              <w:jc w:val="right"/>
              <w:rPr>
                <w:rFonts w:ascii="Arial" w:eastAsia="Times New Roman" w:hAnsi="Arial" w:cs="Arial"/>
                <w:color w:val="000000"/>
                <w:sz w:val="14"/>
                <w:szCs w:val="14"/>
                <w:lang w:val="es-CO" w:eastAsia="es-CO"/>
              </w:rPr>
            </w:pPr>
            <w:r w:rsidRPr="005375EA">
              <w:rPr>
                <w:rFonts w:ascii="Arial" w:eastAsia="Times New Roman" w:hAnsi="Arial" w:cs="Arial"/>
                <w:color w:val="000000"/>
                <w:sz w:val="14"/>
                <w:szCs w:val="14"/>
                <w:lang w:val="es-CO" w:eastAsia="es-CO"/>
              </w:rPr>
              <w:t>$</w:t>
            </w:r>
            <w:r w:rsidR="00F05E81" w:rsidRPr="005375EA">
              <w:rPr>
                <w:rFonts w:ascii="Arial" w:eastAsia="Times New Roman" w:hAnsi="Arial" w:cs="Arial"/>
                <w:color w:val="000000"/>
                <w:sz w:val="14"/>
                <w:szCs w:val="14"/>
                <w:lang w:val="es-CO" w:eastAsia="es-CO"/>
              </w:rPr>
              <w:t>3.595</w:t>
            </w:r>
          </w:p>
        </w:tc>
      </w:tr>
      <w:tr w:rsidR="00DB281B" w:rsidRPr="005375EA" w14:paraId="7FE59126" w14:textId="77777777" w:rsidTr="005375EA">
        <w:trPr>
          <w:trHeight w:val="20"/>
        </w:trPr>
        <w:tc>
          <w:tcPr>
            <w:tcW w:w="1689" w:type="pct"/>
            <w:tcBorders>
              <w:top w:val="nil"/>
              <w:left w:val="single" w:sz="8" w:space="0" w:color="auto"/>
              <w:bottom w:val="single" w:sz="8" w:space="0" w:color="auto"/>
              <w:right w:val="single" w:sz="8" w:space="0" w:color="auto"/>
            </w:tcBorders>
            <w:shd w:val="clear" w:color="000000" w:fill="9BC2E6"/>
            <w:noWrap/>
            <w:vAlign w:val="center"/>
            <w:hideMark/>
          </w:tcPr>
          <w:p w14:paraId="231678EB" w14:textId="77777777" w:rsidR="00F05E81" w:rsidRPr="005375EA" w:rsidRDefault="00F05E81" w:rsidP="00DB281B">
            <w:pP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TOTAL CALIDAD</w:t>
            </w:r>
          </w:p>
        </w:tc>
        <w:tc>
          <w:tcPr>
            <w:tcW w:w="722" w:type="pct"/>
            <w:tcBorders>
              <w:top w:val="nil"/>
              <w:left w:val="nil"/>
              <w:bottom w:val="single" w:sz="8" w:space="0" w:color="auto"/>
              <w:right w:val="single" w:sz="8" w:space="0" w:color="auto"/>
            </w:tcBorders>
            <w:shd w:val="clear" w:color="000000" w:fill="9BC2E6"/>
            <w:noWrap/>
            <w:vAlign w:val="center"/>
            <w:hideMark/>
          </w:tcPr>
          <w:p w14:paraId="3029A5B1" w14:textId="3625AD3D"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43.465 </w:t>
            </w:r>
          </w:p>
        </w:tc>
        <w:tc>
          <w:tcPr>
            <w:tcW w:w="557" w:type="pct"/>
            <w:tcBorders>
              <w:top w:val="nil"/>
              <w:left w:val="nil"/>
              <w:bottom w:val="single" w:sz="8" w:space="0" w:color="auto"/>
              <w:right w:val="single" w:sz="8" w:space="0" w:color="auto"/>
            </w:tcBorders>
            <w:shd w:val="clear" w:color="000000" w:fill="9BC2E6"/>
            <w:noWrap/>
            <w:vAlign w:val="center"/>
            <w:hideMark/>
          </w:tcPr>
          <w:p w14:paraId="48C6345E" w14:textId="1CC13009"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44.407 </w:t>
            </w:r>
          </w:p>
        </w:tc>
        <w:tc>
          <w:tcPr>
            <w:tcW w:w="769" w:type="pct"/>
            <w:tcBorders>
              <w:top w:val="nil"/>
              <w:left w:val="nil"/>
              <w:bottom w:val="single" w:sz="8" w:space="0" w:color="auto"/>
              <w:right w:val="single" w:sz="8" w:space="0" w:color="auto"/>
            </w:tcBorders>
            <w:shd w:val="clear" w:color="000000" w:fill="9BC2E6"/>
            <w:noWrap/>
            <w:vAlign w:val="center"/>
            <w:hideMark/>
          </w:tcPr>
          <w:p w14:paraId="76D3D568" w14:textId="0DA84955" w:rsidR="00F05E81" w:rsidRPr="005375EA" w:rsidRDefault="00F05E81" w:rsidP="00DB281B">
            <w:pPr>
              <w:jc w:val="right"/>
              <w:rPr>
                <w:rFonts w:ascii="Arial" w:eastAsia="Times New Roman" w:hAnsi="Arial" w:cs="Arial"/>
                <w:b/>
                <w:bCs/>
                <w:color w:val="FF0000"/>
                <w:sz w:val="14"/>
                <w:szCs w:val="14"/>
                <w:lang w:val="es-CO" w:eastAsia="es-CO"/>
              </w:rPr>
            </w:pPr>
            <w:r w:rsidRPr="005375EA">
              <w:rPr>
                <w:rFonts w:ascii="Arial" w:eastAsia="Times New Roman" w:hAnsi="Arial" w:cs="Arial"/>
                <w:b/>
                <w:bCs/>
                <w:color w:val="FF0000"/>
                <w:sz w:val="14"/>
                <w:szCs w:val="14"/>
                <w:lang w:val="es-CO" w:eastAsia="es-CO"/>
              </w:rPr>
              <w:t>-</w:t>
            </w:r>
            <w:r w:rsidR="00DB281B" w:rsidRPr="005375EA">
              <w:rPr>
                <w:rFonts w:ascii="Arial" w:eastAsia="Times New Roman" w:hAnsi="Arial" w:cs="Arial"/>
                <w:b/>
                <w:bCs/>
                <w:color w:val="FF0000"/>
                <w:sz w:val="14"/>
                <w:szCs w:val="14"/>
                <w:lang w:val="es-CO" w:eastAsia="es-CO"/>
              </w:rPr>
              <w:t>$</w:t>
            </w:r>
            <w:r w:rsidRPr="005375EA">
              <w:rPr>
                <w:rFonts w:ascii="Arial" w:eastAsia="Times New Roman" w:hAnsi="Arial" w:cs="Arial"/>
                <w:b/>
                <w:bCs/>
                <w:color w:val="FF0000"/>
                <w:sz w:val="14"/>
                <w:szCs w:val="14"/>
                <w:lang w:val="es-CO" w:eastAsia="es-CO"/>
              </w:rPr>
              <w:t>942</w:t>
            </w:r>
            <w:r w:rsidR="00246573" w:rsidRPr="005375EA">
              <w:rPr>
                <w:rFonts w:ascii="Arial" w:eastAsia="Times New Roman" w:hAnsi="Arial" w:cs="Arial"/>
                <w:b/>
                <w:bCs/>
                <w:color w:val="FF0000"/>
                <w:sz w:val="14"/>
                <w:szCs w:val="14"/>
                <w:lang w:val="es-CO" w:eastAsia="es-CO"/>
              </w:rPr>
              <w:t xml:space="preserve"> (2)</w:t>
            </w:r>
            <w:r w:rsidRPr="005375EA">
              <w:rPr>
                <w:rFonts w:ascii="Arial" w:eastAsia="Times New Roman" w:hAnsi="Arial" w:cs="Arial"/>
                <w:b/>
                <w:bCs/>
                <w:color w:val="FF0000"/>
                <w:sz w:val="14"/>
                <w:szCs w:val="14"/>
                <w:lang w:val="es-CO" w:eastAsia="es-CO"/>
              </w:rPr>
              <w:t xml:space="preserve"> </w:t>
            </w:r>
          </w:p>
        </w:tc>
        <w:tc>
          <w:tcPr>
            <w:tcW w:w="409" w:type="pct"/>
            <w:tcBorders>
              <w:top w:val="nil"/>
              <w:left w:val="nil"/>
              <w:bottom w:val="single" w:sz="8" w:space="0" w:color="auto"/>
              <w:right w:val="single" w:sz="8" w:space="0" w:color="auto"/>
            </w:tcBorders>
            <w:shd w:val="clear" w:color="000000" w:fill="9BC2E6"/>
            <w:noWrap/>
            <w:vAlign w:val="center"/>
            <w:hideMark/>
          </w:tcPr>
          <w:p w14:paraId="37AF0020" w14:textId="281B3470"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48.936 </w:t>
            </w:r>
          </w:p>
        </w:tc>
        <w:tc>
          <w:tcPr>
            <w:tcW w:w="409" w:type="pct"/>
            <w:tcBorders>
              <w:top w:val="nil"/>
              <w:left w:val="nil"/>
              <w:bottom w:val="single" w:sz="8" w:space="0" w:color="auto"/>
              <w:right w:val="single" w:sz="8" w:space="0" w:color="auto"/>
            </w:tcBorders>
            <w:shd w:val="clear" w:color="000000" w:fill="9BC2E6"/>
            <w:noWrap/>
            <w:vAlign w:val="center"/>
            <w:hideMark/>
          </w:tcPr>
          <w:p w14:paraId="4FA4A384" w14:textId="39324068"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45.342 </w:t>
            </w:r>
          </w:p>
        </w:tc>
        <w:tc>
          <w:tcPr>
            <w:tcW w:w="443" w:type="pct"/>
            <w:tcBorders>
              <w:top w:val="nil"/>
              <w:left w:val="nil"/>
              <w:bottom w:val="single" w:sz="8" w:space="0" w:color="auto"/>
              <w:right w:val="single" w:sz="8" w:space="0" w:color="auto"/>
            </w:tcBorders>
            <w:shd w:val="clear" w:color="000000" w:fill="9BC2E6"/>
            <w:noWrap/>
            <w:vAlign w:val="center"/>
            <w:hideMark/>
          </w:tcPr>
          <w:p w14:paraId="7A21DB43" w14:textId="6D038B50"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3.595 </w:t>
            </w:r>
          </w:p>
        </w:tc>
      </w:tr>
      <w:tr w:rsidR="0094015B" w:rsidRPr="005375EA" w14:paraId="75A216F1" w14:textId="77777777" w:rsidTr="005375EA">
        <w:trPr>
          <w:trHeight w:val="20"/>
        </w:trPr>
        <w:tc>
          <w:tcPr>
            <w:tcW w:w="2968"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24FE49BB" w14:textId="5DC8B902" w:rsidR="00F05E81" w:rsidRPr="005375EA" w:rsidRDefault="00F05E81" w:rsidP="00DB281B">
            <w:pPr>
              <w:jc w:val="cente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TESORERÍA CANCELACIONES</w:t>
            </w:r>
            <w:r w:rsidR="006F4ADF" w:rsidRPr="005375EA">
              <w:rPr>
                <w:rFonts w:ascii="Arial" w:eastAsia="Times New Roman" w:hAnsi="Arial" w:cs="Arial"/>
                <w:b/>
                <w:bCs/>
                <w:color w:val="000000"/>
                <w:sz w:val="14"/>
                <w:szCs w:val="14"/>
                <w:lang w:val="es-CO" w:eastAsia="es-CO"/>
              </w:rPr>
              <w:t xml:space="preserve"> (Saldos Extractos Bancarios)</w:t>
            </w:r>
          </w:p>
        </w:tc>
        <w:tc>
          <w:tcPr>
            <w:tcW w:w="769" w:type="pct"/>
            <w:tcBorders>
              <w:top w:val="nil"/>
              <w:left w:val="nil"/>
              <w:bottom w:val="single" w:sz="8" w:space="0" w:color="auto"/>
              <w:right w:val="single" w:sz="8" w:space="0" w:color="auto"/>
            </w:tcBorders>
            <w:shd w:val="clear" w:color="000000" w:fill="9BC2E6"/>
            <w:noWrap/>
            <w:vAlign w:val="center"/>
            <w:hideMark/>
          </w:tcPr>
          <w:p w14:paraId="4A5F4634" w14:textId="113D242E"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366 </w:t>
            </w:r>
          </w:p>
        </w:tc>
        <w:tc>
          <w:tcPr>
            <w:tcW w:w="1262" w:type="pct"/>
            <w:gridSpan w:val="3"/>
            <w:tcBorders>
              <w:top w:val="single" w:sz="8" w:space="0" w:color="auto"/>
              <w:left w:val="nil"/>
              <w:bottom w:val="single" w:sz="8" w:space="0" w:color="auto"/>
              <w:right w:val="single" w:sz="8" w:space="0" w:color="000000"/>
            </w:tcBorders>
            <w:shd w:val="clear" w:color="000000" w:fill="9BC2E6"/>
            <w:noWrap/>
            <w:vAlign w:val="center"/>
            <w:hideMark/>
          </w:tcPr>
          <w:p w14:paraId="4415065E" w14:textId="639690C1"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 xml:space="preserve">7.358 </w:t>
            </w:r>
          </w:p>
        </w:tc>
      </w:tr>
      <w:tr w:rsidR="0094015B" w:rsidRPr="005375EA" w14:paraId="6AD08090" w14:textId="77777777" w:rsidTr="005375EA">
        <w:trPr>
          <w:trHeight w:val="20"/>
        </w:trPr>
        <w:tc>
          <w:tcPr>
            <w:tcW w:w="2968"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665710BD" w14:textId="0C4A03B1" w:rsidR="00F05E81" w:rsidRPr="005375EA" w:rsidRDefault="00F05E81" w:rsidP="00DB281B">
            <w:pPr>
              <w:jc w:val="cente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DIFERENCIA CON FUT</w:t>
            </w:r>
            <w:r w:rsidR="006F4ADF" w:rsidRPr="005375EA">
              <w:rPr>
                <w:rFonts w:ascii="Arial" w:eastAsia="Times New Roman" w:hAnsi="Arial" w:cs="Arial"/>
                <w:b/>
                <w:bCs/>
                <w:color w:val="000000"/>
                <w:sz w:val="14"/>
                <w:szCs w:val="14"/>
                <w:lang w:val="es-CO" w:eastAsia="es-CO"/>
              </w:rPr>
              <w:t xml:space="preserve"> (Superávit/Déficit Ejecución - Superávit/Déficit FUT)</w:t>
            </w:r>
          </w:p>
        </w:tc>
        <w:tc>
          <w:tcPr>
            <w:tcW w:w="769" w:type="pct"/>
            <w:tcBorders>
              <w:top w:val="nil"/>
              <w:left w:val="nil"/>
              <w:bottom w:val="single" w:sz="8" w:space="0" w:color="auto"/>
              <w:right w:val="single" w:sz="8" w:space="0" w:color="auto"/>
            </w:tcBorders>
            <w:shd w:val="clear" w:color="000000" w:fill="9BC2E6"/>
            <w:noWrap/>
            <w:vAlign w:val="center"/>
            <w:hideMark/>
          </w:tcPr>
          <w:p w14:paraId="3529FFCC" w14:textId="7684BEEA" w:rsidR="00F05E81" w:rsidRPr="005375EA" w:rsidRDefault="00F05E81" w:rsidP="00DB281B">
            <w:pPr>
              <w:jc w:val="right"/>
              <w:rPr>
                <w:rFonts w:ascii="Arial" w:eastAsia="Times New Roman" w:hAnsi="Arial" w:cs="Arial"/>
                <w:b/>
                <w:bCs/>
                <w:color w:val="FF0000"/>
                <w:sz w:val="14"/>
                <w:szCs w:val="14"/>
                <w:lang w:val="es-CO" w:eastAsia="es-CO"/>
              </w:rPr>
            </w:pPr>
            <w:r w:rsidRPr="005375EA">
              <w:rPr>
                <w:rFonts w:ascii="Arial" w:eastAsia="Times New Roman" w:hAnsi="Arial" w:cs="Arial"/>
                <w:b/>
                <w:bCs/>
                <w:color w:val="FF0000"/>
                <w:sz w:val="14"/>
                <w:szCs w:val="14"/>
                <w:lang w:val="es-CO" w:eastAsia="es-CO"/>
              </w:rPr>
              <w:t>-</w:t>
            </w:r>
            <w:r w:rsidR="00DB281B" w:rsidRPr="005375EA">
              <w:rPr>
                <w:rFonts w:ascii="Arial" w:eastAsia="Times New Roman" w:hAnsi="Arial" w:cs="Arial"/>
                <w:b/>
                <w:bCs/>
                <w:color w:val="FF0000"/>
                <w:sz w:val="14"/>
                <w:szCs w:val="14"/>
                <w:lang w:val="es-CO" w:eastAsia="es-CO"/>
              </w:rPr>
              <w:t>$</w:t>
            </w:r>
            <w:r w:rsidRPr="005375EA">
              <w:rPr>
                <w:rFonts w:ascii="Arial" w:eastAsia="Times New Roman" w:hAnsi="Arial" w:cs="Arial"/>
                <w:b/>
                <w:bCs/>
                <w:color w:val="FF0000"/>
                <w:sz w:val="14"/>
                <w:szCs w:val="14"/>
                <w:lang w:val="es-CO" w:eastAsia="es-CO"/>
              </w:rPr>
              <w:t>1.041</w:t>
            </w:r>
            <w:r w:rsidR="00246573" w:rsidRPr="005375EA">
              <w:rPr>
                <w:rFonts w:ascii="Arial" w:eastAsia="Times New Roman" w:hAnsi="Arial" w:cs="Arial"/>
                <w:b/>
                <w:bCs/>
                <w:color w:val="FF0000"/>
                <w:sz w:val="14"/>
                <w:szCs w:val="14"/>
                <w:lang w:val="es-CO" w:eastAsia="es-CO"/>
              </w:rPr>
              <w:t xml:space="preserve"> (3)</w:t>
            </w:r>
            <w:r w:rsidRPr="005375EA">
              <w:rPr>
                <w:rFonts w:ascii="Arial" w:eastAsia="Times New Roman" w:hAnsi="Arial" w:cs="Arial"/>
                <w:b/>
                <w:bCs/>
                <w:color w:val="FF0000"/>
                <w:sz w:val="14"/>
                <w:szCs w:val="14"/>
                <w:lang w:val="es-CO" w:eastAsia="es-CO"/>
              </w:rPr>
              <w:t xml:space="preserve"> </w:t>
            </w:r>
          </w:p>
        </w:tc>
        <w:tc>
          <w:tcPr>
            <w:tcW w:w="1262" w:type="pct"/>
            <w:gridSpan w:val="3"/>
            <w:tcBorders>
              <w:top w:val="single" w:sz="8" w:space="0" w:color="auto"/>
              <w:left w:val="nil"/>
              <w:bottom w:val="single" w:sz="8" w:space="0" w:color="auto"/>
              <w:right w:val="single" w:sz="8" w:space="0" w:color="000000"/>
            </w:tcBorders>
            <w:shd w:val="clear" w:color="000000" w:fill="9BC2E6"/>
            <w:noWrap/>
            <w:vAlign w:val="center"/>
            <w:hideMark/>
          </w:tcPr>
          <w:p w14:paraId="2747067C" w14:textId="6ABEF055" w:rsidR="00F05E81" w:rsidRPr="005375EA" w:rsidRDefault="00F05E81" w:rsidP="00DB281B">
            <w:pPr>
              <w:jc w:val="right"/>
              <w:rPr>
                <w:rFonts w:ascii="Arial" w:eastAsia="Times New Roman" w:hAnsi="Arial" w:cs="Arial"/>
                <w:b/>
                <w:bCs/>
                <w:color w:val="FF0000"/>
                <w:sz w:val="14"/>
                <w:szCs w:val="14"/>
                <w:lang w:val="es-CO" w:eastAsia="es-CO"/>
              </w:rPr>
            </w:pPr>
            <w:r w:rsidRPr="005375EA">
              <w:rPr>
                <w:rFonts w:ascii="Arial" w:eastAsia="Times New Roman" w:hAnsi="Arial" w:cs="Arial"/>
                <w:b/>
                <w:bCs/>
                <w:color w:val="FF0000"/>
                <w:sz w:val="14"/>
                <w:szCs w:val="14"/>
                <w:lang w:val="es-CO" w:eastAsia="es-CO"/>
              </w:rPr>
              <w:t>-</w:t>
            </w:r>
            <w:r w:rsidR="00DB281B" w:rsidRPr="005375EA">
              <w:rPr>
                <w:rFonts w:ascii="Arial" w:eastAsia="Times New Roman" w:hAnsi="Arial" w:cs="Arial"/>
                <w:b/>
                <w:bCs/>
                <w:color w:val="FF0000"/>
                <w:sz w:val="14"/>
                <w:szCs w:val="14"/>
                <w:lang w:val="es-CO" w:eastAsia="es-CO"/>
              </w:rPr>
              <w:t>$</w:t>
            </w:r>
            <w:r w:rsidRPr="005375EA">
              <w:rPr>
                <w:rFonts w:ascii="Arial" w:eastAsia="Times New Roman" w:hAnsi="Arial" w:cs="Arial"/>
                <w:b/>
                <w:bCs/>
                <w:color w:val="FF0000"/>
                <w:sz w:val="14"/>
                <w:szCs w:val="14"/>
                <w:lang w:val="es-CO" w:eastAsia="es-CO"/>
              </w:rPr>
              <w:t>3.763</w:t>
            </w:r>
            <w:r w:rsidR="00246573" w:rsidRPr="005375EA">
              <w:rPr>
                <w:rFonts w:ascii="Arial" w:eastAsia="Times New Roman" w:hAnsi="Arial" w:cs="Arial"/>
                <w:b/>
                <w:bCs/>
                <w:color w:val="FF0000"/>
                <w:sz w:val="14"/>
                <w:szCs w:val="14"/>
                <w:lang w:val="es-CO" w:eastAsia="es-CO"/>
              </w:rPr>
              <w:t xml:space="preserve"> (6)</w:t>
            </w:r>
            <w:r w:rsidRPr="005375EA">
              <w:rPr>
                <w:rFonts w:ascii="Arial" w:eastAsia="Times New Roman" w:hAnsi="Arial" w:cs="Arial"/>
                <w:b/>
                <w:bCs/>
                <w:color w:val="FF0000"/>
                <w:sz w:val="14"/>
                <w:szCs w:val="14"/>
                <w:lang w:val="es-CO" w:eastAsia="es-CO"/>
              </w:rPr>
              <w:t xml:space="preserve"> </w:t>
            </w:r>
          </w:p>
        </w:tc>
      </w:tr>
      <w:tr w:rsidR="0094015B" w:rsidRPr="005375EA" w14:paraId="5025B78B" w14:textId="77777777" w:rsidTr="005375EA">
        <w:trPr>
          <w:trHeight w:val="20"/>
        </w:trPr>
        <w:tc>
          <w:tcPr>
            <w:tcW w:w="2968" w:type="pct"/>
            <w:gridSpan w:val="3"/>
            <w:tcBorders>
              <w:top w:val="single" w:sz="8" w:space="0" w:color="auto"/>
              <w:left w:val="single" w:sz="8" w:space="0" w:color="auto"/>
              <w:bottom w:val="single" w:sz="8" w:space="0" w:color="auto"/>
              <w:right w:val="single" w:sz="8" w:space="0" w:color="000000"/>
            </w:tcBorders>
            <w:shd w:val="clear" w:color="000000" w:fill="9BC2E6"/>
            <w:noWrap/>
            <w:vAlign w:val="center"/>
            <w:hideMark/>
          </w:tcPr>
          <w:p w14:paraId="5BE0F305" w14:textId="62760E1D" w:rsidR="00F05E81" w:rsidRPr="005375EA" w:rsidRDefault="00F05E81" w:rsidP="00DB281B">
            <w:pPr>
              <w:jc w:val="center"/>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DIFERENCIA CON TESORERÍA </w:t>
            </w:r>
            <w:r w:rsidR="006F4ADF" w:rsidRPr="005375EA">
              <w:rPr>
                <w:rFonts w:ascii="Arial" w:eastAsia="Times New Roman" w:hAnsi="Arial" w:cs="Arial"/>
                <w:b/>
                <w:bCs/>
                <w:color w:val="000000"/>
                <w:sz w:val="14"/>
                <w:szCs w:val="14"/>
                <w:lang w:val="es-CO" w:eastAsia="es-CO"/>
              </w:rPr>
              <w:t>(Saldos Extractos Bancarios – Disponibilidad Cierre Fiscal)</w:t>
            </w:r>
          </w:p>
        </w:tc>
        <w:tc>
          <w:tcPr>
            <w:tcW w:w="769" w:type="pct"/>
            <w:tcBorders>
              <w:top w:val="nil"/>
              <w:left w:val="nil"/>
              <w:bottom w:val="single" w:sz="8" w:space="0" w:color="auto"/>
              <w:right w:val="single" w:sz="8" w:space="0" w:color="auto"/>
            </w:tcBorders>
            <w:shd w:val="clear" w:color="000000" w:fill="9BC2E6"/>
            <w:noWrap/>
            <w:vAlign w:val="center"/>
            <w:hideMark/>
          </w:tcPr>
          <w:p w14:paraId="5FD7F76F" w14:textId="1ACEC49C"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w:t>
            </w:r>
            <w:r w:rsidR="00DB281B" w:rsidRPr="005375EA">
              <w:rPr>
                <w:rFonts w:ascii="Arial" w:eastAsia="Times New Roman" w:hAnsi="Arial" w:cs="Arial"/>
                <w:b/>
                <w:bCs/>
                <w:color w:val="000000"/>
                <w:sz w:val="14"/>
                <w:szCs w:val="14"/>
                <w:lang w:val="es-CO" w:eastAsia="es-CO"/>
              </w:rPr>
              <w:t xml:space="preserve"> </w:t>
            </w:r>
          </w:p>
        </w:tc>
        <w:tc>
          <w:tcPr>
            <w:tcW w:w="1262" w:type="pct"/>
            <w:gridSpan w:val="3"/>
            <w:tcBorders>
              <w:top w:val="single" w:sz="8" w:space="0" w:color="auto"/>
              <w:left w:val="nil"/>
              <w:bottom w:val="single" w:sz="8" w:space="0" w:color="auto"/>
              <w:right w:val="single" w:sz="8" w:space="0" w:color="000000"/>
            </w:tcBorders>
            <w:shd w:val="clear" w:color="000000" w:fill="9BC2E6"/>
            <w:noWrap/>
            <w:vAlign w:val="center"/>
            <w:hideMark/>
          </w:tcPr>
          <w:p w14:paraId="7B3C3762" w14:textId="405A152D" w:rsidR="00F05E81" w:rsidRPr="005375EA" w:rsidRDefault="00F05E81" w:rsidP="00DB281B">
            <w:pPr>
              <w:jc w:val="right"/>
              <w:rPr>
                <w:rFonts w:ascii="Arial" w:eastAsia="Times New Roman" w:hAnsi="Arial" w:cs="Arial"/>
                <w:b/>
                <w:bCs/>
                <w:color w:val="000000"/>
                <w:sz w:val="14"/>
                <w:szCs w:val="14"/>
                <w:lang w:val="es-CO" w:eastAsia="es-CO"/>
              </w:rPr>
            </w:pPr>
            <w:r w:rsidRPr="005375EA">
              <w:rPr>
                <w:rFonts w:ascii="Arial" w:eastAsia="Times New Roman" w:hAnsi="Arial" w:cs="Arial"/>
                <w:b/>
                <w:bCs/>
                <w:color w:val="000000"/>
                <w:sz w:val="14"/>
                <w:szCs w:val="14"/>
                <w:lang w:val="es-CO" w:eastAsia="es-CO"/>
              </w:rPr>
              <w:t xml:space="preserve"> </w:t>
            </w:r>
            <w:r w:rsidR="00DB281B" w:rsidRPr="005375EA">
              <w:rPr>
                <w:rFonts w:ascii="Arial" w:eastAsia="Times New Roman" w:hAnsi="Arial" w:cs="Arial"/>
                <w:b/>
                <w:bCs/>
                <w:color w:val="000000"/>
                <w:sz w:val="14"/>
                <w:szCs w:val="14"/>
                <w:lang w:val="es-CO" w:eastAsia="es-CO"/>
              </w:rPr>
              <w:t>$</w:t>
            </w:r>
            <w:r w:rsidRPr="005375EA">
              <w:rPr>
                <w:rFonts w:ascii="Arial" w:eastAsia="Times New Roman" w:hAnsi="Arial" w:cs="Arial"/>
                <w:b/>
                <w:bCs/>
                <w:color w:val="000000"/>
                <w:sz w:val="14"/>
                <w:szCs w:val="14"/>
                <w:lang w:val="es-CO" w:eastAsia="es-CO"/>
              </w:rPr>
              <w:t>-</w:t>
            </w:r>
            <w:r w:rsidR="00DB281B" w:rsidRPr="005375EA">
              <w:rPr>
                <w:rFonts w:ascii="Arial" w:eastAsia="Times New Roman" w:hAnsi="Arial" w:cs="Arial"/>
                <w:b/>
                <w:bCs/>
                <w:color w:val="000000"/>
                <w:sz w:val="14"/>
                <w:szCs w:val="14"/>
                <w:lang w:val="es-CO" w:eastAsia="es-CO"/>
              </w:rPr>
              <w:t xml:space="preserve"> </w:t>
            </w:r>
          </w:p>
        </w:tc>
      </w:tr>
    </w:tbl>
    <w:p w14:paraId="75067F20" w14:textId="3857D595" w:rsidR="00F05E81" w:rsidRPr="00DB281B" w:rsidRDefault="00487AC6" w:rsidP="00DB281B">
      <w:pPr>
        <w:jc w:val="both"/>
        <w:rPr>
          <w:rFonts w:ascii="Arial" w:hAnsi="Arial" w:cs="Arial"/>
          <w:sz w:val="22"/>
          <w:szCs w:val="22"/>
        </w:rPr>
      </w:pPr>
      <w:r w:rsidRPr="00DB281B">
        <w:rPr>
          <w:rStyle w:val="nfasissutil"/>
          <w:szCs w:val="16"/>
        </w:rPr>
        <w:t>Fuente: Ejecución presupuestal, reportes a la categoría Cierre Fiscal del FUT y extractos bancarios de las cuentas maestras del Sector Educación. Información entregada por la Entidad Territorial a corte 31 de diciembre de 2019, 2020 y marzo del 2021.</w:t>
      </w:r>
    </w:p>
    <w:p w14:paraId="0390CD8B" w14:textId="6529F9DA" w:rsidR="00F05E81" w:rsidRPr="00DB281B" w:rsidRDefault="00F05E81" w:rsidP="00DB281B">
      <w:pPr>
        <w:jc w:val="both"/>
        <w:rPr>
          <w:rFonts w:ascii="Arial" w:hAnsi="Arial" w:cs="Arial"/>
          <w:sz w:val="22"/>
          <w:szCs w:val="22"/>
        </w:rPr>
      </w:pPr>
    </w:p>
    <w:p w14:paraId="6AC83A83" w14:textId="16D949E4" w:rsidR="00830310" w:rsidRPr="00DB281B" w:rsidRDefault="00325242" w:rsidP="00DB281B">
      <w:pPr>
        <w:pStyle w:val="Prrafodelista"/>
        <w:numPr>
          <w:ilvl w:val="0"/>
          <w:numId w:val="4"/>
        </w:numPr>
        <w:ind w:left="426" w:hanging="426"/>
        <w:jc w:val="both"/>
        <w:rPr>
          <w:rFonts w:ascii="Arial" w:hAnsi="Arial" w:cs="Arial"/>
          <w:iCs/>
          <w:color w:val="FF0000"/>
          <w:sz w:val="22"/>
          <w:szCs w:val="22"/>
        </w:rPr>
      </w:pPr>
      <w:r w:rsidRPr="00DB281B">
        <w:rPr>
          <w:rFonts w:ascii="Arial" w:hAnsi="Arial" w:cs="Arial"/>
          <w:sz w:val="22"/>
          <w:szCs w:val="22"/>
        </w:rPr>
        <w:t>Se estima una diferencia de $19 millones entre el valor del superávit estimado con la ejecución presupuestal en comparación</w:t>
      </w:r>
      <w:r w:rsidR="00830310" w:rsidRPr="00DB281B">
        <w:rPr>
          <w:rFonts w:ascii="Arial" w:hAnsi="Arial" w:cs="Arial"/>
          <w:sz w:val="22"/>
          <w:szCs w:val="22"/>
        </w:rPr>
        <w:t xml:space="preserve"> con el reportado </w:t>
      </w:r>
      <w:r w:rsidR="005375EA">
        <w:rPr>
          <w:rFonts w:ascii="Arial" w:hAnsi="Arial" w:cs="Arial"/>
          <w:sz w:val="22"/>
          <w:szCs w:val="22"/>
        </w:rPr>
        <w:t xml:space="preserve">por </w:t>
      </w:r>
      <w:r w:rsidR="00830310" w:rsidRPr="00DB281B">
        <w:rPr>
          <w:rFonts w:ascii="Arial" w:hAnsi="Arial" w:cs="Arial"/>
          <w:sz w:val="22"/>
          <w:szCs w:val="22"/>
        </w:rPr>
        <w:t xml:space="preserve">este concepto </w:t>
      </w:r>
      <w:r w:rsidR="005375EA">
        <w:rPr>
          <w:rFonts w:ascii="Arial" w:hAnsi="Arial" w:cs="Arial"/>
          <w:sz w:val="22"/>
          <w:szCs w:val="22"/>
        </w:rPr>
        <w:t xml:space="preserve">en </w:t>
      </w:r>
      <w:r w:rsidR="00830310" w:rsidRPr="00DB281B">
        <w:rPr>
          <w:rFonts w:ascii="Arial" w:hAnsi="Arial" w:cs="Arial"/>
          <w:sz w:val="22"/>
          <w:szCs w:val="22"/>
        </w:rPr>
        <w:t>la categoría Cierre Fiscal del FUT. La Entidad allega soportes de conciliación de saldos, sin embargo, se evidencia la misma diferencia, razón por la que se recomienda en visita de reconocimiento indagar por los procesos de conciliación de cifras para los reportes de información.</w:t>
      </w:r>
    </w:p>
    <w:p w14:paraId="13B2CE2D" w14:textId="77777777" w:rsidR="00594E57" w:rsidRPr="00DB281B" w:rsidRDefault="00594E57" w:rsidP="00DB281B">
      <w:pPr>
        <w:pStyle w:val="Prrafodelista"/>
        <w:ind w:left="426"/>
        <w:jc w:val="both"/>
        <w:rPr>
          <w:rStyle w:val="nfasissutil"/>
          <w:color w:val="FF0000"/>
          <w:sz w:val="22"/>
          <w:szCs w:val="22"/>
        </w:rPr>
      </w:pPr>
    </w:p>
    <w:p w14:paraId="782E7FBA" w14:textId="39D33CE4" w:rsidR="00325242" w:rsidRPr="00DB281B" w:rsidRDefault="00325242" w:rsidP="00DB281B">
      <w:pPr>
        <w:pStyle w:val="Prrafodelista"/>
        <w:numPr>
          <w:ilvl w:val="0"/>
          <w:numId w:val="4"/>
        </w:numPr>
        <w:ind w:left="426" w:hanging="426"/>
        <w:jc w:val="both"/>
        <w:rPr>
          <w:rStyle w:val="nfasissutil"/>
          <w:color w:val="FF0000"/>
          <w:sz w:val="22"/>
          <w:szCs w:val="22"/>
        </w:rPr>
      </w:pPr>
      <w:r w:rsidRPr="00DB281B">
        <w:rPr>
          <w:rStyle w:val="nfasissutil"/>
          <w:sz w:val="22"/>
          <w:szCs w:val="22"/>
        </w:rPr>
        <w:t xml:space="preserve">Llama la atención el saldo deficitario presentado por la Entidad en </w:t>
      </w:r>
      <w:r w:rsidR="00A30D25" w:rsidRPr="00DB281B">
        <w:rPr>
          <w:rStyle w:val="nfasissutil"/>
          <w:sz w:val="22"/>
          <w:szCs w:val="22"/>
        </w:rPr>
        <w:t xml:space="preserve">la fuente de Cancelaciones, ya que en la vigencia 2019 la entidad comprometió, obligó y pagó mayores recursos por Cancelaciones con respecto a los que fueron asignados por el MEN. Así mismo, se </w:t>
      </w:r>
      <w:r w:rsidR="005903B2" w:rsidRPr="00DB281B">
        <w:rPr>
          <w:rStyle w:val="nfasissutil"/>
          <w:sz w:val="22"/>
          <w:szCs w:val="22"/>
        </w:rPr>
        <w:t xml:space="preserve">solicita aclarar en la visita de reconocimiento </w:t>
      </w:r>
      <w:r w:rsidR="005375EA">
        <w:rPr>
          <w:rStyle w:val="nfasissutil"/>
          <w:sz w:val="22"/>
          <w:szCs w:val="22"/>
        </w:rPr>
        <w:t>la fuente con que fue cubierto tal déficit</w:t>
      </w:r>
      <w:r w:rsidR="005903B2" w:rsidRPr="00DB281B">
        <w:rPr>
          <w:rStyle w:val="nfasissutil"/>
          <w:sz w:val="22"/>
          <w:szCs w:val="22"/>
        </w:rPr>
        <w:t xml:space="preserve">. </w:t>
      </w:r>
    </w:p>
    <w:p w14:paraId="025EFA17" w14:textId="77777777" w:rsidR="00594E57" w:rsidRPr="00DB281B" w:rsidRDefault="00594E57" w:rsidP="00DB281B">
      <w:pPr>
        <w:pStyle w:val="Prrafodelista"/>
        <w:ind w:left="426"/>
        <w:jc w:val="both"/>
        <w:rPr>
          <w:rStyle w:val="nfasissutil"/>
          <w:color w:val="FF0000"/>
          <w:sz w:val="22"/>
          <w:szCs w:val="22"/>
        </w:rPr>
      </w:pPr>
    </w:p>
    <w:p w14:paraId="6260877C" w14:textId="67D0444F" w:rsidR="001407FA" w:rsidRPr="00DB281B" w:rsidRDefault="00FC1CD3" w:rsidP="00DB281B">
      <w:pPr>
        <w:pStyle w:val="Prrafodelista"/>
        <w:numPr>
          <w:ilvl w:val="0"/>
          <w:numId w:val="4"/>
        </w:numPr>
        <w:ind w:left="426" w:hanging="426"/>
        <w:jc w:val="both"/>
        <w:rPr>
          <w:rStyle w:val="nfasissutil"/>
          <w:color w:val="FF0000"/>
          <w:sz w:val="22"/>
          <w:szCs w:val="22"/>
        </w:rPr>
      </w:pPr>
      <w:r w:rsidRPr="00DB281B">
        <w:rPr>
          <w:rStyle w:val="nfasissutil"/>
          <w:sz w:val="22"/>
          <w:szCs w:val="22"/>
        </w:rPr>
        <w:t>Al analizar la cifra reportada en la categoría Cierre Fiscal del FUT</w:t>
      </w:r>
      <w:r w:rsidR="00475775">
        <w:rPr>
          <w:rStyle w:val="nfasissutil"/>
          <w:sz w:val="22"/>
          <w:szCs w:val="22"/>
        </w:rPr>
        <w:t xml:space="preserve"> en 2019</w:t>
      </w:r>
      <w:r w:rsidRPr="00DB281B">
        <w:rPr>
          <w:rStyle w:val="nfasissutil"/>
          <w:sz w:val="22"/>
          <w:szCs w:val="22"/>
        </w:rPr>
        <w:t xml:space="preserve"> con respecto al valor generado por el análisis de la ejecución presupuestal, se reconoce una diferencia de $1.041 millones, toda vez que el valor reportado en FUT </w:t>
      </w:r>
      <w:r w:rsidR="002E160D" w:rsidRPr="00DB281B">
        <w:rPr>
          <w:rStyle w:val="nfasissutil"/>
          <w:sz w:val="22"/>
          <w:szCs w:val="22"/>
        </w:rPr>
        <w:t>es un superávit de</w:t>
      </w:r>
      <w:r w:rsidRPr="00DB281B">
        <w:rPr>
          <w:rStyle w:val="nfasissutil"/>
          <w:sz w:val="22"/>
          <w:szCs w:val="22"/>
        </w:rPr>
        <w:t xml:space="preserve"> $99 millones mientras</w:t>
      </w:r>
      <w:r w:rsidR="002E160D" w:rsidRPr="00DB281B">
        <w:rPr>
          <w:rStyle w:val="nfasissutil"/>
          <w:sz w:val="22"/>
          <w:szCs w:val="22"/>
        </w:rPr>
        <w:t xml:space="preserve"> que en</w:t>
      </w:r>
      <w:r w:rsidRPr="00DB281B">
        <w:rPr>
          <w:rStyle w:val="nfasissutil"/>
          <w:sz w:val="22"/>
          <w:szCs w:val="22"/>
        </w:rPr>
        <w:t xml:space="preserve"> la ejecución presupuestal </w:t>
      </w:r>
      <w:r w:rsidR="002E160D" w:rsidRPr="00DB281B">
        <w:rPr>
          <w:rStyle w:val="nfasissutil"/>
          <w:sz w:val="22"/>
          <w:szCs w:val="22"/>
        </w:rPr>
        <w:t>se estima un déficit de $942 millones.</w:t>
      </w:r>
    </w:p>
    <w:p w14:paraId="58DCFED5" w14:textId="77777777" w:rsidR="00594E57" w:rsidRPr="00DB281B" w:rsidRDefault="00594E57" w:rsidP="00DB281B">
      <w:pPr>
        <w:pStyle w:val="Prrafodelista"/>
        <w:ind w:left="426"/>
        <w:jc w:val="both"/>
        <w:rPr>
          <w:rStyle w:val="nfasissutil"/>
          <w:color w:val="FF0000"/>
          <w:sz w:val="22"/>
          <w:szCs w:val="22"/>
        </w:rPr>
      </w:pPr>
    </w:p>
    <w:p w14:paraId="66945F1F" w14:textId="5E0FEC44" w:rsidR="002E160D" w:rsidRPr="00DB281B" w:rsidRDefault="002E160D" w:rsidP="00DB281B">
      <w:pPr>
        <w:pStyle w:val="Prrafodelista"/>
        <w:numPr>
          <w:ilvl w:val="0"/>
          <w:numId w:val="4"/>
        </w:numPr>
        <w:ind w:left="426" w:hanging="426"/>
        <w:jc w:val="both"/>
        <w:rPr>
          <w:rStyle w:val="nfasissutil"/>
          <w:color w:val="FF0000"/>
          <w:sz w:val="22"/>
          <w:szCs w:val="22"/>
        </w:rPr>
      </w:pPr>
      <w:r w:rsidRPr="00DB281B">
        <w:rPr>
          <w:rStyle w:val="nfasissutil"/>
          <w:sz w:val="22"/>
          <w:szCs w:val="22"/>
        </w:rPr>
        <w:t>Al comparar el resultado reportado al FUT como superávit de la fuente de Prestación del servicio</w:t>
      </w:r>
      <w:r w:rsidR="00475775">
        <w:rPr>
          <w:rStyle w:val="nfasissutil"/>
          <w:sz w:val="22"/>
          <w:szCs w:val="22"/>
        </w:rPr>
        <w:t xml:space="preserve"> en 2020</w:t>
      </w:r>
      <w:r w:rsidRPr="00DB281B">
        <w:rPr>
          <w:rStyle w:val="nfasissutil"/>
          <w:sz w:val="22"/>
          <w:szCs w:val="22"/>
        </w:rPr>
        <w:t>, se reconoce un saldo superior en $7.607 millones con respecto al calculado con la ejecución presupuestal para esta fuente</w:t>
      </w:r>
      <w:r w:rsidR="00052B9C" w:rsidRPr="00DB281B">
        <w:rPr>
          <w:rStyle w:val="nfasissutil"/>
          <w:sz w:val="22"/>
          <w:szCs w:val="22"/>
        </w:rPr>
        <w:t>.</w:t>
      </w:r>
    </w:p>
    <w:p w14:paraId="124F0A9A" w14:textId="77777777" w:rsidR="00594E57" w:rsidRPr="00DB281B" w:rsidRDefault="00594E57" w:rsidP="00DB281B">
      <w:pPr>
        <w:pStyle w:val="Prrafodelista"/>
        <w:ind w:left="426"/>
        <w:jc w:val="both"/>
        <w:rPr>
          <w:rStyle w:val="nfasissutil"/>
          <w:color w:val="FF0000"/>
          <w:sz w:val="22"/>
          <w:szCs w:val="22"/>
        </w:rPr>
      </w:pPr>
    </w:p>
    <w:p w14:paraId="37E64CC1" w14:textId="7A37BEB1" w:rsidR="00052B9C" w:rsidRPr="00DB281B" w:rsidRDefault="00052B9C" w:rsidP="00DB281B">
      <w:pPr>
        <w:pStyle w:val="Prrafodelista"/>
        <w:numPr>
          <w:ilvl w:val="0"/>
          <w:numId w:val="4"/>
        </w:numPr>
        <w:ind w:left="426" w:hanging="426"/>
        <w:jc w:val="both"/>
        <w:rPr>
          <w:rStyle w:val="nfasissutil"/>
          <w:color w:val="FF0000"/>
          <w:sz w:val="22"/>
          <w:szCs w:val="22"/>
        </w:rPr>
      </w:pPr>
      <w:r w:rsidRPr="00DB281B">
        <w:rPr>
          <w:rStyle w:val="nfasissutil"/>
          <w:sz w:val="22"/>
          <w:szCs w:val="22"/>
        </w:rPr>
        <w:lastRenderedPageBreak/>
        <w:t xml:space="preserve">De forma similar a los saldos reportados como déficit o superávit, el saldo </w:t>
      </w:r>
      <w:r w:rsidR="00475775">
        <w:rPr>
          <w:rStyle w:val="nfasissutil"/>
          <w:sz w:val="22"/>
          <w:szCs w:val="22"/>
        </w:rPr>
        <w:t xml:space="preserve">en </w:t>
      </w:r>
      <w:r w:rsidRPr="00DB281B">
        <w:rPr>
          <w:rStyle w:val="nfasissutil"/>
          <w:sz w:val="22"/>
          <w:szCs w:val="22"/>
        </w:rPr>
        <w:t>bancos reportado en el FUT difiere en $17.694 millones</w:t>
      </w:r>
      <w:r w:rsidR="00475775">
        <w:rPr>
          <w:rStyle w:val="nfasissutil"/>
          <w:sz w:val="22"/>
          <w:szCs w:val="22"/>
        </w:rPr>
        <w:t xml:space="preserve"> para 2020</w:t>
      </w:r>
      <w:r w:rsidR="009415E8" w:rsidRPr="00DB281B">
        <w:rPr>
          <w:rStyle w:val="nfasissutil"/>
          <w:sz w:val="22"/>
          <w:szCs w:val="22"/>
        </w:rPr>
        <w:t xml:space="preserve">, siendo superior al </w:t>
      </w:r>
      <w:r w:rsidR="005B7552" w:rsidRPr="00DB281B">
        <w:rPr>
          <w:rStyle w:val="nfasissutil"/>
          <w:sz w:val="22"/>
          <w:szCs w:val="22"/>
        </w:rPr>
        <w:t xml:space="preserve">saldo </w:t>
      </w:r>
      <w:r w:rsidR="009415E8" w:rsidRPr="00DB281B">
        <w:rPr>
          <w:rStyle w:val="nfasissutil"/>
          <w:sz w:val="22"/>
          <w:szCs w:val="22"/>
        </w:rPr>
        <w:t xml:space="preserve">identificado en el extracto bancario de las cuentas maestras de la Entidad en el Sector Educación por </w:t>
      </w:r>
      <w:r w:rsidR="005B7552" w:rsidRPr="00DB281B">
        <w:rPr>
          <w:rStyle w:val="nfasissutil"/>
          <w:sz w:val="22"/>
          <w:szCs w:val="22"/>
        </w:rPr>
        <w:t>$48.925 millones.</w:t>
      </w:r>
    </w:p>
    <w:p w14:paraId="75ACF633" w14:textId="77777777" w:rsidR="00594E57" w:rsidRPr="00DB281B" w:rsidRDefault="00594E57" w:rsidP="00DB281B">
      <w:pPr>
        <w:pStyle w:val="Prrafodelista"/>
        <w:ind w:left="426"/>
        <w:jc w:val="both"/>
        <w:rPr>
          <w:rStyle w:val="nfasissutil"/>
          <w:color w:val="FF0000"/>
          <w:sz w:val="22"/>
          <w:szCs w:val="22"/>
        </w:rPr>
      </w:pPr>
    </w:p>
    <w:p w14:paraId="4866C74E" w14:textId="5B8B3B12" w:rsidR="005B7552" w:rsidRPr="00DB281B" w:rsidRDefault="005B7552" w:rsidP="00DB281B">
      <w:pPr>
        <w:pStyle w:val="Prrafodelista"/>
        <w:numPr>
          <w:ilvl w:val="0"/>
          <w:numId w:val="4"/>
        </w:numPr>
        <w:ind w:left="426" w:hanging="426"/>
        <w:jc w:val="both"/>
        <w:rPr>
          <w:rStyle w:val="nfasissutil"/>
          <w:color w:val="FF0000"/>
          <w:sz w:val="22"/>
          <w:szCs w:val="22"/>
        </w:rPr>
      </w:pPr>
      <w:r w:rsidRPr="00DB281B">
        <w:rPr>
          <w:rStyle w:val="nfasissutil"/>
          <w:sz w:val="22"/>
          <w:szCs w:val="22"/>
        </w:rPr>
        <w:t xml:space="preserve">En torno a la fuente de Cancelaciones, </w:t>
      </w:r>
      <w:r w:rsidR="00594E57" w:rsidRPr="00DB281B">
        <w:rPr>
          <w:rStyle w:val="nfasissutil"/>
          <w:sz w:val="22"/>
          <w:szCs w:val="22"/>
        </w:rPr>
        <w:t xml:space="preserve">se reconoce que el reporte a la categoría de Cierre Fiscal del FUT concuerda con el saldo disponible en los extractos bancarios de la cuenta maestra a 31 de diciembre de 2020. Sin embargo, dicha cifra no concuerda con la estimación dada por los compromisos, obligaciones y pagos con cargo a esta fuente durante </w:t>
      </w:r>
      <w:r w:rsidR="00475775">
        <w:rPr>
          <w:rStyle w:val="nfasissutil"/>
          <w:sz w:val="22"/>
          <w:szCs w:val="22"/>
        </w:rPr>
        <w:t xml:space="preserve">la </w:t>
      </w:r>
      <w:r w:rsidR="00594E57" w:rsidRPr="00DB281B">
        <w:rPr>
          <w:rStyle w:val="nfasissutil"/>
          <w:sz w:val="22"/>
          <w:szCs w:val="22"/>
        </w:rPr>
        <w:t>vigencia. En consecuencia, se evidencia la falta de conciliación de cifras presupuestales con respecto al reporte de información al FUT.</w:t>
      </w:r>
    </w:p>
    <w:p w14:paraId="1DCB4AB1" w14:textId="77777777" w:rsidR="0041698C" w:rsidRPr="00DB281B" w:rsidRDefault="0041698C" w:rsidP="00DB281B">
      <w:pPr>
        <w:rPr>
          <w:rStyle w:val="nfasissutil"/>
          <w:sz w:val="22"/>
          <w:szCs w:val="22"/>
        </w:rPr>
      </w:pPr>
    </w:p>
    <w:p w14:paraId="1AFD20CD" w14:textId="77777777" w:rsidR="0041698C" w:rsidRPr="00DB281B" w:rsidRDefault="0041698C" w:rsidP="001F0ED4">
      <w:pPr>
        <w:pStyle w:val="Ttulo1"/>
        <w:numPr>
          <w:ilvl w:val="0"/>
          <w:numId w:val="1"/>
        </w:numPr>
        <w:spacing w:before="0"/>
        <w:ind w:left="426" w:hanging="426"/>
        <w:jc w:val="both"/>
        <w:rPr>
          <w:rFonts w:ascii="Arial" w:hAnsi="Arial" w:cs="Arial"/>
          <w:b/>
          <w:color w:val="auto"/>
          <w:sz w:val="22"/>
          <w:szCs w:val="22"/>
        </w:rPr>
      </w:pPr>
      <w:r w:rsidRPr="00DB281B">
        <w:rPr>
          <w:rFonts w:ascii="Arial" w:hAnsi="Arial" w:cs="Arial"/>
          <w:b/>
          <w:color w:val="auto"/>
          <w:sz w:val="22"/>
          <w:szCs w:val="22"/>
        </w:rPr>
        <w:t>PROBLEMÁTICA</w:t>
      </w:r>
    </w:p>
    <w:p w14:paraId="7BE00A4C" w14:textId="77777777" w:rsidR="0041698C" w:rsidRPr="00DB281B" w:rsidRDefault="0041698C" w:rsidP="00DB281B">
      <w:pPr>
        <w:rPr>
          <w:rFonts w:ascii="Arial" w:hAnsi="Arial" w:cs="Arial"/>
          <w:sz w:val="22"/>
          <w:szCs w:val="22"/>
        </w:rPr>
      </w:pPr>
    </w:p>
    <w:p w14:paraId="5CF7FDCB" w14:textId="56C2407B" w:rsidR="0041698C" w:rsidRPr="00DB281B" w:rsidRDefault="0041698C" w:rsidP="00DB281B">
      <w:pPr>
        <w:jc w:val="both"/>
        <w:rPr>
          <w:rFonts w:ascii="Arial" w:hAnsi="Arial" w:cs="Arial"/>
          <w:sz w:val="22"/>
          <w:szCs w:val="22"/>
        </w:rPr>
      </w:pPr>
      <w:r w:rsidRPr="00DB281B">
        <w:rPr>
          <w:rFonts w:ascii="Arial" w:hAnsi="Arial" w:cs="Arial"/>
          <w:sz w:val="22"/>
          <w:szCs w:val="22"/>
        </w:rPr>
        <w:t>El Ministerio de Educación</w:t>
      </w:r>
      <w:r w:rsidR="00475775">
        <w:rPr>
          <w:rFonts w:ascii="Arial" w:hAnsi="Arial" w:cs="Arial"/>
          <w:sz w:val="22"/>
          <w:szCs w:val="22"/>
        </w:rPr>
        <w:t>,</w:t>
      </w:r>
      <w:r w:rsidRPr="00DB281B">
        <w:rPr>
          <w:rFonts w:ascii="Arial" w:hAnsi="Arial" w:cs="Arial"/>
          <w:sz w:val="22"/>
          <w:szCs w:val="22"/>
        </w:rPr>
        <w:t xml:space="preserve"> en oficio enviado a esta dirección el </w:t>
      </w:r>
      <w:r w:rsidR="00B229E7" w:rsidRPr="00DB281B">
        <w:rPr>
          <w:rFonts w:ascii="Arial" w:hAnsi="Arial" w:cs="Arial"/>
          <w:sz w:val="22"/>
          <w:szCs w:val="22"/>
        </w:rPr>
        <w:t xml:space="preserve">09 de septiembre de </w:t>
      </w:r>
      <w:r w:rsidR="00372E8C" w:rsidRPr="00DB281B">
        <w:rPr>
          <w:rFonts w:ascii="Arial" w:hAnsi="Arial" w:cs="Arial"/>
          <w:sz w:val="22"/>
          <w:szCs w:val="22"/>
        </w:rPr>
        <w:t>2019</w:t>
      </w:r>
      <w:r w:rsidRPr="00DB281B">
        <w:rPr>
          <w:rFonts w:ascii="Arial" w:hAnsi="Arial" w:cs="Arial"/>
          <w:sz w:val="22"/>
          <w:szCs w:val="22"/>
        </w:rPr>
        <w:t xml:space="preserve"> mediante radicado </w:t>
      </w:r>
      <w:r w:rsidRPr="00DB281B">
        <w:rPr>
          <w:rFonts w:ascii="Arial" w:eastAsia="Times New Roman" w:hAnsi="Arial" w:cs="Arial"/>
          <w:sz w:val="22"/>
          <w:szCs w:val="22"/>
          <w:lang w:val="es-ES_tradnl"/>
        </w:rPr>
        <w:t>1-2019-</w:t>
      </w:r>
      <w:r w:rsidR="00372E8C" w:rsidRPr="00DB281B">
        <w:rPr>
          <w:rFonts w:ascii="Arial" w:eastAsia="Times New Roman" w:hAnsi="Arial" w:cs="Arial"/>
          <w:sz w:val="22"/>
          <w:szCs w:val="22"/>
          <w:lang w:val="es-ES_tradnl"/>
        </w:rPr>
        <w:t>083344</w:t>
      </w:r>
      <w:r w:rsidRPr="00DB281B">
        <w:rPr>
          <w:rFonts w:ascii="Arial" w:hAnsi="Arial" w:cs="Arial"/>
          <w:sz w:val="22"/>
          <w:szCs w:val="22"/>
        </w:rPr>
        <w:t>, señal</w:t>
      </w:r>
      <w:r w:rsidR="000571CA" w:rsidRPr="00DB281B">
        <w:rPr>
          <w:rFonts w:ascii="Arial" w:hAnsi="Arial" w:cs="Arial"/>
          <w:sz w:val="22"/>
          <w:szCs w:val="22"/>
        </w:rPr>
        <w:t>ó</w:t>
      </w:r>
      <w:r w:rsidRPr="00DB281B">
        <w:rPr>
          <w:rFonts w:ascii="Arial" w:hAnsi="Arial" w:cs="Arial"/>
          <w:sz w:val="22"/>
          <w:szCs w:val="22"/>
        </w:rPr>
        <w:t xml:space="preserve"> como posibles eventos de riego en la ejecución de los recursos SGP-Educación por parte del </w:t>
      </w:r>
      <w:r w:rsidR="00372E8C" w:rsidRPr="00DB281B">
        <w:rPr>
          <w:rFonts w:ascii="Arial" w:hAnsi="Arial" w:cs="Arial"/>
          <w:sz w:val="22"/>
          <w:szCs w:val="22"/>
        </w:rPr>
        <w:t>Departamento de Cundinamarca</w:t>
      </w:r>
      <w:r w:rsidRPr="00DB281B">
        <w:rPr>
          <w:rFonts w:ascii="Arial" w:hAnsi="Arial" w:cs="Arial"/>
          <w:sz w:val="22"/>
          <w:szCs w:val="22"/>
        </w:rPr>
        <w:t xml:space="preserve">, los siguientes hechos: </w:t>
      </w:r>
    </w:p>
    <w:p w14:paraId="30D03C13" w14:textId="77777777" w:rsidR="0041698C" w:rsidRPr="00DB281B" w:rsidRDefault="0041698C" w:rsidP="00DB281B">
      <w:pPr>
        <w:jc w:val="both"/>
        <w:rPr>
          <w:rFonts w:ascii="Arial" w:hAnsi="Arial" w:cs="Arial"/>
          <w:sz w:val="22"/>
          <w:szCs w:val="22"/>
        </w:rPr>
      </w:pPr>
    </w:p>
    <w:p w14:paraId="6A4564A6" w14:textId="076A0A1C" w:rsidR="00E24C74" w:rsidRPr="00DB281B" w:rsidRDefault="00036E48" w:rsidP="00DB281B">
      <w:pPr>
        <w:pStyle w:val="Prrafodelista"/>
        <w:numPr>
          <w:ilvl w:val="0"/>
          <w:numId w:val="5"/>
        </w:numPr>
        <w:ind w:left="851" w:hanging="284"/>
        <w:jc w:val="both"/>
        <w:rPr>
          <w:rFonts w:ascii="Arial" w:hAnsi="Arial" w:cs="Arial"/>
          <w:i/>
          <w:sz w:val="18"/>
          <w:szCs w:val="18"/>
        </w:rPr>
      </w:pPr>
      <w:r w:rsidRPr="00DB281B">
        <w:rPr>
          <w:rFonts w:ascii="Arial" w:hAnsi="Arial" w:cs="Arial"/>
          <w:i/>
          <w:sz w:val="18"/>
          <w:szCs w:val="18"/>
        </w:rPr>
        <w:t>Cierre fiscal vigencia 2018: En el reporte FUT de cierre fiscal con recursos del SGP Educación prestación del servicio, se incluyeron como parte de las otras exigibilidades, $343.153</w:t>
      </w:r>
      <w:r w:rsidR="00475775">
        <w:rPr>
          <w:rFonts w:ascii="Arial" w:hAnsi="Arial" w:cs="Arial"/>
          <w:i/>
          <w:sz w:val="18"/>
          <w:szCs w:val="18"/>
        </w:rPr>
        <w:t>.</w:t>
      </w:r>
      <w:r w:rsidRPr="00DB281B">
        <w:rPr>
          <w:rFonts w:ascii="Arial" w:hAnsi="Arial" w:cs="Arial"/>
          <w:i/>
          <w:sz w:val="18"/>
          <w:szCs w:val="18"/>
        </w:rPr>
        <w:t>657 correspondientes a saldo contable de acreedores de vigencias anteriores a 2018, reduciendo en la misma proporción el superávit disponible con</w:t>
      </w:r>
      <w:r w:rsidR="00475775">
        <w:rPr>
          <w:rFonts w:ascii="Arial" w:hAnsi="Arial" w:cs="Arial"/>
          <w:i/>
          <w:sz w:val="18"/>
          <w:szCs w:val="18"/>
        </w:rPr>
        <w:t xml:space="preserve"> </w:t>
      </w:r>
      <w:r w:rsidRPr="00DB281B">
        <w:rPr>
          <w:rFonts w:ascii="Arial" w:hAnsi="Arial" w:cs="Arial"/>
          <w:i/>
          <w:sz w:val="18"/>
          <w:szCs w:val="18"/>
        </w:rPr>
        <w:t xml:space="preserve">dicha fuente de recursos, reportando información inexacta </w:t>
      </w:r>
      <w:r w:rsidR="00D03620" w:rsidRPr="00DB281B">
        <w:rPr>
          <w:rFonts w:ascii="Arial" w:hAnsi="Arial" w:cs="Arial"/>
          <w:i/>
          <w:sz w:val="18"/>
          <w:szCs w:val="18"/>
        </w:rPr>
        <w:t xml:space="preserve">para </w:t>
      </w:r>
      <w:r w:rsidR="007D4864" w:rsidRPr="00DB281B">
        <w:rPr>
          <w:rFonts w:ascii="Arial" w:hAnsi="Arial" w:cs="Arial"/>
          <w:i/>
          <w:sz w:val="18"/>
          <w:szCs w:val="18"/>
        </w:rPr>
        <w:t xml:space="preserve">efectos de la distribución de recursos del SGP Educación, en virtud de lo dispuesto en el CAPÍTULO 10, Título 5 del Decreto 1082 de 2015, reglamentario de la asignación </w:t>
      </w:r>
      <w:r w:rsidR="00695AEB" w:rsidRPr="00DB281B">
        <w:rPr>
          <w:rFonts w:ascii="Arial" w:hAnsi="Arial" w:cs="Arial"/>
          <w:i/>
          <w:sz w:val="18"/>
          <w:szCs w:val="18"/>
        </w:rPr>
        <w:t xml:space="preserve">complementaria por población atendida, es decir, el superávit reportado </w:t>
      </w:r>
      <w:r w:rsidR="005C09CB" w:rsidRPr="00DB281B">
        <w:rPr>
          <w:rFonts w:ascii="Arial" w:hAnsi="Arial" w:cs="Arial"/>
          <w:i/>
          <w:sz w:val="18"/>
          <w:szCs w:val="18"/>
        </w:rPr>
        <w:t xml:space="preserve">con recursos de prestación del servicio fue de $2.368.177.580, cuando realmente debieron reportarse </w:t>
      </w:r>
      <w:r w:rsidR="00E24C74" w:rsidRPr="00DB281B">
        <w:rPr>
          <w:rFonts w:ascii="Arial" w:hAnsi="Arial" w:cs="Arial"/>
          <w:i/>
          <w:sz w:val="18"/>
          <w:szCs w:val="18"/>
        </w:rPr>
        <w:t>$2.711.331.237.</w:t>
      </w:r>
    </w:p>
    <w:p w14:paraId="461DDC6C" w14:textId="77777777" w:rsidR="00837E28" w:rsidRPr="00DB281B" w:rsidRDefault="00E24C74" w:rsidP="00DB281B">
      <w:pPr>
        <w:pStyle w:val="Prrafodelista"/>
        <w:numPr>
          <w:ilvl w:val="0"/>
          <w:numId w:val="5"/>
        </w:numPr>
        <w:ind w:left="851" w:hanging="284"/>
        <w:jc w:val="both"/>
        <w:rPr>
          <w:rFonts w:ascii="Arial" w:hAnsi="Arial" w:cs="Arial"/>
          <w:i/>
          <w:sz w:val="18"/>
          <w:szCs w:val="18"/>
        </w:rPr>
      </w:pPr>
      <w:r w:rsidRPr="00DB281B">
        <w:rPr>
          <w:rFonts w:ascii="Arial" w:hAnsi="Arial" w:cs="Arial"/>
          <w:i/>
          <w:sz w:val="18"/>
          <w:szCs w:val="18"/>
        </w:rPr>
        <w:t xml:space="preserve">Reporte FUT Gastos de Inversión: Comparado el reporte FUT de Gastos de Inversión con la Ejecución presupuestal de Gastos </w:t>
      </w:r>
      <w:r w:rsidR="00BD4605" w:rsidRPr="00DB281B">
        <w:rPr>
          <w:rFonts w:ascii="Arial" w:hAnsi="Arial" w:cs="Arial"/>
          <w:i/>
          <w:sz w:val="18"/>
          <w:szCs w:val="18"/>
        </w:rPr>
        <w:t xml:space="preserve">de la ETC al cierre de la vigencia fiscal de 2018, no se encuentra consistencia entre las apropiaciones y compromisos totales con la fuente prestación del servicio. Además, no aparecen reportados en FUT Gastos de Inversión conceptos como “CONTRATOS PARA LA PRESTACIÓN DEL SERVICIO EDUCATIVO”, </w:t>
      </w:r>
      <w:r w:rsidR="00837E28" w:rsidRPr="00DB281B">
        <w:rPr>
          <w:rFonts w:ascii="Arial" w:hAnsi="Arial" w:cs="Arial"/>
          <w:i/>
          <w:sz w:val="18"/>
          <w:szCs w:val="18"/>
        </w:rPr>
        <w:t>pero si aparecen recursos apropiados y comprometidos por dicho concepto en el presupuesto de gastos de la ETC.</w:t>
      </w:r>
    </w:p>
    <w:p w14:paraId="6AA124E9" w14:textId="77777777" w:rsidR="006B2E3C" w:rsidRPr="00DB281B" w:rsidRDefault="00837E28" w:rsidP="00DB281B">
      <w:pPr>
        <w:pStyle w:val="Prrafodelista"/>
        <w:numPr>
          <w:ilvl w:val="0"/>
          <w:numId w:val="5"/>
        </w:numPr>
        <w:ind w:left="851" w:hanging="284"/>
        <w:jc w:val="both"/>
        <w:rPr>
          <w:rFonts w:ascii="Arial" w:hAnsi="Arial" w:cs="Arial"/>
          <w:i/>
          <w:sz w:val="18"/>
          <w:szCs w:val="18"/>
        </w:rPr>
      </w:pPr>
      <w:r w:rsidRPr="00DB281B">
        <w:rPr>
          <w:rFonts w:ascii="Arial" w:hAnsi="Arial" w:cs="Arial"/>
          <w:i/>
          <w:sz w:val="18"/>
          <w:szCs w:val="18"/>
        </w:rPr>
        <w:t xml:space="preserve">Según reporte FUT de Cierre Fiscal y extractos bancarios, </w:t>
      </w:r>
      <w:r w:rsidR="00480D8F" w:rsidRPr="00DB281B">
        <w:rPr>
          <w:rFonts w:ascii="Arial" w:hAnsi="Arial" w:cs="Arial"/>
          <w:i/>
          <w:sz w:val="18"/>
          <w:szCs w:val="18"/>
        </w:rPr>
        <w:t xml:space="preserve">a diciembre 31 de 2018 la entidad territorial mantenía recursos del SGP Educción en cuentas ordinarias, contrariando lo establecido en la Ley 1753 de 2015 </w:t>
      </w:r>
      <w:r w:rsidR="006B2E3C" w:rsidRPr="00DB281B">
        <w:rPr>
          <w:rFonts w:ascii="Arial" w:hAnsi="Arial" w:cs="Arial"/>
          <w:i/>
          <w:sz w:val="18"/>
          <w:szCs w:val="18"/>
        </w:rPr>
        <w:t xml:space="preserve">y la Resolución 12829, sobre la obligatoriedad de manejar dichos recursos en cuentas maestras. </w:t>
      </w:r>
    </w:p>
    <w:p w14:paraId="7ACFF26B" w14:textId="77777777" w:rsidR="007B0EEA" w:rsidRPr="00DB281B" w:rsidRDefault="00A12C89" w:rsidP="00DB281B">
      <w:pPr>
        <w:pStyle w:val="Prrafodelista"/>
        <w:numPr>
          <w:ilvl w:val="0"/>
          <w:numId w:val="5"/>
        </w:numPr>
        <w:ind w:left="851" w:hanging="284"/>
        <w:jc w:val="both"/>
        <w:rPr>
          <w:rFonts w:ascii="Arial" w:hAnsi="Arial" w:cs="Arial"/>
          <w:i/>
          <w:sz w:val="18"/>
          <w:szCs w:val="18"/>
        </w:rPr>
      </w:pPr>
      <w:r w:rsidRPr="00DB281B">
        <w:rPr>
          <w:rFonts w:ascii="Arial" w:hAnsi="Arial" w:cs="Arial"/>
          <w:i/>
          <w:sz w:val="18"/>
          <w:szCs w:val="18"/>
        </w:rPr>
        <w:t xml:space="preserve">Conciliación de recursos del SGP Educación Prestación del Servicio (SSF) con </w:t>
      </w:r>
      <w:proofErr w:type="spellStart"/>
      <w:r w:rsidRPr="00DB281B">
        <w:rPr>
          <w:rFonts w:ascii="Arial" w:hAnsi="Arial" w:cs="Arial"/>
          <w:i/>
          <w:sz w:val="18"/>
          <w:szCs w:val="18"/>
        </w:rPr>
        <w:t>Fiduprevisora</w:t>
      </w:r>
      <w:proofErr w:type="spellEnd"/>
      <w:r w:rsidRPr="00DB281B">
        <w:rPr>
          <w:rFonts w:ascii="Arial" w:hAnsi="Arial" w:cs="Arial"/>
          <w:i/>
          <w:sz w:val="18"/>
          <w:szCs w:val="18"/>
        </w:rPr>
        <w:t xml:space="preserve"> – FOMAG: Según compromisos establecidos en actas del 22 de noviembre de 2017, 14 de diciembre de 2018 y 29 de marzo de 2019, la entidad territorial debía adelantar </w:t>
      </w:r>
      <w:r w:rsidR="007B0EEA" w:rsidRPr="00DB281B">
        <w:rPr>
          <w:rFonts w:ascii="Arial" w:hAnsi="Arial" w:cs="Arial"/>
          <w:i/>
          <w:sz w:val="18"/>
          <w:szCs w:val="18"/>
        </w:rPr>
        <w:t xml:space="preserve">la conciliación de recursos del SGP Educación Prestación del servicio (SSF) con FOMAG – </w:t>
      </w:r>
      <w:proofErr w:type="spellStart"/>
      <w:r w:rsidR="007B0EEA" w:rsidRPr="00DB281B">
        <w:rPr>
          <w:rFonts w:ascii="Arial" w:hAnsi="Arial" w:cs="Arial"/>
          <w:i/>
          <w:sz w:val="18"/>
          <w:szCs w:val="18"/>
        </w:rPr>
        <w:t>Fiduprevisora</w:t>
      </w:r>
      <w:proofErr w:type="spellEnd"/>
      <w:r w:rsidR="007B0EEA" w:rsidRPr="00DB281B">
        <w:rPr>
          <w:rFonts w:ascii="Arial" w:hAnsi="Arial" w:cs="Arial"/>
          <w:i/>
          <w:sz w:val="18"/>
          <w:szCs w:val="18"/>
        </w:rPr>
        <w:t xml:space="preserve"> correspondientes a las vigencias fiscales de 2003 a 2007, pero a la fecha no ha presentado evidencias de dicha conciliación.</w:t>
      </w:r>
    </w:p>
    <w:p w14:paraId="45BE345F" w14:textId="4E2146C3" w:rsidR="0041698C" w:rsidRPr="00DB281B" w:rsidRDefault="000276DE" w:rsidP="00DB281B">
      <w:pPr>
        <w:pStyle w:val="Prrafodelista"/>
        <w:numPr>
          <w:ilvl w:val="0"/>
          <w:numId w:val="5"/>
        </w:numPr>
        <w:ind w:left="851" w:hanging="284"/>
        <w:jc w:val="both"/>
        <w:rPr>
          <w:rFonts w:ascii="Arial" w:hAnsi="Arial" w:cs="Arial"/>
          <w:sz w:val="22"/>
          <w:szCs w:val="22"/>
        </w:rPr>
      </w:pPr>
      <w:r w:rsidRPr="00DB281B">
        <w:rPr>
          <w:rFonts w:ascii="Arial" w:hAnsi="Arial" w:cs="Arial"/>
          <w:i/>
          <w:sz w:val="18"/>
          <w:szCs w:val="18"/>
        </w:rPr>
        <w:t xml:space="preserve">No provisión de recursos suficientes para cubrir el pasivo </w:t>
      </w:r>
      <w:r w:rsidR="00C14C3F" w:rsidRPr="00DB281B">
        <w:rPr>
          <w:rFonts w:ascii="Arial" w:hAnsi="Arial" w:cs="Arial"/>
          <w:i/>
          <w:sz w:val="18"/>
          <w:szCs w:val="18"/>
        </w:rPr>
        <w:t xml:space="preserve">por concepto de cesantías retroactivas del personal administrativo: Aunque la entidad presenta avances en la materia, pues según la </w:t>
      </w:r>
      <w:r w:rsidR="000575E7" w:rsidRPr="00DB281B">
        <w:rPr>
          <w:rFonts w:ascii="Arial" w:hAnsi="Arial" w:cs="Arial"/>
          <w:i/>
          <w:sz w:val="18"/>
          <w:szCs w:val="18"/>
        </w:rPr>
        <w:t xml:space="preserve">resolución 1402 del 13 de marzo de 2019 se ordena la transferencia de $1.400 millones al Fondo Cuenta de Cesantías de Cundinamarca – FONCECUN, aún falta garantizar </w:t>
      </w:r>
      <w:r w:rsidR="00CC575A" w:rsidRPr="00DB281B">
        <w:rPr>
          <w:rFonts w:ascii="Arial" w:hAnsi="Arial" w:cs="Arial"/>
          <w:i/>
          <w:sz w:val="18"/>
          <w:szCs w:val="18"/>
        </w:rPr>
        <w:t>la provisión de recursos para financiar dicho pasivo estimado al cierre de la vigencia 2018 en $6.800 millones. Es importante indicar que se llegó a esa situación, porque no se provisionaron anualmente los recursos para ese propósito, aunque dichos recursos fueron girados oportunamente por la nación.</w:t>
      </w:r>
    </w:p>
    <w:p w14:paraId="6DA47A15" w14:textId="77777777" w:rsidR="00CC575A" w:rsidRPr="00DB281B" w:rsidRDefault="00CC575A" w:rsidP="00DB281B">
      <w:pPr>
        <w:pStyle w:val="Prrafodelista"/>
        <w:ind w:left="851"/>
        <w:jc w:val="both"/>
        <w:rPr>
          <w:rFonts w:ascii="Arial" w:hAnsi="Arial" w:cs="Arial"/>
          <w:sz w:val="22"/>
          <w:szCs w:val="22"/>
        </w:rPr>
      </w:pPr>
    </w:p>
    <w:p w14:paraId="2CEBE97E" w14:textId="200E0919" w:rsidR="0041698C" w:rsidRPr="00DB281B" w:rsidRDefault="0041698C" w:rsidP="00DB281B">
      <w:pPr>
        <w:jc w:val="both"/>
        <w:rPr>
          <w:rFonts w:ascii="Arial" w:hAnsi="Arial" w:cs="Arial"/>
          <w:sz w:val="22"/>
          <w:szCs w:val="22"/>
        </w:rPr>
      </w:pPr>
      <w:r w:rsidRPr="00DB281B">
        <w:rPr>
          <w:rFonts w:ascii="Arial" w:hAnsi="Arial" w:cs="Arial"/>
          <w:sz w:val="22"/>
          <w:szCs w:val="22"/>
        </w:rPr>
        <w:t xml:space="preserve">Al respecto, </w:t>
      </w:r>
      <w:r w:rsidR="00475775">
        <w:rPr>
          <w:rFonts w:ascii="Arial" w:hAnsi="Arial" w:cs="Arial"/>
          <w:sz w:val="22"/>
          <w:szCs w:val="22"/>
        </w:rPr>
        <w:t xml:space="preserve">de conformidad con la información suministrada por la Entidad Territorial, </w:t>
      </w:r>
      <w:r w:rsidRPr="00DB281B">
        <w:rPr>
          <w:rFonts w:ascii="Arial" w:hAnsi="Arial" w:cs="Arial"/>
          <w:sz w:val="22"/>
          <w:szCs w:val="22"/>
        </w:rPr>
        <w:t xml:space="preserve">esta Dirección </w:t>
      </w:r>
      <w:r w:rsidR="00475775">
        <w:rPr>
          <w:rFonts w:ascii="Arial" w:hAnsi="Arial" w:cs="Arial"/>
          <w:sz w:val="22"/>
          <w:szCs w:val="22"/>
        </w:rPr>
        <w:t>pudo constatar lo siguiente</w:t>
      </w:r>
      <w:r w:rsidRPr="00DB281B">
        <w:rPr>
          <w:rFonts w:ascii="Arial" w:hAnsi="Arial" w:cs="Arial"/>
          <w:sz w:val="22"/>
          <w:szCs w:val="22"/>
        </w:rPr>
        <w:t xml:space="preserve">: </w:t>
      </w:r>
    </w:p>
    <w:p w14:paraId="71695D76" w14:textId="77777777" w:rsidR="0041698C" w:rsidRPr="00DB281B" w:rsidRDefault="0041698C" w:rsidP="00DB281B">
      <w:pPr>
        <w:jc w:val="both"/>
        <w:rPr>
          <w:rFonts w:ascii="Arial" w:hAnsi="Arial" w:cs="Arial"/>
          <w:sz w:val="22"/>
          <w:szCs w:val="22"/>
        </w:rPr>
      </w:pPr>
    </w:p>
    <w:p w14:paraId="51A2D22E" w14:textId="05F33A6F" w:rsidR="0041698C" w:rsidRPr="00DB281B" w:rsidRDefault="00CC575A" w:rsidP="00DB281B">
      <w:pPr>
        <w:pStyle w:val="Prrafodelista"/>
        <w:numPr>
          <w:ilvl w:val="0"/>
          <w:numId w:val="6"/>
        </w:numPr>
        <w:ind w:left="426" w:hanging="426"/>
        <w:jc w:val="both"/>
        <w:rPr>
          <w:rFonts w:ascii="Arial" w:hAnsi="Arial" w:cs="Arial"/>
          <w:sz w:val="22"/>
          <w:szCs w:val="22"/>
        </w:rPr>
      </w:pPr>
      <w:r w:rsidRPr="00DB281B">
        <w:rPr>
          <w:rFonts w:ascii="Arial" w:hAnsi="Arial" w:cs="Arial"/>
          <w:sz w:val="22"/>
          <w:szCs w:val="22"/>
        </w:rPr>
        <w:t xml:space="preserve">Que los problemas de conciliación de la información presupuestal para efectos del reporte se siguen presentando </w:t>
      </w:r>
      <w:r w:rsidR="0067008C" w:rsidRPr="00DB281B">
        <w:rPr>
          <w:rFonts w:ascii="Arial" w:hAnsi="Arial" w:cs="Arial"/>
          <w:sz w:val="22"/>
          <w:szCs w:val="22"/>
        </w:rPr>
        <w:t xml:space="preserve">para la vigencia 2019 y 2020 </w:t>
      </w:r>
      <w:r w:rsidR="005D2E8B" w:rsidRPr="00DB281B">
        <w:rPr>
          <w:rFonts w:ascii="Arial" w:hAnsi="Arial" w:cs="Arial"/>
          <w:sz w:val="22"/>
          <w:szCs w:val="22"/>
        </w:rPr>
        <w:t>en</w:t>
      </w:r>
      <w:r w:rsidR="0067008C" w:rsidRPr="00DB281B">
        <w:rPr>
          <w:rFonts w:ascii="Arial" w:hAnsi="Arial" w:cs="Arial"/>
          <w:sz w:val="22"/>
          <w:szCs w:val="22"/>
        </w:rPr>
        <w:t xml:space="preserve"> las categorías de Ingresos, Gastos de Funcionamiento, Gastos de Inversión y Cierre Fiscal</w:t>
      </w:r>
      <w:r w:rsidR="005D2E8B" w:rsidRPr="00DB281B">
        <w:rPr>
          <w:rFonts w:ascii="Arial" w:hAnsi="Arial" w:cs="Arial"/>
          <w:sz w:val="22"/>
          <w:szCs w:val="22"/>
        </w:rPr>
        <w:t xml:space="preserve"> del FUT.</w:t>
      </w:r>
      <w:r w:rsidR="00DD79DB" w:rsidRPr="00DB281B">
        <w:rPr>
          <w:rFonts w:ascii="Arial" w:hAnsi="Arial" w:cs="Arial"/>
          <w:sz w:val="22"/>
          <w:szCs w:val="22"/>
        </w:rPr>
        <w:t xml:space="preserve"> </w:t>
      </w:r>
    </w:p>
    <w:p w14:paraId="3D216EFB" w14:textId="77777777" w:rsidR="00DB5CD6" w:rsidRPr="00DB281B" w:rsidRDefault="00DB5CD6" w:rsidP="00DB281B">
      <w:pPr>
        <w:pStyle w:val="Prrafodelista"/>
        <w:ind w:left="426"/>
        <w:jc w:val="both"/>
        <w:rPr>
          <w:rFonts w:ascii="Arial" w:hAnsi="Arial" w:cs="Arial"/>
          <w:sz w:val="22"/>
          <w:szCs w:val="22"/>
        </w:rPr>
      </w:pPr>
    </w:p>
    <w:p w14:paraId="028273EA" w14:textId="31A0B3F6" w:rsidR="0076745C" w:rsidRPr="00DB281B" w:rsidRDefault="0076745C" w:rsidP="00DB281B">
      <w:pPr>
        <w:pStyle w:val="Prrafodelista"/>
        <w:numPr>
          <w:ilvl w:val="0"/>
          <w:numId w:val="6"/>
        </w:numPr>
        <w:ind w:left="426" w:hanging="426"/>
        <w:jc w:val="both"/>
        <w:rPr>
          <w:rFonts w:ascii="Arial" w:hAnsi="Arial" w:cs="Arial"/>
          <w:sz w:val="22"/>
          <w:szCs w:val="22"/>
        </w:rPr>
      </w:pPr>
      <w:r w:rsidRPr="00DB281B">
        <w:rPr>
          <w:rFonts w:ascii="Arial" w:hAnsi="Arial" w:cs="Arial"/>
          <w:sz w:val="22"/>
          <w:szCs w:val="22"/>
        </w:rPr>
        <w:t xml:space="preserve">En torno al manejo de los recursos SGP Educación en cuentas ordinarias y no registradas ante el MEN, se reconoce que la Entidad </w:t>
      </w:r>
      <w:r w:rsidR="00DB5CD6" w:rsidRPr="00DB281B">
        <w:rPr>
          <w:rFonts w:ascii="Arial" w:hAnsi="Arial" w:cs="Arial"/>
          <w:sz w:val="22"/>
          <w:szCs w:val="22"/>
        </w:rPr>
        <w:t>administró los recursos SGP Educación en las cuentas registradas en el MEN durante las vigencias 2019 y 2020; motivo por el cual, dicha problemática fue subsanada por la Entidad.</w:t>
      </w:r>
    </w:p>
    <w:p w14:paraId="7D24ADB8" w14:textId="77777777" w:rsidR="00B47B87" w:rsidRPr="00DB281B" w:rsidRDefault="00B47B87" w:rsidP="00DB281B">
      <w:pPr>
        <w:jc w:val="both"/>
        <w:rPr>
          <w:rFonts w:ascii="Arial" w:hAnsi="Arial" w:cs="Arial"/>
          <w:sz w:val="22"/>
          <w:szCs w:val="22"/>
        </w:rPr>
      </w:pPr>
    </w:p>
    <w:p w14:paraId="111632BC" w14:textId="0D3FD523" w:rsidR="009E7AAA" w:rsidRPr="00DB281B" w:rsidRDefault="00B47B87" w:rsidP="00DB281B">
      <w:pPr>
        <w:pStyle w:val="Prrafodelista"/>
        <w:numPr>
          <w:ilvl w:val="0"/>
          <w:numId w:val="6"/>
        </w:numPr>
        <w:ind w:left="426" w:hanging="426"/>
        <w:jc w:val="both"/>
        <w:rPr>
          <w:rFonts w:ascii="Arial" w:hAnsi="Arial" w:cs="Arial"/>
          <w:sz w:val="22"/>
          <w:szCs w:val="22"/>
        </w:rPr>
      </w:pPr>
      <w:r w:rsidRPr="00DB281B">
        <w:rPr>
          <w:rFonts w:ascii="Arial" w:hAnsi="Arial" w:cs="Arial"/>
          <w:sz w:val="22"/>
          <w:szCs w:val="22"/>
        </w:rPr>
        <w:t xml:space="preserve">Sobre la </w:t>
      </w:r>
      <w:r w:rsidR="0046467B" w:rsidRPr="00DB281B">
        <w:rPr>
          <w:rFonts w:ascii="Arial" w:hAnsi="Arial" w:cs="Arial"/>
          <w:sz w:val="22"/>
          <w:szCs w:val="22"/>
        </w:rPr>
        <w:t>conciliación</w:t>
      </w:r>
      <w:r w:rsidRPr="00DB281B">
        <w:rPr>
          <w:rFonts w:ascii="Arial" w:hAnsi="Arial" w:cs="Arial"/>
          <w:sz w:val="22"/>
          <w:szCs w:val="22"/>
        </w:rPr>
        <w:t xml:space="preserve"> de </w:t>
      </w:r>
      <w:r w:rsidR="0046467B" w:rsidRPr="00DB281B">
        <w:rPr>
          <w:rFonts w:ascii="Arial" w:hAnsi="Arial" w:cs="Arial"/>
          <w:sz w:val="22"/>
          <w:szCs w:val="22"/>
        </w:rPr>
        <w:t xml:space="preserve">aportes de recursos SGP Educación SSF frente a la </w:t>
      </w:r>
      <w:proofErr w:type="spellStart"/>
      <w:r w:rsidR="0046467B" w:rsidRPr="00DB281B">
        <w:rPr>
          <w:rFonts w:ascii="Arial" w:hAnsi="Arial" w:cs="Arial"/>
          <w:sz w:val="22"/>
          <w:szCs w:val="22"/>
        </w:rPr>
        <w:t>Fiduprevisora</w:t>
      </w:r>
      <w:proofErr w:type="spellEnd"/>
      <w:r w:rsidR="0046467B" w:rsidRPr="00DB281B">
        <w:rPr>
          <w:rFonts w:ascii="Arial" w:hAnsi="Arial" w:cs="Arial"/>
          <w:sz w:val="22"/>
          <w:szCs w:val="22"/>
        </w:rPr>
        <w:t xml:space="preserve"> </w:t>
      </w:r>
      <w:r w:rsidR="003D5879" w:rsidRPr="00DB281B">
        <w:rPr>
          <w:rFonts w:ascii="Arial" w:hAnsi="Arial" w:cs="Arial"/>
          <w:sz w:val="22"/>
          <w:szCs w:val="22"/>
        </w:rPr>
        <w:t xml:space="preserve">– FOMAG, no se evidencia la subsanación de pagos asociados a las deudas reconocidas entre las </w:t>
      </w:r>
      <w:r w:rsidR="00197944" w:rsidRPr="00DB281B">
        <w:rPr>
          <w:rFonts w:ascii="Arial" w:hAnsi="Arial" w:cs="Arial"/>
          <w:sz w:val="22"/>
          <w:szCs w:val="22"/>
        </w:rPr>
        <w:t xml:space="preserve">vigencias </w:t>
      </w:r>
      <w:r w:rsidR="00BF0D2E" w:rsidRPr="00DB281B">
        <w:rPr>
          <w:rFonts w:ascii="Arial" w:hAnsi="Arial" w:cs="Arial"/>
          <w:sz w:val="22"/>
          <w:szCs w:val="22"/>
        </w:rPr>
        <w:t xml:space="preserve">2004 a 2013, las cuales ascienden a </w:t>
      </w:r>
      <w:r w:rsidR="00DB281B">
        <w:rPr>
          <w:rFonts w:ascii="Arial" w:hAnsi="Arial" w:cs="Arial"/>
          <w:sz w:val="22"/>
          <w:szCs w:val="22"/>
        </w:rPr>
        <w:t>$</w:t>
      </w:r>
      <w:r w:rsidR="00A942C8" w:rsidRPr="00DB281B">
        <w:rPr>
          <w:rFonts w:ascii="Arial" w:hAnsi="Arial" w:cs="Arial"/>
          <w:sz w:val="22"/>
          <w:szCs w:val="22"/>
        </w:rPr>
        <w:t>2.79</w:t>
      </w:r>
      <w:r w:rsidR="009652AD" w:rsidRPr="00DB281B">
        <w:rPr>
          <w:rFonts w:ascii="Arial" w:hAnsi="Arial" w:cs="Arial"/>
          <w:sz w:val="22"/>
          <w:szCs w:val="22"/>
        </w:rPr>
        <w:t>8 millones</w:t>
      </w:r>
      <w:r w:rsidR="003D5879" w:rsidRPr="00DB281B">
        <w:rPr>
          <w:rFonts w:ascii="Arial" w:hAnsi="Arial" w:cs="Arial"/>
          <w:sz w:val="22"/>
          <w:szCs w:val="22"/>
        </w:rPr>
        <w:t xml:space="preserve">. Se recomienda en visita de reconocimiento aclarar con la Entidad el estado de las deudas frente a la </w:t>
      </w:r>
      <w:proofErr w:type="spellStart"/>
      <w:r w:rsidR="003D5879" w:rsidRPr="00DB281B">
        <w:rPr>
          <w:rFonts w:ascii="Arial" w:hAnsi="Arial" w:cs="Arial"/>
          <w:sz w:val="22"/>
          <w:szCs w:val="22"/>
        </w:rPr>
        <w:t>Fiduprevisora</w:t>
      </w:r>
      <w:proofErr w:type="spellEnd"/>
      <w:r w:rsidR="003D5879" w:rsidRPr="00DB281B">
        <w:rPr>
          <w:rFonts w:ascii="Arial" w:hAnsi="Arial" w:cs="Arial"/>
          <w:sz w:val="22"/>
          <w:szCs w:val="22"/>
        </w:rPr>
        <w:t xml:space="preserve">, </w:t>
      </w:r>
      <w:r w:rsidR="003E2947" w:rsidRPr="00DB281B">
        <w:rPr>
          <w:rFonts w:ascii="Arial" w:hAnsi="Arial" w:cs="Arial"/>
          <w:sz w:val="22"/>
          <w:szCs w:val="22"/>
        </w:rPr>
        <w:t xml:space="preserve">ya que se </w:t>
      </w:r>
      <w:r w:rsidR="008B657E" w:rsidRPr="00DB281B">
        <w:rPr>
          <w:rFonts w:ascii="Arial" w:hAnsi="Arial" w:cs="Arial"/>
          <w:sz w:val="22"/>
          <w:szCs w:val="22"/>
        </w:rPr>
        <w:t xml:space="preserve">identifican pagos por </w:t>
      </w:r>
      <w:r w:rsidR="00F8536A" w:rsidRPr="00DB281B">
        <w:rPr>
          <w:rFonts w:ascii="Arial" w:hAnsi="Arial" w:cs="Arial"/>
          <w:sz w:val="22"/>
          <w:szCs w:val="22"/>
        </w:rPr>
        <w:t xml:space="preserve">$10.240 millones </w:t>
      </w:r>
      <w:r w:rsidR="00E14360" w:rsidRPr="00DB281B">
        <w:rPr>
          <w:rFonts w:ascii="Arial" w:hAnsi="Arial" w:cs="Arial"/>
          <w:sz w:val="22"/>
          <w:szCs w:val="22"/>
        </w:rPr>
        <w:t xml:space="preserve">por concepto de deudas acumuladas en las vigencias 2019, 2020 y 2021 </w:t>
      </w:r>
      <w:r w:rsidR="00677480" w:rsidRPr="00DB281B">
        <w:rPr>
          <w:rFonts w:ascii="Arial" w:hAnsi="Arial" w:cs="Arial"/>
          <w:sz w:val="22"/>
          <w:szCs w:val="22"/>
        </w:rPr>
        <w:t xml:space="preserve">de ascensos </w:t>
      </w:r>
      <w:r w:rsidR="00F54593" w:rsidRPr="00DB281B">
        <w:rPr>
          <w:rFonts w:ascii="Arial" w:hAnsi="Arial" w:cs="Arial"/>
          <w:sz w:val="22"/>
          <w:szCs w:val="22"/>
        </w:rPr>
        <w:t>y mejoramiento salarial</w:t>
      </w:r>
      <w:r w:rsidR="00565250" w:rsidRPr="00DB281B">
        <w:rPr>
          <w:rFonts w:ascii="Arial" w:hAnsi="Arial" w:cs="Arial"/>
          <w:sz w:val="22"/>
          <w:szCs w:val="22"/>
        </w:rPr>
        <w:t xml:space="preserve">; sin embargo, la conciliación allegada por la Entidad </w:t>
      </w:r>
      <w:r w:rsidR="009232A4" w:rsidRPr="00DB281B">
        <w:rPr>
          <w:rFonts w:ascii="Arial" w:hAnsi="Arial" w:cs="Arial"/>
          <w:sz w:val="22"/>
          <w:szCs w:val="22"/>
        </w:rPr>
        <w:t xml:space="preserve">describe un monto de deudas con la </w:t>
      </w:r>
      <w:proofErr w:type="spellStart"/>
      <w:r w:rsidR="009232A4" w:rsidRPr="00DB281B">
        <w:rPr>
          <w:rFonts w:ascii="Arial" w:hAnsi="Arial" w:cs="Arial"/>
          <w:sz w:val="22"/>
          <w:szCs w:val="22"/>
        </w:rPr>
        <w:t>Fiduprevisora</w:t>
      </w:r>
      <w:proofErr w:type="spellEnd"/>
      <w:r w:rsidR="009232A4" w:rsidRPr="00DB281B">
        <w:rPr>
          <w:rFonts w:ascii="Arial" w:hAnsi="Arial" w:cs="Arial"/>
          <w:sz w:val="22"/>
          <w:szCs w:val="22"/>
        </w:rPr>
        <w:t xml:space="preserve"> actualizada</w:t>
      </w:r>
      <w:r w:rsidR="006F537B" w:rsidRPr="00DB281B">
        <w:rPr>
          <w:rFonts w:ascii="Arial" w:hAnsi="Arial" w:cs="Arial"/>
          <w:sz w:val="22"/>
          <w:szCs w:val="22"/>
        </w:rPr>
        <w:t>s a la vigencia 2021</w:t>
      </w:r>
      <w:r w:rsidR="006F4A85" w:rsidRPr="00DB281B">
        <w:rPr>
          <w:rFonts w:ascii="Arial" w:hAnsi="Arial" w:cs="Arial"/>
          <w:sz w:val="22"/>
          <w:szCs w:val="22"/>
        </w:rPr>
        <w:t xml:space="preserve"> de $1.07</w:t>
      </w:r>
      <w:r w:rsidR="009652AD" w:rsidRPr="00DB281B">
        <w:rPr>
          <w:rFonts w:ascii="Arial" w:hAnsi="Arial" w:cs="Arial"/>
          <w:sz w:val="22"/>
          <w:szCs w:val="22"/>
        </w:rPr>
        <w:t>4 millones</w:t>
      </w:r>
      <w:r w:rsidR="006F4A85" w:rsidRPr="00DB281B">
        <w:rPr>
          <w:rFonts w:ascii="Arial" w:hAnsi="Arial" w:cs="Arial"/>
          <w:sz w:val="22"/>
          <w:szCs w:val="22"/>
        </w:rPr>
        <w:t xml:space="preserve">, valor que se debe indagar </w:t>
      </w:r>
      <w:r w:rsidR="000A5591" w:rsidRPr="00DB281B">
        <w:rPr>
          <w:rFonts w:ascii="Arial" w:hAnsi="Arial" w:cs="Arial"/>
          <w:sz w:val="22"/>
          <w:szCs w:val="22"/>
        </w:rPr>
        <w:t>durante la visita de reconocimiento.</w:t>
      </w:r>
    </w:p>
    <w:p w14:paraId="1BA50DE5" w14:textId="77777777" w:rsidR="009E7AAA" w:rsidRPr="00DB281B" w:rsidRDefault="009E7AAA" w:rsidP="00DB281B">
      <w:pPr>
        <w:pStyle w:val="Prrafodelista"/>
        <w:rPr>
          <w:rFonts w:ascii="Arial" w:hAnsi="Arial" w:cs="Arial"/>
          <w:sz w:val="22"/>
          <w:szCs w:val="22"/>
        </w:rPr>
      </w:pPr>
    </w:p>
    <w:p w14:paraId="1C2DF667" w14:textId="6CB4DC8E" w:rsidR="00DB5CD6" w:rsidRPr="00DB281B" w:rsidRDefault="009652AD" w:rsidP="00DB281B">
      <w:pPr>
        <w:pStyle w:val="Prrafodelista"/>
        <w:numPr>
          <w:ilvl w:val="0"/>
          <w:numId w:val="6"/>
        </w:numPr>
        <w:ind w:left="426" w:hanging="426"/>
        <w:jc w:val="both"/>
        <w:rPr>
          <w:rFonts w:ascii="Arial" w:hAnsi="Arial" w:cs="Arial"/>
          <w:sz w:val="22"/>
          <w:szCs w:val="22"/>
        </w:rPr>
      </w:pPr>
      <w:r w:rsidRPr="00DB281B">
        <w:rPr>
          <w:rFonts w:ascii="Arial" w:hAnsi="Arial" w:cs="Arial"/>
          <w:sz w:val="22"/>
          <w:szCs w:val="22"/>
        </w:rPr>
        <w:t>Con respecto a los recursos por cesantías retroactivas</w:t>
      </w:r>
      <w:r w:rsidR="009B73E9" w:rsidRPr="00DB281B">
        <w:rPr>
          <w:rFonts w:ascii="Arial" w:hAnsi="Arial" w:cs="Arial"/>
          <w:sz w:val="22"/>
          <w:szCs w:val="22"/>
        </w:rPr>
        <w:t>, en la documentación allegada no se evidencia la estimación de recursos para el cubrimiento de esta obligación durante la vigencia 2020</w:t>
      </w:r>
      <w:r w:rsidR="00AB5169" w:rsidRPr="00DB281B">
        <w:rPr>
          <w:rFonts w:ascii="Arial" w:hAnsi="Arial" w:cs="Arial"/>
          <w:sz w:val="22"/>
          <w:szCs w:val="22"/>
        </w:rPr>
        <w:t xml:space="preserve">; así mismo, no se identifican los actos administrativos que ordenan la disposición de los recursos para el cubrimiento de esta obligación ni los valores del </w:t>
      </w:r>
      <w:r w:rsidR="00A2061C" w:rsidRPr="00DB281B">
        <w:rPr>
          <w:rFonts w:ascii="Arial" w:hAnsi="Arial" w:cs="Arial"/>
          <w:sz w:val="22"/>
          <w:szCs w:val="22"/>
        </w:rPr>
        <w:t xml:space="preserve">FONCECUN que permiten la atención de las cesantías retroactivas con los 154 </w:t>
      </w:r>
      <w:r w:rsidR="00835685" w:rsidRPr="00DB281B">
        <w:rPr>
          <w:rFonts w:ascii="Arial" w:hAnsi="Arial" w:cs="Arial"/>
          <w:sz w:val="22"/>
          <w:szCs w:val="22"/>
        </w:rPr>
        <w:t xml:space="preserve">funcionarios </w:t>
      </w:r>
      <w:r w:rsidR="00BC2F2D" w:rsidRPr="00DB281B">
        <w:rPr>
          <w:rFonts w:ascii="Arial" w:hAnsi="Arial" w:cs="Arial"/>
          <w:sz w:val="22"/>
          <w:szCs w:val="22"/>
        </w:rPr>
        <w:t>de la Secretaría de Educación que pertenecen a este régimen.</w:t>
      </w:r>
    </w:p>
    <w:p w14:paraId="2468C597" w14:textId="77777777" w:rsidR="0041698C" w:rsidRPr="00DB281B" w:rsidRDefault="0041698C" w:rsidP="00DB281B">
      <w:pPr>
        <w:pStyle w:val="Sinespaciado"/>
        <w:jc w:val="both"/>
        <w:rPr>
          <w:rFonts w:ascii="Arial" w:hAnsi="Arial" w:cs="Arial"/>
          <w:b/>
          <w:bCs/>
        </w:rPr>
      </w:pPr>
    </w:p>
    <w:p w14:paraId="6270F42A" w14:textId="00B8A4C0" w:rsidR="0041698C" w:rsidRPr="00DB281B" w:rsidRDefault="0041698C" w:rsidP="00DB281B">
      <w:pPr>
        <w:autoSpaceDE w:val="0"/>
        <w:autoSpaceDN w:val="0"/>
        <w:adjustRightInd w:val="0"/>
        <w:jc w:val="both"/>
        <w:rPr>
          <w:rFonts w:ascii="Arial" w:hAnsi="Arial" w:cs="Arial"/>
          <w:sz w:val="22"/>
          <w:szCs w:val="22"/>
        </w:rPr>
      </w:pPr>
      <w:r w:rsidRPr="00DB281B">
        <w:rPr>
          <w:rFonts w:ascii="Arial" w:hAnsi="Arial" w:cs="Arial"/>
          <w:sz w:val="22"/>
          <w:szCs w:val="22"/>
        </w:rPr>
        <w:t xml:space="preserve">Adicionalmente, el diagnóstico de los principales temas del sector educación revisados con la información remitida por el </w:t>
      </w:r>
      <w:r w:rsidR="005D2E8B" w:rsidRPr="00DB281B">
        <w:rPr>
          <w:rFonts w:ascii="Arial" w:hAnsi="Arial" w:cs="Arial"/>
          <w:sz w:val="22"/>
          <w:szCs w:val="22"/>
        </w:rPr>
        <w:t>Departamento</w:t>
      </w:r>
      <w:r w:rsidRPr="00DB281B">
        <w:rPr>
          <w:rFonts w:ascii="Arial" w:hAnsi="Arial" w:cs="Arial"/>
          <w:sz w:val="22"/>
          <w:szCs w:val="22"/>
        </w:rPr>
        <w:t>, según</w:t>
      </w:r>
      <w:r w:rsidR="00390B0E" w:rsidRPr="00DB281B">
        <w:rPr>
          <w:rFonts w:ascii="Arial" w:hAnsi="Arial" w:cs="Arial"/>
          <w:sz w:val="22"/>
          <w:szCs w:val="22"/>
        </w:rPr>
        <w:t xml:space="preserve"> radicado </w:t>
      </w:r>
      <w:r w:rsidR="00475775">
        <w:rPr>
          <w:rFonts w:ascii="Arial" w:hAnsi="Arial" w:cs="Arial"/>
          <w:sz w:val="22"/>
          <w:szCs w:val="22"/>
        </w:rPr>
        <w:t xml:space="preserve">No. </w:t>
      </w:r>
      <w:r w:rsidR="00475775" w:rsidRPr="00DB281B">
        <w:rPr>
          <w:rFonts w:ascii="Arial" w:eastAsia="Times New Roman" w:hAnsi="Arial" w:cs="Arial"/>
          <w:sz w:val="22"/>
          <w:szCs w:val="22"/>
          <w:lang w:val="es-ES_tradnl"/>
        </w:rPr>
        <w:t>1-2021-045549 del 25 de mayo de 2021</w:t>
      </w:r>
      <w:r w:rsidR="00475775">
        <w:rPr>
          <w:rFonts w:ascii="Arial" w:eastAsia="Times New Roman" w:hAnsi="Arial" w:cs="Arial"/>
          <w:sz w:val="22"/>
          <w:szCs w:val="22"/>
          <w:lang w:val="es-ES_tradnl"/>
        </w:rPr>
        <w:t xml:space="preserve">, </w:t>
      </w:r>
      <w:r w:rsidRPr="00DB281B">
        <w:rPr>
          <w:rFonts w:ascii="Arial" w:hAnsi="Arial" w:cs="Arial"/>
          <w:sz w:val="22"/>
          <w:szCs w:val="22"/>
        </w:rPr>
        <w:t xml:space="preserve">permitió que se identificaran inconvenientes asociados a: </w:t>
      </w:r>
    </w:p>
    <w:p w14:paraId="2253E5F2" w14:textId="77777777" w:rsidR="0041698C" w:rsidRPr="00DB281B" w:rsidRDefault="0041698C" w:rsidP="00DB281B">
      <w:pPr>
        <w:jc w:val="both"/>
        <w:rPr>
          <w:rFonts w:ascii="Arial" w:eastAsia="Times New Roman" w:hAnsi="Arial" w:cs="Arial"/>
          <w:sz w:val="22"/>
          <w:szCs w:val="22"/>
          <w:lang w:val="es-ES_tradnl"/>
        </w:rPr>
      </w:pPr>
    </w:p>
    <w:p w14:paraId="07A943F8" w14:textId="77777777" w:rsidR="0041698C" w:rsidRPr="00DB281B" w:rsidRDefault="0041698C" w:rsidP="00DB281B">
      <w:pPr>
        <w:pStyle w:val="Ttulo2"/>
        <w:numPr>
          <w:ilvl w:val="0"/>
          <w:numId w:val="10"/>
        </w:numPr>
        <w:spacing w:before="0"/>
        <w:ind w:left="426" w:hanging="426"/>
        <w:rPr>
          <w:rFonts w:ascii="Arial" w:hAnsi="Arial" w:cs="Arial"/>
          <w:b/>
          <w:color w:val="auto"/>
          <w:sz w:val="22"/>
          <w:szCs w:val="22"/>
          <w:lang w:val="es-ES_tradnl"/>
        </w:rPr>
      </w:pPr>
      <w:r w:rsidRPr="00DB281B">
        <w:rPr>
          <w:rFonts w:ascii="Arial" w:hAnsi="Arial" w:cs="Arial"/>
          <w:b/>
          <w:color w:val="auto"/>
          <w:sz w:val="22"/>
          <w:szCs w:val="22"/>
          <w:lang w:val="es-ES_tradnl"/>
        </w:rPr>
        <w:t>Reportes de Información</w:t>
      </w:r>
    </w:p>
    <w:p w14:paraId="03A12669" w14:textId="77777777" w:rsidR="0041698C" w:rsidRPr="00DB281B" w:rsidRDefault="0041698C" w:rsidP="00DB281B">
      <w:pPr>
        <w:rPr>
          <w:rFonts w:ascii="Arial" w:hAnsi="Arial" w:cs="Arial"/>
          <w:sz w:val="22"/>
          <w:szCs w:val="22"/>
          <w:lang w:val="es-ES_tradnl"/>
        </w:rPr>
      </w:pPr>
    </w:p>
    <w:p w14:paraId="584B4F27" w14:textId="77777777" w:rsidR="0041698C" w:rsidRPr="00DB281B" w:rsidRDefault="0041698C" w:rsidP="00DB281B">
      <w:pPr>
        <w:pStyle w:val="Ttulo3"/>
        <w:numPr>
          <w:ilvl w:val="1"/>
          <w:numId w:val="10"/>
        </w:numPr>
        <w:spacing w:before="0"/>
        <w:ind w:left="426" w:hanging="426"/>
        <w:jc w:val="both"/>
        <w:rPr>
          <w:rFonts w:ascii="Arial" w:hAnsi="Arial" w:cs="Arial"/>
          <w:b/>
          <w:color w:val="auto"/>
          <w:sz w:val="22"/>
          <w:szCs w:val="22"/>
          <w:lang w:val="es-ES_tradnl"/>
        </w:rPr>
      </w:pPr>
      <w:r w:rsidRPr="00DB281B">
        <w:rPr>
          <w:rFonts w:ascii="Arial" w:hAnsi="Arial" w:cs="Arial"/>
          <w:b/>
          <w:color w:val="auto"/>
          <w:sz w:val="22"/>
          <w:szCs w:val="22"/>
          <w:lang w:val="es-ES_tradnl"/>
        </w:rPr>
        <w:t>Inconsistencias en el Formato Único Territorial</w:t>
      </w:r>
      <w:r w:rsidR="002A4E72" w:rsidRPr="00DB281B">
        <w:rPr>
          <w:rFonts w:ascii="Arial" w:hAnsi="Arial" w:cs="Arial"/>
          <w:b/>
          <w:color w:val="auto"/>
          <w:sz w:val="22"/>
          <w:szCs w:val="22"/>
          <w:lang w:val="es-ES_tradnl"/>
        </w:rPr>
        <w:t xml:space="preserve"> </w:t>
      </w:r>
    </w:p>
    <w:p w14:paraId="5C28702B" w14:textId="77777777" w:rsidR="0041698C" w:rsidRPr="00DB281B" w:rsidRDefault="0041698C" w:rsidP="00DB281B">
      <w:pPr>
        <w:rPr>
          <w:rFonts w:ascii="Arial" w:hAnsi="Arial" w:cs="Arial"/>
          <w:sz w:val="22"/>
          <w:szCs w:val="22"/>
          <w:lang w:val="es-ES_tradnl"/>
        </w:rPr>
      </w:pPr>
    </w:p>
    <w:p w14:paraId="16641C22" w14:textId="77777777" w:rsidR="002B71D0" w:rsidRPr="00DB281B" w:rsidRDefault="002B71D0" w:rsidP="00DB281B">
      <w:pPr>
        <w:jc w:val="both"/>
        <w:rPr>
          <w:rFonts w:ascii="Arial" w:hAnsi="Arial" w:cs="Arial"/>
          <w:sz w:val="22"/>
          <w:szCs w:val="22"/>
          <w:lang w:val="es-ES_tradnl"/>
        </w:rPr>
      </w:pPr>
      <w:r w:rsidRPr="00DB281B">
        <w:rPr>
          <w:rFonts w:ascii="Arial" w:hAnsi="Arial" w:cs="Arial"/>
          <w:sz w:val="22"/>
          <w:szCs w:val="22"/>
          <w:lang w:val="es-ES_tradnl"/>
        </w:rPr>
        <w:t>De acuerdo con el inciso 3 del artículo 2.6.4.1 del Decreto 1068 de 2015, modificado por el artículo 1 del Decreto 1536 de 2016, la información de la ejecución presupuestal de ingresos y gastos reportada a través del FUT debe ser consistente y coherente con la información contable reconocida y revelada en los términos definidos en el Régimen de Contabilidad Pública. Al respecto, el artículo 39 de la Resolución 706 de 2016 expedida por la Contaduría General de la Nación establece que sobre la información reportada en la plataforma CHIP se presume que contiene las características de confiabilidad, relevancia y comprensibilidad según el Plan General de Contabilidad Pública.</w:t>
      </w:r>
    </w:p>
    <w:p w14:paraId="1997F728" w14:textId="77777777" w:rsidR="0041698C" w:rsidRPr="00DB281B" w:rsidRDefault="0041698C" w:rsidP="00DB281B">
      <w:pPr>
        <w:pStyle w:val="Prrafodelista"/>
        <w:jc w:val="both"/>
        <w:rPr>
          <w:rFonts w:ascii="Arial" w:hAnsi="Arial" w:cs="Arial"/>
          <w:color w:val="000000"/>
          <w:sz w:val="22"/>
          <w:szCs w:val="22"/>
          <w:shd w:val="clear" w:color="auto" w:fill="FFFFFF"/>
          <w:lang w:val="es-ES_tradnl"/>
        </w:rPr>
      </w:pPr>
    </w:p>
    <w:p w14:paraId="75F172D9" w14:textId="607B1F19" w:rsidR="0041698C" w:rsidRPr="00DB281B" w:rsidRDefault="0041698C" w:rsidP="00DB281B">
      <w:pPr>
        <w:jc w:val="both"/>
        <w:rPr>
          <w:rFonts w:ascii="Arial" w:hAnsi="Arial" w:cs="Arial"/>
          <w:color w:val="000000"/>
          <w:sz w:val="22"/>
          <w:szCs w:val="22"/>
          <w:shd w:val="clear" w:color="auto" w:fill="FFFFFF"/>
          <w:lang w:val="es-ES_tradnl"/>
        </w:rPr>
      </w:pPr>
      <w:r w:rsidRPr="00DB281B">
        <w:rPr>
          <w:rFonts w:ascii="Arial" w:hAnsi="Arial" w:cs="Arial"/>
          <w:color w:val="000000"/>
          <w:sz w:val="22"/>
          <w:szCs w:val="22"/>
          <w:shd w:val="clear" w:color="auto" w:fill="FFFFFF"/>
          <w:lang w:val="es-ES_tradnl"/>
        </w:rPr>
        <w:t>Con el objeto de evaluar la consistencia de la información reportada en las vigencias 201</w:t>
      </w:r>
      <w:r w:rsidR="00475775">
        <w:rPr>
          <w:rFonts w:ascii="Arial" w:hAnsi="Arial" w:cs="Arial"/>
          <w:color w:val="000000"/>
          <w:sz w:val="22"/>
          <w:szCs w:val="22"/>
          <w:shd w:val="clear" w:color="auto" w:fill="FFFFFF"/>
          <w:lang w:val="es-ES_tradnl"/>
        </w:rPr>
        <w:t>9</w:t>
      </w:r>
      <w:r w:rsidRPr="00DB281B">
        <w:rPr>
          <w:rFonts w:ascii="Arial" w:hAnsi="Arial" w:cs="Arial"/>
          <w:color w:val="000000"/>
          <w:sz w:val="22"/>
          <w:szCs w:val="22"/>
          <w:shd w:val="clear" w:color="auto" w:fill="FFFFFF"/>
          <w:lang w:val="es-ES_tradnl"/>
        </w:rPr>
        <w:t>, 20</w:t>
      </w:r>
      <w:r w:rsidR="00475775">
        <w:rPr>
          <w:rFonts w:ascii="Arial" w:hAnsi="Arial" w:cs="Arial"/>
          <w:color w:val="000000"/>
          <w:sz w:val="22"/>
          <w:szCs w:val="22"/>
          <w:shd w:val="clear" w:color="auto" w:fill="FFFFFF"/>
          <w:lang w:val="es-ES_tradnl"/>
        </w:rPr>
        <w:t>20</w:t>
      </w:r>
      <w:r w:rsidRPr="00DB281B">
        <w:rPr>
          <w:rFonts w:ascii="Arial" w:hAnsi="Arial" w:cs="Arial"/>
          <w:color w:val="000000"/>
          <w:sz w:val="22"/>
          <w:szCs w:val="22"/>
          <w:shd w:val="clear" w:color="auto" w:fill="FFFFFF"/>
          <w:lang w:val="es-ES_tradnl"/>
        </w:rPr>
        <w:t xml:space="preserve"> y marzo de 202</w:t>
      </w:r>
      <w:r w:rsidR="00475775">
        <w:rPr>
          <w:rFonts w:ascii="Arial" w:hAnsi="Arial" w:cs="Arial"/>
          <w:color w:val="000000"/>
          <w:sz w:val="22"/>
          <w:szCs w:val="22"/>
          <w:shd w:val="clear" w:color="auto" w:fill="FFFFFF"/>
          <w:lang w:val="es-ES_tradnl"/>
        </w:rPr>
        <w:t>1</w:t>
      </w:r>
      <w:r w:rsidRPr="00DB281B">
        <w:rPr>
          <w:rFonts w:ascii="Arial" w:hAnsi="Arial" w:cs="Arial"/>
          <w:color w:val="000000"/>
          <w:sz w:val="22"/>
          <w:szCs w:val="22"/>
          <w:shd w:val="clear" w:color="auto" w:fill="FFFFFF"/>
          <w:lang w:val="es-ES_tradnl"/>
        </w:rPr>
        <w:t xml:space="preserve"> en el Form</w:t>
      </w:r>
      <w:r w:rsidR="002B71D0" w:rsidRPr="00DB281B">
        <w:rPr>
          <w:rFonts w:ascii="Arial" w:hAnsi="Arial" w:cs="Arial"/>
          <w:color w:val="000000"/>
          <w:sz w:val="22"/>
          <w:szCs w:val="22"/>
          <w:shd w:val="clear" w:color="auto" w:fill="FFFFFF"/>
          <w:lang w:val="es-ES_tradnl"/>
        </w:rPr>
        <w:t xml:space="preserve">ulario </w:t>
      </w:r>
      <w:r w:rsidRPr="00DB281B">
        <w:rPr>
          <w:rFonts w:ascii="Arial" w:hAnsi="Arial" w:cs="Arial"/>
          <w:color w:val="000000"/>
          <w:sz w:val="22"/>
          <w:szCs w:val="22"/>
          <w:shd w:val="clear" w:color="auto" w:fill="FFFFFF"/>
          <w:lang w:val="es-ES_tradnl"/>
        </w:rPr>
        <w:t xml:space="preserve">Único Territorial, la Dirección General de Apoyo </w:t>
      </w:r>
      <w:r w:rsidRPr="00DB281B">
        <w:rPr>
          <w:rFonts w:ascii="Arial" w:hAnsi="Arial" w:cs="Arial"/>
          <w:color w:val="000000"/>
          <w:sz w:val="22"/>
          <w:szCs w:val="22"/>
          <w:shd w:val="clear" w:color="auto" w:fill="FFFFFF"/>
          <w:lang w:val="es-ES_tradnl"/>
        </w:rPr>
        <w:lastRenderedPageBreak/>
        <w:t xml:space="preserve">Fiscal consultó los reportes realizados por el </w:t>
      </w:r>
      <w:r w:rsidR="006554F2" w:rsidRPr="00DB281B">
        <w:rPr>
          <w:rFonts w:ascii="Arial" w:hAnsi="Arial" w:cs="Arial"/>
          <w:color w:val="000000"/>
          <w:sz w:val="22"/>
          <w:szCs w:val="22"/>
          <w:shd w:val="clear" w:color="auto" w:fill="FFFFFF"/>
          <w:lang w:val="es-ES_tradnl"/>
        </w:rPr>
        <w:t>Departamento</w:t>
      </w:r>
      <w:r w:rsidRPr="00DB281B">
        <w:rPr>
          <w:rFonts w:ascii="Arial" w:hAnsi="Arial" w:cs="Arial"/>
          <w:color w:val="000000"/>
          <w:sz w:val="22"/>
          <w:szCs w:val="22"/>
          <w:shd w:val="clear" w:color="auto" w:fill="FFFFFF"/>
          <w:lang w:val="es-ES_tradnl"/>
        </w:rPr>
        <w:t xml:space="preserve"> en el CHIP y como resultado se constataron las siguientes inconsistencias:</w:t>
      </w:r>
    </w:p>
    <w:p w14:paraId="4ACFED50" w14:textId="77777777" w:rsidR="0041698C" w:rsidRPr="00DB281B" w:rsidRDefault="0041698C" w:rsidP="00DB281B">
      <w:pPr>
        <w:rPr>
          <w:rFonts w:ascii="Arial" w:hAnsi="Arial" w:cs="Arial"/>
          <w:sz w:val="22"/>
          <w:szCs w:val="22"/>
          <w:lang w:val="es-ES_tradnl"/>
        </w:rPr>
      </w:pPr>
    </w:p>
    <w:p w14:paraId="25CFE0EB" w14:textId="3C8F0AF3" w:rsidR="0041698C" w:rsidRPr="00DB281B" w:rsidRDefault="0041698C" w:rsidP="00DB281B">
      <w:pPr>
        <w:rPr>
          <w:rFonts w:ascii="Arial" w:hAnsi="Arial" w:cs="Arial"/>
          <w:b/>
          <w:sz w:val="22"/>
          <w:szCs w:val="22"/>
          <w:lang w:val="es-ES_tradnl"/>
        </w:rPr>
      </w:pPr>
      <w:r w:rsidRPr="00DB281B">
        <w:rPr>
          <w:rFonts w:ascii="Arial" w:hAnsi="Arial" w:cs="Arial"/>
          <w:b/>
          <w:sz w:val="22"/>
          <w:szCs w:val="22"/>
          <w:lang w:val="es-ES_tradnl"/>
        </w:rPr>
        <w:t>Vigencia 201</w:t>
      </w:r>
      <w:r w:rsidR="00353730" w:rsidRPr="00DB281B">
        <w:rPr>
          <w:rFonts w:ascii="Arial" w:hAnsi="Arial" w:cs="Arial"/>
          <w:b/>
          <w:sz w:val="22"/>
          <w:szCs w:val="22"/>
          <w:lang w:val="es-ES_tradnl"/>
        </w:rPr>
        <w:t>9</w:t>
      </w:r>
    </w:p>
    <w:p w14:paraId="32F45C75" w14:textId="77777777" w:rsidR="0041698C" w:rsidRPr="00DB281B" w:rsidRDefault="0041698C" w:rsidP="00DB281B">
      <w:pPr>
        <w:rPr>
          <w:rFonts w:ascii="Arial" w:hAnsi="Arial" w:cs="Arial"/>
          <w:b/>
          <w:sz w:val="22"/>
          <w:szCs w:val="22"/>
          <w:lang w:val="es-ES_tradnl"/>
        </w:rPr>
      </w:pPr>
    </w:p>
    <w:p w14:paraId="638BBA1C" w14:textId="77777777" w:rsidR="0041698C" w:rsidRPr="00DB281B" w:rsidRDefault="0041698C" w:rsidP="00DB281B">
      <w:pPr>
        <w:pStyle w:val="Prrafodelista"/>
        <w:numPr>
          <w:ilvl w:val="0"/>
          <w:numId w:val="11"/>
        </w:numPr>
        <w:rPr>
          <w:rFonts w:ascii="Arial" w:hAnsi="Arial" w:cs="Arial"/>
          <w:b/>
          <w:sz w:val="22"/>
          <w:szCs w:val="22"/>
          <w:lang w:val="es-ES_tradnl"/>
        </w:rPr>
      </w:pPr>
      <w:r w:rsidRPr="00DB281B">
        <w:rPr>
          <w:rFonts w:ascii="Arial" w:hAnsi="Arial" w:cs="Arial"/>
          <w:b/>
          <w:sz w:val="22"/>
          <w:szCs w:val="22"/>
          <w:lang w:val="es-ES_tradnl"/>
        </w:rPr>
        <w:t>Gastos</w:t>
      </w:r>
    </w:p>
    <w:p w14:paraId="026FBA90" w14:textId="77777777" w:rsidR="0041698C" w:rsidRPr="00DB281B" w:rsidRDefault="0041698C" w:rsidP="00DB281B">
      <w:pPr>
        <w:rPr>
          <w:rFonts w:ascii="Arial" w:hAnsi="Arial" w:cs="Arial"/>
          <w:b/>
          <w:sz w:val="22"/>
          <w:szCs w:val="22"/>
          <w:lang w:val="es-ES_tradnl"/>
        </w:rPr>
      </w:pPr>
    </w:p>
    <w:p w14:paraId="6321080E" w14:textId="7A4B55D0" w:rsidR="004B6FCF" w:rsidRPr="00DB281B" w:rsidRDefault="004B6FCF" w:rsidP="00DB281B">
      <w:pPr>
        <w:jc w:val="both"/>
        <w:rPr>
          <w:rFonts w:ascii="Arial" w:hAnsi="Arial" w:cs="Arial"/>
          <w:sz w:val="22"/>
          <w:szCs w:val="22"/>
        </w:rPr>
      </w:pPr>
      <w:r w:rsidRPr="00DB281B">
        <w:rPr>
          <w:rFonts w:ascii="Arial" w:hAnsi="Arial" w:cs="Arial"/>
          <w:sz w:val="22"/>
          <w:szCs w:val="22"/>
        </w:rPr>
        <w:t xml:space="preserve">Frente a los gastos </w:t>
      </w:r>
      <w:r w:rsidR="00475775">
        <w:rPr>
          <w:rFonts w:ascii="Arial" w:hAnsi="Arial" w:cs="Arial"/>
          <w:sz w:val="22"/>
          <w:szCs w:val="22"/>
        </w:rPr>
        <w:t xml:space="preserve">registrados </w:t>
      </w:r>
      <w:r w:rsidRPr="00DB281B">
        <w:rPr>
          <w:rFonts w:ascii="Arial" w:hAnsi="Arial" w:cs="Arial"/>
          <w:sz w:val="22"/>
          <w:szCs w:val="22"/>
        </w:rPr>
        <w:t xml:space="preserve">bajo el concepto de Contratación de la Prestación del Servicio Educativo, se identifica </w:t>
      </w:r>
      <w:r w:rsidR="002C7B8F">
        <w:rPr>
          <w:rFonts w:ascii="Arial" w:hAnsi="Arial" w:cs="Arial"/>
          <w:sz w:val="22"/>
          <w:szCs w:val="22"/>
        </w:rPr>
        <w:t xml:space="preserve">que no fueron reportados </w:t>
      </w:r>
      <w:r w:rsidR="002C7B8F" w:rsidRPr="00DB281B">
        <w:rPr>
          <w:rFonts w:ascii="Arial" w:hAnsi="Arial" w:cs="Arial"/>
          <w:sz w:val="22"/>
          <w:szCs w:val="22"/>
        </w:rPr>
        <w:t xml:space="preserve">en la categoría de Gastos de Inversión </w:t>
      </w:r>
      <w:r w:rsidR="002C7B8F">
        <w:rPr>
          <w:rFonts w:ascii="Arial" w:hAnsi="Arial" w:cs="Arial"/>
          <w:sz w:val="22"/>
          <w:szCs w:val="22"/>
        </w:rPr>
        <w:t xml:space="preserve">del </w:t>
      </w:r>
      <w:r w:rsidRPr="00DB281B">
        <w:rPr>
          <w:rFonts w:ascii="Arial" w:hAnsi="Arial" w:cs="Arial"/>
          <w:sz w:val="22"/>
          <w:szCs w:val="22"/>
        </w:rPr>
        <w:t xml:space="preserve">FUT bajo el rubro de Contrataciones de Prestación del Servicio Educativo sino bajo el rubro de Gastos de Eficiencia. Estos </w:t>
      </w:r>
      <w:r w:rsidR="002C7B8F">
        <w:rPr>
          <w:rFonts w:ascii="Arial" w:hAnsi="Arial" w:cs="Arial"/>
          <w:sz w:val="22"/>
          <w:szCs w:val="22"/>
        </w:rPr>
        <w:t xml:space="preserve">gastos </w:t>
      </w:r>
      <w:r w:rsidRPr="00DB281B">
        <w:rPr>
          <w:rFonts w:ascii="Arial" w:hAnsi="Arial" w:cs="Arial"/>
          <w:sz w:val="22"/>
          <w:szCs w:val="22"/>
        </w:rPr>
        <w:t>ascienden a $1.236.700.410, de acuerdo con los contratos 432-18, 433-18 y 434-18 reportados al FUC como financiados con la participación del SGP Educación.</w:t>
      </w:r>
    </w:p>
    <w:p w14:paraId="11A51DD9" w14:textId="77777777" w:rsidR="00475775" w:rsidRDefault="00475775" w:rsidP="00DB281B">
      <w:pPr>
        <w:jc w:val="both"/>
        <w:rPr>
          <w:rFonts w:ascii="Arial" w:hAnsi="Arial" w:cs="Arial"/>
          <w:sz w:val="22"/>
          <w:szCs w:val="22"/>
        </w:rPr>
      </w:pPr>
    </w:p>
    <w:p w14:paraId="58671C00" w14:textId="1784A336" w:rsidR="004B6FCF" w:rsidRPr="00DB281B" w:rsidRDefault="008562A4" w:rsidP="00DB281B">
      <w:pPr>
        <w:jc w:val="both"/>
        <w:rPr>
          <w:rFonts w:ascii="Arial" w:hAnsi="Arial" w:cs="Arial"/>
          <w:sz w:val="22"/>
          <w:szCs w:val="22"/>
        </w:rPr>
      </w:pPr>
      <w:r w:rsidRPr="00DB281B">
        <w:rPr>
          <w:rFonts w:ascii="Arial" w:hAnsi="Arial" w:cs="Arial"/>
          <w:sz w:val="22"/>
          <w:szCs w:val="22"/>
        </w:rPr>
        <w:t>Adicionalmente, s</w:t>
      </w:r>
      <w:r w:rsidR="004B6FCF" w:rsidRPr="00DB281B">
        <w:rPr>
          <w:rFonts w:ascii="Arial" w:hAnsi="Arial" w:cs="Arial"/>
          <w:sz w:val="22"/>
          <w:szCs w:val="22"/>
        </w:rPr>
        <w:t>e</w:t>
      </w:r>
      <w:r w:rsidR="00067BE0" w:rsidRPr="00DB281B">
        <w:rPr>
          <w:rFonts w:ascii="Arial" w:hAnsi="Arial" w:cs="Arial"/>
          <w:sz w:val="22"/>
          <w:szCs w:val="22"/>
        </w:rPr>
        <w:t xml:space="preserve"> identifica un</w:t>
      </w:r>
      <w:r w:rsidR="004B6FCF" w:rsidRPr="00DB281B">
        <w:rPr>
          <w:rFonts w:ascii="Arial" w:hAnsi="Arial" w:cs="Arial"/>
          <w:sz w:val="22"/>
          <w:szCs w:val="22"/>
        </w:rPr>
        <w:t xml:space="preserve"> compromiso </w:t>
      </w:r>
      <w:r w:rsidR="00067BE0" w:rsidRPr="00DB281B">
        <w:rPr>
          <w:rFonts w:ascii="Arial" w:hAnsi="Arial" w:cs="Arial"/>
          <w:sz w:val="22"/>
          <w:szCs w:val="22"/>
        </w:rPr>
        <w:t>por</w:t>
      </w:r>
      <w:r w:rsidR="004B6FCF" w:rsidRPr="00DB281B">
        <w:rPr>
          <w:rFonts w:ascii="Arial" w:hAnsi="Arial" w:cs="Arial"/>
          <w:sz w:val="22"/>
          <w:szCs w:val="22"/>
        </w:rPr>
        <w:t xml:space="preserve"> $569 millones </w:t>
      </w:r>
      <w:r w:rsidR="002C7B8F">
        <w:rPr>
          <w:rFonts w:ascii="Arial" w:hAnsi="Arial" w:cs="Arial"/>
          <w:sz w:val="22"/>
          <w:szCs w:val="22"/>
        </w:rPr>
        <w:t xml:space="preserve">por </w:t>
      </w:r>
      <w:r w:rsidR="004B6FCF" w:rsidRPr="00DB281B">
        <w:rPr>
          <w:rFonts w:ascii="Arial" w:hAnsi="Arial" w:cs="Arial"/>
          <w:sz w:val="22"/>
          <w:szCs w:val="22"/>
        </w:rPr>
        <w:t>concepto de “</w:t>
      </w:r>
      <w:r w:rsidR="004B6FCF" w:rsidRPr="00DB281B">
        <w:rPr>
          <w:rFonts w:ascii="Arial" w:hAnsi="Arial" w:cs="Arial"/>
          <w:i/>
          <w:iCs/>
          <w:sz w:val="22"/>
          <w:szCs w:val="22"/>
        </w:rPr>
        <w:t>Arrendamiento de infraestructura educativa</w:t>
      </w:r>
      <w:r w:rsidR="004B6FCF" w:rsidRPr="00DB281B">
        <w:rPr>
          <w:rFonts w:ascii="Arial" w:hAnsi="Arial" w:cs="Arial"/>
          <w:sz w:val="22"/>
          <w:szCs w:val="22"/>
        </w:rPr>
        <w:t xml:space="preserve">”, </w:t>
      </w:r>
      <w:r w:rsidR="007B5F7F" w:rsidRPr="00DB281B">
        <w:rPr>
          <w:rFonts w:ascii="Arial" w:hAnsi="Arial" w:cs="Arial"/>
          <w:sz w:val="22"/>
          <w:szCs w:val="22"/>
        </w:rPr>
        <w:t xml:space="preserve">cifra que fue reportada </w:t>
      </w:r>
      <w:r w:rsidR="002C7B8F">
        <w:rPr>
          <w:rFonts w:ascii="Arial" w:hAnsi="Arial" w:cs="Arial"/>
          <w:sz w:val="22"/>
          <w:szCs w:val="22"/>
        </w:rPr>
        <w:t xml:space="preserve">en el FUT </w:t>
      </w:r>
      <w:r w:rsidR="007B5F7F" w:rsidRPr="00DB281B">
        <w:rPr>
          <w:rFonts w:ascii="Arial" w:hAnsi="Arial" w:cs="Arial"/>
          <w:sz w:val="22"/>
          <w:szCs w:val="22"/>
        </w:rPr>
        <w:t>bajo el rubro</w:t>
      </w:r>
      <w:r w:rsidR="004B6FCF" w:rsidRPr="00DB281B">
        <w:rPr>
          <w:rFonts w:ascii="Arial" w:hAnsi="Arial" w:cs="Arial"/>
          <w:sz w:val="22"/>
          <w:szCs w:val="22"/>
        </w:rPr>
        <w:t xml:space="preserve"> Gastos de Eficiencia en vez de</w:t>
      </w:r>
      <w:r w:rsidR="007B5F7F" w:rsidRPr="00DB281B">
        <w:rPr>
          <w:rFonts w:ascii="Arial" w:hAnsi="Arial" w:cs="Arial"/>
          <w:sz w:val="22"/>
          <w:szCs w:val="22"/>
        </w:rPr>
        <w:t>l rubro de</w:t>
      </w:r>
      <w:r w:rsidR="004B6FCF" w:rsidRPr="00DB281B">
        <w:rPr>
          <w:rFonts w:ascii="Arial" w:hAnsi="Arial" w:cs="Arial"/>
          <w:sz w:val="22"/>
          <w:szCs w:val="22"/>
        </w:rPr>
        <w:t xml:space="preserve"> Funcionamiento Básico de los Establecimientos Educativos</w:t>
      </w:r>
      <w:r w:rsidR="007B5F7F" w:rsidRPr="00DB281B">
        <w:rPr>
          <w:rFonts w:ascii="Arial" w:hAnsi="Arial" w:cs="Arial"/>
          <w:sz w:val="22"/>
          <w:szCs w:val="22"/>
        </w:rPr>
        <w:t xml:space="preserve"> en la categoría de Gastos de Inversión</w:t>
      </w:r>
      <w:r w:rsidR="004B6FCF" w:rsidRPr="00DB281B">
        <w:rPr>
          <w:rFonts w:ascii="Arial" w:hAnsi="Arial" w:cs="Arial"/>
          <w:sz w:val="22"/>
          <w:szCs w:val="22"/>
        </w:rPr>
        <w:t>.</w:t>
      </w:r>
    </w:p>
    <w:p w14:paraId="71AE46DA" w14:textId="77777777" w:rsidR="00475775" w:rsidRDefault="00475775" w:rsidP="00DB281B">
      <w:pPr>
        <w:jc w:val="both"/>
        <w:rPr>
          <w:rFonts w:ascii="Arial" w:hAnsi="Arial" w:cs="Arial"/>
          <w:sz w:val="22"/>
          <w:szCs w:val="22"/>
        </w:rPr>
      </w:pPr>
    </w:p>
    <w:p w14:paraId="44E82CAE" w14:textId="4910E4DF" w:rsidR="004B6FCF" w:rsidRDefault="007B5F7F" w:rsidP="00DB281B">
      <w:pPr>
        <w:jc w:val="both"/>
        <w:rPr>
          <w:rFonts w:ascii="Arial" w:hAnsi="Arial" w:cs="Arial"/>
          <w:sz w:val="22"/>
          <w:szCs w:val="22"/>
        </w:rPr>
      </w:pPr>
      <w:r w:rsidRPr="00DB281B">
        <w:rPr>
          <w:rFonts w:ascii="Arial" w:hAnsi="Arial" w:cs="Arial"/>
          <w:sz w:val="22"/>
          <w:szCs w:val="22"/>
        </w:rPr>
        <w:t xml:space="preserve">Por último, </w:t>
      </w:r>
      <w:r w:rsidR="00985E2F" w:rsidRPr="00DB281B">
        <w:rPr>
          <w:rFonts w:ascii="Arial" w:hAnsi="Arial" w:cs="Arial"/>
          <w:sz w:val="22"/>
          <w:szCs w:val="22"/>
        </w:rPr>
        <w:t xml:space="preserve">en la ejecución presupuestal se reconoce un compromiso por </w:t>
      </w:r>
      <w:r w:rsidR="004B6FCF" w:rsidRPr="00DB281B">
        <w:rPr>
          <w:rFonts w:ascii="Arial" w:hAnsi="Arial" w:cs="Arial"/>
          <w:sz w:val="22"/>
          <w:szCs w:val="22"/>
        </w:rPr>
        <w:t xml:space="preserve">$103 millones </w:t>
      </w:r>
      <w:r w:rsidR="002C7B8F">
        <w:rPr>
          <w:rFonts w:ascii="Arial" w:hAnsi="Arial" w:cs="Arial"/>
          <w:sz w:val="22"/>
          <w:szCs w:val="22"/>
        </w:rPr>
        <w:t xml:space="preserve">por </w:t>
      </w:r>
      <w:r w:rsidR="004B6FCF" w:rsidRPr="00DB281B">
        <w:rPr>
          <w:rFonts w:ascii="Arial" w:hAnsi="Arial" w:cs="Arial"/>
          <w:sz w:val="22"/>
          <w:szCs w:val="22"/>
        </w:rPr>
        <w:t>concepto de “</w:t>
      </w:r>
      <w:r w:rsidR="004B6FCF" w:rsidRPr="00DB281B">
        <w:rPr>
          <w:rFonts w:ascii="Arial" w:hAnsi="Arial" w:cs="Arial"/>
          <w:i/>
          <w:iCs/>
          <w:sz w:val="22"/>
          <w:szCs w:val="22"/>
        </w:rPr>
        <w:t>Servicio de articulación entre la educación media”</w:t>
      </w:r>
      <w:r w:rsidR="004B6FCF" w:rsidRPr="00DB281B">
        <w:rPr>
          <w:rFonts w:ascii="Arial" w:hAnsi="Arial" w:cs="Arial"/>
          <w:sz w:val="22"/>
          <w:szCs w:val="22"/>
        </w:rPr>
        <w:t>, los cuales no fueron reportados al FUT en la categoría de Gastos de Inversión por la Entidad. Es importante indagar por el proceso contractual que soporta esta ejecución en visita de reconocimiento.</w:t>
      </w:r>
    </w:p>
    <w:p w14:paraId="3DBD930B" w14:textId="77777777" w:rsidR="00475775" w:rsidRPr="00DB281B" w:rsidRDefault="00475775" w:rsidP="00DB281B">
      <w:pPr>
        <w:jc w:val="both"/>
        <w:rPr>
          <w:rFonts w:ascii="Arial" w:hAnsi="Arial" w:cs="Arial"/>
          <w:sz w:val="22"/>
          <w:szCs w:val="22"/>
        </w:rPr>
      </w:pPr>
    </w:p>
    <w:p w14:paraId="2312F06B" w14:textId="1084514C" w:rsidR="00985E2F" w:rsidRPr="00DB281B" w:rsidRDefault="00985E2F" w:rsidP="00DB281B">
      <w:pPr>
        <w:pStyle w:val="Prrafodelista"/>
        <w:numPr>
          <w:ilvl w:val="0"/>
          <w:numId w:val="11"/>
        </w:numPr>
        <w:jc w:val="both"/>
        <w:rPr>
          <w:rFonts w:ascii="Arial" w:hAnsi="Arial" w:cs="Arial"/>
          <w:sz w:val="22"/>
          <w:szCs w:val="22"/>
        </w:rPr>
      </w:pPr>
      <w:r w:rsidRPr="00DB281B">
        <w:rPr>
          <w:rFonts w:ascii="Arial" w:hAnsi="Arial" w:cs="Arial"/>
          <w:b/>
          <w:bCs/>
          <w:sz w:val="22"/>
          <w:szCs w:val="22"/>
        </w:rPr>
        <w:t>Cierre fiscal</w:t>
      </w:r>
    </w:p>
    <w:p w14:paraId="2B9616CF" w14:textId="77777777" w:rsidR="00475775" w:rsidRDefault="00475775" w:rsidP="00DB281B">
      <w:pPr>
        <w:jc w:val="both"/>
        <w:rPr>
          <w:rFonts w:ascii="Arial" w:hAnsi="Arial" w:cs="Arial"/>
          <w:sz w:val="22"/>
          <w:szCs w:val="22"/>
        </w:rPr>
      </w:pPr>
    </w:p>
    <w:p w14:paraId="0114FCCC" w14:textId="32210FD2" w:rsidR="004B6FCF" w:rsidRPr="00DB281B" w:rsidRDefault="00BB4C61" w:rsidP="00DB281B">
      <w:pPr>
        <w:jc w:val="both"/>
        <w:rPr>
          <w:rFonts w:ascii="Arial" w:hAnsi="Arial" w:cs="Arial"/>
          <w:sz w:val="22"/>
          <w:szCs w:val="22"/>
        </w:rPr>
      </w:pPr>
      <w:r w:rsidRPr="00DB281B">
        <w:rPr>
          <w:rFonts w:ascii="Arial" w:hAnsi="Arial" w:cs="Arial"/>
          <w:sz w:val="22"/>
          <w:szCs w:val="22"/>
        </w:rPr>
        <w:t xml:space="preserve">Al comparar los cálculos generados a partir del análisis de las ejecuciones presupuestales con los reportes de información </w:t>
      </w:r>
      <w:r w:rsidR="002C7B8F">
        <w:rPr>
          <w:rFonts w:ascii="Arial" w:hAnsi="Arial" w:cs="Arial"/>
          <w:sz w:val="22"/>
          <w:szCs w:val="22"/>
        </w:rPr>
        <w:t xml:space="preserve">de </w:t>
      </w:r>
      <w:r w:rsidR="00556667" w:rsidRPr="00DB281B">
        <w:rPr>
          <w:rFonts w:ascii="Arial" w:hAnsi="Arial" w:cs="Arial"/>
          <w:sz w:val="22"/>
          <w:szCs w:val="22"/>
        </w:rPr>
        <w:t>la categoría de Cierre Fiscal</w:t>
      </w:r>
      <w:r w:rsidR="002C7B8F">
        <w:rPr>
          <w:rFonts w:ascii="Arial" w:hAnsi="Arial" w:cs="Arial"/>
          <w:sz w:val="22"/>
          <w:szCs w:val="22"/>
        </w:rPr>
        <w:t xml:space="preserve"> del FUT</w:t>
      </w:r>
      <w:r w:rsidR="00556667" w:rsidRPr="00DB281B">
        <w:rPr>
          <w:rFonts w:ascii="Arial" w:hAnsi="Arial" w:cs="Arial"/>
          <w:sz w:val="22"/>
          <w:szCs w:val="22"/>
        </w:rPr>
        <w:t>, se identifican diferencias en las cifras de déficit o superávit tanto para la fuente de Prestación del Servicio como de Cancelaciones durante la vigencia.</w:t>
      </w:r>
    </w:p>
    <w:p w14:paraId="1CFE9CBD" w14:textId="6ECFCDEF" w:rsidR="00861D32" w:rsidRPr="00DB281B" w:rsidRDefault="00861D32" w:rsidP="00DB281B">
      <w:pPr>
        <w:jc w:val="both"/>
        <w:rPr>
          <w:rFonts w:ascii="Arial" w:hAnsi="Arial" w:cs="Arial"/>
          <w:sz w:val="22"/>
          <w:szCs w:val="22"/>
        </w:rPr>
      </w:pPr>
    </w:p>
    <w:p w14:paraId="1F555246" w14:textId="24D89A5E" w:rsidR="0041698C" w:rsidRPr="00DB281B" w:rsidRDefault="002C7B8F" w:rsidP="00DB281B">
      <w:pPr>
        <w:jc w:val="both"/>
        <w:rPr>
          <w:rFonts w:ascii="Arial" w:hAnsi="Arial" w:cs="Arial"/>
          <w:i/>
          <w:sz w:val="22"/>
          <w:szCs w:val="22"/>
          <w:lang w:val="es-ES_tradnl"/>
        </w:rPr>
      </w:pPr>
      <w:r>
        <w:rPr>
          <w:rFonts w:ascii="Arial" w:hAnsi="Arial" w:cs="Arial"/>
          <w:sz w:val="22"/>
          <w:szCs w:val="22"/>
        </w:rPr>
        <w:t xml:space="preserve">Así, se </w:t>
      </w:r>
      <w:r w:rsidR="00861D32" w:rsidRPr="00DB281B">
        <w:rPr>
          <w:rFonts w:ascii="Arial" w:hAnsi="Arial" w:cs="Arial"/>
          <w:sz w:val="22"/>
          <w:szCs w:val="22"/>
        </w:rPr>
        <w:t xml:space="preserve">identifica un mayor valor reportado en el FUT como superávit para la fuente de Prestación del Servicio en $19 millones con respecto a la ejecución presupuestal; mientras que para la fuente Cancelaciones, se reportó un superávit de $99 millones, cuando los compromisos identificados por Cancelaciones durante la vigencia 2019 </w:t>
      </w:r>
      <w:r>
        <w:rPr>
          <w:rFonts w:ascii="Arial" w:hAnsi="Arial" w:cs="Arial"/>
          <w:sz w:val="22"/>
          <w:szCs w:val="22"/>
        </w:rPr>
        <w:t xml:space="preserve">arrojaron </w:t>
      </w:r>
      <w:r w:rsidR="00861D32" w:rsidRPr="00DB281B">
        <w:rPr>
          <w:rFonts w:ascii="Arial" w:hAnsi="Arial" w:cs="Arial"/>
          <w:sz w:val="22"/>
          <w:szCs w:val="22"/>
        </w:rPr>
        <w:t>un déficit por $942 millones</w:t>
      </w:r>
      <w:r w:rsidR="001E7F0E" w:rsidRPr="00DB281B">
        <w:rPr>
          <w:rFonts w:ascii="Arial" w:hAnsi="Arial" w:cs="Arial"/>
          <w:sz w:val="22"/>
          <w:szCs w:val="22"/>
        </w:rPr>
        <w:t>, lo que estima una diferencia de $1.041 millones entre el reporte de información al FUT y las estimaciones generadas mediante la ejecución presupuestal.</w:t>
      </w:r>
    </w:p>
    <w:p w14:paraId="2741FC55" w14:textId="77777777" w:rsidR="0041698C" w:rsidRPr="00DB281B" w:rsidRDefault="0041698C" w:rsidP="00DB281B">
      <w:pPr>
        <w:rPr>
          <w:rFonts w:ascii="Arial" w:hAnsi="Arial" w:cs="Arial"/>
          <w:b/>
          <w:sz w:val="22"/>
          <w:szCs w:val="22"/>
          <w:lang w:val="es-ES_tradnl"/>
        </w:rPr>
      </w:pPr>
    </w:p>
    <w:p w14:paraId="297A057F" w14:textId="16CD5BAA" w:rsidR="0041698C" w:rsidRPr="00DB281B" w:rsidRDefault="0041698C" w:rsidP="00DB281B">
      <w:pPr>
        <w:rPr>
          <w:rFonts w:ascii="Arial" w:hAnsi="Arial" w:cs="Arial"/>
          <w:b/>
          <w:sz w:val="22"/>
          <w:szCs w:val="22"/>
          <w:lang w:val="es-ES_tradnl"/>
        </w:rPr>
      </w:pPr>
      <w:r w:rsidRPr="00DB281B">
        <w:rPr>
          <w:rFonts w:ascii="Arial" w:hAnsi="Arial" w:cs="Arial"/>
          <w:b/>
          <w:sz w:val="22"/>
          <w:szCs w:val="22"/>
          <w:lang w:val="es-ES_tradnl"/>
        </w:rPr>
        <w:t>Vigencia 20</w:t>
      </w:r>
      <w:r w:rsidR="005600D7" w:rsidRPr="00DB281B">
        <w:rPr>
          <w:rFonts w:ascii="Arial" w:hAnsi="Arial" w:cs="Arial"/>
          <w:b/>
          <w:sz w:val="22"/>
          <w:szCs w:val="22"/>
          <w:lang w:val="es-ES_tradnl"/>
        </w:rPr>
        <w:t>20</w:t>
      </w:r>
    </w:p>
    <w:p w14:paraId="4931B0F4" w14:textId="77777777" w:rsidR="0041698C" w:rsidRPr="00DB281B" w:rsidRDefault="0041698C" w:rsidP="00DB281B">
      <w:pPr>
        <w:rPr>
          <w:rFonts w:ascii="Arial" w:hAnsi="Arial" w:cs="Arial"/>
          <w:b/>
          <w:sz w:val="22"/>
          <w:szCs w:val="22"/>
          <w:lang w:val="es-ES_tradnl"/>
        </w:rPr>
      </w:pPr>
    </w:p>
    <w:p w14:paraId="125E55FD" w14:textId="6622A6AB" w:rsidR="0041698C" w:rsidRPr="00DB281B" w:rsidRDefault="005600D7" w:rsidP="00DB281B">
      <w:pPr>
        <w:pStyle w:val="Prrafodelista"/>
        <w:numPr>
          <w:ilvl w:val="0"/>
          <w:numId w:val="12"/>
        </w:numPr>
        <w:rPr>
          <w:rFonts w:ascii="Arial" w:hAnsi="Arial" w:cs="Arial"/>
          <w:b/>
          <w:sz w:val="22"/>
          <w:szCs w:val="22"/>
          <w:lang w:val="es-ES_tradnl"/>
        </w:rPr>
      </w:pPr>
      <w:r w:rsidRPr="00DB281B">
        <w:rPr>
          <w:rFonts w:ascii="Arial" w:hAnsi="Arial" w:cs="Arial"/>
          <w:b/>
          <w:sz w:val="22"/>
          <w:szCs w:val="22"/>
          <w:lang w:val="es-ES_tradnl"/>
        </w:rPr>
        <w:t>Ingresos</w:t>
      </w:r>
    </w:p>
    <w:p w14:paraId="48157A1D" w14:textId="77777777" w:rsidR="0041698C" w:rsidRPr="00DB281B" w:rsidRDefault="0041698C" w:rsidP="00DB281B">
      <w:pPr>
        <w:ind w:left="360"/>
        <w:rPr>
          <w:rFonts w:ascii="Arial" w:hAnsi="Arial" w:cs="Arial"/>
          <w:b/>
          <w:sz w:val="22"/>
          <w:szCs w:val="22"/>
          <w:lang w:val="es-ES_tradnl"/>
        </w:rPr>
      </w:pPr>
    </w:p>
    <w:p w14:paraId="51A12EF9" w14:textId="47CF5FA5" w:rsidR="005600D7" w:rsidRPr="00DB281B" w:rsidRDefault="005600D7" w:rsidP="00DB281B">
      <w:pPr>
        <w:pStyle w:val="Sinespaciado"/>
        <w:jc w:val="both"/>
        <w:rPr>
          <w:rFonts w:ascii="Arial" w:hAnsi="Arial" w:cs="Arial"/>
          <w:bCs/>
          <w:iCs/>
        </w:rPr>
      </w:pPr>
      <w:r w:rsidRPr="00DB281B">
        <w:rPr>
          <w:rFonts w:ascii="Arial" w:hAnsi="Arial" w:cs="Arial"/>
          <w:bCs/>
          <w:iCs/>
        </w:rPr>
        <w:t xml:space="preserve">En la vigencia </w:t>
      </w:r>
      <w:r w:rsidR="002C7B8F">
        <w:rPr>
          <w:rFonts w:ascii="Arial" w:hAnsi="Arial" w:cs="Arial"/>
          <w:bCs/>
          <w:iCs/>
        </w:rPr>
        <w:t xml:space="preserve">2020 </w:t>
      </w:r>
      <w:r w:rsidRPr="00DB281B">
        <w:rPr>
          <w:rFonts w:ascii="Arial" w:hAnsi="Arial" w:cs="Arial"/>
          <w:bCs/>
          <w:iCs/>
        </w:rPr>
        <w:t>la Entidad no incorporó ni reportó</w:t>
      </w:r>
      <w:r w:rsidR="003B4C91" w:rsidRPr="00DB281B">
        <w:rPr>
          <w:rFonts w:ascii="Arial" w:hAnsi="Arial" w:cs="Arial"/>
          <w:bCs/>
          <w:iCs/>
        </w:rPr>
        <w:t xml:space="preserve"> como ingresos de la vigencia</w:t>
      </w:r>
      <w:r w:rsidRPr="00DB281B">
        <w:rPr>
          <w:rFonts w:ascii="Arial" w:hAnsi="Arial" w:cs="Arial"/>
          <w:bCs/>
          <w:iCs/>
        </w:rPr>
        <w:t xml:space="preserve"> los recursos</w:t>
      </w:r>
      <w:r w:rsidR="0052301E" w:rsidRPr="00DB281B">
        <w:rPr>
          <w:rFonts w:ascii="Arial" w:hAnsi="Arial" w:cs="Arial"/>
          <w:bCs/>
          <w:iCs/>
        </w:rPr>
        <w:t xml:space="preserve"> por $2.2</w:t>
      </w:r>
      <w:r w:rsidR="00997184" w:rsidRPr="00DB281B">
        <w:rPr>
          <w:rFonts w:ascii="Arial" w:hAnsi="Arial" w:cs="Arial"/>
          <w:bCs/>
          <w:iCs/>
        </w:rPr>
        <w:t>52 millones</w:t>
      </w:r>
      <w:r w:rsidRPr="00DB281B">
        <w:rPr>
          <w:rFonts w:ascii="Arial" w:hAnsi="Arial" w:cs="Arial"/>
          <w:bCs/>
          <w:iCs/>
        </w:rPr>
        <w:t xml:space="preserve"> asignados y girados</w:t>
      </w:r>
      <w:r w:rsidR="003B4C91" w:rsidRPr="00DB281B">
        <w:rPr>
          <w:rFonts w:ascii="Arial" w:hAnsi="Arial" w:cs="Arial"/>
          <w:bCs/>
          <w:iCs/>
        </w:rPr>
        <w:t xml:space="preserve"> por concepto de calidad matrícula </w:t>
      </w:r>
      <w:r w:rsidRPr="00DB281B">
        <w:rPr>
          <w:rFonts w:ascii="Arial" w:hAnsi="Arial" w:cs="Arial"/>
          <w:bCs/>
          <w:iCs/>
        </w:rPr>
        <w:t>para alimentación escolar de emergencia de acuerdo con el Decreto 470 de 2020</w:t>
      </w:r>
      <w:r w:rsidR="0052301E" w:rsidRPr="00DB281B">
        <w:rPr>
          <w:rFonts w:ascii="Arial" w:hAnsi="Arial" w:cs="Arial"/>
          <w:bCs/>
          <w:iCs/>
        </w:rPr>
        <w:t xml:space="preserve">, valores estimados a partir de la información del PAC </w:t>
      </w:r>
      <w:r w:rsidR="002C7B8F">
        <w:rPr>
          <w:rFonts w:ascii="Arial" w:hAnsi="Arial" w:cs="Arial"/>
          <w:bCs/>
          <w:iCs/>
        </w:rPr>
        <w:t xml:space="preserve">publicado </w:t>
      </w:r>
      <w:r w:rsidR="0052301E" w:rsidRPr="00DB281B">
        <w:rPr>
          <w:rFonts w:ascii="Arial" w:hAnsi="Arial" w:cs="Arial"/>
          <w:bCs/>
          <w:iCs/>
        </w:rPr>
        <w:t>por el MEN y los documentos de distribución de recursos de la participación del SGP Educación.</w:t>
      </w:r>
    </w:p>
    <w:p w14:paraId="584FA6ED" w14:textId="77777777" w:rsidR="005600D7" w:rsidRPr="00DB281B" w:rsidRDefault="005600D7" w:rsidP="00DB281B">
      <w:pPr>
        <w:pStyle w:val="Sinespaciado"/>
        <w:jc w:val="both"/>
        <w:rPr>
          <w:rFonts w:ascii="Arial" w:hAnsi="Arial" w:cs="Arial"/>
          <w:bCs/>
          <w:iCs/>
        </w:rPr>
      </w:pPr>
    </w:p>
    <w:p w14:paraId="54D397BF" w14:textId="6985FAAA" w:rsidR="00997184" w:rsidRPr="00DB281B" w:rsidRDefault="00997184" w:rsidP="00DB281B">
      <w:pPr>
        <w:pStyle w:val="Sinespaciado"/>
        <w:numPr>
          <w:ilvl w:val="0"/>
          <w:numId w:val="11"/>
        </w:numPr>
        <w:jc w:val="both"/>
        <w:rPr>
          <w:rFonts w:ascii="Arial" w:hAnsi="Arial" w:cs="Arial"/>
          <w:bCs/>
          <w:iCs/>
        </w:rPr>
      </w:pPr>
      <w:r w:rsidRPr="00DB281B">
        <w:rPr>
          <w:rFonts w:ascii="Arial" w:hAnsi="Arial" w:cs="Arial"/>
          <w:b/>
          <w:iCs/>
        </w:rPr>
        <w:t>Cierre fiscal</w:t>
      </w:r>
    </w:p>
    <w:p w14:paraId="1CDE0E0B" w14:textId="77777777" w:rsidR="00997184" w:rsidRPr="00DB281B" w:rsidRDefault="00997184" w:rsidP="00DB281B">
      <w:pPr>
        <w:pStyle w:val="Sinespaciado"/>
        <w:jc w:val="both"/>
        <w:rPr>
          <w:rFonts w:ascii="Arial" w:hAnsi="Arial" w:cs="Arial"/>
          <w:bCs/>
          <w:iCs/>
        </w:rPr>
      </w:pPr>
    </w:p>
    <w:p w14:paraId="423E8D3B" w14:textId="05A8EFDF" w:rsidR="00997184" w:rsidRPr="00DB281B" w:rsidRDefault="0041698C" w:rsidP="00DB281B">
      <w:pPr>
        <w:pStyle w:val="Sinespaciado"/>
        <w:jc w:val="both"/>
        <w:rPr>
          <w:rFonts w:ascii="Arial" w:hAnsi="Arial" w:cs="Arial"/>
          <w:bCs/>
          <w:iCs/>
        </w:rPr>
      </w:pPr>
      <w:r w:rsidRPr="00DB281B">
        <w:rPr>
          <w:rFonts w:ascii="Arial" w:hAnsi="Arial" w:cs="Arial"/>
          <w:bCs/>
          <w:iCs/>
        </w:rPr>
        <w:t>Al igual que la vigencia anterior, la Entidad present</w:t>
      </w:r>
      <w:r w:rsidR="003D2A16" w:rsidRPr="00DB281B">
        <w:rPr>
          <w:rFonts w:ascii="Arial" w:hAnsi="Arial" w:cs="Arial"/>
          <w:bCs/>
          <w:iCs/>
        </w:rPr>
        <w:t>ó</w:t>
      </w:r>
      <w:r w:rsidRPr="00DB281B">
        <w:rPr>
          <w:rFonts w:ascii="Arial" w:hAnsi="Arial" w:cs="Arial"/>
          <w:bCs/>
          <w:iCs/>
        </w:rPr>
        <w:t xml:space="preserve"> inconsistencias en el reporte</w:t>
      </w:r>
      <w:r w:rsidR="00632949" w:rsidRPr="00DB281B">
        <w:rPr>
          <w:rFonts w:ascii="Arial" w:hAnsi="Arial" w:cs="Arial"/>
          <w:bCs/>
          <w:iCs/>
        </w:rPr>
        <w:t xml:space="preserve"> de información del déficit o superávit de las fuentes Prestación del Servicio y Cancelaciones en la categoría de Cierre Fiscal. Estas diferencias ascienden </w:t>
      </w:r>
      <w:r w:rsidR="006F77A0" w:rsidRPr="00DB281B">
        <w:rPr>
          <w:rFonts w:ascii="Arial" w:hAnsi="Arial" w:cs="Arial"/>
          <w:bCs/>
          <w:iCs/>
        </w:rPr>
        <w:t>a $7.607 millones en la fuente de Prestación del Servicio</w:t>
      </w:r>
      <w:r w:rsidR="00254189" w:rsidRPr="00DB281B">
        <w:rPr>
          <w:rFonts w:ascii="Arial" w:hAnsi="Arial" w:cs="Arial"/>
          <w:bCs/>
          <w:iCs/>
        </w:rPr>
        <w:t xml:space="preserve"> y de $3.763 millones en la fuente de Cancelaciones.</w:t>
      </w:r>
    </w:p>
    <w:p w14:paraId="3D06FDB4" w14:textId="503FA500" w:rsidR="00254189" w:rsidRPr="00DB281B" w:rsidRDefault="00254189" w:rsidP="00DB281B">
      <w:pPr>
        <w:pStyle w:val="Sinespaciado"/>
        <w:jc w:val="both"/>
        <w:rPr>
          <w:rFonts w:ascii="Arial" w:hAnsi="Arial" w:cs="Arial"/>
          <w:bCs/>
          <w:iCs/>
        </w:rPr>
      </w:pPr>
    </w:p>
    <w:p w14:paraId="34A9DD33" w14:textId="46D744B1" w:rsidR="00254189" w:rsidRDefault="00254189" w:rsidP="00DB281B">
      <w:pPr>
        <w:pStyle w:val="Sinespaciado"/>
        <w:jc w:val="both"/>
        <w:rPr>
          <w:rFonts w:ascii="Arial" w:hAnsi="Arial" w:cs="Arial"/>
          <w:bCs/>
          <w:iCs/>
        </w:rPr>
      </w:pPr>
      <w:r w:rsidRPr="00DB281B">
        <w:rPr>
          <w:rFonts w:ascii="Arial" w:hAnsi="Arial" w:cs="Arial"/>
          <w:bCs/>
          <w:iCs/>
        </w:rPr>
        <w:t xml:space="preserve">Así mismo, en torno a las cifras de tesorería, al comparar la información reportada en el rubro de </w:t>
      </w:r>
      <w:r w:rsidR="00E04D07" w:rsidRPr="00DB281B">
        <w:rPr>
          <w:rFonts w:ascii="Arial" w:hAnsi="Arial" w:cs="Arial"/>
          <w:bCs/>
          <w:iCs/>
        </w:rPr>
        <w:t>saldo en caja y bancos de la categoría Cierre Fiscal con respecto a los extractos bancario</w:t>
      </w:r>
      <w:r w:rsidR="00560728" w:rsidRPr="00DB281B">
        <w:rPr>
          <w:rFonts w:ascii="Arial" w:hAnsi="Arial" w:cs="Arial"/>
          <w:bCs/>
          <w:iCs/>
        </w:rPr>
        <w:t>s</w:t>
      </w:r>
      <w:r w:rsidR="00E04D07" w:rsidRPr="00DB281B">
        <w:rPr>
          <w:rFonts w:ascii="Arial" w:hAnsi="Arial" w:cs="Arial"/>
          <w:bCs/>
          <w:iCs/>
        </w:rPr>
        <w:t xml:space="preserve"> de las cuentas </w:t>
      </w:r>
      <w:r w:rsidR="00560728" w:rsidRPr="00DB281B">
        <w:rPr>
          <w:rFonts w:ascii="Arial" w:hAnsi="Arial" w:cs="Arial"/>
          <w:bCs/>
          <w:iCs/>
        </w:rPr>
        <w:t xml:space="preserve">maestras para la administración de los recursos SGP Educación, se reconocen diferencias por $17.694 millones, </w:t>
      </w:r>
      <w:r w:rsidR="00E17B15" w:rsidRPr="00DB281B">
        <w:rPr>
          <w:rFonts w:ascii="Arial" w:hAnsi="Arial" w:cs="Arial"/>
          <w:bCs/>
          <w:iCs/>
        </w:rPr>
        <w:t>siendo superior el valor reportado al FUT al saldo identificado en el extracto bancario de las cuentas maestras de la Entidad en el Sector Educación.</w:t>
      </w:r>
    </w:p>
    <w:p w14:paraId="4B73236D" w14:textId="7A70FD8A" w:rsidR="002C7B8F" w:rsidRDefault="002C7B8F" w:rsidP="00DB281B">
      <w:pPr>
        <w:pStyle w:val="Sinespaciado"/>
        <w:jc w:val="both"/>
        <w:rPr>
          <w:rFonts w:ascii="Arial" w:hAnsi="Arial" w:cs="Arial"/>
          <w:bCs/>
          <w:iCs/>
        </w:rPr>
      </w:pPr>
    </w:p>
    <w:p w14:paraId="41157C16" w14:textId="77777777" w:rsidR="002C7B8F" w:rsidRPr="001E77AA" w:rsidRDefault="002C7B8F" w:rsidP="002C7B8F">
      <w:pPr>
        <w:jc w:val="both"/>
        <w:rPr>
          <w:rFonts w:ascii="Arial" w:hAnsi="Arial" w:cs="Arial"/>
          <w:sz w:val="22"/>
          <w:szCs w:val="22"/>
          <w:lang w:val="es-ES_tradnl"/>
        </w:rPr>
      </w:pPr>
      <w:r w:rsidRPr="001E77AA">
        <w:rPr>
          <w:rFonts w:ascii="Arial" w:hAnsi="Arial" w:cs="Arial"/>
          <w:sz w:val="22"/>
          <w:szCs w:val="22"/>
          <w:lang w:val="es-ES_tradnl"/>
        </w:rPr>
        <w:t>Por lo anterior, las inconsistencias presentadas evidencian que los procesos de administración y reporte de información financiera por parte de la Entidad Territorial incumplen los requerimientos de la ley en términos de calidad, consistencia, coherencia y confiabilidad de las cifras frente a otras fuentes oficiales de información y en consecuencia se constituyen como una situación de riesgo que afecta el uso de los recursos del Sistema General de Participaciones - Educación.</w:t>
      </w:r>
    </w:p>
    <w:p w14:paraId="40A6435A" w14:textId="77777777" w:rsidR="0041698C" w:rsidRPr="00DB281B" w:rsidRDefault="0041698C" w:rsidP="00DB281B">
      <w:pPr>
        <w:jc w:val="both"/>
        <w:rPr>
          <w:rFonts w:ascii="Arial" w:hAnsi="Arial" w:cs="Arial"/>
          <w:bCs/>
          <w:sz w:val="22"/>
          <w:szCs w:val="22"/>
          <w:lang w:val="es-ES_tradnl"/>
        </w:rPr>
      </w:pPr>
    </w:p>
    <w:p w14:paraId="4572A43E" w14:textId="77777777" w:rsidR="0041698C" w:rsidRPr="00DB281B" w:rsidRDefault="0041698C" w:rsidP="00DB281B">
      <w:pPr>
        <w:jc w:val="both"/>
        <w:rPr>
          <w:rFonts w:ascii="Arial" w:hAnsi="Arial" w:cs="Arial"/>
          <w:sz w:val="22"/>
          <w:szCs w:val="22"/>
          <w:lang w:val="es-ES_tradnl"/>
        </w:rPr>
      </w:pPr>
      <w:r w:rsidRPr="00DB281B">
        <w:rPr>
          <w:rFonts w:ascii="Arial" w:hAnsi="Arial" w:cs="Arial"/>
          <w:b/>
          <w:sz w:val="22"/>
          <w:szCs w:val="22"/>
          <w:lang w:val="es-ES_tradnl"/>
        </w:rPr>
        <w:t xml:space="preserve">Evidencia: </w:t>
      </w:r>
      <w:r w:rsidRPr="00DB281B">
        <w:rPr>
          <w:rFonts w:ascii="Arial" w:hAnsi="Arial" w:cs="Arial"/>
          <w:sz w:val="22"/>
          <w:szCs w:val="22"/>
          <w:lang w:val="es-ES_tradnl"/>
        </w:rPr>
        <w:t xml:space="preserve">Obra en el expediente: </w:t>
      </w:r>
    </w:p>
    <w:p w14:paraId="5A13C27A" w14:textId="42A9A667" w:rsidR="0041698C" w:rsidRPr="00DB281B" w:rsidRDefault="0041698C"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lang w:val="es-ES_tradnl"/>
        </w:rPr>
        <w:t xml:space="preserve">FUT inversiones vigencia </w:t>
      </w:r>
      <w:r w:rsidR="000A4E13" w:rsidRPr="00DB281B">
        <w:rPr>
          <w:rFonts w:ascii="Arial" w:hAnsi="Arial" w:cs="Arial"/>
          <w:sz w:val="22"/>
          <w:szCs w:val="22"/>
          <w:lang w:val="es-ES_tradnl"/>
        </w:rPr>
        <w:t>2019</w:t>
      </w:r>
      <w:r w:rsidRPr="00DB281B">
        <w:rPr>
          <w:rFonts w:ascii="Arial" w:hAnsi="Arial" w:cs="Arial"/>
          <w:sz w:val="22"/>
          <w:szCs w:val="22"/>
          <w:lang w:val="es-ES_tradnl"/>
        </w:rPr>
        <w:t xml:space="preserve">. </w:t>
      </w:r>
    </w:p>
    <w:p w14:paraId="4318A800" w14:textId="4F741ED6" w:rsidR="0041698C" w:rsidRPr="00DB281B" w:rsidRDefault="0041698C"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lang w:val="es-ES_tradnl"/>
        </w:rPr>
        <w:t xml:space="preserve">FUT funcionamiento vigencia </w:t>
      </w:r>
      <w:r w:rsidR="000A4E13" w:rsidRPr="00DB281B">
        <w:rPr>
          <w:rFonts w:ascii="Arial" w:hAnsi="Arial" w:cs="Arial"/>
          <w:sz w:val="22"/>
          <w:szCs w:val="22"/>
          <w:lang w:val="es-ES_tradnl"/>
        </w:rPr>
        <w:t>2019</w:t>
      </w:r>
      <w:r w:rsidRPr="00DB281B">
        <w:rPr>
          <w:rFonts w:ascii="Arial" w:hAnsi="Arial" w:cs="Arial"/>
          <w:sz w:val="22"/>
          <w:szCs w:val="22"/>
          <w:lang w:val="es-ES_tradnl"/>
        </w:rPr>
        <w:t xml:space="preserve">. </w:t>
      </w:r>
    </w:p>
    <w:p w14:paraId="23F1CE23" w14:textId="3611F3E3" w:rsidR="0041698C" w:rsidRPr="00DB281B" w:rsidRDefault="0041698C" w:rsidP="00DB281B">
      <w:pPr>
        <w:pStyle w:val="Prrafodelista"/>
        <w:numPr>
          <w:ilvl w:val="0"/>
          <w:numId w:val="53"/>
        </w:numPr>
        <w:ind w:left="284" w:hanging="284"/>
        <w:jc w:val="both"/>
        <w:rPr>
          <w:rFonts w:ascii="Arial" w:hAnsi="Arial" w:cs="Arial"/>
          <w:sz w:val="22"/>
          <w:szCs w:val="22"/>
          <w:lang w:val="en-US"/>
        </w:rPr>
      </w:pPr>
      <w:r w:rsidRPr="00DB281B">
        <w:rPr>
          <w:rFonts w:ascii="Arial" w:hAnsi="Arial" w:cs="Arial"/>
          <w:sz w:val="22"/>
          <w:szCs w:val="22"/>
          <w:lang w:val="es-ES_tradnl"/>
        </w:rPr>
        <w:t xml:space="preserve">Ejecución Presupuestal Gastos vigencia </w:t>
      </w:r>
      <w:r w:rsidR="000A4E13" w:rsidRPr="00DB281B">
        <w:rPr>
          <w:rFonts w:ascii="Arial" w:hAnsi="Arial" w:cs="Arial"/>
          <w:sz w:val="22"/>
          <w:szCs w:val="22"/>
          <w:lang w:val="es-ES_tradnl"/>
        </w:rPr>
        <w:t>2019</w:t>
      </w:r>
      <w:r w:rsidRPr="00DB281B">
        <w:rPr>
          <w:rFonts w:ascii="Arial" w:hAnsi="Arial" w:cs="Arial"/>
          <w:sz w:val="22"/>
          <w:szCs w:val="22"/>
          <w:lang w:val="es-ES_tradnl"/>
        </w:rPr>
        <w:t xml:space="preserve">. </w:t>
      </w:r>
    </w:p>
    <w:p w14:paraId="0E7DC8CB" w14:textId="566FF50C" w:rsidR="0041698C" w:rsidRPr="00DB281B" w:rsidRDefault="0041698C"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lang w:val="es-ES_tradnl"/>
        </w:rPr>
        <w:t xml:space="preserve">Cierre de tesorería vigencia </w:t>
      </w:r>
      <w:r w:rsidR="00817371" w:rsidRPr="00DB281B">
        <w:rPr>
          <w:rFonts w:ascii="Arial" w:hAnsi="Arial" w:cs="Arial"/>
          <w:sz w:val="22"/>
          <w:szCs w:val="22"/>
          <w:lang w:val="es-ES_tradnl"/>
        </w:rPr>
        <w:t>2019</w:t>
      </w:r>
      <w:r w:rsidRPr="00DB281B">
        <w:rPr>
          <w:rFonts w:ascii="Arial" w:hAnsi="Arial" w:cs="Arial"/>
          <w:sz w:val="22"/>
          <w:szCs w:val="22"/>
          <w:lang w:val="es-ES_tradnl"/>
        </w:rPr>
        <w:t xml:space="preserve">. </w:t>
      </w:r>
    </w:p>
    <w:p w14:paraId="0A8CD071" w14:textId="39D64963" w:rsidR="0041698C" w:rsidRPr="00DB281B" w:rsidRDefault="0041698C"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lang w:val="es-ES_tradnl"/>
        </w:rPr>
        <w:t xml:space="preserve">FUT-Cierre de tesorería </w:t>
      </w:r>
      <w:r w:rsidR="00817371" w:rsidRPr="00DB281B">
        <w:rPr>
          <w:rFonts w:ascii="Arial" w:hAnsi="Arial" w:cs="Arial"/>
          <w:sz w:val="22"/>
          <w:szCs w:val="22"/>
          <w:lang w:val="es-ES_tradnl"/>
        </w:rPr>
        <w:t>2019</w:t>
      </w:r>
      <w:r w:rsidRPr="00DB281B">
        <w:rPr>
          <w:rFonts w:ascii="Arial" w:hAnsi="Arial" w:cs="Arial"/>
          <w:sz w:val="22"/>
          <w:szCs w:val="22"/>
          <w:lang w:val="es-ES_tradnl"/>
        </w:rPr>
        <w:t xml:space="preserve">. </w:t>
      </w:r>
    </w:p>
    <w:p w14:paraId="57253778" w14:textId="16648D1B" w:rsidR="0041698C" w:rsidRPr="00DB281B" w:rsidRDefault="0041698C"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lang w:val="es-ES_tradnl"/>
        </w:rPr>
        <w:t xml:space="preserve">FUT inversiones vigencia </w:t>
      </w:r>
      <w:r w:rsidR="00817371" w:rsidRPr="00DB281B">
        <w:rPr>
          <w:rFonts w:ascii="Arial" w:hAnsi="Arial" w:cs="Arial"/>
          <w:sz w:val="22"/>
          <w:szCs w:val="22"/>
          <w:lang w:val="es-ES_tradnl"/>
        </w:rPr>
        <w:t>2020</w:t>
      </w:r>
      <w:r w:rsidRPr="00DB281B">
        <w:rPr>
          <w:rFonts w:ascii="Arial" w:hAnsi="Arial" w:cs="Arial"/>
          <w:sz w:val="22"/>
          <w:szCs w:val="22"/>
          <w:lang w:val="es-ES_tradnl"/>
        </w:rPr>
        <w:t xml:space="preserve">. </w:t>
      </w:r>
    </w:p>
    <w:p w14:paraId="49CDEE2E" w14:textId="5422B450" w:rsidR="0041698C" w:rsidRPr="00DB281B" w:rsidRDefault="0041698C" w:rsidP="00DB281B">
      <w:pPr>
        <w:pStyle w:val="Prrafodelista"/>
        <w:numPr>
          <w:ilvl w:val="0"/>
          <w:numId w:val="53"/>
        </w:numPr>
        <w:ind w:left="284" w:hanging="284"/>
        <w:jc w:val="both"/>
        <w:rPr>
          <w:rFonts w:ascii="Arial" w:hAnsi="Arial" w:cs="Arial"/>
          <w:sz w:val="22"/>
          <w:szCs w:val="22"/>
          <w:lang w:val="en-US"/>
        </w:rPr>
      </w:pPr>
      <w:r w:rsidRPr="00DB281B">
        <w:rPr>
          <w:rFonts w:ascii="Arial" w:hAnsi="Arial" w:cs="Arial"/>
          <w:sz w:val="22"/>
          <w:szCs w:val="22"/>
          <w:lang w:val="es-ES_tradnl"/>
        </w:rPr>
        <w:t xml:space="preserve">FUT funcionamiento </w:t>
      </w:r>
      <w:r w:rsidR="00817371" w:rsidRPr="00DB281B">
        <w:rPr>
          <w:rFonts w:ascii="Arial" w:hAnsi="Arial" w:cs="Arial"/>
          <w:sz w:val="22"/>
          <w:szCs w:val="22"/>
          <w:lang w:val="es-ES_tradnl"/>
        </w:rPr>
        <w:t>2020</w:t>
      </w:r>
      <w:r w:rsidRPr="00DB281B">
        <w:rPr>
          <w:rFonts w:ascii="Arial" w:hAnsi="Arial" w:cs="Arial"/>
          <w:sz w:val="22"/>
          <w:szCs w:val="22"/>
          <w:lang w:val="es-ES_tradnl"/>
        </w:rPr>
        <w:t xml:space="preserve">. </w:t>
      </w:r>
    </w:p>
    <w:p w14:paraId="7C3730A6" w14:textId="216D36DF" w:rsidR="0041698C" w:rsidRPr="00DB281B" w:rsidRDefault="0041698C" w:rsidP="00DB281B">
      <w:pPr>
        <w:pStyle w:val="Prrafodelista"/>
        <w:numPr>
          <w:ilvl w:val="0"/>
          <w:numId w:val="53"/>
        </w:numPr>
        <w:ind w:left="284" w:hanging="284"/>
        <w:jc w:val="both"/>
        <w:rPr>
          <w:rFonts w:ascii="Arial" w:hAnsi="Arial" w:cs="Arial"/>
          <w:sz w:val="22"/>
          <w:szCs w:val="22"/>
          <w:lang w:val="en-US"/>
        </w:rPr>
      </w:pPr>
      <w:r w:rsidRPr="00DB281B">
        <w:rPr>
          <w:rFonts w:ascii="Arial" w:hAnsi="Arial" w:cs="Arial"/>
          <w:sz w:val="22"/>
          <w:szCs w:val="22"/>
          <w:lang w:val="es-ES_tradnl"/>
        </w:rPr>
        <w:t xml:space="preserve">Ejecución Presupuestal Gastos vigencia </w:t>
      </w:r>
      <w:r w:rsidR="00817371" w:rsidRPr="00DB281B">
        <w:rPr>
          <w:rFonts w:ascii="Arial" w:hAnsi="Arial" w:cs="Arial"/>
          <w:sz w:val="22"/>
          <w:szCs w:val="22"/>
          <w:lang w:val="es-ES_tradnl"/>
        </w:rPr>
        <w:t>2020</w:t>
      </w:r>
      <w:r w:rsidRPr="00DB281B">
        <w:rPr>
          <w:rFonts w:ascii="Arial" w:hAnsi="Arial" w:cs="Arial"/>
          <w:sz w:val="22"/>
          <w:szCs w:val="22"/>
          <w:lang w:val="es-ES_tradnl"/>
        </w:rPr>
        <w:t xml:space="preserve">. </w:t>
      </w:r>
    </w:p>
    <w:p w14:paraId="6C525D9E" w14:textId="4B7102DF" w:rsidR="0041698C" w:rsidRPr="00DB281B" w:rsidRDefault="0041698C"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lang w:val="es-ES_tradnl"/>
        </w:rPr>
        <w:t xml:space="preserve">Cierre de tesorería vigencia </w:t>
      </w:r>
      <w:r w:rsidR="00817371" w:rsidRPr="00DB281B">
        <w:rPr>
          <w:rFonts w:ascii="Arial" w:hAnsi="Arial" w:cs="Arial"/>
          <w:sz w:val="22"/>
          <w:szCs w:val="22"/>
          <w:lang w:val="es-ES_tradnl"/>
        </w:rPr>
        <w:t>2020</w:t>
      </w:r>
      <w:r w:rsidRPr="00DB281B">
        <w:rPr>
          <w:rFonts w:ascii="Arial" w:hAnsi="Arial" w:cs="Arial"/>
          <w:sz w:val="22"/>
          <w:szCs w:val="22"/>
          <w:lang w:val="es-ES_tradnl"/>
        </w:rPr>
        <w:t xml:space="preserve">. </w:t>
      </w:r>
    </w:p>
    <w:p w14:paraId="2EDE666B" w14:textId="7C20DBCE" w:rsidR="0041698C" w:rsidRPr="00DB281B" w:rsidRDefault="0041698C"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lang w:val="es-ES_tradnl"/>
        </w:rPr>
        <w:t xml:space="preserve">FUT-Cierre de tesorería </w:t>
      </w:r>
      <w:r w:rsidR="00817371" w:rsidRPr="00DB281B">
        <w:rPr>
          <w:rFonts w:ascii="Arial" w:hAnsi="Arial" w:cs="Arial"/>
          <w:sz w:val="22"/>
          <w:szCs w:val="22"/>
          <w:lang w:val="es-ES_tradnl"/>
        </w:rPr>
        <w:t>2020</w:t>
      </w:r>
      <w:r w:rsidRPr="00DB281B">
        <w:rPr>
          <w:rFonts w:ascii="Arial" w:hAnsi="Arial" w:cs="Arial"/>
          <w:sz w:val="22"/>
          <w:szCs w:val="22"/>
          <w:lang w:val="es-ES_tradnl"/>
        </w:rPr>
        <w:t xml:space="preserve">. </w:t>
      </w:r>
    </w:p>
    <w:p w14:paraId="6A185AB9" w14:textId="77777777" w:rsidR="0041698C" w:rsidRPr="00DB281B" w:rsidRDefault="0041698C" w:rsidP="00DB281B">
      <w:pPr>
        <w:rPr>
          <w:rFonts w:ascii="Arial" w:hAnsi="Arial" w:cs="Arial"/>
          <w:sz w:val="22"/>
          <w:szCs w:val="22"/>
          <w:lang w:val="es-ES_tradnl"/>
        </w:rPr>
      </w:pPr>
    </w:p>
    <w:p w14:paraId="435D66FD" w14:textId="77777777" w:rsidR="0041698C" w:rsidRPr="00DB281B" w:rsidRDefault="0041698C" w:rsidP="00DB281B">
      <w:pPr>
        <w:pStyle w:val="Ttulo2"/>
        <w:numPr>
          <w:ilvl w:val="0"/>
          <w:numId w:val="10"/>
        </w:numPr>
        <w:spacing w:before="0"/>
        <w:ind w:left="426" w:hanging="426"/>
        <w:rPr>
          <w:rFonts w:ascii="Arial" w:hAnsi="Arial" w:cs="Arial"/>
          <w:b/>
          <w:color w:val="FF0000"/>
          <w:sz w:val="22"/>
          <w:szCs w:val="22"/>
          <w:lang w:val="es-ES_tradnl"/>
        </w:rPr>
      </w:pPr>
      <w:r w:rsidRPr="00DB281B">
        <w:rPr>
          <w:rFonts w:ascii="Arial" w:hAnsi="Arial" w:cs="Arial"/>
          <w:b/>
          <w:color w:val="auto"/>
          <w:sz w:val="22"/>
          <w:szCs w:val="22"/>
          <w:lang w:val="es-ES_tradnl"/>
        </w:rPr>
        <w:t>Aspectos Financieros y Fiscales</w:t>
      </w:r>
    </w:p>
    <w:p w14:paraId="7144D472" w14:textId="77777777" w:rsidR="0041698C" w:rsidRPr="00DB281B" w:rsidRDefault="0041698C" w:rsidP="00DB281B">
      <w:pPr>
        <w:rPr>
          <w:rFonts w:ascii="Arial" w:hAnsi="Arial" w:cs="Arial"/>
          <w:b/>
          <w:sz w:val="22"/>
          <w:szCs w:val="22"/>
          <w:lang w:val="es-ES_tradnl"/>
        </w:rPr>
      </w:pPr>
    </w:p>
    <w:p w14:paraId="7896FFC3" w14:textId="77777777" w:rsidR="0041698C" w:rsidRPr="00DB281B" w:rsidRDefault="0041698C" w:rsidP="00DB281B">
      <w:pPr>
        <w:pStyle w:val="Ttulo3"/>
        <w:numPr>
          <w:ilvl w:val="1"/>
          <w:numId w:val="10"/>
        </w:numPr>
        <w:spacing w:before="0"/>
        <w:ind w:left="426" w:hanging="426"/>
        <w:jc w:val="both"/>
        <w:rPr>
          <w:rFonts w:ascii="Arial" w:hAnsi="Arial" w:cs="Arial"/>
          <w:b/>
          <w:color w:val="FF0000"/>
          <w:sz w:val="22"/>
          <w:szCs w:val="22"/>
          <w:lang w:val="es-ES_tradnl"/>
        </w:rPr>
      </w:pPr>
      <w:r w:rsidRPr="00DB281B">
        <w:rPr>
          <w:rFonts w:ascii="Arial" w:hAnsi="Arial" w:cs="Arial"/>
          <w:b/>
          <w:color w:val="auto"/>
          <w:sz w:val="22"/>
          <w:szCs w:val="22"/>
          <w:lang w:val="es-ES_tradnl"/>
        </w:rPr>
        <w:t>Cambio en la destinación de recursos.</w:t>
      </w:r>
    </w:p>
    <w:p w14:paraId="53DEE0D6" w14:textId="77777777" w:rsidR="0041698C" w:rsidRPr="00DB281B" w:rsidRDefault="0041698C" w:rsidP="00DB281B">
      <w:pPr>
        <w:jc w:val="both"/>
        <w:rPr>
          <w:rFonts w:ascii="Arial" w:hAnsi="Arial" w:cs="Arial"/>
          <w:sz w:val="22"/>
          <w:szCs w:val="22"/>
          <w:lang w:val="es-ES_tradnl"/>
        </w:rPr>
      </w:pPr>
    </w:p>
    <w:p w14:paraId="378241E8" w14:textId="77777777" w:rsidR="002C7B8F" w:rsidRPr="001E77AA" w:rsidRDefault="002C7B8F" w:rsidP="002C7B8F">
      <w:pPr>
        <w:jc w:val="both"/>
        <w:rPr>
          <w:rFonts w:ascii="Arial" w:eastAsia="Times New Roman" w:hAnsi="Arial" w:cs="Arial"/>
          <w:sz w:val="22"/>
          <w:szCs w:val="22"/>
          <w:lang w:val="es-CO" w:eastAsia="en-US"/>
        </w:rPr>
      </w:pPr>
      <w:r w:rsidRPr="001E77AA">
        <w:rPr>
          <w:rFonts w:ascii="Arial" w:eastAsia="Times New Roman" w:hAnsi="Arial" w:cs="Arial"/>
          <w:sz w:val="22"/>
          <w:szCs w:val="22"/>
          <w:lang w:val="es-CO" w:eastAsia="en-US"/>
        </w:rPr>
        <w:t xml:space="preserve">El artículo 15 de la Ley 715 de 2001 establece como conceptos de gasto financiable con los recursos del Sistema General de Participaciones para el Sector Educación: a) el pago del personal docente y administrativo de las instituciones educativas públicas, las contribuciones inherentes a la nómina y sus prestaciones sociales, b) la construcción de la infraestructura, mantenimiento, pago de servicios públicos y funcionamiento de las instituciones educativas; c) la provisión de la Canasta Educativa y d) las destinadas a mantener, evaluar y promover la Calidad Educativa. Así mismo, el artículo en mención </w:t>
      </w:r>
      <w:r w:rsidRPr="001E77AA">
        <w:rPr>
          <w:rFonts w:ascii="Arial" w:eastAsia="Times New Roman" w:hAnsi="Arial" w:cs="Arial"/>
          <w:sz w:val="22"/>
          <w:szCs w:val="22"/>
          <w:lang w:val="es-CO" w:eastAsia="en-US"/>
        </w:rPr>
        <w:lastRenderedPageBreak/>
        <w:t>señala que una vez cubiertos los gastos correspondientes a la Prestación del Servicio, los recursos pueden destinarse a la financiación del Transporte Escolar, cuando se requiera.</w:t>
      </w:r>
    </w:p>
    <w:p w14:paraId="2EB2AE2C" w14:textId="77777777" w:rsidR="00A915EF" w:rsidRPr="00DB281B" w:rsidRDefault="00A915EF" w:rsidP="00DB281B">
      <w:pPr>
        <w:jc w:val="both"/>
        <w:rPr>
          <w:rFonts w:ascii="Arial" w:hAnsi="Arial" w:cs="Arial"/>
          <w:color w:val="000000"/>
          <w:sz w:val="22"/>
          <w:szCs w:val="22"/>
          <w:lang w:val="es-CO"/>
        </w:rPr>
      </w:pPr>
    </w:p>
    <w:p w14:paraId="317492C2" w14:textId="17D09325" w:rsidR="00C50267"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Aunado a lo anterior, los recursos del Sistema General de Participaciones son rentas con destinación específica que, conforme a lo establecido por el numeral primero del artículo tercero de la Ley 617 de 2000 son las destinadas por ley o acto administrativo, de las corporaciones públicas de nivel territorial, a un fin determinado, por tanto, ningún otro acto bien sea una circular o directiva ministerial podrá crear nuevas destinaciones a estos recursos.</w:t>
      </w:r>
    </w:p>
    <w:p w14:paraId="37A9BF05" w14:textId="77777777" w:rsidR="00A915EF" w:rsidRPr="00DB281B" w:rsidRDefault="00A915EF" w:rsidP="00DB281B">
      <w:pPr>
        <w:jc w:val="both"/>
        <w:rPr>
          <w:rFonts w:ascii="Arial" w:hAnsi="Arial" w:cs="Arial"/>
          <w:color w:val="000000"/>
          <w:sz w:val="22"/>
          <w:szCs w:val="22"/>
          <w:lang w:val="es-CO"/>
        </w:rPr>
      </w:pPr>
    </w:p>
    <w:p w14:paraId="16E9A4B5" w14:textId="1908E193" w:rsidR="0005207D"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Así, de</w:t>
      </w:r>
      <w:r w:rsidR="00A915EF" w:rsidRPr="00DB281B">
        <w:rPr>
          <w:rFonts w:ascii="Arial" w:hAnsi="Arial" w:cs="Arial"/>
          <w:color w:val="000000"/>
          <w:sz w:val="22"/>
          <w:szCs w:val="22"/>
          <w:lang w:val="es-CO"/>
        </w:rPr>
        <w:t>l análisis efectuado</w:t>
      </w:r>
      <w:r w:rsidR="0005207D" w:rsidRPr="00DB281B">
        <w:rPr>
          <w:rFonts w:ascii="Arial" w:hAnsi="Arial" w:cs="Arial"/>
          <w:color w:val="000000"/>
          <w:sz w:val="22"/>
          <w:szCs w:val="22"/>
          <w:lang w:val="es-CO"/>
        </w:rPr>
        <w:t xml:space="preserve"> a los procesos contractuales </w:t>
      </w:r>
      <w:r w:rsidR="002C7B8F">
        <w:rPr>
          <w:rFonts w:ascii="Arial" w:hAnsi="Arial" w:cs="Arial"/>
          <w:color w:val="000000"/>
          <w:sz w:val="22"/>
          <w:szCs w:val="22"/>
          <w:lang w:val="es-CO"/>
        </w:rPr>
        <w:t xml:space="preserve">adelantados </w:t>
      </w:r>
      <w:r w:rsidR="0005207D" w:rsidRPr="00DB281B">
        <w:rPr>
          <w:rFonts w:ascii="Arial" w:hAnsi="Arial" w:cs="Arial"/>
          <w:color w:val="000000"/>
          <w:sz w:val="22"/>
          <w:szCs w:val="22"/>
          <w:lang w:val="es-CO"/>
        </w:rPr>
        <w:t>por la Entidad durante las vigencias 2019, 2020 y a corte de marzo de 2021</w:t>
      </w:r>
      <w:r w:rsidR="00A915EF" w:rsidRPr="00DB281B">
        <w:rPr>
          <w:rFonts w:ascii="Arial" w:hAnsi="Arial" w:cs="Arial"/>
          <w:color w:val="000000"/>
          <w:sz w:val="22"/>
          <w:szCs w:val="22"/>
          <w:lang w:val="es-CO"/>
        </w:rPr>
        <w:t>, se identifican l</w:t>
      </w:r>
      <w:r w:rsidR="0005207D" w:rsidRPr="00DB281B">
        <w:rPr>
          <w:rFonts w:ascii="Arial" w:hAnsi="Arial" w:cs="Arial"/>
          <w:color w:val="000000"/>
          <w:sz w:val="22"/>
          <w:szCs w:val="22"/>
          <w:lang w:val="es-CO"/>
        </w:rPr>
        <w:t xml:space="preserve">os siguientes hallazgos: </w:t>
      </w:r>
    </w:p>
    <w:p w14:paraId="3CE5EBC2" w14:textId="77777777" w:rsidR="0005207D" w:rsidRPr="00DB281B" w:rsidRDefault="0005207D" w:rsidP="00DB281B">
      <w:pPr>
        <w:jc w:val="both"/>
        <w:rPr>
          <w:rFonts w:ascii="Arial" w:hAnsi="Arial" w:cs="Arial"/>
          <w:color w:val="000000"/>
          <w:sz w:val="22"/>
          <w:szCs w:val="22"/>
          <w:lang w:val="es-CO"/>
        </w:rPr>
      </w:pPr>
    </w:p>
    <w:p w14:paraId="13581705" w14:textId="7F93817C" w:rsidR="0005207D" w:rsidRPr="00DB281B" w:rsidRDefault="00BD604D" w:rsidP="00DB281B">
      <w:pPr>
        <w:jc w:val="both"/>
        <w:rPr>
          <w:rFonts w:ascii="Arial" w:hAnsi="Arial" w:cs="Arial"/>
          <w:i/>
          <w:iCs/>
          <w:color w:val="000000"/>
          <w:sz w:val="22"/>
          <w:szCs w:val="22"/>
          <w:u w:val="single"/>
          <w:lang w:val="es-CO"/>
        </w:rPr>
      </w:pPr>
      <w:r w:rsidRPr="00DB281B">
        <w:rPr>
          <w:rFonts w:ascii="Arial" w:hAnsi="Arial" w:cs="Arial"/>
          <w:i/>
          <w:iCs/>
          <w:color w:val="000000"/>
          <w:sz w:val="22"/>
          <w:szCs w:val="22"/>
          <w:u w:val="single"/>
          <w:lang w:val="es-CO"/>
        </w:rPr>
        <w:t>Adquisición de póliza de seguro para los estudiantes de las instituciones educativas oficiales de su jurisdicción</w:t>
      </w:r>
    </w:p>
    <w:p w14:paraId="51E5E835" w14:textId="77777777" w:rsidR="0005207D" w:rsidRPr="00DB281B" w:rsidRDefault="0005207D" w:rsidP="00DB281B">
      <w:pPr>
        <w:jc w:val="both"/>
        <w:rPr>
          <w:rFonts w:ascii="Arial" w:hAnsi="Arial" w:cs="Arial"/>
          <w:color w:val="000000"/>
          <w:sz w:val="22"/>
          <w:szCs w:val="22"/>
          <w:lang w:val="es-CO"/>
        </w:rPr>
      </w:pPr>
    </w:p>
    <w:p w14:paraId="0264CD5B" w14:textId="643296BA" w:rsidR="00C50267" w:rsidRPr="00DB281B" w:rsidRDefault="00727047" w:rsidP="00DB281B">
      <w:pPr>
        <w:jc w:val="both"/>
        <w:rPr>
          <w:rFonts w:ascii="Arial" w:hAnsi="Arial" w:cs="Arial"/>
          <w:i/>
          <w:color w:val="000000"/>
          <w:sz w:val="22"/>
          <w:szCs w:val="22"/>
          <w:lang w:val="es-CO"/>
        </w:rPr>
      </w:pPr>
      <w:r w:rsidRPr="00DB281B">
        <w:rPr>
          <w:rFonts w:ascii="Arial" w:hAnsi="Arial" w:cs="Arial"/>
          <w:color w:val="000000"/>
          <w:sz w:val="22"/>
          <w:szCs w:val="22"/>
          <w:lang w:val="es-CO"/>
        </w:rPr>
        <w:t xml:space="preserve">Se identifica un incorrecto uso de los recursos de la participación en el </w:t>
      </w:r>
      <w:r w:rsidR="00BD604D" w:rsidRPr="00DB281B">
        <w:rPr>
          <w:rFonts w:ascii="Arial" w:hAnsi="Arial" w:cs="Arial"/>
          <w:color w:val="000000"/>
          <w:sz w:val="22"/>
          <w:szCs w:val="22"/>
          <w:lang w:val="es-CO"/>
        </w:rPr>
        <w:t>c</w:t>
      </w:r>
      <w:r w:rsidR="00C50267" w:rsidRPr="00DB281B">
        <w:rPr>
          <w:rFonts w:ascii="Arial" w:hAnsi="Arial" w:cs="Arial"/>
          <w:color w:val="000000"/>
          <w:sz w:val="22"/>
          <w:szCs w:val="22"/>
          <w:lang w:val="es-CO"/>
        </w:rPr>
        <w:t xml:space="preserve">ontrato No. SE-CMC-096-2019 del 08 de abril del 2019, con objeto contractual </w:t>
      </w:r>
      <w:r w:rsidR="00C50267" w:rsidRPr="00DB281B">
        <w:rPr>
          <w:rFonts w:ascii="Arial" w:hAnsi="Arial" w:cs="Arial"/>
          <w:i/>
          <w:color w:val="000000"/>
          <w:sz w:val="22"/>
          <w:szCs w:val="22"/>
          <w:lang w:val="es-CO"/>
        </w:rPr>
        <w:t>“Adquisición de una póliza de accidentes personales para otorgar cobertura a los niños y/o niñas matriculados en las instituciones educativas oficiales de los municipios no certificados del departamento, que participen en las diferentes salidas pedagógicas programadas”</w:t>
      </w:r>
      <w:r w:rsidR="00C50267" w:rsidRPr="00DB281B">
        <w:rPr>
          <w:rFonts w:ascii="Arial" w:hAnsi="Arial" w:cs="Arial"/>
          <w:color w:val="000000"/>
          <w:sz w:val="22"/>
          <w:szCs w:val="22"/>
          <w:lang w:val="es-CO"/>
        </w:rPr>
        <w:t xml:space="preserve"> por un valor total de $56 millones, pagados con recursos del SGP- Educación. </w:t>
      </w:r>
    </w:p>
    <w:p w14:paraId="746FD58E" w14:textId="77777777" w:rsidR="00DB281B" w:rsidRDefault="00DB281B" w:rsidP="00DB281B">
      <w:pPr>
        <w:jc w:val="both"/>
        <w:rPr>
          <w:rFonts w:ascii="Arial" w:hAnsi="Arial" w:cs="Arial"/>
          <w:color w:val="000000"/>
          <w:sz w:val="22"/>
          <w:szCs w:val="22"/>
          <w:lang w:val="es-CO"/>
        </w:rPr>
      </w:pPr>
    </w:p>
    <w:p w14:paraId="7026C7AA" w14:textId="4BE39249" w:rsidR="00C50267" w:rsidRPr="00DB281B" w:rsidRDefault="00C50267" w:rsidP="00DB281B">
      <w:pPr>
        <w:jc w:val="both"/>
        <w:rPr>
          <w:rFonts w:ascii="Arial" w:hAnsi="Arial" w:cs="Arial"/>
          <w:i/>
          <w:color w:val="000000"/>
          <w:sz w:val="22"/>
          <w:szCs w:val="22"/>
          <w:lang w:val="es-CO"/>
        </w:rPr>
      </w:pPr>
      <w:r w:rsidRPr="00DB281B">
        <w:rPr>
          <w:rFonts w:ascii="Arial" w:hAnsi="Arial" w:cs="Arial"/>
          <w:color w:val="000000"/>
          <w:sz w:val="22"/>
          <w:szCs w:val="22"/>
          <w:lang w:val="es-CO"/>
        </w:rPr>
        <w:t>Frente a este tipo de servicios, el Ministerio de Educación Nacional expidió la directiva ministerial No. 055 del 18 de diciembre del 2014, en la cual brinda una serie de recomendaciones a tener en cuenta por las entidades territoriales y establecimientos educativos para la planeación, desarrollo y evaluación de las salidas escolares; dentro de estas se encuentra: “</w:t>
      </w:r>
      <w:r w:rsidRPr="00DB281B">
        <w:rPr>
          <w:rFonts w:ascii="Arial" w:hAnsi="Arial" w:cs="Arial"/>
          <w:i/>
          <w:color w:val="000000"/>
          <w:sz w:val="22"/>
          <w:szCs w:val="22"/>
          <w:lang w:val="es-CO"/>
        </w:rPr>
        <w:t xml:space="preserve">tomar pólizas de seguro que amparen los riesgos que pudieren ocasionarse, siempre y cuando las características de la Salida Escolar lo demanden”. </w:t>
      </w:r>
    </w:p>
    <w:p w14:paraId="747FD58B" w14:textId="77777777" w:rsidR="00727047" w:rsidRPr="00DB281B" w:rsidRDefault="00727047" w:rsidP="00DB281B">
      <w:pPr>
        <w:jc w:val="both"/>
        <w:rPr>
          <w:rFonts w:ascii="Arial" w:hAnsi="Arial" w:cs="Arial"/>
          <w:color w:val="000000"/>
          <w:sz w:val="22"/>
          <w:szCs w:val="22"/>
          <w:lang w:val="es-CO"/>
        </w:rPr>
      </w:pPr>
    </w:p>
    <w:p w14:paraId="1AC6BA07" w14:textId="67303506" w:rsidR="00C50267"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 xml:space="preserve">Al respecto, el decreto 1075 del 2015 en el artículo </w:t>
      </w:r>
      <w:r w:rsidRPr="00DB281B">
        <w:rPr>
          <w:rFonts w:ascii="Arial" w:hAnsi="Arial" w:cs="Arial"/>
          <w:bCs/>
          <w:sz w:val="22"/>
          <w:szCs w:val="22"/>
          <w:lang w:val="es-CO"/>
        </w:rPr>
        <w:t>2.3.1.6.3.11.</w:t>
      </w:r>
      <w:r w:rsidRPr="00DB281B">
        <w:rPr>
          <w:rFonts w:ascii="Arial" w:hAnsi="Arial" w:cs="Arial"/>
          <w:i/>
          <w:color w:val="000000"/>
          <w:sz w:val="22"/>
          <w:szCs w:val="22"/>
          <w:lang w:val="es-CO"/>
        </w:rPr>
        <w:t xml:space="preserve"> </w:t>
      </w:r>
      <w:r w:rsidRPr="00DB281B">
        <w:rPr>
          <w:rFonts w:ascii="Arial" w:hAnsi="Arial" w:cs="Arial"/>
          <w:color w:val="000000"/>
          <w:sz w:val="22"/>
          <w:szCs w:val="22"/>
          <w:lang w:val="es-CO"/>
        </w:rPr>
        <w:t xml:space="preserve">establece los conceptos legalmente permitidos para la utilización de los recursos asignados al fondo de servicios educativos de los establecimientos educativos, dentro de los cuales se encuentran: </w:t>
      </w:r>
    </w:p>
    <w:p w14:paraId="3F6F0703" w14:textId="77777777" w:rsidR="00727047" w:rsidRPr="00DB281B" w:rsidRDefault="00727047" w:rsidP="00DB281B">
      <w:pPr>
        <w:jc w:val="both"/>
        <w:rPr>
          <w:rFonts w:ascii="Arial" w:hAnsi="Arial" w:cs="Arial"/>
          <w:color w:val="000000"/>
          <w:sz w:val="22"/>
          <w:szCs w:val="22"/>
          <w:lang w:val="es-CO"/>
        </w:rPr>
      </w:pPr>
    </w:p>
    <w:p w14:paraId="54DB4CEC" w14:textId="2DEA1AAF" w:rsidR="00C50267" w:rsidRPr="00DB281B" w:rsidRDefault="00C50267" w:rsidP="00DB281B">
      <w:pPr>
        <w:ind w:left="709"/>
        <w:jc w:val="both"/>
        <w:rPr>
          <w:rFonts w:ascii="Arial" w:hAnsi="Arial" w:cs="Arial"/>
          <w:i/>
          <w:color w:val="000000"/>
          <w:sz w:val="18"/>
          <w:szCs w:val="22"/>
          <w:lang w:val="es-CO"/>
        </w:rPr>
      </w:pPr>
      <w:r w:rsidRPr="00DB281B">
        <w:rPr>
          <w:rFonts w:ascii="Arial" w:hAnsi="Arial" w:cs="Arial"/>
          <w:i/>
          <w:color w:val="000000"/>
          <w:sz w:val="18"/>
          <w:szCs w:val="22"/>
          <w:lang w:val="es-CO"/>
        </w:rPr>
        <w:t>“9. Gastos de viaje de los educandos tales como transporte, hospedaje y manutención, cuando sean aprobados por el consejo directivo de conformidad con el reglamento interno de la institución. Los costos que deban asumirse por tal concepto podrán incluir los gastos del docente acompañante, siempre y cuando la comisión otorgada por la entidad territorial no haya generado el pago de viáticos.</w:t>
      </w:r>
    </w:p>
    <w:p w14:paraId="090E83D8" w14:textId="57C505A3" w:rsidR="00727047" w:rsidRPr="00DB281B" w:rsidRDefault="003C5349" w:rsidP="00DB281B">
      <w:pPr>
        <w:ind w:left="709"/>
        <w:jc w:val="both"/>
        <w:rPr>
          <w:rFonts w:ascii="Arial" w:hAnsi="Arial" w:cs="Arial"/>
          <w:i/>
          <w:color w:val="000000"/>
          <w:sz w:val="18"/>
          <w:szCs w:val="22"/>
          <w:lang w:val="es-CO"/>
        </w:rPr>
      </w:pPr>
      <w:r>
        <w:rPr>
          <w:rFonts w:ascii="Arial" w:hAnsi="Arial" w:cs="Arial"/>
          <w:i/>
          <w:color w:val="000000"/>
          <w:sz w:val="18"/>
          <w:szCs w:val="22"/>
          <w:lang w:val="es-CO"/>
        </w:rPr>
        <w:t>(…)</w:t>
      </w:r>
    </w:p>
    <w:p w14:paraId="7C22E447" w14:textId="067C8ED8" w:rsidR="00C50267" w:rsidRPr="00DB281B" w:rsidRDefault="00C50267" w:rsidP="003C5349">
      <w:pPr>
        <w:ind w:left="709"/>
        <w:jc w:val="both"/>
        <w:rPr>
          <w:rFonts w:ascii="Arial" w:hAnsi="Arial" w:cs="Arial"/>
          <w:color w:val="000000"/>
          <w:sz w:val="18"/>
          <w:szCs w:val="22"/>
          <w:lang w:val="es-CO"/>
        </w:rPr>
      </w:pPr>
      <w:r w:rsidRPr="00DB281B">
        <w:rPr>
          <w:rFonts w:ascii="Arial" w:hAnsi="Arial" w:cs="Arial"/>
          <w:i/>
          <w:color w:val="000000"/>
          <w:sz w:val="18"/>
          <w:szCs w:val="22"/>
          <w:lang w:val="es-CO"/>
        </w:rPr>
        <w:t>12. Realización de actividades pedagógicas, científicas, deportivas y culturales para los educandos, en las cuantías autorizadas por el consejo directivo</w:t>
      </w:r>
      <w:r w:rsidRPr="00DB281B">
        <w:rPr>
          <w:rFonts w:ascii="Arial" w:hAnsi="Arial" w:cs="Arial"/>
          <w:color w:val="000000"/>
          <w:sz w:val="18"/>
          <w:szCs w:val="22"/>
          <w:lang w:val="es-CO"/>
        </w:rPr>
        <w:t>.”</w:t>
      </w:r>
    </w:p>
    <w:p w14:paraId="6979220D" w14:textId="77777777" w:rsidR="00727047" w:rsidRPr="00DB281B" w:rsidRDefault="00727047" w:rsidP="00DB281B">
      <w:pPr>
        <w:jc w:val="both"/>
        <w:rPr>
          <w:rFonts w:ascii="Arial" w:hAnsi="Arial" w:cs="Arial"/>
          <w:color w:val="000000"/>
          <w:sz w:val="22"/>
          <w:szCs w:val="22"/>
          <w:lang w:val="es-CO"/>
        </w:rPr>
      </w:pPr>
    </w:p>
    <w:p w14:paraId="619C833C" w14:textId="7D6439D6" w:rsidR="00C50267"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 xml:space="preserve">Frente a lo cual, las pólizas de seguro adquiridas por el Departamento de </w:t>
      </w:r>
      <w:r w:rsidR="00727047" w:rsidRPr="00DB281B">
        <w:rPr>
          <w:rFonts w:ascii="Arial" w:hAnsi="Arial" w:cs="Arial"/>
          <w:color w:val="000000"/>
          <w:sz w:val="22"/>
          <w:szCs w:val="22"/>
          <w:lang w:val="es-CO"/>
        </w:rPr>
        <w:t>Cundinamarca</w:t>
      </w:r>
      <w:r w:rsidRPr="00DB281B">
        <w:rPr>
          <w:rFonts w:ascii="Arial" w:hAnsi="Arial" w:cs="Arial"/>
          <w:color w:val="000000"/>
          <w:sz w:val="22"/>
          <w:szCs w:val="22"/>
          <w:lang w:val="es-CO"/>
        </w:rPr>
        <w:t xml:space="preserve"> podrían entenderse como un gasto inherente a los gastos de viaje de los educandos, teniendo en cuenta las orientaciones brindadas en la directiva ministerial 055 del 2014, y por lo tanto una erogación a financiarse únicamente a través de los recursos de los FOSES, y con amparo determinado en los estudiantes y/o profesores acompañantes. </w:t>
      </w:r>
    </w:p>
    <w:p w14:paraId="666B8173" w14:textId="77777777" w:rsidR="007C6DE5" w:rsidRPr="00DB281B" w:rsidRDefault="007C6DE5" w:rsidP="00DB281B">
      <w:pPr>
        <w:jc w:val="both"/>
        <w:rPr>
          <w:rFonts w:ascii="Arial" w:hAnsi="Arial" w:cs="Arial"/>
          <w:color w:val="000000"/>
          <w:sz w:val="22"/>
          <w:szCs w:val="22"/>
          <w:lang w:val="es-CO"/>
        </w:rPr>
      </w:pPr>
    </w:p>
    <w:p w14:paraId="1DCBF290" w14:textId="7056AB1C" w:rsidR="00C50267"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lastRenderedPageBreak/>
        <w:t xml:space="preserve">Adicionalmente, llama la atención que, en los estudios previos del proceso, se encuentra que el alcance del contrato abarca tanto a los educandos como al conductor de los mismos, tercero que no se encuentra contemplado dentro del alcance </w:t>
      </w:r>
      <w:r w:rsidR="003C5349">
        <w:rPr>
          <w:rFonts w:ascii="Arial" w:hAnsi="Arial" w:cs="Arial"/>
          <w:color w:val="000000"/>
          <w:sz w:val="22"/>
          <w:szCs w:val="22"/>
          <w:lang w:val="es-CO"/>
        </w:rPr>
        <w:t xml:space="preserve">de </w:t>
      </w:r>
      <w:r w:rsidRPr="00DB281B">
        <w:rPr>
          <w:rFonts w:ascii="Arial" w:hAnsi="Arial" w:cs="Arial"/>
          <w:color w:val="000000"/>
          <w:sz w:val="22"/>
          <w:szCs w:val="22"/>
          <w:lang w:val="es-CO"/>
        </w:rPr>
        <w:t>la normatividad</w:t>
      </w:r>
      <w:r w:rsidR="003C5349">
        <w:rPr>
          <w:rFonts w:ascii="Arial" w:hAnsi="Arial" w:cs="Arial"/>
          <w:color w:val="000000"/>
          <w:sz w:val="22"/>
          <w:szCs w:val="22"/>
          <w:lang w:val="es-CO"/>
        </w:rPr>
        <w:t xml:space="preserve"> descrita</w:t>
      </w:r>
      <w:r w:rsidRPr="00DB281B">
        <w:rPr>
          <w:rFonts w:ascii="Arial" w:hAnsi="Arial" w:cs="Arial"/>
          <w:color w:val="000000"/>
          <w:sz w:val="22"/>
          <w:szCs w:val="22"/>
          <w:lang w:val="es-CO"/>
        </w:rPr>
        <w:t xml:space="preserve">, como se observa a continuación: </w:t>
      </w:r>
    </w:p>
    <w:p w14:paraId="30F331AB" w14:textId="77777777" w:rsidR="0069132F" w:rsidRPr="00DB281B" w:rsidRDefault="0069132F" w:rsidP="00DB281B">
      <w:pPr>
        <w:jc w:val="both"/>
        <w:rPr>
          <w:rFonts w:ascii="Arial" w:hAnsi="Arial" w:cs="Arial"/>
          <w:color w:val="000000"/>
          <w:sz w:val="22"/>
          <w:szCs w:val="22"/>
          <w:lang w:val="es-CO"/>
        </w:rPr>
      </w:pPr>
    </w:p>
    <w:p w14:paraId="342533E3" w14:textId="77777777" w:rsidR="00C50267" w:rsidRPr="00DB281B" w:rsidRDefault="00C50267" w:rsidP="00DB281B">
      <w:pPr>
        <w:jc w:val="center"/>
        <w:rPr>
          <w:rFonts w:ascii="Arial" w:hAnsi="Arial" w:cs="Arial"/>
          <w:color w:val="000000"/>
          <w:sz w:val="22"/>
          <w:szCs w:val="22"/>
          <w:lang w:val="es-CO"/>
        </w:rPr>
      </w:pPr>
      <w:r w:rsidRPr="00DB281B">
        <w:rPr>
          <w:rFonts w:ascii="Arial" w:hAnsi="Arial" w:cs="Arial"/>
          <w:noProof/>
          <w:sz w:val="22"/>
          <w:szCs w:val="22"/>
          <w:lang w:val="es-CO" w:eastAsia="es-CO"/>
        </w:rPr>
        <w:drawing>
          <wp:inline distT="0" distB="0" distL="0" distR="0" wp14:anchorId="2808E948" wp14:editId="78EA2B2C">
            <wp:extent cx="5000625" cy="2573302"/>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2"/>
                    <a:stretch>
                      <a:fillRect/>
                    </a:stretch>
                  </pic:blipFill>
                  <pic:spPr>
                    <a:xfrm>
                      <a:off x="0" y="0"/>
                      <a:ext cx="5014288" cy="2580333"/>
                    </a:xfrm>
                    <a:prstGeom prst="rect">
                      <a:avLst/>
                    </a:prstGeom>
                  </pic:spPr>
                </pic:pic>
              </a:graphicData>
            </a:graphic>
          </wp:inline>
        </w:drawing>
      </w:r>
    </w:p>
    <w:p w14:paraId="12446070" w14:textId="77777777" w:rsidR="00C50267" w:rsidRPr="00DB281B" w:rsidRDefault="00C50267" w:rsidP="00DB281B">
      <w:pPr>
        <w:jc w:val="center"/>
        <w:rPr>
          <w:rFonts w:ascii="Arial" w:hAnsi="Arial" w:cs="Arial"/>
          <w:color w:val="000000"/>
          <w:sz w:val="18"/>
          <w:szCs w:val="18"/>
          <w:lang w:val="es-CO"/>
        </w:rPr>
      </w:pPr>
      <w:r w:rsidRPr="00DB281B">
        <w:rPr>
          <w:rFonts w:ascii="Arial" w:hAnsi="Arial" w:cs="Arial"/>
          <w:color w:val="000000"/>
          <w:sz w:val="18"/>
          <w:szCs w:val="18"/>
          <w:lang w:val="es-CO"/>
        </w:rPr>
        <w:t>Fuente: Estudios previos de proceso contractual No. SE-CMC-096-2019 del 08 de abril del 2019.</w:t>
      </w:r>
    </w:p>
    <w:p w14:paraId="375CDBBF" w14:textId="77777777" w:rsidR="0069132F" w:rsidRPr="00DB281B" w:rsidRDefault="0069132F" w:rsidP="00DB281B">
      <w:pPr>
        <w:jc w:val="both"/>
        <w:rPr>
          <w:rFonts w:ascii="Arial" w:hAnsi="Arial" w:cs="Arial"/>
          <w:color w:val="000000"/>
          <w:sz w:val="22"/>
          <w:szCs w:val="22"/>
          <w:lang w:val="es-CO"/>
        </w:rPr>
      </w:pPr>
    </w:p>
    <w:p w14:paraId="38F6220B" w14:textId="49134440" w:rsidR="0054606C" w:rsidRPr="00DB281B" w:rsidRDefault="00C50267" w:rsidP="00DB281B">
      <w:pPr>
        <w:jc w:val="both"/>
        <w:rPr>
          <w:rFonts w:ascii="Arial" w:hAnsi="Arial" w:cs="Arial"/>
          <w:b/>
          <w:color w:val="000000"/>
          <w:sz w:val="22"/>
          <w:szCs w:val="22"/>
          <w:lang w:val="es-CO"/>
        </w:rPr>
      </w:pPr>
      <w:r w:rsidRPr="00DB281B">
        <w:rPr>
          <w:rFonts w:ascii="Arial" w:hAnsi="Arial" w:cs="Arial"/>
          <w:color w:val="000000"/>
          <w:sz w:val="22"/>
          <w:szCs w:val="22"/>
          <w:lang w:val="es-CO"/>
        </w:rPr>
        <w:t>No obstante, los informes de supervisión inherente</w:t>
      </w:r>
      <w:r w:rsidR="003C5349">
        <w:rPr>
          <w:rFonts w:ascii="Arial" w:hAnsi="Arial" w:cs="Arial"/>
          <w:color w:val="000000"/>
          <w:sz w:val="22"/>
          <w:szCs w:val="22"/>
          <w:lang w:val="es-CO"/>
        </w:rPr>
        <w:t>s</w:t>
      </w:r>
      <w:r w:rsidRPr="00DB281B">
        <w:rPr>
          <w:rFonts w:ascii="Arial" w:hAnsi="Arial" w:cs="Arial"/>
          <w:color w:val="000000"/>
          <w:sz w:val="22"/>
          <w:szCs w:val="22"/>
          <w:lang w:val="es-CO"/>
        </w:rPr>
        <w:t xml:space="preserve"> al proceso tampoco fueron publicados, por lo cual no se pudo corroborar la adquisición efectiva de las pólizas para los conductores, ni la de los 45 mil niños que determinan los estudios previos. Igualmente, no se encuentra una relación de las salidas escolares que realizó la Entidad Territorial, justificando la necesidad de la adquisición de este servicio en la salida, la cantidad de niños que efectivamente hicieron parte de la actividad y, por ende, la relación de los niños con las pólizas contratadas</w:t>
      </w:r>
      <w:r w:rsidRPr="00DB281B">
        <w:rPr>
          <w:rFonts w:ascii="Arial" w:hAnsi="Arial" w:cs="Arial"/>
          <w:bCs/>
          <w:color w:val="000000"/>
          <w:sz w:val="22"/>
          <w:szCs w:val="22"/>
          <w:lang w:val="es-CO"/>
        </w:rPr>
        <w:t>.</w:t>
      </w:r>
    </w:p>
    <w:p w14:paraId="65D0AAF6" w14:textId="77777777" w:rsidR="0054606C" w:rsidRPr="00DB281B" w:rsidRDefault="0054606C" w:rsidP="00DB281B">
      <w:pPr>
        <w:jc w:val="both"/>
        <w:rPr>
          <w:rFonts w:ascii="Arial" w:hAnsi="Arial" w:cs="Arial"/>
          <w:b/>
          <w:color w:val="000000"/>
          <w:sz w:val="22"/>
          <w:szCs w:val="22"/>
          <w:lang w:val="es-CO"/>
        </w:rPr>
      </w:pPr>
    </w:p>
    <w:p w14:paraId="4C86BEC9" w14:textId="729B043F" w:rsidR="0054606C" w:rsidRPr="00DB281B" w:rsidRDefault="0054606C" w:rsidP="00DB281B">
      <w:pPr>
        <w:jc w:val="both"/>
        <w:rPr>
          <w:rFonts w:ascii="Arial" w:hAnsi="Arial" w:cs="Arial"/>
          <w:color w:val="000000"/>
          <w:sz w:val="22"/>
          <w:szCs w:val="22"/>
          <w:lang w:val="es-CO"/>
        </w:rPr>
      </w:pPr>
      <w:r w:rsidRPr="00DB281B">
        <w:rPr>
          <w:rFonts w:ascii="Arial" w:hAnsi="Arial" w:cs="Arial"/>
          <w:color w:val="000000"/>
          <w:sz w:val="22"/>
          <w:szCs w:val="22"/>
          <w:lang w:val="es-CO"/>
        </w:rPr>
        <w:t xml:space="preserve">De lo anterior, se identifica en la ejecución presupuestal de la vigencia 2019 que la Entidad dispuso de la fuente Prestación del Servicio Educativo para la financiación de esta contratación; sin embargo, se requiere solicitar en visita de reconocimiento el expediente contractual de este proceso, con el objetivo de identificar el cumplimiento de las actividades </w:t>
      </w:r>
      <w:r w:rsidR="003C5349">
        <w:rPr>
          <w:rFonts w:ascii="Arial" w:hAnsi="Arial" w:cs="Arial"/>
          <w:color w:val="000000"/>
          <w:sz w:val="22"/>
          <w:szCs w:val="22"/>
          <w:lang w:val="es-CO"/>
        </w:rPr>
        <w:t xml:space="preserve">pactadas </w:t>
      </w:r>
      <w:r w:rsidRPr="00DB281B">
        <w:rPr>
          <w:rFonts w:ascii="Arial" w:hAnsi="Arial" w:cs="Arial"/>
          <w:color w:val="000000"/>
          <w:sz w:val="22"/>
          <w:szCs w:val="22"/>
          <w:lang w:val="es-CO"/>
        </w:rPr>
        <w:t>por parte de los terceros, así como el uso de la póliza adquirida por parte de la Entidad.</w:t>
      </w:r>
    </w:p>
    <w:p w14:paraId="365741DE" w14:textId="77777777" w:rsidR="0054606C" w:rsidRPr="00DB281B" w:rsidRDefault="0054606C" w:rsidP="00DB281B">
      <w:pPr>
        <w:jc w:val="both"/>
        <w:rPr>
          <w:rFonts w:ascii="Arial" w:hAnsi="Arial" w:cs="Arial"/>
          <w:b/>
          <w:color w:val="000000"/>
          <w:sz w:val="22"/>
          <w:szCs w:val="22"/>
          <w:lang w:val="es-CO"/>
        </w:rPr>
      </w:pPr>
    </w:p>
    <w:p w14:paraId="3C555AAA" w14:textId="116C1D04" w:rsidR="0054606C" w:rsidRPr="00DB281B" w:rsidRDefault="0054606C" w:rsidP="00DB281B">
      <w:pPr>
        <w:jc w:val="both"/>
        <w:rPr>
          <w:rFonts w:ascii="Arial" w:hAnsi="Arial" w:cs="Arial"/>
          <w:i/>
          <w:iCs/>
          <w:color w:val="000000"/>
          <w:sz w:val="22"/>
          <w:szCs w:val="22"/>
          <w:u w:val="single"/>
          <w:lang w:val="es-CO"/>
        </w:rPr>
      </w:pPr>
      <w:r w:rsidRPr="00DB281B">
        <w:rPr>
          <w:rFonts w:ascii="Arial" w:hAnsi="Arial" w:cs="Arial"/>
          <w:i/>
          <w:iCs/>
          <w:color w:val="000000"/>
          <w:sz w:val="22"/>
          <w:szCs w:val="22"/>
          <w:u w:val="single"/>
          <w:lang w:val="es-CO"/>
        </w:rPr>
        <w:t>Adquisición de buses para transporte escolar</w:t>
      </w:r>
      <w:r w:rsidR="00E77ABE" w:rsidRPr="00DB281B">
        <w:rPr>
          <w:rFonts w:ascii="Arial" w:hAnsi="Arial" w:cs="Arial"/>
          <w:i/>
          <w:iCs/>
          <w:color w:val="000000"/>
          <w:sz w:val="22"/>
          <w:szCs w:val="22"/>
          <w:u w:val="single"/>
          <w:lang w:val="es-CO"/>
        </w:rPr>
        <w:t xml:space="preserve"> para los municipios no certificados</w:t>
      </w:r>
    </w:p>
    <w:p w14:paraId="7BA1E7AF" w14:textId="0D421E7C" w:rsidR="00E77ABE" w:rsidRPr="00DB281B" w:rsidRDefault="00E77ABE" w:rsidP="00DB281B">
      <w:pPr>
        <w:jc w:val="both"/>
        <w:rPr>
          <w:rFonts w:ascii="Arial" w:hAnsi="Arial" w:cs="Arial"/>
          <w:i/>
          <w:iCs/>
          <w:color w:val="000000"/>
          <w:sz w:val="22"/>
          <w:szCs w:val="22"/>
          <w:u w:val="single"/>
          <w:lang w:val="es-CO"/>
        </w:rPr>
      </w:pPr>
    </w:p>
    <w:p w14:paraId="3C9842E7" w14:textId="3A636E50" w:rsidR="00E77ABE" w:rsidRPr="00DB281B" w:rsidRDefault="00E77ABE" w:rsidP="00DB281B">
      <w:pPr>
        <w:jc w:val="both"/>
        <w:rPr>
          <w:rFonts w:ascii="Arial" w:hAnsi="Arial" w:cs="Arial"/>
          <w:color w:val="000000"/>
          <w:sz w:val="22"/>
          <w:szCs w:val="22"/>
          <w:lang w:val="es-CO"/>
        </w:rPr>
      </w:pPr>
      <w:r w:rsidRPr="00DB281B">
        <w:rPr>
          <w:rFonts w:ascii="Arial" w:hAnsi="Arial" w:cs="Arial"/>
          <w:color w:val="000000"/>
          <w:sz w:val="22"/>
          <w:szCs w:val="22"/>
          <w:lang w:val="es-CO"/>
        </w:rPr>
        <w:t>En los siguientes contratos se identifica el compromiso por parte de la Entidad Territorial de los recursos de la participación de Educación en la adquisición de buses para el transporte escolar:</w:t>
      </w:r>
    </w:p>
    <w:p w14:paraId="318405F9" w14:textId="77777777" w:rsidR="0054606C" w:rsidRPr="00DB281B" w:rsidRDefault="0054606C" w:rsidP="00DB281B">
      <w:pPr>
        <w:jc w:val="both"/>
        <w:rPr>
          <w:rFonts w:ascii="Arial" w:hAnsi="Arial" w:cs="Arial"/>
          <w:color w:val="000000"/>
          <w:sz w:val="22"/>
          <w:szCs w:val="22"/>
          <w:lang w:val="es-CO"/>
        </w:rPr>
      </w:pPr>
    </w:p>
    <w:p w14:paraId="47A3CA39" w14:textId="2D85EFA9" w:rsidR="00C50267" w:rsidRPr="00DB281B" w:rsidRDefault="00C50267" w:rsidP="00DB281B">
      <w:pPr>
        <w:pStyle w:val="Prrafodelista"/>
        <w:numPr>
          <w:ilvl w:val="0"/>
          <w:numId w:val="57"/>
        </w:numPr>
        <w:ind w:left="426" w:hanging="426"/>
        <w:jc w:val="both"/>
        <w:rPr>
          <w:rFonts w:ascii="Arial" w:hAnsi="Arial" w:cs="Arial"/>
          <w:i/>
          <w:color w:val="000000"/>
          <w:sz w:val="22"/>
          <w:szCs w:val="22"/>
          <w:lang w:val="es-CO"/>
        </w:rPr>
      </w:pPr>
      <w:r w:rsidRPr="00DB281B">
        <w:rPr>
          <w:rFonts w:ascii="Arial" w:hAnsi="Arial" w:cs="Arial"/>
          <w:color w:val="000000"/>
          <w:sz w:val="22"/>
          <w:szCs w:val="22"/>
          <w:lang w:val="es-CO"/>
        </w:rPr>
        <w:t xml:space="preserve">Contrato No. SE-SA-293-2019 del 26 de julio del 2019, con objeto contractual </w:t>
      </w:r>
      <w:r w:rsidRPr="00DB281B">
        <w:rPr>
          <w:rFonts w:ascii="Arial" w:hAnsi="Arial" w:cs="Arial"/>
          <w:i/>
          <w:color w:val="000000"/>
          <w:sz w:val="22"/>
          <w:szCs w:val="22"/>
          <w:lang w:val="es-CO"/>
        </w:rPr>
        <w:t xml:space="preserve">“Adquisición de vehículos automotores (buses) para transporte escolar, en los municipios del departamento de Cundinamarca </w:t>
      </w:r>
      <w:r w:rsidR="003C5349">
        <w:rPr>
          <w:rFonts w:ascii="Arial" w:hAnsi="Arial" w:cs="Arial"/>
          <w:i/>
          <w:color w:val="000000"/>
          <w:sz w:val="22"/>
          <w:szCs w:val="22"/>
          <w:lang w:val="es-CO"/>
        </w:rPr>
        <w:t>–</w:t>
      </w:r>
      <w:r w:rsidRPr="00DB281B">
        <w:rPr>
          <w:rFonts w:ascii="Arial" w:hAnsi="Arial" w:cs="Arial"/>
          <w:i/>
          <w:color w:val="000000"/>
          <w:sz w:val="22"/>
          <w:szCs w:val="22"/>
          <w:lang w:val="es-CO"/>
        </w:rPr>
        <w:t xml:space="preserve"> secretar</w:t>
      </w:r>
      <w:r w:rsidR="003C5349">
        <w:rPr>
          <w:rFonts w:ascii="Arial" w:hAnsi="Arial" w:cs="Arial"/>
          <w:i/>
          <w:color w:val="000000"/>
          <w:sz w:val="22"/>
          <w:szCs w:val="22"/>
          <w:lang w:val="es-CO"/>
        </w:rPr>
        <w:t>í</w:t>
      </w:r>
      <w:r w:rsidRPr="00DB281B">
        <w:rPr>
          <w:rFonts w:ascii="Arial" w:hAnsi="Arial" w:cs="Arial"/>
          <w:i/>
          <w:color w:val="000000"/>
          <w:sz w:val="22"/>
          <w:szCs w:val="22"/>
          <w:lang w:val="es-CO"/>
        </w:rPr>
        <w:t xml:space="preserve">a de educación el rosal </w:t>
      </w:r>
      <w:r w:rsidRPr="00DB281B">
        <w:rPr>
          <w:rFonts w:ascii="Arial" w:hAnsi="Arial" w:cs="Arial"/>
          <w:i/>
          <w:color w:val="000000"/>
          <w:sz w:val="22"/>
          <w:szCs w:val="22"/>
          <w:lang w:val="es-CO"/>
        </w:rPr>
        <w:lastRenderedPageBreak/>
        <w:t>Cundinamarca”</w:t>
      </w:r>
      <w:r w:rsidRPr="00DB281B">
        <w:rPr>
          <w:rFonts w:ascii="Arial" w:hAnsi="Arial" w:cs="Arial"/>
          <w:color w:val="000000"/>
          <w:sz w:val="22"/>
          <w:szCs w:val="22"/>
          <w:lang w:val="es-CO"/>
        </w:rPr>
        <w:t xml:space="preserve"> por un valor total de $320 millones, pagados con recursos del SGP- Educación. </w:t>
      </w:r>
    </w:p>
    <w:p w14:paraId="7191C8F1" w14:textId="1EA7EE36" w:rsidR="00C50267" w:rsidRPr="00DB281B" w:rsidRDefault="00C50267" w:rsidP="00DB281B">
      <w:pPr>
        <w:pStyle w:val="Prrafodelista"/>
        <w:numPr>
          <w:ilvl w:val="0"/>
          <w:numId w:val="57"/>
        </w:numPr>
        <w:ind w:left="426" w:hanging="426"/>
        <w:jc w:val="both"/>
        <w:rPr>
          <w:rFonts w:ascii="Arial" w:hAnsi="Arial" w:cs="Arial"/>
          <w:i/>
          <w:color w:val="000000"/>
          <w:sz w:val="22"/>
          <w:szCs w:val="22"/>
          <w:lang w:val="es-CO"/>
        </w:rPr>
      </w:pPr>
      <w:r w:rsidRPr="00DB281B">
        <w:rPr>
          <w:rFonts w:ascii="Arial" w:hAnsi="Arial" w:cs="Arial"/>
          <w:color w:val="000000"/>
          <w:sz w:val="22"/>
          <w:szCs w:val="22"/>
          <w:lang w:val="es-CO"/>
        </w:rPr>
        <w:t xml:space="preserve">Contrato No. SE-SA-299-2019 del 26 de agosto del 2019, con objeto contractual </w:t>
      </w:r>
      <w:r w:rsidRPr="00DB281B">
        <w:rPr>
          <w:rFonts w:ascii="Arial" w:hAnsi="Arial" w:cs="Arial"/>
          <w:i/>
          <w:color w:val="000000"/>
          <w:sz w:val="22"/>
          <w:szCs w:val="22"/>
          <w:lang w:val="es-CO"/>
        </w:rPr>
        <w:t xml:space="preserve">“Adquisición de vehículos automotores (buses) para transporte escolar, en los municipios del departamento de Cundinamarca - </w:t>
      </w:r>
      <w:r w:rsidR="003C5349">
        <w:rPr>
          <w:rFonts w:ascii="Arial" w:hAnsi="Arial" w:cs="Arial"/>
          <w:i/>
          <w:color w:val="000000"/>
          <w:sz w:val="22"/>
          <w:szCs w:val="22"/>
          <w:lang w:val="es-CO"/>
        </w:rPr>
        <w:t>secretaría</w:t>
      </w:r>
      <w:r w:rsidRPr="00DB281B">
        <w:rPr>
          <w:rFonts w:ascii="Arial" w:hAnsi="Arial" w:cs="Arial"/>
          <w:i/>
          <w:color w:val="000000"/>
          <w:sz w:val="22"/>
          <w:szCs w:val="22"/>
          <w:lang w:val="es-CO"/>
        </w:rPr>
        <w:t xml:space="preserve"> de educación </w:t>
      </w:r>
      <w:proofErr w:type="spellStart"/>
      <w:r w:rsidRPr="00DB281B">
        <w:rPr>
          <w:rFonts w:ascii="Arial" w:hAnsi="Arial" w:cs="Arial"/>
          <w:i/>
          <w:color w:val="000000"/>
          <w:sz w:val="22"/>
          <w:szCs w:val="22"/>
          <w:lang w:val="es-CO"/>
        </w:rPr>
        <w:t>Tenjo</w:t>
      </w:r>
      <w:proofErr w:type="spellEnd"/>
      <w:r w:rsidRPr="00DB281B">
        <w:rPr>
          <w:rFonts w:ascii="Arial" w:hAnsi="Arial" w:cs="Arial"/>
          <w:i/>
          <w:color w:val="000000"/>
          <w:sz w:val="22"/>
          <w:szCs w:val="22"/>
          <w:lang w:val="es-CO"/>
        </w:rPr>
        <w:t xml:space="preserve"> Cundinamarca”</w:t>
      </w:r>
      <w:r w:rsidRPr="00DB281B">
        <w:rPr>
          <w:rFonts w:ascii="Arial" w:hAnsi="Arial" w:cs="Arial"/>
          <w:color w:val="000000"/>
          <w:sz w:val="22"/>
          <w:szCs w:val="22"/>
          <w:lang w:val="es-CO"/>
        </w:rPr>
        <w:t xml:space="preserve"> por un valor total de $325 millones, pagados con recursos del SGP- Educación. </w:t>
      </w:r>
    </w:p>
    <w:p w14:paraId="00D6B666" w14:textId="21390EAF" w:rsidR="00C50267" w:rsidRPr="00DB281B" w:rsidRDefault="00C50267" w:rsidP="00DB281B">
      <w:pPr>
        <w:pStyle w:val="Prrafodelista"/>
        <w:numPr>
          <w:ilvl w:val="0"/>
          <w:numId w:val="57"/>
        </w:numPr>
        <w:ind w:left="426" w:hanging="426"/>
        <w:jc w:val="both"/>
        <w:rPr>
          <w:rFonts w:ascii="Arial" w:hAnsi="Arial" w:cs="Arial"/>
          <w:i/>
          <w:color w:val="000000"/>
          <w:sz w:val="22"/>
          <w:szCs w:val="22"/>
          <w:lang w:val="es-CO"/>
        </w:rPr>
      </w:pPr>
      <w:r w:rsidRPr="00DB281B">
        <w:rPr>
          <w:rFonts w:ascii="Arial" w:hAnsi="Arial" w:cs="Arial"/>
          <w:color w:val="000000"/>
          <w:sz w:val="22"/>
          <w:szCs w:val="22"/>
          <w:lang w:val="es-CO"/>
        </w:rPr>
        <w:t xml:space="preserve">Contrato No. SE-SA-300-2019 del 26 de agosto del 2019, con objeto contractual </w:t>
      </w:r>
      <w:r w:rsidRPr="00DB281B">
        <w:rPr>
          <w:rFonts w:ascii="Arial" w:hAnsi="Arial" w:cs="Arial"/>
          <w:i/>
          <w:color w:val="000000"/>
          <w:sz w:val="22"/>
          <w:szCs w:val="22"/>
          <w:lang w:val="es-CO"/>
        </w:rPr>
        <w:t>“Adquisición de vehículos automotores (buses) para transporte escolar, en los municipios del departam</w:t>
      </w:r>
      <w:r w:rsidR="003C5349">
        <w:rPr>
          <w:rFonts w:ascii="Arial" w:hAnsi="Arial" w:cs="Arial"/>
          <w:i/>
          <w:color w:val="000000"/>
          <w:sz w:val="22"/>
          <w:szCs w:val="22"/>
          <w:lang w:val="es-CO"/>
        </w:rPr>
        <w:t>ento de Cundinamarca - secretarí</w:t>
      </w:r>
      <w:r w:rsidRPr="00DB281B">
        <w:rPr>
          <w:rFonts w:ascii="Arial" w:hAnsi="Arial" w:cs="Arial"/>
          <w:i/>
          <w:color w:val="000000"/>
          <w:sz w:val="22"/>
          <w:szCs w:val="22"/>
          <w:lang w:val="es-CO"/>
        </w:rPr>
        <w:t xml:space="preserve">a de educación </w:t>
      </w:r>
      <w:proofErr w:type="spellStart"/>
      <w:r w:rsidRPr="00DB281B">
        <w:rPr>
          <w:rFonts w:ascii="Arial" w:hAnsi="Arial" w:cs="Arial"/>
          <w:i/>
          <w:color w:val="000000"/>
          <w:sz w:val="22"/>
          <w:szCs w:val="22"/>
          <w:lang w:val="es-CO"/>
        </w:rPr>
        <w:t>Chaguani</w:t>
      </w:r>
      <w:proofErr w:type="spellEnd"/>
      <w:r w:rsidRPr="00DB281B">
        <w:rPr>
          <w:rFonts w:ascii="Arial" w:hAnsi="Arial" w:cs="Arial"/>
          <w:i/>
          <w:color w:val="000000"/>
          <w:sz w:val="22"/>
          <w:szCs w:val="22"/>
          <w:lang w:val="es-CO"/>
        </w:rPr>
        <w:t xml:space="preserve"> Cundinamarca”</w:t>
      </w:r>
      <w:r w:rsidRPr="00DB281B">
        <w:rPr>
          <w:rFonts w:ascii="Arial" w:hAnsi="Arial" w:cs="Arial"/>
          <w:color w:val="000000"/>
          <w:sz w:val="22"/>
          <w:szCs w:val="22"/>
          <w:lang w:val="es-CO"/>
        </w:rPr>
        <w:t xml:space="preserve"> por un valor total de $325 millones, pagados con recursos del SGP- Educación. </w:t>
      </w:r>
    </w:p>
    <w:p w14:paraId="68475EAC" w14:textId="77777777" w:rsidR="00DB281B" w:rsidRDefault="00DB281B" w:rsidP="00DB281B">
      <w:pPr>
        <w:jc w:val="both"/>
        <w:rPr>
          <w:rFonts w:ascii="Arial" w:hAnsi="Arial" w:cs="Arial"/>
          <w:color w:val="000000"/>
          <w:sz w:val="22"/>
          <w:szCs w:val="22"/>
          <w:lang w:val="es-CO"/>
        </w:rPr>
      </w:pPr>
    </w:p>
    <w:p w14:paraId="48200972" w14:textId="0B8429E1" w:rsidR="00C50267"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 xml:space="preserve">Frente al servicio de transporte escolar, la ley 75 del 2001 en su artículo 15 determina la destinación de los recursos del Sistema General de Participaciones en el sector educación, estableciendo: </w:t>
      </w:r>
      <w:r w:rsidRPr="00DB281B">
        <w:rPr>
          <w:rFonts w:ascii="Arial" w:hAnsi="Arial" w:cs="Arial"/>
          <w:i/>
          <w:color w:val="000000"/>
          <w:sz w:val="22"/>
          <w:szCs w:val="22"/>
          <w:lang w:val="es-CO"/>
        </w:rPr>
        <w:t>“</w:t>
      </w:r>
      <w:r w:rsidRPr="00DB281B">
        <w:rPr>
          <w:rFonts w:ascii="Arial" w:hAnsi="Arial" w:cs="Arial"/>
          <w:b/>
          <w:bCs/>
          <w:i/>
          <w:sz w:val="22"/>
          <w:szCs w:val="22"/>
          <w:lang w:val="es-CO"/>
        </w:rPr>
        <w:t>Parágrafo 2º</w:t>
      </w:r>
      <w:r w:rsidRPr="00DB281B">
        <w:rPr>
          <w:rFonts w:ascii="Arial" w:hAnsi="Arial" w:cs="Arial"/>
          <w:i/>
          <w:color w:val="000000"/>
          <w:sz w:val="22"/>
          <w:szCs w:val="22"/>
          <w:lang w:val="es-CO"/>
        </w:rPr>
        <w:t xml:space="preserve">. Una vez cubiertos los costos de la prestación del servicio educativo, los departamentos, distritos y municipios destinarán recursos de la participación en educación </w:t>
      </w:r>
      <w:r w:rsidRPr="00DB281B">
        <w:rPr>
          <w:rFonts w:ascii="Arial" w:hAnsi="Arial" w:cs="Arial"/>
          <w:i/>
          <w:color w:val="000000"/>
          <w:sz w:val="22"/>
          <w:szCs w:val="22"/>
          <w:u w:val="single"/>
          <w:lang w:val="es-CO"/>
        </w:rPr>
        <w:t>al pago de transporte escolar</w:t>
      </w:r>
      <w:r w:rsidRPr="00DB281B">
        <w:rPr>
          <w:rFonts w:ascii="Arial" w:hAnsi="Arial" w:cs="Arial"/>
          <w:i/>
          <w:color w:val="000000"/>
          <w:sz w:val="22"/>
          <w:szCs w:val="22"/>
          <w:lang w:val="es-CO"/>
        </w:rPr>
        <w:t xml:space="preserve"> cuando las condiciones geográficas lo requieran para garantizar el acceso y la permanencia en el sistema educativo de niños pertenecientes a los estratos más pobres”</w:t>
      </w:r>
      <w:r w:rsidRPr="00DB281B">
        <w:rPr>
          <w:rFonts w:ascii="Arial" w:hAnsi="Arial" w:cs="Arial"/>
          <w:color w:val="000000"/>
          <w:sz w:val="22"/>
          <w:szCs w:val="22"/>
          <w:lang w:val="es-CO"/>
        </w:rPr>
        <w:t xml:space="preserve"> (énfasis propio). </w:t>
      </w:r>
    </w:p>
    <w:p w14:paraId="71B43474" w14:textId="77777777" w:rsidR="00E77ABE" w:rsidRPr="00DB281B" w:rsidRDefault="00E77ABE" w:rsidP="00DB281B">
      <w:pPr>
        <w:jc w:val="both"/>
        <w:rPr>
          <w:rFonts w:ascii="Arial" w:hAnsi="Arial" w:cs="Arial"/>
          <w:color w:val="000000"/>
          <w:sz w:val="22"/>
          <w:szCs w:val="22"/>
          <w:lang w:val="es-CO"/>
        </w:rPr>
      </w:pPr>
    </w:p>
    <w:p w14:paraId="10174292" w14:textId="0E354291" w:rsidR="00C50267" w:rsidRPr="00DB281B" w:rsidRDefault="00C50267" w:rsidP="00DB281B">
      <w:pPr>
        <w:jc w:val="both"/>
        <w:rPr>
          <w:rFonts w:ascii="Arial" w:hAnsi="Arial" w:cs="Arial"/>
          <w:bCs/>
          <w:sz w:val="22"/>
          <w:szCs w:val="22"/>
          <w:lang w:val="es-CO"/>
        </w:rPr>
      </w:pPr>
      <w:r w:rsidRPr="00DB281B">
        <w:rPr>
          <w:rFonts w:ascii="Arial" w:hAnsi="Arial" w:cs="Arial"/>
          <w:color w:val="000000"/>
          <w:sz w:val="22"/>
          <w:szCs w:val="22"/>
          <w:lang w:val="es-CO"/>
        </w:rPr>
        <w:t xml:space="preserve">Por otro lado, el artículo </w:t>
      </w:r>
      <w:r w:rsidRPr="00DB281B">
        <w:rPr>
          <w:rFonts w:ascii="Arial" w:hAnsi="Arial" w:cs="Arial"/>
          <w:bCs/>
          <w:sz w:val="22"/>
          <w:szCs w:val="22"/>
          <w:lang w:val="es-CO"/>
        </w:rPr>
        <w:t>2.2.1.6.10.5. del decreto 1079 del 2015, determina las obligaciones que tiene</w:t>
      </w:r>
      <w:r w:rsidR="00B12DA4">
        <w:rPr>
          <w:rFonts w:ascii="Arial" w:hAnsi="Arial" w:cs="Arial"/>
          <w:bCs/>
          <w:sz w:val="22"/>
          <w:szCs w:val="22"/>
          <w:lang w:val="es-CO"/>
        </w:rPr>
        <w:t>n</w:t>
      </w:r>
      <w:r w:rsidRPr="00DB281B">
        <w:rPr>
          <w:rFonts w:ascii="Arial" w:hAnsi="Arial" w:cs="Arial"/>
          <w:bCs/>
          <w:sz w:val="22"/>
          <w:szCs w:val="22"/>
          <w:lang w:val="es-CO"/>
        </w:rPr>
        <w:t xml:space="preserve"> los establecimientos educativos frente a la prestación del servicio de transporte escolar, listado en el cual no se encuentra contar con vehículos propios para brindar el servicio. Sin embargo, el mismo cuerpo normativo en el artículo </w:t>
      </w:r>
      <w:r w:rsidRPr="00DB281B">
        <w:rPr>
          <w:rFonts w:ascii="Arial" w:hAnsi="Arial" w:cs="Arial"/>
          <w:sz w:val="22"/>
          <w:szCs w:val="22"/>
          <w:lang w:val="es-CO"/>
        </w:rPr>
        <w:t xml:space="preserve">2.2.1.6.10.6. establece como obligación del Ministerio </w:t>
      </w:r>
      <w:r w:rsidRPr="00DB281B">
        <w:rPr>
          <w:rFonts w:ascii="Arial" w:hAnsi="Arial" w:cs="Arial"/>
          <w:bCs/>
          <w:sz w:val="22"/>
          <w:szCs w:val="22"/>
          <w:lang w:val="es-CO"/>
        </w:rPr>
        <w:t>de Educación y de las Secretarías de Educación: “…</w:t>
      </w:r>
      <w:r w:rsidRPr="00DB281B">
        <w:rPr>
          <w:rFonts w:ascii="Arial" w:hAnsi="Arial" w:cs="Arial"/>
          <w:bCs/>
          <w:i/>
          <w:sz w:val="22"/>
          <w:szCs w:val="22"/>
          <w:lang w:val="es-CO"/>
        </w:rPr>
        <w:t xml:space="preserve">realizar las acciones necesarias para garantizar la permanencia de los estudiantes, adelantando el seguimiento y control al cumplimiento de </w:t>
      </w:r>
      <w:r w:rsidRPr="00DB281B">
        <w:rPr>
          <w:rFonts w:ascii="Arial" w:hAnsi="Arial" w:cs="Arial"/>
          <w:bCs/>
          <w:i/>
          <w:sz w:val="22"/>
          <w:szCs w:val="22"/>
          <w:u w:val="single"/>
          <w:lang w:val="es-CO"/>
        </w:rPr>
        <w:t>los contratos de prestación del servicio de transporte escolar</w:t>
      </w:r>
      <w:r w:rsidRPr="00DB281B">
        <w:rPr>
          <w:rFonts w:ascii="Arial" w:hAnsi="Arial" w:cs="Arial"/>
          <w:bCs/>
          <w:i/>
          <w:sz w:val="22"/>
          <w:szCs w:val="22"/>
          <w:lang w:val="es-CO"/>
        </w:rPr>
        <w:t xml:space="preserve"> de su respectiva jurisdicción.”</w:t>
      </w:r>
      <w:r w:rsidRPr="00DB281B">
        <w:rPr>
          <w:rFonts w:ascii="Arial" w:hAnsi="Arial" w:cs="Arial"/>
          <w:bCs/>
          <w:sz w:val="22"/>
          <w:szCs w:val="22"/>
          <w:lang w:val="es-CO"/>
        </w:rPr>
        <w:t xml:space="preserve"> (énfasis propio)</w:t>
      </w:r>
    </w:p>
    <w:p w14:paraId="1C501E51" w14:textId="77777777" w:rsidR="00E77ABE" w:rsidRPr="00DB281B" w:rsidRDefault="00E77ABE" w:rsidP="00DB281B">
      <w:pPr>
        <w:jc w:val="both"/>
        <w:rPr>
          <w:rFonts w:ascii="Arial" w:hAnsi="Arial" w:cs="Arial"/>
          <w:color w:val="000000"/>
          <w:sz w:val="22"/>
          <w:szCs w:val="22"/>
          <w:lang w:val="es-CO"/>
        </w:rPr>
      </w:pPr>
    </w:p>
    <w:p w14:paraId="6A6AA905" w14:textId="2C2CD893" w:rsidR="00E77ABE"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 xml:space="preserve">Todo lo anterior, en la medida de lo regulado por el artículo </w:t>
      </w:r>
      <w:r w:rsidR="00B12DA4">
        <w:rPr>
          <w:rFonts w:ascii="Arial" w:hAnsi="Arial" w:cs="Arial"/>
          <w:color w:val="000000"/>
          <w:sz w:val="22"/>
          <w:szCs w:val="22"/>
          <w:lang w:val="es-CO"/>
        </w:rPr>
        <w:t>6</w:t>
      </w:r>
      <w:r w:rsidRPr="00DB281B">
        <w:rPr>
          <w:rFonts w:ascii="Arial" w:hAnsi="Arial" w:cs="Arial"/>
          <w:color w:val="000000"/>
          <w:sz w:val="22"/>
          <w:szCs w:val="22"/>
          <w:lang w:val="es-CO"/>
        </w:rPr>
        <w:t xml:space="preserve"> de la Ley 715 del 2001</w:t>
      </w:r>
      <w:r w:rsidR="00B12DA4">
        <w:rPr>
          <w:rFonts w:ascii="Arial" w:hAnsi="Arial" w:cs="Arial"/>
          <w:color w:val="000000"/>
          <w:sz w:val="22"/>
          <w:szCs w:val="22"/>
          <w:lang w:val="es-CO"/>
        </w:rPr>
        <w:t>, que</w:t>
      </w:r>
      <w:r w:rsidRPr="00DB281B">
        <w:rPr>
          <w:rFonts w:ascii="Arial" w:hAnsi="Arial" w:cs="Arial"/>
          <w:color w:val="000000"/>
          <w:sz w:val="22"/>
          <w:szCs w:val="22"/>
          <w:lang w:val="es-CO"/>
        </w:rPr>
        <w:t xml:space="preserve"> determina: </w:t>
      </w:r>
      <w:r w:rsidR="00B12DA4" w:rsidRPr="00B12DA4">
        <w:rPr>
          <w:rFonts w:ascii="Arial" w:hAnsi="Arial" w:cs="Arial"/>
          <w:i/>
          <w:color w:val="000000"/>
          <w:sz w:val="22"/>
          <w:szCs w:val="22"/>
          <w:lang w:val="es-CO"/>
        </w:rPr>
        <w:t xml:space="preserve">“6.2.4. Participar con recursos propios en la financiación de los servicios educativos a cargo del Estado, en la cofinanciación de programas y proyectos educativos y en las inversiones de infraestructura, calidad y dotación. </w:t>
      </w:r>
      <w:r w:rsidR="00B12DA4" w:rsidRPr="00B12DA4">
        <w:rPr>
          <w:rFonts w:ascii="Arial" w:hAnsi="Arial" w:cs="Arial"/>
          <w:i/>
          <w:color w:val="000000"/>
          <w:sz w:val="22"/>
          <w:szCs w:val="22"/>
          <w:u w:val="single"/>
          <w:lang w:val="es-CO"/>
        </w:rPr>
        <w:t>Los costos amparados con estos recursos no podrán generar gastos permanentes a cargo al Sistema General de Participaciones</w:t>
      </w:r>
      <w:r w:rsidRPr="00B12DA4">
        <w:rPr>
          <w:rFonts w:ascii="Arial" w:hAnsi="Arial" w:cs="Arial"/>
          <w:i/>
          <w:color w:val="000000"/>
          <w:sz w:val="22"/>
          <w:szCs w:val="22"/>
          <w:lang w:val="es-CO"/>
        </w:rPr>
        <w:t>”</w:t>
      </w:r>
      <w:r w:rsidRPr="00DB281B">
        <w:rPr>
          <w:rFonts w:ascii="Arial" w:hAnsi="Arial" w:cs="Arial"/>
          <w:color w:val="000000"/>
          <w:sz w:val="22"/>
          <w:szCs w:val="22"/>
          <w:lang w:val="es-CO"/>
        </w:rPr>
        <w:t xml:space="preserve"> (énfasis propio). Así, como es de conocimiento de la Entidad Territorial, el programa de transporte escolar hace parte de una estrategia educativa que busca incrementar el número de estudiantes en los colegios oficiales, garantizando su derecho a la educación y su permanencia durante todo el proceso (básica, media y secundaria), por esto, es financiado con recursos de calidad.</w:t>
      </w:r>
    </w:p>
    <w:p w14:paraId="6761860C" w14:textId="48A7DA33" w:rsidR="00C50267"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 xml:space="preserve"> </w:t>
      </w:r>
    </w:p>
    <w:p w14:paraId="23605E3E" w14:textId="537A4F78" w:rsidR="00C50267" w:rsidRPr="00DB281B" w:rsidRDefault="00C50267" w:rsidP="00DB281B">
      <w:pPr>
        <w:jc w:val="both"/>
        <w:rPr>
          <w:rFonts w:ascii="Arial" w:hAnsi="Arial" w:cs="Arial"/>
          <w:color w:val="000000"/>
          <w:sz w:val="22"/>
          <w:szCs w:val="22"/>
          <w:lang w:val="es-CO"/>
        </w:rPr>
      </w:pPr>
      <w:r w:rsidRPr="00DB281B">
        <w:rPr>
          <w:rFonts w:ascii="Arial" w:hAnsi="Arial" w:cs="Arial"/>
          <w:color w:val="000000"/>
          <w:sz w:val="22"/>
          <w:szCs w:val="22"/>
          <w:lang w:val="es-CO"/>
        </w:rPr>
        <w:t xml:space="preserve">Sin embargo, la adquisición de vehículos por parte del Departamento para la prestación del servicio de transporte escolar es una vulneración al marco normativo en mención, puesto que genera un gasto permanente a cargo del SGP, debido a sus egresos inherentes: revisión tecno mecánica, SOAT, mantenimientos periódicos, repuestos, gasolina, parqueadero, contratación de conductores, pólizas de seguros, entre otros; así, si la Entidad Territorial estaba en la disposición de comprar este tipo de bienes, debió hacerlo con sus </w:t>
      </w:r>
      <w:r w:rsidRPr="00DB281B">
        <w:rPr>
          <w:rFonts w:ascii="Arial" w:hAnsi="Arial" w:cs="Arial"/>
          <w:color w:val="000000"/>
          <w:sz w:val="22"/>
          <w:szCs w:val="22"/>
          <w:lang w:val="es-CO"/>
        </w:rPr>
        <w:lastRenderedPageBreak/>
        <w:t xml:space="preserve">recursos propios y por ende, debe reinvertir al sector educativo el total de los recursos que financiaron los tres contratos. </w:t>
      </w:r>
    </w:p>
    <w:p w14:paraId="5CFBE364" w14:textId="464F6991" w:rsidR="00E77ABE" w:rsidRPr="00DB281B" w:rsidRDefault="00E77ABE" w:rsidP="00DB281B">
      <w:pPr>
        <w:jc w:val="both"/>
        <w:rPr>
          <w:rFonts w:ascii="Arial" w:hAnsi="Arial" w:cs="Arial"/>
          <w:color w:val="000000"/>
          <w:sz w:val="22"/>
          <w:szCs w:val="22"/>
          <w:lang w:val="es-CO"/>
        </w:rPr>
      </w:pPr>
    </w:p>
    <w:p w14:paraId="3F11075B" w14:textId="68BE51F4" w:rsidR="00E77ABE" w:rsidRPr="00DB281B" w:rsidRDefault="00E77ABE" w:rsidP="00DB281B">
      <w:pPr>
        <w:jc w:val="both"/>
        <w:rPr>
          <w:rFonts w:ascii="Arial" w:hAnsi="Arial" w:cs="Arial"/>
          <w:i/>
          <w:iCs/>
          <w:color w:val="000000"/>
          <w:sz w:val="22"/>
          <w:szCs w:val="22"/>
          <w:u w:val="single"/>
          <w:lang w:val="es-CO"/>
        </w:rPr>
      </w:pPr>
      <w:r w:rsidRPr="00DB281B">
        <w:rPr>
          <w:rFonts w:ascii="Arial" w:hAnsi="Arial" w:cs="Arial"/>
          <w:i/>
          <w:iCs/>
          <w:color w:val="000000"/>
          <w:sz w:val="22"/>
          <w:szCs w:val="22"/>
          <w:u w:val="single"/>
          <w:lang w:val="es-CO"/>
        </w:rPr>
        <w:t>Financiación de dotaciones de vigencias anteriores con recursos de la participación de Educación</w:t>
      </w:r>
    </w:p>
    <w:p w14:paraId="6F91AB47" w14:textId="685AEA6F" w:rsidR="00E77ABE" w:rsidRPr="00DB281B" w:rsidRDefault="00E77ABE" w:rsidP="00DB281B">
      <w:pPr>
        <w:jc w:val="both"/>
        <w:rPr>
          <w:rFonts w:ascii="Arial" w:hAnsi="Arial" w:cs="Arial"/>
          <w:color w:val="000000"/>
          <w:sz w:val="22"/>
          <w:szCs w:val="22"/>
          <w:lang w:val="es-CO"/>
        </w:rPr>
      </w:pPr>
    </w:p>
    <w:p w14:paraId="02E09AA4" w14:textId="4EF0AE38" w:rsidR="00E77ABE" w:rsidRPr="00DB281B" w:rsidRDefault="00E77ABE" w:rsidP="00DB281B">
      <w:pPr>
        <w:jc w:val="both"/>
        <w:rPr>
          <w:rFonts w:ascii="Arial" w:hAnsi="Arial" w:cs="Arial"/>
          <w:color w:val="000000"/>
          <w:sz w:val="22"/>
          <w:szCs w:val="22"/>
          <w:lang w:val="es-CO"/>
        </w:rPr>
      </w:pPr>
      <w:r w:rsidRPr="00DB281B">
        <w:rPr>
          <w:rFonts w:ascii="Arial" w:hAnsi="Arial" w:cs="Arial"/>
          <w:color w:val="000000"/>
          <w:sz w:val="22"/>
          <w:szCs w:val="22"/>
          <w:lang w:val="es-CO"/>
        </w:rPr>
        <w:t>Mediante el análisis de la contratación realizada por la Entidad, se reconoce que los siguientes procesos contractuales describen la adquisición de la dotación de Ley 70 de 1988 de la vigencia 2019 con recursos de la participación de Educación durante la vigencia 2020.</w:t>
      </w:r>
    </w:p>
    <w:p w14:paraId="2A6F124A" w14:textId="77777777" w:rsidR="00E77ABE" w:rsidRPr="00DB281B" w:rsidRDefault="00E77ABE" w:rsidP="00DB281B">
      <w:pPr>
        <w:jc w:val="both"/>
        <w:rPr>
          <w:rFonts w:ascii="Arial" w:hAnsi="Arial" w:cs="Arial"/>
          <w:color w:val="000000"/>
          <w:sz w:val="22"/>
          <w:szCs w:val="22"/>
          <w:lang w:val="es-CO"/>
        </w:rPr>
      </w:pPr>
    </w:p>
    <w:p w14:paraId="430C28DF" w14:textId="77777777" w:rsidR="00C50267" w:rsidRPr="00DB281B" w:rsidRDefault="00C50267" w:rsidP="00DB281B">
      <w:pPr>
        <w:pStyle w:val="Prrafodelista"/>
        <w:numPr>
          <w:ilvl w:val="0"/>
          <w:numId w:val="58"/>
        </w:numPr>
        <w:ind w:left="426" w:hanging="426"/>
        <w:jc w:val="both"/>
        <w:rPr>
          <w:rFonts w:ascii="Arial" w:hAnsi="Arial" w:cs="Arial"/>
          <w:color w:val="000000"/>
          <w:sz w:val="22"/>
          <w:szCs w:val="22"/>
          <w:lang w:val="es-CO"/>
        </w:rPr>
      </w:pPr>
      <w:r w:rsidRPr="00DB281B">
        <w:rPr>
          <w:rFonts w:ascii="Arial" w:hAnsi="Arial" w:cs="Arial"/>
          <w:color w:val="000000"/>
          <w:sz w:val="22"/>
          <w:szCs w:val="22"/>
          <w:lang w:val="es-CO"/>
        </w:rPr>
        <w:t>Contrato No. SE-SA-222-2020 del 29 de septiembre del 2020 (orden de compra No. 55923) con objeto contractual: “</w:t>
      </w:r>
      <w:r w:rsidRPr="00DB281B">
        <w:rPr>
          <w:rFonts w:ascii="Arial" w:hAnsi="Arial" w:cs="Arial"/>
          <w:i/>
          <w:color w:val="000000"/>
          <w:sz w:val="22"/>
          <w:szCs w:val="22"/>
          <w:lang w:val="es-CO"/>
        </w:rPr>
        <w:t>Suministro de vestido y calzado de labor, dotación de ley, para los docentes que ostenten el derecho y que se relacionan en el anexo 1 beneficiarios vigencia 2019 y 2020”</w:t>
      </w:r>
      <w:r w:rsidRPr="00DB281B">
        <w:rPr>
          <w:rFonts w:ascii="Arial" w:hAnsi="Arial" w:cs="Arial"/>
          <w:color w:val="000000"/>
          <w:sz w:val="22"/>
          <w:szCs w:val="22"/>
          <w:lang w:val="es-CO"/>
        </w:rPr>
        <w:t xml:space="preserve"> por un valor de $150 millones. </w:t>
      </w:r>
    </w:p>
    <w:p w14:paraId="4488BD44" w14:textId="77777777" w:rsidR="00C50267" w:rsidRPr="00DB281B" w:rsidRDefault="00C50267" w:rsidP="00DB281B">
      <w:pPr>
        <w:pStyle w:val="Prrafodelista"/>
        <w:numPr>
          <w:ilvl w:val="0"/>
          <w:numId w:val="58"/>
        </w:numPr>
        <w:ind w:left="426" w:hanging="426"/>
        <w:jc w:val="both"/>
        <w:rPr>
          <w:rFonts w:ascii="Arial" w:hAnsi="Arial" w:cs="Arial"/>
          <w:color w:val="000000"/>
          <w:sz w:val="22"/>
          <w:szCs w:val="22"/>
          <w:lang w:val="es-CO"/>
        </w:rPr>
      </w:pPr>
      <w:r w:rsidRPr="00DB281B">
        <w:rPr>
          <w:rFonts w:ascii="Arial" w:hAnsi="Arial" w:cs="Arial"/>
          <w:color w:val="000000"/>
          <w:sz w:val="22"/>
          <w:szCs w:val="22"/>
          <w:lang w:val="es-CO"/>
        </w:rPr>
        <w:t>Contrato No. SE-SA-223-2020 del 29 de septiembre del 2020 (orden de compra No. 55925) con objeto contractual: “</w:t>
      </w:r>
      <w:r w:rsidRPr="00DB281B">
        <w:rPr>
          <w:rFonts w:ascii="Arial" w:hAnsi="Arial" w:cs="Arial"/>
          <w:i/>
          <w:color w:val="000000"/>
          <w:sz w:val="22"/>
          <w:szCs w:val="22"/>
          <w:lang w:val="es-CO"/>
        </w:rPr>
        <w:t>Suministro de vestido y calzado de labor, dotación de ley, para los docentes que ostenten el derecho y que se relacionan en el anexo 1 beneficiarios vigencia 2019 y 2020”</w:t>
      </w:r>
      <w:r w:rsidRPr="00DB281B">
        <w:rPr>
          <w:rFonts w:ascii="Arial" w:hAnsi="Arial" w:cs="Arial"/>
          <w:color w:val="000000"/>
          <w:sz w:val="22"/>
          <w:szCs w:val="22"/>
          <w:lang w:val="es-CO"/>
        </w:rPr>
        <w:t xml:space="preserve"> por un valor de $31 millones.</w:t>
      </w:r>
    </w:p>
    <w:p w14:paraId="4CD1B3C4" w14:textId="77777777" w:rsidR="00C50267" w:rsidRPr="00DB281B" w:rsidRDefault="00C50267" w:rsidP="00DB281B">
      <w:pPr>
        <w:pStyle w:val="Prrafodelista"/>
        <w:numPr>
          <w:ilvl w:val="0"/>
          <w:numId w:val="58"/>
        </w:numPr>
        <w:ind w:left="426" w:hanging="426"/>
        <w:jc w:val="both"/>
        <w:rPr>
          <w:rFonts w:ascii="Arial" w:hAnsi="Arial" w:cs="Arial"/>
          <w:color w:val="000000"/>
          <w:sz w:val="22"/>
          <w:szCs w:val="22"/>
          <w:lang w:val="es-CO"/>
        </w:rPr>
      </w:pPr>
      <w:r w:rsidRPr="00DB281B">
        <w:rPr>
          <w:rFonts w:ascii="Arial" w:hAnsi="Arial" w:cs="Arial"/>
          <w:color w:val="000000"/>
          <w:sz w:val="22"/>
          <w:szCs w:val="22"/>
          <w:lang w:val="es-CO"/>
        </w:rPr>
        <w:t>Contrato No. SE-SA-224-2020 del 29 de septiembre del 2020 (orden de compra No. 55926) con objeto contractual: “</w:t>
      </w:r>
      <w:r w:rsidRPr="00DB281B">
        <w:rPr>
          <w:rFonts w:ascii="Arial" w:hAnsi="Arial" w:cs="Arial"/>
          <w:i/>
          <w:color w:val="000000"/>
          <w:sz w:val="22"/>
          <w:szCs w:val="22"/>
          <w:lang w:val="es-CO"/>
        </w:rPr>
        <w:t>Suministro de vestido y calzado de labor, dotación de ley, para los docentes que ostenten el derecho y que se relacionan en el anexo 1 beneficiarios vigencia 2019 y 2020”</w:t>
      </w:r>
      <w:r w:rsidRPr="00DB281B">
        <w:rPr>
          <w:rFonts w:ascii="Arial" w:hAnsi="Arial" w:cs="Arial"/>
          <w:color w:val="000000"/>
          <w:sz w:val="22"/>
          <w:szCs w:val="22"/>
          <w:lang w:val="es-CO"/>
        </w:rPr>
        <w:t xml:space="preserve"> por un valor de $59 millones.</w:t>
      </w:r>
    </w:p>
    <w:p w14:paraId="23EA4CC8" w14:textId="77777777" w:rsidR="00C50267" w:rsidRPr="00DB281B" w:rsidRDefault="00C50267" w:rsidP="00DB281B">
      <w:pPr>
        <w:pStyle w:val="Prrafodelista"/>
        <w:numPr>
          <w:ilvl w:val="0"/>
          <w:numId w:val="58"/>
        </w:numPr>
        <w:ind w:left="426" w:hanging="426"/>
        <w:jc w:val="both"/>
        <w:rPr>
          <w:rFonts w:ascii="Arial" w:hAnsi="Arial" w:cs="Arial"/>
          <w:color w:val="000000"/>
          <w:sz w:val="22"/>
          <w:szCs w:val="22"/>
          <w:lang w:val="es-CO"/>
        </w:rPr>
      </w:pPr>
      <w:r w:rsidRPr="00DB281B">
        <w:rPr>
          <w:rFonts w:ascii="Arial" w:hAnsi="Arial" w:cs="Arial"/>
          <w:color w:val="000000"/>
          <w:sz w:val="22"/>
          <w:szCs w:val="22"/>
          <w:lang w:val="es-CO"/>
        </w:rPr>
        <w:t>Contrato No. SE-SA-225-2020 del 29 de septiembre del 2020 (orden de compra No. 55930) con objeto contractual: “</w:t>
      </w:r>
      <w:r w:rsidRPr="00DB281B">
        <w:rPr>
          <w:rFonts w:ascii="Arial" w:hAnsi="Arial" w:cs="Arial"/>
          <w:i/>
          <w:color w:val="000000"/>
          <w:sz w:val="22"/>
          <w:szCs w:val="22"/>
          <w:lang w:val="es-CO"/>
        </w:rPr>
        <w:t>Suministro de vestido y calzado de labor, dotación de ley, para los docentes que ostenten el derecho y que se relacionan en el anexo 1 beneficiarios vigencia 2019 y 2020”</w:t>
      </w:r>
      <w:r w:rsidRPr="00DB281B">
        <w:rPr>
          <w:rFonts w:ascii="Arial" w:hAnsi="Arial" w:cs="Arial"/>
          <w:color w:val="000000"/>
          <w:sz w:val="22"/>
          <w:szCs w:val="22"/>
          <w:lang w:val="es-CO"/>
        </w:rPr>
        <w:t xml:space="preserve"> por un valor de $66 millones.</w:t>
      </w:r>
    </w:p>
    <w:p w14:paraId="25101D04" w14:textId="77777777" w:rsidR="00DB281B" w:rsidRDefault="00DB281B" w:rsidP="00DB281B">
      <w:pPr>
        <w:jc w:val="both"/>
        <w:rPr>
          <w:rFonts w:ascii="Arial" w:hAnsi="Arial" w:cs="Arial"/>
          <w:color w:val="000000"/>
          <w:sz w:val="22"/>
          <w:szCs w:val="22"/>
          <w:lang w:val="es-CO"/>
        </w:rPr>
      </w:pPr>
    </w:p>
    <w:p w14:paraId="6E9061AE" w14:textId="73DDF515" w:rsidR="00C50267" w:rsidRPr="00DB281B" w:rsidRDefault="00C50267" w:rsidP="00DB281B">
      <w:pPr>
        <w:jc w:val="both"/>
        <w:rPr>
          <w:rFonts w:ascii="Arial" w:hAnsi="Arial" w:cs="Arial"/>
          <w:sz w:val="22"/>
          <w:szCs w:val="22"/>
          <w:lang w:val="es-CO"/>
        </w:rPr>
      </w:pPr>
      <w:r w:rsidRPr="00DB281B">
        <w:rPr>
          <w:rFonts w:ascii="Arial" w:hAnsi="Arial" w:cs="Arial"/>
          <w:color w:val="000000"/>
          <w:sz w:val="22"/>
          <w:szCs w:val="22"/>
          <w:lang w:val="es-CO"/>
        </w:rPr>
        <w:t xml:space="preserve">Como permiten entrever los objetos contractuales de los anteriores 4 contratos, el Departamento de Cundinamarca está entregando de manera tardía la dotacional al personal, según los parámetros establecidos legalmente. Frente a lo cual se recuerda, que </w:t>
      </w:r>
      <w:r w:rsidRPr="00DB281B">
        <w:rPr>
          <w:rFonts w:ascii="Arial" w:hAnsi="Arial" w:cs="Arial"/>
          <w:sz w:val="22"/>
          <w:szCs w:val="22"/>
          <w:lang w:val="es-CO"/>
        </w:rPr>
        <w:t>el Ministerio de Educación Nacional en virtud del artículo 15 de la Ley 715 de 2001, mensualmente gira los recursos del Sistema General de Participaciones del Sector Educación en el Componente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w:t>
      </w:r>
    </w:p>
    <w:p w14:paraId="18ACE6E2" w14:textId="77777777" w:rsidR="00E77ABE" w:rsidRPr="00DB281B" w:rsidRDefault="00E77ABE" w:rsidP="00DB281B">
      <w:pPr>
        <w:jc w:val="both"/>
        <w:rPr>
          <w:rFonts w:ascii="Arial" w:hAnsi="Arial" w:cs="Arial"/>
          <w:sz w:val="22"/>
          <w:szCs w:val="22"/>
          <w:lang w:val="es-CO"/>
        </w:rPr>
      </w:pPr>
    </w:p>
    <w:p w14:paraId="340045ED" w14:textId="408A22FB" w:rsidR="00C50267" w:rsidRPr="00DB281B" w:rsidRDefault="00C50267" w:rsidP="00DB281B">
      <w:pPr>
        <w:jc w:val="both"/>
        <w:rPr>
          <w:rFonts w:ascii="Arial" w:hAnsi="Arial" w:cs="Arial"/>
          <w:bCs/>
          <w:sz w:val="22"/>
          <w:szCs w:val="22"/>
          <w:lang w:val="es-CO"/>
        </w:rPr>
      </w:pPr>
      <w:r w:rsidRPr="00DB281B">
        <w:rPr>
          <w:rFonts w:ascii="Arial" w:hAnsi="Arial" w:cs="Arial"/>
          <w:sz w:val="22"/>
          <w:szCs w:val="22"/>
          <w:lang w:val="es-CO"/>
        </w:rPr>
        <w:t xml:space="preserve">Por lo anterior, </w:t>
      </w:r>
      <w:r w:rsidRPr="00DB281B">
        <w:rPr>
          <w:rFonts w:ascii="Arial" w:hAnsi="Arial" w:cs="Arial"/>
          <w:bCs/>
          <w:sz w:val="22"/>
          <w:szCs w:val="22"/>
          <w:lang w:val="es-CO"/>
        </w:rPr>
        <w:t>la Dirección General de Apoyo Fiscal ha considerado que si la Entidad Territorial por falta de planeación y administración del recurso para la entrega del calzado y vestuario conforme la ley, generó deudas por este concepto, estos pasivos no debieron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 Circular 18 de 2016.</w:t>
      </w:r>
    </w:p>
    <w:p w14:paraId="68CE1BB1" w14:textId="77777777" w:rsidR="00DB281B" w:rsidRDefault="00DB281B" w:rsidP="00DB281B">
      <w:pPr>
        <w:jc w:val="both"/>
        <w:rPr>
          <w:rFonts w:ascii="Arial" w:hAnsi="Arial" w:cs="Arial"/>
          <w:bCs/>
          <w:sz w:val="22"/>
          <w:szCs w:val="22"/>
          <w:lang w:val="es-CO"/>
        </w:rPr>
      </w:pPr>
    </w:p>
    <w:p w14:paraId="0987565D" w14:textId="7121422B" w:rsidR="00C50267" w:rsidRPr="00DB281B" w:rsidRDefault="003571F2" w:rsidP="00DB281B">
      <w:pPr>
        <w:jc w:val="both"/>
        <w:rPr>
          <w:rFonts w:ascii="Arial" w:hAnsi="Arial" w:cs="Arial"/>
          <w:b/>
          <w:bCs/>
          <w:sz w:val="22"/>
          <w:szCs w:val="22"/>
          <w:lang w:val="es-CO"/>
        </w:rPr>
      </w:pPr>
      <w:r w:rsidRPr="00DB281B">
        <w:rPr>
          <w:rFonts w:ascii="Arial" w:hAnsi="Arial" w:cs="Arial"/>
          <w:bCs/>
          <w:sz w:val="22"/>
          <w:szCs w:val="22"/>
          <w:lang w:val="es-CO"/>
        </w:rPr>
        <w:lastRenderedPageBreak/>
        <w:t>A</w:t>
      </w:r>
      <w:r w:rsidR="00C50267" w:rsidRPr="00DB281B">
        <w:rPr>
          <w:rFonts w:ascii="Arial" w:hAnsi="Arial" w:cs="Arial"/>
          <w:bCs/>
          <w:sz w:val="22"/>
          <w:szCs w:val="22"/>
          <w:lang w:val="es-CO"/>
        </w:rPr>
        <w:t xml:space="preserve">sí, el Departamento de Cundinamarca deberá reinvertir en el sector educativo la proporción del valor que corresponde a la dotación de la vigencia 2019. No obstante, esta cuantía no pudo ser determinada, en la medida en que las órdenes de compra anexadas por la Entidad no permiten </w:t>
      </w:r>
      <w:r w:rsidR="00F538C5">
        <w:rPr>
          <w:rFonts w:ascii="Arial" w:hAnsi="Arial" w:cs="Arial"/>
          <w:bCs/>
          <w:sz w:val="22"/>
          <w:szCs w:val="22"/>
          <w:lang w:val="es-CO"/>
        </w:rPr>
        <w:t xml:space="preserve">identificar </w:t>
      </w:r>
      <w:r w:rsidR="00C50267" w:rsidRPr="00DB281B">
        <w:rPr>
          <w:rFonts w:ascii="Arial" w:hAnsi="Arial" w:cs="Arial"/>
          <w:bCs/>
          <w:sz w:val="22"/>
          <w:szCs w:val="22"/>
          <w:lang w:val="es-CO"/>
        </w:rPr>
        <w:t xml:space="preserve">la cantidad de bienes adquiridos para cada vigencia; tampoco fue posible encontrar el proceso dentro del SECOP y los informes de supervisión adjuntos tampoco hacen algún tipo de especificación; por lo anterior se hace necesario en visita de reconocimiento, solicitar a la </w:t>
      </w:r>
      <w:r w:rsidRPr="00DB281B">
        <w:rPr>
          <w:rFonts w:ascii="Arial" w:hAnsi="Arial" w:cs="Arial"/>
          <w:bCs/>
          <w:sz w:val="22"/>
          <w:szCs w:val="22"/>
          <w:lang w:val="es-CO"/>
        </w:rPr>
        <w:t>E</w:t>
      </w:r>
      <w:r w:rsidR="00C50267" w:rsidRPr="00DB281B">
        <w:rPr>
          <w:rFonts w:ascii="Arial" w:hAnsi="Arial" w:cs="Arial"/>
          <w:bCs/>
          <w:sz w:val="22"/>
          <w:szCs w:val="22"/>
          <w:lang w:val="es-CO"/>
        </w:rPr>
        <w:t>ntidad adjunte el listado de los funcionarios que recibieron la dotación adquirida en cada vigencia, junto con el valor de la misma por cada tercero, así como el link del SECOP relacionado al proceso contractual de cada minuta, y no el de las órdenes de compra (el cual ya fue suministrado por la ET).</w:t>
      </w:r>
    </w:p>
    <w:p w14:paraId="2C3B0943" w14:textId="77777777" w:rsidR="0041698C" w:rsidRPr="00F538C5" w:rsidRDefault="0041698C" w:rsidP="00DB281B">
      <w:pPr>
        <w:jc w:val="both"/>
        <w:rPr>
          <w:rFonts w:ascii="Arial" w:hAnsi="Arial" w:cs="Arial"/>
          <w:sz w:val="22"/>
          <w:szCs w:val="22"/>
        </w:rPr>
      </w:pPr>
    </w:p>
    <w:p w14:paraId="6FDF2308" w14:textId="77777777" w:rsidR="0041698C" w:rsidRPr="00F538C5" w:rsidRDefault="0041698C" w:rsidP="00DB281B">
      <w:pPr>
        <w:jc w:val="both"/>
        <w:rPr>
          <w:rFonts w:ascii="Arial" w:hAnsi="Arial" w:cs="Arial"/>
          <w:sz w:val="22"/>
          <w:szCs w:val="22"/>
          <w:lang w:val="es-ES_tradnl"/>
        </w:rPr>
      </w:pPr>
      <w:r w:rsidRPr="00F538C5">
        <w:rPr>
          <w:rFonts w:ascii="Arial" w:hAnsi="Arial" w:cs="Arial"/>
          <w:b/>
          <w:sz w:val="22"/>
          <w:szCs w:val="22"/>
          <w:lang w:val="es-ES_tradnl"/>
        </w:rPr>
        <w:t xml:space="preserve">Evidencia: </w:t>
      </w:r>
      <w:r w:rsidRPr="00F538C5">
        <w:rPr>
          <w:rFonts w:ascii="Arial" w:hAnsi="Arial" w:cs="Arial"/>
          <w:sz w:val="22"/>
          <w:szCs w:val="22"/>
          <w:lang w:val="es-ES_tradnl"/>
        </w:rPr>
        <w:t xml:space="preserve">Obra en el expediente el siguiente material probatorio: </w:t>
      </w:r>
    </w:p>
    <w:p w14:paraId="5E4FE5FC" w14:textId="1AEB9FE6" w:rsidR="0041698C" w:rsidRPr="00F538C5" w:rsidRDefault="0041698C"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sz w:val="22"/>
          <w:szCs w:val="22"/>
          <w:lang w:val="es-ES_tradnl"/>
        </w:rPr>
        <w:t>Ejecución presupuestal gastos vigencia 201</w:t>
      </w:r>
      <w:r w:rsidR="00C21190" w:rsidRPr="00F538C5">
        <w:rPr>
          <w:rFonts w:ascii="Arial" w:hAnsi="Arial" w:cs="Arial"/>
          <w:sz w:val="22"/>
          <w:szCs w:val="22"/>
          <w:lang w:val="es-ES_tradnl"/>
        </w:rPr>
        <w:t>9.</w:t>
      </w:r>
    </w:p>
    <w:p w14:paraId="5C6208EE" w14:textId="131876D3" w:rsidR="00C21190" w:rsidRPr="00F538C5" w:rsidRDefault="00830FF3" w:rsidP="00DB281B">
      <w:pPr>
        <w:pStyle w:val="Prrafodelista"/>
        <w:numPr>
          <w:ilvl w:val="0"/>
          <w:numId w:val="53"/>
        </w:numPr>
        <w:ind w:left="284" w:hanging="284"/>
        <w:jc w:val="both"/>
        <w:rPr>
          <w:rFonts w:ascii="Arial" w:hAnsi="Arial" w:cs="Arial"/>
          <w:sz w:val="22"/>
          <w:szCs w:val="22"/>
          <w:lang w:val="es-ES_tradnl"/>
        </w:rPr>
      </w:pPr>
      <w:bookmarkStart w:id="7" w:name="_Hlk75954479"/>
      <w:r w:rsidRPr="00F538C5">
        <w:rPr>
          <w:rFonts w:ascii="Arial" w:hAnsi="Arial" w:cs="Arial"/>
          <w:color w:val="000000"/>
          <w:sz w:val="22"/>
          <w:szCs w:val="22"/>
          <w:lang w:val="es-CO"/>
        </w:rPr>
        <w:t>Contrato No. SE-CMC-096-2019 del 08 de abril del 2019</w:t>
      </w:r>
      <w:r w:rsidR="00FD7B1D" w:rsidRPr="00F538C5">
        <w:rPr>
          <w:rFonts w:ascii="Arial" w:hAnsi="Arial" w:cs="Arial"/>
          <w:color w:val="000000"/>
          <w:sz w:val="22"/>
          <w:szCs w:val="22"/>
          <w:lang w:val="es-CO"/>
        </w:rPr>
        <w:t xml:space="preserve"> - Magnético</w:t>
      </w:r>
      <w:r w:rsidRPr="00F538C5">
        <w:rPr>
          <w:rFonts w:ascii="Arial" w:hAnsi="Arial" w:cs="Arial"/>
          <w:color w:val="000000"/>
          <w:sz w:val="22"/>
          <w:szCs w:val="22"/>
          <w:lang w:val="es-CO"/>
        </w:rPr>
        <w:t>.</w:t>
      </w:r>
    </w:p>
    <w:p w14:paraId="1298234C" w14:textId="64D45613" w:rsidR="00830FF3" w:rsidRPr="00F538C5" w:rsidRDefault="00EB7878"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color w:val="000000"/>
          <w:sz w:val="22"/>
          <w:szCs w:val="22"/>
          <w:lang w:val="es-CO"/>
        </w:rPr>
        <w:t>Contrato No. SE-SA-293-2019 del 26 de julio del 2019</w:t>
      </w:r>
      <w:r w:rsidR="00FD7B1D" w:rsidRPr="00F538C5">
        <w:rPr>
          <w:rFonts w:ascii="Arial" w:hAnsi="Arial" w:cs="Arial"/>
          <w:color w:val="000000"/>
          <w:sz w:val="22"/>
          <w:szCs w:val="22"/>
          <w:lang w:val="es-CO"/>
        </w:rPr>
        <w:t xml:space="preserve"> - Magnético</w:t>
      </w:r>
      <w:r w:rsidR="00BD3CEF" w:rsidRPr="00F538C5">
        <w:rPr>
          <w:rFonts w:ascii="Arial" w:hAnsi="Arial" w:cs="Arial"/>
          <w:color w:val="000000"/>
          <w:sz w:val="22"/>
          <w:szCs w:val="22"/>
          <w:lang w:val="es-CO"/>
        </w:rPr>
        <w:t>.</w:t>
      </w:r>
    </w:p>
    <w:p w14:paraId="18B4A0FF" w14:textId="15C06B3A" w:rsidR="00EB7878" w:rsidRPr="00F538C5" w:rsidRDefault="00BD3CEF"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color w:val="000000"/>
          <w:sz w:val="22"/>
          <w:szCs w:val="22"/>
          <w:lang w:val="es-CO"/>
        </w:rPr>
        <w:t>Contrato No. SE-SA-299-2019 del 26 de agosto del 2019</w:t>
      </w:r>
      <w:r w:rsidR="00FD7B1D" w:rsidRPr="00F538C5">
        <w:rPr>
          <w:rFonts w:ascii="Arial" w:hAnsi="Arial" w:cs="Arial"/>
          <w:color w:val="000000"/>
          <w:sz w:val="22"/>
          <w:szCs w:val="22"/>
          <w:lang w:val="es-CO"/>
        </w:rPr>
        <w:t xml:space="preserve"> - Magnético</w:t>
      </w:r>
      <w:r w:rsidRPr="00F538C5">
        <w:rPr>
          <w:rFonts w:ascii="Arial" w:hAnsi="Arial" w:cs="Arial"/>
          <w:color w:val="000000"/>
          <w:sz w:val="22"/>
          <w:szCs w:val="22"/>
          <w:lang w:val="es-CO"/>
        </w:rPr>
        <w:t>.</w:t>
      </w:r>
    </w:p>
    <w:p w14:paraId="67A1C200" w14:textId="0503C56F" w:rsidR="00BD3CEF" w:rsidRPr="00F538C5" w:rsidRDefault="009714F1"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color w:val="000000"/>
          <w:sz w:val="22"/>
          <w:szCs w:val="22"/>
          <w:lang w:val="es-CO"/>
        </w:rPr>
        <w:t>Contrato No. SE-SA-300-2019 del 26 de agosto del 2019</w:t>
      </w:r>
      <w:r w:rsidR="00FD7B1D" w:rsidRPr="00F538C5">
        <w:rPr>
          <w:rFonts w:ascii="Arial" w:hAnsi="Arial" w:cs="Arial"/>
          <w:color w:val="000000"/>
          <w:sz w:val="22"/>
          <w:szCs w:val="22"/>
          <w:lang w:val="es-CO"/>
        </w:rPr>
        <w:t xml:space="preserve"> - Magnético</w:t>
      </w:r>
      <w:r w:rsidRPr="00F538C5">
        <w:rPr>
          <w:rFonts w:ascii="Arial" w:hAnsi="Arial" w:cs="Arial"/>
          <w:color w:val="000000"/>
          <w:sz w:val="22"/>
          <w:szCs w:val="22"/>
          <w:lang w:val="es-CO"/>
        </w:rPr>
        <w:t>.</w:t>
      </w:r>
    </w:p>
    <w:p w14:paraId="2AA6A7A1" w14:textId="2C932796" w:rsidR="009714F1" w:rsidRPr="00F538C5" w:rsidRDefault="00FD7B1D"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color w:val="000000"/>
          <w:sz w:val="22"/>
          <w:szCs w:val="22"/>
          <w:lang w:val="es-CO"/>
        </w:rPr>
        <w:t>Contrato No. SE-SA-222-2020 del 29 de septiembre del 2020 (orden de compra No. 55923) – Magnético.</w:t>
      </w:r>
    </w:p>
    <w:p w14:paraId="24628268" w14:textId="0817E8BD" w:rsidR="00FD7B1D" w:rsidRPr="00F538C5" w:rsidRDefault="00A06C93"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color w:val="000000"/>
          <w:sz w:val="22"/>
          <w:szCs w:val="22"/>
          <w:lang w:val="es-CO"/>
        </w:rPr>
        <w:t>Contrato No. SE-SA-223-2020 del 29 de septiembre del 2020 (orden de compra No. 55925) – Magnético.</w:t>
      </w:r>
    </w:p>
    <w:p w14:paraId="1848593A" w14:textId="3FD55A89" w:rsidR="00A06C93" w:rsidRPr="00F538C5" w:rsidRDefault="00BE7EDB"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color w:val="000000"/>
          <w:sz w:val="22"/>
          <w:szCs w:val="22"/>
          <w:lang w:val="es-CO"/>
        </w:rPr>
        <w:t>Contrato No. SE-SA-224-2020 del 29 de septiembre del 2020 (orden de compra No. 55926) – Magnético.</w:t>
      </w:r>
    </w:p>
    <w:p w14:paraId="0D53CB3E" w14:textId="4CD77FC9" w:rsidR="0041698C" w:rsidRPr="00F538C5" w:rsidRDefault="00B60CA2" w:rsidP="00DB281B">
      <w:pPr>
        <w:pStyle w:val="Prrafodelista"/>
        <w:numPr>
          <w:ilvl w:val="0"/>
          <w:numId w:val="53"/>
        </w:numPr>
        <w:ind w:left="284" w:hanging="284"/>
        <w:jc w:val="both"/>
        <w:rPr>
          <w:rFonts w:ascii="Arial" w:eastAsia="Calibri" w:hAnsi="Arial" w:cs="Arial"/>
          <w:sz w:val="22"/>
          <w:szCs w:val="22"/>
          <w:lang w:val="es-ES_tradnl" w:eastAsia="en-US"/>
        </w:rPr>
      </w:pPr>
      <w:r w:rsidRPr="00F538C5">
        <w:rPr>
          <w:rFonts w:ascii="Arial" w:hAnsi="Arial" w:cs="Arial"/>
          <w:color w:val="000000"/>
          <w:sz w:val="22"/>
          <w:szCs w:val="22"/>
          <w:lang w:val="es-CO"/>
        </w:rPr>
        <w:t>Contrato No. SE-SA-225-2020 del 29 de septiembre del 2020 (orden de compra No. 55930) – Magnético.</w:t>
      </w:r>
    </w:p>
    <w:bookmarkEnd w:id="7"/>
    <w:p w14:paraId="0528EC37" w14:textId="77777777" w:rsidR="00B60CA2" w:rsidRPr="00F538C5" w:rsidRDefault="00B60CA2" w:rsidP="00DB281B">
      <w:pPr>
        <w:jc w:val="both"/>
        <w:rPr>
          <w:rFonts w:ascii="Arial" w:eastAsia="Calibri" w:hAnsi="Arial" w:cs="Arial"/>
          <w:sz w:val="22"/>
          <w:szCs w:val="22"/>
          <w:lang w:val="es-ES_tradnl" w:eastAsia="en-US"/>
        </w:rPr>
      </w:pPr>
    </w:p>
    <w:p w14:paraId="62A8D340" w14:textId="066A9C69" w:rsidR="0041698C" w:rsidRPr="00DB281B" w:rsidRDefault="0041698C" w:rsidP="00DB281B">
      <w:pPr>
        <w:pStyle w:val="Ttulo3"/>
        <w:numPr>
          <w:ilvl w:val="1"/>
          <w:numId w:val="10"/>
        </w:numPr>
        <w:spacing w:before="0"/>
        <w:ind w:left="426" w:hanging="426"/>
        <w:jc w:val="both"/>
        <w:rPr>
          <w:rFonts w:ascii="Arial" w:eastAsia="Calibri" w:hAnsi="Arial" w:cs="Arial"/>
          <w:b/>
          <w:color w:val="auto"/>
          <w:sz w:val="22"/>
          <w:szCs w:val="22"/>
          <w:lang w:val="es-ES_tradnl" w:eastAsia="en-US"/>
        </w:rPr>
      </w:pPr>
      <w:r w:rsidRPr="00DB281B">
        <w:rPr>
          <w:rFonts w:ascii="Arial" w:eastAsia="Calibri" w:hAnsi="Arial" w:cs="Arial"/>
          <w:b/>
          <w:color w:val="auto"/>
          <w:sz w:val="22"/>
          <w:szCs w:val="22"/>
          <w:lang w:val="es-ES_tradnl" w:eastAsia="en-US"/>
        </w:rPr>
        <w:t>Falta de ejecución de los recursos de conectividad.</w:t>
      </w:r>
    </w:p>
    <w:p w14:paraId="01BD3444" w14:textId="77777777" w:rsidR="0041698C" w:rsidRPr="00DB281B" w:rsidRDefault="0041698C" w:rsidP="00DB281B">
      <w:pPr>
        <w:rPr>
          <w:rFonts w:ascii="Arial" w:hAnsi="Arial" w:cs="Arial"/>
          <w:sz w:val="22"/>
          <w:szCs w:val="22"/>
        </w:rPr>
      </w:pPr>
    </w:p>
    <w:p w14:paraId="6BDA063F" w14:textId="2D1A442B" w:rsidR="0041698C" w:rsidRPr="00DB281B" w:rsidRDefault="00B60CA2" w:rsidP="00DB281B">
      <w:pPr>
        <w:jc w:val="both"/>
        <w:rPr>
          <w:rFonts w:ascii="Arial" w:hAnsi="Arial" w:cs="Arial"/>
          <w:sz w:val="22"/>
          <w:szCs w:val="22"/>
          <w:lang w:val="es-ES_tradnl"/>
        </w:rPr>
      </w:pPr>
      <w:r w:rsidRPr="00DB281B">
        <w:rPr>
          <w:rFonts w:ascii="Arial" w:hAnsi="Arial" w:cs="Arial"/>
          <w:sz w:val="22"/>
          <w:szCs w:val="22"/>
          <w:lang w:val="es-CO"/>
        </w:rPr>
        <w:t xml:space="preserve">En la revisión de la documentación allegada por la Entidad no se evidencia </w:t>
      </w:r>
      <w:r w:rsidR="002E2B19" w:rsidRPr="00DB281B">
        <w:rPr>
          <w:rFonts w:ascii="Arial" w:hAnsi="Arial" w:cs="Arial"/>
          <w:sz w:val="22"/>
          <w:szCs w:val="22"/>
          <w:lang w:val="es-CO"/>
        </w:rPr>
        <w:t xml:space="preserve">ningún proceso contractual asociado con la adquisición del servicio de conectividad para las instituciones educativas de su jurisdicción durante la vigencia 2021. En consecuencia, se recomienda solicitar en visita de reconocimiento la documentación asociada a los recursos asignados </w:t>
      </w:r>
      <w:r w:rsidR="00DE7E8E" w:rsidRPr="00DB281B">
        <w:rPr>
          <w:rFonts w:ascii="Arial" w:hAnsi="Arial" w:cs="Arial"/>
          <w:sz w:val="22"/>
          <w:szCs w:val="22"/>
          <w:lang w:val="es-CO"/>
        </w:rPr>
        <w:t xml:space="preserve">por </w:t>
      </w:r>
      <w:r w:rsidR="00DE7E8E" w:rsidRPr="00DB281B">
        <w:rPr>
          <w:rFonts w:ascii="Arial" w:hAnsi="Arial" w:cs="Arial"/>
          <w:sz w:val="22"/>
          <w:szCs w:val="22"/>
          <w:lang w:val="es-ES_tradnl"/>
        </w:rPr>
        <w:t xml:space="preserve">$2.153 millones </w:t>
      </w:r>
      <w:r w:rsidR="00BC63EC" w:rsidRPr="00DB281B">
        <w:rPr>
          <w:rFonts w:ascii="Arial" w:hAnsi="Arial" w:cs="Arial"/>
          <w:sz w:val="22"/>
          <w:szCs w:val="22"/>
          <w:lang w:val="es-ES_tradnl"/>
        </w:rPr>
        <w:t>para la financiación de este concepto.</w:t>
      </w:r>
      <w:r w:rsidR="0041698C" w:rsidRPr="00DB281B">
        <w:rPr>
          <w:rFonts w:ascii="Arial" w:hAnsi="Arial" w:cs="Arial"/>
          <w:sz w:val="22"/>
          <w:szCs w:val="22"/>
          <w:lang w:val="es-ES_tradnl"/>
        </w:rPr>
        <w:t xml:space="preserve"> </w:t>
      </w:r>
    </w:p>
    <w:p w14:paraId="262E8311" w14:textId="77777777" w:rsidR="0041698C" w:rsidRPr="00DB281B" w:rsidRDefault="0041698C" w:rsidP="00DB281B">
      <w:pPr>
        <w:pStyle w:val="Prrafodelista"/>
        <w:jc w:val="both"/>
        <w:rPr>
          <w:rFonts w:ascii="Arial" w:hAnsi="Arial" w:cs="Arial"/>
          <w:sz w:val="22"/>
          <w:szCs w:val="22"/>
          <w:lang w:val="es-ES_tradnl"/>
        </w:rPr>
      </w:pPr>
    </w:p>
    <w:p w14:paraId="6166F778" w14:textId="77777777" w:rsidR="0041698C" w:rsidRPr="00DB281B" w:rsidRDefault="0041698C" w:rsidP="00DB281B">
      <w:pPr>
        <w:pStyle w:val="Ttulo2"/>
        <w:numPr>
          <w:ilvl w:val="0"/>
          <w:numId w:val="10"/>
        </w:numPr>
        <w:spacing w:before="0"/>
        <w:ind w:left="426" w:hanging="426"/>
        <w:rPr>
          <w:rFonts w:ascii="Arial" w:hAnsi="Arial" w:cs="Arial"/>
          <w:b/>
          <w:color w:val="auto"/>
          <w:sz w:val="22"/>
          <w:szCs w:val="22"/>
          <w:lang w:val="es-ES_tradnl"/>
        </w:rPr>
      </w:pPr>
      <w:r w:rsidRPr="00DB281B">
        <w:rPr>
          <w:rFonts w:ascii="Arial" w:hAnsi="Arial" w:cs="Arial"/>
          <w:b/>
          <w:color w:val="auto"/>
          <w:sz w:val="22"/>
          <w:szCs w:val="22"/>
          <w:lang w:val="es-ES_tradnl"/>
        </w:rPr>
        <w:t>Recurso Humando del Sector</w:t>
      </w:r>
    </w:p>
    <w:p w14:paraId="46309DB2" w14:textId="77777777" w:rsidR="0041698C" w:rsidRPr="00DB281B" w:rsidRDefault="0041698C" w:rsidP="00DB281B">
      <w:pPr>
        <w:rPr>
          <w:rFonts w:ascii="Arial" w:hAnsi="Arial" w:cs="Arial"/>
          <w:sz w:val="22"/>
          <w:szCs w:val="22"/>
          <w:lang w:val="es-ES_tradnl"/>
        </w:rPr>
      </w:pPr>
    </w:p>
    <w:p w14:paraId="521E8D1B" w14:textId="0945DCF6" w:rsidR="0041698C" w:rsidRPr="00DB281B" w:rsidRDefault="00442521" w:rsidP="00DB281B">
      <w:pPr>
        <w:pStyle w:val="Ttulo3"/>
        <w:numPr>
          <w:ilvl w:val="1"/>
          <w:numId w:val="10"/>
        </w:numPr>
        <w:spacing w:before="0"/>
        <w:ind w:left="426" w:hanging="426"/>
        <w:jc w:val="both"/>
        <w:rPr>
          <w:rFonts w:ascii="Arial" w:hAnsi="Arial" w:cs="Arial"/>
          <w:b/>
          <w:color w:val="FF0000"/>
          <w:sz w:val="22"/>
          <w:szCs w:val="22"/>
          <w:lang w:val="es-ES_tradnl"/>
        </w:rPr>
      </w:pPr>
      <w:r w:rsidRPr="00DB281B">
        <w:rPr>
          <w:rFonts w:ascii="Arial" w:hAnsi="Arial" w:cs="Arial"/>
          <w:b/>
          <w:color w:val="auto"/>
          <w:sz w:val="22"/>
          <w:szCs w:val="22"/>
          <w:lang w:val="es-ES_tradnl"/>
        </w:rPr>
        <w:t>Emisión extemporánea del decreto de Zonas de Difícil Acceso</w:t>
      </w:r>
      <w:r w:rsidR="0041698C" w:rsidRPr="00DB281B">
        <w:rPr>
          <w:rFonts w:ascii="Arial" w:hAnsi="Arial" w:cs="Arial"/>
          <w:b/>
          <w:color w:val="auto"/>
          <w:sz w:val="22"/>
          <w:szCs w:val="22"/>
          <w:lang w:val="es-ES_tradnl"/>
        </w:rPr>
        <w:t>.</w:t>
      </w:r>
    </w:p>
    <w:p w14:paraId="79181DAC" w14:textId="27148384" w:rsidR="0041698C" w:rsidRPr="00DB281B" w:rsidRDefault="0041698C" w:rsidP="00DB281B">
      <w:pPr>
        <w:rPr>
          <w:rFonts w:ascii="Arial" w:hAnsi="Arial" w:cs="Arial"/>
          <w:color w:val="FF0000"/>
          <w:sz w:val="22"/>
          <w:szCs w:val="22"/>
          <w:lang w:val="es-ES_tradnl"/>
        </w:rPr>
      </w:pPr>
    </w:p>
    <w:p w14:paraId="2DFBD31E" w14:textId="20511F10" w:rsidR="00F54927" w:rsidRPr="00DB281B" w:rsidRDefault="00F54927" w:rsidP="00DB281B">
      <w:pPr>
        <w:jc w:val="both"/>
        <w:rPr>
          <w:rFonts w:ascii="Arial" w:hAnsi="Arial" w:cs="Arial"/>
          <w:sz w:val="22"/>
          <w:szCs w:val="22"/>
        </w:rPr>
      </w:pPr>
      <w:r w:rsidRPr="00DB281B">
        <w:rPr>
          <w:rFonts w:ascii="Arial" w:hAnsi="Arial" w:cs="Arial"/>
          <w:sz w:val="22"/>
          <w:szCs w:val="22"/>
        </w:rPr>
        <w:t xml:space="preserve">De acuerdo por lo dispuesto por el artículo 2.4.4.1.2 del Decreto 1075 de 2015, </w:t>
      </w:r>
      <w:r w:rsidRPr="00DB281B">
        <w:rPr>
          <w:rFonts w:ascii="Arial" w:hAnsi="Arial" w:cs="Arial"/>
          <w:sz w:val="22"/>
          <w:szCs w:val="22"/>
          <w:lang w:val="es-ES_tradnl"/>
        </w:rPr>
        <w:t xml:space="preserve">las Entidades Territoriales deben determinar las zonas de difícil acceso de su jurisdicción y los establecimientos educativos que se encuentran en estas, </w:t>
      </w:r>
      <w:r w:rsidRPr="00DB281B">
        <w:rPr>
          <w:rFonts w:ascii="Arial" w:hAnsi="Arial" w:cs="Arial"/>
          <w:sz w:val="22"/>
          <w:szCs w:val="22"/>
        </w:rPr>
        <w:t xml:space="preserve">antes del primero de noviembre de cada año para el calendario "A" y antes del primero de julio para el calendario "B". </w:t>
      </w:r>
    </w:p>
    <w:p w14:paraId="30DEE032" w14:textId="77777777" w:rsidR="00F54927" w:rsidRPr="00DB281B" w:rsidRDefault="00F54927" w:rsidP="00DB281B">
      <w:pPr>
        <w:jc w:val="both"/>
        <w:rPr>
          <w:rFonts w:ascii="Arial" w:hAnsi="Arial" w:cs="Arial"/>
          <w:sz w:val="22"/>
          <w:szCs w:val="22"/>
        </w:rPr>
      </w:pPr>
    </w:p>
    <w:p w14:paraId="714B9DC7" w14:textId="775FF657" w:rsidR="00F54927" w:rsidRPr="00DB281B" w:rsidRDefault="00F54927" w:rsidP="00DB281B">
      <w:pPr>
        <w:jc w:val="both"/>
        <w:rPr>
          <w:rFonts w:ascii="Arial" w:hAnsi="Arial" w:cs="Arial"/>
          <w:sz w:val="22"/>
          <w:szCs w:val="22"/>
        </w:rPr>
      </w:pPr>
      <w:r w:rsidRPr="00DB281B">
        <w:rPr>
          <w:rFonts w:ascii="Arial" w:hAnsi="Arial" w:cs="Arial"/>
          <w:sz w:val="22"/>
          <w:szCs w:val="22"/>
        </w:rPr>
        <w:t xml:space="preserve">La Dirección General de Apoyo Fiscal ha considerado que si la Entidad Territorial determina las zonas de difícil acceso por fuera de los plazos establecidos, generando sobrecostos o deudas laborales, estos reconocimientos deben ser financiados con recursos propios de </w:t>
      </w:r>
      <w:r w:rsidRPr="00DB281B">
        <w:rPr>
          <w:rFonts w:ascii="Arial" w:hAnsi="Arial" w:cs="Arial"/>
          <w:sz w:val="22"/>
          <w:szCs w:val="22"/>
        </w:rPr>
        <w:lastRenderedPageBreak/>
        <w:t xml:space="preserve">libre destinación de la Entidad Territorial y no con cargo a los recursos del Sistema General de Participaciones ni subsidiariamente con Presupuesto General de la Nación, al carecer de fundamento legal y constitucional de acuerdo con </w:t>
      </w:r>
      <w:r w:rsidR="00F538C5">
        <w:rPr>
          <w:rFonts w:ascii="Arial" w:hAnsi="Arial" w:cs="Arial"/>
          <w:sz w:val="22"/>
          <w:szCs w:val="22"/>
        </w:rPr>
        <w:t>e</w:t>
      </w:r>
      <w:r w:rsidRPr="00DB281B">
        <w:rPr>
          <w:rFonts w:ascii="Arial" w:hAnsi="Arial" w:cs="Arial"/>
          <w:sz w:val="22"/>
          <w:szCs w:val="22"/>
        </w:rPr>
        <w:t xml:space="preserve">l artículo 148 de la Ley 1450 de 2011, dado que la deuda se originó por la omisión de la Entidad Territorial que contradijo el ordenamiento jurídico, posición que recogió el Ministerio de Educación Nacional hasta la expedición de la Circular 17 de 2016. </w:t>
      </w:r>
    </w:p>
    <w:p w14:paraId="7CF0BD4C" w14:textId="77777777" w:rsidR="00F54927" w:rsidRPr="00DB281B" w:rsidRDefault="00F54927" w:rsidP="00DB281B">
      <w:pPr>
        <w:jc w:val="both"/>
        <w:rPr>
          <w:rFonts w:ascii="Arial" w:hAnsi="Arial" w:cs="Arial"/>
          <w:sz w:val="22"/>
          <w:szCs w:val="22"/>
          <w:lang w:val="es-CO"/>
        </w:rPr>
      </w:pPr>
    </w:p>
    <w:p w14:paraId="3A9AFCED" w14:textId="7EA307AB" w:rsidR="00F54927" w:rsidRPr="00DB281B" w:rsidRDefault="00F54927" w:rsidP="00DB281B">
      <w:pPr>
        <w:jc w:val="both"/>
        <w:rPr>
          <w:rFonts w:ascii="Arial" w:hAnsi="Arial" w:cs="Arial"/>
          <w:sz w:val="22"/>
          <w:szCs w:val="22"/>
        </w:rPr>
      </w:pPr>
      <w:r w:rsidRPr="00DB281B">
        <w:rPr>
          <w:rFonts w:ascii="Arial" w:hAnsi="Arial" w:cs="Arial"/>
          <w:sz w:val="22"/>
          <w:szCs w:val="22"/>
          <w:lang w:val="es-CO"/>
        </w:rPr>
        <w:t xml:space="preserve">Por lo anterior, se identifica que la Entidad Territorial mediante la </w:t>
      </w:r>
      <w:r w:rsidR="007E71B0" w:rsidRPr="00DB281B">
        <w:rPr>
          <w:rFonts w:ascii="Arial" w:hAnsi="Arial" w:cs="Arial"/>
          <w:sz w:val="22"/>
          <w:szCs w:val="22"/>
          <w:lang w:val="es-CO"/>
        </w:rPr>
        <w:t>Decreto</w:t>
      </w:r>
      <w:r w:rsidRPr="00DB281B">
        <w:rPr>
          <w:rFonts w:ascii="Arial" w:hAnsi="Arial" w:cs="Arial"/>
          <w:sz w:val="22"/>
          <w:szCs w:val="22"/>
          <w:lang w:val="es-CO"/>
        </w:rPr>
        <w:t xml:space="preserve"> No. </w:t>
      </w:r>
      <w:r w:rsidR="007E71B0" w:rsidRPr="00DB281B">
        <w:rPr>
          <w:rFonts w:ascii="Arial" w:hAnsi="Arial" w:cs="Arial"/>
          <w:sz w:val="22"/>
          <w:szCs w:val="22"/>
          <w:lang w:val="es-CO"/>
        </w:rPr>
        <w:t>330</w:t>
      </w:r>
      <w:r w:rsidRPr="00DB281B">
        <w:rPr>
          <w:rFonts w:ascii="Arial" w:hAnsi="Arial" w:cs="Arial"/>
          <w:sz w:val="22"/>
          <w:szCs w:val="22"/>
          <w:lang w:val="es-CO"/>
        </w:rPr>
        <w:t xml:space="preserve"> del </w:t>
      </w:r>
      <w:r w:rsidR="007E71B0" w:rsidRPr="00DB281B">
        <w:rPr>
          <w:rFonts w:ascii="Arial" w:hAnsi="Arial" w:cs="Arial"/>
          <w:sz w:val="22"/>
          <w:szCs w:val="22"/>
          <w:lang w:val="es-ES_tradnl"/>
        </w:rPr>
        <w:t>02</w:t>
      </w:r>
      <w:r w:rsidRPr="00DB281B">
        <w:rPr>
          <w:rFonts w:ascii="Arial" w:hAnsi="Arial" w:cs="Arial"/>
          <w:sz w:val="22"/>
          <w:szCs w:val="22"/>
          <w:lang w:val="es-ES_tradnl"/>
        </w:rPr>
        <w:t xml:space="preserve"> de </w:t>
      </w:r>
      <w:r w:rsidR="007E71B0" w:rsidRPr="00DB281B">
        <w:rPr>
          <w:rFonts w:ascii="Arial" w:hAnsi="Arial" w:cs="Arial"/>
          <w:sz w:val="22"/>
          <w:szCs w:val="22"/>
          <w:lang w:val="es-ES_tradnl"/>
        </w:rPr>
        <w:t>julio</w:t>
      </w:r>
      <w:r w:rsidRPr="00DB281B">
        <w:rPr>
          <w:rFonts w:ascii="Arial" w:hAnsi="Arial" w:cs="Arial"/>
          <w:sz w:val="22"/>
          <w:szCs w:val="22"/>
          <w:lang w:val="es-ES_tradnl"/>
        </w:rPr>
        <w:t xml:space="preserve"> de </w:t>
      </w:r>
      <w:r w:rsidR="007E71B0" w:rsidRPr="00DB281B">
        <w:rPr>
          <w:rFonts w:ascii="Arial" w:hAnsi="Arial" w:cs="Arial"/>
          <w:sz w:val="22"/>
          <w:szCs w:val="22"/>
          <w:lang w:val="es-ES_tradnl"/>
        </w:rPr>
        <w:t>2020</w:t>
      </w:r>
      <w:r w:rsidRPr="00DB281B">
        <w:rPr>
          <w:rFonts w:ascii="Arial" w:hAnsi="Arial" w:cs="Arial"/>
          <w:sz w:val="22"/>
          <w:szCs w:val="22"/>
          <w:lang w:val="es-ES_tradnl"/>
        </w:rPr>
        <w:t xml:space="preserve"> </w:t>
      </w:r>
      <w:r w:rsidRPr="00DB281B">
        <w:rPr>
          <w:rFonts w:ascii="Arial" w:hAnsi="Arial" w:cs="Arial"/>
          <w:sz w:val="22"/>
          <w:szCs w:val="22"/>
          <w:lang w:val="es-CO"/>
        </w:rPr>
        <w:t xml:space="preserve">establece las zonas de difícil acceso para la vigencia </w:t>
      </w:r>
      <w:r w:rsidR="007E71B0" w:rsidRPr="00DB281B">
        <w:rPr>
          <w:rFonts w:ascii="Arial" w:hAnsi="Arial" w:cs="Arial"/>
          <w:sz w:val="22"/>
          <w:szCs w:val="22"/>
          <w:lang w:val="es-CO"/>
        </w:rPr>
        <w:t>2020</w:t>
      </w:r>
      <w:r w:rsidRPr="00DB281B">
        <w:rPr>
          <w:rFonts w:ascii="Arial" w:hAnsi="Arial" w:cs="Arial"/>
          <w:sz w:val="22"/>
          <w:szCs w:val="22"/>
          <w:lang w:val="es-CO"/>
        </w:rPr>
        <w:t xml:space="preserve">; este acto administrativo fue expedido de manera extemporánea de acuerdo al </w:t>
      </w:r>
      <w:r w:rsidRPr="00DB281B">
        <w:rPr>
          <w:rFonts w:ascii="Arial" w:hAnsi="Arial" w:cs="Arial"/>
          <w:sz w:val="22"/>
          <w:szCs w:val="22"/>
        </w:rPr>
        <w:t xml:space="preserve">término establecido en el artículo 2.4.4.1.2 del Decreto 1075 de 2015. En este sentido, el reconocimiento de la bonificación equivalente al quince por ciento (15%) del salario básico mensual a los docentes y directivos docentes que laboraron en zonas de difícil acceso para la vigencia </w:t>
      </w:r>
      <w:r w:rsidR="00F16548" w:rsidRPr="00DB281B">
        <w:rPr>
          <w:rFonts w:ascii="Arial" w:hAnsi="Arial" w:cs="Arial"/>
          <w:sz w:val="22"/>
          <w:szCs w:val="22"/>
        </w:rPr>
        <w:t>2020</w:t>
      </w:r>
      <w:r w:rsidRPr="00DB281B">
        <w:rPr>
          <w:rFonts w:ascii="Arial" w:hAnsi="Arial" w:cs="Arial"/>
          <w:sz w:val="22"/>
          <w:szCs w:val="22"/>
        </w:rPr>
        <w:t xml:space="preserve"> están basados en actos administrativos que fueron expedidos extemporáneamente, sin perjuicio de las sanciones establecidas en el artículo 2.4.4.1.10 del Decreto 1075 de 2015.</w:t>
      </w:r>
    </w:p>
    <w:p w14:paraId="66E5F4B9" w14:textId="77777777" w:rsidR="00F54927" w:rsidRPr="00DB281B" w:rsidRDefault="00F54927" w:rsidP="00DB281B">
      <w:pPr>
        <w:jc w:val="both"/>
        <w:rPr>
          <w:rFonts w:ascii="Arial" w:hAnsi="Arial" w:cs="Arial"/>
          <w:sz w:val="22"/>
          <w:szCs w:val="22"/>
        </w:rPr>
      </w:pPr>
    </w:p>
    <w:p w14:paraId="13A100C6" w14:textId="77777777" w:rsidR="00F54927" w:rsidRPr="00DB281B" w:rsidRDefault="00F54927" w:rsidP="00DB281B">
      <w:pPr>
        <w:jc w:val="both"/>
        <w:rPr>
          <w:rFonts w:ascii="Arial" w:eastAsia="Calibri" w:hAnsi="Arial" w:cs="Arial"/>
          <w:b/>
          <w:sz w:val="22"/>
          <w:szCs w:val="22"/>
          <w:lang w:val="es-ES_tradnl" w:eastAsia="en-US"/>
        </w:rPr>
      </w:pPr>
      <w:r w:rsidRPr="00DB281B">
        <w:rPr>
          <w:rFonts w:ascii="Arial" w:eastAsia="Calibri" w:hAnsi="Arial" w:cs="Arial"/>
          <w:b/>
          <w:sz w:val="22"/>
          <w:szCs w:val="22"/>
          <w:lang w:val="es-ES_tradnl" w:eastAsia="en-US"/>
        </w:rPr>
        <w:t xml:space="preserve">Evidencia: </w:t>
      </w:r>
      <w:r w:rsidRPr="00DB281B">
        <w:rPr>
          <w:rFonts w:ascii="Arial" w:hAnsi="Arial" w:cs="Arial"/>
          <w:sz w:val="22"/>
          <w:szCs w:val="22"/>
          <w:lang w:val="es-ES_tradnl"/>
        </w:rPr>
        <w:t>Obra en el expediente el siguiente material probatorio:</w:t>
      </w:r>
    </w:p>
    <w:p w14:paraId="22A76AB9" w14:textId="71333799" w:rsidR="00F54927" w:rsidRPr="00DB281B" w:rsidRDefault="00A83AB4" w:rsidP="00DB281B">
      <w:pPr>
        <w:numPr>
          <w:ilvl w:val="0"/>
          <w:numId w:val="27"/>
        </w:numPr>
        <w:ind w:left="284" w:hanging="284"/>
        <w:contextualSpacing/>
        <w:jc w:val="both"/>
        <w:rPr>
          <w:rFonts w:ascii="Arial" w:hAnsi="Arial" w:cs="Arial"/>
          <w:sz w:val="22"/>
          <w:szCs w:val="22"/>
          <w:lang w:val="es-ES_tradnl"/>
        </w:rPr>
      </w:pPr>
      <w:r w:rsidRPr="00DB281B">
        <w:rPr>
          <w:rFonts w:ascii="Arial" w:hAnsi="Arial" w:cs="Arial"/>
          <w:sz w:val="22"/>
          <w:szCs w:val="22"/>
          <w:lang w:val="es-ES_tradnl"/>
        </w:rPr>
        <w:t>Decreto No. 330 del 02 de julio de 2020 – Magnético.</w:t>
      </w:r>
    </w:p>
    <w:p w14:paraId="58BF781F" w14:textId="77777777" w:rsidR="0041698C" w:rsidRPr="00DB281B" w:rsidRDefault="0041698C" w:rsidP="00DB281B">
      <w:pPr>
        <w:pStyle w:val="Prrafodelista"/>
        <w:jc w:val="both"/>
        <w:rPr>
          <w:rFonts w:ascii="Arial" w:hAnsi="Arial" w:cs="Arial"/>
          <w:sz w:val="22"/>
          <w:szCs w:val="22"/>
          <w:lang w:val="es-CO"/>
        </w:rPr>
      </w:pPr>
    </w:p>
    <w:p w14:paraId="447011A2" w14:textId="77777777" w:rsidR="0041698C" w:rsidRPr="00DB281B" w:rsidRDefault="0041698C" w:rsidP="00DB281B">
      <w:pPr>
        <w:pStyle w:val="Ttulo2"/>
        <w:numPr>
          <w:ilvl w:val="0"/>
          <w:numId w:val="10"/>
        </w:numPr>
        <w:spacing w:before="0"/>
        <w:ind w:left="426" w:hanging="426"/>
        <w:rPr>
          <w:rFonts w:ascii="Arial" w:hAnsi="Arial" w:cs="Arial"/>
          <w:b/>
          <w:color w:val="auto"/>
          <w:sz w:val="22"/>
          <w:szCs w:val="22"/>
          <w:lang w:val="es-ES_tradnl"/>
        </w:rPr>
      </w:pPr>
      <w:r w:rsidRPr="00DB281B">
        <w:rPr>
          <w:rFonts w:ascii="Arial" w:hAnsi="Arial" w:cs="Arial"/>
          <w:b/>
          <w:color w:val="auto"/>
          <w:sz w:val="22"/>
          <w:szCs w:val="22"/>
          <w:lang w:val="es-ES_tradnl"/>
        </w:rPr>
        <w:t>Aspectos Jurídicos y Contractuales</w:t>
      </w:r>
    </w:p>
    <w:p w14:paraId="1A613B90" w14:textId="77777777" w:rsidR="0041698C" w:rsidRPr="00DB281B" w:rsidRDefault="0041698C" w:rsidP="00DB281B">
      <w:pPr>
        <w:rPr>
          <w:rFonts w:ascii="Arial" w:hAnsi="Arial" w:cs="Arial"/>
          <w:sz w:val="22"/>
          <w:szCs w:val="22"/>
          <w:lang w:val="es-ES_tradnl"/>
        </w:rPr>
      </w:pPr>
    </w:p>
    <w:p w14:paraId="1F36B046" w14:textId="77777777" w:rsidR="0041698C" w:rsidRPr="00DB281B" w:rsidRDefault="0041698C" w:rsidP="00DB281B">
      <w:pPr>
        <w:pStyle w:val="Ttulo3"/>
        <w:numPr>
          <w:ilvl w:val="1"/>
          <w:numId w:val="10"/>
        </w:numPr>
        <w:spacing w:before="0"/>
        <w:ind w:left="426" w:hanging="426"/>
        <w:jc w:val="both"/>
        <w:rPr>
          <w:rFonts w:ascii="Arial" w:hAnsi="Arial" w:cs="Arial"/>
          <w:b/>
          <w:color w:val="auto"/>
          <w:sz w:val="22"/>
          <w:szCs w:val="22"/>
          <w:lang w:val="es-ES_tradnl"/>
        </w:rPr>
      </w:pPr>
      <w:r w:rsidRPr="00DB281B">
        <w:rPr>
          <w:rFonts w:ascii="Arial" w:hAnsi="Arial" w:cs="Arial"/>
          <w:b/>
          <w:color w:val="auto"/>
          <w:sz w:val="22"/>
          <w:szCs w:val="22"/>
          <w:lang w:val="es-ES_tradnl"/>
        </w:rPr>
        <w:t>Incumplimiento en la calidad de los reportes de los contratos en el SECOP.</w:t>
      </w:r>
    </w:p>
    <w:p w14:paraId="1015204F" w14:textId="77777777" w:rsidR="0041698C" w:rsidRPr="00F538C5" w:rsidRDefault="0041698C" w:rsidP="00DB281B">
      <w:pPr>
        <w:rPr>
          <w:rFonts w:ascii="Arial" w:hAnsi="Arial" w:cs="Arial"/>
          <w:sz w:val="22"/>
          <w:szCs w:val="22"/>
          <w:lang w:val="es-ES_tradnl"/>
        </w:rPr>
      </w:pPr>
    </w:p>
    <w:p w14:paraId="3AC2B9D2" w14:textId="77777777" w:rsidR="008C3642" w:rsidRPr="00F538C5" w:rsidRDefault="008C3642" w:rsidP="00DB281B">
      <w:pPr>
        <w:pStyle w:val="Sinespaciado"/>
        <w:jc w:val="both"/>
        <w:rPr>
          <w:rFonts w:ascii="Arial" w:hAnsi="Arial" w:cs="Arial"/>
          <w:lang w:val="es-ES"/>
        </w:rPr>
      </w:pPr>
      <w:r w:rsidRPr="00F538C5">
        <w:rPr>
          <w:rFonts w:ascii="Arial" w:hAnsi="Arial" w:cs="Arial"/>
          <w:lang w:val="es-ES"/>
        </w:rPr>
        <w:t>El Decreto 1082 de 2015 establece en el artículo 2.2.1.1.1.7.1 que: “</w:t>
      </w:r>
      <w:r w:rsidRPr="00F538C5">
        <w:rPr>
          <w:rFonts w:ascii="Arial" w:hAnsi="Arial" w:cs="Arial"/>
          <w:i/>
          <w:lang w:val="es-ES"/>
        </w:rPr>
        <w:t>La Entidad Estatal está obligada a publicar en el SECOP los Documentos del Proceso y los actos administrativos del Proceso de Contratación, dentro de los tres (3) días siguientes a su expedición […]</w:t>
      </w:r>
      <w:r w:rsidRPr="00F538C5">
        <w:rPr>
          <w:rFonts w:ascii="Arial" w:hAnsi="Arial" w:cs="Arial"/>
          <w:lang w:val="es-ES"/>
        </w:rPr>
        <w:t>”. De la misma forma, el artículo 2.1.1.2.1.8 del Decreto 1081 de 2015 demanda que, “</w:t>
      </w:r>
      <w:r w:rsidRPr="00F538C5">
        <w:rPr>
          <w:rFonts w:ascii="Arial" w:hAnsi="Arial" w:cs="Arial"/>
          <w:i/>
          <w:lang w:val="es-E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F538C5">
        <w:rPr>
          <w:rFonts w:ascii="Arial" w:hAnsi="Arial" w:cs="Arial"/>
          <w:lang w:val="es-ES"/>
        </w:rPr>
        <w:t>”.</w:t>
      </w:r>
    </w:p>
    <w:p w14:paraId="5B5F8720" w14:textId="77777777" w:rsidR="008C3642" w:rsidRPr="00F538C5" w:rsidRDefault="008C3642" w:rsidP="00DB281B">
      <w:pPr>
        <w:pStyle w:val="Sinespaciado"/>
        <w:jc w:val="both"/>
        <w:rPr>
          <w:rFonts w:ascii="Arial" w:hAnsi="Arial" w:cs="Arial"/>
        </w:rPr>
      </w:pPr>
    </w:p>
    <w:p w14:paraId="7ACFCEA8" w14:textId="3053BDC1" w:rsidR="008C3642" w:rsidRPr="00F538C5" w:rsidRDefault="008C3642" w:rsidP="00DB281B">
      <w:pPr>
        <w:jc w:val="both"/>
        <w:rPr>
          <w:rFonts w:ascii="Arial" w:hAnsi="Arial" w:cs="Arial"/>
          <w:sz w:val="22"/>
          <w:szCs w:val="22"/>
          <w:lang w:val="es-CO"/>
        </w:rPr>
      </w:pPr>
      <w:r w:rsidRPr="00F538C5">
        <w:rPr>
          <w:rFonts w:ascii="Arial" w:hAnsi="Arial" w:cs="Arial"/>
          <w:sz w:val="22"/>
          <w:szCs w:val="22"/>
          <w:lang w:val="es-CO"/>
        </w:rPr>
        <w:t>Al contrastar el listado de contratos suministrado por la Entidad Territorial con el reporte generado directamente desde SECOP, se evidenció que el Departamento no publicó toda la información relevante y necesaria de los procesos contractuales. A continuación, se citan algunos de los casos estudiados:</w:t>
      </w:r>
    </w:p>
    <w:p w14:paraId="17A36B0F" w14:textId="77777777" w:rsidR="008C3642" w:rsidRPr="00F538C5" w:rsidRDefault="008C3642" w:rsidP="00DB281B">
      <w:pPr>
        <w:jc w:val="both"/>
        <w:rPr>
          <w:rFonts w:ascii="Arial" w:hAnsi="Arial" w:cs="Arial"/>
          <w:sz w:val="22"/>
          <w:szCs w:val="22"/>
          <w:lang w:val="es-CO"/>
        </w:rPr>
      </w:pPr>
    </w:p>
    <w:p w14:paraId="113802CA" w14:textId="77777777" w:rsidR="008C3642" w:rsidRPr="00F538C5" w:rsidRDefault="008C3642" w:rsidP="00DB281B">
      <w:pPr>
        <w:pStyle w:val="Sinespaciado"/>
        <w:jc w:val="both"/>
        <w:rPr>
          <w:rFonts w:ascii="Arial" w:hAnsi="Arial" w:cs="Arial"/>
          <w:b/>
        </w:rPr>
      </w:pPr>
      <w:r w:rsidRPr="00F538C5">
        <w:rPr>
          <w:rFonts w:ascii="Arial" w:hAnsi="Arial" w:cs="Arial"/>
          <w:color w:val="000000"/>
        </w:rPr>
        <w:t xml:space="preserve"> </w:t>
      </w:r>
      <w:r w:rsidRPr="00F538C5">
        <w:rPr>
          <w:rFonts w:ascii="Arial" w:hAnsi="Arial" w:cs="Arial"/>
          <w:b/>
        </w:rPr>
        <w:t>Vigencia 2019</w:t>
      </w:r>
    </w:p>
    <w:p w14:paraId="2CCFA752" w14:textId="77777777" w:rsidR="008C3642" w:rsidRPr="00F538C5" w:rsidRDefault="008C3642" w:rsidP="00DB281B">
      <w:pPr>
        <w:jc w:val="both"/>
        <w:rPr>
          <w:rFonts w:ascii="Arial" w:hAnsi="Arial" w:cs="Arial"/>
          <w:sz w:val="22"/>
          <w:szCs w:val="22"/>
          <w:lang w:val="es-CO"/>
        </w:rPr>
      </w:pPr>
    </w:p>
    <w:p w14:paraId="3552C783" w14:textId="640E6FBD" w:rsidR="008C3642" w:rsidRPr="00F538C5" w:rsidRDefault="008C3642" w:rsidP="00DB281B">
      <w:pPr>
        <w:pStyle w:val="Prrafodelista"/>
        <w:numPr>
          <w:ilvl w:val="0"/>
          <w:numId w:val="12"/>
        </w:numPr>
        <w:ind w:left="426" w:hanging="426"/>
        <w:jc w:val="both"/>
        <w:rPr>
          <w:rFonts w:ascii="Arial" w:hAnsi="Arial" w:cs="Arial"/>
          <w:sz w:val="22"/>
          <w:szCs w:val="22"/>
          <w:lang w:val="es-CO"/>
        </w:rPr>
      </w:pPr>
      <w:r w:rsidRPr="00F538C5">
        <w:rPr>
          <w:rFonts w:ascii="Arial" w:hAnsi="Arial" w:cs="Arial"/>
          <w:b/>
          <w:sz w:val="22"/>
          <w:szCs w:val="22"/>
          <w:lang w:val="es-CO"/>
        </w:rPr>
        <w:t>Proceso No. SE-CMC-001-2019 del 08 de abril de 2019</w:t>
      </w:r>
      <w:r w:rsidRPr="00F538C5">
        <w:rPr>
          <w:rFonts w:ascii="Arial" w:hAnsi="Arial" w:cs="Arial"/>
          <w:sz w:val="22"/>
          <w:szCs w:val="22"/>
          <w:lang w:val="es-CO"/>
        </w:rPr>
        <w:t xml:space="preserve"> con objeto</w:t>
      </w:r>
      <w:r w:rsidR="00F538C5">
        <w:rPr>
          <w:rFonts w:ascii="Arial" w:hAnsi="Arial" w:cs="Arial"/>
          <w:sz w:val="22"/>
          <w:szCs w:val="22"/>
          <w:lang w:val="es-CO"/>
        </w:rPr>
        <w:t xml:space="preserve"> de: </w:t>
      </w:r>
      <w:r w:rsidRPr="00F538C5">
        <w:rPr>
          <w:rFonts w:ascii="Arial" w:hAnsi="Arial" w:cs="Arial"/>
          <w:sz w:val="22"/>
          <w:szCs w:val="22"/>
          <w:lang w:val="es-CO"/>
        </w:rPr>
        <w:t>“</w:t>
      </w:r>
      <w:r w:rsidR="00F538C5" w:rsidRPr="00F538C5">
        <w:rPr>
          <w:rFonts w:ascii="Arial" w:hAnsi="Arial" w:cs="Arial"/>
          <w:i/>
          <w:sz w:val="22"/>
          <w:szCs w:val="22"/>
          <w:lang w:val="es-CO"/>
        </w:rPr>
        <w:t>adquisición de una póliza de accidentes personales para otorgar cobertura a los niños y/o niñas matriculados en las instituciones educativas oficiales de los municipios no certificados del departamento, que participen en las diferentes salidas pedagógicas programadas</w:t>
      </w:r>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62 millones</w:t>
      </w:r>
      <w:r w:rsidR="00F538C5">
        <w:rPr>
          <w:rFonts w:ascii="Arial" w:hAnsi="Arial" w:cs="Arial"/>
          <w:sz w:val="22"/>
          <w:szCs w:val="22"/>
          <w:lang w:val="es-CO"/>
        </w:rPr>
        <w:t>,</w:t>
      </w:r>
      <w:r w:rsidRPr="00F538C5">
        <w:rPr>
          <w:rFonts w:ascii="Arial" w:hAnsi="Arial" w:cs="Arial"/>
          <w:sz w:val="22"/>
          <w:szCs w:val="22"/>
          <w:lang w:val="es-CO"/>
        </w:rPr>
        <w:t xml:space="preserve"> con </w:t>
      </w:r>
      <w:r w:rsidR="00F538C5" w:rsidRPr="00F538C5">
        <w:rPr>
          <w:rFonts w:ascii="Arial" w:hAnsi="Arial" w:cs="Arial"/>
          <w:sz w:val="22"/>
          <w:szCs w:val="22"/>
          <w:lang w:val="es-CO"/>
        </w:rPr>
        <w:t xml:space="preserve">Seguros </w:t>
      </w:r>
      <w:r w:rsidR="00F538C5">
        <w:rPr>
          <w:rFonts w:ascii="Arial" w:hAnsi="Arial" w:cs="Arial"/>
          <w:sz w:val="22"/>
          <w:szCs w:val="22"/>
          <w:lang w:val="es-CO"/>
        </w:rPr>
        <w:t>d</w:t>
      </w:r>
      <w:r w:rsidR="00F538C5" w:rsidRPr="00F538C5">
        <w:rPr>
          <w:rFonts w:ascii="Arial" w:hAnsi="Arial" w:cs="Arial"/>
          <w:sz w:val="22"/>
          <w:szCs w:val="22"/>
          <w:lang w:val="es-CO"/>
        </w:rPr>
        <w:t xml:space="preserve">e Vida </w:t>
      </w:r>
      <w:r w:rsidR="00F538C5">
        <w:rPr>
          <w:rFonts w:ascii="Arial" w:hAnsi="Arial" w:cs="Arial"/>
          <w:sz w:val="22"/>
          <w:szCs w:val="22"/>
          <w:lang w:val="es-CO"/>
        </w:rPr>
        <w:t>d</w:t>
      </w:r>
      <w:r w:rsidR="00F538C5" w:rsidRPr="00F538C5">
        <w:rPr>
          <w:rFonts w:ascii="Arial" w:hAnsi="Arial" w:cs="Arial"/>
          <w:sz w:val="22"/>
          <w:szCs w:val="22"/>
          <w:lang w:val="es-CO"/>
        </w:rPr>
        <w:t>el Estado S.A</w:t>
      </w:r>
      <w:r w:rsidRPr="00F538C5">
        <w:rPr>
          <w:rFonts w:ascii="Arial" w:hAnsi="Arial" w:cs="Arial"/>
          <w:sz w:val="22"/>
          <w:szCs w:val="22"/>
          <w:lang w:val="es-CO"/>
        </w:rPr>
        <w:t>. Se identifica como fuente de financiación el SGP. Sin embargo, al revisar los documentos asociados al proceso se evidencia la falta de los siguientes:</w:t>
      </w:r>
    </w:p>
    <w:p w14:paraId="39635AAC"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lastRenderedPageBreak/>
        <w:t>Informes de supervisión</w:t>
      </w:r>
    </w:p>
    <w:p w14:paraId="339A497C"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Contrato</w:t>
      </w:r>
    </w:p>
    <w:p w14:paraId="4101DB16"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Registro Presupuestal</w:t>
      </w:r>
    </w:p>
    <w:p w14:paraId="7F3EA7F1" w14:textId="77777777" w:rsidR="008C3642" w:rsidRPr="00F538C5" w:rsidRDefault="008C3642" w:rsidP="00DB281B">
      <w:pPr>
        <w:pStyle w:val="Prrafodelista"/>
        <w:ind w:left="426" w:hanging="426"/>
        <w:jc w:val="both"/>
        <w:rPr>
          <w:rFonts w:ascii="Arial" w:hAnsi="Arial" w:cs="Arial"/>
          <w:sz w:val="22"/>
          <w:szCs w:val="22"/>
          <w:lang w:val="es-CO"/>
        </w:rPr>
      </w:pPr>
    </w:p>
    <w:p w14:paraId="21BDB74C" w14:textId="0ECE0D74" w:rsidR="008C3642" w:rsidRPr="00F538C5" w:rsidRDefault="008C3642" w:rsidP="00DB281B">
      <w:pPr>
        <w:pStyle w:val="Prrafodelista"/>
        <w:numPr>
          <w:ilvl w:val="0"/>
          <w:numId w:val="12"/>
        </w:numPr>
        <w:ind w:left="426" w:hanging="426"/>
        <w:jc w:val="both"/>
        <w:rPr>
          <w:rFonts w:ascii="Arial" w:hAnsi="Arial" w:cs="Arial"/>
          <w:sz w:val="22"/>
          <w:szCs w:val="22"/>
          <w:lang w:val="es-CO"/>
        </w:rPr>
      </w:pPr>
      <w:r w:rsidRPr="00F538C5">
        <w:rPr>
          <w:rFonts w:ascii="Arial" w:hAnsi="Arial" w:cs="Arial"/>
          <w:b/>
          <w:sz w:val="22"/>
          <w:szCs w:val="22"/>
          <w:lang w:val="es-CO"/>
        </w:rPr>
        <w:t>Proceso No. SE-CPS-053-2019</w:t>
      </w:r>
      <w:r w:rsidRPr="00F538C5">
        <w:rPr>
          <w:rFonts w:ascii="Arial" w:hAnsi="Arial" w:cs="Arial"/>
          <w:sz w:val="22"/>
          <w:szCs w:val="22"/>
          <w:lang w:val="es-CO"/>
        </w:rPr>
        <w:t xml:space="preserve"> </w:t>
      </w:r>
      <w:r w:rsidRPr="00F538C5">
        <w:rPr>
          <w:rFonts w:ascii="Arial" w:hAnsi="Arial" w:cs="Arial"/>
          <w:b/>
          <w:sz w:val="22"/>
          <w:szCs w:val="22"/>
          <w:lang w:val="es-CO"/>
        </w:rPr>
        <w:t xml:space="preserve">del 27 de marzo de 2019 </w:t>
      </w:r>
      <w:r w:rsidRPr="00F538C5">
        <w:rPr>
          <w:rFonts w:ascii="Arial" w:hAnsi="Arial" w:cs="Arial"/>
          <w:sz w:val="22"/>
          <w:szCs w:val="22"/>
          <w:lang w:val="es-CO"/>
        </w:rPr>
        <w:t>con objeto</w:t>
      </w:r>
      <w:r w:rsidR="00B30FC4">
        <w:rPr>
          <w:rFonts w:ascii="Arial" w:hAnsi="Arial" w:cs="Arial"/>
          <w:sz w:val="22"/>
          <w:szCs w:val="22"/>
          <w:lang w:val="es-CO"/>
        </w:rPr>
        <w:t xml:space="preserve"> de:</w:t>
      </w:r>
      <w:r w:rsidRPr="00F538C5">
        <w:rPr>
          <w:rFonts w:ascii="Arial" w:hAnsi="Arial" w:cs="Arial"/>
          <w:sz w:val="22"/>
          <w:szCs w:val="22"/>
          <w:lang w:val="es-CO"/>
        </w:rPr>
        <w:t xml:space="preserve"> “</w:t>
      </w:r>
      <w:r w:rsidR="00B30FC4" w:rsidRPr="00F538C5">
        <w:rPr>
          <w:rFonts w:ascii="Arial" w:hAnsi="Arial" w:cs="Arial"/>
          <w:sz w:val="22"/>
          <w:szCs w:val="22"/>
          <w:lang w:val="es-CO"/>
        </w:rPr>
        <w:t>contratar la prestación de los servicios profesionales para apoyar la gestión del grupo interno de trabajo de inspección y vigilancia con fines control de la secretaria de educación de Cundinamarca, en lo relacionado con el impulso procesal a los procesos administrativos sancionatorios, derivados en el ejercicio de la inspección y vigilancia de la conforme al procedimiento establecido en el decreto departamental 401 del 5 de diciembre de 2018</w:t>
      </w:r>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59 millones</w:t>
      </w:r>
      <w:r w:rsidR="00B30FC4">
        <w:rPr>
          <w:rFonts w:ascii="Arial" w:hAnsi="Arial" w:cs="Arial"/>
          <w:sz w:val="22"/>
          <w:szCs w:val="22"/>
          <w:lang w:val="es-CO"/>
        </w:rPr>
        <w:t>,</w:t>
      </w:r>
      <w:r w:rsidRPr="00F538C5">
        <w:rPr>
          <w:rFonts w:ascii="Arial" w:hAnsi="Arial" w:cs="Arial"/>
          <w:sz w:val="22"/>
          <w:szCs w:val="22"/>
          <w:lang w:val="es-CO"/>
        </w:rPr>
        <w:t xml:space="preserve"> con </w:t>
      </w:r>
      <w:r w:rsidR="00B30FC4" w:rsidRPr="00F538C5">
        <w:rPr>
          <w:rFonts w:ascii="Arial" w:hAnsi="Arial" w:cs="Arial"/>
          <w:sz w:val="22"/>
          <w:szCs w:val="22"/>
          <w:lang w:val="es-CO"/>
        </w:rPr>
        <w:t>Mónica Quiroga Poveda</w:t>
      </w:r>
      <w:r w:rsidRPr="00F538C5">
        <w:rPr>
          <w:rFonts w:ascii="Arial" w:hAnsi="Arial" w:cs="Arial"/>
          <w:sz w:val="22"/>
          <w:szCs w:val="22"/>
          <w:lang w:val="es-CO"/>
        </w:rPr>
        <w:t>. Se identifica como fuente de financiación el SGP. Sin embargo, al revisar los documentos asociados al proceso se evidencia la falta de los siguientes:</w:t>
      </w:r>
    </w:p>
    <w:p w14:paraId="1FFC08A1"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Estudios Previos</w:t>
      </w:r>
    </w:p>
    <w:p w14:paraId="22E3C3E9" w14:textId="77777777" w:rsidR="008C3642" w:rsidRPr="00F538C5" w:rsidRDefault="008C3642" w:rsidP="00DB281B">
      <w:pPr>
        <w:ind w:left="426" w:hanging="426"/>
        <w:jc w:val="both"/>
        <w:rPr>
          <w:rFonts w:ascii="Arial" w:hAnsi="Arial" w:cs="Arial"/>
          <w:sz w:val="22"/>
          <w:szCs w:val="22"/>
          <w:lang w:val="es-CO"/>
        </w:rPr>
      </w:pPr>
    </w:p>
    <w:p w14:paraId="16DF76B2" w14:textId="012C462E" w:rsidR="008C3642" w:rsidRPr="00F538C5" w:rsidRDefault="008C3642" w:rsidP="00DB281B">
      <w:pPr>
        <w:pStyle w:val="Prrafodelista"/>
        <w:numPr>
          <w:ilvl w:val="0"/>
          <w:numId w:val="56"/>
        </w:numPr>
        <w:ind w:left="426" w:hanging="426"/>
        <w:jc w:val="both"/>
        <w:rPr>
          <w:rFonts w:ascii="Arial" w:hAnsi="Arial" w:cs="Arial"/>
          <w:i/>
          <w:sz w:val="22"/>
          <w:szCs w:val="22"/>
          <w:lang w:val="es-CO"/>
        </w:rPr>
      </w:pPr>
      <w:r w:rsidRPr="00F538C5">
        <w:rPr>
          <w:rFonts w:ascii="Arial" w:hAnsi="Arial" w:cs="Arial"/>
          <w:b/>
          <w:sz w:val="22"/>
          <w:szCs w:val="22"/>
          <w:lang w:val="es-CO"/>
        </w:rPr>
        <w:t>Proceso No.</w:t>
      </w:r>
      <w:r w:rsidRPr="00F538C5">
        <w:rPr>
          <w:rFonts w:ascii="Arial" w:hAnsi="Arial" w:cs="Arial"/>
          <w:sz w:val="22"/>
          <w:szCs w:val="22"/>
          <w:lang w:val="es-CO"/>
        </w:rPr>
        <w:t xml:space="preserve"> </w:t>
      </w:r>
      <w:r w:rsidRPr="00F538C5">
        <w:rPr>
          <w:rFonts w:ascii="Arial" w:hAnsi="Arial" w:cs="Arial"/>
          <w:b/>
          <w:sz w:val="22"/>
          <w:szCs w:val="22"/>
          <w:lang w:val="es-CO"/>
        </w:rPr>
        <w:t xml:space="preserve">SE-CPS-054-2019 del 5 de marzo de 2019 </w:t>
      </w:r>
      <w:r w:rsidRPr="00F538C5">
        <w:rPr>
          <w:rFonts w:ascii="Arial" w:hAnsi="Arial" w:cs="Arial"/>
          <w:sz w:val="22"/>
          <w:szCs w:val="22"/>
          <w:lang w:val="es-CO"/>
        </w:rPr>
        <w:t xml:space="preserve">con objeto </w:t>
      </w:r>
      <w:r w:rsidR="00B30FC4">
        <w:rPr>
          <w:rFonts w:ascii="Arial" w:hAnsi="Arial" w:cs="Arial"/>
          <w:sz w:val="22"/>
          <w:szCs w:val="22"/>
          <w:lang w:val="es-CO"/>
        </w:rPr>
        <w:t xml:space="preserve">de: </w:t>
      </w:r>
      <w:r w:rsidRPr="00F538C5">
        <w:rPr>
          <w:rFonts w:ascii="Arial" w:hAnsi="Arial" w:cs="Arial"/>
          <w:sz w:val="22"/>
          <w:szCs w:val="22"/>
          <w:lang w:val="es-CO"/>
        </w:rPr>
        <w:t>“</w:t>
      </w:r>
      <w:r w:rsidR="00B30FC4" w:rsidRPr="00F538C5">
        <w:rPr>
          <w:rFonts w:ascii="Arial" w:hAnsi="Arial" w:cs="Arial"/>
          <w:i/>
          <w:sz w:val="22"/>
          <w:szCs w:val="22"/>
          <w:lang w:val="es-CO"/>
        </w:rPr>
        <w:t>contratar la prestación de servicios para apoyar la sustanciación de los actos administrativos necesarios para iniciar, tramitar, fallar y resolver los recursos en las actuaciones administrativas sancionatorias derivadas en el ejercicio de la inspección y vigilancia de la secretaria de educación, conforme al procedimiento establecido en el decreto departamental 401 del 5 de diciembre de 2018</w:t>
      </w:r>
      <w:r w:rsidRPr="00F538C5">
        <w:rPr>
          <w:rFonts w:ascii="Arial" w:hAnsi="Arial" w:cs="Arial"/>
          <w:i/>
          <w:sz w:val="22"/>
          <w:szCs w:val="22"/>
          <w:lang w:val="es-CO"/>
        </w:rPr>
        <w:t xml:space="preserve">”, </w:t>
      </w:r>
      <w:r w:rsidRPr="00B30FC4">
        <w:rPr>
          <w:rFonts w:ascii="Arial" w:hAnsi="Arial" w:cs="Arial"/>
          <w:sz w:val="22"/>
          <w:szCs w:val="22"/>
          <w:lang w:val="es-CO"/>
        </w:rPr>
        <w:t xml:space="preserve">por valor de </w:t>
      </w:r>
      <w:r w:rsidR="00DB281B" w:rsidRPr="00B30FC4">
        <w:rPr>
          <w:rFonts w:ascii="Arial" w:hAnsi="Arial" w:cs="Arial"/>
          <w:sz w:val="22"/>
          <w:szCs w:val="22"/>
          <w:lang w:val="es-CO"/>
        </w:rPr>
        <w:t>$</w:t>
      </w:r>
      <w:r w:rsidRPr="00B30FC4">
        <w:rPr>
          <w:rFonts w:ascii="Arial" w:hAnsi="Arial" w:cs="Arial"/>
          <w:sz w:val="22"/>
          <w:szCs w:val="22"/>
          <w:lang w:val="es-CO"/>
        </w:rPr>
        <w:t>32 millones</w:t>
      </w:r>
      <w:r w:rsidR="00B30FC4">
        <w:rPr>
          <w:rFonts w:ascii="Arial" w:hAnsi="Arial" w:cs="Arial"/>
          <w:sz w:val="22"/>
          <w:szCs w:val="22"/>
          <w:lang w:val="es-CO"/>
        </w:rPr>
        <w:t xml:space="preserve">, </w:t>
      </w:r>
      <w:r w:rsidRPr="00B30FC4">
        <w:rPr>
          <w:rFonts w:ascii="Arial" w:hAnsi="Arial" w:cs="Arial"/>
          <w:sz w:val="22"/>
          <w:szCs w:val="22"/>
          <w:lang w:val="es-CO"/>
        </w:rPr>
        <w:t>con el contratista</w:t>
      </w:r>
      <w:r w:rsidR="00B30FC4">
        <w:rPr>
          <w:rFonts w:ascii="Arial" w:hAnsi="Arial" w:cs="Arial"/>
          <w:sz w:val="22"/>
          <w:szCs w:val="22"/>
          <w:lang w:val="es-CO"/>
        </w:rPr>
        <w:t xml:space="preserve"> Ivan Fernando Camargo Rodrí</w:t>
      </w:r>
      <w:r w:rsidR="00B30FC4" w:rsidRPr="00B30FC4">
        <w:rPr>
          <w:rFonts w:ascii="Arial" w:hAnsi="Arial" w:cs="Arial"/>
          <w:sz w:val="22"/>
          <w:szCs w:val="22"/>
          <w:lang w:val="es-CO"/>
        </w:rPr>
        <w:t>guez</w:t>
      </w:r>
      <w:r w:rsidRPr="00B30FC4">
        <w:rPr>
          <w:rFonts w:ascii="Arial" w:hAnsi="Arial" w:cs="Arial"/>
          <w:sz w:val="22"/>
          <w:szCs w:val="22"/>
          <w:lang w:val="es-CO"/>
        </w:rPr>
        <w:t>. Se identifica como fuente de financiación el SGP. Sin embargo, al revisar los documentos asociados al proceso se evidencia la falta de los siguientes:</w:t>
      </w:r>
    </w:p>
    <w:p w14:paraId="4DA714EB"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Estudios Previos</w:t>
      </w:r>
    </w:p>
    <w:p w14:paraId="1DDA5177" w14:textId="77777777" w:rsidR="008C3642" w:rsidRPr="00F538C5" w:rsidRDefault="008C3642" w:rsidP="00DB281B">
      <w:pPr>
        <w:ind w:left="426" w:hanging="426"/>
        <w:jc w:val="both"/>
        <w:rPr>
          <w:rFonts w:ascii="Arial" w:hAnsi="Arial" w:cs="Arial"/>
          <w:sz w:val="22"/>
          <w:szCs w:val="22"/>
          <w:lang w:val="es-CO"/>
        </w:rPr>
      </w:pPr>
    </w:p>
    <w:p w14:paraId="5B7410C1" w14:textId="77777777" w:rsidR="008C3642" w:rsidRPr="00F538C5" w:rsidRDefault="008C3642" w:rsidP="00DB281B">
      <w:pPr>
        <w:pStyle w:val="Sinespaciado"/>
        <w:ind w:left="426" w:hanging="426"/>
        <w:jc w:val="both"/>
        <w:rPr>
          <w:rFonts w:ascii="Arial" w:hAnsi="Arial" w:cs="Arial"/>
          <w:b/>
        </w:rPr>
      </w:pPr>
      <w:r w:rsidRPr="00F538C5">
        <w:rPr>
          <w:rFonts w:ascii="Arial" w:hAnsi="Arial" w:cs="Arial"/>
          <w:b/>
        </w:rPr>
        <w:t>Vigencia 2020</w:t>
      </w:r>
    </w:p>
    <w:p w14:paraId="0EB3A3BE" w14:textId="77777777" w:rsidR="008C3642" w:rsidRPr="00F538C5" w:rsidRDefault="008C3642" w:rsidP="00DB281B">
      <w:pPr>
        <w:ind w:left="426" w:hanging="426"/>
        <w:jc w:val="both"/>
        <w:rPr>
          <w:rFonts w:ascii="Arial" w:hAnsi="Arial" w:cs="Arial"/>
          <w:sz w:val="22"/>
          <w:szCs w:val="22"/>
          <w:lang w:val="es-CO"/>
        </w:rPr>
      </w:pPr>
    </w:p>
    <w:p w14:paraId="1C9D6B85" w14:textId="54B127B5" w:rsidR="008C3642" w:rsidRPr="00F538C5" w:rsidRDefault="008C3642" w:rsidP="00DB281B">
      <w:pPr>
        <w:pStyle w:val="Prrafodelista"/>
        <w:numPr>
          <w:ilvl w:val="0"/>
          <w:numId w:val="12"/>
        </w:numPr>
        <w:ind w:left="426" w:hanging="426"/>
        <w:jc w:val="both"/>
        <w:rPr>
          <w:rFonts w:ascii="Arial" w:hAnsi="Arial" w:cs="Arial"/>
          <w:sz w:val="22"/>
          <w:szCs w:val="22"/>
          <w:lang w:val="es-CO"/>
        </w:rPr>
      </w:pPr>
      <w:r w:rsidRPr="00F538C5">
        <w:rPr>
          <w:rFonts w:ascii="Arial" w:hAnsi="Arial" w:cs="Arial"/>
          <w:b/>
          <w:sz w:val="22"/>
          <w:szCs w:val="22"/>
          <w:lang w:val="es-CO"/>
        </w:rPr>
        <w:t>Proceso No. E-CD-001-2020 del 20 de enero de 202o</w:t>
      </w:r>
      <w:r w:rsidRPr="00F538C5">
        <w:rPr>
          <w:rFonts w:ascii="Arial" w:hAnsi="Arial" w:cs="Arial"/>
          <w:sz w:val="22"/>
          <w:szCs w:val="22"/>
          <w:lang w:val="es-CO"/>
        </w:rPr>
        <w:t xml:space="preserve"> con objeto </w:t>
      </w:r>
      <w:r w:rsidR="00B30FC4">
        <w:rPr>
          <w:rFonts w:ascii="Arial" w:hAnsi="Arial" w:cs="Arial"/>
          <w:sz w:val="22"/>
          <w:szCs w:val="22"/>
          <w:lang w:val="es-CO"/>
        </w:rPr>
        <w:t xml:space="preserve">de: </w:t>
      </w:r>
      <w:r w:rsidRPr="00F538C5">
        <w:rPr>
          <w:rFonts w:ascii="Arial" w:hAnsi="Arial" w:cs="Arial"/>
          <w:sz w:val="22"/>
          <w:szCs w:val="22"/>
          <w:lang w:val="es-CO"/>
        </w:rPr>
        <w:t>“</w:t>
      </w:r>
      <w:r w:rsidR="00B30FC4" w:rsidRPr="00F538C5">
        <w:rPr>
          <w:rFonts w:ascii="Arial" w:hAnsi="Arial" w:cs="Arial"/>
          <w:sz w:val="22"/>
          <w:szCs w:val="22"/>
          <w:lang w:val="es-CO"/>
        </w:rPr>
        <w:t>contratar en arrendamiento el inmueble de propiedad del instituto de las hijas de los sagrados corazones “</w:t>
      </w:r>
      <w:r w:rsidR="00B30FC4">
        <w:rPr>
          <w:rFonts w:ascii="Arial" w:hAnsi="Arial" w:cs="Arial"/>
          <w:sz w:val="22"/>
          <w:szCs w:val="22"/>
          <w:lang w:val="es-CO"/>
        </w:rPr>
        <w:t>P</w:t>
      </w:r>
      <w:r w:rsidR="00B30FC4" w:rsidRPr="00F538C5">
        <w:rPr>
          <w:rFonts w:ascii="Arial" w:hAnsi="Arial" w:cs="Arial"/>
          <w:sz w:val="22"/>
          <w:szCs w:val="22"/>
          <w:lang w:val="es-CO"/>
        </w:rPr>
        <w:t xml:space="preserve">rovincia </w:t>
      </w:r>
      <w:r w:rsidR="00B30FC4">
        <w:rPr>
          <w:rFonts w:ascii="Arial" w:hAnsi="Arial" w:cs="Arial"/>
          <w:sz w:val="22"/>
          <w:szCs w:val="22"/>
          <w:lang w:val="es-CO"/>
        </w:rPr>
        <w:t>C</w:t>
      </w:r>
      <w:r w:rsidR="00B30FC4" w:rsidRPr="00F538C5">
        <w:rPr>
          <w:rFonts w:ascii="Arial" w:hAnsi="Arial" w:cs="Arial"/>
          <w:sz w:val="22"/>
          <w:szCs w:val="22"/>
          <w:lang w:val="es-CO"/>
        </w:rPr>
        <w:t xml:space="preserve">orazón de </w:t>
      </w:r>
      <w:r w:rsidR="00B30FC4">
        <w:rPr>
          <w:rFonts w:ascii="Arial" w:hAnsi="Arial" w:cs="Arial"/>
          <w:sz w:val="22"/>
          <w:szCs w:val="22"/>
          <w:lang w:val="es-CO"/>
        </w:rPr>
        <w:t>M</w:t>
      </w:r>
      <w:r w:rsidR="00B30FC4" w:rsidRPr="00F538C5">
        <w:rPr>
          <w:rFonts w:ascii="Arial" w:hAnsi="Arial" w:cs="Arial"/>
          <w:sz w:val="22"/>
          <w:szCs w:val="22"/>
          <w:lang w:val="es-CO"/>
        </w:rPr>
        <w:t xml:space="preserve">aría” para la atención de los estudiantes matriculados en los grados 6° 7° y 8° en la institución educativa departamental </w:t>
      </w:r>
      <w:r w:rsidR="00B30FC4">
        <w:rPr>
          <w:rFonts w:ascii="Arial" w:hAnsi="Arial" w:cs="Arial"/>
          <w:sz w:val="22"/>
          <w:szCs w:val="22"/>
          <w:lang w:val="es-CO"/>
        </w:rPr>
        <w:t>M</w:t>
      </w:r>
      <w:r w:rsidR="00B30FC4" w:rsidRPr="00F538C5">
        <w:rPr>
          <w:rFonts w:ascii="Arial" w:hAnsi="Arial" w:cs="Arial"/>
          <w:sz w:val="22"/>
          <w:szCs w:val="22"/>
          <w:lang w:val="es-CO"/>
        </w:rPr>
        <w:t xml:space="preserve">iguel </w:t>
      </w:r>
      <w:r w:rsidR="00B30FC4">
        <w:rPr>
          <w:rFonts w:ascii="Arial" w:hAnsi="Arial" w:cs="Arial"/>
          <w:sz w:val="22"/>
          <w:szCs w:val="22"/>
          <w:lang w:val="es-CO"/>
        </w:rPr>
        <w:t>U</w:t>
      </w:r>
      <w:r w:rsidR="00B30FC4" w:rsidRPr="00F538C5">
        <w:rPr>
          <w:rFonts w:ascii="Arial" w:hAnsi="Arial" w:cs="Arial"/>
          <w:sz w:val="22"/>
          <w:szCs w:val="22"/>
          <w:lang w:val="es-CO"/>
        </w:rPr>
        <w:t xml:space="preserve">nía del </w:t>
      </w:r>
      <w:r w:rsidR="00B30FC4">
        <w:rPr>
          <w:rFonts w:ascii="Arial" w:hAnsi="Arial" w:cs="Arial"/>
          <w:sz w:val="22"/>
          <w:szCs w:val="22"/>
          <w:lang w:val="es-CO"/>
        </w:rPr>
        <w:t>M</w:t>
      </w:r>
      <w:r w:rsidR="00B30FC4" w:rsidRPr="00F538C5">
        <w:rPr>
          <w:rFonts w:ascii="Arial" w:hAnsi="Arial" w:cs="Arial"/>
          <w:sz w:val="22"/>
          <w:szCs w:val="22"/>
          <w:lang w:val="es-CO"/>
        </w:rPr>
        <w:t xml:space="preserve">unicipio de </w:t>
      </w:r>
      <w:r w:rsidR="00B30FC4">
        <w:rPr>
          <w:rFonts w:ascii="Arial" w:hAnsi="Arial" w:cs="Arial"/>
          <w:sz w:val="22"/>
          <w:szCs w:val="22"/>
          <w:lang w:val="es-CO"/>
        </w:rPr>
        <w:t>A</w:t>
      </w:r>
      <w:r w:rsidR="00B30FC4" w:rsidRPr="00F538C5">
        <w:rPr>
          <w:rFonts w:ascii="Arial" w:hAnsi="Arial" w:cs="Arial"/>
          <w:sz w:val="22"/>
          <w:szCs w:val="22"/>
          <w:lang w:val="es-CO"/>
        </w:rPr>
        <w:t xml:space="preserve">gua de </w:t>
      </w:r>
      <w:r w:rsidR="00B30FC4">
        <w:rPr>
          <w:rFonts w:ascii="Arial" w:hAnsi="Arial" w:cs="Arial"/>
          <w:sz w:val="22"/>
          <w:szCs w:val="22"/>
          <w:lang w:val="es-CO"/>
        </w:rPr>
        <w:t>D</w:t>
      </w:r>
      <w:r w:rsidR="00B30FC4" w:rsidRPr="00F538C5">
        <w:rPr>
          <w:rFonts w:ascii="Arial" w:hAnsi="Arial" w:cs="Arial"/>
          <w:sz w:val="22"/>
          <w:szCs w:val="22"/>
          <w:lang w:val="es-CO"/>
        </w:rPr>
        <w:t>ios</w:t>
      </w:r>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130 millones</w:t>
      </w:r>
      <w:r w:rsidR="00B30FC4">
        <w:rPr>
          <w:rFonts w:ascii="Arial" w:hAnsi="Arial" w:cs="Arial"/>
          <w:sz w:val="22"/>
          <w:szCs w:val="22"/>
          <w:lang w:val="es-CO"/>
        </w:rPr>
        <w:t xml:space="preserve">, </w:t>
      </w:r>
      <w:r w:rsidRPr="00F538C5">
        <w:rPr>
          <w:rFonts w:ascii="Arial" w:hAnsi="Arial" w:cs="Arial"/>
          <w:sz w:val="22"/>
          <w:szCs w:val="22"/>
          <w:lang w:val="es-CO"/>
        </w:rPr>
        <w:t xml:space="preserve">con </w:t>
      </w:r>
      <w:r w:rsidR="00B30FC4" w:rsidRPr="00F538C5">
        <w:rPr>
          <w:rFonts w:ascii="Arial" w:hAnsi="Arial" w:cs="Arial"/>
          <w:sz w:val="22"/>
          <w:szCs w:val="22"/>
          <w:lang w:val="es-CO"/>
        </w:rPr>
        <w:t xml:space="preserve">El Instituto </w:t>
      </w:r>
      <w:r w:rsidR="00B30FC4">
        <w:rPr>
          <w:rFonts w:ascii="Arial" w:hAnsi="Arial" w:cs="Arial"/>
          <w:sz w:val="22"/>
          <w:szCs w:val="22"/>
          <w:lang w:val="es-CO"/>
        </w:rPr>
        <w:t>d</w:t>
      </w:r>
      <w:r w:rsidR="00B30FC4" w:rsidRPr="00F538C5">
        <w:rPr>
          <w:rFonts w:ascii="Arial" w:hAnsi="Arial" w:cs="Arial"/>
          <w:sz w:val="22"/>
          <w:szCs w:val="22"/>
          <w:lang w:val="es-CO"/>
        </w:rPr>
        <w:t xml:space="preserve">e </w:t>
      </w:r>
      <w:r w:rsidR="00B30FC4">
        <w:rPr>
          <w:rFonts w:ascii="Arial" w:hAnsi="Arial" w:cs="Arial"/>
          <w:sz w:val="22"/>
          <w:szCs w:val="22"/>
          <w:lang w:val="es-CO"/>
        </w:rPr>
        <w:t>l</w:t>
      </w:r>
      <w:r w:rsidR="00B30FC4" w:rsidRPr="00F538C5">
        <w:rPr>
          <w:rFonts w:ascii="Arial" w:hAnsi="Arial" w:cs="Arial"/>
          <w:sz w:val="22"/>
          <w:szCs w:val="22"/>
          <w:lang w:val="es-CO"/>
        </w:rPr>
        <w:t xml:space="preserve">as Hijas </w:t>
      </w:r>
      <w:r w:rsidR="00B30FC4">
        <w:rPr>
          <w:rFonts w:ascii="Arial" w:hAnsi="Arial" w:cs="Arial"/>
          <w:sz w:val="22"/>
          <w:szCs w:val="22"/>
          <w:lang w:val="es-CO"/>
        </w:rPr>
        <w:t>d</w:t>
      </w:r>
      <w:r w:rsidR="00B30FC4" w:rsidRPr="00F538C5">
        <w:rPr>
          <w:rFonts w:ascii="Arial" w:hAnsi="Arial" w:cs="Arial"/>
          <w:sz w:val="22"/>
          <w:szCs w:val="22"/>
          <w:lang w:val="es-CO"/>
        </w:rPr>
        <w:t xml:space="preserve">e </w:t>
      </w:r>
      <w:r w:rsidR="00B30FC4">
        <w:rPr>
          <w:rFonts w:ascii="Arial" w:hAnsi="Arial" w:cs="Arial"/>
          <w:sz w:val="22"/>
          <w:szCs w:val="22"/>
          <w:lang w:val="es-CO"/>
        </w:rPr>
        <w:t>l</w:t>
      </w:r>
      <w:r w:rsidR="00B30FC4" w:rsidRPr="00F538C5">
        <w:rPr>
          <w:rFonts w:ascii="Arial" w:hAnsi="Arial" w:cs="Arial"/>
          <w:sz w:val="22"/>
          <w:szCs w:val="22"/>
          <w:lang w:val="es-CO"/>
        </w:rPr>
        <w:t xml:space="preserve">os Sagrados Corazones Provincia Corazón </w:t>
      </w:r>
      <w:r w:rsidR="00B30FC4">
        <w:rPr>
          <w:rFonts w:ascii="Arial" w:hAnsi="Arial" w:cs="Arial"/>
          <w:sz w:val="22"/>
          <w:szCs w:val="22"/>
          <w:lang w:val="es-CO"/>
        </w:rPr>
        <w:t>d</w:t>
      </w:r>
      <w:r w:rsidR="00B30FC4" w:rsidRPr="00F538C5">
        <w:rPr>
          <w:rFonts w:ascii="Arial" w:hAnsi="Arial" w:cs="Arial"/>
          <w:sz w:val="22"/>
          <w:szCs w:val="22"/>
          <w:lang w:val="es-CO"/>
        </w:rPr>
        <w:t>e Maria</w:t>
      </w:r>
      <w:r w:rsidRPr="00F538C5">
        <w:rPr>
          <w:rFonts w:ascii="Arial" w:hAnsi="Arial" w:cs="Arial"/>
          <w:sz w:val="22"/>
          <w:szCs w:val="22"/>
          <w:lang w:val="es-CO"/>
        </w:rPr>
        <w:t xml:space="preserve">. Se identifica como fuente de financiación el SGP. </w:t>
      </w:r>
      <w:r w:rsidRPr="00B30FC4">
        <w:rPr>
          <w:rFonts w:ascii="Arial" w:hAnsi="Arial" w:cs="Arial"/>
          <w:sz w:val="22"/>
          <w:szCs w:val="22"/>
          <w:lang w:val="es-CO"/>
        </w:rPr>
        <w:t>Sin embargo, al revisar los documentos asociados al proceso se evidencia la falta de los siguientes</w:t>
      </w:r>
    </w:p>
    <w:p w14:paraId="53CB6EAD"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Acta de inicio</w:t>
      </w:r>
    </w:p>
    <w:p w14:paraId="3E61B2CC"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Informes de supervisión</w:t>
      </w:r>
    </w:p>
    <w:p w14:paraId="45150EAE" w14:textId="77777777" w:rsidR="008C3642" w:rsidRPr="00F538C5" w:rsidRDefault="008C3642" w:rsidP="00DB281B">
      <w:pPr>
        <w:pStyle w:val="Prrafodelista"/>
        <w:ind w:left="426" w:hanging="426"/>
        <w:jc w:val="both"/>
        <w:rPr>
          <w:rFonts w:ascii="Arial" w:hAnsi="Arial" w:cs="Arial"/>
          <w:sz w:val="22"/>
          <w:szCs w:val="22"/>
          <w:lang w:val="es-CO"/>
        </w:rPr>
      </w:pPr>
    </w:p>
    <w:p w14:paraId="53E1097E" w14:textId="6597C9DB" w:rsidR="008C3642" w:rsidRPr="00B30FC4" w:rsidRDefault="008C3642" w:rsidP="00DB281B">
      <w:pPr>
        <w:pStyle w:val="Prrafodelista"/>
        <w:numPr>
          <w:ilvl w:val="0"/>
          <w:numId w:val="12"/>
        </w:numPr>
        <w:ind w:left="426" w:hanging="426"/>
        <w:jc w:val="both"/>
        <w:rPr>
          <w:rFonts w:ascii="Arial" w:hAnsi="Arial" w:cs="Arial"/>
          <w:sz w:val="22"/>
          <w:szCs w:val="22"/>
          <w:lang w:val="es-CO"/>
        </w:rPr>
      </w:pPr>
      <w:r w:rsidRPr="00F538C5">
        <w:rPr>
          <w:rFonts w:ascii="Arial" w:hAnsi="Arial" w:cs="Arial"/>
          <w:b/>
          <w:sz w:val="22"/>
          <w:szCs w:val="22"/>
          <w:lang w:val="es-CO"/>
        </w:rPr>
        <w:t>Proceso SE-CD-034-037-2020 del 20 de enero de 2020</w:t>
      </w:r>
      <w:r w:rsidRPr="00F538C5">
        <w:rPr>
          <w:rFonts w:ascii="Arial" w:hAnsi="Arial" w:cs="Arial"/>
          <w:sz w:val="22"/>
          <w:szCs w:val="22"/>
          <w:lang w:val="es-CO"/>
        </w:rPr>
        <w:t xml:space="preserve"> con objeto </w:t>
      </w:r>
      <w:r w:rsidR="00B30FC4">
        <w:rPr>
          <w:rFonts w:ascii="Arial" w:hAnsi="Arial" w:cs="Arial"/>
          <w:sz w:val="22"/>
          <w:szCs w:val="22"/>
          <w:lang w:val="es-CO"/>
        </w:rPr>
        <w:t xml:space="preserve">de: </w:t>
      </w:r>
      <w:r w:rsidRPr="00F538C5">
        <w:rPr>
          <w:rFonts w:ascii="Arial" w:hAnsi="Arial" w:cs="Arial"/>
          <w:sz w:val="22"/>
          <w:szCs w:val="22"/>
          <w:lang w:val="es-CO"/>
        </w:rPr>
        <w:t>“</w:t>
      </w:r>
      <w:r w:rsidR="00B30FC4" w:rsidRPr="00F538C5">
        <w:rPr>
          <w:rFonts w:ascii="Arial" w:hAnsi="Arial" w:cs="Arial"/>
          <w:i/>
          <w:sz w:val="22"/>
          <w:szCs w:val="22"/>
          <w:lang w:val="es-CO"/>
        </w:rPr>
        <w:t xml:space="preserve">contratar en arrendamiento un inmueble para la atención de los estudiantes matriculados en la </w:t>
      </w:r>
      <w:r w:rsidR="00B30FC4">
        <w:rPr>
          <w:rFonts w:ascii="Arial" w:hAnsi="Arial" w:cs="Arial"/>
          <w:i/>
          <w:sz w:val="22"/>
          <w:szCs w:val="22"/>
          <w:lang w:val="es-CO"/>
        </w:rPr>
        <w:t>I</w:t>
      </w:r>
      <w:r w:rsidR="00B30FC4" w:rsidRPr="00F538C5">
        <w:rPr>
          <w:rFonts w:ascii="Arial" w:hAnsi="Arial" w:cs="Arial"/>
          <w:i/>
          <w:sz w:val="22"/>
          <w:szCs w:val="22"/>
          <w:lang w:val="es-CO"/>
        </w:rPr>
        <w:t xml:space="preserve">nstitución </w:t>
      </w:r>
      <w:r w:rsidR="00B30FC4">
        <w:rPr>
          <w:rFonts w:ascii="Arial" w:hAnsi="Arial" w:cs="Arial"/>
          <w:i/>
          <w:sz w:val="22"/>
          <w:szCs w:val="22"/>
          <w:lang w:val="es-CO"/>
        </w:rPr>
        <w:t>E</w:t>
      </w:r>
      <w:r w:rsidR="00B30FC4" w:rsidRPr="00F538C5">
        <w:rPr>
          <w:rFonts w:ascii="Arial" w:hAnsi="Arial" w:cs="Arial"/>
          <w:i/>
          <w:sz w:val="22"/>
          <w:szCs w:val="22"/>
          <w:lang w:val="es-CO"/>
        </w:rPr>
        <w:t xml:space="preserve">ducativa </w:t>
      </w:r>
      <w:r w:rsidR="00B30FC4">
        <w:rPr>
          <w:rFonts w:ascii="Arial" w:hAnsi="Arial" w:cs="Arial"/>
          <w:i/>
          <w:sz w:val="22"/>
          <w:szCs w:val="22"/>
          <w:lang w:val="es-CO"/>
        </w:rPr>
        <w:t>D</w:t>
      </w:r>
      <w:r w:rsidR="00B30FC4" w:rsidRPr="00F538C5">
        <w:rPr>
          <w:rFonts w:ascii="Arial" w:hAnsi="Arial" w:cs="Arial"/>
          <w:i/>
          <w:sz w:val="22"/>
          <w:szCs w:val="22"/>
          <w:lang w:val="es-CO"/>
        </w:rPr>
        <w:t xml:space="preserve">epartamental </w:t>
      </w:r>
      <w:r w:rsidR="00B30FC4">
        <w:rPr>
          <w:rFonts w:ascii="Arial" w:hAnsi="Arial" w:cs="Arial"/>
          <w:i/>
          <w:sz w:val="22"/>
          <w:szCs w:val="22"/>
          <w:lang w:val="es-CO"/>
        </w:rPr>
        <w:t>U</w:t>
      </w:r>
      <w:r w:rsidR="00B30FC4" w:rsidRPr="00F538C5">
        <w:rPr>
          <w:rFonts w:ascii="Arial" w:hAnsi="Arial" w:cs="Arial"/>
          <w:i/>
          <w:sz w:val="22"/>
          <w:szCs w:val="22"/>
          <w:lang w:val="es-CO"/>
        </w:rPr>
        <w:t xml:space="preserve">rbana del municipio de </w:t>
      </w:r>
      <w:proofErr w:type="spellStart"/>
      <w:r w:rsidR="00B30FC4">
        <w:rPr>
          <w:rFonts w:ascii="Arial" w:hAnsi="Arial" w:cs="Arial"/>
          <w:i/>
          <w:sz w:val="22"/>
          <w:szCs w:val="22"/>
          <w:lang w:val="es-CO"/>
        </w:rPr>
        <w:t>C</w:t>
      </w:r>
      <w:r w:rsidR="00B30FC4" w:rsidRPr="00F538C5">
        <w:rPr>
          <w:rFonts w:ascii="Arial" w:hAnsi="Arial" w:cs="Arial"/>
          <w:i/>
          <w:sz w:val="22"/>
          <w:szCs w:val="22"/>
          <w:lang w:val="es-CO"/>
        </w:rPr>
        <w:t>áqueza</w:t>
      </w:r>
      <w:proofErr w:type="spellEnd"/>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107 millones</w:t>
      </w:r>
      <w:r w:rsidR="00B30FC4">
        <w:rPr>
          <w:rFonts w:ascii="Arial" w:hAnsi="Arial" w:cs="Arial"/>
          <w:sz w:val="22"/>
          <w:szCs w:val="22"/>
          <w:lang w:val="es-CO"/>
        </w:rPr>
        <w:t>,</w:t>
      </w:r>
      <w:r w:rsidRPr="00F538C5">
        <w:rPr>
          <w:rFonts w:ascii="Arial" w:hAnsi="Arial" w:cs="Arial"/>
          <w:sz w:val="22"/>
          <w:szCs w:val="22"/>
          <w:lang w:val="es-CO"/>
        </w:rPr>
        <w:t xml:space="preserve"> con </w:t>
      </w:r>
      <w:r w:rsidR="00B30FC4">
        <w:rPr>
          <w:rFonts w:ascii="Arial" w:hAnsi="Arial" w:cs="Arial"/>
          <w:sz w:val="22"/>
          <w:szCs w:val="22"/>
          <w:lang w:val="es-CO"/>
        </w:rPr>
        <w:t xml:space="preserve">la </w:t>
      </w:r>
      <w:r w:rsidR="00B30FC4" w:rsidRPr="00F538C5">
        <w:rPr>
          <w:rFonts w:ascii="Arial" w:hAnsi="Arial" w:cs="Arial"/>
          <w:sz w:val="22"/>
          <w:szCs w:val="22"/>
          <w:lang w:val="es-CO"/>
        </w:rPr>
        <w:t xml:space="preserve">Universidad </w:t>
      </w:r>
      <w:r w:rsidR="00B30FC4">
        <w:rPr>
          <w:rFonts w:ascii="Arial" w:hAnsi="Arial" w:cs="Arial"/>
          <w:sz w:val="22"/>
          <w:szCs w:val="22"/>
          <w:lang w:val="es-CO"/>
        </w:rPr>
        <w:t>d</w:t>
      </w:r>
      <w:r w:rsidR="00B30FC4" w:rsidRPr="00F538C5">
        <w:rPr>
          <w:rFonts w:ascii="Arial" w:hAnsi="Arial" w:cs="Arial"/>
          <w:sz w:val="22"/>
          <w:szCs w:val="22"/>
          <w:lang w:val="es-CO"/>
        </w:rPr>
        <w:t xml:space="preserve">e Cundinamarca </w:t>
      </w:r>
      <w:r w:rsidRPr="00F538C5">
        <w:rPr>
          <w:rFonts w:ascii="Arial" w:hAnsi="Arial" w:cs="Arial"/>
          <w:sz w:val="22"/>
          <w:szCs w:val="22"/>
          <w:lang w:val="es-CO"/>
        </w:rPr>
        <w:t>- UDEC.</w:t>
      </w:r>
      <w:r w:rsidRPr="00B30FC4">
        <w:rPr>
          <w:rFonts w:ascii="Arial" w:hAnsi="Arial" w:cs="Arial"/>
          <w:sz w:val="22"/>
          <w:szCs w:val="22"/>
          <w:lang w:val="es-CO"/>
        </w:rPr>
        <w:t xml:space="preserve"> Sin embargo, al revisar los documentos asociados al proceso se evidencia la falta de los siguientes</w:t>
      </w:r>
    </w:p>
    <w:p w14:paraId="641B1DAD"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Acta de inicio</w:t>
      </w:r>
    </w:p>
    <w:p w14:paraId="7F4E645D"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Informes de supervisión</w:t>
      </w:r>
    </w:p>
    <w:p w14:paraId="7D6D40E9" w14:textId="77777777" w:rsidR="008C3642" w:rsidRPr="00F538C5" w:rsidRDefault="008C3642" w:rsidP="00DB281B">
      <w:pPr>
        <w:ind w:left="426" w:hanging="426"/>
        <w:jc w:val="both"/>
        <w:rPr>
          <w:rFonts w:ascii="Arial" w:hAnsi="Arial" w:cs="Arial"/>
          <w:sz w:val="22"/>
          <w:szCs w:val="22"/>
          <w:lang w:val="es-CO"/>
        </w:rPr>
      </w:pPr>
    </w:p>
    <w:p w14:paraId="63603808" w14:textId="4E5E31B6" w:rsidR="008C3642" w:rsidRPr="00B30FC4" w:rsidRDefault="008C3642" w:rsidP="00DB281B">
      <w:pPr>
        <w:pStyle w:val="Prrafodelista"/>
        <w:numPr>
          <w:ilvl w:val="0"/>
          <w:numId w:val="56"/>
        </w:numPr>
        <w:ind w:left="426" w:hanging="426"/>
        <w:jc w:val="both"/>
        <w:rPr>
          <w:rFonts w:ascii="Arial" w:hAnsi="Arial" w:cs="Arial"/>
          <w:sz w:val="22"/>
          <w:szCs w:val="22"/>
          <w:lang w:val="es-CO"/>
        </w:rPr>
      </w:pPr>
      <w:r w:rsidRPr="00F538C5">
        <w:rPr>
          <w:rFonts w:ascii="Arial" w:hAnsi="Arial" w:cs="Arial"/>
          <w:b/>
          <w:sz w:val="22"/>
          <w:szCs w:val="22"/>
          <w:lang w:val="es-CO"/>
        </w:rPr>
        <w:lastRenderedPageBreak/>
        <w:t>Proceso SE-CPS-038-2020 del 10 de febrero de 2020</w:t>
      </w:r>
      <w:r w:rsidRPr="00F538C5">
        <w:rPr>
          <w:rFonts w:ascii="Arial" w:hAnsi="Arial" w:cs="Arial"/>
          <w:sz w:val="22"/>
          <w:szCs w:val="22"/>
          <w:lang w:val="es-CO"/>
        </w:rPr>
        <w:t xml:space="preserve"> con objeto </w:t>
      </w:r>
      <w:r w:rsidR="00B30FC4">
        <w:rPr>
          <w:rFonts w:ascii="Arial" w:hAnsi="Arial" w:cs="Arial"/>
          <w:sz w:val="22"/>
          <w:szCs w:val="22"/>
          <w:lang w:val="es-CO"/>
        </w:rPr>
        <w:t xml:space="preserve">de: </w:t>
      </w:r>
      <w:r w:rsidRPr="00F538C5">
        <w:rPr>
          <w:rFonts w:ascii="Arial" w:hAnsi="Arial" w:cs="Arial"/>
          <w:sz w:val="22"/>
          <w:szCs w:val="22"/>
          <w:lang w:val="es-CO"/>
        </w:rPr>
        <w:t>“</w:t>
      </w:r>
      <w:r w:rsidR="00B30FC4" w:rsidRPr="00F538C5">
        <w:rPr>
          <w:rFonts w:ascii="Arial" w:hAnsi="Arial" w:cs="Arial"/>
          <w:i/>
          <w:sz w:val="22"/>
          <w:szCs w:val="22"/>
          <w:lang w:val="es-CO"/>
        </w:rPr>
        <w:t>prestar servicios profesionales de asesoría jurídica en la dirección de personal de instituc</w:t>
      </w:r>
      <w:r w:rsidR="00B30FC4">
        <w:rPr>
          <w:rFonts w:ascii="Arial" w:hAnsi="Arial" w:cs="Arial"/>
          <w:i/>
          <w:sz w:val="22"/>
          <w:szCs w:val="22"/>
          <w:lang w:val="es-CO"/>
        </w:rPr>
        <w:t>iones educativas de la secretarí</w:t>
      </w:r>
      <w:r w:rsidR="00B30FC4" w:rsidRPr="00F538C5">
        <w:rPr>
          <w:rFonts w:ascii="Arial" w:hAnsi="Arial" w:cs="Arial"/>
          <w:i/>
          <w:sz w:val="22"/>
          <w:szCs w:val="22"/>
          <w:lang w:val="es-CO"/>
        </w:rPr>
        <w:t>a de educación de Cundinamarca relacionados con la generación y revisión jurídica de los documentos producidos en desarrollo de las funciones de la dirección</w:t>
      </w:r>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56 millones</w:t>
      </w:r>
      <w:r w:rsidR="00B30FC4">
        <w:rPr>
          <w:rFonts w:ascii="Arial" w:hAnsi="Arial" w:cs="Arial"/>
          <w:sz w:val="22"/>
          <w:szCs w:val="22"/>
          <w:lang w:val="es-CO"/>
        </w:rPr>
        <w:t xml:space="preserve">, </w:t>
      </w:r>
      <w:r w:rsidRPr="00F538C5">
        <w:rPr>
          <w:rFonts w:ascii="Arial" w:hAnsi="Arial" w:cs="Arial"/>
          <w:sz w:val="22"/>
          <w:szCs w:val="22"/>
          <w:lang w:val="es-CO"/>
        </w:rPr>
        <w:t xml:space="preserve">con </w:t>
      </w:r>
      <w:r w:rsidR="00B30FC4" w:rsidRPr="00F538C5">
        <w:rPr>
          <w:rFonts w:ascii="Arial" w:hAnsi="Arial" w:cs="Arial"/>
          <w:sz w:val="22"/>
          <w:szCs w:val="22"/>
          <w:lang w:val="es-CO"/>
        </w:rPr>
        <w:t>Juan David Beltrán Herrera</w:t>
      </w:r>
      <w:r w:rsidRPr="00F538C5">
        <w:rPr>
          <w:rFonts w:ascii="Arial" w:hAnsi="Arial" w:cs="Arial"/>
          <w:sz w:val="22"/>
          <w:szCs w:val="22"/>
          <w:lang w:val="es-CO"/>
        </w:rPr>
        <w:t>. Se identifica como fuente de financiación el SG</w:t>
      </w:r>
      <w:r w:rsidRPr="00B30FC4">
        <w:rPr>
          <w:rFonts w:ascii="Arial" w:hAnsi="Arial" w:cs="Arial"/>
          <w:sz w:val="22"/>
          <w:szCs w:val="22"/>
          <w:lang w:val="es-CO"/>
        </w:rPr>
        <w:t>P. Sin embargo, al revisar los documentos asociados al proceso se evidencia la falta de los siguientes</w:t>
      </w:r>
      <w:r w:rsidRPr="00B30FC4">
        <w:rPr>
          <w:rFonts w:ascii="Arial" w:hAnsi="Arial" w:cs="Arial"/>
          <w:color w:val="000000"/>
          <w:sz w:val="22"/>
          <w:szCs w:val="22"/>
          <w:lang w:val="es-CO"/>
        </w:rPr>
        <w:t>:</w:t>
      </w:r>
    </w:p>
    <w:p w14:paraId="614B12E1"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Acta de inicio</w:t>
      </w:r>
    </w:p>
    <w:p w14:paraId="18202792"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Informes de supervisión</w:t>
      </w:r>
    </w:p>
    <w:p w14:paraId="249AB9BF"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Registro Presupuestal</w:t>
      </w:r>
    </w:p>
    <w:p w14:paraId="5ED4A695" w14:textId="77777777" w:rsidR="008C3642" w:rsidRPr="00F538C5" w:rsidRDefault="008C3642" w:rsidP="00DB281B">
      <w:pPr>
        <w:ind w:left="426" w:hanging="426"/>
        <w:jc w:val="both"/>
        <w:rPr>
          <w:rFonts w:ascii="Arial" w:hAnsi="Arial" w:cs="Arial"/>
          <w:sz w:val="22"/>
          <w:szCs w:val="22"/>
          <w:lang w:val="es-CO"/>
        </w:rPr>
      </w:pPr>
    </w:p>
    <w:p w14:paraId="1F0785F0" w14:textId="77777777" w:rsidR="008C3642" w:rsidRPr="00F538C5" w:rsidRDefault="008C3642" w:rsidP="00DB281B">
      <w:pPr>
        <w:pStyle w:val="Sinespaciado"/>
        <w:ind w:left="426" w:hanging="426"/>
        <w:jc w:val="both"/>
        <w:rPr>
          <w:rFonts w:ascii="Arial" w:hAnsi="Arial" w:cs="Arial"/>
          <w:b/>
        </w:rPr>
      </w:pPr>
      <w:r w:rsidRPr="00F538C5">
        <w:rPr>
          <w:rFonts w:ascii="Arial" w:hAnsi="Arial" w:cs="Arial"/>
          <w:b/>
        </w:rPr>
        <w:t>Vigencia 2021</w:t>
      </w:r>
    </w:p>
    <w:p w14:paraId="7EA9F990" w14:textId="77777777" w:rsidR="008C3642" w:rsidRPr="00F538C5" w:rsidRDefault="008C3642" w:rsidP="00DB281B">
      <w:pPr>
        <w:ind w:left="426" w:hanging="426"/>
        <w:jc w:val="both"/>
        <w:rPr>
          <w:rFonts w:ascii="Arial" w:hAnsi="Arial" w:cs="Arial"/>
          <w:sz w:val="22"/>
          <w:szCs w:val="22"/>
          <w:lang w:val="es-CO"/>
        </w:rPr>
      </w:pPr>
    </w:p>
    <w:p w14:paraId="59D7FE0D" w14:textId="11B97792" w:rsidR="008C3642" w:rsidRPr="00F538C5" w:rsidRDefault="008C3642" w:rsidP="00DB281B">
      <w:pPr>
        <w:pStyle w:val="Prrafodelista"/>
        <w:numPr>
          <w:ilvl w:val="0"/>
          <w:numId w:val="12"/>
        </w:numPr>
        <w:ind w:left="426" w:hanging="426"/>
        <w:jc w:val="both"/>
        <w:rPr>
          <w:rFonts w:ascii="Arial" w:hAnsi="Arial" w:cs="Arial"/>
          <w:sz w:val="22"/>
          <w:szCs w:val="22"/>
          <w:lang w:val="es-CO"/>
        </w:rPr>
      </w:pPr>
      <w:r w:rsidRPr="00F538C5">
        <w:rPr>
          <w:rFonts w:ascii="Arial" w:hAnsi="Arial" w:cs="Arial"/>
          <w:b/>
          <w:sz w:val="22"/>
          <w:szCs w:val="22"/>
          <w:lang w:val="es-CO"/>
        </w:rPr>
        <w:t>Proceso No. SE-CPS-072-2021 del 4 de marzo de 2021</w:t>
      </w:r>
      <w:r w:rsidRPr="00F538C5">
        <w:rPr>
          <w:rFonts w:ascii="Arial" w:hAnsi="Arial" w:cs="Arial"/>
          <w:sz w:val="22"/>
          <w:szCs w:val="22"/>
          <w:lang w:val="es-CO"/>
        </w:rPr>
        <w:t xml:space="preserve"> con objeto </w:t>
      </w:r>
      <w:r w:rsidR="00B30FC4">
        <w:rPr>
          <w:rFonts w:ascii="Arial" w:hAnsi="Arial" w:cs="Arial"/>
          <w:sz w:val="22"/>
          <w:szCs w:val="22"/>
          <w:lang w:val="es-CO"/>
        </w:rPr>
        <w:t xml:space="preserve">de: </w:t>
      </w:r>
      <w:r w:rsidRPr="00F538C5">
        <w:rPr>
          <w:rFonts w:ascii="Arial" w:hAnsi="Arial" w:cs="Arial"/>
          <w:sz w:val="22"/>
          <w:szCs w:val="22"/>
          <w:lang w:val="es-CO"/>
        </w:rPr>
        <w:t>“</w:t>
      </w:r>
      <w:r w:rsidR="00B30FC4" w:rsidRPr="00F538C5">
        <w:rPr>
          <w:rFonts w:ascii="Arial" w:hAnsi="Arial" w:cs="Arial"/>
          <w:i/>
          <w:sz w:val="22"/>
          <w:szCs w:val="22"/>
          <w:lang w:val="es-CO"/>
        </w:rPr>
        <w:t>contratar la prestación de servicios profesionales para apoyo y seguimiento al programa de formación docente, el programa todos a aprender y los convenios relacionados con el fortalecimiento de las competencias de los docentes, liderados desde la dirección de calidad de la secretaría de educación de Cundinamarca y enfocados a garantizar la atención de la prestación del servicio educativo</w:t>
      </w:r>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22 millones</w:t>
      </w:r>
      <w:r w:rsidR="00B30FC4">
        <w:rPr>
          <w:rFonts w:ascii="Arial" w:hAnsi="Arial" w:cs="Arial"/>
          <w:sz w:val="22"/>
          <w:szCs w:val="22"/>
          <w:lang w:val="es-CO"/>
        </w:rPr>
        <w:t>,</w:t>
      </w:r>
      <w:r w:rsidRPr="00F538C5">
        <w:rPr>
          <w:rFonts w:ascii="Arial" w:hAnsi="Arial" w:cs="Arial"/>
          <w:sz w:val="22"/>
          <w:szCs w:val="22"/>
          <w:lang w:val="es-CO"/>
        </w:rPr>
        <w:t xml:space="preserve"> con </w:t>
      </w:r>
      <w:r w:rsidR="00B30FC4" w:rsidRPr="00F538C5">
        <w:rPr>
          <w:rFonts w:ascii="Arial" w:hAnsi="Arial" w:cs="Arial"/>
          <w:sz w:val="22"/>
          <w:szCs w:val="22"/>
          <w:lang w:val="es-CO"/>
        </w:rPr>
        <w:t>Víctor Alejandro Acosta González</w:t>
      </w:r>
      <w:r w:rsidRPr="00F538C5">
        <w:rPr>
          <w:rFonts w:ascii="Arial" w:hAnsi="Arial" w:cs="Arial"/>
          <w:sz w:val="22"/>
          <w:szCs w:val="22"/>
          <w:lang w:val="es-CO"/>
        </w:rPr>
        <w:t xml:space="preserve">. Se identifica como fuente de financiación el SGP. Al revisar los documentos asociados al proceso se evidencia que están </w:t>
      </w:r>
      <w:r w:rsidR="00127498" w:rsidRPr="00F538C5">
        <w:rPr>
          <w:rFonts w:ascii="Arial" w:hAnsi="Arial" w:cs="Arial"/>
          <w:sz w:val="22"/>
          <w:szCs w:val="22"/>
          <w:lang w:val="es-CO"/>
        </w:rPr>
        <w:t>pendientes de publicación en el expediente contractual:</w:t>
      </w:r>
    </w:p>
    <w:p w14:paraId="24E6EFFC"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Acta de inicio</w:t>
      </w:r>
    </w:p>
    <w:p w14:paraId="4A916FF0"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Informes de supervisión</w:t>
      </w:r>
    </w:p>
    <w:p w14:paraId="4880186A"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Registro presupuestal</w:t>
      </w:r>
    </w:p>
    <w:p w14:paraId="75356642" w14:textId="77777777" w:rsidR="008C3642" w:rsidRPr="00F538C5" w:rsidRDefault="008C3642" w:rsidP="00DB281B">
      <w:pPr>
        <w:ind w:left="426" w:hanging="426"/>
        <w:jc w:val="both"/>
        <w:rPr>
          <w:rFonts w:ascii="Arial" w:hAnsi="Arial" w:cs="Arial"/>
          <w:color w:val="000000"/>
          <w:sz w:val="22"/>
          <w:szCs w:val="22"/>
          <w:lang w:val="es-CO"/>
        </w:rPr>
      </w:pPr>
    </w:p>
    <w:p w14:paraId="1CA0E452" w14:textId="60014308" w:rsidR="008C3642" w:rsidRPr="00F538C5" w:rsidRDefault="008C3642" w:rsidP="00DB281B">
      <w:pPr>
        <w:pStyle w:val="Prrafodelista"/>
        <w:numPr>
          <w:ilvl w:val="0"/>
          <w:numId w:val="12"/>
        </w:numPr>
        <w:ind w:left="426" w:hanging="426"/>
        <w:jc w:val="both"/>
        <w:rPr>
          <w:rFonts w:ascii="Arial" w:hAnsi="Arial" w:cs="Arial"/>
          <w:sz w:val="22"/>
          <w:szCs w:val="22"/>
          <w:lang w:val="es-CO"/>
        </w:rPr>
      </w:pPr>
      <w:r w:rsidRPr="00F538C5">
        <w:rPr>
          <w:rFonts w:ascii="Arial" w:hAnsi="Arial" w:cs="Arial"/>
          <w:b/>
          <w:sz w:val="22"/>
          <w:szCs w:val="22"/>
          <w:lang w:val="es-CO"/>
        </w:rPr>
        <w:t>Proceso No. SE-CPS-070-2021 del 4 de marzo de 2021</w:t>
      </w:r>
      <w:r w:rsidRPr="00F538C5">
        <w:rPr>
          <w:rFonts w:ascii="Arial" w:hAnsi="Arial" w:cs="Arial"/>
          <w:sz w:val="22"/>
          <w:szCs w:val="22"/>
          <w:lang w:val="es-CO"/>
        </w:rPr>
        <w:t xml:space="preserve"> con objeto </w:t>
      </w:r>
      <w:r w:rsidR="00B30FC4">
        <w:rPr>
          <w:rFonts w:ascii="Arial" w:hAnsi="Arial" w:cs="Arial"/>
          <w:sz w:val="22"/>
          <w:szCs w:val="22"/>
          <w:lang w:val="es-CO"/>
        </w:rPr>
        <w:t xml:space="preserve">de: </w:t>
      </w:r>
      <w:r w:rsidRPr="00F538C5">
        <w:rPr>
          <w:rFonts w:ascii="Arial" w:hAnsi="Arial" w:cs="Arial"/>
          <w:sz w:val="22"/>
          <w:szCs w:val="22"/>
          <w:lang w:val="es-CO"/>
        </w:rPr>
        <w:t>“</w:t>
      </w:r>
      <w:r w:rsidR="00B30FC4" w:rsidRPr="00F538C5">
        <w:rPr>
          <w:rFonts w:ascii="Arial" w:hAnsi="Arial" w:cs="Arial"/>
          <w:i/>
          <w:sz w:val="22"/>
          <w:szCs w:val="22"/>
          <w:lang w:val="es-CO"/>
        </w:rPr>
        <w:t>contratar la prestación de servicios profesionales para el apoyo del análisis de resultados de pruebas externas (pruebas saber) y de evaluación de las instituciones educativas de los municipios no certificados de Cundinamarca con el fin de apoyar y garantizar la atención de la prestación del servicio educativo</w:t>
      </w:r>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22 millones</w:t>
      </w:r>
      <w:r w:rsidR="00B30FC4">
        <w:rPr>
          <w:rFonts w:ascii="Arial" w:hAnsi="Arial" w:cs="Arial"/>
          <w:sz w:val="22"/>
          <w:szCs w:val="22"/>
          <w:lang w:val="es-CO"/>
        </w:rPr>
        <w:t>,</w:t>
      </w:r>
      <w:r w:rsidRPr="00F538C5">
        <w:rPr>
          <w:rFonts w:ascii="Arial" w:hAnsi="Arial" w:cs="Arial"/>
          <w:sz w:val="22"/>
          <w:szCs w:val="22"/>
          <w:lang w:val="es-CO"/>
        </w:rPr>
        <w:t xml:space="preserve"> con </w:t>
      </w:r>
      <w:r w:rsidR="00B30FC4" w:rsidRPr="00F538C5">
        <w:rPr>
          <w:rFonts w:ascii="Arial" w:hAnsi="Arial" w:cs="Arial"/>
          <w:sz w:val="22"/>
          <w:szCs w:val="22"/>
          <w:lang w:val="es-CO"/>
        </w:rPr>
        <w:t>Luisa Fernanda Ramírez Mesa</w:t>
      </w:r>
      <w:r w:rsidRPr="00F538C5">
        <w:rPr>
          <w:rFonts w:ascii="Arial" w:hAnsi="Arial" w:cs="Arial"/>
          <w:sz w:val="22"/>
          <w:szCs w:val="22"/>
          <w:lang w:val="es-CO"/>
        </w:rPr>
        <w:t xml:space="preserve">. Se identifica como fuente de financiación el SGP. Al revisar los documentos asociados al proceso se evidencia que están </w:t>
      </w:r>
      <w:r w:rsidR="00127498" w:rsidRPr="00F538C5">
        <w:rPr>
          <w:rFonts w:ascii="Arial" w:hAnsi="Arial" w:cs="Arial"/>
          <w:sz w:val="22"/>
          <w:szCs w:val="22"/>
          <w:lang w:val="es-CO"/>
        </w:rPr>
        <w:t>in</w:t>
      </w:r>
      <w:r w:rsidRPr="00F538C5">
        <w:rPr>
          <w:rFonts w:ascii="Arial" w:hAnsi="Arial" w:cs="Arial"/>
          <w:sz w:val="22"/>
          <w:szCs w:val="22"/>
          <w:lang w:val="es-CO"/>
        </w:rPr>
        <w:t>completos</w:t>
      </w:r>
      <w:r w:rsidR="00127498" w:rsidRPr="00F538C5">
        <w:rPr>
          <w:rFonts w:ascii="Arial" w:hAnsi="Arial" w:cs="Arial"/>
          <w:sz w:val="22"/>
          <w:szCs w:val="22"/>
          <w:lang w:val="es-CO"/>
        </w:rPr>
        <w:t xml:space="preserve"> en los siguientes documentos:</w:t>
      </w:r>
    </w:p>
    <w:p w14:paraId="0873E2F7"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Acta de inicio</w:t>
      </w:r>
    </w:p>
    <w:p w14:paraId="60D6C4C4"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Informes de supervisión</w:t>
      </w:r>
    </w:p>
    <w:p w14:paraId="2A478565" w14:textId="77777777" w:rsidR="008C3642" w:rsidRPr="00F538C5" w:rsidRDefault="008C3642" w:rsidP="00DB281B">
      <w:pPr>
        <w:ind w:left="426" w:hanging="426"/>
        <w:jc w:val="both"/>
        <w:rPr>
          <w:rFonts w:ascii="Arial" w:hAnsi="Arial" w:cs="Arial"/>
          <w:sz w:val="22"/>
          <w:szCs w:val="22"/>
          <w:lang w:val="es-CO"/>
        </w:rPr>
      </w:pPr>
    </w:p>
    <w:p w14:paraId="14D546A4" w14:textId="04D3258C" w:rsidR="008C3642" w:rsidRPr="00F538C5" w:rsidRDefault="008C3642" w:rsidP="00DB281B">
      <w:pPr>
        <w:pStyle w:val="Prrafodelista"/>
        <w:numPr>
          <w:ilvl w:val="0"/>
          <w:numId w:val="12"/>
        </w:numPr>
        <w:ind w:left="426" w:hanging="426"/>
        <w:jc w:val="both"/>
        <w:rPr>
          <w:rFonts w:ascii="Arial" w:hAnsi="Arial" w:cs="Arial"/>
          <w:sz w:val="22"/>
          <w:szCs w:val="22"/>
          <w:lang w:val="es-CO"/>
        </w:rPr>
      </w:pPr>
      <w:r w:rsidRPr="00F538C5">
        <w:rPr>
          <w:rFonts w:ascii="Arial" w:hAnsi="Arial" w:cs="Arial"/>
          <w:b/>
          <w:sz w:val="22"/>
          <w:szCs w:val="22"/>
          <w:lang w:val="es-CO"/>
        </w:rPr>
        <w:t>Proceso No. SE-CPS-068-2021 del 4 de marzo de 2021</w:t>
      </w:r>
      <w:r w:rsidRPr="00F538C5">
        <w:rPr>
          <w:rFonts w:ascii="Arial" w:hAnsi="Arial" w:cs="Arial"/>
          <w:sz w:val="22"/>
          <w:szCs w:val="22"/>
          <w:lang w:val="es-CO"/>
        </w:rPr>
        <w:t xml:space="preserve"> con objeto </w:t>
      </w:r>
      <w:r w:rsidR="00B30FC4">
        <w:rPr>
          <w:rFonts w:ascii="Arial" w:hAnsi="Arial" w:cs="Arial"/>
          <w:sz w:val="22"/>
          <w:szCs w:val="22"/>
          <w:lang w:val="es-CO"/>
        </w:rPr>
        <w:t xml:space="preserve">de: </w:t>
      </w:r>
      <w:r w:rsidRPr="00B30FC4">
        <w:rPr>
          <w:rFonts w:ascii="Arial" w:hAnsi="Arial" w:cs="Arial"/>
          <w:i/>
          <w:sz w:val="22"/>
          <w:szCs w:val="22"/>
          <w:lang w:val="es-CO"/>
        </w:rPr>
        <w:t>“</w:t>
      </w:r>
      <w:r w:rsidR="00B30FC4" w:rsidRPr="00F538C5">
        <w:rPr>
          <w:rFonts w:ascii="Arial" w:hAnsi="Arial" w:cs="Arial"/>
          <w:i/>
          <w:sz w:val="22"/>
          <w:szCs w:val="22"/>
          <w:lang w:val="es-CO"/>
        </w:rPr>
        <w:t xml:space="preserve">prestación de servicios profesionales especializados para apoyar la proyección y seguimiento a la ejecución mensual de la nómina de docentes, directivos docentes y administrativos, trámites de liquidación y pago de deudas salariales que se presenten en la dirección de personal de instituciones educativas de la secretaria de educación de </w:t>
      </w:r>
      <w:r w:rsidR="001A521D" w:rsidRPr="00F538C5">
        <w:rPr>
          <w:rFonts w:ascii="Arial" w:hAnsi="Arial" w:cs="Arial"/>
          <w:i/>
          <w:sz w:val="22"/>
          <w:szCs w:val="22"/>
          <w:lang w:val="es-CO"/>
        </w:rPr>
        <w:t>Cundinamarca</w:t>
      </w:r>
      <w:r w:rsidR="00B30FC4" w:rsidRPr="00F538C5">
        <w:rPr>
          <w:rFonts w:ascii="Arial" w:hAnsi="Arial" w:cs="Arial"/>
          <w:i/>
          <w:sz w:val="22"/>
          <w:szCs w:val="22"/>
          <w:lang w:val="es-CO"/>
        </w:rPr>
        <w:t>; apoyando la prestación del servicio educativo</w:t>
      </w:r>
      <w:r w:rsidRPr="00F538C5">
        <w:rPr>
          <w:rFonts w:ascii="Arial" w:hAnsi="Arial" w:cs="Arial"/>
          <w:i/>
          <w:sz w:val="22"/>
          <w:szCs w:val="22"/>
          <w:lang w:val="es-CO"/>
        </w:rPr>
        <w:t>.</w:t>
      </w:r>
      <w:r w:rsidRPr="00F538C5">
        <w:rPr>
          <w:rFonts w:ascii="Arial" w:hAnsi="Arial" w:cs="Arial"/>
          <w:sz w:val="22"/>
          <w:szCs w:val="22"/>
          <w:lang w:val="es-CO"/>
        </w:rPr>
        <w:t xml:space="preserve">”, por valor de </w:t>
      </w:r>
      <w:r w:rsidR="00DB281B" w:rsidRPr="00F538C5">
        <w:rPr>
          <w:rFonts w:ascii="Arial" w:hAnsi="Arial" w:cs="Arial"/>
          <w:sz w:val="22"/>
          <w:szCs w:val="22"/>
          <w:lang w:val="es-CO"/>
        </w:rPr>
        <w:t>$</w:t>
      </w:r>
      <w:r w:rsidRPr="00F538C5">
        <w:rPr>
          <w:rFonts w:ascii="Arial" w:hAnsi="Arial" w:cs="Arial"/>
          <w:sz w:val="22"/>
          <w:szCs w:val="22"/>
          <w:lang w:val="es-CO"/>
        </w:rPr>
        <w:t>22 millones</w:t>
      </w:r>
      <w:r w:rsidR="001A521D">
        <w:rPr>
          <w:rFonts w:ascii="Arial" w:hAnsi="Arial" w:cs="Arial"/>
          <w:sz w:val="22"/>
          <w:szCs w:val="22"/>
          <w:lang w:val="es-CO"/>
        </w:rPr>
        <w:t>,</w:t>
      </w:r>
      <w:r w:rsidRPr="00F538C5">
        <w:rPr>
          <w:rFonts w:ascii="Arial" w:hAnsi="Arial" w:cs="Arial"/>
          <w:sz w:val="22"/>
          <w:szCs w:val="22"/>
          <w:lang w:val="es-CO"/>
        </w:rPr>
        <w:t xml:space="preserve"> con </w:t>
      </w:r>
      <w:proofErr w:type="spellStart"/>
      <w:r w:rsidR="001A521D" w:rsidRPr="00F538C5">
        <w:rPr>
          <w:rFonts w:ascii="Arial" w:hAnsi="Arial" w:cs="Arial"/>
          <w:sz w:val="22"/>
          <w:szCs w:val="22"/>
          <w:lang w:val="es-CO"/>
        </w:rPr>
        <w:t>Felix</w:t>
      </w:r>
      <w:proofErr w:type="spellEnd"/>
      <w:r w:rsidR="001A521D" w:rsidRPr="00F538C5">
        <w:rPr>
          <w:rFonts w:ascii="Arial" w:hAnsi="Arial" w:cs="Arial"/>
          <w:sz w:val="22"/>
          <w:szCs w:val="22"/>
          <w:lang w:val="es-CO"/>
        </w:rPr>
        <w:t xml:space="preserve"> Gabriel </w:t>
      </w:r>
      <w:proofErr w:type="spellStart"/>
      <w:r w:rsidR="001A521D" w:rsidRPr="00F538C5">
        <w:rPr>
          <w:rFonts w:ascii="Arial" w:hAnsi="Arial" w:cs="Arial"/>
          <w:sz w:val="22"/>
          <w:szCs w:val="22"/>
          <w:lang w:val="es-CO"/>
        </w:rPr>
        <w:t>Siabato</w:t>
      </w:r>
      <w:proofErr w:type="spellEnd"/>
      <w:r w:rsidR="001A521D" w:rsidRPr="00F538C5">
        <w:rPr>
          <w:rFonts w:ascii="Arial" w:hAnsi="Arial" w:cs="Arial"/>
          <w:sz w:val="22"/>
          <w:szCs w:val="22"/>
          <w:lang w:val="es-CO"/>
        </w:rPr>
        <w:t xml:space="preserve"> Morales</w:t>
      </w:r>
      <w:r w:rsidRPr="00F538C5">
        <w:rPr>
          <w:rFonts w:ascii="Arial" w:hAnsi="Arial" w:cs="Arial"/>
          <w:sz w:val="22"/>
          <w:szCs w:val="22"/>
          <w:lang w:val="es-CO"/>
        </w:rPr>
        <w:t>. Se identifica como fuente de financiación el SGP. Al revisar los documentos asociados al proceso se evidenci</w:t>
      </w:r>
      <w:r w:rsidR="00127498" w:rsidRPr="00F538C5">
        <w:rPr>
          <w:rFonts w:ascii="Arial" w:hAnsi="Arial" w:cs="Arial"/>
          <w:sz w:val="22"/>
          <w:szCs w:val="22"/>
          <w:lang w:val="es-CO"/>
        </w:rPr>
        <w:t>an faltas de documentación, r</w:t>
      </w:r>
      <w:r w:rsidR="00B11934" w:rsidRPr="00F538C5">
        <w:rPr>
          <w:rFonts w:ascii="Arial" w:hAnsi="Arial" w:cs="Arial"/>
          <w:sz w:val="22"/>
          <w:szCs w:val="22"/>
          <w:lang w:val="es-CO"/>
        </w:rPr>
        <w:t>econociendo como documentos pendientes de carga al SECOP:</w:t>
      </w:r>
    </w:p>
    <w:p w14:paraId="0AB5C6B8"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t>Acta de inicio</w:t>
      </w:r>
    </w:p>
    <w:p w14:paraId="7A952C99" w14:textId="77777777" w:rsidR="008C3642" w:rsidRPr="00F538C5" w:rsidRDefault="008C3642" w:rsidP="00DB281B">
      <w:pPr>
        <w:pStyle w:val="Prrafodelista"/>
        <w:numPr>
          <w:ilvl w:val="0"/>
          <w:numId w:val="23"/>
        </w:numPr>
        <w:ind w:left="426" w:hanging="426"/>
        <w:jc w:val="both"/>
        <w:rPr>
          <w:rFonts w:ascii="Arial" w:hAnsi="Arial" w:cs="Arial"/>
          <w:sz w:val="22"/>
          <w:szCs w:val="22"/>
          <w:lang w:val="es-CO"/>
        </w:rPr>
      </w:pPr>
      <w:r w:rsidRPr="00F538C5">
        <w:rPr>
          <w:rFonts w:ascii="Arial" w:hAnsi="Arial" w:cs="Arial"/>
          <w:sz w:val="22"/>
          <w:szCs w:val="22"/>
          <w:lang w:val="es-CO"/>
        </w:rPr>
        <w:lastRenderedPageBreak/>
        <w:t>Informes de supervisión</w:t>
      </w:r>
    </w:p>
    <w:p w14:paraId="20592CC8" w14:textId="77777777" w:rsidR="0041698C" w:rsidRPr="00F538C5" w:rsidRDefault="0041698C" w:rsidP="00DB281B">
      <w:pPr>
        <w:ind w:left="360"/>
        <w:jc w:val="both"/>
        <w:rPr>
          <w:rFonts w:ascii="Arial" w:hAnsi="Arial" w:cs="Arial"/>
          <w:sz w:val="22"/>
          <w:szCs w:val="22"/>
        </w:rPr>
      </w:pPr>
    </w:p>
    <w:p w14:paraId="1817CA61" w14:textId="77777777" w:rsidR="0041698C" w:rsidRPr="00F538C5" w:rsidRDefault="0041698C" w:rsidP="00DB281B">
      <w:pPr>
        <w:rPr>
          <w:rFonts w:ascii="Arial" w:hAnsi="Arial" w:cs="Arial"/>
          <w:sz w:val="22"/>
          <w:szCs w:val="22"/>
          <w:lang w:val="es-ES_tradnl"/>
        </w:rPr>
      </w:pPr>
      <w:r w:rsidRPr="00F538C5">
        <w:rPr>
          <w:rFonts w:ascii="Arial" w:hAnsi="Arial" w:cs="Arial"/>
          <w:b/>
          <w:sz w:val="22"/>
          <w:szCs w:val="22"/>
          <w:lang w:val="es-ES_tradnl"/>
        </w:rPr>
        <w:t xml:space="preserve">Evidencia: </w:t>
      </w:r>
      <w:r w:rsidRPr="00F538C5">
        <w:rPr>
          <w:rFonts w:ascii="Arial" w:hAnsi="Arial" w:cs="Arial"/>
          <w:sz w:val="22"/>
          <w:szCs w:val="22"/>
          <w:lang w:val="es-ES_tradnl"/>
        </w:rPr>
        <w:t>Obra en el expediente el siguiente material probatorio:</w:t>
      </w:r>
    </w:p>
    <w:p w14:paraId="63BB96EB" w14:textId="1A4DA002" w:rsidR="0041698C" w:rsidRPr="00F538C5" w:rsidRDefault="0041698C"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ES_tradnl"/>
        </w:rPr>
        <w:t xml:space="preserve">Consulta </w:t>
      </w:r>
      <w:r w:rsidRPr="00F538C5">
        <w:rPr>
          <w:rFonts w:ascii="Arial" w:hAnsi="Arial" w:cs="Arial"/>
          <w:sz w:val="22"/>
          <w:szCs w:val="22"/>
          <w:lang w:val="es-CO"/>
        </w:rPr>
        <w:t xml:space="preserve">SECOP del </w:t>
      </w:r>
      <w:r w:rsidR="00B433EF" w:rsidRPr="00F538C5">
        <w:rPr>
          <w:rFonts w:ascii="Arial" w:hAnsi="Arial" w:cs="Arial"/>
          <w:sz w:val="22"/>
          <w:szCs w:val="22"/>
          <w:lang w:val="es-CO"/>
        </w:rPr>
        <w:t>Proceso No. SE-CMC-001-2019 del 08 de abril de 2019</w:t>
      </w:r>
      <w:r w:rsidRPr="00F538C5">
        <w:rPr>
          <w:rFonts w:ascii="Arial" w:hAnsi="Arial" w:cs="Arial"/>
          <w:sz w:val="22"/>
          <w:szCs w:val="22"/>
          <w:lang w:val="es-CO"/>
        </w:rPr>
        <w:t xml:space="preserve"> - Medio magnético.</w:t>
      </w:r>
    </w:p>
    <w:p w14:paraId="2E99B19B" w14:textId="347A9114" w:rsidR="0041698C" w:rsidRPr="00F538C5" w:rsidRDefault="0041698C"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CO"/>
        </w:rPr>
        <w:t xml:space="preserve">Consulta SECOP del </w:t>
      </w:r>
      <w:r w:rsidR="00C2505A" w:rsidRPr="00F538C5">
        <w:rPr>
          <w:rFonts w:ascii="Arial" w:hAnsi="Arial" w:cs="Arial"/>
          <w:sz w:val="22"/>
          <w:szCs w:val="22"/>
          <w:lang w:val="es-CO"/>
        </w:rPr>
        <w:t xml:space="preserve">Proceso No. SE-CPS-053-2019 del 27 de marzo de 2019 </w:t>
      </w:r>
      <w:r w:rsidRPr="00F538C5">
        <w:rPr>
          <w:rFonts w:ascii="Arial" w:hAnsi="Arial" w:cs="Arial"/>
          <w:sz w:val="22"/>
          <w:szCs w:val="22"/>
          <w:lang w:val="es-CO"/>
        </w:rPr>
        <w:t>- Medio magnético.</w:t>
      </w:r>
    </w:p>
    <w:p w14:paraId="593F40ED" w14:textId="19307516" w:rsidR="0041698C" w:rsidRPr="00F538C5" w:rsidRDefault="0041698C"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CO"/>
        </w:rPr>
        <w:t xml:space="preserve">Consulta SECOP del </w:t>
      </w:r>
      <w:r w:rsidR="00A21447" w:rsidRPr="00F538C5">
        <w:rPr>
          <w:rFonts w:ascii="Arial" w:hAnsi="Arial" w:cs="Arial"/>
          <w:sz w:val="22"/>
          <w:szCs w:val="22"/>
          <w:lang w:val="es-CO"/>
        </w:rPr>
        <w:t xml:space="preserve">Proceso No. SE-CPS-054-2019 del 5 de marzo de 2019 </w:t>
      </w:r>
      <w:r w:rsidRPr="00F538C5">
        <w:rPr>
          <w:rFonts w:ascii="Arial" w:hAnsi="Arial" w:cs="Arial"/>
          <w:sz w:val="22"/>
          <w:szCs w:val="22"/>
          <w:lang w:val="es-CO"/>
        </w:rPr>
        <w:t>- Medio magnético.</w:t>
      </w:r>
    </w:p>
    <w:p w14:paraId="6AAAB816" w14:textId="4578AA99" w:rsidR="0041698C" w:rsidRPr="00F538C5" w:rsidRDefault="0041698C"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CO"/>
        </w:rPr>
        <w:t xml:space="preserve">Consulta SECOP del </w:t>
      </w:r>
      <w:r w:rsidR="00C81B97" w:rsidRPr="00F538C5">
        <w:rPr>
          <w:rFonts w:ascii="Arial" w:hAnsi="Arial" w:cs="Arial"/>
          <w:sz w:val="22"/>
          <w:szCs w:val="22"/>
          <w:lang w:val="es-CO"/>
        </w:rPr>
        <w:t xml:space="preserve">Proceso No. E-CD-001-2020 del 20 de enero de 2020 </w:t>
      </w:r>
      <w:r w:rsidRPr="00F538C5">
        <w:rPr>
          <w:rFonts w:ascii="Arial" w:hAnsi="Arial" w:cs="Arial"/>
          <w:sz w:val="22"/>
          <w:szCs w:val="22"/>
          <w:lang w:val="es-CO"/>
        </w:rPr>
        <w:t>- Medio magnético.</w:t>
      </w:r>
    </w:p>
    <w:p w14:paraId="326504BA" w14:textId="2B6AB86C" w:rsidR="0041698C" w:rsidRPr="00F538C5" w:rsidRDefault="0041698C"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CO"/>
        </w:rPr>
        <w:t xml:space="preserve">Consulta SECOP del </w:t>
      </w:r>
      <w:r w:rsidR="00DE6E79" w:rsidRPr="00F538C5">
        <w:rPr>
          <w:rFonts w:ascii="Arial" w:hAnsi="Arial" w:cs="Arial"/>
          <w:sz w:val="22"/>
          <w:szCs w:val="22"/>
          <w:lang w:val="es-CO"/>
        </w:rPr>
        <w:t xml:space="preserve">Proceso SE-CD-034-037-2020 del 20 de enero de 2020 </w:t>
      </w:r>
      <w:r w:rsidRPr="00F538C5">
        <w:rPr>
          <w:rFonts w:ascii="Arial" w:hAnsi="Arial" w:cs="Arial"/>
          <w:sz w:val="22"/>
          <w:szCs w:val="22"/>
          <w:lang w:val="es-CO"/>
        </w:rPr>
        <w:t>- Medio magnético.</w:t>
      </w:r>
    </w:p>
    <w:p w14:paraId="68731A27" w14:textId="242DCCA7" w:rsidR="0041698C" w:rsidRPr="00F538C5" w:rsidRDefault="0041698C"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CO"/>
        </w:rPr>
        <w:t xml:space="preserve">Consulta SECOP del </w:t>
      </w:r>
      <w:r w:rsidR="001F1F78" w:rsidRPr="00F538C5">
        <w:rPr>
          <w:rFonts w:ascii="Arial" w:hAnsi="Arial" w:cs="Arial"/>
          <w:sz w:val="22"/>
          <w:szCs w:val="22"/>
          <w:lang w:val="es-CO"/>
        </w:rPr>
        <w:t xml:space="preserve">Proceso SE-CPS-038-2020 del 10 de febrero de 2020 </w:t>
      </w:r>
      <w:r w:rsidRPr="00F538C5">
        <w:rPr>
          <w:rFonts w:ascii="Arial" w:hAnsi="Arial" w:cs="Arial"/>
          <w:sz w:val="22"/>
          <w:szCs w:val="22"/>
          <w:lang w:val="es-CO"/>
        </w:rPr>
        <w:t>- Medio magnético.</w:t>
      </w:r>
    </w:p>
    <w:p w14:paraId="22BF280E" w14:textId="4B9653EF" w:rsidR="0041698C" w:rsidRPr="00F538C5" w:rsidRDefault="0041698C"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CO"/>
        </w:rPr>
        <w:t xml:space="preserve">Consulta SECOP del </w:t>
      </w:r>
      <w:r w:rsidR="00B7698D" w:rsidRPr="00F538C5">
        <w:rPr>
          <w:rFonts w:ascii="Arial" w:hAnsi="Arial" w:cs="Arial"/>
          <w:sz w:val="22"/>
          <w:szCs w:val="22"/>
          <w:lang w:val="es-CO"/>
        </w:rPr>
        <w:t xml:space="preserve">Proceso No. SE-CPS-072-2021 del 4 de marzo de 2021 </w:t>
      </w:r>
      <w:r w:rsidRPr="00F538C5">
        <w:rPr>
          <w:rFonts w:ascii="Arial" w:hAnsi="Arial" w:cs="Arial"/>
          <w:sz w:val="22"/>
          <w:szCs w:val="22"/>
          <w:lang w:val="es-CO"/>
        </w:rPr>
        <w:t>- Medio magnético.</w:t>
      </w:r>
    </w:p>
    <w:p w14:paraId="611EC66C" w14:textId="184AB6E6" w:rsidR="00B7698D" w:rsidRPr="00F538C5" w:rsidRDefault="00B7698D" w:rsidP="00DB281B">
      <w:pPr>
        <w:pStyle w:val="Prrafodelista"/>
        <w:numPr>
          <w:ilvl w:val="0"/>
          <w:numId w:val="53"/>
        </w:numPr>
        <w:ind w:left="284" w:hanging="284"/>
        <w:jc w:val="both"/>
        <w:rPr>
          <w:rFonts w:ascii="Arial" w:hAnsi="Arial" w:cs="Arial"/>
          <w:sz w:val="22"/>
          <w:szCs w:val="22"/>
          <w:lang w:val="es-CO"/>
        </w:rPr>
      </w:pPr>
      <w:r w:rsidRPr="00F538C5">
        <w:rPr>
          <w:rFonts w:ascii="Arial" w:hAnsi="Arial" w:cs="Arial"/>
          <w:sz w:val="22"/>
          <w:szCs w:val="22"/>
          <w:lang w:val="es-CO"/>
        </w:rPr>
        <w:t>Consulta SECOP</w:t>
      </w:r>
      <w:r w:rsidRPr="00F538C5">
        <w:rPr>
          <w:rFonts w:ascii="Arial" w:hAnsi="Arial" w:cs="Arial"/>
          <w:sz w:val="22"/>
          <w:szCs w:val="22"/>
          <w:lang w:val="es-ES_tradnl"/>
        </w:rPr>
        <w:t xml:space="preserve"> del </w:t>
      </w:r>
      <w:r w:rsidR="005574BF" w:rsidRPr="00F538C5">
        <w:rPr>
          <w:rFonts w:ascii="Arial" w:hAnsi="Arial" w:cs="Arial"/>
          <w:sz w:val="22"/>
          <w:szCs w:val="22"/>
          <w:lang w:val="es-ES_tradnl"/>
        </w:rPr>
        <w:t xml:space="preserve">Proceso No. SE-CPS-070-2021 del 4 de marzo de 2021 </w:t>
      </w:r>
      <w:r w:rsidRPr="00F538C5">
        <w:rPr>
          <w:rFonts w:ascii="Arial" w:hAnsi="Arial" w:cs="Arial"/>
          <w:sz w:val="22"/>
          <w:szCs w:val="22"/>
        </w:rPr>
        <w:t>- Medio magnético.</w:t>
      </w:r>
    </w:p>
    <w:p w14:paraId="3126FB83" w14:textId="6D0CE8CB" w:rsidR="0041698C" w:rsidRPr="00F538C5" w:rsidRDefault="0041698C" w:rsidP="00DB281B">
      <w:pPr>
        <w:pStyle w:val="Prrafodelista"/>
        <w:numPr>
          <w:ilvl w:val="0"/>
          <w:numId w:val="53"/>
        </w:numPr>
        <w:ind w:left="284" w:hanging="284"/>
        <w:jc w:val="both"/>
        <w:rPr>
          <w:rFonts w:ascii="Arial" w:hAnsi="Arial" w:cs="Arial"/>
          <w:sz w:val="22"/>
          <w:szCs w:val="22"/>
          <w:lang w:val="es-ES_tradnl"/>
        </w:rPr>
      </w:pPr>
      <w:r w:rsidRPr="00F538C5">
        <w:rPr>
          <w:rFonts w:ascii="Arial" w:hAnsi="Arial" w:cs="Arial"/>
          <w:sz w:val="22"/>
          <w:szCs w:val="22"/>
          <w:lang w:val="es-CO"/>
        </w:rPr>
        <w:t>Consulta SECOP</w:t>
      </w:r>
      <w:r w:rsidRPr="00F538C5">
        <w:rPr>
          <w:rFonts w:ascii="Arial" w:hAnsi="Arial" w:cs="Arial"/>
          <w:sz w:val="22"/>
          <w:szCs w:val="22"/>
          <w:lang w:val="es-ES_tradnl"/>
        </w:rPr>
        <w:t xml:space="preserve"> del </w:t>
      </w:r>
      <w:r w:rsidR="00CC417A" w:rsidRPr="00F538C5">
        <w:rPr>
          <w:rFonts w:ascii="Arial" w:hAnsi="Arial" w:cs="Arial"/>
          <w:sz w:val="22"/>
          <w:szCs w:val="22"/>
          <w:lang w:val="es-ES_tradnl"/>
        </w:rPr>
        <w:t xml:space="preserve">Proceso No. SE-CPS-068-2021 del 4 de marzo de 2021 </w:t>
      </w:r>
      <w:r w:rsidRPr="00F538C5">
        <w:rPr>
          <w:rFonts w:ascii="Arial" w:hAnsi="Arial" w:cs="Arial"/>
          <w:sz w:val="22"/>
          <w:szCs w:val="22"/>
        </w:rPr>
        <w:t>- Medio magnético.</w:t>
      </w:r>
    </w:p>
    <w:p w14:paraId="27016184" w14:textId="1261B396" w:rsidR="00E94424" w:rsidRPr="00F538C5" w:rsidRDefault="00E94424" w:rsidP="00DB281B">
      <w:pPr>
        <w:jc w:val="both"/>
        <w:rPr>
          <w:rFonts w:ascii="Arial" w:hAnsi="Arial" w:cs="Arial"/>
          <w:sz w:val="22"/>
          <w:szCs w:val="22"/>
          <w:lang w:val="es-ES_tradnl"/>
        </w:rPr>
      </w:pPr>
    </w:p>
    <w:p w14:paraId="49334A66" w14:textId="55785F50" w:rsidR="00E94424" w:rsidRPr="00DB281B" w:rsidRDefault="00E618B6" w:rsidP="00DB281B">
      <w:pPr>
        <w:pStyle w:val="Ttulo3"/>
        <w:numPr>
          <w:ilvl w:val="1"/>
          <w:numId w:val="10"/>
        </w:numPr>
        <w:spacing w:before="0"/>
        <w:ind w:left="426" w:hanging="426"/>
        <w:jc w:val="both"/>
        <w:rPr>
          <w:rFonts w:ascii="Arial" w:hAnsi="Arial" w:cs="Arial"/>
          <w:b/>
          <w:color w:val="auto"/>
          <w:sz w:val="22"/>
          <w:szCs w:val="22"/>
          <w:lang w:val="es-ES_tradnl"/>
        </w:rPr>
      </w:pPr>
      <w:r w:rsidRPr="00DB281B">
        <w:rPr>
          <w:rFonts w:ascii="Arial" w:hAnsi="Arial" w:cs="Arial"/>
          <w:b/>
          <w:color w:val="auto"/>
          <w:sz w:val="22"/>
          <w:szCs w:val="22"/>
          <w:lang w:val="es-ES_tradnl"/>
        </w:rPr>
        <w:t>Contratación y entrega extemporánea de la dotación de Ley 70 de 1988</w:t>
      </w:r>
      <w:r w:rsidR="0096710D" w:rsidRPr="00DB281B">
        <w:rPr>
          <w:rFonts w:ascii="Arial" w:hAnsi="Arial" w:cs="Arial"/>
          <w:b/>
          <w:color w:val="auto"/>
          <w:sz w:val="22"/>
          <w:szCs w:val="22"/>
          <w:lang w:val="es-ES_tradnl"/>
        </w:rPr>
        <w:t>.</w:t>
      </w:r>
    </w:p>
    <w:p w14:paraId="0D86655F" w14:textId="565B3EA9" w:rsidR="00E618B6" w:rsidRPr="00DB281B" w:rsidRDefault="00E618B6" w:rsidP="00DB281B">
      <w:pPr>
        <w:jc w:val="both"/>
        <w:rPr>
          <w:rFonts w:ascii="Arial" w:hAnsi="Arial" w:cs="Arial"/>
          <w:sz w:val="22"/>
          <w:szCs w:val="22"/>
          <w:lang w:val="es-ES_tradnl"/>
        </w:rPr>
      </w:pPr>
    </w:p>
    <w:p w14:paraId="2CCF045D" w14:textId="77777777" w:rsidR="00E618B6" w:rsidRPr="00DB281B" w:rsidRDefault="00E618B6" w:rsidP="00DB281B">
      <w:pPr>
        <w:jc w:val="both"/>
        <w:rPr>
          <w:rFonts w:ascii="Arial" w:hAnsi="Arial" w:cs="Arial"/>
          <w:sz w:val="22"/>
          <w:szCs w:val="22"/>
          <w:lang w:val="es-CO"/>
        </w:rPr>
      </w:pPr>
      <w:r w:rsidRPr="00DB281B">
        <w:rPr>
          <w:rFonts w:ascii="Arial" w:hAnsi="Arial" w:cs="Arial"/>
          <w:sz w:val="22"/>
          <w:szCs w:val="22"/>
          <w:lang w:val="es-CO"/>
        </w:rPr>
        <w:t>Los empleados públicos del nivel territorial del Sector Educación que devenguen una remuneración mensual inferior a dos veces el salario mínimo legal mensual vigente tienen derecho a partir de la vigencia del Decreto 1919 de 2002, a recibir como dotación, material de calzado y vestido apropiado para las labores que desempeñen, en los términos previstos en la Ley 70 de 1988 y el Decreto reglamentario 1978 de 1989.</w:t>
      </w:r>
    </w:p>
    <w:p w14:paraId="1CE71CCF" w14:textId="77777777" w:rsidR="00E618B6" w:rsidRPr="00DB281B" w:rsidRDefault="00E618B6" w:rsidP="00DB281B">
      <w:pPr>
        <w:jc w:val="both"/>
        <w:rPr>
          <w:rFonts w:ascii="Arial" w:hAnsi="Arial" w:cs="Arial"/>
          <w:sz w:val="22"/>
          <w:szCs w:val="22"/>
          <w:lang w:val="es-CO"/>
        </w:rPr>
      </w:pPr>
    </w:p>
    <w:p w14:paraId="6948ED70" w14:textId="77777777" w:rsidR="00E618B6" w:rsidRPr="00DB281B" w:rsidRDefault="00E618B6" w:rsidP="00DB281B">
      <w:pPr>
        <w:jc w:val="both"/>
        <w:rPr>
          <w:rFonts w:ascii="Arial" w:hAnsi="Arial" w:cs="Arial"/>
          <w:sz w:val="22"/>
          <w:szCs w:val="22"/>
          <w:lang w:val="es-CO"/>
        </w:rPr>
      </w:pPr>
      <w:r w:rsidRPr="00DB281B">
        <w:rPr>
          <w:rFonts w:ascii="Arial" w:hAnsi="Arial" w:cs="Arial"/>
          <w:sz w:val="22"/>
          <w:szCs w:val="22"/>
          <w:lang w:val="es-CO"/>
        </w:rPr>
        <w:t>Para lo cual, el Ministerio de Educación Nacional en virtud del artículo 15 de la Ley 715 de 2001, mensualmente gira los recursos del Sistema General de Participaciones del Sector Educación en el Componente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 Al respecto el Ministerio de Educación Nacional mediante la Directiva 04 de 2003 señaló:</w:t>
      </w:r>
    </w:p>
    <w:p w14:paraId="2DC9E364" w14:textId="77777777" w:rsidR="00E618B6" w:rsidRPr="00DB281B" w:rsidRDefault="00E618B6" w:rsidP="00DB281B">
      <w:pPr>
        <w:jc w:val="both"/>
        <w:rPr>
          <w:rFonts w:ascii="Arial" w:hAnsi="Arial" w:cs="Arial"/>
          <w:sz w:val="22"/>
          <w:szCs w:val="22"/>
          <w:lang w:val="es-CO"/>
        </w:rPr>
      </w:pPr>
    </w:p>
    <w:p w14:paraId="352536EA" w14:textId="77777777" w:rsidR="00E618B6" w:rsidRPr="00DB281B" w:rsidRDefault="00E618B6" w:rsidP="00DB281B">
      <w:pPr>
        <w:ind w:left="709"/>
        <w:jc w:val="both"/>
        <w:rPr>
          <w:rFonts w:ascii="Arial" w:hAnsi="Arial" w:cs="Arial"/>
          <w:sz w:val="22"/>
          <w:szCs w:val="22"/>
          <w:lang w:val="es-CO"/>
        </w:rPr>
      </w:pPr>
      <w:r w:rsidRPr="00DB281B">
        <w:rPr>
          <w:rFonts w:ascii="Arial" w:hAnsi="Arial" w:cs="Arial"/>
          <w:sz w:val="18"/>
          <w:szCs w:val="22"/>
          <w:lang w:val="es-CO"/>
        </w:rPr>
        <w:t>“</w:t>
      </w:r>
      <w:r w:rsidRPr="00DB281B">
        <w:rPr>
          <w:rFonts w:ascii="Arial" w:hAnsi="Arial" w:cs="Arial"/>
          <w:i/>
          <w:iCs/>
          <w:sz w:val="18"/>
          <w:szCs w:val="22"/>
          <w:lang w:val="es-CO"/>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r w:rsidRPr="00DB281B">
        <w:rPr>
          <w:rFonts w:ascii="Arial" w:hAnsi="Arial" w:cs="Arial"/>
          <w:sz w:val="18"/>
          <w:szCs w:val="22"/>
          <w:lang w:val="es-CO"/>
        </w:rPr>
        <w:t>”.</w:t>
      </w:r>
    </w:p>
    <w:p w14:paraId="6FB882B3" w14:textId="77777777" w:rsidR="00E618B6" w:rsidRPr="00DB281B" w:rsidRDefault="00E618B6" w:rsidP="00DB281B">
      <w:pPr>
        <w:jc w:val="both"/>
        <w:rPr>
          <w:rFonts w:ascii="Arial" w:hAnsi="Arial" w:cs="Arial"/>
          <w:sz w:val="22"/>
          <w:szCs w:val="22"/>
          <w:lang w:val="es-CO"/>
        </w:rPr>
      </w:pPr>
    </w:p>
    <w:p w14:paraId="147B091D" w14:textId="2A9EE457" w:rsidR="00E618B6" w:rsidRPr="00DB281B" w:rsidRDefault="00E618B6" w:rsidP="00DB281B">
      <w:pPr>
        <w:jc w:val="both"/>
        <w:rPr>
          <w:rFonts w:ascii="Arial" w:hAnsi="Arial" w:cs="Arial"/>
          <w:sz w:val="22"/>
          <w:szCs w:val="22"/>
          <w:lang w:val="es-CO"/>
        </w:rPr>
      </w:pPr>
      <w:r w:rsidRPr="00DB281B">
        <w:rPr>
          <w:rFonts w:ascii="Arial" w:hAnsi="Arial" w:cs="Arial"/>
          <w:sz w:val="22"/>
          <w:szCs w:val="22"/>
          <w:lang w:val="es-CO"/>
        </w:rPr>
        <w:t xml:space="preserve">Adicionalmente, la Ley 70 de 1988 y el Decreto reglamentario 1978 de 1989 determinan que esta prestación deberá reconocerse cada cuatro (4) meses durante la respectiva vigencia fiscal. Por lo tanto, el municipio de Pasto debió entregar en cada vigencia el 30 de abril, el 30 de agosto y el 30 de diciembre el material de calzado y vestido para los </w:t>
      </w:r>
      <w:r w:rsidRPr="00DB281B">
        <w:rPr>
          <w:rFonts w:ascii="Arial" w:hAnsi="Arial" w:cs="Arial"/>
          <w:sz w:val="22"/>
          <w:szCs w:val="22"/>
          <w:lang w:val="es-CO"/>
        </w:rPr>
        <w:lastRenderedPageBreak/>
        <w:t xml:space="preserve">empleados públicos del nivel territorial que cumplan con los requisitos establecidos en la normatividad vigente. </w:t>
      </w:r>
    </w:p>
    <w:p w14:paraId="2CAA99B3" w14:textId="77777777" w:rsidR="00E618B6" w:rsidRPr="00DB281B" w:rsidRDefault="00E618B6" w:rsidP="00DB281B">
      <w:pPr>
        <w:jc w:val="both"/>
        <w:rPr>
          <w:rFonts w:ascii="Arial" w:hAnsi="Arial" w:cs="Arial"/>
          <w:sz w:val="22"/>
          <w:szCs w:val="22"/>
          <w:lang w:val="es-CO"/>
        </w:rPr>
      </w:pPr>
    </w:p>
    <w:p w14:paraId="493D27B8" w14:textId="77777777" w:rsidR="00812646" w:rsidRDefault="00E618B6" w:rsidP="00DB281B">
      <w:pPr>
        <w:jc w:val="both"/>
        <w:rPr>
          <w:rFonts w:ascii="Arial" w:hAnsi="Arial" w:cs="Arial"/>
          <w:sz w:val="22"/>
          <w:szCs w:val="22"/>
          <w:lang w:val="es-CO"/>
        </w:rPr>
      </w:pPr>
      <w:r w:rsidRPr="00DB281B">
        <w:rPr>
          <w:rFonts w:ascii="Arial" w:hAnsi="Arial" w:cs="Arial"/>
          <w:sz w:val="22"/>
          <w:szCs w:val="22"/>
          <w:lang w:val="es-CO"/>
        </w:rPr>
        <w:t xml:space="preserve">Sin embargo, en una clara inobservancia de lo indicado con anterioridad, en la vigencia 2019 el Departamento de Cundinamarca no contrató el suministro de la dotación, lo que derivó en una indebida acumulación de las dotaciones de la vigencia del 2019 y 2020 como se evidencia en la </w:t>
      </w:r>
      <w:r w:rsidR="0096710D" w:rsidRPr="00DB281B">
        <w:rPr>
          <w:rFonts w:ascii="Arial" w:hAnsi="Arial" w:cs="Arial"/>
          <w:sz w:val="22"/>
          <w:szCs w:val="22"/>
          <w:lang w:val="es-CO"/>
        </w:rPr>
        <w:t>O</w:t>
      </w:r>
      <w:r w:rsidRPr="00DB281B">
        <w:rPr>
          <w:rFonts w:ascii="Arial" w:hAnsi="Arial" w:cs="Arial"/>
          <w:sz w:val="22"/>
          <w:szCs w:val="22"/>
          <w:lang w:val="es-CO"/>
        </w:rPr>
        <w:t xml:space="preserve">rden de compra 55923 del 29 de septiembre del 2020. </w:t>
      </w:r>
    </w:p>
    <w:p w14:paraId="25AF9AF4" w14:textId="77777777" w:rsidR="00812646" w:rsidRDefault="00812646" w:rsidP="00DB281B">
      <w:pPr>
        <w:jc w:val="both"/>
        <w:rPr>
          <w:rFonts w:ascii="Arial" w:hAnsi="Arial" w:cs="Arial"/>
          <w:sz w:val="22"/>
          <w:szCs w:val="22"/>
          <w:lang w:val="es-CO"/>
        </w:rPr>
      </w:pPr>
    </w:p>
    <w:p w14:paraId="4F194938" w14:textId="068ECFB0" w:rsidR="00E618B6" w:rsidRPr="00DB281B" w:rsidRDefault="00812646" w:rsidP="00DB281B">
      <w:pPr>
        <w:jc w:val="both"/>
        <w:rPr>
          <w:rFonts w:ascii="Arial" w:hAnsi="Arial" w:cs="Arial"/>
          <w:sz w:val="22"/>
          <w:szCs w:val="22"/>
          <w:lang w:val="es-CO"/>
        </w:rPr>
      </w:pPr>
      <w:r>
        <w:rPr>
          <w:rFonts w:ascii="Arial" w:hAnsi="Arial" w:cs="Arial"/>
          <w:sz w:val="22"/>
          <w:szCs w:val="22"/>
          <w:lang w:val="es-CO"/>
        </w:rPr>
        <w:t>P</w:t>
      </w:r>
      <w:r w:rsidR="00E618B6" w:rsidRPr="00DB281B">
        <w:rPr>
          <w:rFonts w:ascii="Arial" w:hAnsi="Arial" w:cs="Arial"/>
          <w:sz w:val="22"/>
          <w:szCs w:val="22"/>
          <w:lang w:val="es-CO"/>
        </w:rPr>
        <w:t xml:space="preserve">ara la vigencia del 2020, nuevamente se está incurriendo en una entrega extemporánea </w:t>
      </w:r>
      <w:r>
        <w:rPr>
          <w:rFonts w:ascii="Arial" w:hAnsi="Arial" w:cs="Arial"/>
          <w:sz w:val="22"/>
          <w:szCs w:val="22"/>
          <w:lang w:val="es-CO"/>
        </w:rPr>
        <w:t xml:space="preserve">de las dos primeras dotaciones, </w:t>
      </w:r>
      <w:r w:rsidR="00E618B6" w:rsidRPr="00DB281B">
        <w:rPr>
          <w:rFonts w:ascii="Arial" w:hAnsi="Arial" w:cs="Arial"/>
          <w:sz w:val="22"/>
          <w:szCs w:val="22"/>
          <w:lang w:val="es-CO"/>
        </w:rPr>
        <w:t>que debi</w:t>
      </w:r>
      <w:r>
        <w:rPr>
          <w:rFonts w:ascii="Arial" w:hAnsi="Arial" w:cs="Arial"/>
          <w:sz w:val="22"/>
          <w:szCs w:val="22"/>
          <w:lang w:val="es-CO"/>
        </w:rPr>
        <w:t xml:space="preserve">eron </w:t>
      </w:r>
      <w:r w:rsidR="00E618B6" w:rsidRPr="00DB281B">
        <w:rPr>
          <w:rFonts w:ascii="Arial" w:hAnsi="Arial" w:cs="Arial"/>
          <w:sz w:val="22"/>
          <w:szCs w:val="22"/>
          <w:lang w:val="es-CO"/>
        </w:rPr>
        <w:t>entregarse el 30 de abril</w:t>
      </w:r>
      <w:r>
        <w:rPr>
          <w:rFonts w:ascii="Arial" w:hAnsi="Arial" w:cs="Arial"/>
          <w:sz w:val="22"/>
          <w:szCs w:val="22"/>
          <w:lang w:val="es-CO"/>
        </w:rPr>
        <w:t xml:space="preserve"> y </w:t>
      </w:r>
      <w:r w:rsidR="00E618B6" w:rsidRPr="00DB281B">
        <w:rPr>
          <w:rFonts w:ascii="Arial" w:hAnsi="Arial" w:cs="Arial"/>
          <w:sz w:val="22"/>
          <w:szCs w:val="22"/>
          <w:lang w:val="es-CO"/>
        </w:rPr>
        <w:t>el 30 de agosto</w:t>
      </w:r>
      <w:r>
        <w:rPr>
          <w:rFonts w:ascii="Arial" w:hAnsi="Arial" w:cs="Arial"/>
          <w:sz w:val="22"/>
          <w:szCs w:val="22"/>
          <w:lang w:val="es-CO"/>
        </w:rPr>
        <w:t>, respectivamente</w:t>
      </w:r>
      <w:r w:rsidR="00E618B6" w:rsidRPr="00DB281B">
        <w:rPr>
          <w:rFonts w:ascii="Arial" w:hAnsi="Arial" w:cs="Arial"/>
          <w:sz w:val="22"/>
          <w:szCs w:val="22"/>
          <w:lang w:val="es-CO"/>
        </w:rPr>
        <w:t xml:space="preserve">. Además, para la vigencia del 2021, no se encuentra a la fecha contratada la entrega de dotaciones, lo que representa una entrega tardía de la primera dotación. </w:t>
      </w:r>
    </w:p>
    <w:p w14:paraId="062988CB" w14:textId="77777777" w:rsidR="00E618B6" w:rsidRPr="00DB281B" w:rsidRDefault="00E618B6" w:rsidP="00DB281B">
      <w:pPr>
        <w:jc w:val="both"/>
        <w:rPr>
          <w:rFonts w:ascii="Arial" w:hAnsi="Arial" w:cs="Arial"/>
          <w:sz w:val="22"/>
          <w:szCs w:val="22"/>
          <w:lang w:val="es-CO"/>
        </w:rPr>
      </w:pPr>
    </w:p>
    <w:p w14:paraId="18C8FA84" w14:textId="3D43D5B4" w:rsidR="00E618B6" w:rsidRPr="00DB281B" w:rsidRDefault="00E618B6" w:rsidP="00DB281B">
      <w:pPr>
        <w:jc w:val="both"/>
        <w:rPr>
          <w:rFonts w:ascii="Arial" w:hAnsi="Arial" w:cs="Arial"/>
          <w:sz w:val="22"/>
          <w:szCs w:val="22"/>
          <w:lang w:val="es-CO"/>
        </w:rPr>
      </w:pPr>
      <w:r w:rsidRPr="00DB281B">
        <w:rPr>
          <w:rFonts w:ascii="Arial" w:hAnsi="Arial" w:cs="Arial"/>
          <w:sz w:val="22"/>
          <w:szCs w:val="22"/>
          <w:lang w:val="es-CO"/>
        </w:rPr>
        <w:t>Sobre la entrega de las vigencias 2019 y 2020, llama la atención que los informes de supervisión adjuntos</w:t>
      </w:r>
      <w:r w:rsidR="005B3719" w:rsidRPr="00DB281B">
        <w:rPr>
          <w:rFonts w:ascii="Arial" w:hAnsi="Arial" w:cs="Arial"/>
          <w:sz w:val="22"/>
          <w:szCs w:val="22"/>
          <w:lang w:val="es-CO"/>
        </w:rPr>
        <w:t xml:space="preserve"> rotulado</w:t>
      </w:r>
      <w:r w:rsidR="00475450" w:rsidRPr="00DB281B">
        <w:rPr>
          <w:rFonts w:ascii="Arial" w:hAnsi="Arial" w:cs="Arial"/>
          <w:sz w:val="22"/>
          <w:szCs w:val="22"/>
          <w:lang w:val="es-CO"/>
        </w:rPr>
        <w:t>s</w:t>
      </w:r>
      <w:r w:rsidR="005B3719" w:rsidRPr="00DB281B">
        <w:rPr>
          <w:rFonts w:ascii="Arial" w:hAnsi="Arial" w:cs="Arial"/>
          <w:sz w:val="22"/>
          <w:szCs w:val="22"/>
          <w:lang w:val="es-CO"/>
        </w:rPr>
        <w:t xml:space="preserve"> “</w:t>
      </w:r>
      <w:r w:rsidR="005B3719" w:rsidRPr="00DB281B">
        <w:rPr>
          <w:rFonts w:ascii="Arial" w:hAnsi="Arial" w:cs="Arial"/>
          <w:i/>
          <w:iCs/>
          <w:sz w:val="22"/>
          <w:szCs w:val="22"/>
          <w:lang w:val="es-CO"/>
        </w:rPr>
        <w:t>Informe de supervisión ropa dama</w:t>
      </w:r>
      <w:r w:rsidR="005B3719" w:rsidRPr="00DB281B">
        <w:rPr>
          <w:rFonts w:ascii="Arial" w:hAnsi="Arial" w:cs="Arial"/>
          <w:sz w:val="22"/>
          <w:szCs w:val="22"/>
          <w:lang w:val="es-CO"/>
        </w:rPr>
        <w:t>”</w:t>
      </w:r>
      <w:r w:rsidR="00475450" w:rsidRPr="00DB281B">
        <w:rPr>
          <w:rFonts w:ascii="Arial" w:hAnsi="Arial" w:cs="Arial"/>
          <w:sz w:val="22"/>
          <w:szCs w:val="22"/>
          <w:lang w:val="es-CO"/>
        </w:rPr>
        <w:t xml:space="preserve"> e “</w:t>
      </w:r>
      <w:r w:rsidR="00475450" w:rsidRPr="00DB281B">
        <w:rPr>
          <w:rFonts w:ascii="Arial" w:hAnsi="Arial" w:cs="Arial"/>
          <w:i/>
          <w:iCs/>
          <w:sz w:val="22"/>
          <w:szCs w:val="22"/>
          <w:lang w:val="es-CO"/>
        </w:rPr>
        <w:t>Informe de supervisión calzado dama</w:t>
      </w:r>
      <w:r w:rsidR="00475450" w:rsidRPr="00DB281B">
        <w:rPr>
          <w:rFonts w:ascii="Arial" w:hAnsi="Arial" w:cs="Arial"/>
          <w:sz w:val="22"/>
          <w:szCs w:val="22"/>
          <w:lang w:val="es-CO"/>
        </w:rPr>
        <w:t>”</w:t>
      </w:r>
      <w:r w:rsidR="005B3719" w:rsidRPr="00DB281B">
        <w:rPr>
          <w:rFonts w:ascii="Arial" w:hAnsi="Arial" w:cs="Arial"/>
          <w:sz w:val="22"/>
          <w:szCs w:val="22"/>
          <w:lang w:val="es-CO"/>
        </w:rPr>
        <w:t xml:space="preserve"> remitido</w:t>
      </w:r>
      <w:r w:rsidR="00475450" w:rsidRPr="00DB281B">
        <w:rPr>
          <w:rFonts w:ascii="Arial" w:hAnsi="Arial" w:cs="Arial"/>
          <w:sz w:val="22"/>
          <w:szCs w:val="22"/>
          <w:lang w:val="es-CO"/>
        </w:rPr>
        <w:t>s</w:t>
      </w:r>
      <w:r w:rsidR="005B3719" w:rsidRPr="00DB281B">
        <w:rPr>
          <w:rFonts w:ascii="Arial" w:hAnsi="Arial" w:cs="Arial"/>
          <w:sz w:val="22"/>
          <w:szCs w:val="22"/>
          <w:lang w:val="es-CO"/>
        </w:rPr>
        <w:t xml:space="preserve"> por la Entidad,</w:t>
      </w:r>
      <w:r w:rsidRPr="00DB281B">
        <w:rPr>
          <w:rFonts w:ascii="Arial" w:hAnsi="Arial" w:cs="Arial"/>
          <w:sz w:val="22"/>
          <w:szCs w:val="22"/>
          <w:lang w:val="es-CO"/>
        </w:rPr>
        <w:t xml:space="preserve"> no permiten corroborar un seguimiento por parte de la administración frente a la dotación realmente entregada por cada uno de los </w:t>
      </w:r>
      <w:r w:rsidR="00762FD2" w:rsidRPr="00DB281B">
        <w:rPr>
          <w:rFonts w:ascii="Arial" w:hAnsi="Arial" w:cs="Arial"/>
          <w:sz w:val="22"/>
          <w:szCs w:val="22"/>
          <w:lang w:val="es-CO"/>
        </w:rPr>
        <w:t>funcionarios</w:t>
      </w:r>
      <w:r w:rsidRPr="00DB281B">
        <w:rPr>
          <w:rFonts w:ascii="Arial" w:hAnsi="Arial" w:cs="Arial"/>
          <w:sz w:val="22"/>
          <w:szCs w:val="22"/>
          <w:lang w:val="es-CO"/>
        </w:rPr>
        <w:t xml:space="preserve"> o si se realizaron algún tipo de descuentos a los procesos,</w:t>
      </w:r>
      <w:r w:rsidR="00762FD2" w:rsidRPr="00DB281B">
        <w:rPr>
          <w:rFonts w:ascii="Arial" w:hAnsi="Arial" w:cs="Arial"/>
          <w:sz w:val="22"/>
          <w:szCs w:val="22"/>
          <w:lang w:val="es-CO"/>
        </w:rPr>
        <w:t xml:space="preserve"> ni tampoco evidencian de forma clara el </w:t>
      </w:r>
      <w:r w:rsidR="004944C1" w:rsidRPr="00DB281B">
        <w:rPr>
          <w:rFonts w:ascii="Arial" w:hAnsi="Arial" w:cs="Arial"/>
          <w:sz w:val="22"/>
          <w:szCs w:val="22"/>
          <w:lang w:val="es-CO"/>
        </w:rPr>
        <w:t xml:space="preserve">avance registrado por el porcentaje de cumplimiento en las actividades y obligaciones asumidas contractualmente por el contratista, demostrando falencias por parte de la Administración Territorial en el monitoreo a estos procesos </w:t>
      </w:r>
      <w:r w:rsidR="0064074E" w:rsidRPr="00DB281B">
        <w:rPr>
          <w:rFonts w:ascii="Arial" w:hAnsi="Arial" w:cs="Arial"/>
          <w:sz w:val="22"/>
          <w:szCs w:val="22"/>
          <w:lang w:val="es-CO"/>
        </w:rPr>
        <w:t>contractuales.</w:t>
      </w:r>
    </w:p>
    <w:p w14:paraId="713F5179" w14:textId="77777777" w:rsidR="00E618B6" w:rsidRPr="00DB281B" w:rsidRDefault="00E618B6" w:rsidP="00DB281B">
      <w:pPr>
        <w:jc w:val="both"/>
        <w:rPr>
          <w:rFonts w:ascii="Arial" w:hAnsi="Arial" w:cs="Arial"/>
          <w:sz w:val="22"/>
          <w:szCs w:val="22"/>
          <w:lang w:val="es-CO"/>
        </w:rPr>
      </w:pPr>
    </w:p>
    <w:p w14:paraId="25257FA7" w14:textId="77777777" w:rsidR="00E618B6" w:rsidRPr="00DB281B" w:rsidRDefault="00E618B6" w:rsidP="00DB281B">
      <w:pPr>
        <w:jc w:val="both"/>
        <w:rPr>
          <w:rFonts w:ascii="Arial" w:hAnsi="Arial" w:cs="Arial"/>
          <w:sz w:val="22"/>
          <w:szCs w:val="22"/>
          <w:lang w:val="es-CO"/>
        </w:rPr>
      </w:pPr>
      <w:r w:rsidRPr="00DB281B">
        <w:rPr>
          <w:rFonts w:ascii="Arial" w:hAnsi="Arial" w:cs="Arial"/>
          <w:sz w:val="22"/>
          <w:szCs w:val="22"/>
          <w:lang w:val="es-CO"/>
        </w:rPr>
        <w:t>Como se pudo evidenciar, la Entidad Territorial incumple con la entrega de la dotación en los términos establecidos en la Ley 70 de 1988 y su Decreto reglamentario. Aunado a lo anterior, la Dirección General de Apoyo Fiscal ha considerado que si la Entidad Territorial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 Circular 18 de 2016.</w:t>
      </w:r>
    </w:p>
    <w:p w14:paraId="057FB03E" w14:textId="77777777" w:rsidR="00E618B6" w:rsidRPr="00DB281B" w:rsidRDefault="00E618B6" w:rsidP="00DB281B">
      <w:pPr>
        <w:jc w:val="both"/>
        <w:rPr>
          <w:rFonts w:ascii="Arial" w:hAnsi="Arial" w:cs="Arial"/>
          <w:sz w:val="22"/>
          <w:szCs w:val="22"/>
          <w:lang w:val="es-CO"/>
        </w:rPr>
      </w:pPr>
    </w:p>
    <w:p w14:paraId="770084B9" w14:textId="77777777" w:rsidR="0064074E" w:rsidRPr="00DB281B" w:rsidRDefault="0064074E" w:rsidP="00DB281B">
      <w:pPr>
        <w:rPr>
          <w:rFonts w:ascii="Arial" w:hAnsi="Arial" w:cs="Arial"/>
          <w:sz w:val="22"/>
          <w:szCs w:val="22"/>
          <w:lang w:val="es-ES_tradnl"/>
        </w:rPr>
      </w:pPr>
      <w:r w:rsidRPr="00DB281B">
        <w:rPr>
          <w:rFonts w:ascii="Arial" w:hAnsi="Arial" w:cs="Arial"/>
          <w:b/>
          <w:sz w:val="22"/>
          <w:szCs w:val="22"/>
          <w:lang w:val="es-ES_tradnl"/>
        </w:rPr>
        <w:t xml:space="preserve">Evidencia: </w:t>
      </w:r>
      <w:r w:rsidRPr="00DB281B">
        <w:rPr>
          <w:rFonts w:ascii="Arial" w:hAnsi="Arial" w:cs="Arial"/>
          <w:sz w:val="22"/>
          <w:szCs w:val="22"/>
          <w:lang w:val="es-ES_tradnl"/>
        </w:rPr>
        <w:t>Obra en el expediente el siguiente material probatorio:</w:t>
      </w:r>
    </w:p>
    <w:p w14:paraId="69F0AA69" w14:textId="6D780F97" w:rsidR="0064074E" w:rsidRPr="00DB281B" w:rsidRDefault="0064074E" w:rsidP="00DB281B">
      <w:pPr>
        <w:pStyle w:val="Prrafodelista"/>
        <w:numPr>
          <w:ilvl w:val="0"/>
          <w:numId w:val="53"/>
        </w:numPr>
        <w:ind w:left="284" w:hanging="284"/>
        <w:jc w:val="both"/>
        <w:rPr>
          <w:rFonts w:ascii="Arial" w:hAnsi="Arial" w:cs="Arial"/>
          <w:sz w:val="22"/>
          <w:szCs w:val="22"/>
          <w:lang w:val="es-CO"/>
        </w:rPr>
      </w:pPr>
      <w:r w:rsidRPr="00DB281B">
        <w:rPr>
          <w:rFonts w:ascii="Arial" w:hAnsi="Arial" w:cs="Arial"/>
          <w:sz w:val="22"/>
          <w:szCs w:val="22"/>
          <w:lang w:val="es-ES_tradnl"/>
        </w:rPr>
        <w:t>Orden de compra 55923 del 29 de septiembre del 2020</w:t>
      </w:r>
      <w:r w:rsidRPr="00DB281B">
        <w:rPr>
          <w:rFonts w:ascii="Arial" w:hAnsi="Arial" w:cs="Arial"/>
          <w:sz w:val="22"/>
          <w:szCs w:val="22"/>
          <w:lang w:val="es-CO"/>
        </w:rPr>
        <w:t xml:space="preserve"> - Medio magnético.</w:t>
      </w:r>
    </w:p>
    <w:p w14:paraId="31FAF470" w14:textId="78FE3A19" w:rsidR="0096710D" w:rsidRPr="00DB281B" w:rsidRDefault="0096710D" w:rsidP="00DB281B">
      <w:pPr>
        <w:pStyle w:val="Prrafodelista"/>
        <w:numPr>
          <w:ilvl w:val="0"/>
          <w:numId w:val="53"/>
        </w:numPr>
        <w:ind w:left="284" w:hanging="284"/>
        <w:jc w:val="both"/>
        <w:rPr>
          <w:rFonts w:ascii="Arial" w:hAnsi="Arial" w:cs="Arial"/>
          <w:sz w:val="22"/>
          <w:szCs w:val="22"/>
          <w:lang w:val="es-CO"/>
        </w:rPr>
      </w:pPr>
      <w:r w:rsidRPr="00DB281B">
        <w:rPr>
          <w:rFonts w:ascii="Arial" w:hAnsi="Arial" w:cs="Arial"/>
          <w:sz w:val="22"/>
          <w:szCs w:val="22"/>
          <w:lang w:val="es-CO"/>
        </w:rPr>
        <w:t>Ejecución presupuestal de gastos 2019.</w:t>
      </w:r>
    </w:p>
    <w:p w14:paraId="4022F0B3" w14:textId="77777777" w:rsidR="00E94424" w:rsidRPr="00DB281B" w:rsidRDefault="00E94424" w:rsidP="00DB281B">
      <w:pPr>
        <w:jc w:val="both"/>
        <w:rPr>
          <w:rFonts w:ascii="Arial" w:hAnsi="Arial" w:cs="Arial"/>
          <w:sz w:val="22"/>
          <w:szCs w:val="22"/>
          <w:lang w:val="es-ES_tradnl"/>
        </w:rPr>
      </w:pPr>
    </w:p>
    <w:p w14:paraId="3F8B9513" w14:textId="77777777" w:rsidR="0041698C" w:rsidRPr="00DB281B" w:rsidRDefault="0041698C" w:rsidP="00DB281B">
      <w:pPr>
        <w:pStyle w:val="Ttulo2"/>
        <w:numPr>
          <w:ilvl w:val="0"/>
          <w:numId w:val="10"/>
        </w:numPr>
        <w:spacing w:before="0"/>
        <w:ind w:left="426" w:hanging="426"/>
        <w:rPr>
          <w:rFonts w:ascii="Arial" w:hAnsi="Arial" w:cs="Arial"/>
          <w:b/>
          <w:color w:val="auto"/>
          <w:sz w:val="22"/>
          <w:szCs w:val="22"/>
          <w:lang w:val="es-ES_tradnl"/>
        </w:rPr>
      </w:pPr>
      <w:r w:rsidRPr="00DB281B">
        <w:rPr>
          <w:rFonts w:ascii="Arial" w:hAnsi="Arial" w:cs="Arial"/>
          <w:b/>
          <w:color w:val="auto"/>
          <w:sz w:val="22"/>
          <w:szCs w:val="22"/>
          <w:lang w:val="es-ES_tradnl"/>
        </w:rPr>
        <w:t>Deudas del Sector</w:t>
      </w:r>
    </w:p>
    <w:p w14:paraId="68E2D47D" w14:textId="77777777" w:rsidR="0041698C" w:rsidRPr="00DB281B" w:rsidRDefault="0041698C" w:rsidP="00DB281B">
      <w:pPr>
        <w:rPr>
          <w:rFonts w:ascii="Arial" w:hAnsi="Arial" w:cs="Arial"/>
          <w:sz w:val="22"/>
          <w:szCs w:val="22"/>
          <w:lang w:val="es-ES_tradnl"/>
        </w:rPr>
      </w:pPr>
    </w:p>
    <w:p w14:paraId="60FEB066" w14:textId="3191A358" w:rsidR="0041698C" w:rsidRPr="00DB281B" w:rsidRDefault="0041698C" w:rsidP="00DB281B">
      <w:pPr>
        <w:pStyle w:val="Ttulo3"/>
        <w:numPr>
          <w:ilvl w:val="1"/>
          <w:numId w:val="10"/>
        </w:numPr>
        <w:spacing w:before="0"/>
        <w:ind w:left="426" w:hanging="426"/>
        <w:jc w:val="both"/>
        <w:rPr>
          <w:rFonts w:ascii="Arial" w:hAnsi="Arial" w:cs="Arial"/>
          <w:b/>
          <w:bCs/>
          <w:color w:val="auto"/>
          <w:sz w:val="22"/>
          <w:szCs w:val="22"/>
        </w:rPr>
      </w:pPr>
      <w:r w:rsidRPr="00DB281B">
        <w:rPr>
          <w:rFonts w:ascii="Arial" w:hAnsi="Arial" w:cs="Arial"/>
          <w:b/>
          <w:color w:val="auto"/>
          <w:sz w:val="22"/>
          <w:szCs w:val="22"/>
          <w:lang w:val="es-ES_tradnl"/>
        </w:rPr>
        <w:t xml:space="preserve">Deudas </w:t>
      </w:r>
      <w:r w:rsidR="001927AB" w:rsidRPr="00DB281B">
        <w:rPr>
          <w:rFonts w:ascii="Arial" w:hAnsi="Arial" w:cs="Arial"/>
          <w:b/>
          <w:color w:val="auto"/>
          <w:sz w:val="22"/>
          <w:szCs w:val="22"/>
          <w:lang w:val="es-ES_tradnl"/>
        </w:rPr>
        <w:t>Laborales presentes en el Departamento</w:t>
      </w:r>
    </w:p>
    <w:p w14:paraId="25C235F6" w14:textId="77777777" w:rsidR="0041698C" w:rsidRPr="00DB281B" w:rsidRDefault="0041698C" w:rsidP="00DB281B">
      <w:pPr>
        <w:rPr>
          <w:rFonts w:ascii="Arial" w:hAnsi="Arial" w:cs="Arial"/>
          <w:b/>
          <w:bCs/>
          <w:sz w:val="22"/>
          <w:szCs w:val="22"/>
        </w:rPr>
      </w:pPr>
    </w:p>
    <w:p w14:paraId="6DBD0881" w14:textId="3FA6CE0B" w:rsidR="0041698C" w:rsidRPr="00DB281B" w:rsidRDefault="00C46A85" w:rsidP="00DB281B">
      <w:pPr>
        <w:jc w:val="both"/>
        <w:rPr>
          <w:rFonts w:ascii="Arial" w:hAnsi="Arial" w:cs="Arial"/>
          <w:sz w:val="22"/>
          <w:szCs w:val="22"/>
        </w:rPr>
      </w:pPr>
      <w:r w:rsidRPr="00DB281B">
        <w:rPr>
          <w:rFonts w:ascii="Arial" w:hAnsi="Arial" w:cs="Arial"/>
          <w:sz w:val="22"/>
          <w:szCs w:val="22"/>
        </w:rPr>
        <w:t>El Departamento allega la información asociada a la liquidación y comunicaciones con el Ministerio de Educación Nacional sobre la certificación de diversas deudas</w:t>
      </w:r>
      <w:r w:rsidR="00C31205">
        <w:rPr>
          <w:rFonts w:ascii="Arial" w:hAnsi="Arial" w:cs="Arial"/>
          <w:sz w:val="22"/>
          <w:szCs w:val="22"/>
        </w:rPr>
        <w:t xml:space="preserve">, como </w:t>
      </w:r>
      <w:r w:rsidR="001927AB" w:rsidRPr="00DB281B">
        <w:rPr>
          <w:rFonts w:ascii="Arial" w:hAnsi="Arial" w:cs="Arial"/>
          <w:sz w:val="22"/>
          <w:szCs w:val="22"/>
        </w:rPr>
        <w:t xml:space="preserve">el no pago de factores laborales </w:t>
      </w:r>
      <w:r w:rsidR="00C31205">
        <w:rPr>
          <w:rFonts w:ascii="Arial" w:hAnsi="Arial" w:cs="Arial"/>
          <w:sz w:val="22"/>
          <w:szCs w:val="22"/>
        </w:rPr>
        <w:t xml:space="preserve">y </w:t>
      </w:r>
      <w:r w:rsidR="001927AB" w:rsidRPr="00DB281B">
        <w:rPr>
          <w:rFonts w:ascii="Arial" w:hAnsi="Arial" w:cs="Arial"/>
          <w:sz w:val="22"/>
          <w:szCs w:val="22"/>
        </w:rPr>
        <w:t xml:space="preserve">deudas asociadas con cesantías retroactivas y aportes a la </w:t>
      </w:r>
      <w:proofErr w:type="spellStart"/>
      <w:r w:rsidR="001927AB" w:rsidRPr="00DB281B">
        <w:rPr>
          <w:rFonts w:ascii="Arial" w:hAnsi="Arial" w:cs="Arial"/>
          <w:sz w:val="22"/>
          <w:szCs w:val="22"/>
        </w:rPr>
        <w:t>Fiduprevisora</w:t>
      </w:r>
      <w:proofErr w:type="spellEnd"/>
      <w:r w:rsidR="001927AB" w:rsidRPr="00DB281B">
        <w:rPr>
          <w:rFonts w:ascii="Arial" w:hAnsi="Arial" w:cs="Arial"/>
          <w:sz w:val="22"/>
          <w:szCs w:val="22"/>
        </w:rPr>
        <w:t xml:space="preserve"> – FOMAG. A continuación, la siguiente tabla describe el total de deudas identificadas en la documentación analizada, puntualizando el detalle por concepto:</w:t>
      </w:r>
    </w:p>
    <w:p w14:paraId="021EB4B9" w14:textId="77777777" w:rsidR="00C46A85" w:rsidRPr="00DB281B" w:rsidRDefault="00C46A85" w:rsidP="00DB281B">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1235"/>
        <w:gridCol w:w="1863"/>
        <w:gridCol w:w="1564"/>
        <w:gridCol w:w="4166"/>
      </w:tblGrid>
      <w:tr w:rsidR="00C46A85" w:rsidRPr="00DB281B" w14:paraId="3076E056" w14:textId="77777777" w:rsidTr="00DB281B">
        <w:trPr>
          <w:trHeight w:val="20"/>
          <w:tblHeader/>
        </w:trPr>
        <w:tc>
          <w:tcPr>
            <w:tcW w:w="5000" w:type="pct"/>
            <w:gridSpan w:val="4"/>
            <w:tcBorders>
              <w:top w:val="single" w:sz="4" w:space="0" w:color="auto"/>
              <w:left w:val="single" w:sz="4" w:space="0" w:color="auto"/>
              <w:bottom w:val="single" w:sz="4" w:space="0" w:color="auto"/>
              <w:right w:val="single" w:sz="4" w:space="0" w:color="auto"/>
            </w:tcBorders>
            <w:shd w:val="clear" w:color="000000" w:fill="244061"/>
            <w:vAlign w:val="center"/>
            <w:hideMark/>
          </w:tcPr>
          <w:p w14:paraId="596C72A4" w14:textId="77777777" w:rsidR="00C46A85" w:rsidRPr="00DB281B" w:rsidRDefault="00C46A85" w:rsidP="00DB281B">
            <w:pPr>
              <w:jc w:val="center"/>
              <w:rPr>
                <w:rFonts w:ascii="Arial" w:eastAsia="Times New Roman" w:hAnsi="Arial" w:cs="Arial"/>
                <w:b/>
                <w:bCs/>
                <w:color w:val="FFFFFF"/>
                <w:sz w:val="16"/>
                <w:szCs w:val="16"/>
                <w:lang w:val="es-CO" w:eastAsia="es-CO"/>
              </w:rPr>
            </w:pPr>
            <w:r w:rsidRPr="00DB281B">
              <w:rPr>
                <w:rFonts w:ascii="Arial" w:eastAsia="Times New Roman" w:hAnsi="Arial" w:cs="Arial"/>
                <w:b/>
                <w:bCs/>
                <w:color w:val="FFFFFF"/>
                <w:sz w:val="16"/>
                <w:szCs w:val="16"/>
                <w:lang w:val="es-CO" w:eastAsia="es-CO"/>
              </w:rPr>
              <w:t>Deudas identificadas en el Departamento de Cundinamarca</w:t>
            </w:r>
          </w:p>
        </w:tc>
      </w:tr>
      <w:tr w:rsidR="00C46A85" w:rsidRPr="00DB281B" w14:paraId="3ED710EE" w14:textId="77777777" w:rsidTr="00DB281B">
        <w:trPr>
          <w:trHeight w:val="20"/>
          <w:tblHeader/>
        </w:trPr>
        <w:tc>
          <w:tcPr>
            <w:tcW w:w="713" w:type="pct"/>
            <w:tcBorders>
              <w:top w:val="nil"/>
              <w:left w:val="single" w:sz="4" w:space="0" w:color="auto"/>
              <w:bottom w:val="single" w:sz="4" w:space="0" w:color="auto"/>
              <w:right w:val="single" w:sz="4" w:space="0" w:color="auto"/>
            </w:tcBorders>
            <w:shd w:val="clear" w:color="000000" w:fill="95B3D7"/>
            <w:noWrap/>
            <w:vAlign w:val="center"/>
            <w:hideMark/>
          </w:tcPr>
          <w:p w14:paraId="5B890627" w14:textId="77777777" w:rsidR="00C46A85" w:rsidRPr="00DB281B" w:rsidRDefault="00C46A85" w:rsidP="00DB281B">
            <w:pPr>
              <w:jc w:val="center"/>
              <w:rPr>
                <w:rFonts w:ascii="Arial" w:eastAsia="Times New Roman" w:hAnsi="Arial" w:cs="Arial"/>
                <w:b/>
                <w:bCs/>
                <w:color w:val="000000"/>
                <w:sz w:val="16"/>
                <w:szCs w:val="16"/>
                <w:lang w:val="es-CO" w:eastAsia="es-CO"/>
              </w:rPr>
            </w:pPr>
            <w:r w:rsidRPr="00DB281B">
              <w:rPr>
                <w:rFonts w:ascii="Arial" w:eastAsia="Times New Roman" w:hAnsi="Arial" w:cs="Arial"/>
                <w:b/>
                <w:bCs/>
                <w:color w:val="000000"/>
                <w:sz w:val="16"/>
                <w:szCs w:val="16"/>
                <w:lang w:val="es-CO" w:eastAsia="es-CO"/>
              </w:rPr>
              <w:t>Conceptos</w:t>
            </w:r>
          </w:p>
        </w:tc>
        <w:tc>
          <w:tcPr>
            <w:tcW w:w="1069" w:type="pct"/>
            <w:tcBorders>
              <w:top w:val="nil"/>
              <w:left w:val="nil"/>
              <w:bottom w:val="single" w:sz="4" w:space="0" w:color="auto"/>
              <w:right w:val="single" w:sz="4" w:space="0" w:color="auto"/>
            </w:tcBorders>
            <w:shd w:val="clear" w:color="000000" w:fill="95B3D7"/>
            <w:noWrap/>
            <w:vAlign w:val="center"/>
            <w:hideMark/>
          </w:tcPr>
          <w:p w14:paraId="32BDE7E0" w14:textId="77777777" w:rsidR="00C46A85" w:rsidRPr="00DB281B" w:rsidRDefault="00C46A85" w:rsidP="00DB281B">
            <w:pPr>
              <w:jc w:val="center"/>
              <w:rPr>
                <w:rFonts w:ascii="Arial" w:eastAsia="Times New Roman" w:hAnsi="Arial" w:cs="Arial"/>
                <w:b/>
                <w:bCs/>
                <w:color w:val="000000"/>
                <w:sz w:val="16"/>
                <w:szCs w:val="16"/>
                <w:lang w:val="es-CO" w:eastAsia="es-CO"/>
              </w:rPr>
            </w:pPr>
            <w:r w:rsidRPr="00DB281B">
              <w:rPr>
                <w:rFonts w:ascii="Arial" w:eastAsia="Times New Roman" w:hAnsi="Arial" w:cs="Arial"/>
                <w:b/>
                <w:bCs/>
                <w:color w:val="000000"/>
                <w:sz w:val="16"/>
                <w:szCs w:val="16"/>
                <w:lang w:val="es-CO" w:eastAsia="es-CO"/>
              </w:rPr>
              <w:t>Detalles</w:t>
            </w:r>
          </w:p>
        </w:tc>
        <w:tc>
          <w:tcPr>
            <w:tcW w:w="845" w:type="pct"/>
            <w:tcBorders>
              <w:top w:val="nil"/>
              <w:left w:val="nil"/>
              <w:bottom w:val="single" w:sz="4" w:space="0" w:color="auto"/>
              <w:right w:val="single" w:sz="4" w:space="0" w:color="auto"/>
            </w:tcBorders>
            <w:shd w:val="clear" w:color="000000" w:fill="95B3D7"/>
            <w:noWrap/>
            <w:vAlign w:val="center"/>
            <w:hideMark/>
          </w:tcPr>
          <w:p w14:paraId="3A7550D2" w14:textId="77777777" w:rsidR="00C46A85" w:rsidRPr="00DB281B" w:rsidRDefault="00C46A85" w:rsidP="00DB281B">
            <w:pPr>
              <w:jc w:val="center"/>
              <w:rPr>
                <w:rFonts w:ascii="Arial" w:eastAsia="Times New Roman" w:hAnsi="Arial" w:cs="Arial"/>
                <w:b/>
                <w:bCs/>
                <w:color w:val="000000"/>
                <w:sz w:val="16"/>
                <w:szCs w:val="16"/>
                <w:lang w:val="es-CO" w:eastAsia="es-CO"/>
              </w:rPr>
            </w:pPr>
            <w:r w:rsidRPr="00DB281B">
              <w:rPr>
                <w:rFonts w:ascii="Arial" w:eastAsia="Times New Roman" w:hAnsi="Arial" w:cs="Arial"/>
                <w:b/>
                <w:bCs/>
                <w:color w:val="000000"/>
                <w:sz w:val="16"/>
                <w:szCs w:val="16"/>
                <w:lang w:val="es-CO" w:eastAsia="es-CO"/>
              </w:rPr>
              <w:t>Valores</w:t>
            </w:r>
          </w:p>
        </w:tc>
        <w:tc>
          <w:tcPr>
            <w:tcW w:w="2373" w:type="pct"/>
            <w:tcBorders>
              <w:top w:val="nil"/>
              <w:left w:val="nil"/>
              <w:bottom w:val="single" w:sz="4" w:space="0" w:color="auto"/>
              <w:right w:val="single" w:sz="4" w:space="0" w:color="auto"/>
            </w:tcBorders>
            <w:shd w:val="clear" w:color="000000" w:fill="95B3D7"/>
            <w:noWrap/>
            <w:vAlign w:val="center"/>
            <w:hideMark/>
          </w:tcPr>
          <w:p w14:paraId="41AA56F7" w14:textId="77777777" w:rsidR="00C46A85" w:rsidRPr="00DB281B" w:rsidRDefault="00C46A85" w:rsidP="00DB281B">
            <w:pPr>
              <w:jc w:val="center"/>
              <w:rPr>
                <w:rFonts w:ascii="Arial" w:eastAsia="Times New Roman" w:hAnsi="Arial" w:cs="Arial"/>
                <w:b/>
                <w:bCs/>
                <w:color w:val="000000"/>
                <w:sz w:val="16"/>
                <w:szCs w:val="16"/>
                <w:lang w:val="es-CO" w:eastAsia="es-CO"/>
              </w:rPr>
            </w:pPr>
            <w:r w:rsidRPr="00DB281B">
              <w:rPr>
                <w:rFonts w:ascii="Arial" w:eastAsia="Times New Roman" w:hAnsi="Arial" w:cs="Arial"/>
                <w:b/>
                <w:bCs/>
                <w:color w:val="000000"/>
                <w:sz w:val="16"/>
                <w:szCs w:val="16"/>
                <w:lang w:val="es-CO" w:eastAsia="es-CO"/>
              </w:rPr>
              <w:t>Argumentación</w:t>
            </w:r>
          </w:p>
        </w:tc>
      </w:tr>
      <w:tr w:rsidR="00C46A85" w:rsidRPr="00DB281B" w14:paraId="29429675" w14:textId="77777777" w:rsidTr="00DB281B">
        <w:trPr>
          <w:trHeight w:val="20"/>
        </w:trPr>
        <w:tc>
          <w:tcPr>
            <w:tcW w:w="713" w:type="pct"/>
            <w:vMerge w:val="restart"/>
            <w:tcBorders>
              <w:top w:val="nil"/>
              <w:left w:val="single" w:sz="4" w:space="0" w:color="auto"/>
              <w:bottom w:val="single" w:sz="4" w:space="0" w:color="auto"/>
              <w:right w:val="single" w:sz="4" w:space="0" w:color="auto"/>
            </w:tcBorders>
            <w:shd w:val="clear" w:color="auto" w:fill="auto"/>
            <w:vAlign w:val="center"/>
            <w:hideMark/>
          </w:tcPr>
          <w:p w14:paraId="5BB15413" w14:textId="77777777" w:rsidR="00C46A85" w:rsidRPr="00DB281B" w:rsidRDefault="00C46A85" w:rsidP="00DB281B">
            <w:pPr>
              <w:jc w:val="center"/>
              <w:rPr>
                <w:rFonts w:ascii="Arial" w:eastAsia="Times New Roman" w:hAnsi="Arial" w:cs="Arial"/>
                <w:i/>
                <w:iCs/>
                <w:color w:val="000000"/>
                <w:sz w:val="16"/>
                <w:szCs w:val="16"/>
                <w:lang w:val="es-CO" w:eastAsia="es-CO"/>
              </w:rPr>
            </w:pPr>
            <w:r w:rsidRPr="00DB281B">
              <w:rPr>
                <w:rFonts w:ascii="Arial" w:eastAsia="Times New Roman" w:hAnsi="Arial" w:cs="Arial"/>
                <w:i/>
                <w:iCs/>
                <w:color w:val="000000"/>
                <w:sz w:val="16"/>
                <w:szCs w:val="16"/>
                <w:lang w:val="es-CO" w:eastAsia="es-CO"/>
              </w:rPr>
              <w:t>Nómina - Deudas laborales</w:t>
            </w:r>
          </w:p>
        </w:tc>
        <w:tc>
          <w:tcPr>
            <w:tcW w:w="1069" w:type="pct"/>
            <w:tcBorders>
              <w:top w:val="nil"/>
              <w:left w:val="nil"/>
              <w:bottom w:val="single" w:sz="4" w:space="0" w:color="auto"/>
              <w:right w:val="single" w:sz="4" w:space="0" w:color="auto"/>
            </w:tcBorders>
            <w:shd w:val="clear" w:color="auto" w:fill="auto"/>
            <w:vAlign w:val="center"/>
            <w:hideMark/>
          </w:tcPr>
          <w:p w14:paraId="3CF34008"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Costos acumulados de ascensos y mejoramiento salarial</w:t>
            </w:r>
          </w:p>
        </w:tc>
        <w:tc>
          <w:tcPr>
            <w:tcW w:w="845" w:type="pct"/>
            <w:tcBorders>
              <w:top w:val="nil"/>
              <w:left w:val="nil"/>
              <w:bottom w:val="single" w:sz="4" w:space="0" w:color="auto"/>
              <w:right w:val="single" w:sz="4" w:space="0" w:color="auto"/>
            </w:tcBorders>
            <w:shd w:val="clear" w:color="auto" w:fill="auto"/>
            <w:vAlign w:val="center"/>
            <w:hideMark/>
          </w:tcPr>
          <w:p w14:paraId="5AEC58A8" w14:textId="48741E47"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177.439.441</w:t>
            </w:r>
          </w:p>
        </w:tc>
        <w:tc>
          <w:tcPr>
            <w:tcW w:w="2373" w:type="pct"/>
            <w:tcBorders>
              <w:top w:val="nil"/>
              <w:left w:val="nil"/>
              <w:bottom w:val="single" w:sz="4" w:space="0" w:color="auto"/>
              <w:right w:val="single" w:sz="4" w:space="0" w:color="auto"/>
            </w:tcBorders>
            <w:shd w:val="clear" w:color="auto" w:fill="auto"/>
            <w:vAlign w:val="center"/>
            <w:hideMark/>
          </w:tcPr>
          <w:p w14:paraId="3812187F"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Costos acumulados por el mejoramiento salarial producto del personal de carrera docente durante las vigencias 2008, 2010 a 2013 y 2019.</w:t>
            </w:r>
          </w:p>
        </w:tc>
      </w:tr>
      <w:tr w:rsidR="00C46A85" w:rsidRPr="00DB281B" w14:paraId="2CCD8480" w14:textId="77777777" w:rsidTr="00DB281B">
        <w:trPr>
          <w:trHeight w:val="20"/>
        </w:trPr>
        <w:tc>
          <w:tcPr>
            <w:tcW w:w="713" w:type="pct"/>
            <w:vMerge/>
            <w:tcBorders>
              <w:top w:val="nil"/>
              <w:left w:val="single" w:sz="4" w:space="0" w:color="auto"/>
              <w:bottom w:val="single" w:sz="4" w:space="0" w:color="auto"/>
              <w:right w:val="single" w:sz="4" w:space="0" w:color="auto"/>
            </w:tcBorders>
            <w:vAlign w:val="center"/>
            <w:hideMark/>
          </w:tcPr>
          <w:p w14:paraId="7A92C391" w14:textId="77777777" w:rsidR="00C46A85" w:rsidRPr="00DB281B" w:rsidRDefault="00C46A85" w:rsidP="00DB281B">
            <w:pPr>
              <w:rPr>
                <w:rFonts w:ascii="Arial" w:eastAsia="Times New Roman" w:hAnsi="Arial" w:cs="Arial"/>
                <w:i/>
                <w:iCs/>
                <w:color w:val="000000"/>
                <w:sz w:val="16"/>
                <w:szCs w:val="16"/>
                <w:lang w:val="es-CO" w:eastAsia="es-CO"/>
              </w:rPr>
            </w:pPr>
          </w:p>
        </w:tc>
        <w:tc>
          <w:tcPr>
            <w:tcW w:w="1069" w:type="pct"/>
            <w:tcBorders>
              <w:top w:val="nil"/>
              <w:left w:val="nil"/>
              <w:bottom w:val="single" w:sz="4" w:space="0" w:color="auto"/>
              <w:right w:val="single" w:sz="4" w:space="0" w:color="auto"/>
            </w:tcBorders>
            <w:shd w:val="clear" w:color="auto" w:fill="auto"/>
            <w:vAlign w:val="center"/>
            <w:hideMark/>
          </w:tcPr>
          <w:p w14:paraId="6B65934D"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 xml:space="preserve">Deudas certificadas por el MEN en concepto con radicado No. 2014EE75925 del 03 de octubre de 2015 </w:t>
            </w:r>
          </w:p>
        </w:tc>
        <w:tc>
          <w:tcPr>
            <w:tcW w:w="845" w:type="pct"/>
            <w:tcBorders>
              <w:top w:val="nil"/>
              <w:left w:val="nil"/>
              <w:bottom w:val="single" w:sz="4" w:space="0" w:color="auto"/>
              <w:right w:val="single" w:sz="4" w:space="0" w:color="auto"/>
            </w:tcBorders>
            <w:shd w:val="clear" w:color="auto" w:fill="auto"/>
            <w:vAlign w:val="center"/>
            <w:hideMark/>
          </w:tcPr>
          <w:p w14:paraId="32D0D41B" w14:textId="6ECF2C8C"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2.797.683.129</w:t>
            </w:r>
          </w:p>
        </w:tc>
        <w:tc>
          <w:tcPr>
            <w:tcW w:w="2373" w:type="pct"/>
            <w:tcBorders>
              <w:top w:val="nil"/>
              <w:left w:val="nil"/>
              <w:bottom w:val="single" w:sz="4" w:space="0" w:color="auto"/>
              <w:right w:val="single" w:sz="4" w:space="0" w:color="auto"/>
            </w:tcBorders>
            <w:shd w:val="clear" w:color="auto" w:fill="auto"/>
            <w:vAlign w:val="center"/>
            <w:hideMark/>
          </w:tcPr>
          <w:p w14:paraId="1065CF47"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Deudas certificadas generadas por pagos a profesionales universitarios de 2004 a 2008, incrementos por especialización de 2008 a 2013 y aportes por diferencias salariales de 2008 a 2013.</w:t>
            </w:r>
          </w:p>
        </w:tc>
      </w:tr>
      <w:tr w:rsidR="00C46A85" w:rsidRPr="00DB281B" w14:paraId="0253833E" w14:textId="77777777" w:rsidTr="00DB281B">
        <w:trPr>
          <w:trHeight w:val="20"/>
        </w:trPr>
        <w:tc>
          <w:tcPr>
            <w:tcW w:w="713" w:type="pct"/>
            <w:vMerge/>
            <w:tcBorders>
              <w:top w:val="nil"/>
              <w:left w:val="single" w:sz="4" w:space="0" w:color="auto"/>
              <w:bottom w:val="single" w:sz="4" w:space="0" w:color="auto"/>
              <w:right w:val="single" w:sz="4" w:space="0" w:color="auto"/>
            </w:tcBorders>
            <w:vAlign w:val="center"/>
            <w:hideMark/>
          </w:tcPr>
          <w:p w14:paraId="6360F4B2" w14:textId="77777777" w:rsidR="00C46A85" w:rsidRPr="00DB281B" w:rsidRDefault="00C46A85" w:rsidP="00DB281B">
            <w:pPr>
              <w:rPr>
                <w:rFonts w:ascii="Arial" w:eastAsia="Times New Roman" w:hAnsi="Arial" w:cs="Arial"/>
                <w:i/>
                <w:iCs/>
                <w:color w:val="000000"/>
                <w:sz w:val="16"/>
                <w:szCs w:val="16"/>
                <w:lang w:val="es-CO" w:eastAsia="es-CO"/>
              </w:rPr>
            </w:pPr>
          </w:p>
        </w:tc>
        <w:tc>
          <w:tcPr>
            <w:tcW w:w="1069" w:type="pct"/>
            <w:tcBorders>
              <w:top w:val="nil"/>
              <w:left w:val="nil"/>
              <w:bottom w:val="single" w:sz="4" w:space="0" w:color="auto"/>
              <w:right w:val="single" w:sz="4" w:space="0" w:color="auto"/>
            </w:tcBorders>
            <w:shd w:val="clear" w:color="auto" w:fill="auto"/>
            <w:vAlign w:val="center"/>
            <w:hideMark/>
          </w:tcPr>
          <w:p w14:paraId="19983479"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 xml:space="preserve">Intereses por deudas del concepto No. 2014EE75925 del 03 de octubre de 2015 </w:t>
            </w:r>
          </w:p>
        </w:tc>
        <w:tc>
          <w:tcPr>
            <w:tcW w:w="845" w:type="pct"/>
            <w:tcBorders>
              <w:top w:val="nil"/>
              <w:left w:val="nil"/>
              <w:bottom w:val="single" w:sz="4" w:space="0" w:color="auto"/>
              <w:right w:val="single" w:sz="4" w:space="0" w:color="auto"/>
            </w:tcBorders>
            <w:shd w:val="clear" w:color="auto" w:fill="auto"/>
            <w:vAlign w:val="center"/>
            <w:hideMark/>
          </w:tcPr>
          <w:p w14:paraId="7F21B755" w14:textId="4708F26D"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402.401.600</w:t>
            </w:r>
          </w:p>
        </w:tc>
        <w:tc>
          <w:tcPr>
            <w:tcW w:w="2373" w:type="pct"/>
            <w:tcBorders>
              <w:top w:val="nil"/>
              <w:left w:val="nil"/>
              <w:bottom w:val="single" w:sz="4" w:space="0" w:color="auto"/>
              <w:right w:val="single" w:sz="4" w:space="0" w:color="auto"/>
            </w:tcBorders>
            <w:shd w:val="clear" w:color="auto" w:fill="auto"/>
            <w:vAlign w:val="center"/>
            <w:hideMark/>
          </w:tcPr>
          <w:p w14:paraId="4B832C9E"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Intereses producto del no pago de las deudas certificadas por el MEN. Se aclara por el MEN que estos conceptos no pueden ser pagados con los recursos del SGP Educación.</w:t>
            </w:r>
          </w:p>
        </w:tc>
      </w:tr>
      <w:tr w:rsidR="00C46A85" w:rsidRPr="00DB281B" w14:paraId="47F71CC8" w14:textId="77777777" w:rsidTr="00DB281B">
        <w:trPr>
          <w:trHeight w:val="20"/>
        </w:trPr>
        <w:tc>
          <w:tcPr>
            <w:tcW w:w="713" w:type="pct"/>
            <w:vMerge/>
            <w:tcBorders>
              <w:top w:val="nil"/>
              <w:left w:val="single" w:sz="4" w:space="0" w:color="auto"/>
              <w:bottom w:val="single" w:sz="4" w:space="0" w:color="auto"/>
              <w:right w:val="single" w:sz="4" w:space="0" w:color="auto"/>
            </w:tcBorders>
            <w:vAlign w:val="center"/>
            <w:hideMark/>
          </w:tcPr>
          <w:p w14:paraId="58DE8CD5" w14:textId="77777777" w:rsidR="00C46A85" w:rsidRPr="00DB281B" w:rsidRDefault="00C46A85" w:rsidP="00DB281B">
            <w:pPr>
              <w:rPr>
                <w:rFonts w:ascii="Arial" w:eastAsia="Times New Roman" w:hAnsi="Arial" w:cs="Arial"/>
                <w:i/>
                <w:iCs/>
                <w:color w:val="000000"/>
                <w:sz w:val="16"/>
                <w:szCs w:val="16"/>
                <w:lang w:val="es-CO" w:eastAsia="es-CO"/>
              </w:rPr>
            </w:pPr>
          </w:p>
        </w:tc>
        <w:tc>
          <w:tcPr>
            <w:tcW w:w="1069" w:type="pct"/>
            <w:tcBorders>
              <w:top w:val="nil"/>
              <w:left w:val="nil"/>
              <w:bottom w:val="single" w:sz="4" w:space="0" w:color="auto"/>
              <w:right w:val="single" w:sz="4" w:space="0" w:color="auto"/>
            </w:tcBorders>
            <w:shd w:val="clear" w:color="auto" w:fill="auto"/>
            <w:vAlign w:val="center"/>
            <w:hideMark/>
          </w:tcPr>
          <w:p w14:paraId="6CCDA0C5"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Factores salariales de administrativos, docentes y directivos docentes</w:t>
            </w:r>
          </w:p>
        </w:tc>
        <w:tc>
          <w:tcPr>
            <w:tcW w:w="845" w:type="pct"/>
            <w:tcBorders>
              <w:top w:val="nil"/>
              <w:left w:val="nil"/>
              <w:bottom w:val="single" w:sz="4" w:space="0" w:color="auto"/>
              <w:right w:val="single" w:sz="4" w:space="0" w:color="auto"/>
            </w:tcBorders>
            <w:shd w:val="clear" w:color="auto" w:fill="auto"/>
            <w:vAlign w:val="center"/>
            <w:hideMark/>
          </w:tcPr>
          <w:p w14:paraId="279D8ACC" w14:textId="3B612CD4"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332.066.839</w:t>
            </w:r>
          </w:p>
        </w:tc>
        <w:tc>
          <w:tcPr>
            <w:tcW w:w="2373" w:type="pct"/>
            <w:tcBorders>
              <w:top w:val="nil"/>
              <w:left w:val="nil"/>
              <w:bottom w:val="single" w:sz="4" w:space="0" w:color="auto"/>
              <w:right w:val="single" w:sz="4" w:space="0" w:color="auto"/>
            </w:tcBorders>
            <w:shd w:val="clear" w:color="auto" w:fill="auto"/>
            <w:vAlign w:val="center"/>
            <w:hideMark/>
          </w:tcPr>
          <w:p w14:paraId="61E276DE"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Las deudas se originan en detalle por $203.379.185 al personal directivo docente de 2012-2018 y 2020, $124.085.518 al personal docente de 2012-2013 y $4.602.136 al personal administrativo en las vigencias 2014, 2015, y 2018.</w:t>
            </w:r>
          </w:p>
        </w:tc>
      </w:tr>
      <w:tr w:rsidR="00C46A85" w:rsidRPr="00DB281B" w14:paraId="1C902568" w14:textId="77777777" w:rsidTr="00DB281B">
        <w:trPr>
          <w:trHeight w:val="20"/>
        </w:trPr>
        <w:tc>
          <w:tcPr>
            <w:tcW w:w="713" w:type="pct"/>
            <w:vMerge/>
            <w:tcBorders>
              <w:top w:val="nil"/>
              <w:left w:val="single" w:sz="4" w:space="0" w:color="auto"/>
              <w:bottom w:val="single" w:sz="4" w:space="0" w:color="auto"/>
              <w:right w:val="single" w:sz="4" w:space="0" w:color="auto"/>
            </w:tcBorders>
            <w:vAlign w:val="center"/>
            <w:hideMark/>
          </w:tcPr>
          <w:p w14:paraId="6E180157" w14:textId="77777777" w:rsidR="00C46A85" w:rsidRPr="00DB281B" w:rsidRDefault="00C46A85" w:rsidP="00DB281B">
            <w:pPr>
              <w:rPr>
                <w:rFonts w:ascii="Arial" w:eastAsia="Times New Roman" w:hAnsi="Arial" w:cs="Arial"/>
                <w:i/>
                <w:iCs/>
                <w:color w:val="000000"/>
                <w:sz w:val="16"/>
                <w:szCs w:val="16"/>
                <w:lang w:val="es-CO" w:eastAsia="es-CO"/>
              </w:rPr>
            </w:pPr>
          </w:p>
        </w:tc>
        <w:tc>
          <w:tcPr>
            <w:tcW w:w="1069" w:type="pct"/>
            <w:tcBorders>
              <w:top w:val="nil"/>
              <w:left w:val="nil"/>
              <w:bottom w:val="single" w:sz="4" w:space="0" w:color="auto"/>
              <w:right w:val="single" w:sz="4" w:space="0" w:color="auto"/>
            </w:tcBorders>
            <w:shd w:val="clear" w:color="auto" w:fill="auto"/>
            <w:vAlign w:val="center"/>
            <w:hideMark/>
          </w:tcPr>
          <w:p w14:paraId="29F85AE5"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Horas extras de docentes y personal administrativo</w:t>
            </w:r>
          </w:p>
        </w:tc>
        <w:tc>
          <w:tcPr>
            <w:tcW w:w="845" w:type="pct"/>
            <w:tcBorders>
              <w:top w:val="nil"/>
              <w:left w:val="nil"/>
              <w:bottom w:val="single" w:sz="4" w:space="0" w:color="auto"/>
              <w:right w:val="single" w:sz="4" w:space="0" w:color="auto"/>
            </w:tcBorders>
            <w:shd w:val="clear" w:color="auto" w:fill="auto"/>
            <w:vAlign w:val="center"/>
            <w:hideMark/>
          </w:tcPr>
          <w:p w14:paraId="37C3D96F" w14:textId="4C61E0ED"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43.469.526</w:t>
            </w:r>
          </w:p>
        </w:tc>
        <w:tc>
          <w:tcPr>
            <w:tcW w:w="2373" w:type="pct"/>
            <w:tcBorders>
              <w:top w:val="nil"/>
              <w:left w:val="nil"/>
              <w:bottom w:val="single" w:sz="4" w:space="0" w:color="auto"/>
              <w:right w:val="single" w:sz="4" w:space="0" w:color="auto"/>
            </w:tcBorders>
            <w:shd w:val="clear" w:color="auto" w:fill="auto"/>
            <w:vAlign w:val="center"/>
            <w:hideMark/>
          </w:tcPr>
          <w:p w14:paraId="6F7953C8"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$39.821.318 corresponde al personal docente entre las vigencias 2017 – 2020 y $3.648.208 corresponden a horas extras de administrativos de las vigencias 2017 y 2018.</w:t>
            </w:r>
          </w:p>
        </w:tc>
      </w:tr>
      <w:tr w:rsidR="00C46A85" w:rsidRPr="00DB281B" w14:paraId="1DE73246" w14:textId="77777777" w:rsidTr="00DB281B">
        <w:trPr>
          <w:trHeight w:val="20"/>
        </w:trPr>
        <w:tc>
          <w:tcPr>
            <w:tcW w:w="713" w:type="pct"/>
            <w:vMerge/>
            <w:tcBorders>
              <w:top w:val="nil"/>
              <w:left w:val="single" w:sz="4" w:space="0" w:color="auto"/>
              <w:bottom w:val="single" w:sz="4" w:space="0" w:color="auto"/>
              <w:right w:val="single" w:sz="4" w:space="0" w:color="auto"/>
            </w:tcBorders>
            <w:vAlign w:val="center"/>
            <w:hideMark/>
          </w:tcPr>
          <w:p w14:paraId="60F7C319" w14:textId="77777777" w:rsidR="00C46A85" w:rsidRPr="00DB281B" w:rsidRDefault="00C46A85" w:rsidP="00DB281B">
            <w:pPr>
              <w:rPr>
                <w:rFonts w:ascii="Arial" w:eastAsia="Times New Roman" w:hAnsi="Arial" w:cs="Arial"/>
                <w:i/>
                <w:iCs/>
                <w:color w:val="000000"/>
                <w:sz w:val="16"/>
                <w:szCs w:val="16"/>
                <w:lang w:val="es-CO" w:eastAsia="es-CO"/>
              </w:rPr>
            </w:pPr>
          </w:p>
        </w:tc>
        <w:tc>
          <w:tcPr>
            <w:tcW w:w="1069" w:type="pct"/>
            <w:tcBorders>
              <w:top w:val="nil"/>
              <w:left w:val="nil"/>
              <w:bottom w:val="single" w:sz="4" w:space="0" w:color="auto"/>
              <w:right w:val="single" w:sz="4" w:space="0" w:color="auto"/>
            </w:tcBorders>
            <w:shd w:val="clear" w:color="auto" w:fill="auto"/>
            <w:vAlign w:val="center"/>
            <w:hideMark/>
          </w:tcPr>
          <w:p w14:paraId="1C047864"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Incapacidades</w:t>
            </w:r>
          </w:p>
        </w:tc>
        <w:tc>
          <w:tcPr>
            <w:tcW w:w="845" w:type="pct"/>
            <w:tcBorders>
              <w:top w:val="nil"/>
              <w:left w:val="nil"/>
              <w:bottom w:val="single" w:sz="4" w:space="0" w:color="auto"/>
              <w:right w:val="single" w:sz="4" w:space="0" w:color="auto"/>
            </w:tcBorders>
            <w:shd w:val="clear" w:color="auto" w:fill="auto"/>
            <w:vAlign w:val="center"/>
            <w:hideMark/>
          </w:tcPr>
          <w:p w14:paraId="728B53CA" w14:textId="66D1DFE1"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36.053.470</w:t>
            </w:r>
          </w:p>
        </w:tc>
        <w:tc>
          <w:tcPr>
            <w:tcW w:w="2373" w:type="pct"/>
            <w:tcBorders>
              <w:top w:val="nil"/>
              <w:left w:val="nil"/>
              <w:bottom w:val="single" w:sz="4" w:space="0" w:color="auto"/>
              <w:right w:val="single" w:sz="4" w:space="0" w:color="auto"/>
            </w:tcBorders>
            <w:shd w:val="clear" w:color="auto" w:fill="auto"/>
            <w:vAlign w:val="center"/>
            <w:hideMark/>
          </w:tcPr>
          <w:p w14:paraId="661A66D0"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Incapacidades identificadas en 74 docentes a partir de la información remitida por la Entidad.</w:t>
            </w:r>
          </w:p>
        </w:tc>
      </w:tr>
      <w:tr w:rsidR="00C46A85" w:rsidRPr="00DB281B" w14:paraId="1A1E3CD1" w14:textId="77777777" w:rsidTr="00DB281B">
        <w:trPr>
          <w:trHeight w:val="20"/>
        </w:trPr>
        <w:tc>
          <w:tcPr>
            <w:tcW w:w="713" w:type="pct"/>
            <w:vMerge/>
            <w:tcBorders>
              <w:top w:val="nil"/>
              <w:left w:val="single" w:sz="4" w:space="0" w:color="auto"/>
              <w:bottom w:val="single" w:sz="4" w:space="0" w:color="auto"/>
              <w:right w:val="single" w:sz="4" w:space="0" w:color="auto"/>
            </w:tcBorders>
            <w:vAlign w:val="center"/>
            <w:hideMark/>
          </w:tcPr>
          <w:p w14:paraId="498072CF" w14:textId="77777777" w:rsidR="00C46A85" w:rsidRPr="00DB281B" w:rsidRDefault="00C46A85" w:rsidP="00DB281B">
            <w:pPr>
              <w:rPr>
                <w:rFonts w:ascii="Arial" w:eastAsia="Times New Roman" w:hAnsi="Arial" w:cs="Arial"/>
                <w:i/>
                <w:iCs/>
                <w:color w:val="000000"/>
                <w:sz w:val="16"/>
                <w:szCs w:val="16"/>
                <w:lang w:val="es-CO" w:eastAsia="es-CO"/>
              </w:rPr>
            </w:pPr>
          </w:p>
        </w:tc>
        <w:tc>
          <w:tcPr>
            <w:tcW w:w="1069" w:type="pct"/>
            <w:tcBorders>
              <w:top w:val="nil"/>
              <w:left w:val="nil"/>
              <w:bottom w:val="single" w:sz="4" w:space="0" w:color="auto"/>
              <w:right w:val="single" w:sz="4" w:space="0" w:color="auto"/>
            </w:tcBorders>
            <w:shd w:val="clear" w:color="auto" w:fill="auto"/>
            <w:vAlign w:val="center"/>
            <w:hideMark/>
          </w:tcPr>
          <w:p w14:paraId="5FC13EB2"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Zonas de difícil acceso</w:t>
            </w:r>
          </w:p>
        </w:tc>
        <w:tc>
          <w:tcPr>
            <w:tcW w:w="845" w:type="pct"/>
            <w:tcBorders>
              <w:top w:val="nil"/>
              <w:left w:val="nil"/>
              <w:bottom w:val="single" w:sz="4" w:space="0" w:color="auto"/>
              <w:right w:val="single" w:sz="4" w:space="0" w:color="auto"/>
            </w:tcBorders>
            <w:shd w:val="clear" w:color="auto" w:fill="auto"/>
            <w:vAlign w:val="center"/>
            <w:hideMark/>
          </w:tcPr>
          <w:p w14:paraId="138F2828" w14:textId="75D8B713"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155.653.885</w:t>
            </w:r>
          </w:p>
        </w:tc>
        <w:tc>
          <w:tcPr>
            <w:tcW w:w="2373" w:type="pct"/>
            <w:tcBorders>
              <w:top w:val="nil"/>
              <w:left w:val="nil"/>
              <w:bottom w:val="single" w:sz="4" w:space="0" w:color="auto"/>
              <w:right w:val="single" w:sz="4" w:space="0" w:color="auto"/>
            </w:tcBorders>
            <w:shd w:val="clear" w:color="auto" w:fill="auto"/>
            <w:vAlign w:val="center"/>
            <w:hideMark/>
          </w:tcPr>
          <w:p w14:paraId="760432D0"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 xml:space="preserve">Deuda certificada por el MEN mediante el radicado No. </w:t>
            </w:r>
            <w:bookmarkStart w:id="8" w:name="_Hlk75951266"/>
            <w:r w:rsidRPr="00DB281B">
              <w:rPr>
                <w:rFonts w:ascii="Arial" w:eastAsia="Times New Roman" w:hAnsi="Arial" w:cs="Arial"/>
                <w:color w:val="000000"/>
                <w:sz w:val="16"/>
                <w:szCs w:val="16"/>
                <w:lang w:val="es-CO" w:eastAsia="es-CO"/>
              </w:rPr>
              <w:t>2014EE75925 del 03 de octubre de 2015</w:t>
            </w:r>
            <w:bookmarkEnd w:id="8"/>
            <w:r w:rsidRPr="00DB281B">
              <w:rPr>
                <w:rFonts w:ascii="Arial" w:eastAsia="Times New Roman" w:hAnsi="Arial" w:cs="Arial"/>
                <w:color w:val="000000"/>
                <w:sz w:val="16"/>
                <w:szCs w:val="16"/>
                <w:lang w:val="es-CO" w:eastAsia="es-CO"/>
              </w:rPr>
              <w:t>, sobre las que no se identifican pagos realizados por la Entidad.</w:t>
            </w:r>
          </w:p>
        </w:tc>
      </w:tr>
      <w:tr w:rsidR="00C46A85" w:rsidRPr="00DB281B" w14:paraId="41E1F25A" w14:textId="77777777" w:rsidTr="00DB281B">
        <w:trPr>
          <w:trHeight w:val="20"/>
        </w:trPr>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14:paraId="150FDD18"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 xml:space="preserve">Cesantías retroactivas y </w:t>
            </w:r>
            <w:proofErr w:type="spellStart"/>
            <w:r w:rsidRPr="00DB281B">
              <w:rPr>
                <w:rFonts w:ascii="Arial" w:eastAsia="Times New Roman" w:hAnsi="Arial" w:cs="Arial"/>
                <w:color w:val="000000"/>
                <w:sz w:val="16"/>
                <w:szCs w:val="16"/>
                <w:lang w:val="es-CO" w:eastAsia="es-CO"/>
              </w:rPr>
              <w:t>Fiduprevisora</w:t>
            </w:r>
            <w:proofErr w:type="spellEnd"/>
          </w:p>
        </w:tc>
        <w:tc>
          <w:tcPr>
            <w:tcW w:w="1069" w:type="pct"/>
            <w:tcBorders>
              <w:top w:val="nil"/>
              <w:left w:val="nil"/>
              <w:bottom w:val="single" w:sz="4" w:space="0" w:color="auto"/>
              <w:right w:val="single" w:sz="4" w:space="0" w:color="auto"/>
            </w:tcBorders>
            <w:shd w:val="clear" w:color="auto" w:fill="auto"/>
            <w:vAlign w:val="center"/>
            <w:hideMark/>
          </w:tcPr>
          <w:p w14:paraId="1CA199EB"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Cesantías retroactivas</w:t>
            </w:r>
          </w:p>
        </w:tc>
        <w:tc>
          <w:tcPr>
            <w:tcW w:w="845" w:type="pct"/>
            <w:tcBorders>
              <w:top w:val="nil"/>
              <w:left w:val="nil"/>
              <w:bottom w:val="single" w:sz="4" w:space="0" w:color="auto"/>
              <w:right w:val="single" w:sz="4" w:space="0" w:color="auto"/>
            </w:tcBorders>
            <w:shd w:val="clear" w:color="auto" w:fill="auto"/>
            <w:vAlign w:val="center"/>
            <w:hideMark/>
          </w:tcPr>
          <w:p w14:paraId="7E9A88AF" w14:textId="5A1D380A"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7.134.842.355</w:t>
            </w:r>
          </w:p>
        </w:tc>
        <w:tc>
          <w:tcPr>
            <w:tcW w:w="2373" w:type="pct"/>
            <w:tcBorders>
              <w:top w:val="nil"/>
              <w:left w:val="nil"/>
              <w:bottom w:val="single" w:sz="4" w:space="0" w:color="auto"/>
              <w:right w:val="single" w:sz="4" w:space="0" w:color="auto"/>
            </w:tcBorders>
            <w:shd w:val="clear" w:color="auto" w:fill="auto"/>
            <w:vAlign w:val="center"/>
            <w:hideMark/>
          </w:tcPr>
          <w:p w14:paraId="097AAA3F" w14:textId="77777777"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Valor liquidado a 31 de diciembre de 2019, sin embargo, se encuentra pendiente la actualización de la liquidación al 31 de diciembre de 2020 y la verificación de la disponibilidad de estos recursos en el FONCECUN.</w:t>
            </w:r>
          </w:p>
        </w:tc>
      </w:tr>
      <w:tr w:rsidR="00C46A85" w:rsidRPr="00DB281B" w14:paraId="30CA5622" w14:textId="77777777" w:rsidTr="00DB281B">
        <w:trPr>
          <w:trHeight w:val="20"/>
        </w:trPr>
        <w:tc>
          <w:tcPr>
            <w:tcW w:w="713" w:type="pct"/>
            <w:vMerge/>
            <w:tcBorders>
              <w:top w:val="nil"/>
              <w:left w:val="single" w:sz="4" w:space="0" w:color="auto"/>
              <w:bottom w:val="single" w:sz="4" w:space="0" w:color="000000"/>
              <w:right w:val="single" w:sz="4" w:space="0" w:color="auto"/>
            </w:tcBorders>
            <w:vAlign w:val="center"/>
            <w:hideMark/>
          </w:tcPr>
          <w:p w14:paraId="141B3AC5" w14:textId="77777777" w:rsidR="00C46A85" w:rsidRPr="00DB281B" w:rsidRDefault="00C46A85" w:rsidP="00DB281B">
            <w:pPr>
              <w:rPr>
                <w:rFonts w:ascii="Arial" w:eastAsia="Times New Roman" w:hAnsi="Arial" w:cs="Arial"/>
                <w:color w:val="000000"/>
                <w:sz w:val="16"/>
                <w:szCs w:val="16"/>
                <w:lang w:val="es-CO" w:eastAsia="es-CO"/>
              </w:rPr>
            </w:pPr>
          </w:p>
        </w:tc>
        <w:tc>
          <w:tcPr>
            <w:tcW w:w="1069" w:type="pct"/>
            <w:tcBorders>
              <w:top w:val="nil"/>
              <w:left w:val="nil"/>
              <w:bottom w:val="single" w:sz="4" w:space="0" w:color="auto"/>
              <w:right w:val="single" w:sz="4" w:space="0" w:color="auto"/>
            </w:tcBorders>
            <w:shd w:val="clear" w:color="auto" w:fill="auto"/>
            <w:vAlign w:val="center"/>
            <w:hideMark/>
          </w:tcPr>
          <w:p w14:paraId="73AA4366" w14:textId="77777777" w:rsidR="00C46A85" w:rsidRPr="00DB281B" w:rsidRDefault="00C46A85" w:rsidP="00DB281B">
            <w:pPr>
              <w:jc w:val="center"/>
              <w:rPr>
                <w:rFonts w:ascii="Arial" w:eastAsia="Times New Roman" w:hAnsi="Arial" w:cs="Arial"/>
                <w:color w:val="000000"/>
                <w:sz w:val="16"/>
                <w:szCs w:val="16"/>
                <w:lang w:val="es-CO" w:eastAsia="es-CO"/>
              </w:rPr>
            </w:pPr>
            <w:proofErr w:type="spellStart"/>
            <w:r w:rsidRPr="00DB281B">
              <w:rPr>
                <w:rFonts w:ascii="Arial" w:eastAsia="Times New Roman" w:hAnsi="Arial" w:cs="Arial"/>
                <w:color w:val="000000"/>
                <w:sz w:val="16"/>
                <w:szCs w:val="16"/>
                <w:lang w:val="es-CO" w:eastAsia="es-CO"/>
              </w:rPr>
              <w:t>Fiduprevisora</w:t>
            </w:r>
            <w:proofErr w:type="spellEnd"/>
            <w:r w:rsidRPr="00DB281B">
              <w:rPr>
                <w:rFonts w:ascii="Arial" w:eastAsia="Times New Roman" w:hAnsi="Arial" w:cs="Arial"/>
                <w:color w:val="000000"/>
                <w:sz w:val="16"/>
                <w:szCs w:val="16"/>
                <w:lang w:val="es-CO" w:eastAsia="es-CO"/>
              </w:rPr>
              <w:t xml:space="preserve"> - FOMAG</w:t>
            </w:r>
          </w:p>
        </w:tc>
        <w:tc>
          <w:tcPr>
            <w:tcW w:w="845" w:type="pct"/>
            <w:tcBorders>
              <w:top w:val="nil"/>
              <w:left w:val="nil"/>
              <w:bottom w:val="single" w:sz="4" w:space="0" w:color="auto"/>
              <w:right w:val="single" w:sz="4" w:space="0" w:color="auto"/>
            </w:tcBorders>
            <w:shd w:val="clear" w:color="auto" w:fill="auto"/>
            <w:vAlign w:val="center"/>
            <w:hideMark/>
          </w:tcPr>
          <w:p w14:paraId="65E883DB" w14:textId="2CABD6EE" w:rsidR="00C46A85" w:rsidRPr="00DB281B" w:rsidRDefault="00DB281B" w:rsidP="00DB281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C46A85" w:rsidRPr="00DB281B">
              <w:rPr>
                <w:rFonts w:ascii="Arial" w:eastAsia="Times New Roman" w:hAnsi="Arial" w:cs="Arial"/>
                <w:color w:val="000000"/>
                <w:sz w:val="16"/>
                <w:szCs w:val="16"/>
                <w:lang w:val="es-CO" w:eastAsia="es-CO"/>
              </w:rPr>
              <w:t>1.073.782.910.281</w:t>
            </w:r>
          </w:p>
        </w:tc>
        <w:tc>
          <w:tcPr>
            <w:tcW w:w="2373" w:type="pct"/>
            <w:tcBorders>
              <w:top w:val="nil"/>
              <w:left w:val="nil"/>
              <w:bottom w:val="single" w:sz="4" w:space="0" w:color="auto"/>
              <w:right w:val="single" w:sz="4" w:space="0" w:color="auto"/>
            </w:tcBorders>
            <w:shd w:val="clear" w:color="auto" w:fill="auto"/>
            <w:vAlign w:val="center"/>
            <w:hideMark/>
          </w:tcPr>
          <w:p w14:paraId="241766AA" w14:textId="48D4BA2C" w:rsidR="00C46A85" w:rsidRPr="00DB281B" w:rsidRDefault="00C46A85" w:rsidP="00DB281B">
            <w:pPr>
              <w:jc w:val="center"/>
              <w:rPr>
                <w:rFonts w:ascii="Arial" w:eastAsia="Times New Roman" w:hAnsi="Arial" w:cs="Arial"/>
                <w:color w:val="000000"/>
                <w:sz w:val="16"/>
                <w:szCs w:val="16"/>
                <w:lang w:val="es-CO" w:eastAsia="es-CO"/>
              </w:rPr>
            </w:pPr>
            <w:r w:rsidRPr="00DB281B">
              <w:rPr>
                <w:rFonts w:ascii="Arial" w:eastAsia="Times New Roman" w:hAnsi="Arial" w:cs="Arial"/>
                <w:color w:val="000000"/>
                <w:sz w:val="16"/>
                <w:szCs w:val="16"/>
                <w:lang w:val="es-CO" w:eastAsia="es-CO"/>
              </w:rPr>
              <w:t xml:space="preserve">Valor actualizado a 2021 de la deuda con la </w:t>
            </w:r>
            <w:proofErr w:type="spellStart"/>
            <w:r w:rsidRPr="00DB281B">
              <w:rPr>
                <w:rFonts w:ascii="Arial" w:eastAsia="Times New Roman" w:hAnsi="Arial" w:cs="Arial"/>
                <w:color w:val="000000"/>
                <w:sz w:val="16"/>
                <w:szCs w:val="16"/>
                <w:lang w:val="es-CO" w:eastAsia="es-CO"/>
              </w:rPr>
              <w:t>Fiduprevisora</w:t>
            </w:r>
            <w:proofErr w:type="spellEnd"/>
            <w:r w:rsidRPr="00DB281B">
              <w:rPr>
                <w:rFonts w:ascii="Arial" w:eastAsia="Times New Roman" w:hAnsi="Arial" w:cs="Arial"/>
                <w:color w:val="000000"/>
                <w:sz w:val="16"/>
                <w:szCs w:val="16"/>
                <w:lang w:val="es-CO" w:eastAsia="es-CO"/>
              </w:rPr>
              <w:t xml:space="preserve"> - FOMAG por conceptos como: Pasivo Corriente 2013 - 2018 (Actualizado Financieramente a 2020) por $199.176 millones; Pasivo Corriente 2019 por $51.567 millones; Cuota de Afiliación E Incrementos Salariales por $1.427 millones y Cuotas Partes a 31 de diciembre de 2003 por </w:t>
            </w:r>
            <w:r w:rsidR="00DB281B">
              <w:rPr>
                <w:rFonts w:ascii="Arial" w:eastAsia="Times New Roman" w:hAnsi="Arial" w:cs="Arial"/>
                <w:color w:val="000000"/>
                <w:sz w:val="16"/>
                <w:szCs w:val="16"/>
                <w:lang w:val="es-CO" w:eastAsia="es-CO"/>
              </w:rPr>
              <w:t>$</w:t>
            </w:r>
            <w:r w:rsidRPr="00DB281B">
              <w:rPr>
                <w:rFonts w:ascii="Arial" w:eastAsia="Times New Roman" w:hAnsi="Arial" w:cs="Arial"/>
                <w:color w:val="000000"/>
                <w:sz w:val="16"/>
                <w:szCs w:val="16"/>
                <w:lang w:val="es-CO" w:eastAsia="es-CO"/>
              </w:rPr>
              <w:t>6.863 millones. Además, certificaron el valor del Pasivo Pensional por Cálculo Actuarial a 31 de diciembre de 2018, actualizado financieramente a 2019 por $814.749 millones.</w:t>
            </w:r>
          </w:p>
        </w:tc>
      </w:tr>
      <w:tr w:rsidR="00C46A85" w:rsidRPr="00DB281B" w14:paraId="4451D43A" w14:textId="77777777" w:rsidTr="00DB281B">
        <w:trPr>
          <w:trHeight w:val="20"/>
        </w:trPr>
        <w:tc>
          <w:tcPr>
            <w:tcW w:w="17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57300A" w14:textId="77777777" w:rsidR="00C46A85" w:rsidRPr="00DB281B" w:rsidRDefault="00C46A85" w:rsidP="00DB281B">
            <w:pPr>
              <w:jc w:val="center"/>
              <w:rPr>
                <w:rFonts w:ascii="Arial" w:eastAsia="Times New Roman" w:hAnsi="Arial" w:cs="Arial"/>
                <w:b/>
                <w:bCs/>
                <w:i/>
                <w:iCs/>
                <w:color w:val="000000"/>
                <w:sz w:val="16"/>
                <w:szCs w:val="16"/>
                <w:lang w:val="es-CO" w:eastAsia="es-CO"/>
              </w:rPr>
            </w:pPr>
            <w:r w:rsidRPr="00DB281B">
              <w:rPr>
                <w:rFonts w:ascii="Arial" w:eastAsia="Times New Roman" w:hAnsi="Arial" w:cs="Arial"/>
                <w:b/>
                <w:bCs/>
                <w:i/>
                <w:iCs/>
                <w:color w:val="000000"/>
                <w:sz w:val="16"/>
                <w:szCs w:val="16"/>
                <w:lang w:val="es-CO" w:eastAsia="es-CO"/>
              </w:rPr>
              <w:t>Totales</w:t>
            </w:r>
          </w:p>
        </w:tc>
        <w:tc>
          <w:tcPr>
            <w:tcW w:w="845" w:type="pct"/>
            <w:tcBorders>
              <w:top w:val="nil"/>
              <w:left w:val="nil"/>
              <w:bottom w:val="single" w:sz="4" w:space="0" w:color="auto"/>
              <w:right w:val="single" w:sz="4" w:space="0" w:color="auto"/>
            </w:tcBorders>
            <w:shd w:val="clear" w:color="auto" w:fill="auto"/>
            <w:vAlign w:val="center"/>
            <w:hideMark/>
          </w:tcPr>
          <w:p w14:paraId="74DAD9BA" w14:textId="54E7B802" w:rsidR="00C46A85" w:rsidRPr="00DB281B" w:rsidRDefault="00DB281B" w:rsidP="00DB281B">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w:t>
            </w:r>
            <w:r w:rsidR="00C46A85" w:rsidRPr="00DB281B">
              <w:rPr>
                <w:rFonts w:ascii="Arial" w:eastAsia="Times New Roman" w:hAnsi="Arial" w:cs="Arial"/>
                <w:b/>
                <w:bCs/>
                <w:color w:val="000000"/>
                <w:sz w:val="16"/>
                <w:szCs w:val="16"/>
                <w:lang w:val="es-CO" w:eastAsia="es-CO"/>
              </w:rPr>
              <w:t>1.084.862.520.526</w:t>
            </w:r>
          </w:p>
        </w:tc>
        <w:tc>
          <w:tcPr>
            <w:tcW w:w="2373" w:type="pct"/>
            <w:tcBorders>
              <w:top w:val="nil"/>
              <w:left w:val="nil"/>
              <w:bottom w:val="single" w:sz="4" w:space="0" w:color="auto"/>
              <w:right w:val="single" w:sz="4" w:space="0" w:color="auto"/>
            </w:tcBorders>
            <w:shd w:val="clear" w:color="auto" w:fill="auto"/>
            <w:vAlign w:val="center"/>
            <w:hideMark/>
          </w:tcPr>
          <w:p w14:paraId="0ADFBC92" w14:textId="77777777" w:rsidR="00C46A85" w:rsidRPr="00DB281B" w:rsidRDefault="00C46A85" w:rsidP="00DB281B">
            <w:pPr>
              <w:jc w:val="right"/>
              <w:rPr>
                <w:rFonts w:ascii="Arial" w:eastAsia="Times New Roman" w:hAnsi="Arial" w:cs="Arial"/>
                <w:b/>
                <w:bCs/>
                <w:color w:val="000000"/>
                <w:sz w:val="16"/>
                <w:szCs w:val="16"/>
                <w:lang w:val="es-CO" w:eastAsia="es-CO"/>
              </w:rPr>
            </w:pPr>
            <w:r w:rsidRPr="00DB281B">
              <w:rPr>
                <w:rFonts w:ascii="Arial" w:eastAsia="Times New Roman" w:hAnsi="Arial" w:cs="Arial"/>
                <w:b/>
                <w:bCs/>
                <w:color w:val="000000"/>
                <w:sz w:val="16"/>
                <w:szCs w:val="16"/>
                <w:lang w:val="es-CO" w:eastAsia="es-CO"/>
              </w:rPr>
              <w:t> </w:t>
            </w:r>
          </w:p>
        </w:tc>
      </w:tr>
    </w:tbl>
    <w:p w14:paraId="1C2DC09C" w14:textId="77777777" w:rsidR="00C46A85" w:rsidRPr="00DB281B" w:rsidRDefault="00C46A85" w:rsidP="00DB281B">
      <w:pPr>
        <w:jc w:val="both"/>
        <w:rPr>
          <w:rFonts w:ascii="Arial" w:hAnsi="Arial" w:cs="Arial"/>
          <w:sz w:val="22"/>
          <w:szCs w:val="22"/>
        </w:rPr>
      </w:pPr>
    </w:p>
    <w:p w14:paraId="7B77E8F4" w14:textId="5C0867C8" w:rsidR="00C46A85" w:rsidRPr="00DB281B" w:rsidRDefault="00C31205" w:rsidP="00DB281B">
      <w:pPr>
        <w:jc w:val="both"/>
        <w:rPr>
          <w:rFonts w:ascii="Arial" w:hAnsi="Arial" w:cs="Arial"/>
          <w:sz w:val="22"/>
          <w:szCs w:val="22"/>
        </w:rPr>
      </w:pPr>
      <w:r>
        <w:rPr>
          <w:rFonts w:ascii="Arial" w:hAnsi="Arial" w:cs="Arial"/>
          <w:sz w:val="22"/>
          <w:szCs w:val="22"/>
        </w:rPr>
        <w:t>Al respecto,</w:t>
      </w:r>
      <w:r w:rsidR="001927AB" w:rsidRPr="00DB281B">
        <w:rPr>
          <w:rFonts w:ascii="Arial" w:hAnsi="Arial" w:cs="Arial"/>
          <w:sz w:val="22"/>
          <w:szCs w:val="22"/>
        </w:rPr>
        <w:t xml:space="preserve"> es importante mencionar que el Ministerio de Educación Nacional ha realizado la certificación de las deudas </w:t>
      </w:r>
      <w:r w:rsidR="00197DA0" w:rsidRPr="00DB281B">
        <w:rPr>
          <w:rFonts w:ascii="Arial" w:hAnsi="Arial" w:cs="Arial"/>
          <w:sz w:val="22"/>
          <w:szCs w:val="22"/>
        </w:rPr>
        <w:t xml:space="preserve">por zonas de difícil acceso, pagos a profesionales universitarios, </w:t>
      </w:r>
      <w:r w:rsidR="00AA0D31" w:rsidRPr="00DB281B">
        <w:rPr>
          <w:rFonts w:ascii="Arial" w:hAnsi="Arial" w:cs="Arial"/>
          <w:sz w:val="22"/>
          <w:szCs w:val="22"/>
        </w:rPr>
        <w:t xml:space="preserve">incrementos por especialización y aportes por diferencias salariales mediante el concepto con radicado No. 2014EE75925 del 03 de octubre de 2015. Sin embargo, la Entidad ha incurrido en ineficiencias en el pago de los conceptos de deuda </w:t>
      </w:r>
      <w:r w:rsidR="00AD1737" w:rsidRPr="00DB281B">
        <w:rPr>
          <w:rFonts w:ascii="Arial" w:hAnsi="Arial" w:cs="Arial"/>
          <w:sz w:val="22"/>
          <w:szCs w:val="22"/>
        </w:rPr>
        <w:t>certificados,</w:t>
      </w:r>
      <w:r w:rsidR="00AA0D31" w:rsidRPr="00DB281B">
        <w:rPr>
          <w:rFonts w:ascii="Arial" w:hAnsi="Arial" w:cs="Arial"/>
          <w:sz w:val="22"/>
          <w:szCs w:val="22"/>
        </w:rPr>
        <w:t xml:space="preserve"> así como ha generado nuevas deudas asociadas a</w:t>
      </w:r>
      <w:r w:rsidR="003A2F82" w:rsidRPr="00DB281B">
        <w:rPr>
          <w:rFonts w:ascii="Arial" w:hAnsi="Arial" w:cs="Arial"/>
          <w:sz w:val="22"/>
          <w:szCs w:val="22"/>
        </w:rPr>
        <w:t xml:space="preserve">l sector, motivo por el que el MEN en radicado No. </w:t>
      </w:r>
      <w:r w:rsidR="00272D86" w:rsidRPr="00DB281B">
        <w:rPr>
          <w:rFonts w:ascii="Arial" w:hAnsi="Arial" w:cs="Arial"/>
          <w:sz w:val="22"/>
          <w:szCs w:val="22"/>
        </w:rPr>
        <w:t>2018-EE-084669 del 05 de junio de 2018</w:t>
      </w:r>
      <w:r w:rsidR="00AD1737" w:rsidRPr="00DB281B">
        <w:rPr>
          <w:rFonts w:ascii="Arial" w:hAnsi="Arial" w:cs="Arial"/>
          <w:sz w:val="22"/>
          <w:szCs w:val="22"/>
        </w:rPr>
        <w:t xml:space="preserve"> </w:t>
      </w:r>
      <w:r w:rsidR="00677352" w:rsidRPr="00DB281B">
        <w:rPr>
          <w:rFonts w:ascii="Arial" w:hAnsi="Arial" w:cs="Arial"/>
          <w:sz w:val="22"/>
          <w:szCs w:val="22"/>
        </w:rPr>
        <w:t>ha indicado a la Entidad que los mayores pagos deberán ser asumid</w:t>
      </w:r>
      <w:r>
        <w:rPr>
          <w:rFonts w:ascii="Arial" w:hAnsi="Arial" w:cs="Arial"/>
          <w:sz w:val="22"/>
          <w:szCs w:val="22"/>
        </w:rPr>
        <w:t>o</w:t>
      </w:r>
      <w:r w:rsidR="00677352" w:rsidRPr="00DB281B">
        <w:rPr>
          <w:rFonts w:ascii="Arial" w:hAnsi="Arial" w:cs="Arial"/>
          <w:sz w:val="22"/>
          <w:szCs w:val="22"/>
        </w:rPr>
        <w:t xml:space="preserve">s con recursos distintos a los </w:t>
      </w:r>
      <w:r w:rsidR="004B48C0" w:rsidRPr="00DB281B">
        <w:rPr>
          <w:rFonts w:ascii="Arial" w:hAnsi="Arial" w:cs="Arial"/>
          <w:sz w:val="22"/>
          <w:szCs w:val="22"/>
        </w:rPr>
        <w:t>de la participación del Educación del Sistema General de Participaciones.</w:t>
      </w:r>
    </w:p>
    <w:p w14:paraId="6504A9A9" w14:textId="7EED9E12" w:rsidR="004B48C0" w:rsidRPr="00DB281B" w:rsidRDefault="004B48C0" w:rsidP="00DB281B">
      <w:pPr>
        <w:jc w:val="both"/>
        <w:rPr>
          <w:rFonts w:ascii="Arial" w:hAnsi="Arial" w:cs="Arial"/>
          <w:sz w:val="22"/>
          <w:szCs w:val="22"/>
        </w:rPr>
      </w:pPr>
    </w:p>
    <w:p w14:paraId="2EDE44F2" w14:textId="7834A0E1" w:rsidR="0041698C" w:rsidRPr="00DB281B" w:rsidRDefault="004B48C0" w:rsidP="00DB281B">
      <w:pPr>
        <w:jc w:val="both"/>
        <w:rPr>
          <w:rFonts w:ascii="Arial" w:eastAsiaTheme="minorHAnsi" w:hAnsi="Arial" w:cs="Arial"/>
          <w:sz w:val="22"/>
          <w:szCs w:val="22"/>
          <w:lang w:val="es-CO" w:eastAsia="en-US"/>
        </w:rPr>
      </w:pPr>
      <w:r w:rsidRPr="00DB281B">
        <w:rPr>
          <w:rFonts w:ascii="Arial" w:hAnsi="Arial" w:cs="Arial"/>
          <w:sz w:val="22"/>
          <w:szCs w:val="22"/>
        </w:rPr>
        <w:t xml:space="preserve">Por último, en torno a las deudas asociadas con los recursos de cesantías retroactivas y </w:t>
      </w:r>
      <w:proofErr w:type="spellStart"/>
      <w:r w:rsidRPr="00DB281B">
        <w:rPr>
          <w:rFonts w:ascii="Arial" w:hAnsi="Arial" w:cs="Arial"/>
          <w:sz w:val="22"/>
          <w:szCs w:val="22"/>
        </w:rPr>
        <w:t>Fiduprevisora</w:t>
      </w:r>
      <w:proofErr w:type="spellEnd"/>
      <w:r w:rsidRPr="00DB281B">
        <w:rPr>
          <w:rFonts w:ascii="Arial" w:hAnsi="Arial" w:cs="Arial"/>
          <w:sz w:val="22"/>
          <w:szCs w:val="22"/>
        </w:rPr>
        <w:t xml:space="preserve"> – FOMAG, en visita de reconocimiento </w:t>
      </w:r>
      <w:r w:rsidR="00C31205">
        <w:rPr>
          <w:rFonts w:ascii="Arial" w:hAnsi="Arial" w:cs="Arial"/>
          <w:sz w:val="22"/>
          <w:szCs w:val="22"/>
        </w:rPr>
        <w:t>s</w:t>
      </w:r>
      <w:r w:rsidRPr="00DB281B">
        <w:rPr>
          <w:rFonts w:ascii="Arial" w:hAnsi="Arial" w:cs="Arial"/>
          <w:sz w:val="22"/>
          <w:szCs w:val="22"/>
        </w:rPr>
        <w:t xml:space="preserve">e recomienda solicitar </w:t>
      </w:r>
      <w:r w:rsidR="00D01123" w:rsidRPr="00DB281B">
        <w:rPr>
          <w:rFonts w:ascii="Arial" w:hAnsi="Arial" w:cs="Arial"/>
          <w:sz w:val="22"/>
          <w:szCs w:val="22"/>
        </w:rPr>
        <w:t xml:space="preserve">el extracto del Fondo de Cesantías Retroactivas de Cundinamarca – FONCECUN, al igual que los actos </w:t>
      </w:r>
      <w:r w:rsidR="00D01123" w:rsidRPr="00DB281B">
        <w:rPr>
          <w:rFonts w:ascii="Arial" w:hAnsi="Arial" w:cs="Arial"/>
          <w:sz w:val="22"/>
          <w:szCs w:val="22"/>
        </w:rPr>
        <w:lastRenderedPageBreak/>
        <w:t xml:space="preserve">administrativos y documentos de trabajo que dan cuenta de la liquidación de aportes para el personal de la Secretaría de Educación perteneciente a este régimen de cesantías. Así mismo, el estado de pagos </w:t>
      </w:r>
      <w:r w:rsidR="008F47A5" w:rsidRPr="00DB281B">
        <w:rPr>
          <w:rFonts w:ascii="Arial" w:hAnsi="Arial" w:cs="Arial"/>
          <w:sz w:val="22"/>
          <w:szCs w:val="22"/>
        </w:rPr>
        <w:t>efectuados al FOMAG por parte de la Entidad durante las últimas vigencias.</w:t>
      </w:r>
    </w:p>
    <w:p w14:paraId="2007CB9C" w14:textId="77777777" w:rsidR="0041698C" w:rsidRPr="00DB281B" w:rsidRDefault="0041698C" w:rsidP="00DB281B">
      <w:pPr>
        <w:autoSpaceDE w:val="0"/>
        <w:autoSpaceDN w:val="0"/>
        <w:adjustRightInd w:val="0"/>
        <w:jc w:val="both"/>
        <w:rPr>
          <w:rFonts w:ascii="Arial" w:eastAsiaTheme="minorHAnsi" w:hAnsi="Arial" w:cs="Arial"/>
          <w:sz w:val="22"/>
          <w:szCs w:val="22"/>
          <w:lang w:val="es-CO" w:eastAsia="en-US"/>
        </w:rPr>
      </w:pPr>
    </w:p>
    <w:p w14:paraId="661AF563" w14:textId="77777777" w:rsidR="0041698C" w:rsidRPr="00DB281B" w:rsidRDefault="0041698C" w:rsidP="00DB281B">
      <w:pPr>
        <w:autoSpaceDE w:val="0"/>
        <w:autoSpaceDN w:val="0"/>
        <w:adjustRightInd w:val="0"/>
        <w:jc w:val="both"/>
        <w:rPr>
          <w:rFonts w:ascii="Arial" w:eastAsiaTheme="minorHAnsi" w:hAnsi="Arial" w:cs="Arial"/>
          <w:sz w:val="22"/>
          <w:szCs w:val="22"/>
          <w:lang w:val="es-CO" w:eastAsia="en-US"/>
        </w:rPr>
      </w:pPr>
      <w:r w:rsidRPr="00DB281B">
        <w:rPr>
          <w:rFonts w:ascii="Arial" w:eastAsiaTheme="minorHAnsi" w:hAnsi="Arial" w:cs="Arial"/>
          <w:b/>
          <w:sz w:val="22"/>
          <w:szCs w:val="22"/>
          <w:lang w:val="es-CO" w:eastAsia="en-US"/>
        </w:rPr>
        <w:t xml:space="preserve">Evidencia: </w:t>
      </w:r>
      <w:r w:rsidRPr="00DB281B">
        <w:rPr>
          <w:rFonts w:ascii="Arial" w:eastAsiaTheme="minorHAnsi" w:hAnsi="Arial" w:cs="Arial"/>
          <w:sz w:val="22"/>
          <w:szCs w:val="22"/>
          <w:lang w:val="es-CO" w:eastAsia="en-US"/>
        </w:rPr>
        <w:t xml:space="preserve">Obra en el expediente el siguiente material probatorio: </w:t>
      </w:r>
    </w:p>
    <w:p w14:paraId="35F271C0" w14:textId="6D3C3589" w:rsidR="008F47A5" w:rsidRPr="00DB281B" w:rsidRDefault="008F47A5" w:rsidP="00DB281B">
      <w:pPr>
        <w:pStyle w:val="Prrafodelista"/>
        <w:numPr>
          <w:ilvl w:val="0"/>
          <w:numId w:val="53"/>
        </w:numPr>
        <w:ind w:left="284" w:hanging="284"/>
        <w:jc w:val="both"/>
        <w:rPr>
          <w:rFonts w:ascii="Arial" w:hAnsi="Arial" w:cs="Arial"/>
          <w:sz w:val="22"/>
          <w:szCs w:val="22"/>
        </w:rPr>
      </w:pPr>
      <w:r w:rsidRPr="00DB281B">
        <w:rPr>
          <w:rFonts w:ascii="Arial" w:hAnsi="Arial" w:cs="Arial"/>
          <w:sz w:val="22"/>
          <w:szCs w:val="22"/>
        </w:rPr>
        <w:t xml:space="preserve">Acta de conciliación con la </w:t>
      </w:r>
      <w:proofErr w:type="spellStart"/>
      <w:r w:rsidRPr="00DB281B">
        <w:rPr>
          <w:rFonts w:ascii="Arial" w:hAnsi="Arial" w:cs="Arial"/>
          <w:sz w:val="22"/>
          <w:szCs w:val="22"/>
        </w:rPr>
        <w:t>Fiduprevisora</w:t>
      </w:r>
      <w:proofErr w:type="spellEnd"/>
      <w:r w:rsidRPr="00DB281B">
        <w:rPr>
          <w:rFonts w:ascii="Arial" w:hAnsi="Arial" w:cs="Arial"/>
          <w:sz w:val="22"/>
          <w:szCs w:val="22"/>
        </w:rPr>
        <w:t xml:space="preserve"> al </w:t>
      </w:r>
      <w:r w:rsidR="006433C2" w:rsidRPr="00DB281B">
        <w:rPr>
          <w:rFonts w:ascii="Arial" w:hAnsi="Arial" w:cs="Arial"/>
          <w:sz w:val="22"/>
          <w:szCs w:val="22"/>
        </w:rPr>
        <w:t>31</w:t>
      </w:r>
      <w:r w:rsidRPr="00DB281B">
        <w:rPr>
          <w:rFonts w:ascii="Arial" w:hAnsi="Arial" w:cs="Arial"/>
          <w:sz w:val="22"/>
          <w:szCs w:val="22"/>
        </w:rPr>
        <w:t xml:space="preserve"> de marzo del 2020. </w:t>
      </w:r>
    </w:p>
    <w:p w14:paraId="4EE8EB6C" w14:textId="39CDDE33" w:rsidR="008F47A5" w:rsidRPr="00DB281B" w:rsidRDefault="00CF510C" w:rsidP="00DB281B">
      <w:pPr>
        <w:pStyle w:val="Prrafodelista"/>
        <w:numPr>
          <w:ilvl w:val="0"/>
          <w:numId w:val="53"/>
        </w:numPr>
        <w:ind w:left="284" w:hanging="284"/>
        <w:jc w:val="both"/>
        <w:rPr>
          <w:rFonts w:ascii="Arial" w:hAnsi="Arial" w:cs="Arial"/>
          <w:bCs/>
          <w:sz w:val="22"/>
          <w:szCs w:val="22"/>
        </w:rPr>
      </w:pPr>
      <w:r w:rsidRPr="00DB281B">
        <w:rPr>
          <w:rFonts w:ascii="Arial" w:hAnsi="Arial" w:cs="Arial"/>
          <w:bCs/>
          <w:sz w:val="22"/>
          <w:szCs w:val="22"/>
        </w:rPr>
        <w:t>Carta</w:t>
      </w:r>
      <w:r w:rsidR="008F47A5" w:rsidRPr="00DB281B">
        <w:rPr>
          <w:rFonts w:ascii="Arial" w:hAnsi="Arial" w:cs="Arial"/>
          <w:bCs/>
          <w:sz w:val="22"/>
          <w:szCs w:val="22"/>
        </w:rPr>
        <w:t xml:space="preserve"> de cesantías retroactivas para la vigencia 2019.</w:t>
      </w:r>
    </w:p>
    <w:p w14:paraId="11CA34B3" w14:textId="0E8720D0" w:rsidR="008F47A5" w:rsidRPr="00DB281B" w:rsidRDefault="006433C2" w:rsidP="00DB281B">
      <w:pPr>
        <w:pStyle w:val="Prrafodelista"/>
        <w:numPr>
          <w:ilvl w:val="0"/>
          <w:numId w:val="53"/>
        </w:numPr>
        <w:ind w:left="284" w:hanging="284"/>
        <w:jc w:val="both"/>
        <w:rPr>
          <w:rFonts w:ascii="Arial" w:hAnsi="Arial" w:cs="Arial"/>
          <w:bCs/>
          <w:sz w:val="22"/>
          <w:szCs w:val="22"/>
        </w:rPr>
      </w:pPr>
      <w:r w:rsidRPr="00DB281B">
        <w:rPr>
          <w:rFonts w:ascii="Arial" w:hAnsi="Arial" w:cs="Arial"/>
          <w:bCs/>
          <w:sz w:val="22"/>
          <w:szCs w:val="22"/>
        </w:rPr>
        <w:t xml:space="preserve">Concepto MEN con radicado </w:t>
      </w:r>
      <w:r w:rsidRPr="00DB281B">
        <w:rPr>
          <w:rFonts w:ascii="Arial" w:hAnsi="Arial" w:cs="Arial"/>
          <w:sz w:val="22"/>
          <w:szCs w:val="22"/>
        </w:rPr>
        <w:t>No. 2014EE75925 del 03 de octubre de 2015.</w:t>
      </w:r>
    </w:p>
    <w:p w14:paraId="7D363801" w14:textId="7340A7D5" w:rsidR="0041698C" w:rsidRPr="00DB281B" w:rsidRDefault="006433C2" w:rsidP="00DB281B">
      <w:pPr>
        <w:pStyle w:val="Prrafodelista"/>
        <w:numPr>
          <w:ilvl w:val="0"/>
          <w:numId w:val="53"/>
        </w:numPr>
        <w:ind w:left="284" w:hanging="284"/>
        <w:jc w:val="both"/>
        <w:rPr>
          <w:rFonts w:ascii="Arial" w:hAnsi="Arial" w:cs="Arial"/>
          <w:sz w:val="22"/>
          <w:szCs w:val="22"/>
          <w:lang w:val="es-ES_tradnl"/>
        </w:rPr>
      </w:pPr>
      <w:r w:rsidRPr="00DB281B">
        <w:rPr>
          <w:rFonts w:ascii="Arial" w:hAnsi="Arial" w:cs="Arial"/>
          <w:sz w:val="22"/>
          <w:szCs w:val="22"/>
        </w:rPr>
        <w:t>Concepto MEN con radicado No. 2018-EE-084669 del 05 de junio de 2018.</w:t>
      </w:r>
    </w:p>
    <w:p w14:paraId="6CDDBAAE" w14:textId="77777777" w:rsidR="0041698C" w:rsidRPr="00DB281B" w:rsidRDefault="0041698C" w:rsidP="00DB281B">
      <w:pPr>
        <w:pStyle w:val="Sinespaciado"/>
        <w:jc w:val="both"/>
        <w:rPr>
          <w:rFonts w:ascii="Arial" w:hAnsi="Arial" w:cs="Arial"/>
          <w:lang w:val="es-ES_tradnl"/>
        </w:rPr>
      </w:pPr>
    </w:p>
    <w:p w14:paraId="114F851F" w14:textId="77777777" w:rsidR="0041698C" w:rsidRPr="00DB281B" w:rsidRDefault="0041698C" w:rsidP="001F0ED4">
      <w:pPr>
        <w:pStyle w:val="Ttulo1"/>
        <w:numPr>
          <w:ilvl w:val="0"/>
          <w:numId w:val="1"/>
        </w:numPr>
        <w:spacing w:before="0"/>
        <w:ind w:left="426" w:hanging="426"/>
        <w:jc w:val="both"/>
        <w:rPr>
          <w:rFonts w:ascii="Arial" w:hAnsi="Arial" w:cs="Arial"/>
          <w:b/>
          <w:color w:val="auto"/>
          <w:sz w:val="22"/>
          <w:szCs w:val="22"/>
        </w:rPr>
      </w:pPr>
      <w:r w:rsidRPr="00DB281B">
        <w:rPr>
          <w:rFonts w:ascii="Arial" w:hAnsi="Arial" w:cs="Arial"/>
          <w:b/>
          <w:color w:val="auto"/>
          <w:sz w:val="22"/>
          <w:szCs w:val="22"/>
        </w:rPr>
        <w:t>CONCLUSIONES</w:t>
      </w:r>
    </w:p>
    <w:p w14:paraId="32B2BCEC" w14:textId="77777777" w:rsidR="0041698C" w:rsidRPr="00DB281B" w:rsidRDefault="0041698C" w:rsidP="00DB281B">
      <w:pPr>
        <w:jc w:val="both"/>
        <w:rPr>
          <w:rFonts w:ascii="Arial" w:hAnsi="Arial" w:cs="Arial"/>
          <w:color w:val="FF0000"/>
          <w:sz w:val="22"/>
          <w:szCs w:val="22"/>
        </w:rPr>
      </w:pPr>
    </w:p>
    <w:p w14:paraId="0E06683A" w14:textId="416D6D23" w:rsidR="0041698C" w:rsidRPr="00DB281B" w:rsidRDefault="0041698C" w:rsidP="00DB281B">
      <w:pPr>
        <w:jc w:val="both"/>
        <w:rPr>
          <w:rFonts w:ascii="Arial" w:hAnsi="Arial" w:cs="Arial"/>
          <w:color w:val="FF0000"/>
          <w:sz w:val="22"/>
          <w:szCs w:val="22"/>
        </w:rPr>
      </w:pPr>
      <w:r w:rsidRPr="00DB281B">
        <w:rPr>
          <w:rFonts w:ascii="Arial" w:hAnsi="Arial" w:cs="Arial"/>
          <w:sz w:val="22"/>
          <w:szCs w:val="22"/>
        </w:rPr>
        <w:t xml:space="preserve">A partir del análisis de la información remitida por el </w:t>
      </w:r>
      <w:r w:rsidR="00E12E86" w:rsidRPr="00DB281B">
        <w:rPr>
          <w:rFonts w:ascii="Arial" w:hAnsi="Arial" w:cs="Arial"/>
          <w:sz w:val="22"/>
          <w:szCs w:val="22"/>
        </w:rPr>
        <w:t>Departamento</w:t>
      </w:r>
      <w:r w:rsidRPr="00DB281B">
        <w:rPr>
          <w:rFonts w:ascii="Arial" w:hAnsi="Arial" w:cs="Arial"/>
          <w:sz w:val="22"/>
          <w:szCs w:val="22"/>
        </w:rPr>
        <w:t>, se determinó de manera preliminar la existencia de los siguientes eventos de riesgo, definidos en el artículo 9 del decreto 028 de 2009, en relación con el uso de los recursos del Sistema General de Participaciones en el sector educación:</w:t>
      </w:r>
    </w:p>
    <w:p w14:paraId="26D93F48" w14:textId="77777777" w:rsidR="0041698C" w:rsidRPr="00DB281B" w:rsidRDefault="0041698C" w:rsidP="00DB281B">
      <w:pPr>
        <w:jc w:val="both"/>
        <w:rPr>
          <w:rFonts w:ascii="Arial" w:hAnsi="Arial" w:cs="Arial"/>
          <w:sz w:val="22"/>
          <w:szCs w:val="22"/>
        </w:rPr>
      </w:pPr>
    </w:p>
    <w:p w14:paraId="775D6832" w14:textId="58F3286B" w:rsidR="0041698C" w:rsidRPr="00DB281B" w:rsidRDefault="0041698C" w:rsidP="00DB281B">
      <w:pPr>
        <w:jc w:val="both"/>
        <w:rPr>
          <w:rFonts w:ascii="Arial" w:hAnsi="Arial" w:cs="Arial"/>
          <w:sz w:val="22"/>
          <w:szCs w:val="22"/>
        </w:rPr>
      </w:pPr>
      <w:r w:rsidRPr="00DB281B">
        <w:rPr>
          <w:rFonts w:ascii="Arial" w:hAnsi="Arial" w:cs="Arial"/>
          <w:bCs/>
          <w:sz w:val="22"/>
          <w:szCs w:val="22"/>
        </w:rPr>
        <w:t>9.1 (No envío de información</w:t>
      </w:r>
      <w:r w:rsidR="00976D32" w:rsidRPr="00DB281B">
        <w:rPr>
          <w:rFonts w:ascii="Arial" w:hAnsi="Arial" w:cs="Arial"/>
          <w:bCs/>
          <w:sz w:val="22"/>
          <w:szCs w:val="22"/>
        </w:rPr>
        <w:t xml:space="preserve"> conforme a los plazos, condiciones y formatos indicados por el Gobierno Nacional</w:t>
      </w:r>
      <w:r w:rsidRPr="00DB281B">
        <w:rPr>
          <w:rFonts w:ascii="Arial" w:hAnsi="Arial" w:cs="Arial"/>
          <w:bCs/>
          <w:sz w:val="22"/>
          <w:szCs w:val="22"/>
        </w:rPr>
        <w:t xml:space="preserve">); 9.4 (cambio en la destinación de los recursos); </w:t>
      </w:r>
      <w:r w:rsidRPr="00DB281B">
        <w:rPr>
          <w:rFonts w:ascii="Arial" w:hAnsi="Arial" w:cs="Arial"/>
          <w:sz w:val="22"/>
          <w:szCs w:val="22"/>
        </w:rPr>
        <w:t>9.10 (</w:t>
      </w:r>
      <w:r w:rsidRPr="00DB281B">
        <w:rPr>
          <w:rFonts w:ascii="Arial" w:hAnsi="Arial" w:cs="Arial"/>
          <w:bCs/>
          <w:sz w:val="22"/>
          <w:szCs w:val="22"/>
          <w:lang w:val="es-ES_tradnl"/>
        </w:rPr>
        <w:t>No publicar los actos administrativos, contratos, convenios e informes, cuando la ley lo exija</w:t>
      </w:r>
      <w:r w:rsidRPr="00DB281B">
        <w:rPr>
          <w:rFonts w:ascii="Arial" w:hAnsi="Arial" w:cs="Arial"/>
          <w:sz w:val="22"/>
          <w:szCs w:val="22"/>
        </w:rPr>
        <w:t>), y 9.18 (situaciones que constituyen desviación, uso indebido, ineficiente o inadecuado de los recursos del Sistema General de Participaciones)</w:t>
      </w:r>
    </w:p>
    <w:p w14:paraId="55734B76" w14:textId="77777777" w:rsidR="0041698C" w:rsidRPr="00DB281B" w:rsidRDefault="0041698C" w:rsidP="00DB281B">
      <w:pPr>
        <w:jc w:val="both"/>
        <w:rPr>
          <w:rFonts w:ascii="Arial" w:hAnsi="Arial" w:cs="Arial"/>
          <w:color w:val="FF0000"/>
          <w:sz w:val="22"/>
          <w:szCs w:val="22"/>
        </w:rPr>
      </w:pPr>
    </w:p>
    <w:p w14:paraId="4322CD1A" w14:textId="77777777" w:rsidR="0041698C" w:rsidRPr="00DB281B" w:rsidRDefault="0041698C" w:rsidP="001F0ED4">
      <w:pPr>
        <w:pStyle w:val="Ttulo1"/>
        <w:numPr>
          <w:ilvl w:val="0"/>
          <w:numId w:val="1"/>
        </w:numPr>
        <w:spacing w:before="0"/>
        <w:ind w:left="426" w:hanging="426"/>
        <w:jc w:val="both"/>
        <w:rPr>
          <w:rFonts w:ascii="Arial" w:hAnsi="Arial" w:cs="Arial"/>
          <w:b/>
          <w:color w:val="auto"/>
          <w:sz w:val="22"/>
          <w:szCs w:val="22"/>
        </w:rPr>
      </w:pPr>
      <w:r w:rsidRPr="00DB281B">
        <w:rPr>
          <w:rFonts w:ascii="Arial" w:hAnsi="Arial" w:cs="Arial"/>
          <w:b/>
          <w:color w:val="auto"/>
          <w:sz w:val="22"/>
          <w:szCs w:val="22"/>
        </w:rPr>
        <w:t>RECOMENDACIONES</w:t>
      </w:r>
    </w:p>
    <w:p w14:paraId="2923331E" w14:textId="77777777" w:rsidR="0041698C" w:rsidRPr="00DB281B" w:rsidRDefault="0041698C" w:rsidP="00DB281B">
      <w:pPr>
        <w:pStyle w:val="Sinespaciado"/>
        <w:jc w:val="both"/>
        <w:rPr>
          <w:rFonts w:ascii="Arial" w:hAnsi="Arial" w:cs="Arial"/>
        </w:rPr>
      </w:pPr>
    </w:p>
    <w:p w14:paraId="466CC31D" w14:textId="77777777" w:rsidR="0041698C" w:rsidRPr="00DB281B" w:rsidRDefault="0041698C" w:rsidP="00DB281B">
      <w:pPr>
        <w:jc w:val="both"/>
        <w:rPr>
          <w:rFonts w:ascii="Arial" w:hAnsi="Arial" w:cs="Arial"/>
          <w:sz w:val="22"/>
          <w:szCs w:val="22"/>
        </w:rPr>
      </w:pPr>
      <w:r w:rsidRPr="00DB281B">
        <w:rPr>
          <w:rFonts w:ascii="Arial" w:hAnsi="Arial" w:cs="Arial"/>
          <w:sz w:val="22"/>
          <w:szCs w:val="22"/>
        </w:rPr>
        <w:t>Con base en los riesgos identificados de manera preliminar se recomienda realizar la visita de reconocimiento a la Entidad Territorial, con el objetivo de verificar la información faltante o inconsistente que se ha descrito en el presente documento y que permita aclarar las inquietudes generadas a partir de esta revisión inicial. Lo anterior dentro del</w:t>
      </w:r>
      <w:r w:rsidR="002A4E72" w:rsidRPr="00DB281B">
        <w:rPr>
          <w:rFonts w:ascii="Arial" w:hAnsi="Arial" w:cs="Arial"/>
          <w:sz w:val="22"/>
          <w:szCs w:val="22"/>
        </w:rPr>
        <w:t xml:space="preserve"> </w:t>
      </w:r>
      <w:r w:rsidRPr="00DB281B">
        <w:rPr>
          <w:rFonts w:ascii="Arial" w:hAnsi="Arial" w:cs="Arial"/>
          <w:sz w:val="22"/>
          <w:szCs w:val="22"/>
        </w:rPr>
        <w:t>marco de las funciones asignadas en los Decretos 028 de 20</w:t>
      </w:r>
      <w:r w:rsidRPr="00DB281B">
        <w:rPr>
          <w:rFonts w:ascii="Arial" w:hAnsi="Arial" w:cs="Arial"/>
          <w:color w:val="000000" w:themeColor="text1"/>
          <w:sz w:val="22"/>
          <w:szCs w:val="22"/>
        </w:rPr>
        <w:t xml:space="preserve">08 y 1068 de 2015, relacionados con monitoreo, seguimiento y control, el cual debe ser coordinado </w:t>
      </w:r>
      <w:r w:rsidRPr="00DB281B">
        <w:rPr>
          <w:rFonts w:ascii="Arial" w:hAnsi="Arial" w:cs="Arial"/>
          <w:sz w:val="22"/>
          <w:szCs w:val="22"/>
        </w:rPr>
        <w:t xml:space="preserve">por la Dirección General de Apoyo Fiscal; y dentro de las cuales se encuentran: </w:t>
      </w:r>
    </w:p>
    <w:p w14:paraId="558618BC" w14:textId="77777777" w:rsidR="0041698C" w:rsidRPr="00DB281B" w:rsidRDefault="0041698C" w:rsidP="00DB281B">
      <w:pPr>
        <w:jc w:val="both"/>
        <w:rPr>
          <w:rFonts w:ascii="Arial" w:hAnsi="Arial" w:cs="Arial"/>
          <w:sz w:val="22"/>
          <w:szCs w:val="22"/>
        </w:rPr>
      </w:pPr>
    </w:p>
    <w:p w14:paraId="146FBF0A" w14:textId="77777777" w:rsidR="0041698C" w:rsidRPr="00DB281B" w:rsidRDefault="0041698C" w:rsidP="00DB281B">
      <w:pPr>
        <w:jc w:val="both"/>
        <w:rPr>
          <w:rFonts w:ascii="Arial" w:hAnsi="Arial" w:cs="Arial"/>
          <w:b/>
          <w:sz w:val="22"/>
          <w:szCs w:val="22"/>
        </w:rPr>
      </w:pPr>
      <w:r w:rsidRPr="00DB281B">
        <w:rPr>
          <w:rFonts w:ascii="Arial" w:hAnsi="Arial" w:cs="Arial"/>
          <w:b/>
          <w:sz w:val="22"/>
          <w:szCs w:val="22"/>
        </w:rPr>
        <w:t xml:space="preserve">Financiero: </w:t>
      </w:r>
    </w:p>
    <w:p w14:paraId="1E0094D6" w14:textId="780A0E43" w:rsidR="0041698C" w:rsidRPr="00DB281B" w:rsidRDefault="0041698C" w:rsidP="00DB281B">
      <w:pPr>
        <w:pStyle w:val="Prrafodelista"/>
        <w:ind w:left="0"/>
        <w:jc w:val="both"/>
        <w:rPr>
          <w:rFonts w:ascii="Arial" w:hAnsi="Arial" w:cs="Arial"/>
          <w:b/>
          <w:sz w:val="22"/>
          <w:szCs w:val="22"/>
        </w:rPr>
      </w:pPr>
    </w:p>
    <w:p w14:paraId="7D5F38BA" w14:textId="5881CB5C" w:rsidR="009D066F" w:rsidRPr="00DB281B" w:rsidRDefault="009D066F" w:rsidP="00DB281B">
      <w:pPr>
        <w:pStyle w:val="Prrafodelista"/>
        <w:numPr>
          <w:ilvl w:val="0"/>
          <w:numId w:val="53"/>
        </w:numPr>
        <w:ind w:left="284" w:hanging="284"/>
        <w:jc w:val="both"/>
        <w:rPr>
          <w:rFonts w:ascii="Arial" w:hAnsi="Arial" w:cs="Arial"/>
          <w:color w:val="FF0000"/>
          <w:sz w:val="22"/>
          <w:szCs w:val="22"/>
        </w:rPr>
      </w:pPr>
      <w:r w:rsidRPr="00DB281B">
        <w:rPr>
          <w:rFonts w:ascii="Arial" w:hAnsi="Arial" w:cs="Arial"/>
          <w:sz w:val="22"/>
          <w:szCs w:val="22"/>
        </w:rPr>
        <w:t>Socializar y discutir las diferencias encontradas en los reportes de información con respecto a las ejecuciones presupuestales</w:t>
      </w:r>
      <w:r w:rsidR="00255EDD" w:rsidRPr="00DB281B">
        <w:rPr>
          <w:rFonts w:ascii="Arial" w:hAnsi="Arial" w:cs="Arial"/>
          <w:sz w:val="22"/>
          <w:szCs w:val="22"/>
        </w:rPr>
        <w:t xml:space="preserve"> de las vigencias 2019, 2020 y a corte de 31 de marzo de 2021</w:t>
      </w:r>
      <w:r w:rsidRPr="00DB281B">
        <w:rPr>
          <w:rFonts w:ascii="Arial" w:hAnsi="Arial" w:cs="Arial"/>
          <w:sz w:val="22"/>
          <w:szCs w:val="22"/>
        </w:rPr>
        <w:t xml:space="preserve"> allegadas.</w:t>
      </w:r>
    </w:p>
    <w:p w14:paraId="315FBA9D" w14:textId="74CC3107" w:rsidR="00255EDD" w:rsidRPr="00DB281B" w:rsidRDefault="00255EDD" w:rsidP="00DB281B">
      <w:pPr>
        <w:pStyle w:val="Prrafodelista"/>
        <w:numPr>
          <w:ilvl w:val="0"/>
          <w:numId w:val="53"/>
        </w:numPr>
        <w:ind w:left="284" w:hanging="284"/>
        <w:jc w:val="both"/>
        <w:rPr>
          <w:rFonts w:ascii="Arial" w:hAnsi="Arial" w:cs="Arial"/>
          <w:color w:val="FF0000"/>
          <w:sz w:val="22"/>
          <w:szCs w:val="22"/>
        </w:rPr>
      </w:pPr>
      <w:r w:rsidRPr="00DB281B">
        <w:rPr>
          <w:rFonts w:ascii="Arial" w:hAnsi="Arial" w:cs="Arial"/>
          <w:sz w:val="22"/>
          <w:szCs w:val="22"/>
        </w:rPr>
        <w:t xml:space="preserve">Indagar sobre los procesos de conciliación y verificación de la información presupuestal y </w:t>
      </w:r>
      <w:proofErr w:type="spellStart"/>
      <w:r w:rsidRPr="00DB281B">
        <w:rPr>
          <w:rFonts w:ascii="Arial" w:hAnsi="Arial" w:cs="Arial"/>
          <w:sz w:val="22"/>
          <w:szCs w:val="22"/>
        </w:rPr>
        <w:t>tesoral</w:t>
      </w:r>
      <w:proofErr w:type="spellEnd"/>
      <w:r w:rsidRPr="00DB281B">
        <w:rPr>
          <w:rFonts w:ascii="Arial" w:hAnsi="Arial" w:cs="Arial"/>
          <w:sz w:val="22"/>
          <w:szCs w:val="22"/>
        </w:rPr>
        <w:t xml:space="preserve"> de la Entidad.</w:t>
      </w:r>
    </w:p>
    <w:p w14:paraId="0663C59B" w14:textId="77777777" w:rsidR="0041698C" w:rsidRPr="00DB281B" w:rsidRDefault="0041698C" w:rsidP="00DB281B">
      <w:pPr>
        <w:pStyle w:val="Prrafodelista"/>
        <w:ind w:left="0"/>
        <w:jc w:val="both"/>
        <w:rPr>
          <w:rFonts w:ascii="Arial" w:hAnsi="Arial" w:cs="Arial"/>
          <w:b/>
          <w:sz w:val="22"/>
          <w:szCs w:val="22"/>
        </w:rPr>
      </w:pPr>
    </w:p>
    <w:p w14:paraId="3CA07B43" w14:textId="77777777" w:rsidR="0041698C" w:rsidRPr="00DB281B" w:rsidRDefault="0041698C" w:rsidP="00DB281B">
      <w:pPr>
        <w:jc w:val="both"/>
        <w:rPr>
          <w:rFonts w:ascii="Arial" w:hAnsi="Arial" w:cs="Arial"/>
          <w:b/>
          <w:sz w:val="22"/>
          <w:szCs w:val="22"/>
        </w:rPr>
      </w:pPr>
      <w:r w:rsidRPr="00DB281B">
        <w:rPr>
          <w:rFonts w:ascii="Arial" w:hAnsi="Arial" w:cs="Arial"/>
          <w:b/>
          <w:sz w:val="22"/>
          <w:szCs w:val="22"/>
        </w:rPr>
        <w:t>Recursos Humanos</w:t>
      </w:r>
    </w:p>
    <w:p w14:paraId="73A59CC4" w14:textId="77777777" w:rsidR="0041698C" w:rsidRPr="00DB281B" w:rsidRDefault="0041698C" w:rsidP="00DB281B">
      <w:pPr>
        <w:jc w:val="both"/>
        <w:rPr>
          <w:rFonts w:ascii="Arial" w:hAnsi="Arial" w:cs="Arial"/>
          <w:b/>
          <w:sz w:val="22"/>
          <w:szCs w:val="22"/>
        </w:rPr>
      </w:pPr>
    </w:p>
    <w:p w14:paraId="0949AF09" w14:textId="5851B95F" w:rsidR="0041698C" w:rsidRPr="00DB281B" w:rsidRDefault="006E00E4" w:rsidP="00DB281B">
      <w:pPr>
        <w:pStyle w:val="Prrafodelista"/>
        <w:numPr>
          <w:ilvl w:val="0"/>
          <w:numId w:val="53"/>
        </w:numPr>
        <w:ind w:left="284" w:hanging="284"/>
        <w:jc w:val="both"/>
        <w:rPr>
          <w:rFonts w:ascii="Arial" w:hAnsi="Arial" w:cs="Arial"/>
          <w:color w:val="FF0000"/>
          <w:sz w:val="22"/>
          <w:szCs w:val="22"/>
        </w:rPr>
      </w:pPr>
      <w:r w:rsidRPr="00DB281B">
        <w:rPr>
          <w:rFonts w:ascii="Arial" w:hAnsi="Arial" w:cs="Arial"/>
          <w:sz w:val="22"/>
          <w:szCs w:val="22"/>
        </w:rPr>
        <w:t xml:space="preserve">Documento de distribución o documentos de trabajo que soportan la distribución del personal administrativo de las instituciones educativas </w:t>
      </w:r>
      <w:r w:rsidR="00C31205">
        <w:rPr>
          <w:rFonts w:ascii="Arial" w:hAnsi="Arial" w:cs="Arial"/>
          <w:sz w:val="22"/>
          <w:szCs w:val="22"/>
        </w:rPr>
        <w:t xml:space="preserve">de </w:t>
      </w:r>
      <w:r w:rsidRPr="00DB281B">
        <w:rPr>
          <w:rFonts w:ascii="Arial" w:hAnsi="Arial" w:cs="Arial"/>
          <w:sz w:val="22"/>
          <w:szCs w:val="22"/>
        </w:rPr>
        <w:t>su jurisdicción.</w:t>
      </w:r>
    </w:p>
    <w:p w14:paraId="6AEA0DC7" w14:textId="77777777" w:rsidR="006E00E4" w:rsidRPr="00DB281B" w:rsidRDefault="006E00E4" w:rsidP="00DB281B">
      <w:pPr>
        <w:pStyle w:val="Prrafodelista"/>
        <w:ind w:left="284"/>
        <w:jc w:val="both"/>
        <w:rPr>
          <w:rFonts w:ascii="Arial" w:hAnsi="Arial" w:cs="Arial"/>
          <w:color w:val="FF0000"/>
          <w:sz w:val="22"/>
          <w:szCs w:val="22"/>
        </w:rPr>
      </w:pPr>
    </w:p>
    <w:p w14:paraId="6ACC8FB5" w14:textId="77777777" w:rsidR="0041698C" w:rsidRPr="00DB281B" w:rsidRDefault="0041698C" w:rsidP="00DB281B">
      <w:pPr>
        <w:jc w:val="both"/>
        <w:rPr>
          <w:rFonts w:ascii="Arial" w:hAnsi="Arial" w:cs="Arial"/>
          <w:b/>
          <w:sz w:val="22"/>
          <w:szCs w:val="22"/>
          <w:lang w:val="es-CO"/>
        </w:rPr>
      </w:pPr>
      <w:r w:rsidRPr="00DB281B">
        <w:rPr>
          <w:rFonts w:ascii="Arial" w:hAnsi="Arial" w:cs="Arial"/>
          <w:b/>
          <w:sz w:val="22"/>
          <w:szCs w:val="22"/>
          <w:lang w:val="es-CO"/>
        </w:rPr>
        <w:t xml:space="preserve">Calidad </w:t>
      </w:r>
    </w:p>
    <w:p w14:paraId="44B20FBC" w14:textId="77777777" w:rsidR="0041698C" w:rsidRPr="00DB281B" w:rsidRDefault="0041698C" w:rsidP="00DB281B">
      <w:pPr>
        <w:jc w:val="both"/>
        <w:rPr>
          <w:rFonts w:ascii="Arial" w:hAnsi="Arial" w:cs="Arial"/>
          <w:b/>
          <w:sz w:val="22"/>
          <w:szCs w:val="22"/>
        </w:rPr>
      </w:pPr>
    </w:p>
    <w:p w14:paraId="1D665504" w14:textId="5F4962C6" w:rsidR="0041698C" w:rsidRPr="00DB281B" w:rsidRDefault="006E00E4" w:rsidP="00DB281B">
      <w:pPr>
        <w:pStyle w:val="Prrafodelista"/>
        <w:numPr>
          <w:ilvl w:val="0"/>
          <w:numId w:val="53"/>
        </w:numPr>
        <w:ind w:left="284" w:hanging="284"/>
        <w:jc w:val="both"/>
        <w:rPr>
          <w:rFonts w:ascii="Arial" w:hAnsi="Arial" w:cs="Arial"/>
          <w:color w:val="FF0000"/>
          <w:sz w:val="22"/>
          <w:szCs w:val="22"/>
          <w:lang w:val="es-CO"/>
        </w:rPr>
      </w:pPr>
      <w:r w:rsidRPr="00DB281B">
        <w:rPr>
          <w:rFonts w:ascii="Arial" w:hAnsi="Arial" w:cs="Arial"/>
          <w:sz w:val="22"/>
          <w:szCs w:val="22"/>
          <w:lang w:val="es-CO"/>
        </w:rPr>
        <w:t>Soportes o argumentos asociados a la ejecución de los recursos de conectividad durante la vigencia 2021.</w:t>
      </w:r>
    </w:p>
    <w:p w14:paraId="68C7F267" w14:textId="77777777" w:rsidR="006E00E4" w:rsidRPr="00DB281B" w:rsidRDefault="006E00E4" w:rsidP="00DB281B">
      <w:pPr>
        <w:jc w:val="both"/>
        <w:rPr>
          <w:rFonts w:ascii="Arial" w:hAnsi="Arial" w:cs="Arial"/>
          <w:b/>
          <w:sz w:val="22"/>
          <w:szCs w:val="22"/>
          <w:lang w:val="es-CO"/>
        </w:rPr>
      </w:pPr>
    </w:p>
    <w:p w14:paraId="79D843FE" w14:textId="1D5F36D9" w:rsidR="0041698C" w:rsidRPr="00DB281B" w:rsidRDefault="0041698C" w:rsidP="00DB281B">
      <w:pPr>
        <w:jc w:val="both"/>
        <w:rPr>
          <w:rFonts w:ascii="Arial" w:hAnsi="Arial" w:cs="Arial"/>
          <w:b/>
          <w:sz w:val="22"/>
          <w:szCs w:val="22"/>
          <w:lang w:val="es-CO"/>
        </w:rPr>
      </w:pPr>
      <w:r w:rsidRPr="00DB281B">
        <w:rPr>
          <w:rFonts w:ascii="Arial" w:hAnsi="Arial" w:cs="Arial"/>
          <w:b/>
          <w:sz w:val="22"/>
          <w:szCs w:val="22"/>
          <w:lang w:val="es-CO"/>
        </w:rPr>
        <w:t>Tesorería</w:t>
      </w:r>
    </w:p>
    <w:p w14:paraId="78B55F0B" w14:textId="77777777" w:rsidR="0041698C" w:rsidRPr="00DB281B" w:rsidRDefault="0041698C" w:rsidP="00DB281B">
      <w:pPr>
        <w:jc w:val="both"/>
        <w:rPr>
          <w:rFonts w:ascii="Arial" w:hAnsi="Arial" w:cs="Arial"/>
          <w:b/>
          <w:sz w:val="22"/>
          <w:szCs w:val="22"/>
          <w:lang w:val="es-CO"/>
        </w:rPr>
      </w:pPr>
    </w:p>
    <w:p w14:paraId="610C23A7" w14:textId="08458AEA" w:rsidR="0041698C" w:rsidRPr="00DB281B" w:rsidRDefault="0041698C" w:rsidP="00DB281B">
      <w:pPr>
        <w:pStyle w:val="Prrafodelista"/>
        <w:numPr>
          <w:ilvl w:val="0"/>
          <w:numId w:val="53"/>
        </w:numPr>
        <w:ind w:left="284" w:hanging="284"/>
        <w:jc w:val="both"/>
        <w:rPr>
          <w:rFonts w:ascii="Arial" w:hAnsi="Arial" w:cs="Arial"/>
          <w:sz w:val="22"/>
          <w:szCs w:val="22"/>
        </w:rPr>
      </w:pPr>
      <w:r w:rsidRPr="00DB281B">
        <w:rPr>
          <w:rFonts w:ascii="Arial" w:hAnsi="Arial" w:cs="Arial"/>
          <w:sz w:val="22"/>
          <w:szCs w:val="22"/>
        </w:rPr>
        <w:t>Socializar y discutir las diferencias encontradas en el cierre de la</w:t>
      </w:r>
      <w:r w:rsidR="00C31205">
        <w:rPr>
          <w:rFonts w:ascii="Arial" w:hAnsi="Arial" w:cs="Arial"/>
          <w:sz w:val="22"/>
          <w:szCs w:val="22"/>
        </w:rPr>
        <w:t>s</w:t>
      </w:r>
      <w:r w:rsidRPr="00DB281B">
        <w:rPr>
          <w:rFonts w:ascii="Arial" w:hAnsi="Arial" w:cs="Arial"/>
          <w:sz w:val="22"/>
          <w:szCs w:val="22"/>
        </w:rPr>
        <w:t xml:space="preserve"> vigencia</w:t>
      </w:r>
      <w:r w:rsidR="00C31205">
        <w:rPr>
          <w:rFonts w:ascii="Arial" w:hAnsi="Arial" w:cs="Arial"/>
          <w:sz w:val="22"/>
          <w:szCs w:val="22"/>
        </w:rPr>
        <w:t>s</w:t>
      </w:r>
      <w:r w:rsidRPr="00DB281B">
        <w:rPr>
          <w:rFonts w:ascii="Arial" w:hAnsi="Arial" w:cs="Arial"/>
          <w:sz w:val="22"/>
          <w:szCs w:val="22"/>
        </w:rPr>
        <w:t xml:space="preserve"> </w:t>
      </w:r>
      <w:r w:rsidR="006E00E4" w:rsidRPr="00DB281B">
        <w:rPr>
          <w:rFonts w:ascii="Arial" w:hAnsi="Arial" w:cs="Arial"/>
          <w:sz w:val="22"/>
          <w:szCs w:val="22"/>
        </w:rPr>
        <w:t>2019</w:t>
      </w:r>
      <w:r w:rsidRPr="00DB281B">
        <w:rPr>
          <w:rFonts w:ascii="Arial" w:hAnsi="Arial" w:cs="Arial"/>
          <w:sz w:val="22"/>
          <w:szCs w:val="22"/>
        </w:rPr>
        <w:t xml:space="preserve"> y </w:t>
      </w:r>
      <w:r w:rsidR="006E00E4" w:rsidRPr="00DB281B">
        <w:rPr>
          <w:rFonts w:ascii="Arial" w:hAnsi="Arial" w:cs="Arial"/>
          <w:sz w:val="22"/>
          <w:szCs w:val="22"/>
        </w:rPr>
        <w:t>2020</w:t>
      </w:r>
      <w:r w:rsidRPr="00DB281B">
        <w:rPr>
          <w:rFonts w:ascii="Arial" w:hAnsi="Arial" w:cs="Arial"/>
          <w:sz w:val="22"/>
          <w:szCs w:val="22"/>
        </w:rPr>
        <w:t>.</w:t>
      </w:r>
    </w:p>
    <w:p w14:paraId="0EDA1C7C" w14:textId="77777777" w:rsidR="0041698C" w:rsidRPr="00DB281B" w:rsidRDefault="0041698C" w:rsidP="00DB281B">
      <w:pPr>
        <w:jc w:val="both"/>
        <w:rPr>
          <w:rFonts w:ascii="Arial" w:hAnsi="Arial" w:cs="Arial"/>
          <w:sz w:val="22"/>
          <w:szCs w:val="22"/>
        </w:rPr>
      </w:pPr>
    </w:p>
    <w:p w14:paraId="6083853B" w14:textId="7B56F278" w:rsidR="0041698C" w:rsidRPr="00DB281B" w:rsidRDefault="00255EDD" w:rsidP="00DB281B">
      <w:pPr>
        <w:jc w:val="both"/>
        <w:rPr>
          <w:rFonts w:ascii="Arial" w:hAnsi="Arial" w:cs="Arial"/>
          <w:b/>
          <w:sz w:val="22"/>
          <w:szCs w:val="22"/>
          <w:lang w:val="es-CO"/>
        </w:rPr>
      </w:pPr>
      <w:r w:rsidRPr="00DB281B">
        <w:rPr>
          <w:rFonts w:ascii="Arial" w:hAnsi="Arial" w:cs="Arial"/>
          <w:b/>
          <w:sz w:val="22"/>
          <w:szCs w:val="22"/>
          <w:lang w:val="es-CO"/>
        </w:rPr>
        <w:t>Deudas</w:t>
      </w:r>
    </w:p>
    <w:p w14:paraId="309B0D83" w14:textId="77777777" w:rsidR="0041698C" w:rsidRPr="00DB281B" w:rsidRDefault="0041698C" w:rsidP="00DB281B">
      <w:pPr>
        <w:jc w:val="both"/>
        <w:rPr>
          <w:rFonts w:ascii="Arial" w:hAnsi="Arial" w:cs="Arial"/>
          <w:b/>
          <w:sz w:val="22"/>
          <w:szCs w:val="22"/>
          <w:lang w:val="es-CO"/>
        </w:rPr>
      </w:pPr>
    </w:p>
    <w:p w14:paraId="476235B4" w14:textId="01A74329" w:rsidR="0041698C" w:rsidRPr="00DB281B" w:rsidRDefault="00255EDD" w:rsidP="00DB281B">
      <w:pPr>
        <w:pStyle w:val="Prrafodelista"/>
        <w:numPr>
          <w:ilvl w:val="0"/>
          <w:numId w:val="53"/>
        </w:numPr>
        <w:ind w:left="284" w:hanging="284"/>
        <w:jc w:val="both"/>
        <w:rPr>
          <w:rFonts w:ascii="Arial" w:hAnsi="Arial" w:cs="Arial"/>
          <w:sz w:val="22"/>
          <w:szCs w:val="22"/>
        </w:rPr>
      </w:pPr>
      <w:r w:rsidRPr="00DB281B">
        <w:rPr>
          <w:rFonts w:ascii="Arial" w:hAnsi="Arial" w:cs="Arial"/>
          <w:sz w:val="22"/>
          <w:szCs w:val="22"/>
        </w:rPr>
        <w:t xml:space="preserve">Solicitar los extractos </w:t>
      </w:r>
      <w:r w:rsidR="008D7BB2" w:rsidRPr="00DB281B">
        <w:rPr>
          <w:rFonts w:ascii="Arial" w:hAnsi="Arial" w:cs="Arial"/>
          <w:sz w:val="22"/>
          <w:szCs w:val="22"/>
        </w:rPr>
        <w:t>y conciliaciones del FONCECUN.</w:t>
      </w:r>
    </w:p>
    <w:p w14:paraId="314A4062" w14:textId="65D18D80" w:rsidR="008D7BB2" w:rsidRPr="00DB281B" w:rsidRDefault="008D7BB2" w:rsidP="00DB281B">
      <w:pPr>
        <w:pStyle w:val="Prrafodelista"/>
        <w:numPr>
          <w:ilvl w:val="0"/>
          <w:numId w:val="53"/>
        </w:numPr>
        <w:ind w:left="284" w:hanging="284"/>
        <w:jc w:val="both"/>
        <w:rPr>
          <w:rFonts w:ascii="Arial" w:hAnsi="Arial" w:cs="Arial"/>
          <w:sz w:val="22"/>
          <w:szCs w:val="22"/>
        </w:rPr>
      </w:pPr>
      <w:r w:rsidRPr="00DB281B">
        <w:rPr>
          <w:rFonts w:ascii="Arial" w:hAnsi="Arial" w:cs="Arial"/>
          <w:sz w:val="22"/>
          <w:szCs w:val="22"/>
        </w:rPr>
        <w:t>Solicitar los soportes de pago de las deudas laborales certificadas por el MEN (Certificados de disponibilidad presupuestal, Registros Presupuestales y Comprobantes de Pago)</w:t>
      </w:r>
      <w:r w:rsidR="000875AC" w:rsidRPr="00DB281B">
        <w:rPr>
          <w:rFonts w:ascii="Arial" w:hAnsi="Arial" w:cs="Arial"/>
          <w:sz w:val="22"/>
          <w:szCs w:val="22"/>
        </w:rPr>
        <w:t>.</w:t>
      </w:r>
    </w:p>
    <w:p w14:paraId="01B55F24" w14:textId="2B718AD5" w:rsidR="0041698C" w:rsidRPr="00DB281B" w:rsidRDefault="008D7BB2" w:rsidP="00DB281B">
      <w:pPr>
        <w:pStyle w:val="Prrafodelista"/>
        <w:numPr>
          <w:ilvl w:val="0"/>
          <w:numId w:val="53"/>
        </w:numPr>
        <w:ind w:left="284" w:hanging="284"/>
        <w:jc w:val="both"/>
        <w:rPr>
          <w:rFonts w:ascii="Arial" w:hAnsi="Arial" w:cs="Arial"/>
          <w:b/>
          <w:sz w:val="22"/>
          <w:szCs w:val="22"/>
          <w:lang w:val="es-CO"/>
        </w:rPr>
      </w:pPr>
      <w:r w:rsidRPr="00DB281B">
        <w:rPr>
          <w:rFonts w:ascii="Arial" w:hAnsi="Arial" w:cs="Arial"/>
          <w:sz w:val="22"/>
          <w:szCs w:val="22"/>
        </w:rPr>
        <w:t>Solicitar los soportes de conciliación de las deudas del Departamento con la Fiduprevisora y su estado de pago.</w:t>
      </w:r>
    </w:p>
    <w:p w14:paraId="3DE7D370" w14:textId="77777777" w:rsidR="000875AC" w:rsidRPr="00DB281B" w:rsidRDefault="000875AC" w:rsidP="00DB281B">
      <w:pPr>
        <w:pStyle w:val="Prrafodelista"/>
        <w:ind w:left="284"/>
        <w:jc w:val="both"/>
        <w:rPr>
          <w:rFonts w:ascii="Arial" w:hAnsi="Arial" w:cs="Arial"/>
          <w:b/>
          <w:sz w:val="22"/>
          <w:szCs w:val="22"/>
          <w:lang w:val="es-CO"/>
        </w:rPr>
      </w:pPr>
    </w:p>
    <w:p w14:paraId="260F994F" w14:textId="77777777" w:rsidR="0041698C" w:rsidRPr="00DB281B" w:rsidRDefault="0041698C" w:rsidP="00DB281B">
      <w:pPr>
        <w:jc w:val="both"/>
        <w:rPr>
          <w:rFonts w:ascii="Arial" w:hAnsi="Arial" w:cs="Arial"/>
          <w:b/>
          <w:sz w:val="22"/>
          <w:szCs w:val="22"/>
          <w:lang w:val="es-CO"/>
        </w:rPr>
      </w:pPr>
      <w:r w:rsidRPr="00DB281B">
        <w:rPr>
          <w:rFonts w:ascii="Arial" w:hAnsi="Arial" w:cs="Arial"/>
          <w:b/>
          <w:sz w:val="22"/>
          <w:szCs w:val="22"/>
          <w:lang w:val="es-CO"/>
        </w:rPr>
        <w:t xml:space="preserve">Contratación/ Jurídica </w:t>
      </w:r>
    </w:p>
    <w:p w14:paraId="3F792C24" w14:textId="77777777" w:rsidR="0041698C" w:rsidRPr="00DB281B" w:rsidRDefault="0041698C" w:rsidP="00DB281B">
      <w:pPr>
        <w:jc w:val="both"/>
        <w:rPr>
          <w:rFonts w:ascii="Arial" w:hAnsi="Arial" w:cs="Arial"/>
          <w:b/>
          <w:sz w:val="22"/>
          <w:szCs w:val="22"/>
          <w:lang w:val="es-CO"/>
        </w:rPr>
      </w:pPr>
    </w:p>
    <w:p w14:paraId="269F33A7" w14:textId="583E133E" w:rsidR="0041698C" w:rsidRPr="00DB281B" w:rsidRDefault="0041698C" w:rsidP="00DB281B">
      <w:pPr>
        <w:pStyle w:val="Prrafodelista"/>
        <w:numPr>
          <w:ilvl w:val="0"/>
          <w:numId w:val="53"/>
        </w:numPr>
        <w:ind w:left="284" w:hanging="284"/>
        <w:jc w:val="both"/>
        <w:rPr>
          <w:rFonts w:ascii="Arial" w:hAnsi="Arial" w:cs="Arial"/>
          <w:sz w:val="22"/>
          <w:szCs w:val="22"/>
        </w:rPr>
      </w:pPr>
      <w:r w:rsidRPr="00DB281B">
        <w:rPr>
          <w:rFonts w:ascii="Arial" w:hAnsi="Arial" w:cs="Arial"/>
          <w:sz w:val="22"/>
          <w:szCs w:val="22"/>
          <w:lang w:val="es-CO"/>
        </w:rPr>
        <w:t xml:space="preserve">Discutir </w:t>
      </w:r>
      <w:r w:rsidRPr="00DB281B">
        <w:rPr>
          <w:rFonts w:ascii="Arial" w:hAnsi="Arial" w:cs="Arial"/>
          <w:sz w:val="22"/>
          <w:szCs w:val="22"/>
        </w:rPr>
        <w:t xml:space="preserve">los contratos catalogados como “uso inadecuado de los recursos del SGP”, especificándole a la </w:t>
      </w:r>
      <w:r w:rsidR="00EE22E5" w:rsidRPr="00DB281B">
        <w:rPr>
          <w:rFonts w:ascii="Arial" w:hAnsi="Arial" w:cs="Arial"/>
          <w:sz w:val="22"/>
          <w:szCs w:val="22"/>
        </w:rPr>
        <w:t>E</w:t>
      </w:r>
      <w:r w:rsidRPr="00DB281B">
        <w:rPr>
          <w:rFonts w:ascii="Arial" w:hAnsi="Arial" w:cs="Arial"/>
          <w:sz w:val="22"/>
          <w:szCs w:val="22"/>
        </w:rPr>
        <w:t xml:space="preserve">ntidad </w:t>
      </w:r>
      <w:r w:rsidR="00EE22E5" w:rsidRPr="00DB281B">
        <w:rPr>
          <w:rFonts w:ascii="Arial" w:hAnsi="Arial" w:cs="Arial"/>
          <w:sz w:val="22"/>
          <w:szCs w:val="22"/>
        </w:rPr>
        <w:t>T</w:t>
      </w:r>
      <w:r w:rsidRPr="00DB281B">
        <w:rPr>
          <w:rFonts w:ascii="Arial" w:hAnsi="Arial" w:cs="Arial"/>
          <w:sz w:val="22"/>
          <w:szCs w:val="22"/>
        </w:rPr>
        <w:t>erritorial las razones por las cuales sus conceptos no pueden ser financiados con el SGP.</w:t>
      </w:r>
    </w:p>
    <w:p w14:paraId="13ADAF7B" w14:textId="77777777" w:rsidR="00C31205" w:rsidRDefault="0041698C" w:rsidP="00C31205">
      <w:pPr>
        <w:pStyle w:val="Prrafodelista"/>
        <w:numPr>
          <w:ilvl w:val="0"/>
          <w:numId w:val="53"/>
        </w:numPr>
        <w:ind w:left="284" w:hanging="284"/>
        <w:jc w:val="both"/>
        <w:rPr>
          <w:rFonts w:ascii="Arial" w:hAnsi="Arial" w:cs="Arial"/>
          <w:sz w:val="22"/>
          <w:szCs w:val="22"/>
        </w:rPr>
      </w:pPr>
      <w:r w:rsidRPr="00DB281B">
        <w:rPr>
          <w:rFonts w:ascii="Arial" w:hAnsi="Arial" w:cs="Arial"/>
          <w:sz w:val="22"/>
          <w:szCs w:val="22"/>
        </w:rPr>
        <w:t xml:space="preserve">Preguntar cuál es el proceso dentro del </w:t>
      </w:r>
      <w:r w:rsidR="00EE22E5" w:rsidRPr="00DB281B">
        <w:rPr>
          <w:rFonts w:ascii="Arial" w:hAnsi="Arial" w:cs="Arial"/>
          <w:sz w:val="22"/>
          <w:szCs w:val="22"/>
        </w:rPr>
        <w:t>Departamento</w:t>
      </w:r>
      <w:r w:rsidRPr="00DB281B">
        <w:rPr>
          <w:rFonts w:ascii="Arial" w:hAnsi="Arial" w:cs="Arial"/>
          <w:sz w:val="22"/>
          <w:szCs w:val="22"/>
        </w:rPr>
        <w:t xml:space="preserve"> para el cargue de la información al SECOP y la razón por la cual no se están subiendo t</w:t>
      </w:r>
      <w:r w:rsidR="00C31205">
        <w:rPr>
          <w:rFonts w:ascii="Arial" w:hAnsi="Arial" w:cs="Arial"/>
          <w:sz w:val="22"/>
          <w:szCs w:val="22"/>
        </w:rPr>
        <w:t>odos los documentos requeridos.</w:t>
      </w:r>
    </w:p>
    <w:p w14:paraId="0141302D" w14:textId="32020CB1" w:rsidR="00EE22E5" w:rsidRPr="00C31205" w:rsidRDefault="00EE22E5" w:rsidP="00C31205">
      <w:pPr>
        <w:pStyle w:val="Prrafodelista"/>
        <w:numPr>
          <w:ilvl w:val="0"/>
          <w:numId w:val="53"/>
        </w:numPr>
        <w:ind w:left="284" w:hanging="284"/>
        <w:jc w:val="both"/>
        <w:rPr>
          <w:rFonts w:ascii="Arial" w:hAnsi="Arial" w:cs="Arial"/>
          <w:sz w:val="22"/>
          <w:szCs w:val="22"/>
        </w:rPr>
      </w:pPr>
      <w:r w:rsidRPr="00C31205">
        <w:rPr>
          <w:rFonts w:ascii="Arial" w:hAnsi="Arial" w:cs="Arial"/>
          <w:sz w:val="22"/>
          <w:szCs w:val="22"/>
        </w:rPr>
        <w:t>Expedientes contractuales de los procesos:</w:t>
      </w:r>
    </w:p>
    <w:p w14:paraId="6157E29D" w14:textId="77777777" w:rsidR="009C22A0"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SE-CMC-096-2019 del 08 de abril del 2019</w:t>
      </w:r>
      <w:r w:rsidR="009C22A0" w:rsidRPr="00DB281B">
        <w:rPr>
          <w:rFonts w:ascii="Arial" w:hAnsi="Arial" w:cs="Arial"/>
          <w:sz w:val="22"/>
          <w:szCs w:val="22"/>
        </w:rPr>
        <w:t>.</w:t>
      </w:r>
    </w:p>
    <w:p w14:paraId="083C3ABF" w14:textId="77777777" w:rsidR="009C22A0"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SE-SA-293-2019 del 26 de julio del 2019</w:t>
      </w:r>
      <w:r w:rsidR="009C22A0" w:rsidRPr="00DB281B">
        <w:rPr>
          <w:rFonts w:ascii="Arial" w:hAnsi="Arial" w:cs="Arial"/>
          <w:sz w:val="22"/>
          <w:szCs w:val="22"/>
        </w:rPr>
        <w:t xml:space="preserve">. </w:t>
      </w:r>
    </w:p>
    <w:p w14:paraId="6D8B17FE" w14:textId="4C3C491E" w:rsidR="00EE22E5"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SE-SA-299-2019 del 26 de agosto del 2019</w:t>
      </w:r>
      <w:r w:rsidR="009C22A0" w:rsidRPr="00DB281B">
        <w:rPr>
          <w:rFonts w:ascii="Arial" w:hAnsi="Arial" w:cs="Arial"/>
          <w:sz w:val="22"/>
          <w:szCs w:val="22"/>
        </w:rPr>
        <w:t>.</w:t>
      </w:r>
    </w:p>
    <w:p w14:paraId="0C2468EF" w14:textId="3FCDF1E5" w:rsidR="00EE22E5"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SE-SA-300-2019 del 26 de agosto del 2019.</w:t>
      </w:r>
    </w:p>
    <w:p w14:paraId="6BDA3D76" w14:textId="30E95ADA" w:rsidR="00EE22E5"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SE-SA-222-2020 del 29 de septiembre del 2020 (orden de compra No. 55923).</w:t>
      </w:r>
    </w:p>
    <w:p w14:paraId="2E74D141" w14:textId="4ED3765E" w:rsidR="00EE22E5"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SE-SA-223-2020 del 29 de septiembre del 2020 (orden de compra No. 55925).</w:t>
      </w:r>
    </w:p>
    <w:p w14:paraId="528C67FB" w14:textId="4B1230D6" w:rsidR="00EE22E5"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SE-SA-224-2020 del 29 de septiembre del 2020 (orden de compra No. 55926).</w:t>
      </w:r>
    </w:p>
    <w:p w14:paraId="6F7DD8F4" w14:textId="7CC21014" w:rsidR="00EE22E5" w:rsidRPr="00DB281B" w:rsidRDefault="00EE22E5" w:rsidP="00C31205">
      <w:pPr>
        <w:pStyle w:val="Prrafodelista"/>
        <w:numPr>
          <w:ilvl w:val="0"/>
          <w:numId w:val="59"/>
        </w:numPr>
        <w:jc w:val="both"/>
        <w:rPr>
          <w:rFonts w:ascii="Arial" w:hAnsi="Arial" w:cs="Arial"/>
          <w:sz w:val="22"/>
          <w:szCs w:val="22"/>
        </w:rPr>
      </w:pPr>
      <w:r w:rsidRPr="00DB281B">
        <w:rPr>
          <w:rFonts w:ascii="Arial" w:hAnsi="Arial" w:cs="Arial"/>
          <w:sz w:val="22"/>
          <w:szCs w:val="22"/>
        </w:rPr>
        <w:t>Contrato No. SE-SA-225-2020 del 29 de septiembre del 2020 (orden de compra No. 55930).</w:t>
      </w:r>
    </w:p>
    <w:p w14:paraId="62B6C96B" w14:textId="77777777" w:rsidR="0041698C" w:rsidRPr="00DB281B" w:rsidRDefault="0041698C" w:rsidP="00DB281B">
      <w:pPr>
        <w:jc w:val="both"/>
        <w:rPr>
          <w:rFonts w:ascii="Arial" w:hAnsi="Arial" w:cs="Arial"/>
          <w:sz w:val="22"/>
          <w:szCs w:val="22"/>
        </w:rPr>
      </w:pPr>
    </w:p>
    <w:p w14:paraId="1959FEF1" w14:textId="77777777" w:rsidR="0041698C" w:rsidRPr="00DB281B" w:rsidRDefault="00F8780E" w:rsidP="00DB281B">
      <w:pPr>
        <w:pStyle w:val="Formatolibre"/>
        <w:jc w:val="both"/>
        <w:rPr>
          <w:rFonts w:ascii="Arial" w:eastAsia="Times New Roman" w:hAnsi="Arial" w:cs="Arial"/>
          <w:color w:val="auto"/>
          <w:sz w:val="16"/>
          <w:szCs w:val="16"/>
          <w:lang w:val="es-MX" w:bidi="x-none"/>
        </w:rPr>
      </w:pPr>
      <w:r w:rsidRPr="00DB281B">
        <w:rPr>
          <w:rFonts w:ascii="Arial" w:eastAsia="Times New Roman" w:hAnsi="Arial" w:cs="Arial"/>
          <w:b/>
          <w:color w:val="auto"/>
          <w:sz w:val="16"/>
          <w:szCs w:val="16"/>
          <w:lang w:val="es-MX" w:bidi="x-none"/>
        </w:rPr>
        <w:t>A</w:t>
      </w:r>
      <w:r w:rsidR="0041698C" w:rsidRPr="00DB281B">
        <w:rPr>
          <w:rFonts w:ascii="Arial" w:eastAsia="Times New Roman" w:hAnsi="Arial" w:cs="Arial"/>
          <w:b/>
          <w:color w:val="auto"/>
          <w:sz w:val="16"/>
          <w:szCs w:val="16"/>
          <w:lang w:val="es-MX" w:bidi="x-none"/>
        </w:rPr>
        <w:t>probó:</w:t>
      </w:r>
      <w:r w:rsidR="0041698C" w:rsidRPr="00DB281B">
        <w:rPr>
          <w:rFonts w:ascii="Arial" w:eastAsia="Times New Roman" w:hAnsi="Arial" w:cs="Arial"/>
          <w:color w:val="auto"/>
          <w:sz w:val="16"/>
          <w:szCs w:val="16"/>
          <w:lang w:val="es-MX" w:bidi="x-none"/>
        </w:rPr>
        <w:t xml:space="preserve"> Fernando Olivera</w:t>
      </w:r>
    </w:p>
    <w:p w14:paraId="2C961AB3" w14:textId="77777777" w:rsidR="0041698C" w:rsidRPr="00DB281B" w:rsidRDefault="0041698C" w:rsidP="00DB281B">
      <w:pPr>
        <w:pStyle w:val="Formatolibre"/>
        <w:jc w:val="both"/>
        <w:rPr>
          <w:rFonts w:ascii="Arial" w:eastAsia="Times New Roman" w:hAnsi="Arial" w:cs="Arial"/>
          <w:color w:val="auto"/>
          <w:sz w:val="16"/>
          <w:szCs w:val="16"/>
          <w:lang w:val="es-MX" w:bidi="x-none"/>
        </w:rPr>
      </w:pPr>
      <w:r w:rsidRPr="00DB281B">
        <w:rPr>
          <w:rFonts w:ascii="Arial" w:eastAsia="Times New Roman" w:hAnsi="Arial" w:cs="Arial"/>
          <w:b/>
          <w:color w:val="auto"/>
          <w:sz w:val="16"/>
          <w:szCs w:val="16"/>
          <w:lang w:val="es-MX" w:bidi="x-none"/>
        </w:rPr>
        <w:t>Revisión Técnica:</w:t>
      </w:r>
      <w:r w:rsidRPr="00DB281B">
        <w:rPr>
          <w:rFonts w:ascii="Arial" w:eastAsia="Times New Roman" w:hAnsi="Arial" w:cs="Arial"/>
          <w:color w:val="auto"/>
          <w:sz w:val="16"/>
          <w:szCs w:val="16"/>
          <w:lang w:val="es-MX" w:bidi="x-none"/>
        </w:rPr>
        <w:t xml:space="preserve"> Liz Angela Rey.</w:t>
      </w:r>
    </w:p>
    <w:p w14:paraId="158B12E1" w14:textId="3AD27C07" w:rsidR="0041698C" w:rsidRPr="00DB281B" w:rsidRDefault="0041698C" w:rsidP="00DB281B">
      <w:pPr>
        <w:pStyle w:val="Formatolibre"/>
        <w:jc w:val="both"/>
        <w:rPr>
          <w:rFonts w:ascii="Arial" w:eastAsia="Times New Roman" w:hAnsi="Arial" w:cs="Arial"/>
          <w:color w:val="auto"/>
          <w:sz w:val="16"/>
          <w:szCs w:val="16"/>
          <w:lang w:val="es-MX" w:bidi="x-none"/>
        </w:rPr>
      </w:pPr>
      <w:r w:rsidRPr="00DB281B">
        <w:rPr>
          <w:rFonts w:ascii="Arial" w:eastAsia="Times New Roman" w:hAnsi="Arial" w:cs="Arial"/>
          <w:b/>
          <w:color w:val="auto"/>
          <w:sz w:val="16"/>
          <w:szCs w:val="16"/>
          <w:lang w:val="es-MX" w:bidi="x-none"/>
        </w:rPr>
        <w:t>Elaboró:</w:t>
      </w:r>
      <w:r w:rsidRPr="00DB281B">
        <w:rPr>
          <w:rFonts w:ascii="Arial" w:eastAsia="Times New Roman" w:hAnsi="Arial" w:cs="Arial"/>
          <w:color w:val="auto"/>
          <w:sz w:val="16"/>
          <w:szCs w:val="16"/>
          <w:lang w:val="es-MX" w:bidi="x-none"/>
        </w:rPr>
        <w:t xml:space="preserve"> </w:t>
      </w:r>
      <w:r w:rsidR="009C22A0" w:rsidRPr="00DB281B">
        <w:rPr>
          <w:rFonts w:ascii="Arial" w:eastAsia="Times New Roman" w:hAnsi="Arial" w:cs="Arial"/>
          <w:color w:val="auto"/>
          <w:sz w:val="16"/>
          <w:szCs w:val="16"/>
          <w:lang w:val="es-MX" w:bidi="x-none"/>
        </w:rPr>
        <w:t>Cristian Bonilla</w:t>
      </w:r>
      <w:r w:rsidRPr="00DB281B">
        <w:rPr>
          <w:rFonts w:ascii="Arial" w:eastAsia="Times New Roman" w:hAnsi="Arial" w:cs="Arial"/>
          <w:sz w:val="16"/>
          <w:szCs w:val="16"/>
          <w:lang w:val="es-MX" w:bidi="x-none"/>
        </w:rPr>
        <w:t>.</w:t>
      </w:r>
    </w:p>
    <w:p w14:paraId="13601104" w14:textId="77777777" w:rsidR="00370540" w:rsidRPr="00DB281B" w:rsidRDefault="00370540" w:rsidP="00DB281B">
      <w:pPr>
        <w:rPr>
          <w:rFonts w:ascii="Arial" w:hAnsi="Arial" w:cs="Arial"/>
          <w:sz w:val="16"/>
          <w:szCs w:val="16"/>
        </w:rPr>
      </w:pPr>
    </w:p>
    <w:sectPr w:rsidR="00370540" w:rsidRPr="00DB281B" w:rsidSect="0041698C">
      <w:headerReference w:type="default" r:id="rId13"/>
      <w:footerReference w:type="default" r:id="rId14"/>
      <w:headerReference w:type="first" r:id="rId15"/>
      <w:footerReference w:type="first" r:id="rId16"/>
      <w:pgSz w:w="12240" w:h="15840" w:code="1"/>
      <w:pgMar w:top="1985" w:right="1701" w:bottom="170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9147" w14:textId="77777777" w:rsidR="002A550B" w:rsidRDefault="002A550B" w:rsidP="00F71345">
      <w:r>
        <w:separator/>
      </w:r>
    </w:p>
  </w:endnote>
  <w:endnote w:type="continuationSeparator" w:id="0">
    <w:p w14:paraId="2A136726" w14:textId="77777777" w:rsidR="002A550B" w:rsidRDefault="002A550B"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Futura Std Book">
    <w:altName w:val="Gadug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91F6" w14:textId="77777777" w:rsidR="00DB281B" w:rsidRPr="004C26D1" w:rsidRDefault="00DB281B" w:rsidP="004C26D1">
    <w:pPr>
      <w:pStyle w:val="Piedepgina"/>
    </w:pPr>
    <w:r>
      <w:rPr>
        <w:noProof/>
        <w:lang w:eastAsia="es-CO"/>
      </w:rPr>
      <w:drawing>
        <wp:inline distT="0" distB="0" distL="0" distR="0" wp14:anchorId="44222333" wp14:editId="6CAD3CC8">
          <wp:extent cx="3399155" cy="10140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273C" w14:textId="77777777" w:rsidR="00DB281B" w:rsidRPr="00F01F75" w:rsidRDefault="00DB281B" w:rsidP="00F01F75">
    <w:pPr>
      <w:pStyle w:val="Piedepgina"/>
    </w:pPr>
    <w:r>
      <w:rPr>
        <w:noProof/>
        <w:lang w:eastAsia="es-CO"/>
      </w:rPr>
      <w:drawing>
        <wp:inline distT="0" distB="0" distL="0" distR="0" wp14:anchorId="72409A61" wp14:editId="336F65DD">
          <wp:extent cx="3399155" cy="10140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BF9C" w14:textId="77777777" w:rsidR="002A550B" w:rsidRDefault="002A550B" w:rsidP="00F71345">
      <w:r>
        <w:separator/>
      </w:r>
    </w:p>
  </w:footnote>
  <w:footnote w:type="continuationSeparator" w:id="0">
    <w:p w14:paraId="62492003" w14:textId="77777777" w:rsidR="002A550B" w:rsidRDefault="002A550B"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C655" w14:textId="77777777" w:rsidR="00DB281B" w:rsidRDefault="00DB281B" w:rsidP="004C26D1">
    <w:pPr>
      <w:jc w:val="both"/>
      <w:rPr>
        <w:rFonts w:ascii="Arial" w:hAnsi="Arial" w:cs="Arial"/>
        <w:sz w:val="16"/>
        <w:szCs w:val="16"/>
      </w:rPr>
    </w:pPr>
    <w:r>
      <w:rPr>
        <w:noProof/>
        <w:lang w:val="es-CO" w:eastAsia="es-CO"/>
      </w:rPr>
      <w:drawing>
        <wp:inline distT="0" distB="0" distL="0" distR="0" wp14:anchorId="2574EC8B" wp14:editId="11A36338">
          <wp:extent cx="2333625" cy="483870"/>
          <wp:effectExtent l="0" t="0" r="9525" b="0"/>
          <wp:docPr id="14" name="Imagen 14" descr="Papelería-Institucional---Plantilla"/>
          <wp:cNvGraphicFramePr/>
          <a:graphic xmlns:a="http://schemas.openxmlformats.org/drawingml/2006/main">
            <a:graphicData uri="http://schemas.openxmlformats.org/drawingml/2006/picture">
              <pic:pic xmlns:pic="http://schemas.openxmlformats.org/drawingml/2006/picture">
                <pic:nvPicPr>
                  <pic:cNvPr id="2" name="Imagen 2" descr="Papelería-Institucional---Plantilla"/>
                  <pic:cNvPicPr/>
                </pic:nvPicPr>
                <pic:blipFill rotWithShape="1">
                  <a:blip r:embed="rId1">
                    <a:extLst>
                      <a:ext uri="{28A0092B-C50C-407E-A947-70E740481C1C}">
                        <a14:useLocalDpi xmlns:a14="http://schemas.microsoft.com/office/drawing/2010/main" val="0"/>
                      </a:ext>
                    </a:extLst>
                  </a:blip>
                  <a:srcRect t="7614" r="57758" b="85724"/>
                  <a:stretch/>
                </pic:blipFill>
                <pic:spPr bwMode="auto">
                  <a:xfrm>
                    <a:off x="0" y="0"/>
                    <a:ext cx="2333625" cy="483870"/>
                  </a:xfrm>
                  <a:prstGeom prst="rect">
                    <a:avLst/>
                  </a:prstGeom>
                  <a:noFill/>
                  <a:ln>
                    <a:noFill/>
                  </a:ln>
                  <a:extLst>
                    <a:ext uri="{53640926-AAD7-44D8-BBD7-CCE9431645EC}">
                      <a14:shadowObscured xmlns:a14="http://schemas.microsoft.com/office/drawing/2010/main"/>
                    </a:ext>
                  </a:extLst>
                </pic:spPr>
              </pic:pic>
            </a:graphicData>
          </a:graphic>
        </wp:inline>
      </w:drawing>
    </w:r>
  </w:p>
  <w:p w14:paraId="34D94B2D" w14:textId="77777777" w:rsidR="00DB281B" w:rsidRDefault="00DB281B" w:rsidP="00F01F75">
    <w:pPr>
      <w:pStyle w:val="Encabezado"/>
      <w:rPr>
        <w:rFonts w:ascii="Arial" w:hAnsi="Arial" w:cs="Arial"/>
        <w:sz w:val="16"/>
        <w:szCs w:val="16"/>
      </w:rPr>
    </w:pPr>
  </w:p>
  <w:p w14:paraId="0F25BBD8" w14:textId="41644713" w:rsidR="00DB281B" w:rsidRPr="00F01F75" w:rsidRDefault="00DB281B"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pre diagnóstico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567794">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567794">
      <w:rPr>
        <w:rStyle w:val="Nmerodepgina"/>
        <w:rFonts w:ascii="Arial" w:hAnsi="Arial" w:cs="Arial"/>
        <w:noProof/>
        <w:sz w:val="16"/>
        <w:szCs w:val="16"/>
      </w:rPr>
      <w:t>23</w:t>
    </w:r>
    <w:r w:rsidRPr="00F01F75">
      <w:rPr>
        <w:rStyle w:val="Nmerodepgina"/>
        <w:rFonts w:ascii="Arial" w:hAnsi="Arial" w:cs="Arial"/>
        <w:sz w:val="16"/>
        <w:szCs w:val="16"/>
      </w:rPr>
      <w:fldChar w:fldCharType="end"/>
    </w:r>
  </w:p>
  <w:p w14:paraId="35A40451" w14:textId="77777777" w:rsidR="00DB281B" w:rsidRPr="00F01F75" w:rsidRDefault="00DB281B">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0D9D" w14:textId="77777777" w:rsidR="00DB281B" w:rsidRDefault="00DB281B" w:rsidP="001339E2">
    <w:pPr>
      <w:pStyle w:val="Encabezado"/>
      <w:jc w:val="right"/>
    </w:pPr>
    <w:r>
      <w:rPr>
        <w:noProof/>
        <w:lang w:eastAsia="es-CO"/>
      </w:rPr>
      <w:drawing>
        <wp:inline distT="0" distB="0" distL="0" distR="0" wp14:anchorId="4D01BC04" wp14:editId="5696CCEE">
          <wp:extent cx="5612130" cy="483870"/>
          <wp:effectExtent l="0" t="0" r="7620" b="0"/>
          <wp:docPr id="15" name="Imagen 15" descr="Papelería-Institucional---Plantilla"/>
          <wp:cNvGraphicFramePr/>
          <a:graphic xmlns:a="http://schemas.openxmlformats.org/drawingml/2006/main">
            <a:graphicData uri="http://schemas.openxmlformats.org/drawingml/2006/picture">
              <pic:pic xmlns:pic="http://schemas.openxmlformats.org/drawingml/2006/picture">
                <pic:nvPicPr>
                  <pic:cNvPr id="4" name="Imagen 4" descr="Papelería-Institucional---Plantilla"/>
                  <pic:cNvPicPr/>
                </pic:nvPicPr>
                <pic:blipFill rotWithShape="1">
                  <a:blip r:embed="rId1">
                    <a:extLst>
                      <a:ext uri="{28A0092B-C50C-407E-A947-70E740481C1C}">
                        <a14:useLocalDpi xmlns:a14="http://schemas.microsoft.com/office/drawing/2010/main" val="0"/>
                      </a:ext>
                    </a:extLst>
                  </a:blip>
                  <a:srcRect t="7614" b="85724"/>
                  <a:stretch/>
                </pic:blipFill>
                <pic:spPr bwMode="auto">
                  <a:xfrm>
                    <a:off x="0" y="0"/>
                    <a:ext cx="5612130" cy="4838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A2"/>
    <w:multiLevelType w:val="hybridMultilevel"/>
    <w:tmpl w:val="2DDE0160"/>
    <w:lvl w:ilvl="0" w:tplc="3AA2E5B0">
      <w:start w:val="1"/>
      <w:numFmt w:val="decimal"/>
      <w:lvlText w:val="%1."/>
      <w:lvlJc w:val="left"/>
      <w:pPr>
        <w:ind w:left="0" w:hanging="360"/>
      </w:pPr>
      <w:rPr>
        <w:rFonts w:ascii="Arial" w:eastAsia="MS Mincho" w:hAnsi="Arial" w:cs="Arial"/>
        <w:b/>
        <w:color w:val="auto"/>
      </w:rPr>
    </w:lvl>
    <w:lvl w:ilvl="1" w:tplc="240A0019">
      <w:start w:val="1"/>
      <w:numFmt w:val="lowerLetter"/>
      <w:lvlText w:val="%2."/>
      <w:lvlJc w:val="left"/>
      <w:pPr>
        <w:ind w:left="720" w:hanging="360"/>
      </w:pPr>
    </w:lvl>
    <w:lvl w:ilvl="2" w:tplc="240A001B">
      <w:start w:val="1"/>
      <w:numFmt w:val="lowerRoman"/>
      <w:lvlText w:val="%3."/>
      <w:lvlJc w:val="right"/>
      <w:pPr>
        <w:ind w:left="1440" w:hanging="180"/>
      </w:pPr>
    </w:lvl>
    <w:lvl w:ilvl="3" w:tplc="240A000F">
      <w:start w:val="1"/>
      <w:numFmt w:val="decimal"/>
      <w:lvlText w:val="%4."/>
      <w:lvlJc w:val="left"/>
      <w:pPr>
        <w:ind w:left="2160" w:hanging="360"/>
      </w:pPr>
    </w:lvl>
    <w:lvl w:ilvl="4" w:tplc="240A0019">
      <w:start w:val="1"/>
      <w:numFmt w:val="lowerLetter"/>
      <w:lvlText w:val="%5."/>
      <w:lvlJc w:val="left"/>
      <w:pPr>
        <w:ind w:left="2880" w:hanging="360"/>
      </w:pPr>
    </w:lvl>
    <w:lvl w:ilvl="5" w:tplc="240A001B">
      <w:start w:val="1"/>
      <w:numFmt w:val="lowerRoman"/>
      <w:lvlText w:val="%6."/>
      <w:lvlJc w:val="right"/>
      <w:pPr>
        <w:ind w:left="3600" w:hanging="180"/>
      </w:pPr>
    </w:lvl>
    <w:lvl w:ilvl="6" w:tplc="240A000F">
      <w:start w:val="1"/>
      <w:numFmt w:val="decimal"/>
      <w:lvlText w:val="%7."/>
      <w:lvlJc w:val="left"/>
      <w:pPr>
        <w:ind w:left="4320" w:hanging="360"/>
      </w:pPr>
    </w:lvl>
    <w:lvl w:ilvl="7" w:tplc="240A0019">
      <w:start w:val="1"/>
      <w:numFmt w:val="lowerLetter"/>
      <w:lvlText w:val="%8."/>
      <w:lvlJc w:val="left"/>
      <w:pPr>
        <w:ind w:left="5040" w:hanging="360"/>
      </w:pPr>
    </w:lvl>
    <w:lvl w:ilvl="8" w:tplc="240A001B">
      <w:start w:val="1"/>
      <w:numFmt w:val="lowerRoman"/>
      <w:lvlText w:val="%9."/>
      <w:lvlJc w:val="right"/>
      <w:pPr>
        <w:ind w:left="5760" w:hanging="180"/>
      </w:pPr>
    </w:lvl>
  </w:abstractNum>
  <w:abstractNum w:abstractNumId="1" w15:restartNumberingAfterBreak="0">
    <w:nsid w:val="034648FB"/>
    <w:multiLevelType w:val="hybridMultilevel"/>
    <w:tmpl w:val="80C6AA4E"/>
    <w:lvl w:ilvl="0" w:tplc="044E6326">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6A31A0"/>
    <w:multiLevelType w:val="hybridMultilevel"/>
    <w:tmpl w:val="603E87B6"/>
    <w:lvl w:ilvl="0" w:tplc="B0264DDA">
      <w:start w:val="1"/>
      <w:numFmt w:val="bullet"/>
      <w:lvlText w:val=""/>
      <w:lvlJc w:val="left"/>
      <w:pPr>
        <w:ind w:left="720" w:hanging="360"/>
      </w:pPr>
      <w:rPr>
        <w:rFonts w:ascii="Symbol" w:hAnsi="Symbol"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873B32"/>
    <w:multiLevelType w:val="hybridMultilevel"/>
    <w:tmpl w:val="5B3683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2256F1"/>
    <w:multiLevelType w:val="hybridMultilevel"/>
    <w:tmpl w:val="1174CFEA"/>
    <w:lvl w:ilvl="0" w:tplc="F064D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9207D6"/>
    <w:multiLevelType w:val="hybridMultilevel"/>
    <w:tmpl w:val="2BDACF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0BB018B"/>
    <w:multiLevelType w:val="hybridMultilevel"/>
    <w:tmpl w:val="0F662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16A5324"/>
    <w:multiLevelType w:val="hybridMultilevel"/>
    <w:tmpl w:val="D84EB880"/>
    <w:lvl w:ilvl="0" w:tplc="BE30D12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29726B"/>
    <w:multiLevelType w:val="hybridMultilevel"/>
    <w:tmpl w:val="91749626"/>
    <w:lvl w:ilvl="0" w:tplc="7A463412">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782754"/>
    <w:multiLevelType w:val="hybridMultilevel"/>
    <w:tmpl w:val="3B9655A8"/>
    <w:lvl w:ilvl="0" w:tplc="75F0163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BD1015"/>
    <w:multiLevelType w:val="hybridMultilevel"/>
    <w:tmpl w:val="5B38CA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A5847B9"/>
    <w:multiLevelType w:val="hybridMultilevel"/>
    <w:tmpl w:val="065C4570"/>
    <w:lvl w:ilvl="0" w:tplc="650E20A4">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2A100A"/>
    <w:multiLevelType w:val="hybridMultilevel"/>
    <w:tmpl w:val="53E4DC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D4F1BC7"/>
    <w:multiLevelType w:val="hybridMultilevel"/>
    <w:tmpl w:val="9AD68B62"/>
    <w:lvl w:ilvl="0" w:tplc="C084246A">
      <w:start w:val="1"/>
      <w:numFmt w:val="decimal"/>
      <w:lvlText w:val="(%1)"/>
      <w:lvlJc w:val="left"/>
      <w:pPr>
        <w:ind w:left="720" w:hanging="360"/>
      </w:pPr>
      <w:rPr>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DB1026"/>
    <w:multiLevelType w:val="hybridMultilevel"/>
    <w:tmpl w:val="BCC08CDE"/>
    <w:lvl w:ilvl="0" w:tplc="C3EE1E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F608AD"/>
    <w:multiLevelType w:val="hybridMultilevel"/>
    <w:tmpl w:val="8BCA5B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37D264A"/>
    <w:multiLevelType w:val="hybridMultilevel"/>
    <w:tmpl w:val="33349B42"/>
    <w:lvl w:ilvl="0" w:tplc="909294DC">
      <w:start w:val="3"/>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4AA58B1"/>
    <w:multiLevelType w:val="hybridMultilevel"/>
    <w:tmpl w:val="254E72CA"/>
    <w:lvl w:ilvl="0" w:tplc="4768F2F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25590882"/>
    <w:multiLevelType w:val="hybridMultilevel"/>
    <w:tmpl w:val="83C236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5E218F6"/>
    <w:multiLevelType w:val="hybridMultilevel"/>
    <w:tmpl w:val="326000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66F309E"/>
    <w:multiLevelType w:val="hybridMultilevel"/>
    <w:tmpl w:val="70723208"/>
    <w:lvl w:ilvl="0" w:tplc="AE8A8392">
      <w:start w:val="1"/>
      <w:numFmt w:val="decimal"/>
      <w:lvlText w:val="%1."/>
      <w:lvlJc w:val="left"/>
      <w:pPr>
        <w:ind w:left="502" w:hanging="360"/>
      </w:pPr>
      <w:rPr>
        <w:b w:val="0"/>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84B0F84"/>
    <w:multiLevelType w:val="hybridMultilevel"/>
    <w:tmpl w:val="065C4570"/>
    <w:lvl w:ilvl="0" w:tplc="650E20A4">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815CE9"/>
    <w:multiLevelType w:val="hybridMultilevel"/>
    <w:tmpl w:val="41AAA184"/>
    <w:lvl w:ilvl="0" w:tplc="CFB631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AB473B3"/>
    <w:multiLevelType w:val="hybridMultilevel"/>
    <w:tmpl w:val="D88E5D50"/>
    <w:lvl w:ilvl="0" w:tplc="039A6D12">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2BEA5BC0"/>
    <w:multiLevelType w:val="hybridMultilevel"/>
    <w:tmpl w:val="3E6AF8E4"/>
    <w:lvl w:ilvl="0" w:tplc="5660276A">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D0D0D5A"/>
    <w:multiLevelType w:val="hybridMultilevel"/>
    <w:tmpl w:val="A2DA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901450"/>
    <w:multiLevelType w:val="hybridMultilevel"/>
    <w:tmpl w:val="88CEF06C"/>
    <w:lvl w:ilvl="0" w:tplc="68948B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FB31252"/>
    <w:multiLevelType w:val="hybridMultilevel"/>
    <w:tmpl w:val="F5DECFD4"/>
    <w:lvl w:ilvl="0" w:tplc="9F10A4C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31BA6CD0"/>
    <w:multiLevelType w:val="multilevel"/>
    <w:tmpl w:val="33720306"/>
    <w:lvl w:ilvl="0">
      <w:start w:val="1"/>
      <w:numFmt w:val="decimal"/>
      <w:lvlText w:val="%1."/>
      <w:lvlJc w:val="left"/>
      <w:pPr>
        <w:ind w:left="720" w:hanging="360"/>
      </w:pPr>
      <w:rPr>
        <w:color w:val="auto"/>
      </w:rPr>
    </w:lvl>
    <w:lvl w:ilvl="1">
      <w:start w:val="1"/>
      <w:numFmt w:val="decimal"/>
      <w:isLgl/>
      <w:lvlText w:val="%1.%2."/>
      <w:lvlJc w:val="left"/>
      <w:pPr>
        <w:ind w:left="360" w:hanging="360"/>
      </w:pPr>
      <w:rPr>
        <w:rFonts w:ascii="Arial" w:hAnsi="Arial" w:cs="Arial" w:hint="default"/>
        <w:b/>
        <w:color w:val="auto"/>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33381839"/>
    <w:multiLevelType w:val="multilevel"/>
    <w:tmpl w:val="87949F38"/>
    <w:lvl w:ilvl="0">
      <w:start w:val="1"/>
      <w:numFmt w:val="upperRoman"/>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30" w15:restartNumberingAfterBreak="0">
    <w:nsid w:val="33784AE8"/>
    <w:multiLevelType w:val="multilevel"/>
    <w:tmpl w:val="CA70B848"/>
    <w:lvl w:ilvl="0">
      <w:start w:val="5"/>
      <w:numFmt w:val="decimal"/>
      <w:lvlText w:val="%1."/>
      <w:lvlJc w:val="left"/>
      <w:pPr>
        <w:ind w:left="360" w:hanging="360"/>
      </w:pPr>
      <w:rPr>
        <w:rFonts w:ascii="Arial" w:eastAsia="Calibri" w:hAnsi="Arial" w:cs="Arial" w:hint="default"/>
        <w:b/>
        <w:color w:val="auto"/>
        <w:sz w:val="20"/>
      </w:rPr>
    </w:lvl>
    <w:lvl w:ilvl="1">
      <w:start w:val="2"/>
      <w:numFmt w:val="decimal"/>
      <w:lvlText w:val="%1.%2."/>
      <w:lvlJc w:val="left"/>
      <w:pPr>
        <w:ind w:left="720" w:hanging="720"/>
      </w:pPr>
      <w:rPr>
        <w:rFonts w:ascii="Arial" w:eastAsia="Calibri" w:hAnsi="Arial" w:cs="Arial" w:hint="default"/>
        <w:b/>
        <w:color w:val="auto"/>
        <w:sz w:val="20"/>
      </w:rPr>
    </w:lvl>
    <w:lvl w:ilvl="2">
      <w:start w:val="1"/>
      <w:numFmt w:val="decimal"/>
      <w:lvlText w:val="%1.%2.%3."/>
      <w:lvlJc w:val="left"/>
      <w:pPr>
        <w:ind w:left="720" w:hanging="720"/>
      </w:pPr>
      <w:rPr>
        <w:rFonts w:ascii="Arial" w:eastAsia="Calibri" w:hAnsi="Arial" w:cs="Arial" w:hint="default"/>
        <w:b/>
        <w:color w:val="auto"/>
        <w:sz w:val="20"/>
      </w:rPr>
    </w:lvl>
    <w:lvl w:ilvl="3">
      <w:start w:val="1"/>
      <w:numFmt w:val="decimal"/>
      <w:lvlText w:val="%1.%2.%3.%4."/>
      <w:lvlJc w:val="left"/>
      <w:pPr>
        <w:ind w:left="1080" w:hanging="1080"/>
      </w:pPr>
      <w:rPr>
        <w:rFonts w:ascii="Arial" w:eastAsia="Calibri" w:hAnsi="Arial" w:cs="Arial" w:hint="default"/>
        <w:b/>
        <w:color w:val="auto"/>
        <w:sz w:val="20"/>
      </w:rPr>
    </w:lvl>
    <w:lvl w:ilvl="4">
      <w:start w:val="1"/>
      <w:numFmt w:val="decimal"/>
      <w:lvlText w:val="%1.%2.%3.%4.%5."/>
      <w:lvlJc w:val="left"/>
      <w:pPr>
        <w:ind w:left="1080" w:hanging="1080"/>
      </w:pPr>
      <w:rPr>
        <w:rFonts w:ascii="Arial" w:eastAsia="Calibri" w:hAnsi="Arial" w:cs="Arial" w:hint="default"/>
        <w:b/>
        <w:color w:val="auto"/>
        <w:sz w:val="20"/>
      </w:rPr>
    </w:lvl>
    <w:lvl w:ilvl="5">
      <w:start w:val="1"/>
      <w:numFmt w:val="decimal"/>
      <w:lvlText w:val="%1.%2.%3.%4.%5.%6."/>
      <w:lvlJc w:val="left"/>
      <w:pPr>
        <w:ind w:left="1440" w:hanging="1440"/>
      </w:pPr>
      <w:rPr>
        <w:rFonts w:ascii="Arial" w:eastAsia="Calibri" w:hAnsi="Arial" w:cs="Arial" w:hint="default"/>
        <w:b/>
        <w:color w:val="auto"/>
        <w:sz w:val="20"/>
      </w:rPr>
    </w:lvl>
    <w:lvl w:ilvl="6">
      <w:start w:val="1"/>
      <w:numFmt w:val="decimal"/>
      <w:lvlText w:val="%1.%2.%3.%4.%5.%6.%7."/>
      <w:lvlJc w:val="left"/>
      <w:pPr>
        <w:ind w:left="1440" w:hanging="1440"/>
      </w:pPr>
      <w:rPr>
        <w:rFonts w:ascii="Arial" w:eastAsia="Calibri" w:hAnsi="Arial" w:cs="Arial" w:hint="default"/>
        <w:b/>
        <w:color w:val="auto"/>
        <w:sz w:val="20"/>
      </w:rPr>
    </w:lvl>
    <w:lvl w:ilvl="7">
      <w:start w:val="1"/>
      <w:numFmt w:val="decimal"/>
      <w:lvlText w:val="%1.%2.%3.%4.%5.%6.%7.%8."/>
      <w:lvlJc w:val="left"/>
      <w:pPr>
        <w:ind w:left="1800" w:hanging="1800"/>
      </w:pPr>
      <w:rPr>
        <w:rFonts w:ascii="Arial" w:eastAsia="Calibri" w:hAnsi="Arial" w:cs="Arial" w:hint="default"/>
        <w:b/>
        <w:color w:val="auto"/>
        <w:sz w:val="20"/>
      </w:rPr>
    </w:lvl>
    <w:lvl w:ilvl="8">
      <w:start w:val="1"/>
      <w:numFmt w:val="decimal"/>
      <w:lvlText w:val="%1.%2.%3.%4.%5.%6.%7.%8.%9."/>
      <w:lvlJc w:val="left"/>
      <w:pPr>
        <w:ind w:left="1800" w:hanging="1800"/>
      </w:pPr>
      <w:rPr>
        <w:rFonts w:ascii="Arial" w:eastAsia="Calibri" w:hAnsi="Arial" w:cs="Arial" w:hint="default"/>
        <w:b/>
        <w:color w:val="auto"/>
        <w:sz w:val="20"/>
      </w:rPr>
    </w:lvl>
  </w:abstractNum>
  <w:abstractNum w:abstractNumId="31" w15:restartNumberingAfterBreak="0">
    <w:nsid w:val="34DF1B89"/>
    <w:multiLevelType w:val="hybridMultilevel"/>
    <w:tmpl w:val="4224EF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38972C9C"/>
    <w:multiLevelType w:val="hybridMultilevel"/>
    <w:tmpl w:val="F4F61E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9CF08BF"/>
    <w:multiLevelType w:val="hybridMultilevel"/>
    <w:tmpl w:val="9DD0DD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39DB581B"/>
    <w:multiLevelType w:val="hybridMultilevel"/>
    <w:tmpl w:val="B358B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0610B35"/>
    <w:multiLevelType w:val="hybridMultilevel"/>
    <w:tmpl w:val="47ACF9CC"/>
    <w:lvl w:ilvl="0" w:tplc="C36242C6">
      <w:start w:val="1"/>
      <w:numFmt w:val="decimal"/>
      <w:lvlText w:val="%1."/>
      <w:lvlJc w:val="left"/>
      <w:pPr>
        <w:ind w:left="360" w:hanging="360"/>
      </w:pPr>
      <w:rPr>
        <w:b/>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6" w15:restartNumberingAfterBreak="0">
    <w:nsid w:val="428700EC"/>
    <w:multiLevelType w:val="hybridMultilevel"/>
    <w:tmpl w:val="836C5C9C"/>
    <w:lvl w:ilvl="0" w:tplc="142073C4">
      <w:start w:val="15"/>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3F424AA"/>
    <w:multiLevelType w:val="hybridMultilevel"/>
    <w:tmpl w:val="A7FCE262"/>
    <w:lvl w:ilvl="0" w:tplc="661EFC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431532B"/>
    <w:multiLevelType w:val="hybridMultilevel"/>
    <w:tmpl w:val="610EC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A514D4F"/>
    <w:multiLevelType w:val="hybridMultilevel"/>
    <w:tmpl w:val="2A9E5B30"/>
    <w:lvl w:ilvl="0" w:tplc="240A0001">
      <w:start w:val="1"/>
      <w:numFmt w:val="bullet"/>
      <w:lvlText w:val=""/>
      <w:lvlJc w:val="left"/>
      <w:pPr>
        <w:ind w:left="720" w:hanging="360"/>
      </w:pPr>
      <w:rPr>
        <w:rFonts w:ascii="Symbol" w:hAnsi="Symbol"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D5876DF"/>
    <w:multiLevelType w:val="hybridMultilevel"/>
    <w:tmpl w:val="301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B6D72"/>
    <w:multiLevelType w:val="hybridMultilevel"/>
    <w:tmpl w:val="8A566E4A"/>
    <w:lvl w:ilvl="0" w:tplc="841454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52C4918"/>
    <w:multiLevelType w:val="hybridMultilevel"/>
    <w:tmpl w:val="2BC48418"/>
    <w:lvl w:ilvl="0" w:tplc="3A5E9F06">
      <w:start w:val="25"/>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5A023595"/>
    <w:multiLevelType w:val="multilevel"/>
    <w:tmpl w:val="B2B66964"/>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4" w15:restartNumberingAfterBreak="0">
    <w:nsid w:val="5C2B2089"/>
    <w:multiLevelType w:val="hybridMultilevel"/>
    <w:tmpl w:val="1B9A3FD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5C6C6887"/>
    <w:multiLevelType w:val="hybridMultilevel"/>
    <w:tmpl w:val="A7EA4A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C707DC8"/>
    <w:multiLevelType w:val="hybridMultilevel"/>
    <w:tmpl w:val="DA9643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5E1A5F24"/>
    <w:multiLevelType w:val="hybridMultilevel"/>
    <w:tmpl w:val="13922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636E392F"/>
    <w:multiLevelType w:val="hybridMultilevel"/>
    <w:tmpl w:val="BD30728E"/>
    <w:lvl w:ilvl="0" w:tplc="51DA88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92465B7"/>
    <w:multiLevelType w:val="hybridMultilevel"/>
    <w:tmpl w:val="6276BDAC"/>
    <w:lvl w:ilvl="0" w:tplc="FE1620F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0" w15:restartNumberingAfterBreak="0">
    <w:nsid w:val="6ACA2356"/>
    <w:multiLevelType w:val="hybridMultilevel"/>
    <w:tmpl w:val="056450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6B2C3C13"/>
    <w:multiLevelType w:val="hybridMultilevel"/>
    <w:tmpl w:val="EAFC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201176"/>
    <w:multiLevelType w:val="hybridMultilevel"/>
    <w:tmpl w:val="6B5E575E"/>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Symbol"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Symbol" w:hint="default"/>
      </w:rPr>
    </w:lvl>
    <w:lvl w:ilvl="8" w:tplc="240A0005">
      <w:start w:val="1"/>
      <w:numFmt w:val="bullet"/>
      <w:lvlText w:val=""/>
      <w:lvlJc w:val="left"/>
      <w:pPr>
        <w:ind w:left="6480" w:hanging="360"/>
      </w:pPr>
      <w:rPr>
        <w:rFonts w:ascii="Wingdings" w:hAnsi="Wingdings" w:hint="default"/>
      </w:rPr>
    </w:lvl>
  </w:abstractNum>
  <w:abstractNum w:abstractNumId="53" w15:restartNumberingAfterBreak="0">
    <w:nsid w:val="7C9C3066"/>
    <w:multiLevelType w:val="hybridMultilevel"/>
    <w:tmpl w:val="5A562A98"/>
    <w:lvl w:ilvl="0" w:tplc="909294DC">
      <w:start w:val="3"/>
      <w:numFmt w:val="bullet"/>
      <w:lvlText w:val="-"/>
      <w:lvlJc w:val="left"/>
      <w:pPr>
        <w:ind w:left="1050" w:hanging="69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7DE21072"/>
    <w:multiLevelType w:val="hybridMultilevel"/>
    <w:tmpl w:val="1174CFEA"/>
    <w:lvl w:ilvl="0" w:tplc="F064D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E887B11"/>
    <w:multiLevelType w:val="hybridMultilevel"/>
    <w:tmpl w:val="FB8260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7FE67D0F"/>
    <w:multiLevelType w:val="hybridMultilevel"/>
    <w:tmpl w:val="F5AA20A4"/>
    <w:lvl w:ilvl="0" w:tplc="0409000F">
      <w:start w:val="1"/>
      <w:numFmt w:val="decimal"/>
      <w:lvlText w:val="%1."/>
      <w:lvlJc w:val="left"/>
      <w:pPr>
        <w:ind w:left="360" w:hanging="360"/>
      </w:pPr>
    </w:lvl>
    <w:lvl w:ilvl="1" w:tplc="04090019">
      <w:start w:val="1"/>
      <w:numFmt w:val="lowerLetter"/>
      <w:lvlText w:val="%2."/>
      <w:lvlJc w:val="left"/>
      <w:pPr>
        <w:ind w:left="939" w:hanging="360"/>
      </w:pPr>
    </w:lvl>
    <w:lvl w:ilvl="2" w:tplc="0409001B">
      <w:start w:val="1"/>
      <w:numFmt w:val="lowerRoman"/>
      <w:lvlText w:val="%3."/>
      <w:lvlJc w:val="right"/>
      <w:pPr>
        <w:ind w:left="1659" w:hanging="180"/>
      </w:pPr>
    </w:lvl>
    <w:lvl w:ilvl="3" w:tplc="0409000F">
      <w:start w:val="1"/>
      <w:numFmt w:val="decimal"/>
      <w:lvlText w:val="%4."/>
      <w:lvlJc w:val="left"/>
      <w:pPr>
        <w:ind w:left="2379" w:hanging="360"/>
      </w:pPr>
    </w:lvl>
    <w:lvl w:ilvl="4" w:tplc="04090019">
      <w:start w:val="1"/>
      <w:numFmt w:val="lowerLetter"/>
      <w:lvlText w:val="%5."/>
      <w:lvlJc w:val="left"/>
      <w:pPr>
        <w:ind w:left="3099" w:hanging="360"/>
      </w:pPr>
    </w:lvl>
    <w:lvl w:ilvl="5" w:tplc="0409001B">
      <w:start w:val="1"/>
      <w:numFmt w:val="lowerRoman"/>
      <w:lvlText w:val="%6."/>
      <w:lvlJc w:val="right"/>
      <w:pPr>
        <w:ind w:left="3819" w:hanging="180"/>
      </w:pPr>
    </w:lvl>
    <w:lvl w:ilvl="6" w:tplc="0409000F">
      <w:start w:val="1"/>
      <w:numFmt w:val="decimal"/>
      <w:lvlText w:val="%7."/>
      <w:lvlJc w:val="left"/>
      <w:pPr>
        <w:ind w:left="4539" w:hanging="360"/>
      </w:pPr>
    </w:lvl>
    <w:lvl w:ilvl="7" w:tplc="04090019">
      <w:start w:val="1"/>
      <w:numFmt w:val="lowerLetter"/>
      <w:lvlText w:val="%8."/>
      <w:lvlJc w:val="left"/>
      <w:pPr>
        <w:ind w:left="5259" w:hanging="360"/>
      </w:pPr>
    </w:lvl>
    <w:lvl w:ilvl="8" w:tplc="0409001B">
      <w:start w:val="1"/>
      <w:numFmt w:val="lowerRoman"/>
      <w:lvlText w:val="%9."/>
      <w:lvlJc w:val="right"/>
      <w:pPr>
        <w:ind w:left="597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5"/>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num>
  <w:num w:numId="28">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0"/>
  </w:num>
  <w:num w:numId="53">
    <w:abstractNumId w:val="2"/>
  </w:num>
  <w:num w:numId="54">
    <w:abstractNumId w:val="21"/>
  </w:num>
  <w:num w:numId="55">
    <w:abstractNumId w:val="11"/>
  </w:num>
  <w:num w:numId="56">
    <w:abstractNumId w:val="34"/>
  </w:num>
  <w:num w:numId="57">
    <w:abstractNumId w:val="40"/>
  </w:num>
  <w:num w:numId="58">
    <w:abstractNumId w:val="51"/>
  </w:num>
  <w:num w:numId="59">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15D8E"/>
    <w:rsid w:val="0002519E"/>
    <w:rsid w:val="000276DE"/>
    <w:rsid w:val="000302D0"/>
    <w:rsid w:val="000311F3"/>
    <w:rsid w:val="000322E3"/>
    <w:rsid w:val="0003360E"/>
    <w:rsid w:val="00034241"/>
    <w:rsid w:val="00036E48"/>
    <w:rsid w:val="00042D32"/>
    <w:rsid w:val="0005207D"/>
    <w:rsid w:val="00052B9C"/>
    <w:rsid w:val="00053F62"/>
    <w:rsid w:val="000571CA"/>
    <w:rsid w:val="000575E7"/>
    <w:rsid w:val="00057AF8"/>
    <w:rsid w:val="000643E9"/>
    <w:rsid w:val="00066C35"/>
    <w:rsid w:val="00066D3A"/>
    <w:rsid w:val="00067BE0"/>
    <w:rsid w:val="00071B7E"/>
    <w:rsid w:val="00073A1F"/>
    <w:rsid w:val="00074612"/>
    <w:rsid w:val="00075AD5"/>
    <w:rsid w:val="00077AA2"/>
    <w:rsid w:val="0008210A"/>
    <w:rsid w:val="0008507C"/>
    <w:rsid w:val="000875AC"/>
    <w:rsid w:val="000877D1"/>
    <w:rsid w:val="00093EB8"/>
    <w:rsid w:val="000A1163"/>
    <w:rsid w:val="000A2FC8"/>
    <w:rsid w:val="000A31BA"/>
    <w:rsid w:val="000A4383"/>
    <w:rsid w:val="000A4E13"/>
    <w:rsid w:val="000A5591"/>
    <w:rsid w:val="000B20AE"/>
    <w:rsid w:val="000B789C"/>
    <w:rsid w:val="000C1DA7"/>
    <w:rsid w:val="000C2C96"/>
    <w:rsid w:val="000C4465"/>
    <w:rsid w:val="000C524D"/>
    <w:rsid w:val="000D09AB"/>
    <w:rsid w:val="000D466B"/>
    <w:rsid w:val="000D5B2B"/>
    <w:rsid w:val="000E4714"/>
    <w:rsid w:val="000E5163"/>
    <w:rsid w:val="000E6513"/>
    <w:rsid w:val="000F0EAD"/>
    <w:rsid w:val="000F1CBA"/>
    <w:rsid w:val="000F3807"/>
    <w:rsid w:val="00103AE9"/>
    <w:rsid w:val="0010497F"/>
    <w:rsid w:val="00104DD6"/>
    <w:rsid w:val="001100A5"/>
    <w:rsid w:val="001121D0"/>
    <w:rsid w:val="0011263A"/>
    <w:rsid w:val="00112B09"/>
    <w:rsid w:val="0011350E"/>
    <w:rsid w:val="00113F42"/>
    <w:rsid w:val="00114AE3"/>
    <w:rsid w:val="00117B7B"/>
    <w:rsid w:val="001206E2"/>
    <w:rsid w:val="00120EEB"/>
    <w:rsid w:val="001258D6"/>
    <w:rsid w:val="00127498"/>
    <w:rsid w:val="001339E2"/>
    <w:rsid w:val="00133FBD"/>
    <w:rsid w:val="0013472A"/>
    <w:rsid w:val="001407FA"/>
    <w:rsid w:val="0014266D"/>
    <w:rsid w:val="00144777"/>
    <w:rsid w:val="001448E3"/>
    <w:rsid w:val="00147E82"/>
    <w:rsid w:val="001515F9"/>
    <w:rsid w:val="001518F2"/>
    <w:rsid w:val="00153C65"/>
    <w:rsid w:val="00156301"/>
    <w:rsid w:val="00161111"/>
    <w:rsid w:val="0017111C"/>
    <w:rsid w:val="0017545B"/>
    <w:rsid w:val="00177248"/>
    <w:rsid w:val="00182DEA"/>
    <w:rsid w:val="00186629"/>
    <w:rsid w:val="0019035D"/>
    <w:rsid w:val="00191D96"/>
    <w:rsid w:val="00191E93"/>
    <w:rsid w:val="001927AB"/>
    <w:rsid w:val="00196C8F"/>
    <w:rsid w:val="00197944"/>
    <w:rsid w:val="00197DA0"/>
    <w:rsid w:val="001A1ABA"/>
    <w:rsid w:val="001A521D"/>
    <w:rsid w:val="001B0799"/>
    <w:rsid w:val="001C1507"/>
    <w:rsid w:val="001C2A75"/>
    <w:rsid w:val="001C2CBB"/>
    <w:rsid w:val="001C2CE1"/>
    <w:rsid w:val="001D1F25"/>
    <w:rsid w:val="001D36C0"/>
    <w:rsid w:val="001D562A"/>
    <w:rsid w:val="001D7796"/>
    <w:rsid w:val="001E2699"/>
    <w:rsid w:val="001E3E05"/>
    <w:rsid w:val="001E50F4"/>
    <w:rsid w:val="001E5520"/>
    <w:rsid w:val="001E60E2"/>
    <w:rsid w:val="001E7F0E"/>
    <w:rsid w:val="001F0127"/>
    <w:rsid w:val="001F0B1A"/>
    <w:rsid w:val="001F0ED4"/>
    <w:rsid w:val="001F1F78"/>
    <w:rsid w:val="001F4D1B"/>
    <w:rsid w:val="001F4ED2"/>
    <w:rsid w:val="001F6014"/>
    <w:rsid w:val="001F7009"/>
    <w:rsid w:val="001F72C4"/>
    <w:rsid w:val="0020773D"/>
    <w:rsid w:val="0021375B"/>
    <w:rsid w:val="002176E6"/>
    <w:rsid w:val="002211EF"/>
    <w:rsid w:val="00221EF1"/>
    <w:rsid w:val="0022264A"/>
    <w:rsid w:val="00226B16"/>
    <w:rsid w:val="00237795"/>
    <w:rsid w:val="00237DFE"/>
    <w:rsid w:val="00241348"/>
    <w:rsid w:val="002414B0"/>
    <w:rsid w:val="00244711"/>
    <w:rsid w:val="0024487B"/>
    <w:rsid w:val="00246573"/>
    <w:rsid w:val="00254189"/>
    <w:rsid w:val="00255EDD"/>
    <w:rsid w:val="002567A2"/>
    <w:rsid w:val="002658A7"/>
    <w:rsid w:val="00271E28"/>
    <w:rsid w:val="00272D86"/>
    <w:rsid w:val="0027421A"/>
    <w:rsid w:val="00276554"/>
    <w:rsid w:val="00277EEC"/>
    <w:rsid w:val="00280A31"/>
    <w:rsid w:val="00283D9E"/>
    <w:rsid w:val="002850DB"/>
    <w:rsid w:val="002947E5"/>
    <w:rsid w:val="002A13EA"/>
    <w:rsid w:val="002A2626"/>
    <w:rsid w:val="002A4E72"/>
    <w:rsid w:val="002A550B"/>
    <w:rsid w:val="002A6351"/>
    <w:rsid w:val="002B2812"/>
    <w:rsid w:val="002B2E03"/>
    <w:rsid w:val="002B3410"/>
    <w:rsid w:val="002B4E93"/>
    <w:rsid w:val="002B71D0"/>
    <w:rsid w:val="002C45F1"/>
    <w:rsid w:val="002C64C1"/>
    <w:rsid w:val="002C6BBE"/>
    <w:rsid w:val="002C7B8F"/>
    <w:rsid w:val="002D280C"/>
    <w:rsid w:val="002D3CF8"/>
    <w:rsid w:val="002D4B67"/>
    <w:rsid w:val="002D6C5F"/>
    <w:rsid w:val="002E160D"/>
    <w:rsid w:val="002E1ED7"/>
    <w:rsid w:val="002E2B19"/>
    <w:rsid w:val="002E3E8B"/>
    <w:rsid w:val="002E6BD3"/>
    <w:rsid w:val="002E6BE9"/>
    <w:rsid w:val="002E72FA"/>
    <w:rsid w:val="002E7640"/>
    <w:rsid w:val="002E7778"/>
    <w:rsid w:val="002F01D9"/>
    <w:rsid w:val="003008F3"/>
    <w:rsid w:val="003013ED"/>
    <w:rsid w:val="00301846"/>
    <w:rsid w:val="0030295A"/>
    <w:rsid w:val="003057C9"/>
    <w:rsid w:val="00310DFD"/>
    <w:rsid w:val="003133A5"/>
    <w:rsid w:val="003226AB"/>
    <w:rsid w:val="0032474D"/>
    <w:rsid w:val="00325242"/>
    <w:rsid w:val="003300CE"/>
    <w:rsid w:val="00330AC6"/>
    <w:rsid w:val="00331922"/>
    <w:rsid w:val="0033289D"/>
    <w:rsid w:val="003334C8"/>
    <w:rsid w:val="0033489C"/>
    <w:rsid w:val="00336BAB"/>
    <w:rsid w:val="00341877"/>
    <w:rsid w:val="0034312A"/>
    <w:rsid w:val="00343A7A"/>
    <w:rsid w:val="00345FAA"/>
    <w:rsid w:val="00350C08"/>
    <w:rsid w:val="0035116E"/>
    <w:rsid w:val="00353730"/>
    <w:rsid w:val="003542CE"/>
    <w:rsid w:val="003560AE"/>
    <w:rsid w:val="003571F2"/>
    <w:rsid w:val="00360555"/>
    <w:rsid w:val="0036144E"/>
    <w:rsid w:val="00364CBA"/>
    <w:rsid w:val="00370540"/>
    <w:rsid w:val="0037189F"/>
    <w:rsid w:val="00372E8C"/>
    <w:rsid w:val="00374A04"/>
    <w:rsid w:val="0038265A"/>
    <w:rsid w:val="00384066"/>
    <w:rsid w:val="00385859"/>
    <w:rsid w:val="00387857"/>
    <w:rsid w:val="00390B0E"/>
    <w:rsid w:val="00391021"/>
    <w:rsid w:val="0039112C"/>
    <w:rsid w:val="00395375"/>
    <w:rsid w:val="003A2F82"/>
    <w:rsid w:val="003A4D61"/>
    <w:rsid w:val="003A520B"/>
    <w:rsid w:val="003A5A4C"/>
    <w:rsid w:val="003A6198"/>
    <w:rsid w:val="003B072E"/>
    <w:rsid w:val="003B1D05"/>
    <w:rsid w:val="003B4C91"/>
    <w:rsid w:val="003B7FE6"/>
    <w:rsid w:val="003C102D"/>
    <w:rsid w:val="003C5349"/>
    <w:rsid w:val="003C5EC1"/>
    <w:rsid w:val="003C6D25"/>
    <w:rsid w:val="003D2A16"/>
    <w:rsid w:val="003D4DD3"/>
    <w:rsid w:val="003D5879"/>
    <w:rsid w:val="003D7FD2"/>
    <w:rsid w:val="003E1AE0"/>
    <w:rsid w:val="003E2947"/>
    <w:rsid w:val="003E31A7"/>
    <w:rsid w:val="003E59CF"/>
    <w:rsid w:val="003E6253"/>
    <w:rsid w:val="003E632D"/>
    <w:rsid w:val="003E77FC"/>
    <w:rsid w:val="003F015A"/>
    <w:rsid w:val="003F07EB"/>
    <w:rsid w:val="003F59D9"/>
    <w:rsid w:val="003F617A"/>
    <w:rsid w:val="003F6A30"/>
    <w:rsid w:val="003F7900"/>
    <w:rsid w:val="00401EC1"/>
    <w:rsid w:val="00403DFF"/>
    <w:rsid w:val="004057C1"/>
    <w:rsid w:val="00410C94"/>
    <w:rsid w:val="00412976"/>
    <w:rsid w:val="0041494D"/>
    <w:rsid w:val="004161D7"/>
    <w:rsid w:val="0041698C"/>
    <w:rsid w:val="00427C15"/>
    <w:rsid w:val="004315F2"/>
    <w:rsid w:val="00434B41"/>
    <w:rsid w:val="00437A6B"/>
    <w:rsid w:val="00442521"/>
    <w:rsid w:val="0044344C"/>
    <w:rsid w:val="00447D2A"/>
    <w:rsid w:val="00453CE2"/>
    <w:rsid w:val="004549B2"/>
    <w:rsid w:val="0046467B"/>
    <w:rsid w:val="00464FE9"/>
    <w:rsid w:val="00465E21"/>
    <w:rsid w:val="00467143"/>
    <w:rsid w:val="00467BF9"/>
    <w:rsid w:val="004700D0"/>
    <w:rsid w:val="00472DB8"/>
    <w:rsid w:val="00473B82"/>
    <w:rsid w:val="00473F70"/>
    <w:rsid w:val="00474633"/>
    <w:rsid w:val="00475450"/>
    <w:rsid w:val="00475775"/>
    <w:rsid w:val="00477FB9"/>
    <w:rsid w:val="00480D8F"/>
    <w:rsid w:val="004836A1"/>
    <w:rsid w:val="004845F4"/>
    <w:rsid w:val="00487AC6"/>
    <w:rsid w:val="0049010D"/>
    <w:rsid w:val="00490870"/>
    <w:rsid w:val="004944C1"/>
    <w:rsid w:val="004A3C53"/>
    <w:rsid w:val="004B299B"/>
    <w:rsid w:val="004B48C0"/>
    <w:rsid w:val="004B6FCF"/>
    <w:rsid w:val="004C26D1"/>
    <w:rsid w:val="004D174A"/>
    <w:rsid w:val="004D17EC"/>
    <w:rsid w:val="004D66AD"/>
    <w:rsid w:val="004E1484"/>
    <w:rsid w:val="004E188B"/>
    <w:rsid w:val="004E3184"/>
    <w:rsid w:val="004E432F"/>
    <w:rsid w:val="004E4D21"/>
    <w:rsid w:val="004E7B18"/>
    <w:rsid w:val="004E7E81"/>
    <w:rsid w:val="004F1512"/>
    <w:rsid w:val="004F1E4A"/>
    <w:rsid w:val="004F2BB0"/>
    <w:rsid w:val="004F2D0B"/>
    <w:rsid w:val="004F56CB"/>
    <w:rsid w:val="00500926"/>
    <w:rsid w:val="00506FD2"/>
    <w:rsid w:val="0051030F"/>
    <w:rsid w:val="005125B0"/>
    <w:rsid w:val="00516045"/>
    <w:rsid w:val="0052301E"/>
    <w:rsid w:val="0052323E"/>
    <w:rsid w:val="0053089E"/>
    <w:rsid w:val="00534E54"/>
    <w:rsid w:val="005375EA"/>
    <w:rsid w:val="00537794"/>
    <w:rsid w:val="0053783B"/>
    <w:rsid w:val="00537AEC"/>
    <w:rsid w:val="00542591"/>
    <w:rsid w:val="005445CE"/>
    <w:rsid w:val="0054606C"/>
    <w:rsid w:val="0055134F"/>
    <w:rsid w:val="00552AE0"/>
    <w:rsid w:val="00553C66"/>
    <w:rsid w:val="0055424A"/>
    <w:rsid w:val="005553A4"/>
    <w:rsid w:val="00556667"/>
    <w:rsid w:val="005574BF"/>
    <w:rsid w:val="005600D7"/>
    <w:rsid w:val="00560728"/>
    <w:rsid w:val="00561999"/>
    <w:rsid w:val="00562716"/>
    <w:rsid w:val="00562CD7"/>
    <w:rsid w:val="00565250"/>
    <w:rsid w:val="00567794"/>
    <w:rsid w:val="00571ED1"/>
    <w:rsid w:val="00574336"/>
    <w:rsid w:val="00576C4B"/>
    <w:rsid w:val="00576F0C"/>
    <w:rsid w:val="00577720"/>
    <w:rsid w:val="005903B2"/>
    <w:rsid w:val="00593364"/>
    <w:rsid w:val="00594E57"/>
    <w:rsid w:val="0059571F"/>
    <w:rsid w:val="005A27D0"/>
    <w:rsid w:val="005A34AD"/>
    <w:rsid w:val="005A3BD8"/>
    <w:rsid w:val="005B3719"/>
    <w:rsid w:val="005B7552"/>
    <w:rsid w:val="005C09CB"/>
    <w:rsid w:val="005C492F"/>
    <w:rsid w:val="005C5817"/>
    <w:rsid w:val="005C6301"/>
    <w:rsid w:val="005C7523"/>
    <w:rsid w:val="005D214D"/>
    <w:rsid w:val="005D2E8B"/>
    <w:rsid w:val="005E04F5"/>
    <w:rsid w:val="005E1133"/>
    <w:rsid w:val="005E4960"/>
    <w:rsid w:val="005E59AD"/>
    <w:rsid w:val="005F245D"/>
    <w:rsid w:val="005F2FD5"/>
    <w:rsid w:val="005F466A"/>
    <w:rsid w:val="005F726F"/>
    <w:rsid w:val="005F77DF"/>
    <w:rsid w:val="0060069D"/>
    <w:rsid w:val="00604180"/>
    <w:rsid w:val="00605557"/>
    <w:rsid w:val="00605AAD"/>
    <w:rsid w:val="00611CFE"/>
    <w:rsid w:val="00616130"/>
    <w:rsid w:val="006170E3"/>
    <w:rsid w:val="006206EE"/>
    <w:rsid w:val="00622144"/>
    <w:rsid w:val="006252FE"/>
    <w:rsid w:val="00625968"/>
    <w:rsid w:val="00625FC7"/>
    <w:rsid w:val="0063188F"/>
    <w:rsid w:val="00632949"/>
    <w:rsid w:val="00636431"/>
    <w:rsid w:val="0064074E"/>
    <w:rsid w:val="00641321"/>
    <w:rsid w:val="006433C2"/>
    <w:rsid w:val="00644781"/>
    <w:rsid w:val="006463F5"/>
    <w:rsid w:val="006473B9"/>
    <w:rsid w:val="006554F2"/>
    <w:rsid w:val="00656C7D"/>
    <w:rsid w:val="00662B60"/>
    <w:rsid w:val="0067008C"/>
    <w:rsid w:val="00675B68"/>
    <w:rsid w:val="00677352"/>
    <w:rsid w:val="00677480"/>
    <w:rsid w:val="00681239"/>
    <w:rsid w:val="006836FD"/>
    <w:rsid w:val="006845A4"/>
    <w:rsid w:val="00687E5C"/>
    <w:rsid w:val="0069132F"/>
    <w:rsid w:val="0069486D"/>
    <w:rsid w:val="00695AEB"/>
    <w:rsid w:val="00695F10"/>
    <w:rsid w:val="006A042D"/>
    <w:rsid w:val="006A05E2"/>
    <w:rsid w:val="006A18EF"/>
    <w:rsid w:val="006A29E0"/>
    <w:rsid w:val="006A7F83"/>
    <w:rsid w:val="006B0432"/>
    <w:rsid w:val="006B1007"/>
    <w:rsid w:val="006B2E3C"/>
    <w:rsid w:val="006B67C9"/>
    <w:rsid w:val="006C2B4A"/>
    <w:rsid w:val="006C3264"/>
    <w:rsid w:val="006C3F0F"/>
    <w:rsid w:val="006C509B"/>
    <w:rsid w:val="006E00E4"/>
    <w:rsid w:val="006E137B"/>
    <w:rsid w:val="006E358F"/>
    <w:rsid w:val="006E734F"/>
    <w:rsid w:val="006F4A85"/>
    <w:rsid w:val="006F4ADF"/>
    <w:rsid w:val="006F537B"/>
    <w:rsid w:val="006F77A0"/>
    <w:rsid w:val="007011A5"/>
    <w:rsid w:val="00702037"/>
    <w:rsid w:val="00702AA8"/>
    <w:rsid w:val="00705EA4"/>
    <w:rsid w:val="00711742"/>
    <w:rsid w:val="007119C9"/>
    <w:rsid w:val="00717F9F"/>
    <w:rsid w:val="0072156C"/>
    <w:rsid w:val="00721671"/>
    <w:rsid w:val="00724108"/>
    <w:rsid w:val="00724198"/>
    <w:rsid w:val="00727047"/>
    <w:rsid w:val="007326C6"/>
    <w:rsid w:val="007341EF"/>
    <w:rsid w:val="00736096"/>
    <w:rsid w:val="007364A7"/>
    <w:rsid w:val="00741E0C"/>
    <w:rsid w:val="0074453A"/>
    <w:rsid w:val="00746297"/>
    <w:rsid w:val="00746B4C"/>
    <w:rsid w:val="00751CA6"/>
    <w:rsid w:val="00756840"/>
    <w:rsid w:val="0076073F"/>
    <w:rsid w:val="00762FD2"/>
    <w:rsid w:val="0076745C"/>
    <w:rsid w:val="00772A1C"/>
    <w:rsid w:val="007760F2"/>
    <w:rsid w:val="0077677C"/>
    <w:rsid w:val="00777211"/>
    <w:rsid w:val="007810B5"/>
    <w:rsid w:val="00783002"/>
    <w:rsid w:val="007902C2"/>
    <w:rsid w:val="00795CB1"/>
    <w:rsid w:val="00797B07"/>
    <w:rsid w:val="00797DA6"/>
    <w:rsid w:val="007B0EEA"/>
    <w:rsid w:val="007B1D31"/>
    <w:rsid w:val="007B5F7F"/>
    <w:rsid w:val="007C6DE5"/>
    <w:rsid w:val="007D1753"/>
    <w:rsid w:val="007D4864"/>
    <w:rsid w:val="007D50EB"/>
    <w:rsid w:val="007D55D3"/>
    <w:rsid w:val="007E0BF0"/>
    <w:rsid w:val="007E2B39"/>
    <w:rsid w:val="007E2C10"/>
    <w:rsid w:val="007E47EB"/>
    <w:rsid w:val="007E55C0"/>
    <w:rsid w:val="007E71B0"/>
    <w:rsid w:val="007F1E30"/>
    <w:rsid w:val="007F3747"/>
    <w:rsid w:val="0080212F"/>
    <w:rsid w:val="00804184"/>
    <w:rsid w:val="00805F1F"/>
    <w:rsid w:val="00806DFC"/>
    <w:rsid w:val="00807524"/>
    <w:rsid w:val="0081002E"/>
    <w:rsid w:val="00811D4E"/>
    <w:rsid w:val="00812646"/>
    <w:rsid w:val="00817371"/>
    <w:rsid w:val="00823102"/>
    <w:rsid w:val="00823ABF"/>
    <w:rsid w:val="00830310"/>
    <w:rsid w:val="00830FF3"/>
    <w:rsid w:val="0083116D"/>
    <w:rsid w:val="008341CE"/>
    <w:rsid w:val="00835685"/>
    <w:rsid w:val="008363B6"/>
    <w:rsid w:val="00837E28"/>
    <w:rsid w:val="00841F7D"/>
    <w:rsid w:val="00843519"/>
    <w:rsid w:val="00844E5C"/>
    <w:rsid w:val="00846EE1"/>
    <w:rsid w:val="00851356"/>
    <w:rsid w:val="008540DC"/>
    <w:rsid w:val="008562A4"/>
    <w:rsid w:val="00861D32"/>
    <w:rsid w:val="00862A45"/>
    <w:rsid w:val="008634CC"/>
    <w:rsid w:val="008663CA"/>
    <w:rsid w:val="008674EE"/>
    <w:rsid w:val="00870E09"/>
    <w:rsid w:val="00872161"/>
    <w:rsid w:val="00874628"/>
    <w:rsid w:val="00876917"/>
    <w:rsid w:val="0088761B"/>
    <w:rsid w:val="00891CEC"/>
    <w:rsid w:val="008939DE"/>
    <w:rsid w:val="00894E28"/>
    <w:rsid w:val="00894EBB"/>
    <w:rsid w:val="008958DB"/>
    <w:rsid w:val="008A1BA2"/>
    <w:rsid w:val="008A2D0E"/>
    <w:rsid w:val="008A2D15"/>
    <w:rsid w:val="008A4DC4"/>
    <w:rsid w:val="008A51B6"/>
    <w:rsid w:val="008A73E0"/>
    <w:rsid w:val="008B3DEC"/>
    <w:rsid w:val="008B657E"/>
    <w:rsid w:val="008C3642"/>
    <w:rsid w:val="008C49F3"/>
    <w:rsid w:val="008C705B"/>
    <w:rsid w:val="008D7BB2"/>
    <w:rsid w:val="008D7E24"/>
    <w:rsid w:val="008E33A2"/>
    <w:rsid w:val="008F47A5"/>
    <w:rsid w:val="00902163"/>
    <w:rsid w:val="0090467A"/>
    <w:rsid w:val="009064FD"/>
    <w:rsid w:val="00914998"/>
    <w:rsid w:val="0092035F"/>
    <w:rsid w:val="009232A4"/>
    <w:rsid w:val="00931D87"/>
    <w:rsid w:val="0094015B"/>
    <w:rsid w:val="009415E8"/>
    <w:rsid w:val="009423F1"/>
    <w:rsid w:val="009436F2"/>
    <w:rsid w:val="00944394"/>
    <w:rsid w:val="00945819"/>
    <w:rsid w:val="00957FBF"/>
    <w:rsid w:val="009600C8"/>
    <w:rsid w:val="0096240B"/>
    <w:rsid w:val="0096244E"/>
    <w:rsid w:val="009649A8"/>
    <w:rsid w:val="009652AD"/>
    <w:rsid w:val="0096710D"/>
    <w:rsid w:val="009677C0"/>
    <w:rsid w:val="0097126E"/>
    <w:rsid w:val="009714F1"/>
    <w:rsid w:val="00976D32"/>
    <w:rsid w:val="00982AC4"/>
    <w:rsid w:val="00985E2F"/>
    <w:rsid w:val="00992748"/>
    <w:rsid w:val="00996E42"/>
    <w:rsid w:val="00996E4F"/>
    <w:rsid w:val="00997184"/>
    <w:rsid w:val="0099728C"/>
    <w:rsid w:val="0099760B"/>
    <w:rsid w:val="009A41B0"/>
    <w:rsid w:val="009A4923"/>
    <w:rsid w:val="009B2D90"/>
    <w:rsid w:val="009B3C7A"/>
    <w:rsid w:val="009B4F70"/>
    <w:rsid w:val="009B605F"/>
    <w:rsid w:val="009B62ED"/>
    <w:rsid w:val="009B73E9"/>
    <w:rsid w:val="009C1E4E"/>
    <w:rsid w:val="009C22A0"/>
    <w:rsid w:val="009C459F"/>
    <w:rsid w:val="009C6FEB"/>
    <w:rsid w:val="009D066F"/>
    <w:rsid w:val="009D2198"/>
    <w:rsid w:val="009D3916"/>
    <w:rsid w:val="009E36F1"/>
    <w:rsid w:val="009E3B79"/>
    <w:rsid w:val="009E6F2A"/>
    <w:rsid w:val="009E7AAA"/>
    <w:rsid w:val="009F1065"/>
    <w:rsid w:val="009F3ACB"/>
    <w:rsid w:val="00A00B26"/>
    <w:rsid w:val="00A06C93"/>
    <w:rsid w:val="00A117D7"/>
    <w:rsid w:val="00A12C89"/>
    <w:rsid w:val="00A2061C"/>
    <w:rsid w:val="00A21447"/>
    <w:rsid w:val="00A21993"/>
    <w:rsid w:val="00A21C63"/>
    <w:rsid w:val="00A240A7"/>
    <w:rsid w:val="00A25DEC"/>
    <w:rsid w:val="00A30D25"/>
    <w:rsid w:val="00A36875"/>
    <w:rsid w:val="00A37733"/>
    <w:rsid w:val="00A405D3"/>
    <w:rsid w:val="00A45C91"/>
    <w:rsid w:val="00A50048"/>
    <w:rsid w:val="00A62B42"/>
    <w:rsid w:val="00A63200"/>
    <w:rsid w:val="00A646FC"/>
    <w:rsid w:val="00A65BBE"/>
    <w:rsid w:val="00A65FDF"/>
    <w:rsid w:val="00A71316"/>
    <w:rsid w:val="00A713CD"/>
    <w:rsid w:val="00A730FD"/>
    <w:rsid w:val="00A738CD"/>
    <w:rsid w:val="00A7439E"/>
    <w:rsid w:val="00A77A34"/>
    <w:rsid w:val="00A82889"/>
    <w:rsid w:val="00A83922"/>
    <w:rsid w:val="00A83AB4"/>
    <w:rsid w:val="00A915EF"/>
    <w:rsid w:val="00A9281B"/>
    <w:rsid w:val="00A942C8"/>
    <w:rsid w:val="00A963CA"/>
    <w:rsid w:val="00A96417"/>
    <w:rsid w:val="00AA0D31"/>
    <w:rsid w:val="00AA3408"/>
    <w:rsid w:val="00AA56AC"/>
    <w:rsid w:val="00AB3160"/>
    <w:rsid w:val="00AB5169"/>
    <w:rsid w:val="00AB5619"/>
    <w:rsid w:val="00AC150F"/>
    <w:rsid w:val="00AC47A2"/>
    <w:rsid w:val="00AC7D9B"/>
    <w:rsid w:val="00AD0830"/>
    <w:rsid w:val="00AD1737"/>
    <w:rsid w:val="00AD3BEA"/>
    <w:rsid w:val="00AD3D48"/>
    <w:rsid w:val="00AD46E2"/>
    <w:rsid w:val="00AE60FB"/>
    <w:rsid w:val="00AF5DE1"/>
    <w:rsid w:val="00B01DA2"/>
    <w:rsid w:val="00B022F5"/>
    <w:rsid w:val="00B04F94"/>
    <w:rsid w:val="00B11934"/>
    <w:rsid w:val="00B12DA4"/>
    <w:rsid w:val="00B13B7F"/>
    <w:rsid w:val="00B15D52"/>
    <w:rsid w:val="00B165CB"/>
    <w:rsid w:val="00B16A12"/>
    <w:rsid w:val="00B229E7"/>
    <w:rsid w:val="00B22BA2"/>
    <w:rsid w:val="00B22F0D"/>
    <w:rsid w:val="00B23027"/>
    <w:rsid w:val="00B268C2"/>
    <w:rsid w:val="00B3089A"/>
    <w:rsid w:val="00B30FC4"/>
    <w:rsid w:val="00B32956"/>
    <w:rsid w:val="00B36EBB"/>
    <w:rsid w:val="00B41AE8"/>
    <w:rsid w:val="00B42B54"/>
    <w:rsid w:val="00B433EF"/>
    <w:rsid w:val="00B43896"/>
    <w:rsid w:val="00B44184"/>
    <w:rsid w:val="00B45154"/>
    <w:rsid w:val="00B47B87"/>
    <w:rsid w:val="00B50692"/>
    <w:rsid w:val="00B51957"/>
    <w:rsid w:val="00B51C0F"/>
    <w:rsid w:val="00B55812"/>
    <w:rsid w:val="00B56A74"/>
    <w:rsid w:val="00B600DD"/>
    <w:rsid w:val="00B60CA2"/>
    <w:rsid w:val="00B62D9B"/>
    <w:rsid w:val="00B62FD1"/>
    <w:rsid w:val="00B63C6D"/>
    <w:rsid w:val="00B64C61"/>
    <w:rsid w:val="00B66236"/>
    <w:rsid w:val="00B667E4"/>
    <w:rsid w:val="00B73CE0"/>
    <w:rsid w:val="00B74688"/>
    <w:rsid w:val="00B7698D"/>
    <w:rsid w:val="00B81971"/>
    <w:rsid w:val="00B90B4B"/>
    <w:rsid w:val="00B9309E"/>
    <w:rsid w:val="00BA08A8"/>
    <w:rsid w:val="00BA1ABA"/>
    <w:rsid w:val="00BA46B9"/>
    <w:rsid w:val="00BB23F6"/>
    <w:rsid w:val="00BB2B65"/>
    <w:rsid w:val="00BB3FEA"/>
    <w:rsid w:val="00BB40CD"/>
    <w:rsid w:val="00BB4C61"/>
    <w:rsid w:val="00BB5205"/>
    <w:rsid w:val="00BB76D5"/>
    <w:rsid w:val="00BC14DC"/>
    <w:rsid w:val="00BC1762"/>
    <w:rsid w:val="00BC25B2"/>
    <w:rsid w:val="00BC2F2D"/>
    <w:rsid w:val="00BC3DFF"/>
    <w:rsid w:val="00BC63EC"/>
    <w:rsid w:val="00BC6847"/>
    <w:rsid w:val="00BC6ABE"/>
    <w:rsid w:val="00BD012F"/>
    <w:rsid w:val="00BD3CEF"/>
    <w:rsid w:val="00BD4605"/>
    <w:rsid w:val="00BD604D"/>
    <w:rsid w:val="00BD7C3B"/>
    <w:rsid w:val="00BE09A1"/>
    <w:rsid w:val="00BE7EDB"/>
    <w:rsid w:val="00BF0D2E"/>
    <w:rsid w:val="00BF7E7E"/>
    <w:rsid w:val="00C0298B"/>
    <w:rsid w:val="00C057ED"/>
    <w:rsid w:val="00C0772C"/>
    <w:rsid w:val="00C1066A"/>
    <w:rsid w:val="00C10D22"/>
    <w:rsid w:val="00C11141"/>
    <w:rsid w:val="00C12BF6"/>
    <w:rsid w:val="00C14C3F"/>
    <w:rsid w:val="00C21190"/>
    <w:rsid w:val="00C235D4"/>
    <w:rsid w:val="00C2505A"/>
    <w:rsid w:val="00C27CC8"/>
    <w:rsid w:val="00C30C59"/>
    <w:rsid w:val="00C31205"/>
    <w:rsid w:val="00C32D7F"/>
    <w:rsid w:val="00C427C0"/>
    <w:rsid w:val="00C447A9"/>
    <w:rsid w:val="00C45AFC"/>
    <w:rsid w:val="00C46A85"/>
    <w:rsid w:val="00C47352"/>
    <w:rsid w:val="00C50267"/>
    <w:rsid w:val="00C51F1D"/>
    <w:rsid w:val="00C52A22"/>
    <w:rsid w:val="00C539EB"/>
    <w:rsid w:val="00C55A12"/>
    <w:rsid w:val="00C6415B"/>
    <w:rsid w:val="00C65BC3"/>
    <w:rsid w:val="00C668DD"/>
    <w:rsid w:val="00C67A77"/>
    <w:rsid w:val="00C71BF1"/>
    <w:rsid w:val="00C73030"/>
    <w:rsid w:val="00C77012"/>
    <w:rsid w:val="00C77C56"/>
    <w:rsid w:val="00C81B97"/>
    <w:rsid w:val="00C83999"/>
    <w:rsid w:val="00C85213"/>
    <w:rsid w:val="00C857C3"/>
    <w:rsid w:val="00C90A5F"/>
    <w:rsid w:val="00C90BA5"/>
    <w:rsid w:val="00C943ED"/>
    <w:rsid w:val="00C94DE4"/>
    <w:rsid w:val="00CA3D04"/>
    <w:rsid w:val="00CA4476"/>
    <w:rsid w:val="00CA4EF8"/>
    <w:rsid w:val="00CA5028"/>
    <w:rsid w:val="00CA60F8"/>
    <w:rsid w:val="00CB0216"/>
    <w:rsid w:val="00CB6B23"/>
    <w:rsid w:val="00CB70F7"/>
    <w:rsid w:val="00CB7515"/>
    <w:rsid w:val="00CC417A"/>
    <w:rsid w:val="00CC575A"/>
    <w:rsid w:val="00CD1C0F"/>
    <w:rsid w:val="00CD2418"/>
    <w:rsid w:val="00CD3A81"/>
    <w:rsid w:val="00CE2371"/>
    <w:rsid w:val="00CE7065"/>
    <w:rsid w:val="00CF510C"/>
    <w:rsid w:val="00CF5704"/>
    <w:rsid w:val="00CF6EB4"/>
    <w:rsid w:val="00D01123"/>
    <w:rsid w:val="00D0144F"/>
    <w:rsid w:val="00D0340C"/>
    <w:rsid w:val="00D03620"/>
    <w:rsid w:val="00D06885"/>
    <w:rsid w:val="00D12651"/>
    <w:rsid w:val="00D12FFB"/>
    <w:rsid w:val="00D17017"/>
    <w:rsid w:val="00D17763"/>
    <w:rsid w:val="00D210E1"/>
    <w:rsid w:val="00D2162C"/>
    <w:rsid w:val="00D21CEE"/>
    <w:rsid w:val="00D27A6F"/>
    <w:rsid w:val="00D32EDB"/>
    <w:rsid w:val="00D40155"/>
    <w:rsid w:val="00D45F04"/>
    <w:rsid w:val="00D55234"/>
    <w:rsid w:val="00D6364F"/>
    <w:rsid w:val="00D64BB7"/>
    <w:rsid w:val="00D8162B"/>
    <w:rsid w:val="00D85863"/>
    <w:rsid w:val="00D863AB"/>
    <w:rsid w:val="00D87664"/>
    <w:rsid w:val="00D87B4B"/>
    <w:rsid w:val="00D903C3"/>
    <w:rsid w:val="00DB0812"/>
    <w:rsid w:val="00DB1A70"/>
    <w:rsid w:val="00DB1B9A"/>
    <w:rsid w:val="00DB264B"/>
    <w:rsid w:val="00DB281B"/>
    <w:rsid w:val="00DB39A7"/>
    <w:rsid w:val="00DB5CD6"/>
    <w:rsid w:val="00DC21E6"/>
    <w:rsid w:val="00DC2240"/>
    <w:rsid w:val="00DC25D3"/>
    <w:rsid w:val="00DC2787"/>
    <w:rsid w:val="00DC60BE"/>
    <w:rsid w:val="00DD3C3F"/>
    <w:rsid w:val="00DD4C14"/>
    <w:rsid w:val="00DD79DB"/>
    <w:rsid w:val="00DE0522"/>
    <w:rsid w:val="00DE6E79"/>
    <w:rsid w:val="00DE7CD9"/>
    <w:rsid w:val="00DE7E8E"/>
    <w:rsid w:val="00DF13EB"/>
    <w:rsid w:val="00DF33E7"/>
    <w:rsid w:val="00DF4CC1"/>
    <w:rsid w:val="00DF71E1"/>
    <w:rsid w:val="00E02036"/>
    <w:rsid w:val="00E02276"/>
    <w:rsid w:val="00E04D07"/>
    <w:rsid w:val="00E11760"/>
    <w:rsid w:val="00E12E86"/>
    <w:rsid w:val="00E14360"/>
    <w:rsid w:val="00E14B50"/>
    <w:rsid w:val="00E15BE8"/>
    <w:rsid w:val="00E17B15"/>
    <w:rsid w:val="00E22584"/>
    <w:rsid w:val="00E22771"/>
    <w:rsid w:val="00E24C74"/>
    <w:rsid w:val="00E30903"/>
    <w:rsid w:val="00E32389"/>
    <w:rsid w:val="00E32B27"/>
    <w:rsid w:val="00E33180"/>
    <w:rsid w:val="00E35077"/>
    <w:rsid w:val="00E35715"/>
    <w:rsid w:val="00E35E3F"/>
    <w:rsid w:val="00E40750"/>
    <w:rsid w:val="00E41E64"/>
    <w:rsid w:val="00E45087"/>
    <w:rsid w:val="00E47F58"/>
    <w:rsid w:val="00E543C2"/>
    <w:rsid w:val="00E5464B"/>
    <w:rsid w:val="00E5534B"/>
    <w:rsid w:val="00E603F8"/>
    <w:rsid w:val="00E609A6"/>
    <w:rsid w:val="00E618B6"/>
    <w:rsid w:val="00E61E67"/>
    <w:rsid w:val="00E674BE"/>
    <w:rsid w:val="00E678D9"/>
    <w:rsid w:val="00E708C1"/>
    <w:rsid w:val="00E70E50"/>
    <w:rsid w:val="00E71A3E"/>
    <w:rsid w:val="00E72535"/>
    <w:rsid w:val="00E73123"/>
    <w:rsid w:val="00E77ABE"/>
    <w:rsid w:val="00E84405"/>
    <w:rsid w:val="00E84A33"/>
    <w:rsid w:val="00E878FD"/>
    <w:rsid w:val="00E92DA8"/>
    <w:rsid w:val="00E94424"/>
    <w:rsid w:val="00E94F80"/>
    <w:rsid w:val="00E97511"/>
    <w:rsid w:val="00E97BFD"/>
    <w:rsid w:val="00EA1AF5"/>
    <w:rsid w:val="00EB055A"/>
    <w:rsid w:val="00EB2676"/>
    <w:rsid w:val="00EB2BC9"/>
    <w:rsid w:val="00EB3399"/>
    <w:rsid w:val="00EB33C5"/>
    <w:rsid w:val="00EB3AAB"/>
    <w:rsid w:val="00EB4F8F"/>
    <w:rsid w:val="00EB7878"/>
    <w:rsid w:val="00EC1E29"/>
    <w:rsid w:val="00EC2A83"/>
    <w:rsid w:val="00ED2360"/>
    <w:rsid w:val="00ED2B0C"/>
    <w:rsid w:val="00ED3344"/>
    <w:rsid w:val="00ED42E5"/>
    <w:rsid w:val="00ED665C"/>
    <w:rsid w:val="00EE085A"/>
    <w:rsid w:val="00EE10E1"/>
    <w:rsid w:val="00EE13A0"/>
    <w:rsid w:val="00EE22E5"/>
    <w:rsid w:val="00EE231F"/>
    <w:rsid w:val="00EE3936"/>
    <w:rsid w:val="00EF04A8"/>
    <w:rsid w:val="00EF27B9"/>
    <w:rsid w:val="00EF3D14"/>
    <w:rsid w:val="00EF523B"/>
    <w:rsid w:val="00EF7435"/>
    <w:rsid w:val="00F018CF"/>
    <w:rsid w:val="00F01F75"/>
    <w:rsid w:val="00F02B45"/>
    <w:rsid w:val="00F04D0A"/>
    <w:rsid w:val="00F05E81"/>
    <w:rsid w:val="00F10C44"/>
    <w:rsid w:val="00F140E1"/>
    <w:rsid w:val="00F16548"/>
    <w:rsid w:val="00F17232"/>
    <w:rsid w:val="00F2208E"/>
    <w:rsid w:val="00F267FC"/>
    <w:rsid w:val="00F30FE9"/>
    <w:rsid w:val="00F310FC"/>
    <w:rsid w:val="00F31BF9"/>
    <w:rsid w:val="00F33B61"/>
    <w:rsid w:val="00F34DFC"/>
    <w:rsid w:val="00F35864"/>
    <w:rsid w:val="00F35F61"/>
    <w:rsid w:val="00F418EA"/>
    <w:rsid w:val="00F436BA"/>
    <w:rsid w:val="00F46181"/>
    <w:rsid w:val="00F538C5"/>
    <w:rsid w:val="00F54593"/>
    <w:rsid w:val="00F54927"/>
    <w:rsid w:val="00F565B6"/>
    <w:rsid w:val="00F62A45"/>
    <w:rsid w:val="00F65748"/>
    <w:rsid w:val="00F6701B"/>
    <w:rsid w:val="00F71345"/>
    <w:rsid w:val="00F746FF"/>
    <w:rsid w:val="00F75884"/>
    <w:rsid w:val="00F77A5D"/>
    <w:rsid w:val="00F802E5"/>
    <w:rsid w:val="00F80CAD"/>
    <w:rsid w:val="00F82BD2"/>
    <w:rsid w:val="00F8536A"/>
    <w:rsid w:val="00F87245"/>
    <w:rsid w:val="00F8780E"/>
    <w:rsid w:val="00F93F04"/>
    <w:rsid w:val="00F946DF"/>
    <w:rsid w:val="00F970D0"/>
    <w:rsid w:val="00FA5748"/>
    <w:rsid w:val="00FB58C7"/>
    <w:rsid w:val="00FC1BF5"/>
    <w:rsid w:val="00FC1CD3"/>
    <w:rsid w:val="00FC4A32"/>
    <w:rsid w:val="00FC6550"/>
    <w:rsid w:val="00FD1814"/>
    <w:rsid w:val="00FD4185"/>
    <w:rsid w:val="00FD6239"/>
    <w:rsid w:val="00FD7B1D"/>
    <w:rsid w:val="00FE03FA"/>
    <w:rsid w:val="00FF0B33"/>
    <w:rsid w:val="00FF40D6"/>
    <w:rsid w:val="00FF4B12"/>
    <w:rsid w:val="00FF6628"/>
    <w:rsid w:val="00FF7D8A"/>
    <w:rsid w:val="0BACE2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8D9E4"/>
  <w15:docId w15:val="{F3AA8538-1053-4286-9AF4-8889D44F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4169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4169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1698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character" w:customStyle="1" w:styleId="Ttulo1Car">
    <w:name w:val="Título 1 Car"/>
    <w:basedOn w:val="Fuentedeprrafopredeter"/>
    <w:link w:val="Ttulo1"/>
    <w:uiPriority w:val="9"/>
    <w:rsid w:val="0041698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41698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41698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41698C"/>
    <w:rPr>
      <w:color w:val="800080" w:themeColor="followedHyperlink"/>
      <w:u w:val="single"/>
    </w:rPr>
  </w:style>
  <w:style w:type="paragraph" w:customStyle="1" w:styleId="msonormal0">
    <w:name w:val="msonormal"/>
    <w:basedOn w:val="Normal"/>
    <w:uiPriority w:val="99"/>
    <w:rsid w:val="0041698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semiHidden/>
    <w:locked/>
    <w:rsid w:val="0041698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semiHidden/>
    <w:unhideWhenUsed/>
    <w:rsid w:val="0041698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semiHidden/>
    <w:rsid w:val="0041698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41698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41698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41698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41698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41698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41698C"/>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41698C"/>
    <w:rPr>
      <w:rFonts w:ascii="Times New Roman" w:eastAsia="MS Mincho" w:hAnsi="Times New Roman" w:cs="Times New Roman"/>
      <w:sz w:val="24"/>
      <w:szCs w:val="24"/>
      <w:lang w:val="es-ES" w:eastAsia="es-ES"/>
    </w:rPr>
  </w:style>
  <w:style w:type="paragraph" w:customStyle="1" w:styleId="Default">
    <w:name w:val="Default"/>
    <w:uiPriority w:val="99"/>
    <w:rsid w:val="0041698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41698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41698C"/>
    <w:pPr>
      <w:spacing w:before="100" w:beforeAutospacing="1" w:after="100" w:afterAutospacing="1"/>
    </w:pPr>
    <w:rPr>
      <w:rFonts w:eastAsia="Times New Roman"/>
      <w:lang w:val="es-CO" w:eastAsia="es-CO"/>
    </w:rPr>
  </w:style>
  <w:style w:type="paragraph" w:customStyle="1" w:styleId="parrafo-division">
    <w:name w:val="parrafo-division"/>
    <w:basedOn w:val="Normal"/>
    <w:uiPriority w:val="99"/>
    <w:rsid w:val="0041698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semiHidden/>
    <w:unhideWhenUsed/>
    <w:qFormat/>
    <w:rsid w:val="0041698C"/>
    <w:rPr>
      <w:vertAlign w:val="superscript"/>
    </w:rPr>
  </w:style>
  <w:style w:type="character" w:styleId="nfasissutil">
    <w:name w:val="Subtle Emphasis"/>
    <w:aliases w:val="Notas al pie"/>
    <w:basedOn w:val="Fuentedeprrafopredeter"/>
    <w:uiPriority w:val="19"/>
    <w:qFormat/>
    <w:rsid w:val="0041698C"/>
    <w:rPr>
      <w:rFonts w:ascii="Arial" w:hAnsi="Arial" w:cs="Arial" w:hint="default"/>
      <w:i w:val="0"/>
      <w:iCs/>
      <w:color w:val="auto"/>
      <w:sz w:val="16"/>
    </w:rPr>
  </w:style>
  <w:style w:type="character" w:customStyle="1" w:styleId="normaltextrun">
    <w:name w:val="normaltextrun"/>
    <w:basedOn w:val="Fuentedeprrafopredeter"/>
    <w:rsid w:val="0041698C"/>
  </w:style>
  <w:style w:type="table" w:styleId="Tabladecuadrcula2">
    <w:name w:val="Grid Table 2"/>
    <w:basedOn w:val="Tablanormal"/>
    <w:uiPriority w:val="47"/>
    <w:rsid w:val="0041698C"/>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41698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41698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4">
    <w:name w:val="Grid Table 4 Accent 4"/>
    <w:basedOn w:val="Tablanormal"/>
    <w:uiPriority w:val="49"/>
    <w:rsid w:val="0041698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6657">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72680886">
      <w:bodyDiv w:val="1"/>
      <w:marLeft w:val="0"/>
      <w:marRight w:val="0"/>
      <w:marTop w:val="0"/>
      <w:marBottom w:val="0"/>
      <w:divBdr>
        <w:top w:val="none" w:sz="0" w:space="0" w:color="auto"/>
        <w:left w:val="none" w:sz="0" w:space="0" w:color="auto"/>
        <w:bottom w:val="none" w:sz="0" w:space="0" w:color="auto"/>
        <w:right w:val="none" w:sz="0" w:space="0" w:color="auto"/>
      </w:divBdr>
    </w:div>
    <w:div w:id="823400803">
      <w:bodyDiv w:val="1"/>
      <w:marLeft w:val="0"/>
      <w:marRight w:val="0"/>
      <w:marTop w:val="0"/>
      <w:marBottom w:val="0"/>
      <w:divBdr>
        <w:top w:val="none" w:sz="0" w:space="0" w:color="auto"/>
        <w:left w:val="none" w:sz="0" w:space="0" w:color="auto"/>
        <w:bottom w:val="none" w:sz="0" w:space="0" w:color="auto"/>
        <w:right w:val="none" w:sz="0" w:space="0" w:color="auto"/>
      </w:divBdr>
    </w:div>
    <w:div w:id="967509496">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92007335">
      <w:bodyDiv w:val="1"/>
      <w:marLeft w:val="0"/>
      <w:marRight w:val="0"/>
      <w:marTop w:val="0"/>
      <w:marBottom w:val="0"/>
      <w:divBdr>
        <w:top w:val="none" w:sz="0" w:space="0" w:color="auto"/>
        <w:left w:val="none" w:sz="0" w:space="0" w:color="auto"/>
        <w:bottom w:val="none" w:sz="0" w:space="0" w:color="auto"/>
        <w:right w:val="none" w:sz="0" w:space="0" w:color="auto"/>
      </w:divBdr>
    </w:div>
    <w:div w:id="1726831214">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6CC02DFE-77DE-4C05-9766-E8079A5DF994}"/>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B9CB0CE3-D695-489C-901E-5D1471AF96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60257-7EAF-4B21-A5B8-63941C5EAE6E}">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23</Pages>
  <Words>9539</Words>
  <Characters>52469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2021-05-19T16:28:00Z</cp:lastPrinted>
  <dcterms:created xsi:type="dcterms:W3CDTF">2022-06-17T21:40:00Z</dcterms:created>
  <dcterms:modified xsi:type="dcterms:W3CDTF">2022-06-17T21:40:00Z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