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047" w:rsidRPr="00127717" w:rsidRDefault="00967047" w:rsidP="003B76DB">
      <w:pPr>
        <w:spacing w:after="200" w:line="276" w:lineRule="auto"/>
        <w:jc w:val="center"/>
        <w:rPr>
          <w:rFonts w:cs="Arial"/>
          <w:b/>
        </w:rPr>
      </w:pPr>
      <w:bookmarkStart w:id="0" w:name="_Toc273501106"/>
      <w:bookmarkStart w:id="1" w:name="_Ref299444581"/>
      <w:r w:rsidRPr="00127717">
        <w:rPr>
          <w:rFonts w:cs="Arial"/>
          <w:b/>
        </w:rPr>
        <w:t>TABLA DE CONTENIDO</w:t>
      </w:r>
    </w:p>
    <w:sdt>
      <w:sdtPr>
        <w:rPr>
          <w:rFonts w:ascii="Arial Narrow" w:eastAsiaTheme="minorHAnsi" w:hAnsi="Arial Narrow" w:cs="Arial"/>
          <w:b w:val="0"/>
          <w:bCs w:val="0"/>
          <w:color w:val="auto"/>
          <w:sz w:val="24"/>
          <w:szCs w:val="24"/>
          <w:lang w:val="es-CO" w:eastAsia="es-CO"/>
        </w:rPr>
        <w:id w:val="33089029"/>
        <w:docPartObj>
          <w:docPartGallery w:val="Table of Contents"/>
          <w:docPartUnique/>
        </w:docPartObj>
      </w:sdtPr>
      <w:sdtEndPr/>
      <w:sdtContent>
        <w:p w:rsidR="00C44CED" w:rsidRPr="003B76DB" w:rsidRDefault="00C44CED" w:rsidP="003B76DB">
          <w:pPr>
            <w:pStyle w:val="TtuloTDC"/>
            <w:rPr>
              <w:rFonts w:ascii="Arial Narrow" w:hAnsi="Arial Narrow" w:cs="Arial"/>
              <w:b w:val="0"/>
              <w:sz w:val="24"/>
              <w:szCs w:val="24"/>
            </w:rPr>
          </w:pPr>
        </w:p>
        <w:p w:rsidR="00127717" w:rsidRDefault="001B36FA" w:rsidP="00127717">
          <w:pPr>
            <w:pStyle w:val="TDC2"/>
            <w:rPr>
              <w:noProof/>
            </w:rPr>
          </w:pPr>
          <w:r>
            <w:rPr>
              <w:rFonts w:cs="Arial"/>
              <w:lang w:val="es-ES"/>
            </w:rPr>
            <w:fldChar w:fldCharType="begin"/>
          </w:r>
          <w:r>
            <w:rPr>
              <w:rFonts w:cs="Arial"/>
              <w:lang w:val="es-ES"/>
            </w:rPr>
            <w:instrText xml:space="preserve"> TOC \o "1-4" \h \z \u </w:instrText>
          </w:r>
          <w:r>
            <w:rPr>
              <w:rFonts w:cs="Arial"/>
              <w:lang w:val="es-ES"/>
            </w:rPr>
            <w:fldChar w:fldCharType="separate"/>
          </w:r>
          <w:hyperlink w:anchor="_Toc4590606" w:history="1">
            <w:r w:rsidR="00800D28" w:rsidRPr="00C54D2C">
              <w:rPr>
                <w:rStyle w:val="Hipervnculo"/>
                <w:noProof/>
              </w:rPr>
              <w:t>1.</w:t>
            </w:r>
            <w:r w:rsidR="00800D28">
              <w:rPr>
                <w:rFonts w:asciiTheme="minorHAnsi" w:eastAsiaTheme="minorEastAsia" w:hAnsiTheme="minorHAnsi" w:cstheme="minorBidi"/>
                <w:noProof/>
                <w:sz w:val="22"/>
                <w:szCs w:val="22"/>
              </w:rPr>
              <w:tab/>
            </w:r>
            <w:r w:rsidR="00800D28" w:rsidRPr="00C54D2C">
              <w:rPr>
                <w:rStyle w:val="Hipervnculo"/>
                <w:noProof/>
              </w:rPr>
              <w:t>Introducción</w:t>
            </w:r>
            <w:r w:rsidR="00800D28">
              <w:rPr>
                <w:noProof/>
                <w:webHidden/>
              </w:rPr>
              <w:tab/>
            </w:r>
            <w:r w:rsidR="00800D28">
              <w:rPr>
                <w:noProof/>
                <w:webHidden/>
              </w:rPr>
              <w:fldChar w:fldCharType="begin"/>
            </w:r>
            <w:r w:rsidR="00800D28">
              <w:rPr>
                <w:noProof/>
                <w:webHidden/>
              </w:rPr>
              <w:instrText xml:space="preserve"> PAGEREF _Toc4590606 \h </w:instrText>
            </w:r>
            <w:r w:rsidR="00800D28">
              <w:rPr>
                <w:noProof/>
                <w:webHidden/>
              </w:rPr>
            </w:r>
            <w:r w:rsidR="00800D28">
              <w:rPr>
                <w:noProof/>
                <w:webHidden/>
              </w:rPr>
              <w:fldChar w:fldCharType="separate"/>
            </w:r>
            <w:r w:rsidR="00D035D2">
              <w:rPr>
                <w:noProof/>
                <w:webHidden/>
              </w:rPr>
              <w:t>3</w:t>
            </w:r>
            <w:r w:rsidR="00800D28">
              <w:rPr>
                <w:noProof/>
                <w:webHidden/>
              </w:rPr>
              <w:fldChar w:fldCharType="end"/>
            </w:r>
          </w:hyperlink>
        </w:p>
        <w:p w:rsidR="00800D28" w:rsidRDefault="00634A1F" w:rsidP="00127717">
          <w:pPr>
            <w:pStyle w:val="TDC2"/>
            <w:rPr>
              <w:rFonts w:asciiTheme="minorHAnsi" w:eastAsiaTheme="minorEastAsia" w:hAnsiTheme="minorHAnsi" w:cstheme="minorBidi"/>
              <w:noProof/>
              <w:sz w:val="22"/>
              <w:szCs w:val="22"/>
            </w:rPr>
          </w:pPr>
          <w:hyperlink w:anchor="_Toc4590607" w:history="1">
            <w:r w:rsidR="00800D28" w:rsidRPr="00C54D2C">
              <w:rPr>
                <w:rStyle w:val="Hipervnculo"/>
                <w:noProof/>
              </w:rPr>
              <w:t>1.1.</w:t>
            </w:r>
            <w:r w:rsidR="00800D28">
              <w:rPr>
                <w:rFonts w:asciiTheme="minorHAnsi" w:eastAsiaTheme="minorEastAsia" w:hAnsiTheme="minorHAnsi" w:cstheme="minorBidi"/>
                <w:noProof/>
                <w:sz w:val="22"/>
                <w:szCs w:val="22"/>
              </w:rPr>
              <w:tab/>
            </w:r>
            <w:r w:rsidR="00800D28" w:rsidRPr="00C54D2C">
              <w:rPr>
                <w:rStyle w:val="Hipervnculo"/>
                <w:noProof/>
              </w:rPr>
              <w:t>Antecedentes</w:t>
            </w:r>
            <w:r w:rsidR="00800D28">
              <w:rPr>
                <w:noProof/>
                <w:webHidden/>
              </w:rPr>
              <w:tab/>
            </w:r>
            <w:r w:rsidR="00800D28">
              <w:rPr>
                <w:noProof/>
                <w:webHidden/>
              </w:rPr>
              <w:fldChar w:fldCharType="begin"/>
            </w:r>
            <w:r w:rsidR="00800D28">
              <w:rPr>
                <w:noProof/>
                <w:webHidden/>
              </w:rPr>
              <w:instrText xml:space="preserve"> PAGEREF _Toc4590607 \h </w:instrText>
            </w:r>
            <w:r w:rsidR="00800D28">
              <w:rPr>
                <w:noProof/>
                <w:webHidden/>
              </w:rPr>
            </w:r>
            <w:r w:rsidR="00800D28">
              <w:rPr>
                <w:noProof/>
                <w:webHidden/>
              </w:rPr>
              <w:fldChar w:fldCharType="separate"/>
            </w:r>
            <w:r w:rsidR="00D035D2">
              <w:rPr>
                <w:noProof/>
                <w:webHidden/>
              </w:rPr>
              <w:t>3</w:t>
            </w:r>
            <w:r w:rsidR="00800D28">
              <w:rPr>
                <w:noProof/>
                <w:webHidden/>
              </w:rPr>
              <w:fldChar w:fldCharType="end"/>
            </w:r>
          </w:hyperlink>
        </w:p>
        <w:p w:rsidR="00127717" w:rsidRDefault="00634A1F" w:rsidP="00127717">
          <w:pPr>
            <w:pStyle w:val="TDC2"/>
            <w:rPr>
              <w:noProof/>
            </w:rPr>
          </w:pPr>
          <w:hyperlink w:anchor="_Toc4590608" w:history="1">
            <w:r w:rsidR="00800D28" w:rsidRPr="00C54D2C">
              <w:rPr>
                <w:rStyle w:val="Hipervnculo"/>
                <w:noProof/>
              </w:rPr>
              <w:t>2.</w:t>
            </w:r>
            <w:r w:rsidR="00800D28">
              <w:rPr>
                <w:rFonts w:asciiTheme="minorHAnsi" w:eastAsiaTheme="minorEastAsia" w:hAnsiTheme="minorHAnsi" w:cstheme="minorBidi"/>
                <w:noProof/>
                <w:sz w:val="22"/>
                <w:szCs w:val="22"/>
              </w:rPr>
              <w:tab/>
            </w:r>
            <w:r w:rsidR="00800D28" w:rsidRPr="00C54D2C">
              <w:rPr>
                <w:rStyle w:val="Hipervnculo"/>
                <w:noProof/>
              </w:rPr>
              <w:t>Objetivo</w:t>
            </w:r>
            <w:r w:rsidR="00800D28">
              <w:rPr>
                <w:noProof/>
                <w:webHidden/>
              </w:rPr>
              <w:tab/>
            </w:r>
            <w:r w:rsidR="00800D28">
              <w:rPr>
                <w:noProof/>
                <w:webHidden/>
              </w:rPr>
              <w:fldChar w:fldCharType="begin"/>
            </w:r>
            <w:r w:rsidR="00800D28">
              <w:rPr>
                <w:noProof/>
                <w:webHidden/>
              </w:rPr>
              <w:instrText xml:space="preserve"> PAGEREF _Toc4590608 \h </w:instrText>
            </w:r>
            <w:r w:rsidR="00800D28">
              <w:rPr>
                <w:noProof/>
                <w:webHidden/>
              </w:rPr>
            </w:r>
            <w:r w:rsidR="00800D28">
              <w:rPr>
                <w:noProof/>
                <w:webHidden/>
              </w:rPr>
              <w:fldChar w:fldCharType="separate"/>
            </w:r>
            <w:r w:rsidR="00D035D2">
              <w:rPr>
                <w:noProof/>
                <w:webHidden/>
              </w:rPr>
              <w:t>4</w:t>
            </w:r>
            <w:r w:rsidR="00800D28">
              <w:rPr>
                <w:noProof/>
                <w:webHidden/>
              </w:rPr>
              <w:fldChar w:fldCharType="end"/>
            </w:r>
          </w:hyperlink>
        </w:p>
        <w:p w:rsidR="00800D28" w:rsidRDefault="00634A1F" w:rsidP="00127717">
          <w:pPr>
            <w:pStyle w:val="TDC2"/>
            <w:rPr>
              <w:rFonts w:asciiTheme="minorHAnsi" w:eastAsiaTheme="minorEastAsia" w:hAnsiTheme="minorHAnsi" w:cstheme="minorBidi"/>
              <w:noProof/>
              <w:sz w:val="22"/>
              <w:szCs w:val="22"/>
            </w:rPr>
          </w:pPr>
          <w:hyperlink w:anchor="_Toc4590609" w:history="1">
            <w:r w:rsidR="00800D28" w:rsidRPr="00C54D2C">
              <w:rPr>
                <w:rStyle w:val="Hipervnculo"/>
                <w:noProof/>
              </w:rPr>
              <w:t>2.1.</w:t>
            </w:r>
            <w:r w:rsidR="00800D28">
              <w:rPr>
                <w:rFonts w:asciiTheme="minorHAnsi" w:eastAsiaTheme="minorEastAsia" w:hAnsiTheme="minorHAnsi" w:cstheme="minorBidi"/>
                <w:noProof/>
                <w:sz w:val="22"/>
                <w:szCs w:val="22"/>
              </w:rPr>
              <w:tab/>
            </w:r>
            <w:r w:rsidR="00800D28" w:rsidRPr="00C54D2C">
              <w:rPr>
                <w:rStyle w:val="Hipervnculo"/>
                <w:noProof/>
              </w:rPr>
              <w:t>Objetivos Específicos</w:t>
            </w:r>
            <w:r w:rsidR="00800D28">
              <w:rPr>
                <w:noProof/>
                <w:webHidden/>
              </w:rPr>
              <w:tab/>
            </w:r>
            <w:r w:rsidR="00800D28">
              <w:rPr>
                <w:noProof/>
                <w:webHidden/>
              </w:rPr>
              <w:fldChar w:fldCharType="begin"/>
            </w:r>
            <w:r w:rsidR="00800D28">
              <w:rPr>
                <w:noProof/>
                <w:webHidden/>
              </w:rPr>
              <w:instrText xml:space="preserve"> PAGEREF _Toc4590609 \h </w:instrText>
            </w:r>
            <w:r w:rsidR="00800D28">
              <w:rPr>
                <w:noProof/>
                <w:webHidden/>
              </w:rPr>
            </w:r>
            <w:r w:rsidR="00800D28">
              <w:rPr>
                <w:noProof/>
                <w:webHidden/>
              </w:rPr>
              <w:fldChar w:fldCharType="separate"/>
            </w:r>
            <w:r w:rsidR="00D035D2">
              <w:rPr>
                <w:noProof/>
                <w:webHidden/>
              </w:rPr>
              <w:t>4</w:t>
            </w:r>
            <w:r w:rsidR="00800D28">
              <w:rPr>
                <w:noProof/>
                <w:webHidden/>
              </w:rPr>
              <w:fldChar w:fldCharType="end"/>
            </w:r>
          </w:hyperlink>
        </w:p>
        <w:p w:rsidR="00800D28" w:rsidRDefault="00634A1F">
          <w:pPr>
            <w:pStyle w:val="TDC2"/>
            <w:rPr>
              <w:rFonts w:asciiTheme="minorHAnsi" w:eastAsiaTheme="minorEastAsia" w:hAnsiTheme="minorHAnsi" w:cstheme="minorBidi"/>
              <w:noProof/>
              <w:sz w:val="22"/>
              <w:szCs w:val="22"/>
            </w:rPr>
          </w:pPr>
          <w:hyperlink w:anchor="_Toc4590610" w:history="1">
            <w:r w:rsidR="00800D28" w:rsidRPr="00C54D2C">
              <w:rPr>
                <w:rStyle w:val="Hipervnculo"/>
                <w:noProof/>
              </w:rPr>
              <w:t>3.</w:t>
            </w:r>
            <w:r w:rsidR="00800D28">
              <w:rPr>
                <w:rFonts w:asciiTheme="minorHAnsi" w:eastAsiaTheme="minorEastAsia" w:hAnsiTheme="minorHAnsi" w:cstheme="minorBidi"/>
                <w:noProof/>
                <w:sz w:val="22"/>
                <w:szCs w:val="22"/>
              </w:rPr>
              <w:tab/>
            </w:r>
            <w:r w:rsidR="00800D28" w:rsidRPr="00C54D2C">
              <w:rPr>
                <w:rStyle w:val="Hipervnculo"/>
                <w:noProof/>
              </w:rPr>
              <w:t>Alcance</w:t>
            </w:r>
            <w:r w:rsidR="00800D28">
              <w:rPr>
                <w:noProof/>
                <w:webHidden/>
              </w:rPr>
              <w:tab/>
            </w:r>
            <w:r w:rsidR="00800D28">
              <w:rPr>
                <w:noProof/>
                <w:webHidden/>
              </w:rPr>
              <w:fldChar w:fldCharType="begin"/>
            </w:r>
            <w:r w:rsidR="00800D28">
              <w:rPr>
                <w:noProof/>
                <w:webHidden/>
              </w:rPr>
              <w:instrText xml:space="preserve"> PAGEREF _Toc4590610 \h </w:instrText>
            </w:r>
            <w:r w:rsidR="00800D28">
              <w:rPr>
                <w:noProof/>
                <w:webHidden/>
              </w:rPr>
            </w:r>
            <w:r w:rsidR="00800D28">
              <w:rPr>
                <w:noProof/>
                <w:webHidden/>
              </w:rPr>
              <w:fldChar w:fldCharType="separate"/>
            </w:r>
            <w:r w:rsidR="00D035D2">
              <w:rPr>
                <w:noProof/>
                <w:webHidden/>
              </w:rPr>
              <w:t>4</w:t>
            </w:r>
            <w:r w:rsidR="00800D28">
              <w:rPr>
                <w:noProof/>
                <w:webHidden/>
              </w:rPr>
              <w:fldChar w:fldCharType="end"/>
            </w:r>
          </w:hyperlink>
        </w:p>
        <w:p w:rsidR="00800D28" w:rsidRDefault="00634A1F">
          <w:pPr>
            <w:pStyle w:val="TDC2"/>
            <w:rPr>
              <w:rFonts w:asciiTheme="minorHAnsi" w:eastAsiaTheme="minorEastAsia" w:hAnsiTheme="minorHAnsi" w:cstheme="minorBidi"/>
              <w:noProof/>
              <w:sz w:val="22"/>
              <w:szCs w:val="22"/>
            </w:rPr>
          </w:pPr>
          <w:hyperlink w:anchor="_Toc4590611" w:history="1">
            <w:r w:rsidR="00800D28" w:rsidRPr="00C54D2C">
              <w:rPr>
                <w:rStyle w:val="Hipervnculo"/>
                <w:noProof/>
              </w:rPr>
              <w:t>4.</w:t>
            </w:r>
            <w:r w:rsidR="00800D28">
              <w:rPr>
                <w:rFonts w:asciiTheme="minorHAnsi" w:eastAsiaTheme="minorEastAsia" w:hAnsiTheme="minorHAnsi" w:cstheme="minorBidi"/>
                <w:noProof/>
                <w:sz w:val="22"/>
                <w:szCs w:val="22"/>
              </w:rPr>
              <w:tab/>
            </w:r>
            <w:r w:rsidR="00800D28" w:rsidRPr="00C54D2C">
              <w:rPr>
                <w:rStyle w:val="Hipervnculo"/>
                <w:noProof/>
              </w:rPr>
              <w:t>Productos Esperados</w:t>
            </w:r>
            <w:r w:rsidR="00800D28">
              <w:rPr>
                <w:noProof/>
                <w:webHidden/>
              </w:rPr>
              <w:tab/>
            </w:r>
            <w:r w:rsidR="00800D28">
              <w:rPr>
                <w:noProof/>
                <w:webHidden/>
              </w:rPr>
              <w:fldChar w:fldCharType="begin"/>
            </w:r>
            <w:r w:rsidR="00800D28">
              <w:rPr>
                <w:noProof/>
                <w:webHidden/>
              </w:rPr>
              <w:instrText xml:space="preserve"> PAGEREF _Toc4590611 \h </w:instrText>
            </w:r>
            <w:r w:rsidR="00800D28">
              <w:rPr>
                <w:noProof/>
                <w:webHidden/>
              </w:rPr>
            </w:r>
            <w:r w:rsidR="00800D28">
              <w:rPr>
                <w:noProof/>
                <w:webHidden/>
              </w:rPr>
              <w:fldChar w:fldCharType="separate"/>
            </w:r>
            <w:r w:rsidR="00D035D2">
              <w:rPr>
                <w:noProof/>
                <w:webHidden/>
              </w:rPr>
              <w:t>5</w:t>
            </w:r>
            <w:r w:rsidR="00800D28">
              <w:rPr>
                <w:noProof/>
                <w:webHidden/>
              </w:rPr>
              <w:fldChar w:fldCharType="end"/>
            </w:r>
          </w:hyperlink>
        </w:p>
        <w:p w:rsidR="00127717" w:rsidRDefault="00634A1F" w:rsidP="00127717">
          <w:pPr>
            <w:pStyle w:val="TDC2"/>
            <w:rPr>
              <w:noProof/>
            </w:rPr>
          </w:pPr>
          <w:hyperlink w:anchor="_Toc4590612" w:history="1">
            <w:r w:rsidR="00800D28" w:rsidRPr="00C54D2C">
              <w:rPr>
                <w:rStyle w:val="Hipervnculo"/>
                <w:noProof/>
              </w:rPr>
              <w:t>5.</w:t>
            </w:r>
            <w:r w:rsidR="00800D28">
              <w:rPr>
                <w:rFonts w:asciiTheme="minorHAnsi" w:eastAsiaTheme="minorEastAsia" w:hAnsiTheme="minorHAnsi" w:cstheme="minorBidi"/>
                <w:noProof/>
                <w:sz w:val="22"/>
                <w:szCs w:val="22"/>
              </w:rPr>
              <w:tab/>
            </w:r>
            <w:r w:rsidR="00800D28" w:rsidRPr="00C54D2C">
              <w:rPr>
                <w:rStyle w:val="Hipervnculo"/>
                <w:noProof/>
              </w:rPr>
              <w:t>Términos y Definiciones</w:t>
            </w:r>
            <w:r w:rsidR="00800D28">
              <w:rPr>
                <w:noProof/>
                <w:webHidden/>
              </w:rPr>
              <w:tab/>
            </w:r>
            <w:r w:rsidR="00800D28">
              <w:rPr>
                <w:noProof/>
                <w:webHidden/>
              </w:rPr>
              <w:fldChar w:fldCharType="begin"/>
            </w:r>
            <w:r w:rsidR="00800D28">
              <w:rPr>
                <w:noProof/>
                <w:webHidden/>
              </w:rPr>
              <w:instrText xml:space="preserve"> PAGEREF _Toc4590612 \h </w:instrText>
            </w:r>
            <w:r w:rsidR="00800D28">
              <w:rPr>
                <w:noProof/>
                <w:webHidden/>
              </w:rPr>
            </w:r>
            <w:r w:rsidR="00800D28">
              <w:rPr>
                <w:noProof/>
                <w:webHidden/>
              </w:rPr>
              <w:fldChar w:fldCharType="separate"/>
            </w:r>
            <w:r w:rsidR="00D035D2">
              <w:rPr>
                <w:noProof/>
                <w:webHidden/>
              </w:rPr>
              <w:t>5</w:t>
            </w:r>
            <w:r w:rsidR="00800D28">
              <w:rPr>
                <w:noProof/>
                <w:webHidden/>
              </w:rPr>
              <w:fldChar w:fldCharType="end"/>
            </w:r>
          </w:hyperlink>
        </w:p>
        <w:p w:rsidR="00127717" w:rsidRDefault="00634A1F" w:rsidP="00127717">
          <w:pPr>
            <w:pStyle w:val="TDC2"/>
            <w:rPr>
              <w:noProof/>
            </w:rPr>
          </w:pPr>
          <w:hyperlink w:anchor="_Toc4590613" w:history="1">
            <w:r w:rsidR="00800D28" w:rsidRPr="00C54D2C">
              <w:rPr>
                <w:rStyle w:val="Hipervnculo"/>
                <w:noProof/>
              </w:rPr>
              <w:t>5.1.</w:t>
            </w:r>
            <w:r w:rsidR="00800D28">
              <w:rPr>
                <w:rFonts w:asciiTheme="minorHAnsi" w:eastAsiaTheme="minorEastAsia" w:hAnsiTheme="minorHAnsi" w:cstheme="minorBidi"/>
                <w:noProof/>
                <w:sz w:val="22"/>
                <w:szCs w:val="22"/>
              </w:rPr>
              <w:tab/>
            </w:r>
            <w:r w:rsidR="00800D28" w:rsidRPr="00C54D2C">
              <w:rPr>
                <w:rStyle w:val="Hipervnculo"/>
                <w:noProof/>
              </w:rPr>
              <w:t>Riesgo Operativo</w:t>
            </w:r>
            <w:r w:rsidR="00800D28">
              <w:rPr>
                <w:noProof/>
                <w:webHidden/>
              </w:rPr>
              <w:tab/>
            </w:r>
            <w:r w:rsidR="00800D28">
              <w:rPr>
                <w:noProof/>
                <w:webHidden/>
              </w:rPr>
              <w:fldChar w:fldCharType="begin"/>
            </w:r>
            <w:r w:rsidR="00800D28">
              <w:rPr>
                <w:noProof/>
                <w:webHidden/>
              </w:rPr>
              <w:instrText xml:space="preserve"> PAGEREF _Toc4590613 \h </w:instrText>
            </w:r>
            <w:r w:rsidR="00800D28">
              <w:rPr>
                <w:noProof/>
                <w:webHidden/>
              </w:rPr>
            </w:r>
            <w:r w:rsidR="00800D28">
              <w:rPr>
                <w:noProof/>
                <w:webHidden/>
              </w:rPr>
              <w:fldChar w:fldCharType="separate"/>
            </w:r>
            <w:r w:rsidR="00D035D2">
              <w:rPr>
                <w:noProof/>
                <w:webHidden/>
              </w:rPr>
              <w:t>5</w:t>
            </w:r>
            <w:r w:rsidR="00800D28">
              <w:rPr>
                <w:noProof/>
                <w:webHidden/>
              </w:rPr>
              <w:fldChar w:fldCharType="end"/>
            </w:r>
          </w:hyperlink>
        </w:p>
        <w:p w:rsidR="00127717" w:rsidRDefault="00634A1F" w:rsidP="00127717">
          <w:pPr>
            <w:pStyle w:val="TDC2"/>
            <w:rPr>
              <w:noProof/>
            </w:rPr>
          </w:pPr>
          <w:hyperlink w:anchor="_Toc4590614" w:history="1">
            <w:r w:rsidR="00800D28" w:rsidRPr="00C54D2C">
              <w:rPr>
                <w:rStyle w:val="Hipervnculo"/>
                <w:noProof/>
              </w:rPr>
              <w:t>5.2.</w:t>
            </w:r>
            <w:r w:rsidR="00800D28">
              <w:rPr>
                <w:rFonts w:asciiTheme="minorHAnsi" w:eastAsiaTheme="minorEastAsia" w:hAnsiTheme="minorHAnsi" w:cstheme="minorBidi"/>
                <w:noProof/>
                <w:sz w:val="22"/>
                <w:szCs w:val="22"/>
              </w:rPr>
              <w:tab/>
            </w:r>
            <w:r w:rsidR="00800D28" w:rsidRPr="00C54D2C">
              <w:rPr>
                <w:rStyle w:val="Hipervnculo"/>
                <w:noProof/>
              </w:rPr>
              <w:t>Riesgo Legal</w:t>
            </w:r>
            <w:r w:rsidR="00800D28">
              <w:rPr>
                <w:noProof/>
                <w:webHidden/>
              </w:rPr>
              <w:tab/>
            </w:r>
            <w:r w:rsidR="00800D28">
              <w:rPr>
                <w:noProof/>
                <w:webHidden/>
              </w:rPr>
              <w:fldChar w:fldCharType="begin"/>
            </w:r>
            <w:r w:rsidR="00800D28">
              <w:rPr>
                <w:noProof/>
                <w:webHidden/>
              </w:rPr>
              <w:instrText xml:space="preserve"> PAGEREF _Toc4590614 \h </w:instrText>
            </w:r>
            <w:r w:rsidR="00800D28">
              <w:rPr>
                <w:noProof/>
                <w:webHidden/>
              </w:rPr>
            </w:r>
            <w:r w:rsidR="00800D28">
              <w:rPr>
                <w:noProof/>
                <w:webHidden/>
              </w:rPr>
              <w:fldChar w:fldCharType="separate"/>
            </w:r>
            <w:r w:rsidR="00D035D2">
              <w:rPr>
                <w:noProof/>
                <w:webHidden/>
              </w:rPr>
              <w:t>6</w:t>
            </w:r>
            <w:r w:rsidR="00800D28">
              <w:rPr>
                <w:noProof/>
                <w:webHidden/>
              </w:rPr>
              <w:fldChar w:fldCharType="end"/>
            </w:r>
          </w:hyperlink>
        </w:p>
        <w:p w:rsidR="00127717" w:rsidRDefault="00634A1F" w:rsidP="00127717">
          <w:pPr>
            <w:pStyle w:val="TDC2"/>
            <w:rPr>
              <w:noProof/>
            </w:rPr>
          </w:pPr>
          <w:hyperlink w:anchor="_Toc4590615" w:history="1">
            <w:r w:rsidR="00800D28" w:rsidRPr="00C54D2C">
              <w:rPr>
                <w:rStyle w:val="Hipervnculo"/>
                <w:noProof/>
              </w:rPr>
              <w:t>5.3.</w:t>
            </w:r>
            <w:r w:rsidR="00800D28">
              <w:rPr>
                <w:rFonts w:asciiTheme="minorHAnsi" w:eastAsiaTheme="minorEastAsia" w:hAnsiTheme="minorHAnsi" w:cstheme="minorBidi"/>
                <w:noProof/>
                <w:sz w:val="22"/>
                <w:szCs w:val="22"/>
              </w:rPr>
              <w:tab/>
            </w:r>
            <w:r w:rsidR="00800D28" w:rsidRPr="00C54D2C">
              <w:rPr>
                <w:rStyle w:val="Hipervnculo"/>
                <w:noProof/>
              </w:rPr>
              <w:t>Riesgo Reputacional</w:t>
            </w:r>
            <w:r w:rsidR="00800D28">
              <w:rPr>
                <w:noProof/>
                <w:webHidden/>
              </w:rPr>
              <w:tab/>
            </w:r>
            <w:r w:rsidR="00800D28">
              <w:rPr>
                <w:noProof/>
                <w:webHidden/>
              </w:rPr>
              <w:fldChar w:fldCharType="begin"/>
            </w:r>
            <w:r w:rsidR="00800D28">
              <w:rPr>
                <w:noProof/>
                <w:webHidden/>
              </w:rPr>
              <w:instrText xml:space="preserve"> PAGEREF _Toc4590615 \h </w:instrText>
            </w:r>
            <w:r w:rsidR="00800D28">
              <w:rPr>
                <w:noProof/>
                <w:webHidden/>
              </w:rPr>
            </w:r>
            <w:r w:rsidR="00800D28">
              <w:rPr>
                <w:noProof/>
                <w:webHidden/>
              </w:rPr>
              <w:fldChar w:fldCharType="separate"/>
            </w:r>
            <w:r w:rsidR="00D035D2">
              <w:rPr>
                <w:noProof/>
                <w:webHidden/>
              </w:rPr>
              <w:t>6</w:t>
            </w:r>
            <w:r w:rsidR="00800D28">
              <w:rPr>
                <w:noProof/>
                <w:webHidden/>
              </w:rPr>
              <w:fldChar w:fldCharType="end"/>
            </w:r>
          </w:hyperlink>
        </w:p>
        <w:p w:rsidR="00800D28" w:rsidRDefault="00634A1F" w:rsidP="00127717">
          <w:pPr>
            <w:pStyle w:val="TDC2"/>
            <w:rPr>
              <w:rFonts w:asciiTheme="minorHAnsi" w:eastAsiaTheme="minorEastAsia" w:hAnsiTheme="minorHAnsi" w:cstheme="minorBidi"/>
              <w:noProof/>
              <w:sz w:val="22"/>
              <w:szCs w:val="22"/>
            </w:rPr>
          </w:pPr>
          <w:hyperlink w:anchor="_Toc4590616" w:history="1">
            <w:r w:rsidR="00800D28" w:rsidRPr="00C54D2C">
              <w:rPr>
                <w:rStyle w:val="Hipervnculo"/>
                <w:noProof/>
              </w:rPr>
              <w:t>5.4.</w:t>
            </w:r>
            <w:r w:rsidR="00800D28">
              <w:rPr>
                <w:rFonts w:asciiTheme="minorHAnsi" w:eastAsiaTheme="minorEastAsia" w:hAnsiTheme="minorHAnsi" w:cstheme="minorBidi"/>
                <w:noProof/>
                <w:sz w:val="22"/>
                <w:szCs w:val="22"/>
              </w:rPr>
              <w:tab/>
            </w:r>
            <w:r w:rsidR="00800D28" w:rsidRPr="00C54D2C">
              <w:rPr>
                <w:rStyle w:val="Hipervnculo"/>
                <w:noProof/>
              </w:rPr>
              <w:t>Definición de Factores de Riesgo</w:t>
            </w:r>
            <w:r w:rsidR="00800D28">
              <w:rPr>
                <w:noProof/>
                <w:webHidden/>
              </w:rPr>
              <w:tab/>
            </w:r>
            <w:r w:rsidR="00800D28">
              <w:rPr>
                <w:noProof/>
                <w:webHidden/>
              </w:rPr>
              <w:fldChar w:fldCharType="begin"/>
            </w:r>
            <w:r w:rsidR="00800D28">
              <w:rPr>
                <w:noProof/>
                <w:webHidden/>
              </w:rPr>
              <w:instrText xml:space="preserve"> PAGEREF _Toc4590616 \h </w:instrText>
            </w:r>
            <w:r w:rsidR="00800D28">
              <w:rPr>
                <w:noProof/>
                <w:webHidden/>
              </w:rPr>
            </w:r>
            <w:r w:rsidR="00800D28">
              <w:rPr>
                <w:noProof/>
                <w:webHidden/>
              </w:rPr>
              <w:fldChar w:fldCharType="separate"/>
            </w:r>
            <w:r w:rsidR="00D035D2">
              <w:rPr>
                <w:noProof/>
                <w:webHidden/>
              </w:rPr>
              <w:t>6</w:t>
            </w:r>
            <w:r w:rsidR="00800D28">
              <w:rPr>
                <w:noProof/>
                <w:webHidden/>
              </w:rPr>
              <w:fldChar w:fldCharType="end"/>
            </w:r>
          </w:hyperlink>
        </w:p>
        <w:p w:rsidR="00127717" w:rsidRDefault="00634A1F" w:rsidP="00127717">
          <w:pPr>
            <w:pStyle w:val="TDC2"/>
            <w:rPr>
              <w:noProof/>
            </w:rPr>
          </w:pPr>
          <w:hyperlink w:anchor="_Toc4590617" w:history="1">
            <w:r w:rsidR="00800D28" w:rsidRPr="00C54D2C">
              <w:rPr>
                <w:rStyle w:val="Hipervnculo"/>
                <w:noProof/>
              </w:rPr>
              <w:t>6.</w:t>
            </w:r>
            <w:r w:rsidR="00800D28">
              <w:rPr>
                <w:rFonts w:asciiTheme="minorHAnsi" w:eastAsiaTheme="minorEastAsia" w:hAnsiTheme="minorHAnsi" w:cstheme="minorBidi"/>
                <w:noProof/>
                <w:sz w:val="22"/>
                <w:szCs w:val="22"/>
              </w:rPr>
              <w:tab/>
            </w:r>
            <w:r w:rsidR="00800D28" w:rsidRPr="00C54D2C">
              <w:rPr>
                <w:rStyle w:val="Hipervnculo"/>
                <w:noProof/>
              </w:rPr>
              <w:t>Directrices Generales del SARO</w:t>
            </w:r>
            <w:r w:rsidR="00800D28">
              <w:rPr>
                <w:noProof/>
                <w:webHidden/>
              </w:rPr>
              <w:tab/>
            </w:r>
            <w:r w:rsidR="00800D28">
              <w:rPr>
                <w:noProof/>
                <w:webHidden/>
              </w:rPr>
              <w:fldChar w:fldCharType="begin"/>
            </w:r>
            <w:r w:rsidR="00800D28">
              <w:rPr>
                <w:noProof/>
                <w:webHidden/>
              </w:rPr>
              <w:instrText xml:space="preserve"> PAGEREF _Toc4590617 \h </w:instrText>
            </w:r>
            <w:r w:rsidR="00800D28">
              <w:rPr>
                <w:noProof/>
                <w:webHidden/>
              </w:rPr>
            </w:r>
            <w:r w:rsidR="00800D28">
              <w:rPr>
                <w:noProof/>
                <w:webHidden/>
              </w:rPr>
              <w:fldChar w:fldCharType="separate"/>
            </w:r>
            <w:r w:rsidR="00D035D2">
              <w:rPr>
                <w:noProof/>
                <w:webHidden/>
              </w:rPr>
              <w:t>7</w:t>
            </w:r>
            <w:r w:rsidR="00800D28">
              <w:rPr>
                <w:noProof/>
                <w:webHidden/>
              </w:rPr>
              <w:fldChar w:fldCharType="end"/>
            </w:r>
          </w:hyperlink>
        </w:p>
        <w:p w:rsidR="00127717" w:rsidRDefault="00634A1F" w:rsidP="00127717">
          <w:pPr>
            <w:pStyle w:val="TDC2"/>
            <w:rPr>
              <w:noProof/>
            </w:rPr>
          </w:pPr>
          <w:hyperlink w:anchor="_Toc4590618" w:history="1">
            <w:r w:rsidR="00800D28" w:rsidRPr="00C54D2C">
              <w:rPr>
                <w:rStyle w:val="Hipervnculo"/>
                <w:noProof/>
              </w:rPr>
              <w:t>6.1.</w:t>
            </w:r>
            <w:r w:rsidR="00800D28">
              <w:rPr>
                <w:rFonts w:asciiTheme="minorHAnsi" w:eastAsiaTheme="minorEastAsia" w:hAnsiTheme="minorHAnsi" w:cstheme="minorBidi"/>
                <w:noProof/>
                <w:sz w:val="22"/>
                <w:szCs w:val="22"/>
              </w:rPr>
              <w:tab/>
            </w:r>
            <w:r w:rsidR="00800D28" w:rsidRPr="00C54D2C">
              <w:rPr>
                <w:rStyle w:val="Hipervnculo"/>
                <w:noProof/>
              </w:rPr>
              <w:t>Responsabilidades</w:t>
            </w:r>
            <w:r w:rsidR="00800D28">
              <w:rPr>
                <w:noProof/>
                <w:webHidden/>
              </w:rPr>
              <w:tab/>
            </w:r>
            <w:r w:rsidR="00800D28">
              <w:rPr>
                <w:noProof/>
                <w:webHidden/>
              </w:rPr>
              <w:fldChar w:fldCharType="begin"/>
            </w:r>
            <w:r w:rsidR="00800D28">
              <w:rPr>
                <w:noProof/>
                <w:webHidden/>
              </w:rPr>
              <w:instrText xml:space="preserve"> PAGEREF _Toc4590618 \h </w:instrText>
            </w:r>
            <w:r w:rsidR="00800D28">
              <w:rPr>
                <w:noProof/>
                <w:webHidden/>
              </w:rPr>
            </w:r>
            <w:r w:rsidR="00800D28">
              <w:rPr>
                <w:noProof/>
                <w:webHidden/>
              </w:rPr>
              <w:fldChar w:fldCharType="separate"/>
            </w:r>
            <w:r w:rsidR="00D035D2">
              <w:rPr>
                <w:noProof/>
                <w:webHidden/>
              </w:rPr>
              <w:t>7</w:t>
            </w:r>
            <w:r w:rsidR="00800D28">
              <w:rPr>
                <w:noProof/>
                <w:webHidden/>
              </w:rPr>
              <w:fldChar w:fldCharType="end"/>
            </w:r>
          </w:hyperlink>
        </w:p>
        <w:p w:rsidR="00127717" w:rsidRDefault="00634A1F" w:rsidP="00127717">
          <w:pPr>
            <w:pStyle w:val="TDC2"/>
            <w:rPr>
              <w:noProof/>
            </w:rPr>
          </w:pPr>
          <w:hyperlink w:anchor="_Toc4590619" w:history="1">
            <w:r w:rsidR="00800D28" w:rsidRPr="00C54D2C">
              <w:rPr>
                <w:rStyle w:val="Hipervnculo"/>
                <w:noProof/>
              </w:rPr>
              <w:t>6.1.1.</w:t>
            </w:r>
            <w:r w:rsidR="00800D28">
              <w:rPr>
                <w:rFonts w:asciiTheme="minorHAnsi" w:eastAsiaTheme="minorEastAsia" w:hAnsiTheme="minorHAnsi" w:cstheme="minorBidi"/>
                <w:noProof/>
                <w:sz w:val="22"/>
                <w:szCs w:val="22"/>
              </w:rPr>
              <w:tab/>
            </w:r>
            <w:r w:rsidR="00800D28" w:rsidRPr="00C54D2C">
              <w:rPr>
                <w:rStyle w:val="Hipervnculo"/>
                <w:noProof/>
              </w:rPr>
              <w:t>Dirección General de Crédito Público y Tesoro Nacional</w:t>
            </w:r>
            <w:r w:rsidR="00800D28">
              <w:rPr>
                <w:noProof/>
                <w:webHidden/>
              </w:rPr>
              <w:tab/>
            </w:r>
            <w:r w:rsidR="00800D28">
              <w:rPr>
                <w:noProof/>
                <w:webHidden/>
              </w:rPr>
              <w:fldChar w:fldCharType="begin"/>
            </w:r>
            <w:r w:rsidR="00800D28">
              <w:rPr>
                <w:noProof/>
                <w:webHidden/>
              </w:rPr>
              <w:instrText xml:space="preserve"> PAGEREF _Toc4590619 \h </w:instrText>
            </w:r>
            <w:r w:rsidR="00800D28">
              <w:rPr>
                <w:noProof/>
                <w:webHidden/>
              </w:rPr>
            </w:r>
            <w:r w:rsidR="00800D28">
              <w:rPr>
                <w:noProof/>
                <w:webHidden/>
              </w:rPr>
              <w:fldChar w:fldCharType="separate"/>
            </w:r>
            <w:r w:rsidR="00D035D2">
              <w:rPr>
                <w:noProof/>
                <w:webHidden/>
              </w:rPr>
              <w:t>7</w:t>
            </w:r>
            <w:r w:rsidR="00800D28">
              <w:rPr>
                <w:noProof/>
                <w:webHidden/>
              </w:rPr>
              <w:fldChar w:fldCharType="end"/>
            </w:r>
          </w:hyperlink>
        </w:p>
        <w:p w:rsidR="00127717" w:rsidRDefault="00634A1F" w:rsidP="00127717">
          <w:pPr>
            <w:pStyle w:val="TDC2"/>
            <w:rPr>
              <w:noProof/>
            </w:rPr>
          </w:pPr>
          <w:hyperlink w:anchor="_Toc4590620" w:history="1">
            <w:r w:rsidR="00800D28" w:rsidRPr="00C54D2C">
              <w:rPr>
                <w:rStyle w:val="Hipervnculo"/>
                <w:noProof/>
              </w:rPr>
              <w:t>6.1.2.</w:t>
            </w:r>
            <w:r w:rsidR="00800D28">
              <w:rPr>
                <w:rFonts w:asciiTheme="minorHAnsi" w:eastAsiaTheme="minorEastAsia" w:hAnsiTheme="minorHAnsi" w:cstheme="minorBidi"/>
                <w:noProof/>
                <w:sz w:val="22"/>
                <w:szCs w:val="22"/>
              </w:rPr>
              <w:tab/>
            </w:r>
            <w:r w:rsidR="00800D28" w:rsidRPr="00C54D2C">
              <w:rPr>
                <w:rStyle w:val="Hipervnculo"/>
                <w:noProof/>
              </w:rPr>
              <w:t>Subdirección de Riesgo</w:t>
            </w:r>
            <w:r w:rsidR="00800D28">
              <w:rPr>
                <w:noProof/>
                <w:webHidden/>
              </w:rPr>
              <w:tab/>
            </w:r>
            <w:r w:rsidR="00800D28">
              <w:rPr>
                <w:noProof/>
                <w:webHidden/>
              </w:rPr>
              <w:fldChar w:fldCharType="begin"/>
            </w:r>
            <w:r w:rsidR="00800D28">
              <w:rPr>
                <w:noProof/>
                <w:webHidden/>
              </w:rPr>
              <w:instrText xml:space="preserve"> PAGEREF _Toc4590620 \h </w:instrText>
            </w:r>
            <w:r w:rsidR="00800D28">
              <w:rPr>
                <w:noProof/>
                <w:webHidden/>
              </w:rPr>
            </w:r>
            <w:r w:rsidR="00800D28">
              <w:rPr>
                <w:noProof/>
                <w:webHidden/>
              </w:rPr>
              <w:fldChar w:fldCharType="separate"/>
            </w:r>
            <w:r w:rsidR="00D035D2">
              <w:rPr>
                <w:noProof/>
                <w:webHidden/>
              </w:rPr>
              <w:t>8</w:t>
            </w:r>
            <w:r w:rsidR="00800D28">
              <w:rPr>
                <w:noProof/>
                <w:webHidden/>
              </w:rPr>
              <w:fldChar w:fldCharType="end"/>
            </w:r>
          </w:hyperlink>
        </w:p>
        <w:p w:rsidR="00127717" w:rsidRDefault="00634A1F" w:rsidP="00127717">
          <w:pPr>
            <w:pStyle w:val="TDC2"/>
            <w:rPr>
              <w:noProof/>
            </w:rPr>
          </w:pPr>
          <w:hyperlink w:anchor="_Toc4590621" w:history="1">
            <w:r w:rsidR="00800D28" w:rsidRPr="00C54D2C">
              <w:rPr>
                <w:rStyle w:val="Hipervnculo"/>
                <w:noProof/>
              </w:rPr>
              <w:t>6.1.3.</w:t>
            </w:r>
            <w:r w:rsidR="00800D28">
              <w:rPr>
                <w:rFonts w:asciiTheme="minorHAnsi" w:eastAsiaTheme="minorEastAsia" w:hAnsiTheme="minorHAnsi" w:cstheme="minorBidi"/>
                <w:noProof/>
                <w:sz w:val="22"/>
                <w:szCs w:val="22"/>
              </w:rPr>
              <w:tab/>
            </w:r>
            <w:r w:rsidR="00800D28" w:rsidRPr="00C54D2C">
              <w:rPr>
                <w:rStyle w:val="Hipervnculo"/>
                <w:noProof/>
              </w:rPr>
              <w:t>Gestores de riesgo</w:t>
            </w:r>
            <w:r w:rsidR="00800D28">
              <w:rPr>
                <w:noProof/>
                <w:webHidden/>
              </w:rPr>
              <w:tab/>
            </w:r>
            <w:r w:rsidR="00800D28">
              <w:rPr>
                <w:noProof/>
                <w:webHidden/>
              </w:rPr>
              <w:fldChar w:fldCharType="begin"/>
            </w:r>
            <w:r w:rsidR="00800D28">
              <w:rPr>
                <w:noProof/>
                <w:webHidden/>
              </w:rPr>
              <w:instrText xml:space="preserve"> PAGEREF _Toc4590621 \h </w:instrText>
            </w:r>
            <w:r w:rsidR="00800D28">
              <w:rPr>
                <w:noProof/>
                <w:webHidden/>
              </w:rPr>
            </w:r>
            <w:r w:rsidR="00800D28">
              <w:rPr>
                <w:noProof/>
                <w:webHidden/>
              </w:rPr>
              <w:fldChar w:fldCharType="separate"/>
            </w:r>
            <w:r w:rsidR="00D035D2">
              <w:rPr>
                <w:noProof/>
                <w:webHidden/>
              </w:rPr>
              <w:t>8</w:t>
            </w:r>
            <w:r w:rsidR="00800D28">
              <w:rPr>
                <w:noProof/>
                <w:webHidden/>
              </w:rPr>
              <w:fldChar w:fldCharType="end"/>
            </w:r>
          </w:hyperlink>
        </w:p>
        <w:p w:rsidR="00127717" w:rsidRDefault="00634A1F" w:rsidP="00127717">
          <w:pPr>
            <w:pStyle w:val="TDC2"/>
            <w:rPr>
              <w:noProof/>
            </w:rPr>
          </w:pPr>
          <w:hyperlink w:anchor="_Toc4590622" w:history="1">
            <w:r w:rsidR="00800D28" w:rsidRPr="00C54D2C">
              <w:rPr>
                <w:rStyle w:val="Hipervnculo"/>
                <w:noProof/>
              </w:rPr>
              <w:t>6.2.</w:t>
            </w:r>
            <w:r w:rsidR="00800D28">
              <w:rPr>
                <w:rFonts w:asciiTheme="minorHAnsi" w:eastAsiaTheme="minorEastAsia" w:hAnsiTheme="minorHAnsi" w:cstheme="minorBidi"/>
                <w:noProof/>
                <w:sz w:val="22"/>
                <w:szCs w:val="22"/>
              </w:rPr>
              <w:tab/>
            </w:r>
            <w:r w:rsidR="00800D28" w:rsidRPr="00C54D2C">
              <w:rPr>
                <w:rStyle w:val="Hipervnculo"/>
                <w:noProof/>
              </w:rPr>
              <w:t>Reunión Técnica de Administración de Riesgos</w:t>
            </w:r>
            <w:r w:rsidR="00800D28">
              <w:rPr>
                <w:noProof/>
                <w:webHidden/>
              </w:rPr>
              <w:tab/>
            </w:r>
            <w:r w:rsidR="00800D28">
              <w:rPr>
                <w:noProof/>
                <w:webHidden/>
              </w:rPr>
              <w:fldChar w:fldCharType="begin"/>
            </w:r>
            <w:r w:rsidR="00800D28">
              <w:rPr>
                <w:noProof/>
                <w:webHidden/>
              </w:rPr>
              <w:instrText xml:space="preserve"> PAGEREF _Toc4590622 \h </w:instrText>
            </w:r>
            <w:r w:rsidR="00800D28">
              <w:rPr>
                <w:noProof/>
                <w:webHidden/>
              </w:rPr>
            </w:r>
            <w:r w:rsidR="00800D28">
              <w:rPr>
                <w:noProof/>
                <w:webHidden/>
              </w:rPr>
              <w:fldChar w:fldCharType="separate"/>
            </w:r>
            <w:r w:rsidR="00D035D2">
              <w:rPr>
                <w:noProof/>
                <w:webHidden/>
              </w:rPr>
              <w:t>9</w:t>
            </w:r>
            <w:r w:rsidR="00800D28">
              <w:rPr>
                <w:noProof/>
                <w:webHidden/>
              </w:rPr>
              <w:fldChar w:fldCharType="end"/>
            </w:r>
          </w:hyperlink>
        </w:p>
        <w:p w:rsidR="00127717" w:rsidRDefault="00634A1F" w:rsidP="00127717">
          <w:pPr>
            <w:pStyle w:val="TDC2"/>
            <w:rPr>
              <w:noProof/>
            </w:rPr>
          </w:pPr>
          <w:hyperlink w:anchor="_Toc4590623" w:history="1">
            <w:r w:rsidR="00800D28" w:rsidRPr="00C54D2C">
              <w:rPr>
                <w:rStyle w:val="Hipervnculo"/>
                <w:noProof/>
              </w:rPr>
              <w:t>6.2.1.</w:t>
            </w:r>
            <w:r w:rsidR="00800D28">
              <w:rPr>
                <w:rFonts w:asciiTheme="minorHAnsi" w:eastAsiaTheme="minorEastAsia" w:hAnsiTheme="minorHAnsi" w:cstheme="minorBidi"/>
                <w:noProof/>
                <w:sz w:val="22"/>
                <w:szCs w:val="22"/>
              </w:rPr>
              <w:tab/>
            </w:r>
            <w:r w:rsidR="00800D28" w:rsidRPr="00C54D2C">
              <w:rPr>
                <w:rStyle w:val="Hipervnculo"/>
                <w:noProof/>
              </w:rPr>
              <w:t>Integrantes</w:t>
            </w:r>
            <w:r w:rsidR="00800D28">
              <w:rPr>
                <w:noProof/>
                <w:webHidden/>
              </w:rPr>
              <w:tab/>
            </w:r>
            <w:r w:rsidR="00800D28">
              <w:rPr>
                <w:noProof/>
                <w:webHidden/>
              </w:rPr>
              <w:fldChar w:fldCharType="begin"/>
            </w:r>
            <w:r w:rsidR="00800D28">
              <w:rPr>
                <w:noProof/>
                <w:webHidden/>
              </w:rPr>
              <w:instrText xml:space="preserve"> PAGEREF _Toc4590623 \h </w:instrText>
            </w:r>
            <w:r w:rsidR="00800D28">
              <w:rPr>
                <w:noProof/>
                <w:webHidden/>
              </w:rPr>
            </w:r>
            <w:r w:rsidR="00800D28">
              <w:rPr>
                <w:noProof/>
                <w:webHidden/>
              </w:rPr>
              <w:fldChar w:fldCharType="separate"/>
            </w:r>
            <w:r w:rsidR="00D035D2">
              <w:rPr>
                <w:noProof/>
                <w:webHidden/>
              </w:rPr>
              <w:t>9</w:t>
            </w:r>
            <w:r w:rsidR="00800D28">
              <w:rPr>
                <w:noProof/>
                <w:webHidden/>
              </w:rPr>
              <w:fldChar w:fldCharType="end"/>
            </w:r>
          </w:hyperlink>
        </w:p>
        <w:p w:rsidR="00800D28" w:rsidRDefault="00634A1F" w:rsidP="00127717">
          <w:pPr>
            <w:pStyle w:val="TDC2"/>
            <w:rPr>
              <w:rFonts w:asciiTheme="minorHAnsi" w:eastAsiaTheme="minorEastAsia" w:hAnsiTheme="minorHAnsi" w:cstheme="minorBidi"/>
              <w:noProof/>
              <w:sz w:val="22"/>
              <w:szCs w:val="22"/>
            </w:rPr>
          </w:pPr>
          <w:hyperlink w:anchor="_Toc4590624" w:history="1">
            <w:r w:rsidR="00800D28" w:rsidRPr="00C54D2C">
              <w:rPr>
                <w:rStyle w:val="Hipervnculo"/>
                <w:noProof/>
              </w:rPr>
              <w:t>6.2.2.</w:t>
            </w:r>
            <w:r w:rsidR="00800D28">
              <w:rPr>
                <w:rFonts w:asciiTheme="minorHAnsi" w:eastAsiaTheme="minorEastAsia" w:hAnsiTheme="minorHAnsi" w:cstheme="minorBidi"/>
                <w:noProof/>
                <w:sz w:val="22"/>
                <w:szCs w:val="22"/>
              </w:rPr>
              <w:tab/>
            </w:r>
            <w:r w:rsidR="00800D28" w:rsidRPr="00C54D2C">
              <w:rPr>
                <w:rStyle w:val="Hipervnculo"/>
                <w:noProof/>
              </w:rPr>
              <w:t>Funciones</w:t>
            </w:r>
            <w:r w:rsidR="00800D28">
              <w:rPr>
                <w:noProof/>
                <w:webHidden/>
              </w:rPr>
              <w:tab/>
            </w:r>
            <w:r w:rsidR="00800D28">
              <w:rPr>
                <w:noProof/>
                <w:webHidden/>
              </w:rPr>
              <w:fldChar w:fldCharType="begin"/>
            </w:r>
            <w:r w:rsidR="00800D28">
              <w:rPr>
                <w:noProof/>
                <w:webHidden/>
              </w:rPr>
              <w:instrText xml:space="preserve"> PAGEREF _Toc4590624 \h </w:instrText>
            </w:r>
            <w:r w:rsidR="00800D28">
              <w:rPr>
                <w:noProof/>
                <w:webHidden/>
              </w:rPr>
            </w:r>
            <w:r w:rsidR="00800D28">
              <w:rPr>
                <w:noProof/>
                <w:webHidden/>
              </w:rPr>
              <w:fldChar w:fldCharType="separate"/>
            </w:r>
            <w:r w:rsidR="00D035D2">
              <w:rPr>
                <w:noProof/>
                <w:webHidden/>
              </w:rPr>
              <w:t>10</w:t>
            </w:r>
            <w:r w:rsidR="00800D28">
              <w:rPr>
                <w:noProof/>
                <w:webHidden/>
              </w:rPr>
              <w:fldChar w:fldCharType="end"/>
            </w:r>
          </w:hyperlink>
        </w:p>
        <w:p w:rsidR="00127717" w:rsidRDefault="00634A1F" w:rsidP="00127717">
          <w:pPr>
            <w:pStyle w:val="TDC2"/>
            <w:rPr>
              <w:noProof/>
            </w:rPr>
          </w:pPr>
          <w:hyperlink w:anchor="_Toc4590625" w:history="1">
            <w:r w:rsidR="00800D28" w:rsidRPr="00C54D2C">
              <w:rPr>
                <w:rStyle w:val="Hipervnculo"/>
                <w:noProof/>
              </w:rPr>
              <w:t>7.</w:t>
            </w:r>
            <w:r w:rsidR="00800D28">
              <w:rPr>
                <w:rFonts w:asciiTheme="minorHAnsi" w:eastAsiaTheme="minorEastAsia" w:hAnsiTheme="minorHAnsi" w:cstheme="minorBidi"/>
                <w:noProof/>
                <w:sz w:val="22"/>
                <w:szCs w:val="22"/>
              </w:rPr>
              <w:tab/>
            </w:r>
            <w:r w:rsidR="00800D28" w:rsidRPr="00C54D2C">
              <w:rPr>
                <w:rStyle w:val="Hipervnculo"/>
                <w:noProof/>
              </w:rPr>
              <w:t>Políticas de Administración de Riesgo Operativo</w:t>
            </w:r>
            <w:r w:rsidR="00800D28">
              <w:rPr>
                <w:noProof/>
                <w:webHidden/>
              </w:rPr>
              <w:tab/>
            </w:r>
            <w:r w:rsidR="00800D28">
              <w:rPr>
                <w:noProof/>
                <w:webHidden/>
              </w:rPr>
              <w:fldChar w:fldCharType="begin"/>
            </w:r>
            <w:r w:rsidR="00800D28">
              <w:rPr>
                <w:noProof/>
                <w:webHidden/>
              </w:rPr>
              <w:instrText xml:space="preserve"> PAGEREF _Toc4590625 \h </w:instrText>
            </w:r>
            <w:r w:rsidR="00800D28">
              <w:rPr>
                <w:noProof/>
                <w:webHidden/>
              </w:rPr>
            </w:r>
            <w:r w:rsidR="00800D28">
              <w:rPr>
                <w:noProof/>
                <w:webHidden/>
              </w:rPr>
              <w:fldChar w:fldCharType="separate"/>
            </w:r>
            <w:r w:rsidR="00D035D2">
              <w:rPr>
                <w:noProof/>
                <w:webHidden/>
              </w:rPr>
              <w:t>10</w:t>
            </w:r>
            <w:r w:rsidR="00800D28">
              <w:rPr>
                <w:noProof/>
                <w:webHidden/>
              </w:rPr>
              <w:fldChar w:fldCharType="end"/>
            </w:r>
          </w:hyperlink>
        </w:p>
        <w:p w:rsidR="00127717" w:rsidRDefault="00634A1F" w:rsidP="00127717">
          <w:pPr>
            <w:pStyle w:val="TDC2"/>
            <w:rPr>
              <w:noProof/>
            </w:rPr>
          </w:pPr>
          <w:hyperlink w:anchor="_Toc4590626" w:history="1">
            <w:r w:rsidR="00800D28" w:rsidRPr="00C54D2C">
              <w:rPr>
                <w:rStyle w:val="Hipervnculo"/>
                <w:noProof/>
              </w:rPr>
              <w:t>7.1.</w:t>
            </w:r>
            <w:r w:rsidR="00800D28">
              <w:rPr>
                <w:rFonts w:asciiTheme="minorHAnsi" w:eastAsiaTheme="minorEastAsia" w:hAnsiTheme="minorHAnsi" w:cstheme="minorBidi"/>
                <w:noProof/>
                <w:sz w:val="22"/>
                <w:szCs w:val="22"/>
              </w:rPr>
              <w:tab/>
            </w:r>
            <w:r w:rsidR="00800D28" w:rsidRPr="00C54D2C">
              <w:rPr>
                <w:rStyle w:val="Hipervnculo"/>
                <w:noProof/>
              </w:rPr>
              <w:t>Perfil de Riesgo</w:t>
            </w:r>
            <w:r w:rsidR="00800D28">
              <w:rPr>
                <w:noProof/>
                <w:webHidden/>
              </w:rPr>
              <w:tab/>
            </w:r>
            <w:r w:rsidR="00800D28">
              <w:rPr>
                <w:noProof/>
                <w:webHidden/>
              </w:rPr>
              <w:fldChar w:fldCharType="begin"/>
            </w:r>
            <w:r w:rsidR="00800D28">
              <w:rPr>
                <w:noProof/>
                <w:webHidden/>
              </w:rPr>
              <w:instrText xml:space="preserve"> PAGEREF _Toc4590626 \h </w:instrText>
            </w:r>
            <w:r w:rsidR="00800D28">
              <w:rPr>
                <w:noProof/>
                <w:webHidden/>
              </w:rPr>
            </w:r>
            <w:r w:rsidR="00800D28">
              <w:rPr>
                <w:noProof/>
                <w:webHidden/>
              </w:rPr>
              <w:fldChar w:fldCharType="separate"/>
            </w:r>
            <w:r w:rsidR="00D035D2">
              <w:rPr>
                <w:noProof/>
                <w:webHidden/>
              </w:rPr>
              <w:t>11</w:t>
            </w:r>
            <w:r w:rsidR="00800D28">
              <w:rPr>
                <w:noProof/>
                <w:webHidden/>
              </w:rPr>
              <w:fldChar w:fldCharType="end"/>
            </w:r>
          </w:hyperlink>
        </w:p>
        <w:p w:rsidR="00127717" w:rsidRDefault="00634A1F" w:rsidP="00127717">
          <w:pPr>
            <w:pStyle w:val="TDC2"/>
            <w:rPr>
              <w:noProof/>
            </w:rPr>
          </w:pPr>
          <w:hyperlink w:anchor="_Toc4590627" w:history="1">
            <w:r w:rsidR="00800D28" w:rsidRPr="00C54D2C">
              <w:rPr>
                <w:rStyle w:val="Hipervnculo"/>
                <w:noProof/>
              </w:rPr>
              <w:t>7.2.</w:t>
            </w:r>
            <w:r w:rsidR="00800D28">
              <w:rPr>
                <w:rFonts w:asciiTheme="minorHAnsi" w:eastAsiaTheme="minorEastAsia" w:hAnsiTheme="minorHAnsi" w:cstheme="minorBidi"/>
                <w:noProof/>
                <w:sz w:val="22"/>
                <w:szCs w:val="22"/>
              </w:rPr>
              <w:tab/>
            </w:r>
            <w:r w:rsidR="00800D28" w:rsidRPr="00C54D2C">
              <w:rPr>
                <w:rStyle w:val="Hipervnculo"/>
                <w:noProof/>
              </w:rPr>
              <w:t>Estructura Organizacional del SARO</w:t>
            </w:r>
            <w:r w:rsidR="00800D28">
              <w:rPr>
                <w:noProof/>
                <w:webHidden/>
              </w:rPr>
              <w:tab/>
            </w:r>
            <w:r w:rsidR="00800D28">
              <w:rPr>
                <w:noProof/>
                <w:webHidden/>
              </w:rPr>
              <w:fldChar w:fldCharType="begin"/>
            </w:r>
            <w:r w:rsidR="00800D28">
              <w:rPr>
                <w:noProof/>
                <w:webHidden/>
              </w:rPr>
              <w:instrText xml:space="preserve"> PAGEREF _Toc4590627 \h </w:instrText>
            </w:r>
            <w:r w:rsidR="00800D28">
              <w:rPr>
                <w:noProof/>
                <w:webHidden/>
              </w:rPr>
            </w:r>
            <w:r w:rsidR="00800D28">
              <w:rPr>
                <w:noProof/>
                <w:webHidden/>
              </w:rPr>
              <w:fldChar w:fldCharType="separate"/>
            </w:r>
            <w:r w:rsidR="00D035D2">
              <w:rPr>
                <w:noProof/>
                <w:webHidden/>
              </w:rPr>
              <w:t>11</w:t>
            </w:r>
            <w:r w:rsidR="00800D28">
              <w:rPr>
                <w:noProof/>
                <w:webHidden/>
              </w:rPr>
              <w:fldChar w:fldCharType="end"/>
            </w:r>
          </w:hyperlink>
        </w:p>
        <w:p w:rsidR="00127717" w:rsidRDefault="00634A1F" w:rsidP="00127717">
          <w:pPr>
            <w:pStyle w:val="TDC2"/>
            <w:rPr>
              <w:noProof/>
            </w:rPr>
          </w:pPr>
          <w:hyperlink w:anchor="_Toc4590628" w:history="1">
            <w:r w:rsidR="00800D28" w:rsidRPr="00C54D2C">
              <w:rPr>
                <w:rStyle w:val="Hipervnculo"/>
                <w:noProof/>
              </w:rPr>
              <w:t>7.3.</w:t>
            </w:r>
            <w:r w:rsidR="00800D28">
              <w:rPr>
                <w:rFonts w:asciiTheme="minorHAnsi" w:eastAsiaTheme="minorEastAsia" w:hAnsiTheme="minorHAnsi" w:cstheme="minorBidi"/>
                <w:noProof/>
                <w:sz w:val="22"/>
                <w:szCs w:val="22"/>
              </w:rPr>
              <w:tab/>
            </w:r>
            <w:r w:rsidR="00800D28" w:rsidRPr="00C54D2C">
              <w:rPr>
                <w:rStyle w:val="Hipervnculo"/>
                <w:noProof/>
              </w:rPr>
              <w:t>Política de Acceso y Administración de Usuarios</w:t>
            </w:r>
            <w:r w:rsidR="00800D28">
              <w:rPr>
                <w:noProof/>
                <w:webHidden/>
              </w:rPr>
              <w:tab/>
            </w:r>
            <w:r w:rsidR="00800D28">
              <w:rPr>
                <w:noProof/>
                <w:webHidden/>
              </w:rPr>
              <w:fldChar w:fldCharType="begin"/>
            </w:r>
            <w:r w:rsidR="00800D28">
              <w:rPr>
                <w:noProof/>
                <w:webHidden/>
              </w:rPr>
              <w:instrText xml:space="preserve"> PAGEREF _Toc4590628 \h </w:instrText>
            </w:r>
            <w:r w:rsidR="00800D28">
              <w:rPr>
                <w:noProof/>
                <w:webHidden/>
              </w:rPr>
            </w:r>
            <w:r w:rsidR="00800D28">
              <w:rPr>
                <w:noProof/>
                <w:webHidden/>
              </w:rPr>
              <w:fldChar w:fldCharType="separate"/>
            </w:r>
            <w:r w:rsidR="00D035D2">
              <w:rPr>
                <w:noProof/>
                <w:webHidden/>
              </w:rPr>
              <w:t>13</w:t>
            </w:r>
            <w:r w:rsidR="00800D28">
              <w:rPr>
                <w:noProof/>
                <w:webHidden/>
              </w:rPr>
              <w:fldChar w:fldCharType="end"/>
            </w:r>
          </w:hyperlink>
        </w:p>
        <w:p w:rsidR="00127717" w:rsidRDefault="00634A1F" w:rsidP="00127717">
          <w:pPr>
            <w:pStyle w:val="TDC2"/>
            <w:rPr>
              <w:noProof/>
            </w:rPr>
          </w:pPr>
          <w:hyperlink w:anchor="_Toc4590629" w:history="1">
            <w:r w:rsidR="00800D28" w:rsidRPr="00C54D2C">
              <w:rPr>
                <w:rStyle w:val="Hipervnculo"/>
                <w:noProof/>
              </w:rPr>
              <w:t>7.4.</w:t>
            </w:r>
            <w:r w:rsidR="00800D28">
              <w:rPr>
                <w:rFonts w:asciiTheme="minorHAnsi" w:eastAsiaTheme="minorEastAsia" w:hAnsiTheme="minorHAnsi" w:cstheme="minorBidi"/>
                <w:noProof/>
                <w:sz w:val="22"/>
                <w:szCs w:val="22"/>
              </w:rPr>
              <w:tab/>
            </w:r>
            <w:r w:rsidR="00800D28" w:rsidRPr="00C54D2C">
              <w:rPr>
                <w:rStyle w:val="Hipervnculo"/>
                <w:noProof/>
              </w:rPr>
              <w:t>Política de Seguridad de la Información</w:t>
            </w:r>
            <w:r w:rsidR="00800D28">
              <w:rPr>
                <w:noProof/>
                <w:webHidden/>
              </w:rPr>
              <w:tab/>
            </w:r>
            <w:r w:rsidR="00800D28">
              <w:rPr>
                <w:noProof/>
                <w:webHidden/>
              </w:rPr>
              <w:fldChar w:fldCharType="begin"/>
            </w:r>
            <w:r w:rsidR="00800D28">
              <w:rPr>
                <w:noProof/>
                <w:webHidden/>
              </w:rPr>
              <w:instrText xml:space="preserve"> PAGEREF _Toc4590629 \h </w:instrText>
            </w:r>
            <w:r w:rsidR="00800D28">
              <w:rPr>
                <w:noProof/>
                <w:webHidden/>
              </w:rPr>
            </w:r>
            <w:r w:rsidR="00800D28">
              <w:rPr>
                <w:noProof/>
                <w:webHidden/>
              </w:rPr>
              <w:fldChar w:fldCharType="separate"/>
            </w:r>
            <w:r w:rsidR="00D035D2">
              <w:rPr>
                <w:noProof/>
                <w:webHidden/>
              </w:rPr>
              <w:t>16</w:t>
            </w:r>
            <w:r w:rsidR="00800D28">
              <w:rPr>
                <w:noProof/>
                <w:webHidden/>
              </w:rPr>
              <w:fldChar w:fldCharType="end"/>
            </w:r>
          </w:hyperlink>
        </w:p>
        <w:p w:rsidR="00127717" w:rsidRDefault="00634A1F" w:rsidP="00127717">
          <w:pPr>
            <w:pStyle w:val="TDC2"/>
            <w:rPr>
              <w:noProof/>
            </w:rPr>
          </w:pPr>
          <w:hyperlink w:anchor="_Toc4590630" w:history="1">
            <w:r w:rsidR="00800D28" w:rsidRPr="00C54D2C">
              <w:rPr>
                <w:rStyle w:val="Hipervnculo"/>
                <w:noProof/>
              </w:rPr>
              <w:t>7.5.</w:t>
            </w:r>
            <w:r w:rsidR="00800D28">
              <w:rPr>
                <w:rFonts w:asciiTheme="minorHAnsi" w:eastAsiaTheme="minorEastAsia" w:hAnsiTheme="minorHAnsi" w:cstheme="minorBidi"/>
                <w:noProof/>
                <w:sz w:val="22"/>
                <w:szCs w:val="22"/>
              </w:rPr>
              <w:tab/>
            </w:r>
            <w:r w:rsidR="00800D28" w:rsidRPr="00C54D2C">
              <w:rPr>
                <w:rStyle w:val="Hipervnculo"/>
                <w:noProof/>
              </w:rPr>
              <w:t>Política de Prevención de Fraude y Corrupción</w:t>
            </w:r>
            <w:r w:rsidR="00800D28">
              <w:rPr>
                <w:noProof/>
                <w:webHidden/>
              </w:rPr>
              <w:tab/>
            </w:r>
            <w:r w:rsidR="00800D28">
              <w:rPr>
                <w:noProof/>
                <w:webHidden/>
              </w:rPr>
              <w:fldChar w:fldCharType="begin"/>
            </w:r>
            <w:r w:rsidR="00800D28">
              <w:rPr>
                <w:noProof/>
                <w:webHidden/>
              </w:rPr>
              <w:instrText xml:space="preserve"> PAGEREF _Toc4590630 \h </w:instrText>
            </w:r>
            <w:r w:rsidR="00800D28">
              <w:rPr>
                <w:noProof/>
                <w:webHidden/>
              </w:rPr>
            </w:r>
            <w:r w:rsidR="00800D28">
              <w:rPr>
                <w:noProof/>
                <w:webHidden/>
              </w:rPr>
              <w:fldChar w:fldCharType="separate"/>
            </w:r>
            <w:r w:rsidR="00D035D2">
              <w:rPr>
                <w:noProof/>
                <w:webHidden/>
              </w:rPr>
              <w:t>18</w:t>
            </w:r>
            <w:r w:rsidR="00800D28">
              <w:rPr>
                <w:noProof/>
                <w:webHidden/>
              </w:rPr>
              <w:fldChar w:fldCharType="end"/>
            </w:r>
          </w:hyperlink>
        </w:p>
        <w:p w:rsidR="00127717" w:rsidRDefault="00634A1F" w:rsidP="00127717">
          <w:pPr>
            <w:pStyle w:val="TDC2"/>
            <w:rPr>
              <w:noProof/>
            </w:rPr>
          </w:pPr>
          <w:hyperlink w:anchor="_Toc4590631" w:history="1">
            <w:r w:rsidR="00800D28" w:rsidRPr="00C54D2C">
              <w:rPr>
                <w:rStyle w:val="Hipervnculo"/>
                <w:noProof/>
              </w:rPr>
              <w:t>7.6.</w:t>
            </w:r>
            <w:r w:rsidR="00800D28">
              <w:rPr>
                <w:rFonts w:asciiTheme="minorHAnsi" w:eastAsiaTheme="minorEastAsia" w:hAnsiTheme="minorHAnsi" w:cstheme="minorBidi"/>
                <w:noProof/>
                <w:sz w:val="22"/>
                <w:szCs w:val="22"/>
              </w:rPr>
              <w:tab/>
            </w:r>
            <w:r w:rsidR="00800D28" w:rsidRPr="00C54D2C">
              <w:rPr>
                <w:rStyle w:val="Hipervnculo"/>
                <w:noProof/>
              </w:rPr>
              <w:t>Principios de Gestión del Riesgo Operativo</w:t>
            </w:r>
            <w:r w:rsidR="00800D28">
              <w:rPr>
                <w:noProof/>
                <w:webHidden/>
              </w:rPr>
              <w:tab/>
            </w:r>
            <w:r w:rsidR="00800D28">
              <w:rPr>
                <w:noProof/>
                <w:webHidden/>
              </w:rPr>
              <w:fldChar w:fldCharType="begin"/>
            </w:r>
            <w:r w:rsidR="00800D28">
              <w:rPr>
                <w:noProof/>
                <w:webHidden/>
              </w:rPr>
              <w:instrText xml:space="preserve"> PAGEREF _Toc4590631 \h </w:instrText>
            </w:r>
            <w:r w:rsidR="00800D28">
              <w:rPr>
                <w:noProof/>
                <w:webHidden/>
              </w:rPr>
            </w:r>
            <w:r w:rsidR="00800D28">
              <w:rPr>
                <w:noProof/>
                <w:webHidden/>
              </w:rPr>
              <w:fldChar w:fldCharType="separate"/>
            </w:r>
            <w:r w:rsidR="00D035D2">
              <w:rPr>
                <w:noProof/>
                <w:webHidden/>
              </w:rPr>
              <w:t>19</w:t>
            </w:r>
            <w:r w:rsidR="00800D28">
              <w:rPr>
                <w:noProof/>
                <w:webHidden/>
              </w:rPr>
              <w:fldChar w:fldCharType="end"/>
            </w:r>
          </w:hyperlink>
        </w:p>
        <w:p w:rsidR="00800D28" w:rsidRDefault="00634A1F" w:rsidP="00127717">
          <w:pPr>
            <w:pStyle w:val="TDC2"/>
            <w:rPr>
              <w:rFonts w:asciiTheme="minorHAnsi" w:eastAsiaTheme="minorEastAsia" w:hAnsiTheme="minorHAnsi" w:cstheme="minorBidi"/>
              <w:noProof/>
              <w:sz w:val="22"/>
              <w:szCs w:val="22"/>
            </w:rPr>
          </w:pPr>
          <w:hyperlink w:anchor="_Toc4590632" w:history="1">
            <w:r w:rsidR="00800D28" w:rsidRPr="00C54D2C">
              <w:rPr>
                <w:rStyle w:val="Hipervnculo"/>
                <w:noProof/>
              </w:rPr>
              <w:t>7.7.</w:t>
            </w:r>
            <w:r w:rsidR="00800D28">
              <w:rPr>
                <w:rFonts w:asciiTheme="minorHAnsi" w:eastAsiaTheme="minorEastAsia" w:hAnsiTheme="minorHAnsi" w:cstheme="minorBidi"/>
                <w:noProof/>
                <w:sz w:val="22"/>
                <w:szCs w:val="22"/>
              </w:rPr>
              <w:tab/>
            </w:r>
            <w:r w:rsidR="00800D28" w:rsidRPr="00C54D2C">
              <w:rPr>
                <w:rStyle w:val="Hipervnculo"/>
                <w:noProof/>
              </w:rPr>
              <w:t>Procedimiento de Gestión de Riesgo Operativo</w:t>
            </w:r>
            <w:r w:rsidR="00800D28">
              <w:rPr>
                <w:noProof/>
                <w:webHidden/>
              </w:rPr>
              <w:tab/>
            </w:r>
            <w:r w:rsidR="00800D28">
              <w:rPr>
                <w:noProof/>
                <w:webHidden/>
              </w:rPr>
              <w:fldChar w:fldCharType="begin"/>
            </w:r>
            <w:r w:rsidR="00800D28">
              <w:rPr>
                <w:noProof/>
                <w:webHidden/>
              </w:rPr>
              <w:instrText xml:space="preserve"> PAGEREF _Toc4590632 \h </w:instrText>
            </w:r>
            <w:r w:rsidR="00800D28">
              <w:rPr>
                <w:noProof/>
                <w:webHidden/>
              </w:rPr>
            </w:r>
            <w:r w:rsidR="00800D28">
              <w:rPr>
                <w:noProof/>
                <w:webHidden/>
              </w:rPr>
              <w:fldChar w:fldCharType="separate"/>
            </w:r>
            <w:r w:rsidR="00D035D2">
              <w:rPr>
                <w:noProof/>
                <w:webHidden/>
              </w:rPr>
              <w:t>19</w:t>
            </w:r>
            <w:r w:rsidR="00800D28">
              <w:rPr>
                <w:noProof/>
                <w:webHidden/>
              </w:rPr>
              <w:fldChar w:fldCharType="end"/>
            </w:r>
          </w:hyperlink>
        </w:p>
        <w:p w:rsidR="00127717" w:rsidRDefault="00634A1F" w:rsidP="00127717">
          <w:pPr>
            <w:pStyle w:val="TDC2"/>
            <w:rPr>
              <w:noProof/>
            </w:rPr>
          </w:pPr>
          <w:hyperlink w:anchor="_Toc4590633" w:history="1">
            <w:r w:rsidR="00800D28" w:rsidRPr="00C54D2C">
              <w:rPr>
                <w:rStyle w:val="Hipervnculo"/>
                <w:noProof/>
              </w:rPr>
              <w:t>8.</w:t>
            </w:r>
            <w:r w:rsidR="00800D28">
              <w:rPr>
                <w:rFonts w:asciiTheme="minorHAnsi" w:eastAsiaTheme="minorEastAsia" w:hAnsiTheme="minorHAnsi" w:cstheme="minorBidi"/>
                <w:noProof/>
                <w:sz w:val="22"/>
                <w:szCs w:val="22"/>
              </w:rPr>
              <w:tab/>
            </w:r>
            <w:r w:rsidR="00800D28" w:rsidRPr="00C54D2C">
              <w:rPr>
                <w:rStyle w:val="Hipervnculo"/>
                <w:noProof/>
              </w:rPr>
              <w:t>Metodologías para la Administración de Riesgo Operativo</w:t>
            </w:r>
            <w:r w:rsidR="00800D28">
              <w:rPr>
                <w:noProof/>
                <w:webHidden/>
              </w:rPr>
              <w:tab/>
            </w:r>
            <w:r w:rsidR="00800D28">
              <w:rPr>
                <w:noProof/>
                <w:webHidden/>
              </w:rPr>
              <w:fldChar w:fldCharType="begin"/>
            </w:r>
            <w:r w:rsidR="00800D28">
              <w:rPr>
                <w:noProof/>
                <w:webHidden/>
              </w:rPr>
              <w:instrText xml:space="preserve"> PAGEREF _Toc4590633 \h </w:instrText>
            </w:r>
            <w:r w:rsidR="00800D28">
              <w:rPr>
                <w:noProof/>
                <w:webHidden/>
              </w:rPr>
            </w:r>
            <w:r w:rsidR="00800D28">
              <w:rPr>
                <w:noProof/>
                <w:webHidden/>
              </w:rPr>
              <w:fldChar w:fldCharType="separate"/>
            </w:r>
            <w:r w:rsidR="00D035D2">
              <w:rPr>
                <w:noProof/>
                <w:webHidden/>
              </w:rPr>
              <w:t>21</w:t>
            </w:r>
            <w:r w:rsidR="00800D28">
              <w:rPr>
                <w:noProof/>
                <w:webHidden/>
              </w:rPr>
              <w:fldChar w:fldCharType="end"/>
            </w:r>
          </w:hyperlink>
        </w:p>
        <w:p w:rsidR="00127717" w:rsidRDefault="00634A1F" w:rsidP="00127717">
          <w:pPr>
            <w:pStyle w:val="TDC2"/>
            <w:rPr>
              <w:noProof/>
            </w:rPr>
          </w:pPr>
          <w:hyperlink w:anchor="_Toc4590634" w:history="1">
            <w:r w:rsidR="00800D28" w:rsidRPr="00C54D2C">
              <w:rPr>
                <w:rStyle w:val="Hipervnculo"/>
                <w:noProof/>
              </w:rPr>
              <w:t>8.1.</w:t>
            </w:r>
            <w:r w:rsidR="00800D28">
              <w:rPr>
                <w:rFonts w:asciiTheme="minorHAnsi" w:eastAsiaTheme="minorEastAsia" w:hAnsiTheme="minorHAnsi" w:cstheme="minorBidi"/>
                <w:noProof/>
                <w:sz w:val="22"/>
                <w:szCs w:val="22"/>
              </w:rPr>
              <w:tab/>
            </w:r>
            <w:r w:rsidR="00800D28" w:rsidRPr="00C54D2C">
              <w:rPr>
                <w:rStyle w:val="Hipervnculo"/>
                <w:noProof/>
              </w:rPr>
              <w:t>Procedimiento para la Identificación de Riesgos Operativos</w:t>
            </w:r>
            <w:r w:rsidR="00800D28">
              <w:rPr>
                <w:noProof/>
                <w:webHidden/>
              </w:rPr>
              <w:tab/>
            </w:r>
            <w:r w:rsidR="00800D28">
              <w:rPr>
                <w:noProof/>
                <w:webHidden/>
              </w:rPr>
              <w:fldChar w:fldCharType="begin"/>
            </w:r>
            <w:r w:rsidR="00800D28">
              <w:rPr>
                <w:noProof/>
                <w:webHidden/>
              </w:rPr>
              <w:instrText xml:space="preserve"> PAGEREF _Toc4590634 \h </w:instrText>
            </w:r>
            <w:r w:rsidR="00800D28">
              <w:rPr>
                <w:noProof/>
                <w:webHidden/>
              </w:rPr>
            </w:r>
            <w:r w:rsidR="00800D28">
              <w:rPr>
                <w:noProof/>
                <w:webHidden/>
              </w:rPr>
              <w:fldChar w:fldCharType="separate"/>
            </w:r>
            <w:r w:rsidR="00D035D2">
              <w:rPr>
                <w:noProof/>
                <w:webHidden/>
              </w:rPr>
              <w:t>21</w:t>
            </w:r>
            <w:r w:rsidR="00800D28">
              <w:rPr>
                <w:noProof/>
                <w:webHidden/>
              </w:rPr>
              <w:fldChar w:fldCharType="end"/>
            </w:r>
          </w:hyperlink>
        </w:p>
        <w:p w:rsidR="00127717" w:rsidRDefault="00634A1F" w:rsidP="00127717">
          <w:pPr>
            <w:pStyle w:val="TDC2"/>
            <w:rPr>
              <w:noProof/>
            </w:rPr>
          </w:pPr>
          <w:hyperlink w:anchor="_Toc4590635" w:history="1">
            <w:r w:rsidR="00800D28" w:rsidRPr="00C54D2C">
              <w:rPr>
                <w:rStyle w:val="Hipervnculo"/>
                <w:noProof/>
              </w:rPr>
              <w:t>8.2.</w:t>
            </w:r>
            <w:r w:rsidR="00800D28">
              <w:rPr>
                <w:rFonts w:asciiTheme="minorHAnsi" w:eastAsiaTheme="minorEastAsia" w:hAnsiTheme="minorHAnsi" w:cstheme="minorBidi"/>
                <w:noProof/>
                <w:sz w:val="22"/>
                <w:szCs w:val="22"/>
              </w:rPr>
              <w:tab/>
            </w:r>
            <w:r w:rsidR="00800D28" w:rsidRPr="00C54D2C">
              <w:rPr>
                <w:rStyle w:val="Hipervnculo"/>
                <w:noProof/>
              </w:rPr>
              <w:t>Medición de los riesgos operativos</w:t>
            </w:r>
            <w:r w:rsidR="00800D28">
              <w:rPr>
                <w:noProof/>
                <w:webHidden/>
              </w:rPr>
              <w:tab/>
            </w:r>
            <w:r w:rsidR="00800D28">
              <w:rPr>
                <w:noProof/>
                <w:webHidden/>
              </w:rPr>
              <w:fldChar w:fldCharType="begin"/>
            </w:r>
            <w:r w:rsidR="00800D28">
              <w:rPr>
                <w:noProof/>
                <w:webHidden/>
              </w:rPr>
              <w:instrText xml:space="preserve"> PAGEREF _Toc4590635 \h </w:instrText>
            </w:r>
            <w:r w:rsidR="00800D28">
              <w:rPr>
                <w:noProof/>
                <w:webHidden/>
              </w:rPr>
            </w:r>
            <w:r w:rsidR="00800D28">
              <w:rPr>
                <w:noProof/>
                <w:webHidden/>
              </w:rPr>
              <w:fldChar w:fldCharType="separate"/>
            </w:r>
            <w:r w:rsidR="00D035D2">
              <w:rPr>
                <w:noProof/>
                <w:webHidden/>
              </w:rPr>
              <w:t>24</w:t>
            </w:r>
            <w:r w:rsidR="00800D28">
              <w:rPr>
                <w:noProof/>
                <w:webHidden/>
              </w:rPr>
              <w:fldChar w:fldCharType="end"/>
            </w:r>
          </w:hyperlink>
        </w:p>
        <w:p w:rsidR="00800D28" w:rsidRDefault="00634A1F" w:rsidP="00127717">
          <w:pPr>
            <w:pStyle w:val="TDC2"/>
            <w:rPr>
              <w:rFonts w:asciiTheme="minorHAnsi" w:eastAsiaTheme="minorEastAsia" w:hAnsiTheme="minorHAnsi" w:cstheme="minorBidi"/>
              <w:noProof/>
              <w:sz w:val="22"/>
              <w:szCs w:val="22"/>
            </w:rPr>
          </w:pPr>
          <w:hyperlink w:anchor="_Toc4590636" w:history="1">
            <w:r w:rsidR="00800D28" w:rsidRPr="00C54D2C">
              <w:rPr>
                <w:rStyle w:val="Hipervnculo"/>
                <w:noProof/>
              </w:rPr>
              <w:t>8.2.1.</w:t>
            </w:r>
            <w:r w:rsidR="00800D28">
              <w:rPr>
                <w:rFonts w:asciiTheme="minorHAnsi" w:eastAsiaTheme="minorEastAsia" w:hAnsiTheme="minorHAnsi" w:cstheme="minorBidi"/>
                <w:noProof/>
                <w:sz w:val="22"/>
                <w:szCs w:val="22"/>
              </w:rPr>
              <w:tab/>
            </w:r>
            <w:r w:rsidR="00800D28" w:rsidRPr="00C54D2C">
              <w:rPr>
                <w:rStyle w:val="Hipervnculo"/>
                <w:noProof/>
              </w:rPr>
              <w:t>Definición de los niveles de riesgo operativo.</w:t>
            </w:r>
            <w:r w:rsidR="00800D28">
              <w:rPr>
                <w:noProof/>
                <w:webHidden/>
              </w:rPr>
              <w:tab/>
            </w:r>
            <w:r w:rsidR="00800D28">
              <w:rPr>
                <w:noProof/>
                <w:webHidden/>
              </w:rPr>
              <w:fldChar w:fldCharType="begin"/>
            </w:r>
            <w:r w:rsidR="00800D28">
              <w:rPr>
                <w:noProof/>
                <w:webHidden/>
              </w:rPr>
              <w:instrText xml:space="preserve"> PAGEREF _Toc4590636 \h </w:instrText>
            </w:r>
            <w:r w:rsidR="00800D28">
              <w:rPr>
                <w:noProof/>
                <w:webHidden/>
              </w:rPr>
            </w:r>
            <w:r w:rsidR="00800D28">
              <w:rPr>
                <w:noProof/>
                <w:webHidden/>
              </w:rPr>
              <w:fldChar w:fldCharType="separate"/>
            </w:r>
            <w:r w:rsidR="00D035D2">
              <w:rPr>
                <w:noProof/>
                <w:webHidden/>
              </w:rPr>
              <w:t>24</w:t>
            </w:r>
            <w:r w:rsidR="00800D28">
              <w:rPr>
                <w:noProof/>
                <w:webHidden/>
              </w:rPr>
              <w:fldChar w:fldCharType="end"/>
            </w:r>
          </w:hyperlink>
        </w:p>
        <w:p w:rsidR="00800D28" w:rsidRDefault="00634A1F">
          <w:pPr>
            <w:pStyle w:val="TDC2"/>
            <w:rPr>
              <w:rFonts w:asciiTheme="minorHAnsi" w:eastAsiaTheme="minorEastAsia" w:hAnsiTheme="minorHAnsi" w:cstheme="minorBidi"/>
              <w:noProof/>
              <w:sz w:val="22"/>
              <w:szCs w:val="22"/>
            </w:rPr>
          </w:pPr>
          <w:hyperlink w:anchor="_Toc4590637" w:history="1">
            <w:r w:rsidR="00800D28" w:rsidRPr="00C54D2C">
              <w:rPr>
                <w:rStyle w:val="Hipervnculo"/>
                <w:noProof/>
              </w:rPr>
              <w:t>9.</w:t>
            </w:r>
            <w:r w:rsidR="00800D28">
              <w:rPr>
                <w:rFonts w:asciiTheme="minorHAnsi" w:eastAsiaTheme="minorEastAsia" w:hAnsiTheme="minorHAnsi" w:cstheme="minorBidi"/>
                <w:noProof/>
                <w:sz w:val="22"/>
                <w:szCs w:val="22"/>
              </w:rPr>
              <w:tab/>
            </w:r>
            <w:r w:rsidR="00800D28" w:rsidRPr="00C54D2C">
              <w:rPr>
                <w:rStyle w:val="Hipervnculo"/>
                <w:noProof/>
              </w:rPr>
              <w:t>Autoevaluación de Riesgos y Controles Operativos</w:t>
            </w:r>
            <w:r w:rsidR="00800D28">
              <w:rPr>
                <w:noProof/>
                <w:webHidden/>
              </w:rPr>
              <w:tab/>
            </w:r>
            <w:r w:rsidR="00800D28">
              <w:rPr>
                <w:noProof/>
                <w:webHidden/>
              </w:rPr>
              <w:fldChar w:fldCharType="begin"/>
            </w:r>
            <w:r w:rsidR="00800D28">
              <w:rPr>
                <w:noProof/>
                <w:webHidden/>
              </w:rPr>
              <w:instrText xml:space="preserve"> PAGEREF _Toc4590637 \h </w:instrText>
            </w:r>
            <w:r w:rsidR="00800D28">
              <w:rPr>
                <w:noProof/>
                <w:webHidden/>
              </w:rPr>
            </w:r>
            <w:r w:rsidR="00800D28">
              <w:rPr>
                <w:noProof/>
                <w:webHidden/>
              </w:rPr>
              <w:fldChar w:fldCharType="separate"/>
            </w:r>
            <w:r w:rsidR="00D035D2">
              <w:rPr>
                <w:noProof/>
                <w:webHidden/>
              </w:rPr>
              <w:t>28</w:t>
            </w:r>
            <w:r w:rsidR="00800D28">
              <w:rPr>
                <w:noProof/>
                <w:webHidden/>
              </w:rPr>
              <w:fldChar w:fldCharType="end"/>
            </w:r>
          </w:hyperlink>
        </w:p>
        <w:p w:rsidR="00127717" w:rsidRDefault="00634A1F" w:rsidP="00127717">
          <w:pPr>
            <w:pStyle w:val="TDC2"/>
            <w:rPr>
              <w:noProof/>
            </w:rPr>
          </w:pPr>
          <w:hyperlink w:anchor="_Toc4590638" w:history="1">
            <w:r w:rsidR="00800D28" w:rsidRPr="00C54D2C">
              <w:rPr>
                <w:rStyle w:val="Hipervnculo"/>
                <w:noProof/>
              </w:rPr>
              <w:t>10.</w:t>
            </w:r>
            <w:r w:rsidR="00800D28">
              <w:rPr>
                <w:rFonts w:asciiTheme="minorHAnsi" w:eastAsiaTheme="minorEastAsia" w:hAnsiTheme="minorHAnsi" w:cstheme="minorBidi"/>
                <w:noProof/>
                <w:sz w:val="22"/>
                <w:szCs w:val="22"/>
              </w:rPr>
              <w:tab/>
            </w:r>
            <w:r w:rsidR="00800D28" w:rsidRPr="00C54D2C">
              <w:rPr>
                <w:rStyle w:val="Hipervnculo"/>
                <w:noProof/>
              </w:rPr>
              <w:t>Monitoreo de los Riesgos</w:t>
            </w:r>
            <w:r w:rsidR="00800D28">
              <w:rPr>
                <w:noProof/>
                <w:webHidden/>
              </w:rPr>
              <w:tab/>
            </w:r>
            <w:r w:rsidR="00800D28">
              <w:rPr>
                <w:noProof/>
                <w:webHidden/>
              </w:rPr>
              <w:fldChar w:fldCharType="begin"/>
            </w:r>
            <w:r w:rsidR="00800D28">
              <w:rPr>
                <w:noProof/>
                <w:webHidden/>
              </w:rPr>
              <w:instrText xml:space="preserve"> PAGEREF _Toc4590638 \h </w:instrText>
            </w:r>
            <w:r w:rsidR="00800D28">
              <w:rPr>
                <w:noProof/>
                <w:webHidden/>
              </w:rPr>
            </w:r>
            <w:r w:rsidR="00800D28">
              <w:rPr>
                <w:noProof/>
                <w:webHidden/>
              </w:rPr>
              <w:fldChar w:fldCharType="separate"/>
            </w:r>
            <w:r w:rsidR="00D035D2">
              <w:rPr>
                <w:noProof/>
                <w:webHidden/>
              </w:rPr>
              <w:t>28</w:t>
            </w:r>
            <w:r w:rsidR="00800D28">
              <w:rPr>
                <w:noProof/>
                <w:webHidden/>
              </w:rPr>
              <w:fldChar w:fldCharType="end"/>
            </w:r>
          </w:hyperlink>
        </w:p>
        <w:p w:rsidR="00127717" w:rsidRDefault="00634A1F" w:rsidP="00127717">
          <w:pPr>
            <w:pStyle w:val="TDC2"/>
            <w:rPr>
              <w:noProof/>
            </w:rPr>
          </w:pPr>
          <w:hyperlink w:anchor="_Toc4590639" w:history="1">
            <w:r w:rsidR="00800D28" w:rsidRPr="00C54D2C">
              <w:rPr>
                <w:rStyle w:val="Hipervnculo"/>
                <w:noProof/>
              </w:rPr>
              <w:t>10.1.</w:t>
            </w:r>
            <w:r w:rsidR="00800D28">
              <w:rPr>
                <w:rFonts w:asciiTheme="minorHAnsi" w:eastAsiaTheme="minorEastAsia" w:hAnsiTheme="minorHAnsi" w:cstheme="minorBidi"/>
                <w:noProof/>
                <w:sz w:val="22"/>
                <w:szCs w:val="22"/>
              </w:rPr>
              <w:tab/>
            </w:r>
            <w:r w:rsidR="00800D28" w:rsidRPr="00C54D2C">
              <w:rPr>
                <w:rStyle w:val="Hipervnculo"/>
                <w:noProof/>
              </w:rPr>
              <w:t>Registro de Eventos de Riesgo Operativo</w:t>
            </w:r>
            <w:r w:rsidR="00800D28">
              <w:rPr>
                <w:noProof/>
                <w:webHidden/>
              </w:rPr>
              <w:tab/>
            </w:r>
            <w:r w:rsidR="00800D28">
              <w:rPr>
                <w:noProof/>
                <w:webHidden/>
              </w:rPr>
              <w:fldChar w:fldCharType="begin"/>
            </w:r>
            <w:r w:rsidR="00800D28">
              <w:rPr>
                <w:noProof/>
                <w:webHidden/>
              </w:rPr>
              <w:instrText xml:space="preserve"> PAGEREF _Toc4590639 \h </w:instrText>
            </w:r>
            <w:r w:rsidR="00800D28">
              <w:rPr>
                <w:noProof/>
                <w:webHidden/>
              </w:rPr>
            </w:r>
            <w:r w:rsidR="00800D28">
              <w:rPr>
                <w:noProof/>
                <w:webHidden/>
              </w:rPr>
              <w:fldChar w:fldCharType="separate"/>
            </w:r>
            <w:r w:rsidR="00D035D2">
              <w:rPr>
                <w:noProof/>
                <w:webHidden/>
              </w:rPr>
              <w:t>28</w:t>
            </w:r>
            <w:r w:rsidR="00800D28">
              <w:rPr>
                <w:noProof/>
                <w:webHidden/>
              </w:rPr>
              <w:fldChar w:fldCharType="end"/>
            </w:r>
          </w:hyperlink>
        </w:p>
        <w:p w:rsidR="00127717" w:rsidRDefault="00634A1F" w:rsidP="00127717">
          <w:pPr>
            <w:pStyle w:val="TDC2"/>
            <w:rPr>
              <w:noProof/>
            </w:rPr>
          </w:pPr>
          <w:hyperlink w:anchor="_Toc4590640" w:history="1">
            <w:r w:rsidR="00800D28" w:rsidRPr="00C54D2C">
              <w:rPr>
                <w:rStyle w:val="Hipervnculo"/>
                <w:noProof/>
              </w:rPr>
              <w:t>10.2.</w:t>
            </w:r>
            <w:r w:rsidR="00800D28">
              <w:rPr>
                <w:rFonts w:asciiTheme="minorHAnsi" w:eastAsiaTheme="minorEastAsia" w:hAnsiTheme="minorHAnsi" w:cstheme="minorBidi"/>
                <w:noProof/>
                <w:sz w:val="22"/>
                <w:szCs w:val="22"/>
              </w:rPr>
              <w:tab/>
            </w:r>
            <w:r w:rsidR="00800D28" w:rsidRPr="00C54D2C">
              <w:rPr>
                <w:rStyle w:val="Hipervnculo"/>
                <w:noProof/>
              </w:rPr>
              <w:t>Inventario de controles</w:t>
            </w:r>
            <w:r w:rsidR="00800D28">
              <w:rPr>
                <w:noProof/>
                <w:webHidden/>
              </w:rPr>
              <w:tab/>
            </w:r>
            <w:r w:rsidR="00800D28">
              <w:rPr>
                <w:noProof/>
                <w:webHidden/>
              </w:rPr>
              <w:fldChar w:fldCharType="begin"/>
            </w:r>
            <w:r w:rsidR="00800D28">
              <w:rPr>
                <w:noProof/>
                <w:webHidden/>
              </w:rPr>
              <w:instrText xml:space="preserve"> PAGEREF _Toc4590640 \h </w:instrText>
            </w:r>
            <w:r w:rsidR="00800D28">
              <w:rPr>
                <w:noProof/>
                <w:webHidden/>
              </w:rPr>
            </w:r>
            <w:r w:rsidR="00800D28">
              <w:rPr>
                <w:noProof/>
                <w:webHidden/>
              </w:rPr>
              <w:fldChar w:fldCharType="separate"/>
            </w:r>
            <w:r w:rsidR="00D035D2">
              <w:rPr>
                <w:noProof/>
                <w:webHidden/>
              </w:rPr>
              <w:t>29</w:t>
            </w:r>
            <w:r w:rsidR="00800D28">
              <w:rPr>
                <w:noProof/>
                <w:webHidden/>
              </w:rPr>
              <w:fldChar w:fldCharType="end"/>
            </w:r>
          </w:hyperlink>
        </w:p>
        <w:p w:rsidR="00800D28" w:rsidRDefault="00634A1F" w:rsidP="00127717">
          <w:pPr>
            <w:pStyle w:val="TDC2"/>
            <w:rPr>
              <w:rFonts w:asciiTheme="minorHAnsi" w:eastAsiaTheme="minorEastAsia" w:hAnsiTheme="minorHAnsi" w:cstheme="minorBidi"/>
              <w:noProof/>
              <w:sz w:val="22"/>
              <w:szCs w:val="22"/>
            </w:rPr>
          </w:pPr>
          <w:hyperlink w:anchor="_Toc4590641" w:history="1">
            <w:r w:rsidR="00800D28" w:rsidRPr="00C54D2C">
              <w:rPr>
                <w:rStyle w:val="Hipervnculo"/>
                <w:noProof/>
              </w:rPr>
              <w:t>10.3.</w:t>
            </w:r>
            <w:r w:rsidR="00800D28">
              <w:rPr>
                <w:rFonts w:asciiTheme="minorHAnsi" w:eastAsiaTheme="minorEastAsia" w:hAnsiTheme="minorHAnsi" w:cstheme="minorBidi"/>
                <w:noProof/>
                <w:sz w:val="22"/>
                <w:szCs w:val="22"/>
              </w:rPr>
              <w:tab/>
            </w:r>
            <w:r w:rsidR="00800D28" w:rsidRPr="00C54D2C">
              <w:rPr>
                <w:rStyle w:val="Hipervnculo"/>
                <w:noProof/>
              </w:rPr>
              <w:t>Evaluación de Controles</w:t>
            </w:r>
            <w:r w:rsidR="00800D28">
              <w:rPr>
                <w:noProof/>
                <w:webHidden/>
              </w:rPr>
              <w:tab/>
            </w:r>
            <w:r w:rsidR="00800D28">
              <w:rPr>
                <w:noProof/>
                <w:webHidden/>
              </w:rPr>
              <w:fldChar w:fldCharType="begin"/>
            </w:r>
            <w:r w:rsidR="00800D28">
              <w:rPr>
                <w:noProof/>
                <w:webHidden/>
              </w:rPr>
              <w:instrText xml:space="preserve"> PAGEREF _Toc4590641 \h </w:instrText>
            </w:r>
            <w:r w:rsidR="00800D28">
              <w:rPr>
                <w:noProof/>
                <w:webHidden/>
              </w:rPr>
            </w:r>
            <w:r w:rsidR="00800D28">
              <w:rPr>
                <w:noProof/>
                <w:webHidden/>
              </w:rPr>
              <w:fldChar w:fldCharType="separate"/>
            </w:r>
            <w:r w:rsidR="00D035D2">
              <w:rPr>
                <w:noProof/>
                <w:webHidden/>
              </w:rPr>
              <w:t>29</w:t>
            </w:r>
            <w:r w:rsidR="00800D28">
              <w:rPr>
                <w:noProof/>
                <w:webHidden/>
              </w:rPr>
              <w:fldChar w:fldCharType="end"/>
            </w:r>
          </w:hyperlink>
        </w:p>
        <w:p w:rsidR="00800D28" w:rsidRDefault="00634A1F">
          <w:pPr>
            <w:pStyle w:val="TDC2"/>
            <w:rPr>
              <w:rFonts w:asciiTheme="minorHAnsi" w:eastAsiaTheme="minorEastAsia" w:hAnsiTheme="minorHAnsi" w:cstheme="minorBidi"/>
              <w:noProof/>
              <w:sz w:val="22"/>
              <w:szCs w:val="22"/>
            </w:rPr>
          </w:pPr>
          <w:hyperlink w:anchor="_Toc4590642" w:history="1">
            <w:r w:rsidR="00800D28" w:rsidRPr="00C54D2C">
              <w:rPr>
                <w:rStyle w:val="Hipervnculo"/>
                <w:noProof/>
              </w:rPr>
              <w:t>11.</w:t>
            </w:r>
            <w:r w:rsidR="00800D28">
              <w:rPr>
                <w:rFonts w:asciiTheme="minorHAnsi" w:eastAsiaTheme="minorEastAsia" w:hAnsiTheme="minorHAnsi" w:cstheme="minorBidi"/>
                <w:noProof/>
                <w:sz w:val="22"/>
                <w:szCs w:val="22"/>
              </w:rPr>
              <w:tab/>
            </w:r>
            <w:r w:rsidR="00800D28" w:rsidRPr="00C54D2C">
              <w:rPr>
                <w:rStyle w:val="Hipervnculo"/>
                <w:noProof/>
              </w:rPr>
              <w:t>Indicadores Claves de Gestión</w:t>
            </w:r>
            <w:r w:rsidR="00800D28">
              <w:rPr>
                <w:noProof/>
                <w:webHidden/>
              </w:rPr>
              <w:tab/>
            </w:r>
            <w:r w:rsidR="00800D28">
              <w:rPr>
                <w:noProof/>
                <w:webHidden/>
              </w:rPr>
              <w:fldChar w:fldCharType="begin"/>
            </w:r>
            <w:r w:rsidR="00800D28">
              <w:rPr>
                <w:noProof/>
                <w:webHidden/>
              </w:rPr>
              <w:instrText xml:space="preserve"> PAGEREF _Toc4590642 \h </w:instrText>
            </w:r>
            <w:r w:rsidR="00800D28">
              <w:rPr>
                <w:noProof/>
                <w:webHidden/>
              </w:rPr>
            </w:r>
            <w:r w:rsidR="00800D28">
              <w:rPr>
                <w:noProof/>
                <w:webHidden/>
              </w:rPr>
              <w:fldChar w:fldCharType="separate"/>
            </w:r>
            <w:r w:rsidR="00D035D2">
              <w:rPr>
                <w:noProof/>
                <w:webHidden/>
              </w:rPr>
              <w:t>30</w:t>
            </w:r>
            <w:r w:rsidR="00800D28">
              <w:rPr>
                <w:noProof/>
                <w:webHidden/>
              </w:rPr>
              <w:fldChar w:fldCharType="end"/>
            </w:r>
          </w:hyperlink>
        </w:p>
        <w:p w:rsidR="00800D28" w:rsidRDefault="00634A1F">
          <w:pPr>
            <w:pStyle w:val="TDC2"/>
            <w:rPr>
              <w:rFonts w:asciiTheme="minorHAnsi" w:eastAsiaTheme="minorEastAsia" w:hAnsiTheme="minorHAnsi" w:cstheme="minorBidi"/>
              <w:noProof/>
              <w:sz w:val="22"/>
              <w:szCs w:val="22"/>
            </w:rPr>
          </w:pPr>
          <w:hyperlink w:anchor="_Toc4590643" w:history="1">
            <w:r w:rsidR="00800D28" w:rsidRPr="00C54D2C">
              <w:rPr>
                <w:rStyle w:val="Hipervnculo"/>
                <w:rFonts w:cs="Arial"/>
                <w:noProof/>
              </w:rPr>
              <w:t>12.</w:t>
            </w:r>
            <w:r w:rsidR="00800D28">
              <w:rPr>
                <w:rFonts w:asciiTheme="minorHAnsi" w:eastAsiaTheme="minorEastAsia" w:hAnsiTheme="minorHAnsi" w:cstheme="minorBidi"/>
                <w:noProof/>
                <w:sz w:val="22"/>
                <w:szCs w:val="22"/>
              </w:rPr>
              <w:tab/>
            </w:r>
            <w:r w:rsidR="00800D28" w:rsidRPr="00C54D2C">
              <w:rPr>
                <w:rStyle w:val="Hipervnculo"/>
                <w:noProof/>
              </w:rPr>
              <w:t>Seguros</w:t>
            </w:r>
            <w:r w:rsidR="00800D28">
              <w:rPr>
                <w:noProof/>
                <w:webHidden/>
              </w:rPr>
              <w:tab/>
            </w:r>
            <w:r w:rsidR="00800D28">
              <w:rPr>
                <w:noProof/>
                <w:webHidden/>
              </w:rPr>
              <w:fldChar w:fldCharType="begin"/>
            </w:r>
            <w:r w:rsidR="00800D28">
              <w:rPr>
                <w:noProof/>
                <w:webHidden/>
              </w:rPr>
              <w:instrText xml:space="preserve"> PAGEREF _Toc4590643 \h </w:instrText>
            </w:r>
            <w:r w:rsidR="00800D28">
              <w:rPr>
                <w:noProof/>
                <w:webHidden/>
              </w:rPr>
            </w:r>
            <w:r w:rsidR="00800D28">
              <w:rPr>
                <w:noProof/>
                <w:webHidden/>
              </w:rPr>
              <w:fldChar w:fldCharType="separate"/>
            </w:r>
            <w:r w:rsidR="00D035D2">
              <w:rPr>
                <w:noProof/>
                <w:webHidden/>
              </w:rPr>
              <w:t>31</w:t>
            </w:r>
            <w:r w:rsidR="00800D28">
              <w:rPr>
                <w:noProof/>
                <w:webHidden/>
              </w:rPr>
              <w:fldChar w:fldCharType="end"/>
            </w:r>
          </w:hyperlink>
        </w:p>
        <w:p w:rsidR="00800D28" w:rsidRDefault="00634A1F">
          <w:pPr>
            <w:pStyle w:val="TDC2"/>
            <w:rPr>
              <w:rFonts w:asciiTheme="minorHAnsi" w:eastAsiaTheme="minorEastAsia" w:hAnsiTheme="minorHAnsi" w:cstheme="minorBidi"/>
              <w:noProof/>
              <w:sz w:val="22"/>
              <w:szCs w:val="22"/>
            </w:rPr>
          </w:pPr>
          <w:hyperlink w:anchor="_Toc4590644" w:history="1">
            <w:r w:rsidR="00800D28" w:rsidRPr="00C54D2C">
              <w:rPr>
                <w:rStyle w:val="Hipervnculo"/>
                <w:noProof/>
              </w:rPr>
              <w:t>13.</w:t>
            </w:r>
            <w:r w:rsidR="00800D28">
              <w:rPr>
                <w:rFonts w:asciiTheme="minorHAnsi" w:eastAsiaTheme="minorEastAsia" w:hAnsiTheme="minorHAnsi" w:cstheme="minorBidi"/>
                <w:noProof/>
                <w:sz w:val="22"/>
                <w:szCs w:val="22"/>
              </w:rPr>
              <w:tab/>
            </w:r>
            <w:r w:rsidR="00800D28" w:rsidRPr="00C54D2C">
              <w:rPr>
                <w:rStyle w:val="Hipervnculo"/>
                <w:noProof/>
              </w:rPr>
              <w:t>Seguridad de la Información</w:t>
            </w:r>
            <w:r w:rsidR="00800D28">
              <w:rPr>
                <w:noProof/>
                <w:webHidden/>
              </w:rPr>
              <w:tab/>
            </w:r>
            <w:r w:rsidR="00800D28">
              <w:rPr>
                <w:noProof/>
                <w:webHidden/>
              </w:rPr>
              <w:fldChar w:fldCharType="begin"/>
            </w:r>
            <w:r w:rsidR="00800D28">
              <w:rPr>
                <w:noProof/>
                <w:webHidden/>
              </w:rPr>
              <w:instrText xml:space="preserve"> PAGEREF _Toc4590644 \h </w:instrText>
            </w:r>
            <w:r w:rsidR="00800D28">
              <w:rPr>
                <w:noProof/>
                <w:webHidden/>
              </w:rPr>
            </w:r>
            <w:r w:rsidR="00800D28">
              <w:rPr>
                <w:noProof/>
                <w:webHidden/>
              </w:rPr>
              <w:fldChar w:fldCharType="separate"/>
            </w:r>
            <w:r w:rsidR="00D035D2">
              <w:rPr>
                <w:noProof/>
                <w:webHidden/>
              </w:rPr>
              <w:t>31</w:t>
            </w:r>
            <w:r w:rsidR="00800D28">
              <w:rPr>
                <w:noProof/>
                <w:webHidden/>
              </w:rPr>
              <w:fldChar w:fldCharType="end"/>
            </w:r>
          </w:hyperlink>
        </w:p>
        <w:p w:rsidR="00800D28" w:rsidRDefault="00634A1F">
          <w:pPr>
            <w:pStyle w:val="TDC2"/>
            <w:rPr>
              <w:rFonts w:asciiTheme="minorHAnsi" w:eastAsiaTheme="minorEastAsia" w:hAnsiTheme="minorHAnsi" w:cstheme="minorBidi"/>
              <w:noProof/>
              <w:sz w:val="22"/>
              <w:szCs w:val="22"/>
            </w:rPr>
          </w:pPr>
          <w:hyperlink w:anchor="_Toc4590645" w:history="1">
            <w:r w:rsidR="00800D28" w:rsidRPr="00C54D2C">
              <w:rPr>
                <w:rStyle w:val="Hipervnculo"/>
                <w:noProof/>
              </w:rPr>
              <w:t>14.</w:t>
            </w:r>
            <w:r w:rsidR="00800D28">
              <w:rPr>
                <w:rFonts w:asciiTheme="minorHAnsi" w:eastAsiaTheme="minorEastAsia" w:hAnsiTheme="minorHAnsi" w:cstheme="minorBidi"/>
                <w:noProof/>
                <w:sz w:val="22"/>
                <w:szCs w:val="22"/>
              </w:rPr>
              <w:tab/>
            </w:r>
            <w:r w:rsidR="00800D28" w:rsidRPr="00C54D2C">
              <w:rPr>
                <w:rStyle w:val="Hipervnculo"/>
                <w:noProof/>
              </w:rPr>
              <w:t>Continuidad del Negocio</w:t>
            </w:r>
            <w:r w:rsidR="00800D28">
              <w:rPr>
                <w:noProof/>
                <w:webHidden/>
              </w:rPr>
              <w:tab/>
            </w:r>
            <w:r w:rsidR="00800D28">
              <w:rPr>
                <w:noProof/>
                <w:webHidden/>
              </w:rPr>
              <w:fldChar w:fldCharType="begin"/>
            </w:r>
            <w:r w:rsidR="00800D28">
              <w:rPr>
                <w:noProof/>
                <w:webHidden/>
              </w:rPr>
              <w:instrText xml:space="preserve"> PAGEREF _Toc4590645 \h </w:instrText>
            </w:r>
            <w:r w:rsidR="00800D28">
              <w:rPr>
                <w:noProof/>
                <w:webHidden/>
              </w:rPr>
            </w:r>
            <w:r w:rsidR="00800D28">
              <w:rPr>
                <w:noProof/>
                <w:webHidden/>
              </w:rPr>
              <w:fldChar w:fldCharType="separate"/>
            </w:r>
            <w:r w:rsidR="00D035D2">
              <w:rPr>
                <w:noProof/>
                <w:webHidden/>
              </w:rPr>
              <w:t>32</w:t>
            </w:r>
            <w:r w:rsidR="00800D28">
              <w:rPr>
                <w:noProof/>
                <w:webHidden/>
              </w:rPr>
              <w:fldChar w:fldCharType="end"/>
            </w:r>
          </w:hyperlink>
        </w:p>
        <w:p w:rsidR="00800D28" w:rsidRDefault="00634A1F">
          <w:pPr>
            <w:pStyle w:val="TDC2"/>
            <w:rPr>
              <w:rFonts w:asciiTheme="minorHAnsi" w:eastAsiaTheme="minorEastAsia" w:hAnsiTheme="minorHAnsi" w:cstheme="minorBidi"/>
              <w:noProof/>
              <w:sz w:val="22"/>
              <w:szCs w:val="22"/>
            </w:rPr>
          </w:pPr>
          <w:hyperlink w:anchor="_Toc4590646" w:history="1">
            <w:r w:rsidR="00800D28" w:rsidRPr="00C54D2C">
              <w:rPr>
                <w:rStyle w:val="Hipervnculo"/>
                <w:noProof/>
              </w:rPr>
              <w:t>15.</w:t>
            </w:r>
            <w:r w:rsidR="00800D28">
              <w:rPr>
                <w:rFonts w:asciiTheme="minorHAnsi" w:eastAsiaTheme="minorEastAsia" w:hAnsiTheme="minorHAnsi" w:cstheme="minorBidi"/>
                <w:noProof/>
                <w:sz w:val="22"/>
                <w:szCs w:val="22"/>
              </w:rPr>
              <w:tab/>
            </w:r>
            <w:r w:rsidR="00800D28" w:rsidRPr="00C54D2C">
              <w:rPr>
                <w:rStyle w:val="Hipervnculo"/>
                <w:noProof/>
              </w:rPr>
              <w:t>Historial de Cambios</w:t>
            </w:r>
            <w:r w:rsidR="00800D28">
              <w:rPr>
                <w:noProof/>
                <w:webHidden/>
              </w:rPr>
              <w:tab/>
            </w:r>
            <w:r w:rsidR="00800D28">
              <w:rPr>
                <w:noProof/>
                <w:webHidden/>
              </w:rPr>
              <w:fldChar w:fldCharType="begin"/>
            </w:r>
            <w:r w:rsidR="00800D28">
              <w:rPr>
                <w:noProof/>
                <w:webHidden/>
              </w:rPr>
              <w:instrText xml:space="preserve"> PAGEREF _Toc4590646 \h </w:instrText>
            </w:r>
            <w:r w:rsidR="00800D28">
              <w:rPr>
                <w:noProof/>
                <w:webHidden/>
              </w:rPr>
            </w:r>
            <w:r w:rsidR="00800D28">
              <w:rPr>
                <w:noProof/>
                <w:webHidden/>
              </w:rPr>
              <w:fldChar w:fldCharType="separate"/>
            </w:r>
            <w:r w:rsidR="00D035D2">
              <w:rPr>
                <w:noProof/>
                <w:webHidden/>
              </w:rPr>
              <w:t>34</w:t>
            </w:r>
            <w:r w:rsidR="00800D28">
              <w:rPr>
                <w:noProof/>
                <w:webHidden/>
              </w:rPr>
              <w:fldChar w:fldCharType="end"/>
            </w:r>
          </w:hyperlink>
        </w:p>
        <w:p w:rsidR="00800D28" w:rsidRDefault="00634A1F">
          <w:pPr>
            <w:pStyle w:val="TDC2"/>
            <w:rPr>
              <w:rFonts w:asciiTheme="minorHAnsi" w:eastAsiaTheme="minorEastAsia" w:hAnsiTheme="minorHAnsi" w:cstheme="minorBidi"/>
              <w:noProof/>
              <w:sz w:val="22"/>
              <w:szCs w:val="22"/>
            </w:rPr>
          </w:pPr>
          <w:hyperlink w:anchor="_Toc4590647" w:history="1">
            <w:r w:rsidR="00800D28" w:rsidRPr="00C54D2C">
              <w:rPr>
                <w:rStyle w:val="Hipervnculo"/>
                <w:noProof/>
              </w:rPr>
              <w:t>16.</w:t>
            </w:r>
            <w:r w:rsidR="00800D28">
              <w:rPr>
                <w:rFonts w:asciiTheme="minorHAnsi" w:eastAsiaTheme="minorEastAsia" w:hAnsiTheme="minorHAnsi" w:cstheme="minorBidi"/>
                <w:noProof/>
                <w:sz w:val="22"/>
                <w:szCs w:val="22"/>
              </w:rPr>
              <w:tab/>
            </w:r>
            <w:r w:rsidR="00800D28" w:rsidRPr="00C54D2C">
              <w:rPr>
                <w:rStyle w:val="Hipervnculo"/>
                <w:noProof/>
              </w:rPr>
              <w:t>Aprobación</w:t>
            </w:r>
            <w:r w:rsidR="00800D28">
              <w:rPr>
                <w:noProof/>
                <w:webHidden/>
              </w:rPr>
              <w:tab/>
            </w:r>
            <w:r w:rsidR="00800D28">
              <w:rPr>
                <w:noProof/>
                <w:webHidden/>
              </w:rPr>
              <w:fldChar w:fldCharType="begin"/>
            </w:r>
            <w:r w:rsidR="00800D28">
              <w:rPr>
                <w:noProof/>
                <w:webHidden/>
              </w:rPr>
              <w:instrText xml:space="preserve"> PAGEREF _Toc4590647 \h </w:instrText>
            </w:r>
            <w:r w:rsidR="00800D28">
              <w:rPr>
                <w:noProof/>
                <w:webHidden/>
              </w:rPr>
            </w:r>
            <w:r w:rsidR="00800D28">
              <w:rPr>
                <w:noProof/>
                <w:webHidden/>
              </w:rPr>
              <w:fldChar w:fldCharType="separate"/>
            </w:r>
            <w:r w:rsidR="00D035D2">
              <w:rPr>
                <w:noProof/>
                <w:webHidden/>
              </w:rPr>
              <w:t>34</w:t>
            </w:r>
            <w:r w:rsidR="00800D28">
              <w:rPr>
                <w:noProof/>
                <w:webHidden/>
              </w:rPr>
              <w:fldChar w:fldCharType="end"/>
            </w:r>
          </w:hyperlink>
        </w:p>
        <w:p w:rsidR="00C44CED" w:rsidRPr="003B76DB" w:rsidRDefault="001B36FA" w:rsidP="003B76DB">
          <w:pPr>
            <w:spacing w:line="276" w:lineRule="auto"/>
            <w:rPr>
              <w:rFonts w:cs="Arial"/>
              <w:lang w:val="es-ES"/>
            </w:rPr>
          </w:pPr>
          <w:r>
            <w:rPr>
              <w:rFonts w:cs="Arial"/>
              <w:lang w:val="es-ES"/>
            </w:rPr>
            <w:fldChar w:fldCharType="end"/>
          </w:r>
        </w:p>
      </w:sdtContent>
    </w:sdt>
    <w:p w:rsidR="00C44CED" w:rsidRPr="003B76DB" w:rsidRDefault="00C44CED" w:rsidP="003B76DB">
      <w:pPr>
        <w:pStyle w:val="TDC2"/>
        <w:spacing w:line="276" w:lineRule="auto"/>
        <w:ind w:left="0"/>
        <w:rPr>
          <w:rFonts w:cs="Arial"/>
        </w:rPr>
      </w:pPr>
    </w:p>
    <w:p w:rsidR="00C44CED" w:rsidRPr="003B76DB" w:rsidRDefault="00C44CED" w:rsidP="003B76DB">
      <w:pPr>
        <w:spacing w:line="276" w:lineRule="auto"/>
        <w:rPr>
          <w:rFonts w:cs="Arial"/>
        </w:rPr>
      </w:pPr>
      <w:r w:rsidRPr="003B76DB">
        <w:rPr>
          <w:rFonts w:cs="Arial"/>
        </w:rPr>
        <w:br w:type="page"/>
      </w:r>
    </w:p>
    <w:p w:rsidR="00B30341" w:rsidRPr="003B76DB" w:rsidRDefault="00B30341" w:rsidP="00127717">
      <w:pPr>
        <w:pStyle w:val="Ttulo2"/>
        <w:numPr>
          <w:ilvl w:val="0"/>
          <w:numId w:val="23"/>
        </w:numPr>
        <w:spacing w:line="276" w:lineRule="auto"/>
        <w:jc w:val="left"/>
      </w:pPr>
      <w:bookmarkStart w:id="2" w:name="_Toc358123733"/>
      <w:bookmarkStart w:id="3" w:name="_Toc4590606"/>
      <w:r w:rsidRPr="003B76DB">
        <w:lastRenderedPageBreak/>
        <w:t>I</w:t>
      </w:r>
      <w:bookmarkEnd w:id="0"/>
      <w:r w:rsidRPr="003B76DB">
        <w:t>ntroducción</w:t>
      </w:r>
      <w:bookmarkEnd w:id="1"/>
      <w:bookmarkEnd w:id="2"/>
      <w:bookmarkEnd w:id="3"/>
    </w:p>
    <w:p w:rsidR="00B30341" w:rsidRPr="003B76DB" w:rsidRDefault="00B30341" w:rsidP="003B76DB">
      <w:pPr>
        <w:spacing w:line="276" w:lineRule="auto"/>
        <w:rPr>
          <w:rFonts w:cs="Arial"/>
        </w:rPr>
      </w:pPr>
    </w:p>
    <w:p w:rsidR="00DD38FB" w:rsidRPr="003B76DB" w:rsidRDefault="00DD38FB" w:rsidP="003B76DB">
      <w:pPr>
        <w:spacing w:after="200" w:line="276" w:lineRule="auto"/>
        <w:rPr>
          <w:rFonts w:cs="Arial"/>
        </w:rPr>
      </w:pPr>
      <w:r w:rsidRPr="003B76DB">
        <w:rPr>
          <w:rFonts w:cs="Arial"/>
        </w:rPr>
        <w:t>El Manual de Gestión del Riesgo Operativo de la Dirección General de Crédito Publico y Tesoro Nacional (DGCPTN) del Ministerio de Hacienda y Crédito Público (MHCP) describe las normas y/o principios generales que la Dirección usa en su administración del riesgo operativo. Este documento es parte integral de las políticas y los procedimientos del Ministerio que en su conjunto articulan un adecuado gobierno interno y la estructura de control.</w:t>
      </w:r>
    </w:p>
    <w:p w:rsidR="00DD38FB" w:rsidRPr="003B76DB" w:rsidRDefault="00DD38FB" w:rsidP="003B76DB">
      <w:pPr>
        <w:spacing w:after="200" w:line="276" w:lineRule="auto"/>
        <w:rPr>
          <w:rFonts w:cs="Arial"/>
        </w:rPr>
      </w:pPr>
      <w:r w:rsidRPr="003B76DB">
        <w:rPr>
          <w:rFonts w:cs="Arial"/>
        </w:rPr>
        <w:t xml:space="preserve">Otras políticas y procedimientos de riesgo operativo más específicos podrán ser desarrollados dentro del marco establecido por esta manual, cuando sea necesario o apropiado. Se hace también referencia a otros documentos de política, presentados en la Sección 1.4, los cuales complementan las políticas descritas en este documento. </w:t>
      </w:r>
    </w:p>
    <w:p w:rsidR="00C44CED" w:rsidRPr="003B76DB" w:rsidRDefault="00DD38FB" w:rsidP="003B76DB">
      <w:pPr>
        <w:spacing w:after="200" w:line="276" w:lineRule="auto"/>
        <w:rPr>
          <w:rFonts w:cs="Arial"/>
        </w:rPr>
      </w:pPr>
      <w:r w:rsidRPr="003B76DB">
        <w:rPr>
          <w:rFonts w:cs="Arial"/>
        </w:rPr>
        <w:t>La Dirección General de Crédito Público y Tesoro Nacional en cumplimiento de sus responsabilidades, establece y aprueba procesos efectivos de gobierno interno, de gestión estratégica y de gestión de riesgos, para identificar, evaluar y supervisar debidamente las actividades operativas de la Dirección. Para ello, la Dirección General encarga a la Subdirección de Riesgos, del mantenimiento de políticas operativas sanas y prudentes para la consideración y aprobación, así como el desarrollo y ejecución de un programa de gestión de riesgo operativo efectivo.</w:t>
      </w:r>
    </w:p>
    <w:p w:rsidR="00DD38FB" w:rsidRPr="003B76DB" w:rsidRDefault="00DD38FB" w:rsidP="00132543">
      <w:pPr>
        <w:pStyle w:val="Ttulo3"/>
        <w:numPr>
          <w:ilvl w:val="1"/>
          <w:numId w:val="23"/>
        </w:numPr>
      </w:pPr>
      <w:bookmarkStart w:id="4" w:name="_Toc4590607"/>
      <w:r w:rsidRPr="00132543">
        <w:rPr>
          <w:rStyle w:val="Ttulo3Car"/>
          <w:b/>
        </w:rPr>
        <w:t>Antecedentes</w:t>
      </w:r>
      <w:bookmarkEnd w:id="4"/>
      <w:r w:rsidRPr="00132543">
        <w:rPr>
          <w:rStyle w:val="Ttulo3Car"/>
          <w:b/>
        </w:rPr>
        <w:t xml:space="preserve"> </w:t>
      </w:r>
    </w:p>
    <w:p w:rsidR="00DD38FB" w:rsidRPr="003B76DB" w:rsidRDefault="00DD38FB" w:rsidP="003B76DB">
      <w:pPr>
        <w:autoSpaceDE w:val="0"/>
        <w:autoSpaceDN w:val="0"/>
        <w:adjustRightInd w:val="0"/>
        <w:spacing w:line="276" w:lineRule="auto"/>
        <w:rPr>
          <w:rFonts w:cs="Arial"/>
          <w:color w:val="000000"/>
        </w:rPr>
      </w:pPr>
    </w:p>
    <w:p w:rsidR="00DD38FB" w:rsidRPr="003B76DB" w:rsidRDefault="00DD38FB" w:rsidP="003B76DB">
      <w:pPr>
        <w:autoSpaceDE w:val="0"/>
        <w:autoSpaceDN w:val="0"/>
        <w:adjustRightInd w:val="0"/>
        <w:spacing w:line="276" w:lineRule="auto"/>
        <w:rPr>
          <w:rFonts w:cs="Arial"/>
          <w:color w:val="000000"/>
        </w:rPr>
      </w:pPr>
      <w:r w:rsidRPr="003B76DB">
        <w:rPr>
          <w:rFonts w:cs="Arial"/>
          <w:color w:val="000000"/>
        </w:rPr>
        <w:t>En los últimos años con la globalización de los servicios financieros, la creciente sofisticación de las tecnologías, y la materialización de eventos de riesgo asociados directamente a las ejecución de operaciones,  ha llamado la atención de los diferentes organismos de supervisión la adecuada administración del riesgo, en 1999 el Comité Conjunto de Estándares Australia / Estándares Nueva Zelanda OB-007 de Administración de Riesgos, documenta el estándar internacional para la administración del riesgo, de igual forma  en 2006 el Comité de Supervisión Bancaria de Basilea publica el documento No. 2 “Convergencia internacional de medidas y normas de capital” el cual incluye en las estimaciones de capital para los bancos con actividad internacional, este documento recoge el Marco acordado para estimar la suficiencia de capital, así como los estándares mínimos a alcanzar, que las autoridades supervisoras de los países representados en el Comité presentarán para su adopción en sus respectivos países. Este Marco y los estándares en él recogidos, han contado con el respaldo de los Gobernadores de los Bancos Centrales y de los Jefes de Supervisión Bancaria del Grupo de los Diez</w:t>
      </w:r>
      <w:r w:rsidRPr="003B76DB">
        <w:rPr>
          <w:rStyle w:val="Refdenotaalpie"/>
          <w:rFonts w:cs="Arial"/>
          <w:color w:val="000000"/>
        </w:rPr>
        <w:footnoteReference w:id="1"/>
      </w:r>
      <w:r w:rsidRPr="003B76DB">
        <w:rPr>
          <w:rFonts w:cs="Arial"/>
          <w:color w:val="000000"/>
        </w:rPr>
        <w:t xml:space="preserve">.  En el ámbito nacional la Superintendencia Financiera de Colombia en 2006 </w:t>
      </w:r>
      <w:r w:rsidRPr="003B76DB">
        <w:rPr>
          <w:rFonts w:cs="Arial"/>
          <w:color w:val="000000"/>
        </w:rPr>
        <w:lastRenderedPageBreak/>
        <w:t>publica la Circular Externa 048, la cual establece las Instrucciones Relativas a la Adopción de un Sistema de Administración de Riesgo Operativo (SARO). Para las entidades vigiladas, y crea el capítulo 23 de la circular 100 de 1995, posteriormente modificada por la Circular Externa 041 de 2007.</w:t>
      </w:r>
    </w:p>
    <w:p w:rsidR="00DD38FB" w:rsidRPr="003B76DB" w:rsidRDefault="00DD38FB" w:rsidP="003B76DB">
      <w:pPr>
        <w:autoSpaceDE w:val="0"/>
        <w:autoSpaceDN w:val="0"/>
        <w:adjustRightInd w:val="0"/>
        <w:spacing w:line="276" w:lineRule="auto"/>
        <w:rPr>
          <w:rFonts w:cs="Arial"/>
          <w:color w:val="000000"/>
        </w:rPr>
      </w:pPr>
    </w:p>
    <w:p w:rsidR="00DD38FB" w:rsidRPr="003B76DB" w:rsidRDefault="00DD38FB" w:rsidP="003B76DB">
      <w:pPr>
        <w:autoSpaceDE w:val="0"/>
        <w:autoSpaceDN w:val="0"/>
        <w:adjustRightInd w:val="0"/>
        <w:spacing w:line="276" w:lineRule="auto"/>
      </w:pPr>
      <w:r w:rsidRPr="003B76DB">
        <w:rPr>
          <w:rFonts w:cs="Arial"/>
          <w:color w:val="000000"/>
        </w:rPr>
        <w:t>De acuerdo con lo anterior y con la evolución de las prácticas financieras, es necesario para los bancos o tesorerías adoptar mecanismos de administración del riesgo operativo con el fin de mitigar los riesgos, aparte de los riesgos de crédito, de tipos de interés, liquidez y de mercado.</w:t>
      </w:r>
    </w:p>
    <w:p w:rsidR="00DD38FB" w:rsidRPr="003B76DB" w:rsidRDefault="00DD38FB" w:rsidP="00127717">
      <w:pPr>
        <w:pStyle w:val="Ttulo2"/>
        <w:numPr>
          <w:ilvl w:val="0"/>
          <w:numId w:val="23"/>
        </w:numPr>
        <w:spacing w:line="276" w:lineRule="auto"/>
        <w:jc w:val="left"/>
      </w:pPr>
      <w:bookmarkStart w:id="5" w:name="_Toc507771232"/>
      <w:bookmarkStart w:id="6" w:name="_Toc4590608"/>
      <w:r w:rsidRPr="003B76DB">
        <w:t>Objetivo</w:t>
      </w:r>
      <w:bookmarkEnd w:id="5"/>
      <w:bookmarkEnd w:id="6"/>
    </w:p>
    <w:p w:rsidR="00DD38FB" w:rsidRPr="003B76DB" w:rsidRDefault="00DD38FB" w:rsidP="003B76DB">
      <w:pPr>
        <w:spacing w:line="276" w:lineRule="auto"/>
      </w:pPr>
    </w:p>
    <w:p w:rsidR="003B76DB" w:rsidRDefault="00DD38FB" w:rsidP="003B76DB">
      <w:pPr>
        <w:spacing w:line="276" w:lineRule="auto"/>
        <w:rPr>
          <w:rFonts w:cs="Arial"/>
          <w:color w:val="000000"/>
        </w:rPr>
      </w:pPr>
      <w:r w:rsidRPr="003B76DB">
        <w:rPr>
          <w:rFonts w:cs="Arial"/>
          <w:color w:val="000000"/>
        </w:rPr>
        <w:t xml:space="preserve">Establecer las políticas, metodologías, procedimientos y responsabilidades que se deben tener en cuenta en la operatividad de la Dirección General de Crédito Publico y Tesoro Nacional por parte de todos los funcionarios de la Dirección. </w:t>
      </w:r>
    </w:p>
    <w:p w:rsidR="00302E19" w:rsidRDefault="00302E19" w:rsidP="003B76DB">
      <w:pPr>
        <w:spacing w:line="276" w:lineRule="auto"/>
        <w:rPr>
          <w:rFonts w:cs="Arial"/>
          <w:color w:val="000000"/>
        </w:rPr>
      </w:pPr>
    </w:p>
    <w:p w:rsidR="003B76DB" w:rsidRPr="00302E19" w:rsidRDefault="003B76DB" w:rsidP="00302E19">
      <w:pPr>
        <w:pStyle w:val="Ttulo3"/>
        <w:numPr>
          <w:ilvl w:val="1"/>
          <w:numId w:val="23"/>
        </w:numPr>
      </w:pPr>
      <w:bookmarkStart w:id="7" w:name="_Toc4590609"/>
      <w:r w:rsidRPr="00302E19">
        <w:rPr>
          <w:rStyle w:val="Ttulo3Car"/>
          <w:b/>
        </w:rPr>
        <w:t>Objetivos Específicos</w:t>
      </w:r>
      <w:bookmarkEnd w:id="7"/>
    </w:p>
    <w:p w:rsidR="003B76DB" w:rsidRPr="003B76DB" w:rsidRDefault="003B76D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Proporcionar al Ministerio una herramienta que permita identificar, medir, controlar y monitorear el riesgo operativo, buscando minimizar las pérdidas, por la ocurrencia de acontecimientos internos o externos.</w:t>
      </w:r>
    </w:p>
    <w:p w:rsidR="00DD38FB" w:rsidRPr="003B76DB" w:rsidRDefault="00DD38FB" w:rsidP="003B76DB">
      <w:pPr>
        <w:spacing w:line="276" w:lineRule="auto"/>
        <w:rPr>
          <w:rFonts w:cs="Arial"/>
          <w:color w:val="000000"/>
        </w:rPr>
      </w:pPr>
      <w:r w:rsidRPr="003B76DB">
        <w:rPr>
          <w:rFonts w:cs="Arial"/>
          <w:color w:val="000000"/>
        </w:rPr>
        <w:t>Con el desarrollo e implementación de la presente política lo que busca la Dirección es:</w:t>
      </w:r>
    </w:p>
    <w:p w:rsidR="00DD38FB" w:rsidRPr="003B76DB" w:rsidRDefault="00DD38FB" w:rsidP="003B76DB">
      <w:pPr>
        <w:numPr>
          <w:ilvl w:val="0"/>
          <w:numId w:val="9"/>
        </w:numPr>
        <w:spacing w:before="100" w:beforeAutospacing="1" w:after="100" w:afterAutospacing="1" w:line="276" w:lineRule="auto"/>
        <w:rPr>
          <w:rFonts w:cs="Arial"/>
          <w:color w:val="000000"/>
        </w:rPr>
      </w:pPr>
      <w:r w:rsidRPr="003B76DB">
        <w:rPr>
          <w:rFonts w:cs="Arial"/>
          <w:color w:val="000000"/>
        </w:rPr>
        <w:t>Impulsar la cultura en materia de riesgo operativo.</w:t>
      </w:r>
    </w:p>
    <w:p w:rsidR="00DD38FB" w:rsidRPr="003B76DB" w:rsidRDefault="00DD38FB" w:rsidP="003B76DB">
      <w:pPr>
        <w:numPr>
          <w:ilvl w:val="0"/>
          <w:numId w:val="9"/>
        </w:numPr>
        <w:spacing w:before="100" w:beforeAutospacing="1" w:after="100" w:afterAutospacing="1" w:line="276" w:lineRule="auto"/>
        <w:rPr>
          <w:rFonts w:cs="Arial"/>
          <w:color w:val="000000"/>
        </w:rPr>
      </w:pPr>
      <w:r w:rsidRPr="003B76DB">
        <w:rPr>
          <w:rFonts w:cs="Arial"/>
          <w:color w:val="000000"/>
        </w:rPr>
        <w:t>Prevenir la pérdida de recursos monetarios, mediante la debida y permanente identificación y control de los riesgos asociados.</w:t>
      </w:r>
    </w:p>
    <w:p w:rsidR="00DD38FB" w:rsidRPr="003B76DB" w:rsidRDefault="00DD38FB" w:rsidP="003B76DB">
      <w:pPr>
        <w:numPr>
          <w:ilvl w:val="0"/>
          <w:numId w:val="9"/>
        </w:numPr>
        <w:spacing w:before="100" w:beforeAutospacing="1" w:after="100" w:afterAutospacing="1" w:line="276" w:lineRule="auto"/>
        <w:rPr>
          <w:rFonts w:cs="Arial"/>
          <w:color w:val="000000"/>
        </w:rPr>
      </w:pPr>
      <w:r w:rsidRPr="003B76DB">
        <w:rPr>
          <w:rFonts w:cs="Arial"/>
          <w:color w:val="000000"/>
        </w:rPr>
        <w:t>Identificar los cambios en los controles y los factores de riesgo operativo.</w:t>
      </w:r>
    </w:p>
    <w:p w:rsidR="00DD38FB" w:rsidRPr="003B76DB" w:rsidRDefault="00DD38FB" w:rsidP="003B76DB">
      <w:pPr>
        <w:numPr>
          <w:ilvl w:val="0"/>
          <w:numId w:val="9"/>
        </w:numPr>
        <w:spacing w:before="100" w:beforeAutospacing="1" w:after="100" w:afterAutospacing="1" w:line="276" w:lineRule="auto"/>
        <w:rPr>
          <w:rFonts w:cs="Arial"/>
          <w:color w:val="000000"/>
        </w:rPr>
      </w:pPr>
      <w:r w:rsidRPr="003B76DB">
        <w:rPr>
          <w:rFonts w:cs="Arial"/>
          <w:color w:val="000000"/>
        </w:rPr>
        <w:t xml:space="preserve">Contar con una estructura organizativa que promueva la administración adecuada del riesgo operativo. </w:t>
      </w:r>
    </w:p>
    <w:p w:rsidR="00DD38FB" w:rsidRPr="003B76DB" w:rsidRDefault="00DD38FB" w:rsidP="003B76DB">
      <w:pPr>
        <w:numPr>
          <w:ilvl w:val="0"/>
          <w:numId w:val="9"/>
        </w:numPr>
        <w:spacing w:before="100" w:beforeAutospacing="1" w:after="100" w:afterAutospacing="1" w:line="276" w:lineRule="auto"/>
        <w:rPr>
          <w:rFonts w:cs="Arial"/>
          <w:color w:val="000000"/>
        </w:rPr>
      </w:pPr>
      <w:r w:rsidRPr="003B76DB">
        <w:rPr>
          <w:rFonts w:cs="Arial"/>
          <w:color w:val="000000"/>
        </w:rPr>
        <w:t xml:space="preserve">Establecer una metodología que permita llevar a cabo la identificación, análisis, valoración, tratamiento, comunicación y monitoreo de dicho riesgo, contando con el apoyo de la Dirección General e involucrando a todos los colaboradores del Ministerio. </w:t>
      </w:r>
    </w:p>
    <w:p w:rsidR="003B76DB" w:rsidRPr="003B76DB" w:rsidRDefault="00DD38FB" w:rsidP="003B76DB">
      <w:pPr>
        <w:numPr>
          <w:ilvl w:val="0"/>
          <w:numId w:val="9"/>
        </w:numPr>
        <w:spacing w:before="100" w:beforeAutospacing="1" w:after="100" w:afterAutospacing="1" w:line="276" w:lineRule="auto"/>
        <w:rPr>
          <w:rFonts w:cs="Arial"/>
          <w:color w:val="000000"/>
        </w:rPr>
      </w:pPr>
      <w:r w:rsidRPr="003B76DB">
        <w:rPr>
          <w:rFonts w:cs="Arial"/>
          <w:color w:val="000000"/>
        </w:rPr>
        <w:t>Definir e identificar necesidades de capacitación, mayor conocimiento de los procesos, los sistemas de información y todo el ambiente necesario para la gestión del riesgo operativo.</w:t>
      </w:r>
    </w:p>
    <w:p w:rsidR="003B76DB" w:rsidRDefault="003B76DB" w:rsidP="00127717">
      <w:pPr>
        <w:pStyle w:val="Ttulo2"/>
        <w:numPr>
          <w:ilvl w:val="0"/>
          <w:numId w:val="23"/>
        </w:numPr>
        <w:jc w:val="left"/>
      </w:pPr>
      <w:bookmarkStart w:id="8" w:name="_Toc4590610"/>
      <w:r>
        <w:t>Alcance</w:t>
      </w:r>
      <w:bookmarkEnd w:id="8"/>
    </w:p>
    <w:p w:rsidR="003B76DB" w:rsidRPr="003B76DB" w:rsidRDefault="003B76DB" w:rsidP="003B76DB"/>
    <w:p w:rsidR="003B76DB" w:rsidRPr="003B76DB" w:rsidRDefault="003B76DB" w:rsidP="003B76DB">
      <w:pPr>
        <w:ind w:left="360"/>
        <w:rPr>
          <w:rFonts w:cs="Arial"/>
          <w:color w:val="000000"/>
        </w:rPr>
      </w:pPr>
      <w:r w:rsidRPr="003B76DB">
        <w:rPr>
          <w:rFonts w:cs="Arial"/>
          <w:color w:val="000000"/>
        </w:rPr>
        <w:t xml:space="preserve">Desde la definición de políticas a implementar a las operaciones </w:t>
      </w:r>
      <w:r w:rsidR="006B1778">
        <w:rPr>
          <w:rFonts w:cs="Arial"/>
          <w:color w:val="000000"/>
        </w:rPr>
        <w:t>de la Dirección General de Crédito Público y Tesoro Nacional</w:t>
      </w:r>
      <w:r w:rsidRPr="003B76DB">
        <w:rPr>
          <w:rFonts w:cs="Arial"/>
          <w:color w:val="000000"/>
        </w:rPr>
        <w:t>, hasta la definición de lineamientos de riesgo</w:t>
      </w:r>
      <w:r w:rsidR="006B1778">
        <w:rPr>
          <w:rFonts w:cs="Arial"/>
          <w:color w:val="000000"/>
        </w:rPr>
        <w:t xml:space="preserve"> operativo</w:t>
      </w:r>
      <w:r w:rsidRPr="003B76DB">
        <w:rPr>
          <w:rFonts w:cs="Arial"/>
          <w:color w:val="000000"/>
        </w:rPr>
        <w:t xml:space="preserve"> y los mecanismos de seguimiento a los controles establecidos en el presente manual para dichas operaciones.</w:t>
      </w:r>
    </w:p>
    <w:p w:rsidR="003B76DB" w:rsidRDefault="003B76DB" w:rsidP="003B76DB"/>
    <w:p w:rsidR="00D24976" w:rsidRPr="003B76DB" w:rsidRDefault="00D24976" w:rsidP="00127717">
      <w:pPr>
        <w:pStyle w:val="Ttulo2"/>
        <w:numPr>
          <w:ilvl w:val="0"/>
          <w:numId w:val="23"/>
        </w:numPr>
        <w:jc w:val="left"/>
      </w:pPr>
      <w:bookmarkStart w:id="9" w:name="_Toc4590611"/>
      <w:r>
        <w:lastRenderedPageBreak/>
        <w:t>Productos Esperados</w:t>
      </w:r>
      <w:bookmarkEnd w:id="9"/>
    </w:p>
    <w:p w:rsidR="00D24976" w:rsidRPr="003B76DB" w:rsidRDefault="00D24976" w:rsidP="00D24976">
      <w:pPr>
        <w:spacing w:line="276" w:lineRule="auto"/>
      </w:pPr>
    </w:p>
    <w:p w:rsidR="00D24976" w:rsidRDefault="00D24976" w:rsidP="00D24976">
      <w:pPr>
        <w:spacing w:line="276" w:lineRule="auto"/>
        <w:rPr>
          <w:rFonts w:cs="Arial"/>
          <w:color w:val="000000"/>
        </w:rPr>
      </w:pPr>
      <w:r w:rsidRPr="003B76DB">
        <w:rPr>
          <w:rFonts w:cs="Arial"/>
          <w:color w:val="000000"/>
        </w:rPr>
        <w:t xml:space="preserve">La adecuada aplicación de este manual le permitirá a la Dirección, entre otros aspectos los siguientes: </w:t>
      </w:r>
    </w:p>
    <w:p w:rsidR="00D24976" w:rsidRPr="003B76DB" w:rsidRDefault="00D24976" w:rsidP="00D24976">
      <w:pPr>
        <w:spacing w:line="276" w:lineRule="auto"/>
        <w:rPr>
          <w:rFonts w:cs="Arial"/>
          <w:color w:val="000000"/>
        </w:rPr>
      </w:pPr>
    </w:p>
    <w:p w:rsidR="00D24976" w:rsidRPr="003B76DB" w:rsidRDefault="00D24976" w:rsidP="00D24976">
      <w:pPr>
        <w:pStyle w:val="Prrafodelista"/>
        <w:numPr>
          <w:ilvl w:val="0"/>
          <w:numId w:val="25"/>
        </w:numPr>
        <w:spacing w:line="276" w:lineRule="auto"/>
        <w:rPr>
          <w:rFonts w:cs="Arial"/>
          <w:color w:val="000000"/>
        </w:rPr>
      </w:pPr>
      <w:r w:rsidRPr="003B76DB">
        <w:rPr>
          <w:rFonts w:cs="Arial"/>
          <w:color w:val="000000"/>
        </w:rPr>
        <w:t>Construir un adecuado ambiente de control para cada proceso.</w:t>
      </w:r>
    </w:p>
    <w:p w:rsidR="00D24976" w:rsidRPr="003B76DB" w:rsidRDefault="00D24976" w:rsidP="00D24976">
      <w:pPr>
        <w:pStyle w:val="Prrafodelista"/>
        <w:numPr>
          <w:ilvl w:val="0"/>
          <w:numId w:val="25"/>
        </w:numPr>
        <w:spacing w:line="276" w:lineRule="auto"/>
        <w:rPr>
          <w:rFonts w:cs="Arial"/>
          <w:color w:val="000000"/>
        </w:rPr>
      </w:pPr>
      <w:r w:rsidRPr="003B76DB">
        <w:rPr>
          <w:rFonts w:cs="Arial"/>
          <w:color w:val="000000"/>
        </w:rPr>
        <w:t>Identificar los Riesgos que puedan presentarse en el proceso y minimizarlos.</w:t>
      </w:r>
    </w:p>
    <w:p w:rsidR="00D24976" w:rsidRPr="003B76DB" w:rsidRDefault="00D24976" w:rsidP="00D24976">
      <w:pPr>
        <w:pStyle w:val="Prrafodelista"/>
        <w:numPr>
          <w:ilvl w:val="0"/>
          <w:numId w:val="25"/>
        </w:numPr>
        <w:spacing w:line="276" w:lineRule="auto"/>
        <w:rPr>
          <w:rFonts w:cs="Arial"/>
          <w:color w:val="000000"/>
        </w:rPr>
      </w:pPr>
      <w:r w:rsidRPr="003B76DB">
        <w:rPr>
          <w:rFonts w:cs="Arial"/>
          <w:color w:val="000000"/>
        </w:rPr>
        <w:t>Identificar las causas generadoras de los riesgos.</w:t>
      </w:r>
    </w:p>
    <w:p w:rsidR="00D24976" w:rsidRPr="003B76DB" w:rsidRDefault="00D24976" w:rsidP="00D24976">
      <w:pPr>
        <w:pStyle w:val="Prrafodelista"/>
        <w:numPr>
          <w:ilvl w:val="0"/>
          <w:numId w:val="25"/>
        </w:numPr>
        <w:spacing w:line="276" w:lineRule="auto"/>
        <w:rPr>
          <w:rFonts w:cs="Arial"/>
          <w:color w:val="000000"/>
        </w:rPr>
      </w:pPr>
      <w:r w:rsidRPr="003B76DB">
        <w:rPr>
          <w:rFonts w:cs="Arial"/>
          <w:color w:val="000000"/>
        </w:rPr>
        <w:t>Realizar una medición y una cuantificación de los riesgos inherentes y residuales a los procesos.</w:t>
      </w:r>
    </w:p>
    <w:p w:rsidR="00D24976" w:rsidRPr="003B76DB" w:rsidRDefault="00D24976" w:rsidP="00D24976">
      <w:pPr>
        <w:pStyle w:val="Prrafodelista"/>
        <w:numPr>
          <w:ilvl w:val="0"/>
          <w:numId w:val="25"/>
        </w:numPr>
        <w:spacing w:line="276" w:lineRule="auto"/>
        <w:rPr>
          <w:rFonts w:cs="Arial"/>
          <w:color w:val="000000"/>
        </w:rPr>
      </w:pPr>
      <w:r w:rsidRPr="003B76DB">
        <w:rPr>
          <w:rFonts w:cs="Arial"/>
          <w:color w:val="000000"/>
        </w:rPr>
        <w:t>Monitorear periódicamente los perfiles de riesgo y la exposición a posibles pérdidas que estos puedan originar.</w:t>
      </w:r>
    </w:p>
    <w:p w:rsidR="00D24976" w:rsidRPr="003B76DB" w:rsidRDefault="00D24976" w:rsidP="00D24976">
      <w:pPr>
        <w:pStyle w:val="Prrafodelista"/>
        <w:numPr>
          <w:ilvl w:val="0"/>
          <w:numId w:val="25"/>
        </w:numPr>
        <w:spacing w:line="276" w:lineRule="auto"/>
        <w:rPr>
          <w:rFonts w:cs="Arial"/>
          <w:color w:val="000000"/>
        </w:rPr>
      </w:pPr>
      <w:r w:rsidRPr="003B76DB">
        <w:rPr>
          <w:rFonts w:cs="Arial"/>
          <w:color w:val="000000"/>
        </w:rPr>
        <w:t xml:space="preserve">Reportar el resultado de los mapas de riesgo a las áreas o entidades interesadas. </w:t>
      </w:r>
    </w:p>
    <w:p w:rsidR="00D24976" w:rsidRPr="003B76DB" w:rsidRDefault="00D24976" w:rsidP="00D24976">
      <w:pPr>
        <w:pStyle w:val="Prrafodelista"/>
        <w:numPr>
          <w:ilvl w:val="0"/>
          <w:numId w:val="25"/>
        </w:numPr>
        <w:spacing w:line="276" w:lineRule="auto"/>
        <w:rPr>
          <w:rFonts w:cs="Arial"/>
          <w:color w:val="000000"/>
        </w:rPr>
      </w:pPr>
      <w:r w:rsidRPr="003B76DB">
        <w:rPr>
          <w:rFonts w:cs="Arial"/>
          <w:color w:val="000000"/>
        </w:rPr>
        <w:t>Mantener una base de datos de eventos de riesgos operativos materializados, con el fin de hacer seguimiento a la implementación de planes de acción de mitigación y documentar las lecciones aprendidas.</w:t>
      </w:r>
    </w:p>
    <w:p w:rsidR="00D24976" w:rsidRPr="003B76DB" w:rsidRDefault="00D24976" w:rsidP="00D24976">
      <w:pPr>
        <w:pStyle w:val="Prrafodelista"/>
        <w:numPr>
          <w:ilvl w:val="0"/>
          <w:numId w:val="25"/>
        </w:numPr>
        <w:spacing w:line="276" w:lineRule="auto"/>
        <w:rPr>
          <w:rFonts w:cs="Arial"/>
          <w:color w:val="000000"/>
        </w:rPr>
      </w:pPr>
      <w:r w:rsidRPr="003B76DB">
        <w:rPr>
          <w:rFonts w:cs="Arial"/>
          <w:color w:val="000000"/>
        </w:rPr>
        <w:t>Facilitar la cultura de autocontrol y ejecución de los procesos, que permita identificar fácilmente la ocurrencia de posibles fallas o deficiencias que originen pérdida directa o indirecta a la Dirección.</w:t>
      </w:r>
    </w:p>
    <w:p w:rsidR="00D24976" w:rsidRPr="00D24976" w:rsidRDefault="00D24976" w:rsidP="001E2170">
      <w:pPr>
        <w:pStyle w:val="Prrafodelista"/>
        <w:numPr>
          <w:ilvl w:val="0"/>
          <w:numId w:val="25"/>
        </w:numPr>
        <w:spacing w:before="100" w:beforeAutospacing="1" w:after="100" w:afterAutospacing="1" w:line="276" w:lineRule="auto"/>
        <w:rPr>
          <w:rFonts w:cs="Arial"/>
          <w:color w:val="000000"/>
        </w:rPr>
      </w:pPr>
      <w:r w:rsidRPr="00D24976">
        <w:rPr>
          <w:rFonts w:cs="Arial"/>
          <w:color w:val="000000"/>
        </w:rPr>
        <w:t>Consolidar una cultura de riesgo en pro de optimizar los procesos y reducir la exposición a los riesgos.</w:t>
      </w:r>
    </w:p>
    <w:p w:rsidR="00D24976" w:rsidRPr="00CC12BC" w:rsidRDefault="00D24976" w:rsidP="00127717">
      <w:pPr>
        <w:pStyle w:val="Ttulo2"/>
        <w:numPr>
          <w:ilvl w:val="0"/>
          <w:numId w:val="23"/>
        </w:numPr>
        <w:jc w:val="left"/>
      </w:pPr>
      <w:bookmarkStart w:id="10" w:name="_Toc528661808"/>
      <w:bookmarkStart w:id="11" w:name="_Toc4590612"/>
      <w:r>
        <w:t>Términos y</w:t>
      </w:r>
      <w:r w:rsidRPr="00CC12BC">
        <w:t xml:space="preserve"> Definiciones</w:t>
      </w:r>
      <w:bookmarkEnd w:id="10"/>
      <w:bookmarkEnd w:id="11"/>
    </w:p>
    <w:p w:rsidR="00DD38FB" w:rsidRDefault="00DD38FB" w:rsidP="003B76DB">
      <w:pPr>
        <w:pStyle w:val="Default"/>
        <w:spacing w:line="276" w:lineRule="auto"/>
        <w:jc w:val="both"/>
        <w:rPr>
          <w:rFonts w:ascii="Arial Narrow" w:hAnsi="Arial Narrow"/>
          <w:szCs w:val="22"/>
        </w:rPr>
      </w:pPr>
    </w:p>
    <w:p w:rsidR="00D24976" w:rsidRPr="00D24976" w:rsidRDefault="00D24976" w:rsidP="00D24976">
      <w:pPr>
        <w:pStyle w:val="Ttulo3"/>
        <w:numPr>
          <w:ilvl w:val="1"/>
          <w:numId w:val="23"/>
        </w:numPr>
      </w:pPr>
      <w:bookmarkStart w:id="12" w:name="_Toc4590613"/>
      <w:r w:rsidRPr="00D24976">
        <w:t>Riesgo Operativo</w:t>
      </w:r>
      <w:bookmarkEnd w:id="12"/>
    </w:p>
    <w:p w:rsidR="00D24976" w:rsidRPr="003B76DB" w:rsidRDefault="00D24976" w:rsidP="00D24976">
      <w:pPr>
        <w:pStyle w:val="Default"/>
        <w:spacing w:line="276" w:lineRule="auto"/>
        <w:jc w:val="both"/>
        <w:rPr>
          <w:rFonts w:ascii="Arial Narrow" w:hAnsi="Arial Narrow"/>
          <w:szCs w:val="22"/>
        </w:rPr>
      </w:pPr>
    </w:p>
    <w:p w:rsidR="00DD38FB" w:rsidRPr="003B76DB" w:rsidRDefault="00DD38FB" w:rsidP="003B76DB">
      <w:pPr>
        <w:pStyle w:val="Default"/>
        <w:spacing w:line="276" w:lineRule="auto"/>
        <w:jc w:val="both"/>
        <w:rPr>
          <w:rFonts w:ascii="Arial Narrow" w:hAnsi="Arial Narrow"/>
          <w:szCs w:val="22"/>
        </w:rPr>
      </w:pPr>
      <w:r w:rsidRPr="003B76DB">
        <w:rPr>
          <w:rFonts w:ascii="Arial Narrow" w:hAnsi="Arial Narrow"/>
          <w:szCs w:val="22"/>
        </w:rPr>
        <w:t>De acuerdo con la CE 041 de 2007 expedida por la Superintendencia Financiera de Colombia, se entiende como el riesgo operativo, como la posibilidad de incurrir en pérdidas por deficiencias, fallas o inadecuaciones, en el recurso humano, los procesos, la tecnología, la infraestructura o por la ocurrencia de acontecimientos externos.  Esta definición incluye el riesgo legal y reputacional, asociados a tales factores.</w:t>
      </w:r>
      <w:r w:rsidRPr="003B76DB">
        <w:rPr>
          <w:rStyle w:val="Refdenotaalpie"/>
          <w:rFonts w:ascii="Arial Narrow" w:hAnsi="Arial Narrow"/>
          <w:szCs w:val="22"/>
        </w:rPr>
        <w:footnoteReference w:id="2"/>
      </w:r>
      <w:r w:rsidRPr="003B76DB">
        <w:rPr>
          <w:rFonts w:ascii="Arial Narrow" w:hAnsi="Arial Narrow"/>
          <w:szCs w:val="22"/>
        </w:rPr>
        <w:t xml:space="preserve">.  </w:t>
      </w:r>
    </w:p>
    <w:p w:rsidR="00DD38FB" w:rsidRPr="003B76DB" w:rsidRDefault="00DD38FB" w:rsidP="003B76DB">
      <w:pPr>
        <w:pStyle w:val="Default"/>
        <w:spacing w:line="276" w:lineRule="auto"/>
        <w:jc w:val="both"/>
        <w:rPr>
          <w:rFonts w:ascii="Arial Narrow" w:hAnsi="Arial Narrow"/>
          <w:szCs w:val="22"/>
        </w:rPr>
      </w:pPr>
    </w:p>
    <w:p w:rsidR="00DD38FB" w:rsidRPr="003B76DB" w:rsidRDefault="00DD38FB" w:rsidP="003B76DB">
      <w:pPr>
        <w:pStyle w:val="Default"/>
        <w:spacing w:line="276" w:lineRule="auto"/>
        <w:jc w:val="both"/>
        <w:rPr>
          <w:rFonts w:ascii="Arial Narrow" w:hAnsi="Arial Narrow"/>
          <w:szCs w:val="22"/>
        </w:rPr>
      </w:pPr>
      <w:r w:rsidRPr="003B76DB">
        <w:rPr>
          <w:rFonts w:ascii="Arial Narrow" w:hAnsi="Arial Narrow"/>
          <w:szCs w:val="22"/>
        </w:rPr>
        <w:t xml:space="preserve">El riesgo operativo existe de alguna forma en cada una de las actividades y procesos de la Dirección, y puede resultar en pérdidas económicas, detrimento patrimonial, o daños a la reputación de la entidad. </w:t>
      </w:r>
    </w:p>
    <w:p w:rsidR="00DD38FB" w:rsidRPr="003B76DB" w:rsidRDefault="00DD38FB" w:rsidP="003B76DB">
      <w:pPr>
        <w:pStyle w:val="Default"/>
        <w:spacing w:line="276" w:lineRule="auto"/>
        <w:jc w:val="both"/>
        <w:rPr>
          <w:rFonts w:ascii="Arial Narrow" w:hAnsi="Arial Narrow"/>
          <w:szCs w:val="22"/>
        </w:rPr>
      </w:pPr>
    </w:p>
    <w:p w:rsidR="00DD38FB" w:rsidRPr="003B76DB" w:rsidRDefault="00DD38FB" w:rsidP="00D24976">
      <w:pPr>
        <w:pStyle w:val="Ttulo2"/>
        <w:spacing w:before="0" w:line="276" w:lineRule="auto"/>
      </w:pPr>
    </w:p>
    <w:p w:rsidR="00DD38FB" w:rsidRPr="00D24976" w:rsidRDefault="00DD38FB" w:rsidP="00302E19">
      <w:pPr>
        <w:pStyle w:val="Ttulo3"/>
        <w:numPr>
          <w:ilvl w:val="1"/>
          <w:numId w:val="23"/>
        </w:numPr>
      </w:pPr>
      <w:bookmarkStart w:id="13" w:name="_Toc507771235"/>
      <w:bookmarkStart w:id="14" w:name="_Toc4590614"/>
      <w:r w:rsidRPr="00D24976">
        <w:rPr>
          <w:rStyle w:val="Ttulo3Car"/>
          <w:b/>
        </w:rPr>
        <w:t>Riesgo Legal</w:t>
      </w:r>
      <w:bookmarkEnd w:id="13"/>
      <w:bookmarkEnd w:id="14"/>
    </w:p>
    <w:p w:rsidR="00DD38FB" w:rsidRPr="003B76DB" w:rsidRDefault="00DD38FB" w:rsidP="00D24976">
      <w:pPr>
        <w:spacing w:line="276" w:lineRule="auto"/>
      </w:pPr>
    </w:p>
    <w:p w:rsidR="00DD38FB" w:rsidRPr="003B76DB" w:rsidRDefault="00DD38FB" w:rsidP="00D24976">
      <w:pPr>
        <w:pStyle w:val="Default"/>
        <w:spacing w:line="276" w:lineRule="auto"/>
        <w:jc w:val="both"/>
        <w:rPr>
          <w:rFonts w:ascii="Arial Narrow" w:hAnsi="Arial Narrow"/>
          <w:szCs w:val="22"/>
        </w:rPr>
      </w:pPr>
      <w:r w:rsidRPr="003B76DB">
        <w:rPr>
          <w:rFonts w:ascii="Arial Narrow" w:hAnsi="Arial Narrow"/>
          <w:szCs w:val="22"/>
        </w:rPr>
        <w:t>Es la posibilidad de pérdida económica en que incurre una entidad al ser sancionada u obligada a indemnizar daños como resultado del incumplimiento de normas o regulaciones y obligaciones contractuales.</w:t>
      </w:r>
    </w:p>
    <w:p w:rsidR="00DD38FB" w:rsidRPr="003B76DB" w:rsidRDefault="00DD38FB" w:rsidP="00D24976">
      <w:pPr>
        <w:pStyle w:val="Default"/>
        <w:spacing w:line="276" w:lineRule="auto"/>
        <w:jc w:val="both"/>
        <w:rPr>
          <w:rFonts w:ascii="Arial Narrow" w:hAnsi="Arial Narrow"/>
          <w:szCs w:val="22"/>
        </w:rPr>
      </w:pPr>
    </w:p>
    <w:p w:rsidR="00DD38FB" w:rsidRDefault="00DD38FB" w:rsidP="00D24976">
      <w:pPr>
        <w:pStyle w:val="Default"/>
        <w:spacing w:line="276" w:lineRule="auto"/>
        <w:jc w:val="both"/>
        <w:rPr>
          <w:rFonts w:ascii="Arial Narrow" w:hAnsi="Arial Narrow"/>
          <w:szCs w:val="22"/>
        </w:rPr>
      </w:pPr>
      <w:r w:rsidRPr="003B76DB">
        <w:rPr>
          <w:rFonts w:ascii="Arial Narrow" w:hAnsi="Arial Narrow"/>
          <w:szCs w:val="22"/>
        </w:rPr>
        <w:t>El riesgo legal surge también como consecuencia de fallas en los contratos y transacciones, derivadas de actuaciones malintencionadas, negligencia o actos involuntarios que afectan la formalización o ejecución de contratos o transacciones.</w:t>
      </w:r>
    </w:p>
    <w:p w:rsidR="00D24976" w:rsidRPr="003B76DB" w:rsidRDefault="00D24976" w:rsidP="00D24976">
      <w:pPr>
        <w:pStyle w:val="Default"/>
        <w:spacing w:line="276" w:lineRule="auto"/>
        <w:jc w:val="both"/>
        <w:rPr>
          <w:rFonts w:ascii="Arial Narrow" w:hAnsi="Arial Narrow"/>
          <w:szCs w:val="22"/>
        </w:rPr>
      </w:pPr>
    </w:p>
    <w:p w:rsidR="00DD38FB" w:rsidRDefault="00DD38FB" w:rsidP="00302E19">
      <w:pPr>
        <w:pStyle w:val="Ttulo3"/>
        <w:numPr>
          <w:ilvl w:val="1"/>
          <w:numId w:val="23"/>
        </w:numPr>
      </w:pPr>
      <w:bookmarkStart w:id="15" w:name="_Toc507771236"/>
      <w:bookmarkStart w:id="16" w:name="_Toc4590615"/>
      <w:r w:rsidRPr="003B76DB">
        <w:t>Riesgo Reputacional</w:t>
      </w:r>
      <w:bookmarkEnd w:id="15"/>
      <w:bookmarkEnd w:id="16"/>
    </w:p>
    <w:p w:rsidR="00D24976" w:rsidRPr="00D24976" w:rsidRDefault="00D24976" w:rsidP="00D24976"/>
    <w:p w:rsidR="00DD38FB" w:rsidRPr="003B76DB" w:rsidRDefault="00DD38FB" w:rsidP="00D24976">
      <w:pPr>
        <w:pStyle w:val="Default"/>
        <w:spacing w:after="60" w:line="276" w:lineRule="auto"/>
        <w:jc w:val="both"/>
        <w:rPr>
          <w:rFonts w:ascii="Arial Narrow" w:hAnsi="Arial Narrow"/>
          <w:szCs w:val="22"/>
        </w:rPr>
      </w:pPr>
      <w:r w:rsidRPr="003B76DB">
        <w:rPr>
          <w:rFonts w:ascii="Arial Narrow" w:hAnsi="Arial Narrow"/>
          <w:szCs w:val="22"/>
        </w:rPr>
        <w:t>Es la posibilidad de pérdida en que incurre una entidad por desprestigio, mala imagen, publicidad negativa, cierta o no,  respecto de la institución y sus prácticas de negocios</w:t>
      </w:r>
      <w:r w:rsidRPr="003B76DB">
        <w:rPr>
          <w:rStyle w:val="Refdenotaalpie"/>
          <w:rFonts w:ascii="Arial Narrow" w:hAnsi="Arial Narrow"/>
          <w:szCs w:val="22"/>
        </w:rPr>
        <w:footnoteReference w:id="3"/>
      </w:r>
      <w:r w:rsidRPr="003B76DB">
        <w:rPr>
          <w:rFonts w:ascii="Arial Narrow" w:hAnsi="Arial Narrow"/>
          <w:szCs w:val="22"/>
        </w:rPr>
        <w:t>.</w:t>
      </w:r>
    </w:p>
    <w:p w:rsidR="00DD38FB" w:rsidRPr="003B76DB" w:rsidRDefault="00DD38FB" w:rsidP="003B76DB">
      <w:pPr>
        <w:spacing w:line="276" w:lineRule="auto"/>
        <w:rPr>
          <w:b/>
          <w:bCs/>
          <w:sz w:val="28"/>
          <w:szCs w:val="28"/>
        </w:rPr>
      </w:pPr>
    </w:p>
    <w:p w:rsidR="00DD38FB" w:rsidRPr="003B76DB" w:rsidRDefault="00DD38FB" w:rsidP="00D24976">
      <w:pPr>
        <w:pStyle w:val="Ttulo3"/>
        <w:numPr>
          <w:ilvl w:val="1"/>
          <w:numId w:val="23"/>
        </w:numPr>
      </w:pPr>
      <w:bookmarkStart w:id="17" w:name="_Toc507771237"/>
      <w:bookmarkStart w:id="18" w:name="_Toc4590616"/>
      <w:r w:rsidRPr="003B76DB">
        <w:t>Definición de Factores de Riesgo</w:t>
      </w:r>
      <w:bookmarkEnd w:id="17"/>
      <w:bookmarkEnd w:id="18"/>
    </w:p>
    <w:p w:rsidR="00DD38FB" w:rsidRPr="003B76DB" w:rsidRDefault="00DD38FB" w:rsidP="003B76DB">
      <w:pPr>
        <w:spacing w:line="276" w:lineRule="auto"/>
      </w:pPr>
    </w:p>
    <w:p w:rsidR="00DD38FB" w:rsidRDefault="00DD38FB" w:rsidP="003B76DB">
      <w:pPr>
        <w:spacing w:line="276" w:lineRule="auto"/>
        <w:rPr>
          <w:rFonts w:cs="Arial"/>
          <w:color w:val="000000"/>
        </w:rPr>
      </w:pPr>
      <w:r w:rsidRPr="003B76DB">
        <w:rPr>
          <w:rFonts w:cs="Arial"/>
          <w:color w:val="000000"/>
        </w:rPr>
        <w:t>Se entiende por factores de riesgo, las fuentes generadoras de eventos en las que se originan las pérdidas por riesgo operativo, estos factores se cl</w:t>
      </w:r>
      <w:r w:rsidR="00244C24">
        <w:rPr>
          <w:rFonts w:cs="Arial"/>
          <w:color w:val="000000"/>
        </w:rPr>
        <w:t>asifican en Internos y Externos:</w:t>
      </w:r>
    </w:p>
    <w:p w:rsidR="00244C24" w:rsidRDefault="00244C24" w:rsidP="003B76DB">
      <w:pPr>
        <w:spacing w:line="276" w:lineRule="auto"/>
        <w:rPr>
          <w:rFonts w:cs="Arial"/>
          <w:color w:val="000000"/>
        </w:rPr>
      </w:pPr>
    </w:p>
    <w:p w:rsidR="00244C24" w:rsidRPr="001937C5" w:rsidRDefault="00244C24" w:rsidP="003B76DB">
      <w:pPr>
        <w:spacing w:line="276" w:lineRule="auto"/>
        <w:rPr>
          <w:rFonts w:cs="Arial"/>
          <w:b/>
          <w:color w:val="000000"/>
          <w:u w:val="single"/>
        </w:rPr>
      </w:pPr>
      <w:r w:rsidRPr="001937C5">
        <w:rPr>
          <w:rFonts w:cs="Arial"/>
          <w:b/>
          <w:color w:val="000000"/>
          <w:u w:val="single"/>
        </w:rPr>
        <w:t xml:space="preserve">Internos </w:t>
      </w:r>
    </w:p>
    <w:p w:rsidR="00244C24" w:rsidRPr="00244C24" w:rsidRDefault="00244C24" w:rsidP="003B76DB">
      <w:pPr>
        <w:spacing w:line="276" w:lineRule="auto"/>
        <w:rPr>
          <w:rFonts w:cs="Arial"/>
          <w:color w:val="000000"/>
          <w:u w:val="single"/>
        </w:rPr>
      </w:pPr>
    </w:p>
    <w:p w:rsidR="00244C24" w:rsidRDefault="00244C24" w:rsidP="001E2170">
      <w:pPr>
        <w:pStyle w:val="Prrafodelista"/>
        <w:numPr>
          <w:ilvl w:val="0"/>
          <w:numId w:val="27"/>
        </w:numPr>
        <w:spacing w:line="276" w:lineRule="auto"/>
        <w:rPr>
          <w:rFonts w:cs="Arial"/>
          <w:bCs/>
        </w:rPr>
      </w:pPr>
      <w:r w:rsidRPr="00244C24">
        <w:rPr>
          <w:rFonts w:cs="Arial"/>
          <w:b/>
          <w:bCs/>
        </w:rPr>
        <w:t>Recurso Humano</w:t>
      </w:r>
      <w:r w:rsidRPr="00244C24">
        <w:rPr>
          <w:rFonts w:cs="Arial"/>
          <w:bCs/>
        </w:rPr>
        <w:t>: Corresponde al conjunto de personas vinculadas directa (basada en un contrato de trabajo en los términos de la legislación vigente) o indirectamente (aquellas personas que tienen con la entidad una relación jurídica de prestación de servicios diferente a aquella que se origina en un contrato de trabajo) con la ejecución de los procesos de la entidad.</w:t>
      </w:r>
    </w:p>
    <w:p w:rsidR="00244C24" w:rsidRDefault="00DD38FB" w:rsidP="003B76DB">
      <w:pPr>
        <w:pStyle w:val="Prrafodelista"/>
        <w:numPr>
          <w:ilvl w:val="0"/>
          <w:numId w:val="27"/>
        </w:numPr>
        <w:spacing w:line="276" w:lineRule="auto"/>
        <w:rPr>
          <w:rFonts w:cs="Arial"/>
          <w:bCs/>
        </w:rPr>
      </w:pPr>
      <w:r w:rsidRPr="00244C24">
        <w:rPr>
          <w:rFonts w:cs="Arial"/>
          <w:b/>
          <w:bCs/>
        </w:rPr>
        <w:t>Procesos</w:t>
      </w:r>
      <w:r w:rsidRPr="00244C24">
        <w:rPr>
          <w:rFonts w:cs="Arial"/>
          <w:bCs/>
        </w:rPr>
        <w:t xml:space="preserve">: Corresponden a la interrelación ordenada de actividades para la transformación de elementos de entrada en productos o servicios, y así satisfacer una necesidad. </w:t>
      </w:r>
    </w:p>
    <w:p w:rsidR="00244C24" w:rsidRDefault="00DD38FB" w:rsidP="003B76DB">
      <w:pPr>
        <w:pStyle w:val="Prrafodelista"/>
        <w:numPr>
          <w:ilvl w:val="0"/>
          <w:numId w:val="27"/>
        </w:numPr>
        <w:spacing w:line="276" w:lineRule="auto"/>
        <w:rPr>
          <w:rFonts w:cs="Arial"/>
          <w:bCs/>
        </w:rPr>
      </w:pPr>
      <w:r w:rsidRPr="00244C24">
        <w:rPr>
          <w:rFonts w:cs="Arial"/>
          <w:b/>
          <w:bCs/>
        </w:rPr>
        <w:t>Tecnología</w:t>
      </w:r>
      <w:r w:rsidRPr="00244C24">
        <w:rPr>
          <w:rFonts w:cs="Arial"/>
          <w:bCs/>
        </w:rPr>
        <w:t xml:space="preserve">: Comprende las herramientas empleadas (hardware, software y telecomunicaciones) para soportar los procesos de la Dirección. </w:t>
      </w:r>
    </w:p>
    <w:p w:rsidR="00DD38FB" w:rsidRDefault="00DD38FB" w:rsidP="003B76DB">
      <w:pPr>
        <w:pStyle w:val="Prrafodelista"/>
        <w:numPr>
          <w:ilvl w:val="0"/>
          <w:numId w:val="27"/>
        </w:numPr>
        <w:spacing w:line="276" w:lineRule="auto"/>
        <w:rPr>
          <w:rFonts w:cs="Arial"/>
          <w:bCs/>
        </w:rPr>
      </w:pPr>
      <w:r w:rsidRPr="00244C24">
        <w:rPr>
          <w:rFonts w:cs="Arial"/>
          <w:b/>
          <w:bCs/>
        </w:rPr>
        <w:t>Infraestructura</w:t>
      </w:r>
      <w:r w:rsidRPr="00244C24">
        <w:rPr>
          <w:rFonts w:cs="Arial"/>
          <w:bCs/>
        </w:rPr>
        <w:t>: Es el conjunto de elementos de apoyo para el funcionamiento de una organización. Entre otros se incluyen: edificios, espacios de trabajo, almacenamiento y transporte.</w:t>
      </w:r>
    </w:p>
    <w:p w:rsidR="00244C24" w:rsidRDefault="00244C24" w:rsidP="00244C24">
      <w:pPr>
        <w:spacing w:line="276" w:lineRule="auto"/>
        <w:ind w:left="360"/>
        <w:rPr>
          <w:rFonts w:cs="Arial"/>
          <w:bCs/>
        </w:rPr>
      </w:pPr>
    </w:p>
    <w:p w:rsidR="00244C24" w:rsidRPr="001937C5" w:rsidRDefault="00244C24" w:rsidP="00244C24">
      <w:pPr>
        <w:spacing w:line="276" w:lineRule="auto"/>
        <w:rPr>
          <w:rFonts w:cs="Arial"/>
          <w:b/>
          <w:bCs/>
          <w:u w:val="single"/>
        </w:rPr>
      </w:pPr>
      <w:r w:rsidRPr="001937C5">
        <w:rPr>
          <w:rFonts w:cs="Arial"/>
          <w:b/>
          <w:bCs/>
          <w:u w:val="single"/>
        </w:rPr>
        <w:lastRenderedPageBreak/>
        <w:t>Externos</w:t>
      </w:r>
    </w:p>
    <w:p w:rsidR="00244C24" w:rsidRPr="00244C24" w:rsidRDefault="00244C24" w:rsidP="00244C24">
      <w:pPr>
        <w:spacing w:line="276" w:lineRule="auto"/>
        <w:rPr>
          <w:rFonts w:cs="Arial"/>
          <w:bCs/>
          <w:u w:val="single"/>
        </w:rPr>
      </w:pPr>
    </w:p>
    <w:p w:rsidR="00DD38FB" w:rsidRPr="001937C5" w:rsidRDefault="00DD38FB" w:rsidP="00E35D58">
      <w:pPr>
        <w:pStyle w:val="Prrafodelista"/>
        <w:numPr>
          <w:ilvl w:val="0"/>
          <w:numId w:val="28"/>
        </w:numPr>
        <w:spacing w:line="276" w:lineRule="auto"/>
        <w:rPr>
          <w:rFonts w:cs="Arial"/>
          <w:bCs/>
        </w:rPr>
      </w:pPr>
      <w:r w:rsidRPr="001937C5">
        <w:rPr>
          <w:rFonts w:cs="Arial"/>
          <w:b/>
          <w:bCs/>
        </w:rPr>
        <w:t>Eventos externos</w:t>
      </w:r>
      <w:r w:rsidRPr="001937C5">
        <w:rPr>
          <w:rFonts w:cs="Arial"/>
          <w:bCs/>
        </w:rPr>
        <w:t xml:space="preserve">: Corresponde a la ocurrencia de eventos externos asociados a la fuerza de la naturaleza u ocasionado por terceros, que escapan en cuanto a su causa y origen al control de la entidad como fallas operativas en los proveedores o en las operaciones de </w:t>
      </w:r>
      <w:r w:rsidRPr="001937C5">
        <w:rPr>
          <w:rFonts w:cs="Arial"/>
          <w:bCs/>
          <w:i/>
        </w:rPr>
        <w:t>outsourcing</w:t>
      </w:r>
      <w:r w:rsidRPr="001937C5">
        <w:rPr>
          <w:rFonts w:cs="Arial"/>
          <w:bCs/>
        </w:rPr>
        <w:t>, incendios o desastres naturales, terrorismo, vandalismo, hurto, robo.</w:t>
      </w:r>
    </w:p>
    <w:p w:rsidR="00DD38FB" w:rsidRPr="003B76DB" w:rsidRDefault="001B36FA" w:rsidP="00127717">
      <w:pPr>
        <w:pStyle w:val="Ttulo2"/>
        <w:numPr>
          <w:ilvl w:val="0"/>
          <w:numId w:val="23"/>
        </w:numPr>
        <w:spacing w:line="276" w:lineRule="auto"/>
        <w:jc w:val="left"/>
      </w:pPr>
      <w:bookmarkStart w:id="19" w:name="_Toc4590617"/>
      <w:r>
        <w:t xml:space="preserve">Directrices </w:t>
      </w:r>
      <w:r w:rsidR="00023F38">
        <w:t xml:space="preserve">Generales </w:t>
      </w:r>
      <w:r>
        <w:t>del SARO</w:t>
      </w:r>
      <w:bookmarkEnd w:id="19"/>
    </w:p>
    <w:p w:rsidR="00DD38FB" w:rsidRPr="003B76DB" w:rsidRDefault="00DD38FB" w:rsidP="003B76DB">
      <w:pPr>
        <w:spacing w:line="276" w:lineRule="auto"/>
      </w:pPr>
    </w:p>
    <w:p w:rsidR="00DD38FB" w:rsidRPr="003B76DB" w:rsidRDefault="00F303CC" w:rsidP="00F303CC">
      <w:pPr>
        <w:spacing w:line="276" w:lineRule="auto"/>
        <w:rPr>
          <w:rFonts w:cs="Arial"/>
        </w:rPr>
      </w:pPr>
      <w:r>
        <w:rPr>
          <w:rFonts w:cs="Arial"/>
          <w:color w:val="000000"/>
        </w:rPr>
        <w:t>Las p</w:t>
      </w:r>
      <w:r w:rsidR="00DD38FB" w:rsidRPr="003B76DB">
        <w:rPr>
          <w:rFonts w:cs="Arial"/>
          <w:color w:val="000000"/>
        </w:rPr>
        <w:t>olítica</w:t>
      </w:r>
      <w:r>
        <w:rPr>
          <w:rFonts w:cs="Arial"/>
          <w:color w:val="000000"/>
        </w:rPr>
        <w:t>s</w:t>
      </w:r>
      <w:r w:rsidR="001B36FA">
        <w:rPr>
          <w:rFonts w:cs="Arial"/>
          <w:color w:val="000000"/>
        </w:rPr>
        <w:t xml:space="preserve"> y directrices</w:t>
      </w:r>
      <w:r w:rsidR="00F247DA">
        <w:rPr>
          <w:rFonts w:cs="Arial"/>
          <w:color w:val="000000"/>
        </w:rPr>
        <w:t xml:space="preserve"> de gestión de riesgo o</w:t>
      </w:r>
      <w:r w:rsidR="00DD38FB" w:rsidRPr="003B76DB">
        <w:rPr>
          <w:rFonts w:cs="Arial"/>
          <w:color w:val="000000"/>
        </w:rPr>
        <w:t xml:space="preserve">perativo </w:t>
      </w:r>
      <w:r>
        <w:rPr>
          <w:rFonts w:cs="Arial"/>
          <w:color w:val="000000"/>
        </w:rPr>
        <w:t>son</w:t>
      </w:r>
      <w:r w:rsidR="00DD38FB" w:rsidRPr="003B76DB">
        <w:rPr>
          <w:rFonts w:cs="Arial"/>
          <w:color w:val="000000"/>
        </w:rPr>
        <w:t xml:space="preserve"> transversal</w:t>
      </w:r>
      <w:r>
        <w:rPr>
          <w:rFonts w:cs="Arial"/>
          <w:color w:val="000000"/>
        </w:rPr>
        <w:t>es</w:t>
      </w:r>
      <w:r w:rsidR="00DD38FB" w:rsidRPr="003B76DB">
        <w:rPr>
          <w:rFonts w:cs="Arial"/>
          <w:color w:val="000000"/>
        </w:rPr>
        <w:t xml:space="preserve"> a todos los procesos de la Dirección General de Crédito Publico y Tesoro Nacional, en búsqueda de las mejores pr</w:t>
      </w:r>
      <w:r>
        <w:rPr>
          <w:rFonts w:cs="Arial"/>
          <w:color w:val="000000"/>
        </w:rPr>
        <w:t>ácticas que ha desarrollado el sector f</w:t>
      </w:r>
      <w:r w:rsidR="00DD38FB" w:rsidRPr="003B76DB">
        <w:rPr>
          <w:rFonts w:cs="Arial"/>
          <w:color w:val="000000"/>
        </w:rPr>
        <w:t xml:space="preserve">inanciero en materia de </w:t>
      </w:r>
      <w:r w:rsidR="00F247DA">
        <w:rPr>
          <w:rFonts w:cs="Arial"/>
          <w:color w:val="000000"/>
        </w:rPr>
        <w:t>gestión del riesgo o</w:t>
      </w:r>
      <w:r w:rsidR="00DD38FB" w:rsidRPr="003B76DB">
        <w:rPr>
          <w:rFonts w:cs="Arial"/>
          <w:color w:val="000000"/>
        </w:rPr>
        <w:t xml:space="preserve">perativo, las cuales le permiten a la Dirección identificar sus principales riesgos, evaluarlos, realizar planes de mitigación y retroalimentarlos periódicamente. </w:t>
      </w:r>
    </w:p>
    <w:p w:rsidR="00DD38FB" w:rsidRPr="003B76DB" w:rsidRDefault="00DD38FB" w:rsidP="003B76DB">
      <w:pPr>
        <w:spacing w:line="276" w:lineRule="auto"/>
        <w:rPr>
          <w:rFonts w:cs="Arial"/>
          <w:color w:val="000000"/>
        </w:rPr>
      </w:pPr>
    </w:p>
    <w:p w:rsidR="00DD38FB" w:rsidRPr="003B76DB" w:rsidRDefault="00DD38FB" w:rsidP="00F247DA">
      <w:pPr>
        <w:pStyle w:val="Ttulo3"/>
        <w:numPr>
          <w:ilvl w:val="1"/>
          <w:numId w:val="23"/>
        </w:numPr>
      </w:pPr>
      <w:bookmarkStart w:id="20" w:name="_Toc507771240"/>
      <w:bookmarkStart w:id="21" w:name="_Toc4590618"/>
      <w:r w:rsidRPr="003B76DB">
        <w:t>Responsabilidades</w:t>
      </w:r>
      <w:bookmarkEnd w:id="20"/>
      <w:bookmarkEnd w:id="21"/>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La responsabilidad del riesgo operativo es de todos los funcionarios, contratistas y pasantes de la Dirección General de Crédito Publico y Tesoro Nacional, en particular los dueños de los procesos deben velar porque se mitiguen los riesgos operativos que pueden originar pérdidas a la Nación.</w:t>
      </w:r>
    </w:p>
    <w:p w:rsidR="00DD38FB" w:rsidRPr="00302E19" w:rsidRDefault="00DD38FB" w:rsidP="00302E19">
      <w:pPr>
        <w:pStyle w:val="Ttulo4"/>
      </w:pPr>
      <w:bookmarkStart w:id="22" w:name="_Toc507771241"/>
      <w:bookmarkStart w:id="23" w:name="_Toc4590619"/>
      <w:r w:rsidRPr="00302E19">
        <w:t>Dirección General de Crédito Público y Tesoro Nacional</w:t>
      </w:r>
      <w:bookmarkEnd w:id="22"/>
      <w:bookmarkEnd w:id="23"/>
    </w:p>
    <w:p w:rsidR="00DD38FB" w:rsidRPr="003B76DB" w:rsidRDefault="00DD38FB" w:rsidP="003B76DB">
      <w:pPr>
        <w:spacing w:line="276" w:lineRule="auto"/>
      </w:pPr>
    </w:p>
    <w:p w:rsidR="00DD38FB" w:rsidRPr="003B76DB" w:rsidRDefault="00DD38FB" w:rsidP="003B76DB">
      <w:pPr>
        <w:spacing w:line="276" w:lineRule="auto"/>
        <w:rPr>
          <w:rFonts w:cs="Arial"/>
          <w:color w:val="000000"/>
        </w:rPr>
      </w:pPr>
      <w:r w:rsidRPr="003B76DB">
        <w:rPr>
          <w:rFonts w:cs="Arial"/>
          <w:color w:val="000000"/>
        </w:rPr>
        <w:t>Es la encargada de dictar las directrices y políticas en cuanto a la administración de riesgos. En lo que respecta el sistema SARO, debe realizar las siguientes funciones:</w:t>
      </w:r>
    </w:p>
    <w:p w:rsidR="00DD38FB" w:rsidRPr="003B76DB" w:rsidRDefault="00DD38FB" w:rsidP="003B76DB">
      <w:pPr>
        <w:numPr>
          <w:ilvl w:val="0"/>
          <w:numId w:val="11"/>
        </w:numPr>
        <w:tabs>
          <w:tab w:val="clear" w:pos="720"/>
          <w:tab w:val="num" w:pos="360"/>
        </w:tabs>
        <w:overflowPunct w:val="0"/>
        <w:autoSpaceDE w:val="0"/>
        <w:autoSpaceDN w:val="0"/>
        <w:adjustRightInd w:val="0"/>
        <w:spacing w:line="276" w:lineRule="auto"/>
        <w:ind w:left="360"/>
        <w:textAlignment w:val="baseline"/>
        <w:rPr>
          <w:rFonts w:cs="Arial"/>
        </w:rPr>
      </w:pPr>
      <w:r w:rsidRPr="003B76DB">
        <w:rPr>
          <w:rFonts w:cs="Arial"/>
        </w:rPr>
        <w:t xml:space="preserve">Establecer las políticas relativas al SARO. </w:t>
      </w:r>
    </w:p>
    <w:p w:rsidR="00DD38FB" w:rsidRPr="003B76DB" w:rsidRDefault="00DD38FB" w:rsidP="003B76DB">
      <w:pPr>
        <w:numPr>
          <w:ilvl w:val="0"/>
          <w:numId w:val="11"/>
        </w:numPr>
        <w:tabs>
          <w:tab w:val="clear" w:pos="720"/>
          <w:tab w:val="num" w:pos="360"/>
        </w:tabs>
        <w:overflowPunct w:val="0"/>
        <w:autoSpaceDE w:val="0"/>
        <w:autoSpaceDN w:val="0"/>
        <w:adjustRightInd w:val="0"/>
        <w:spacing w:line="276" w:lineRule="auto"/>
        <w:ind w:left="360"/>
        <w:textAlignment w:val="baseline"/>
        <w:rPr>
          <w:rFonts w:cs="Arial"/>
        </w:rPr>
      </w:pPr>
      <w:r w:rsidRPr="003B76DB">
        <w:rPr>
          <w:rFonts w:cs="Arial"/>
        </w:rPr>
        <w:t xml:space="preserve">Aprobar el Manual de Riesgo Operativo y sus actualizaciones. </w:t>
      </w:r>
    </w:p>
    <w:p w:rsidR="00DD38FB" w:rsidRPr="003B76DB" w:rsidRDefault="00DD38FB" w:rsidP="003B76DB">
      <w:pPr>
        <w:numPr>
          <w:ilvl w:val="0"/>
          <w:numId w:val="11"/>
        </w:numPr>
        <w:tabs>
          <w:tab w:val="clear" w:pos="720"/>
          <w:tab w:val="num" w:pos="360"/>
        </w:tabs>
        <w:overflowPunct w:val="0"/>
        <w:autoSpaceDE w:val="0"/>
        <w:autoSpaceDN w:val="0"/>
        <w:adjustRightInd w:val="0"/>
        <w:spacing w:line="276" w:lineRule="auto"/>
        <w:ind w:left="360"/>
        <w:textAlignment w:val="baseline"/>
        <w:rPr>
          <w:rFonts w:cs="Arial"/>
        </w:rPr>
      </w:pPr>
      <w:r w:rsidRPr="003B76DB">
        <w:rPr>
          <w:rFonts w:cs="Arial"/>
        </w:rPr>
        <w:t>Hacer seguimiento y pronunciarse sobre el perfil de riesgo operativo de la Dirección.</w:t>
      </w:r>
    </w:p>
    <w:p w:rsidR="00DD38FB" w:rsidRPr="003B76DB" w:rsidRDefault="00DD38FB" w:rsidP="003B76DB">
      <w:pPr>
        <w:numPr>
          <w:ilvl w:val="0"/>
          <w:numId w:val="11"/>
        </w:numPr>
        <w:tabs>
          <w:tab w:val="clear" w:pos="720"/>
          <w:tab w:val="num" w:pos="360"/>
        </w:tabs>
        <w:overflowPunct w:val="0"/>
        <w:autoSpaceDE w:val="0"/>
        <w:autoSpaceDN w:val="0"/>
        <w:adjustRightInd w:val="0"/>
        <w:spacing w:line="276" w:lineRule="auto"/>
        <w:ind w:left="360"/>
        <w:textAlignment w:val="baseline"/>
        <w:rPr>
          <w:rFonts w:cs="Arial"/>
        </w:rPr>
      </w:pPr>
      <w:r w:rsidRPr="003B76DB">
        <w:rPr>
          <w:rFonts w:cs="Arial"/>
        </w:rPr>
        <w:t>Establecer las medidas relativas al perfil de riesgo operativo, teniendo en cuenta el nivel de tolerancia al riesgo de la Dirección.</w:t>
      </w:r>
    </w:p>
    <w:p w:rsidR="00DD38FB" w:rsidRPr="003B76DB" w:rsidRDefault="00DD38FB" w:rsidP="003B76DB">
      <w:pPr>
        <w:numPr>
          <w:ilvl w:val="0"/>
          <w:numId w:val="11"/>
        </w:numPr>
        <w:tabs>
          <w:tab w:val="clear" w:pos="720"/>
          <w:tab w:val="num" w:pos="360"/>
        </w:tabs>
        <w:overflowPunct w:val="0"/>
        <w:autoSpaceDE w:val="0"/>
        <w:autoSpaceDN w:val="0"/>
        <w:adjustRightInd w:val="0"/>
        <w:spacing w:line="276" w:lineRule="auto"/>
        <w:ind w:left="360"/>
        <w:textAlignment w:val="baseline"/>
        <w:rPr>
          <w:rFonts w:cs="Arial"/>
        </w:rPr>
      </w:pPr>
      <w:r w:rsidRPr="003B76DB">
        <w:rPr>
          <w:rFonts w:cs="Arial"/>
        </w:rPr>
        <w:t>Pronunciarse respecto de cada uno de los puntos que contengan los informes periódicos que presente la Subdirección de Riesgo.</w:t>
      </w:r>
    </w:p>
    <w:p w:rsidR="00DD38FB" w:rsidRPr="003B76DB" w:rsidRDefault="00DD38FB" w:rsidP="003B76DB">
      <w:pPr>
        <w:numPr>
          <w:ilvl w:val="0"/>
          <w:numId w:val="11"/>
        </w:numPr>
        <w:tabs>
          <w:tab w:val="clear" w:pos="720"/>
          <w:tab w:val="num" w:pos="360"/>
        </w:tabs>
        <w:overflowPunct w:val="0"/>
        <w:autoSpaceDE w:val="0"/>
        <w:autoSpaceDN w:val="0"/>
        <w:adjustRightInd w:val="0"/>
        <w:spacing w:line="276" w:lineRule="auto"/>
        <w:ind w:left="360"/>
        <w:textAlignment w:val="baseline"/>
        <w:rPr>
          <w:rFonts w:cs="Arial"/>
        </w:rPr>
      </w:pPr>
      <w:r w:rsidRPr="003B76DB">
        <w:rPr>
          <w:rFonts w:cs="Arial"/>
        </w:rPr>
        <w:t>Proveer los recursos necesarios para implementar y mantener en funcionamiento, de forma efectiva y eficiente, el SARO.</w:t>
      </w:r>
      <w:r w:rsidRPr="003B76DB">
        <w:rPr>
          <w:rFonts w:cs="Arial"/>
          <w:color w:val="000000"/>
        </w:rPr>
        <w:t xml:space="preserve"> </w:t>
      </w:r>
    </w:p>
    <w:p w:rsidR="00DD38FB" w:rsidRDefault="00DD38FB" w:rsidP="003B76DB">
      <w:pPr>
        <w:spacing w:line="276" w:lineRule="auto"/>
      </w:pPr>
    </w:p>
    <w:p w:rsidR="001937C5" w:rsidRDefault="001937C5" w:rsidP="003B76DB">
      <w:pPr>
        <w:spacing w:line="276" w:lineRule="auto"/>
      </w:pPr>
    </w:p>
    <w:p w:rsidR="001937C5" w:rsidRPr="003B76DB" w:rsidRDefault="001937C5" w:rsidP="003B76DB">
      <w:pPr>
        <w:spacing w:line="276" w:lineRule="auto"/>
      </w:pPr>
    </w:p>
    <w:p w:rsidR="00DD38FB" w:rsidRPr="003B76DB" w:rsidRDefault="00DD38FB" w:rsidP="00F247DA">
      <w:pPr>
        <w:pStyle w:val="Ttulo4"/>
      </w:pPr>
      <w:bookmarkStart w:id="24" w:name="_Toc507771242"/>
      <w:bookmarkStart w:id="25" w:name="_Toc4590620"/>
      <w:r w:rsidRPr="003B76DB">
        <w:lastRenderedPageBreak/>
        <w:t>Subdirección de Riesgo</w:t>
      </w:r>
      <w:bookmarkEnd w:id="24"/>
      <w:bookmarkEnd w:id="25"/>
      <w:r w:rsidRPr="003B76DB">
        <w:tab/>
      </w:r>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Esta área designada por la Dirección de Crédito Publico y Tesoro Nacional, tiene como objetivo administrar los riesgos operativos y apoyar a las áreas de la Dirección en la identificación, medición y control de los riesgos operativos. En este sentido, el área de Riesgos de la Dirección dentro del contexto de SARO tendrá a su cargo, como mínimo, las siguientes funciones:</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 xml:space="preserve">Definir los instrumentos, metodologías y procedimientos tendientes a que la entidad administre efectivamente sus riesgos operativos. </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Desarrollar e implementar el sistema de reportes, internos y externos, del riesgo operativo de la Dirección.</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Administrar el registro de eventos de riesgo operativo.</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Coordinar la recolección de la información para alimentar el registro de eventos de riesgo operativo.</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Evaluar la efectividad de las medidas de control potenciales y ejecutadas para los riesgos operativos medidos.</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Establecer y monitorear el perfil de riesgo de la entidad e informarlo a la DGCPTN.</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Realizar el seguimiento permanente de los procedimientos y planes de acción relacionados con el SARO y proponer sus correspondientes actualizaciones y modificaciones.</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 xml:space="preserve">Desarrollar los modelos de medición del riesgo operativo. </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Desarrollar los programas de capacitación de la Dirección relacionados con el SARO.</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Capacitar a los gestores de riesgo de cada una de las áreas.</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 xml:space="preserve">Realizar seguimiento a las medidas adoptadas para mitigar el riesgo inherente, con el propósito de evaluar su efectividad. </w:t>
      </w:r>
    </w:p>
    <w:p w:rsidR="00DD38FB" w:rsidRPr="003B76DB" w:rsidRDefault="00DD38FB" w:rsidP="003B76DB">
      <w:pPr>
        <w:pStyle w:val="Prrafodelista"/>
        <w:numPr>
          <w:ilvl w:val="0"/>
          <w:numId w:val="12"/>
        </w:numPr>
        <w:spacing w:after="200" w:line="276" w:lineRule="auto"/>
        <w:contextualSpacing/>
        <w:rPr>
          <w:rFonts w:cs="Arial"/>
          <w:color w:val="000000"/>
        </w:rPr>
      </w:pPr>
      <w:r w:rsidRPr="003B76DB">
        <w:rPr>
          <w:rFonts w:cs="Arial"/>
          <w:color w:val="000000"/>
        </w:rPr>
        <w:t>Reportar semestralmente a la DGCPTN la evolución del riesgo, los controles implementados y el monitoreo que se realice sobre el mismo.</w:t>
      </w:r>
    </w:p>
    <w:p w:rsidR="00DD38FB" w:rsidRPr="003B76DB" w:rsidRDefault="00DD38FB" w:rsidP="00A44A70">
      <w:pPr>
        <w:pStyle w:val="Ttulo4"/>
      </w:pPr>
      <w:bookmarkStart w:id="26" w:name="_Toc507771243"/>
      <w:r w:rsidRPr="003B76DB">
        <w:t xml:space="preserve"> </w:t>
      </w:r>
      <w:bookmarkStart w:id="27" w:name="_Toc4590621"/>
      <w:r w:rsidRPr="003B76DB">
        <w:t>Gestores de riesgo</w:t>
      </w:r>
      <w:bookmarkEnd w:id="26"/>
      <w:bookmarkEnd w:id="27"/>
      <w:r w:rsidRPr="003B76DB">
        <w:tab/>
      </w:r>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El gestor de riesgo es el funcionario designado por cada Subdirector para ser el enlace entre el área y la Subdirección de Riesgo, tiene como objetivo acompañar a los funcionarios en la identificación de los riesgos y diligenciar los formatos diseñados por la Subdirección de Riesgo, de igual forma comunicará a su respectivo Subdirector los riesgos identificados para su aprobación. En este sentido, el Gestor de Riesgos dentro del contexto de SARO tendrá a su cargo, como mínimo, las siguientes funciones:</w:t>
      </w:r>
    </w:p>
    <w:p w:rsidR="00DD38FB" w:rsidRPr="003B76DB" w:rsidRDefault="00DD38FB" w:rsidP="003B76DB">
      <w:pPr>
        <w:pStyle w:val="Prrafodelista"/>
        <w:numPr>
          <w:ilvl w:val="0"/>
          <w:numId w:val="16"/>
        </w:numPr>
        <w:spacing w:after="200" w:line="276" w:lineRule="auto"/>
        <w:contextualSpacing/>
        <w:rPr>
          <w:rFonts w:cs="Arial"/>
          <w:color w:val="000000"/>
        </w:rPr>
      </w:pPr>
      <w:r w:rsidRPr="003B76DB">
        <w:rPr>
          <w:rFonts w:cs="Arial"/>
          <w:color w:val="000000"/>
        </w:rPr>
        <w:t xml:space="preserve">Asistir a las capacitaciones que defina la Subdirección de Riesgos para divulgar la metodología y procedimientos para la gestión de riesgo operativo. </w:t>
      </w:r>
    </w:p>
    <w:p w:rsidR="00DD38FB" w:rsidRPr="003B76DB" w:rsidRDefault="00DD38FB" w:rsidP="003B76DB">
      <w:pPr>
        <w:pStyle w:val="Prrafodelista"/>
        <w:numPr>
          <w:ilvl w:val="0"/>
          <w:numId w:val="16"/>
        </w:numPr>
        <w:spacing w:after="200" w:line="276" w:lineRule="auto"/>
        <w:contextualSpacing/>
        <w:rPr>
          <w:rFonts w:cs="Arial"/>
          <w:color w:val="000000"/>
        </w:rPr>
      </w:pPr>
      <w:r w:rsidRPr="003B76DB">
        <w:rPr>
          <w:rFonts w:cs="Arial"/>
          <w:color w:val="000000"/>
        </w:rPr>
        <w:t>Retroalimentar a su jefe y compañeros de área, la información suministrada en las capacitaciones a las que asista.</w:t>
      </w:r>
    </w:p>
    <w:p w:rsidR="00DD38FB" w:rsidRPr="003B76DB" w:rsidRDefault="00DD38FB" w:rsidP="003B76DB">
      <w:pPr>
        <w:pStyle w:val="Prrafodelista"/>
        <w:numPr>
          <w:ilvl w:val="0"/>
          <w:numId w:val="16"/>
        </w:numPr>
        <w:spacing w:after="200" w:line="276" w:lineRule="auto"/>
        <w:contextualSpacing/>
        <w:rPr>
          <w:rFonts w:cs="Arial"/>
          <w:color w:val="000000"/>
        </w:rPr>
      </w:pPr>
      <w:r w:rsidRPr="003B76DB">
        <w:rPr>
          <w:rFonts w:cs="Arial"/>
          <w:color w:val="000000"/>
        </w:rPr>
        <w:lastRenderedPageBreak/>
        <w:t>Apoyar a los funcionarios de su Subdirección en el diligenciamiento del formato de identificación de riesgo y del formato de revelación de riesgo.</w:t>
      </w:r>
    </w:p>
    <w:p w:rsidR="00DD38FB" w:rsidRPr="003B76DB" w:rsidRDefault="00DD38FB" w:rsidP="003B76DB">
      <w:pPr>
        <w:pStyle w:val="Prrafodelista"/>
        <w:numPr>
          <w:ilvl w:val="0"/>
          <w:numId w:val="16"/>
        </w:numPr>
        <w:spacing w:after="200" w:line="276" w:lineRule="auto"/>
        <w:contextualSpacing/>
        <w:rPr>
          <w:rFonts w:cs="Arial"/>
          <w:color w:val="000000"/>
        </w:rPr>
      </w:pPr>
      <w:r w:rsidRPr="003B76DB">
        <w:rPr>
          <w:rFonts w:cs="Arial"/>
          <w:color w:val="000000"/>
        </w:rPr>
        <w:t>Coordinar la recolección de la información para alimentar el registro de eventos de riesgo operativo.</w:t>
      </w:r>
    </w:p>
    <w:p w:rsidR="00DD38FB" w:rsidRPr="003B76DB" w:rsidRDefault="00DD38FB" w:rsidP="003B76DB">
      <w:pPr>
        <w:pStyle w:val="Prrafodelista"/>
        <w:numPr>
          <w:ilvl w:val="0"/>
          <w:numId w:val="16"/>
        </w:numPr>
        <w:spacing w:after="200" w:line="276" w:lineRule="auto"/>
        <w:contextualSpacing/>
        <w:rPr>
          <w:rFonts w:cs="Arial"/>
          <w:color w:val="000000"/>
        </w:rPr>
      </w:pPr>
      <w:r w:rsidRPr="003B76DB">
        <w:rPr>
          <w:rFonts w:cs="Arial"/>
          <w:color w:val="000000"/>
        </w:rPr>
        <w:t>Informar al Subdirector de su área los planes de acción y controles propuestos para mitigar los riesgos.</w:t>
      </w:r>
    </w:p>
    <w:p w:rsidR="00DD38FB" w:rsidRPr="003B76DB" w:rsidRDefault="00DD38FB" w:rsidP="003B76DB">
      <w:pPr>
        <w:pStyle w:val="Prrafodelista"/>
        <w:numPr>
          <w:ilvl w:val="0"/>
          <w:numId w:val="16"/>
        </w:numPr>
        <w:spacing w:after="200" w:line="276" w:lineRule="auto"/>
        <w:contextualSpacing/>
        <w:rPr>
          <w:rFonts w:cs="Arial"/>
          <w:color w:val="000000"/>
        </w:rPr>
      </w:pPr>
      <w:r w:rsidRPr="003B76DB">
        <w:rPr>
          <w:rFonts w:cs="Arial"/>
          <w:color w:val="000000"/>
        </w:rPr>
        <w:t>Comunicar a la Subdirección de Riesgo los cambios en los riesgos operativos de su área, y apoyar en la profundización de la cultura de riesgo operativo en su área.</w:t>
      </w:r>
    </w:p>
    <w:p w:rsidR="00DD38FB" w:rsidRPr="003B76DB" w:rsidRDefault="00DD38FB" w:rsidP="00A44A70">
      <w:pPr>
        <w:pStyle w:val="Ttulo3"/>
        <w:numPr>
          <w:ilvl w:val="1"/>
          <w:numId w:val="23"/>
        </w:numPr>
      </w:pPr>
      <w:bookmarkStart w:id="28" w:name="_Toc507771244"/>
      <w:bookmarkStart w:id="29" w:name="_Toc4590622"/>
      <w:r w:rsidRPr="003B76DB">
        <w:t>Reunión Técnica de Administración de Riesgos</w:t>
      </w:r>
      <w:bookmarkEnd w:id="28"/>
      <w:bookmarkEnd w:id="29"/>
      <w:r w:rsidRPr="003B76DB">
        <w:tab/>
      </w:r>
    </w:p>
    <w:p w:rsidR="00DD38FB" w:rsidRPr="003B76DB" w:rsidRDefault="00DD38FB"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color w:val="000000"/>
        </w:rPr>
        <w:t>Con el fin de hacer seguimiento y control de los riesgos asociados a l</w:t>
      </w:r>
      <w:r w:rsidR="00A44A70">
        <w:rPr>
          <w:rFonts w:cs="Arial"/>
          <w:color w:val="000000"/>
        </w:rPr>
        <w:t>as actividades realizadas en la DGCPTN</w:t>
      </w:r>
      <w:r w:rsidRPr="003B76DB">
        <w:rPr>
          <w:rFonts w:cs="Arial"/>
          <w:color w:val="000000"/>
        </w:rPr>
        <w:t>, se establece la Reunión Técni</w:t>
      </w:r>
      <w:r w:rsidR="00A44A70">
        <w:rPr>
          <w:rFonts w:cs="Arial"/>
          <w:color w:val="000000"/>
        </w:rPr>
        <w:t xml:space="preserve">ca de Administración de Riesgos la cual debe tener una periodicidad trimestral, </w:t>
      </w:r>
      <w:r w:rsidR="00A44A70" w:rsidRPr="003B76DB">
        <w:rPr>
          <w:rFonts w:cs="Arial"/>
          <w:color w:val="000000"/>
        </w:rPr>
        <w:t>pero pueden ser citadas reuniones extraordinarias si las situaciones o eventos de riesgo lo requieren</w:t>
      </w:r>
      <w:r w:rsidR="00A44A70">
        <w:rPr>
          <w:rFonts w:cs="Arial"/>
          <w:color w:val="000000"/>
        </w:rPr>
        <w:t xml:space="preserve">. </w:t>
      </w:r>
    </w:p>
    <w:p w:rsidR="00A44A70" w:rsidRPr="003B76DB" w:rsidRDefault="00A44A70"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color w:val="000000"/>
        </w:rPr>
        <w:t>El área responsable de esta reunión será la Subdirección de Riesgo, quien se encargará de citar y coordinar lo relacionado con la agenda y la logística de cada reunión, para lo cual se dejará como memoria el documento objeto de análisis del día.</w:t>
      </w:r>
    </w:p>
    <w:p w:rsidR="00127717" w:rsidRPr="003B76DB" w:rsidRDefault="00127717"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En esta reunión se presentará el perfil de riesgo inherente y residual de la DGCPTN, un resumen de los eventos de riesgo presentados durante el periodo y el seguimiento a los planes de acción de mitigación del riesgo operativo.</w:t>
      </w:r>
    </w:p>
    <w:p w:rsidR="00DD38FB" w:rsidRPr="003B76DB" w:rsidRDefault="00DD38FB" w:rsidP="00A44A70">
      <w:pPr>
        <w:pStyle w:val="Ttulo4"/>
      </w:pPr>
      <w:bookmarkStart w:id="30" w:name="_Toc507771246"/>
      <w:bookmarkStart w:id="31" w:name="_Toc4590623"/>
      <w:r w:rsidRPr="003B76DB">
        <w:t>Integrantes</w:t>
      </w:r>
      <w:bookmarkEnd w:id="30"/>
      <w:bookmarkEnd w:id="31"/>
    </w:p>
    <w:p w:rsidR="00DD38FB" w:rsidRPr="003B76DB" w:rsidRDefault="00DD38FB" w:rsidP="003B76DB">
      <w:pPr>
        <w:spacing w:line="276" w:lineRule="auto"/>
        <w:rPr>
          <w:rFonts w:cs="Arial"/>
          <w:color w:val="000000"/>
        </w:rPr>
      </w:pPr>
    </w:p>
    <w:p w:rsidR="00A44A70" w:rsidRDefault="00DD38FB" w:rsidP="003B76DB">
      <w:pPr>
        <w:spacing w:line="276" w:lineRule="auto"/>
        <w:rPr>
          <w:rFonts w:cs="Arial"/>
          <w:color w:val="000000"/>
        </w:rPr>
      </w:pPr>
      <w:r w:rsidRPr="003B76DB">
        <w:rPr>
          <w:rFonts w:cs="Arial"/>
          <w:color w:val="000000"/>
        </w:rPr>
        <w:t>La Reunión estará conformada por</w:t>
      </w:r>
      <w:r w:rsidR="00A44A70">
        <w:rPr>
          <w:rFonts w:cs="Arial"/>
          <w:color w:val="000000"/>
        </w:rPr>
        <w:t xml:space="preserve"> los siguientes cargos</w:t>
      </w:r>
      <w:r w:rsidRPr="003B76DB">
        <w:rPr>
          <w:rFonts w:cs="Arial"/>
          <w:color w:val="000000"/>
        </w:rPr>
        <w:t>:</w:t>
      </w:r>
    </w:p>
    <w:p w:rsidR="00A44A70" w:rsidRPr="003B76DB" w:rsidRDefault="00A44A70" w:rsidP="003B76DB">
      <w:pPr>
        <w:spacing w:line="276" w:lineRule="auto"/>
        <w:rPr>
          <w:rFonts w:cs="Arial"/>
          <w:color w:val="000000"/>
        </w:rPr>
      </w:pPr>
    </w:p>
    <w:p w:rsidR="00DD38FB" w:rsidRPr="003B76DB" w:rsidRDefault="00A44A70" w:rsidP="003B76DB">
      <w:pPr>
        <w:spacing w:line="276" w:lineRule="auto"/>
        <w:rPr>
          <w:rFonts w:cs="Arial"/>
          <w:color w:val="000000"/>
        </w:rPr>
      </w:pPr>
      <w:r>
        <w:rPr>
          <w:rFonts w:cs="Arial"/>
          <w:color w:val="000000"/>
        </w:rPr>
        <w:t>•</w:t>
      </w:r>
      <w:r>
        <w:rPr>
          <w:rFonts w:cs="Arial"/>
          <w:color w:val="000000"/>
        </w:rPr>
        <w:tab/>
      </w:r>
      <w:r w:rsidR="00DD38FB" w:rsidRPr="003B76DB">
        <w:rPr>
          <w:rFonts w:cs="Arial"/>
          <w:color w:val="000000"/>
        </w:rPr>
        <w:t>Director de Crédito Público y Teso</w:t>
      </w:r>
      <w:r>
        <w:rPr>
          <w:rFonts w:cs="Arial"/>
          <w:color w:val="000000"/>
        </w:rPr>
        <w:t>ro Nacional, quien la presidirá</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 xml:space="preserve">Subdirector de Riesgo </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Subdirector de Tesorería</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Subdirector de operaciones</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Subdirector de financiamiento interno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Subdirector de financiamiento externo</w:t>
      </w:r>
    </w:p>
    <w:p w:rsidR="00DD38FB" w:rsidRPr="003B76DB" w:rsidRDefault="00DD38FB" w:rsidP="003B76DB">
      <w:pPr>
        <w:spacing w:line="276" w:lineRule="auto"/>
      </w:pPr>
      <w:r w:rsidRPr="003B76DB">
        <w:rPr>
          <w:rFonts w:cs="Arial"/>
          <w:color w:val="000000"/>
        </w:rPr>
        <w:t>•</w:t>
      </w:r>
      <w:r w:rsidRPr="003B76DB">
        <w:rPr>
          <w:rFonts w:cs="Arial"/>
          <w:color w:val="000000"/>
        </w:rPr>
        <w:tab/>
        <w:t>Subdirector de operaciones</w:t>
      </w:r>
      <w:r w:rsidRPr="003B76DB">
        <w:t xml:space="preserve"> </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Subdirector de Financiamiento con Organismos Multilaterales y Gobiernos</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Subdirector de Asociaciones Publico Privadas</w:t>
      </w:r>
    </w:p>
    <w:p w:rsidR="00DD38FB" w:rsidRDefault="00DD38FB" w:rsidP="003B76DB">
      <w:pPr>
        <w:spacing w:line="276" w:lineRule="auto"/>
        <w:ind w:left="705" w:hanging="705"/>
        <w:rPr>
          <w:rFonts w:cs="Arial"/>
          <w:color w:val="000000"/>
        </w:rPr>
      </w:pPr>
      <w:r w:rsidRPr="003B76DB">
        <w:rPr>
          <w:rFonts w:cs="Arial"/>
          <w:color w:val="000000"/>
        </w:rPr>
        <w:t>•</w:t>
      </w:r>
      <w:r w:rsidRPr="003B76DB">
        <w:rPr>
          <w:rFonts w:cs="Arial"/>
          <w:color w:val="000000"/>
        </w:rPr>
        <w:tab/>
        <w:t>Su</w:t>
      </w:r>
      <w:r w:rsidR="00DB26EB">
        <w:rPr>
          <w:rFonts w:cs="Arial"/>
          <w:color w:val="000000"/>
        </w:rPr>
        <w:t>bdirector de Financiamiento de</w:t>
      </w:r>
      <w:r w:rsidR="00A44A70">
        <w:rPr>
          <w:rFonts w:cs="Arial"/>
          <w:color w:val="000000"/>
        </w:rPr>
        <w:t xml:space="preserve"> Otras E</w:t>
      </w:r>
      <w:r w:rsidRPr="003B76DB">
        <w:rPr>
          <w:rFonts w:cs="Arial"/>
          <w:color w:val="000000"/>
        </w:rPr>
        <w:t>ntidades, Segu</w:t>
      </w:r>
      <w:r w:rsidR="00A44A70">
        <w:rPr>
          <w:rFonts w:cs="Arial"/>
          <w:color w:val="000000"/>
        </w:rPr>
        <w:t>imiento, Saneamiento de Cartera</w:t>
      </w:r>
    </w:p>
    <w:p w:rsidR="00A44A70" w:rsidRPr="003B76DB" w:rsidRDefault="00A44A70" w:rsidP="003B76DB">
      <w:pPr>
        <w:spacing w:line="276" w:lineRule="auto"/>
        <w:ind w:left="705" w:hanging="705"/>
        <w:rPr>
          <w:rFonts w:cs="Arial"/>
          <w:color w:val="000000"/>
        </w:rPr>
      </w:pPr>
    </w:p>
    <w:p w:rsidR="00DD38FB" w:rsidRPr="003B76DB" w:rsidRDefault="00DD38FB" w:rsidP="003B76DB">
      <w:pPr>
        <w:spacing w:line="276" w:lineRule="auto"/>
        <w:rPr>
          <w:rFonts w:cs="Arial"/>
          <w:color w:val="000000"/>
        </w:rPr>
      </w:pPr>
      <w:r w:rsidRPr="003B76DB">
        <w:rPr>
          <w:rFonts w:cs="Arial"/>
          <w:color w:val="000000"/>
        </w:rPr>
        <w:lastRenderedPageBreak/>
        <w:t xml:space="preserve">Podrán asistir como invitados, funcionarios o particulares que puedan hacer aportes en los </w:t>
      </w:r>
      <w:r w:rsidR="00A44A70">
        <w:rPr>
          <w:rFonts w:cs="Arial"/>
          <w:color w:val="000000"/>
        </w:rPr>
        <w:t>asuntos tratados en la Reunión T</w:t>
      </w:r>
      <w:r w:rsidRPr="003B76DB">
        <w:rPr>
          <w:rFonts w:cs="Arial"/>
          <w:color w:val="000000"/>
        </w:rPr>
        <w:t>écnica de Administración de Riesgos.</w:t>
      </w:r>
    </w:p>
    <w:p w:rsidR="00DD38FB" w:rsidRPr="003B76DB" w:rsidRDefault="00DD38FB" w:rsidP="00A44A70">
      <w:pPr>
        <w:pStyle w:val="Ttulo4"/>
      </w:pPr>
      <w:bookmarkStart w:id="32" w:name="_Toc507771247"/>
      <w:bookmarkStart w:id="33" w:name="_Toc4590624"/>
      <w:r w:rsidRPr="003B76DB">
        <w:t>Funciones</w:t>
      </w:r>
      <w:bookmarkEnd w:id="32"/>
      <w:bookmarkEnd w:id="33"/>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Entre las funciones asignadas a esta Reunión, se destacan las siguientes:</w:t>
      </w:r>
    </w:p>
    <w:p w:rsidR="00DD38FB" w:rsidRPr="003B76DB" w:rsidRDefault="00DD38FB" w:rsidP="003B76DB">
      <w:pPr>
        <w:spacing w:line="276" w:lineRule="auto"/>
        <w:rPr>
          <w:rFonts w:cs="Arial"/>
          <w:color w:val="000000"/>
        </w:rPr>
      </w:pPr>
    </w:p>
    <w:p w:rsidR="00DD38FB" w:rsidRPr="003B76DB" w:rsidRDefault="00DD38FB" w:rsidP="003B76DB">
      <w:pPr>
        <w:pStyle w:val="Prrafodelista"/>
        <w:numPr>
          <w:ilvl w:val="0"/>
          <w:numId w:val="14"/>
        </w:numPr>
        <w:spacing w:after="200" w:line="276" w:lineRule="auto"/>
        <w:contextualSpacing/>
        <w:rPr>
          <w:rFonts w:cs="Arial"/>
          <w:color w:val="000000"/>
        </w:rPr>
      </w:pPr>
      <w:r w:rsidRPr="003B76DB">
        <w:rPr>
          <w:rFonts w:cs="Arial"/>
          <w:color w:val="000000"/>
        </w:rPr>
        <w:t>Servir como instancia de apoyo para la adecuada administración del riesgo de mercado, liquidez, emisor y contraparte, operativo, jurídico y demás que se consideren relevantes en relación con las actividades que realice la Dirección General de Crédito Público y Tesoro Nacional.</w:t>
      </w:r>
    </w:p>
    <w:p w:rsidR="00DD38FB" w:rsidRPr="003B76DB" w:rsidRDefault="00DD38FB" w:rsidP="003B76DB">
      <w:pPr>
        <w:pStyle w:val="Prrafodelista"/>
        <w:numPr>
          <w:ilvl w:val="0"/>
          <w:numId w:val="14"/>
        </w:numPr>
        <w:spacing w:after="200" w:line="276" w:lineRule="auto"/>
        <w:contextualSpacing/>
        <w:rPr>
          <w:rFonts w:cs="Arial"/>
          <w:color w:val="000000"/>
        </w:rPr>
      </w:pPr>
      <w:r w:rsidRPr="003B76DB">
        <w:rPr>
          <w:rFonts w:cs="Arial"/>
          <w:color w:val="000000"/>
        </w:rPr>
        <w:t>Evaluar y dar concepto al Manual de riesgo Operativo, así como los cambios que requiera para la posterior aprobación (de la) Director(a) General de Crédito Público y Tesoro Nacional.</w:t>
      </w:r>
    </w:p>
    <w:p w:rsidR="00DD38FB" w:rsidRPr="003B76DB" w:rsidRDefault="00DD38FB" w:rsidP="003B76DB">
      <w:pPr>
        <w:pStyle w:val="Prrafodelista"/>
        <w:numPr>
          <w:ilvl w:val="0"/>
          <w:numId w:val="14"/>
        </w:numPr>
        <w:spacing w:after="200" w:line="276" w:lineRule="auto"/>
        <w:contextualSpacing/>
        <w:rPr>
          <w:rFonts w:cs="Arial"/>
          <w:color w:val="000000"/>
        </w:rPr>
      </w:pPr>
      <w:r w:rsidRPr="003B76DB">
        <w:rPr>
          <w:rFonts w:cs="Arial"/>
          <w:color w:val="000000"/>
        </w:rPr>
        <w:t>Evaluar propuestas de nuevos límites o modificación de los aprobados y documentados en el Manual de Riesgo Operativo.</w:t>
      </w:r>
    </w:p>
    <w:p w:rsidR="00DD38FB" w:rsidRPr="003B76DB" w:rsidRDefault="00DD38FB" w:rsidP="003B76DB">
      <w:pPr>
        <w:pStyle w:val="Prrafodelista"/>
        <w:numPr>
          <w:ilvl w:val="0"/>
          <w:numId w:val="14"/>
        </w:numPr>
        <w:spacing w:after="200" w:line="276" w:lineRule="auto"/>
        <w:contextualSpacing/>
        <w:rPr>
          <w:rFonts w:cs="Arial"/>
          <w:color w:val="000000"/>
        </w:rPr>
      </w:pPr>
      <w:r w:rsidRPr="003B76DB">
        <w:rPr>
          <w:rFonts w:cs="Arial"/>
          <w:color w:val="000000"/>
        </w:rPr>
        <w:t>Aprobar las metodologías de valoración y de medición de riesgo que debe elaborar la Subdirección de Riesgo. Así mismo, deberá aprobar los procedimientos y mecanismos de seguimiento al riesgo operativo que proponga dicha Subdirección.</w:t>
      </w:r>
    </w:p>
    <w:p w:rsidR="00DD38FB" w:rsidRPr="003B76DB" w:rsidRDefault="00DD38FB" w:rsidP="003B76DB">
      <w:pPr>
        <w:pStyle w:val="Prrafodelista"/>
        <w:numPr>
          <w:ilvl w:val="0"/>
          <w:numId w:val="14"/>
        </w:numPr>
        <w:spacing w:after="200" w:line="276" w:lineRule="auto"/>
        <w:contextualSpacing/>
        <w:rPr>
          <w:rFonts w:cs="Arial"/>
          <w:color w:val="000000"/>
        </w:rPr>
      </w:pPr>
      <w:r w:rsidRPr="003B76DB">
        <w:rPr>
          <w:rFonts w:cs="Arial"/>
          <w:color w:val="000000"/>
        </w:rPr>
        <w:t>Analizar los resultados en materia de niveles de riesgo presentados por la Subdirección de Riesgo y proponer cursos de acción y estrategias relevantes para su mitigación y/o adecuada gestión.</w:t>
      </w:r>
    </w:p>
    <w:p w:rsidR="00DD38FB" w:rsidRPr="003B76DB" w:rsidRDefault="00DD38FB" w:rsidP="003B76DB">
      <w:pPr>
        <w:pStyle w:val="Prrafodelista"/>
        <w:numPr>
          <w:ilvl w:val="0"/>
          <w:numId w:val="14"/>
        </w:numPr>
        <w:spacing w:after="200" w:line="276" w:lineRule="auto"/>
        <w:contextualSpacing/>
        <w:rPr>
          <w:rFonts w:cs="Arial"/>
          <w:color w:val="000000"/>
        </w:rPr>
      </w:pPr>
      <w:r w:rsidRPr="003B76DB">
        <w:rPr>
          <w:rFonts w:cs="Arial"/>
          <w:color w:val="000000"/>
        </w:rPr>
        <w:t>Analizar las propuestas sobre incursión en nuevos mercados, instrumentos, procedimientos o negocios en los cuales la Dirección de Crédito Público y Tesoro Nacional se encuentre interesada en participar con el objeto de formular las recomendaciones que se consideren pertinentes a el(la) Director(a) General de Crédito Público y Tesoro Nacional.</w:t>
      </w:r>
    </w:p>
    <w:p w:rsidR="00DD38FB" w:rsidRPr="003B76DB" w:rsidRDefault="00DD38FB" w:rsidP="003B76DB">
      <w:pPr>
        <w:pStyle w:val="Prrafodelista"/>
        <w:numPr>
          <w:ilvl w:val="0"/>
          <w:numId w:val="14"/>
        </w:numPr>
        <w:spacing w:after="200" w:line="276" w:lineRule="auto"/>
        <w:contextualSpacing/>
        <w:rPr>
          <w:rFonts w:cs="Arial"/>
          <w:color w:val="000000"/>
        </w:rPr>
      </w:pPr>
      <w:r w:rsidRPr="003B76DB">
        <w:rPr>
          <w:rFonts w:cs="Arial"/>
          <w:color w:val="000000"/>
        </w:rPr>
        <w:t>Analizar cualquier sobrepaso a los límites establecidos y determinar el tratamiento que se les debe dar al mismo.</w:t>
      </w:r>
    </w:p>
    <w:p w:rsidR="001B36FA" w:rsidRPr="001937C5" w:rsidRDefault="00DD38FB" w:rsidP="000637C3">
      <w:pPr>
        <w:pStyle w:val="Prrafodelista"/>
        <w:numPr>
          <w:ilvl w:val="0"/>
          <w:numId w:val="14"/>
        </w:numPr>
        <w:spacing w:after="200" w:line="276" w:lineRule="auto"/>
        <w:contextualSpacing/>
        <w:rPr>
          <w:rFonts w:cs="Arial"/>
          <w:color w:val="000000"/>
        </w:rPr>
      </w:pPr>
      <w:r w:rsidRPr="001937C5">
        <w:rPr>
          <w:rFonts w:cs="Arial"/>
          <w:color w:val="000000"/>
        </w:rPr>
        <w:t>Las demás que considere la Reunión Técnica de Administración de Riesgos.</w:t>
      </w:r>
    </w:p>
    <w:p w:rsidR="00DD38FB" w:rsidRPr="003B76DB" w:rsidRDefault="00DD38FB" w:rsidP="00127717">
      <w:pPr>
        <w:pStyle w:val="Ttulo2"/>
        <w:numPr>
          <w:ilvl w:val="0"/>
          <w:numId w:val="23"/>
        </w:numPr>
        <w:jc w:val="left"/>
      </w:pPr>
      <w:bookmarkStart w:id="34" w:name="_Toc507771248"/>
      <w:bookmarkStart w:id="35" w:name="_Toc4590625"/>
      <w:r w:rsidRPr="003B76DB">
        <w:t>P</w:t>
      </w:r>
      <w:r w:rsidR="00023F38">
        <w:t>olíticas de A</w:t>
      </w:r>
      <w:r w:rsidRPr="003B76DB">
        <w:t>dministración de Riesgo Operativo</w:t>
      </w:r>
      <w:bookmarkEnd w:id="34"/>
      <w:bookmarkEnd w:id="35"/>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 xml:space="preserve">Para la </w:t>
      </w:r>
      <w:r w:rsidR="00A44A70">
        <w:rPr>
          <w:rFonts w:cs="Arial"/>
          <w:color w:val="000000"/>
        </w:rPr>
        <w:t>DGCPTN</w:t>
      </w:r>
      <w:r w:rsidRPr="003B76DB">
        <w:rPr>
          <w:rFonts w:cs="Arial"/>
          <w:color w:val="000000"/>
        </w:rPr>
        <w:t xml:space="preserve">, los principales lineamientos para mitigar los riesgos operativos a los que se encuentra expuesta son: </w:t>
      </w:r>
    </w:p>
    <w:p w:rsidR="00DD38FB" w:rsidRPr="003B76DB" w:rsidRDefault="00DD38FB" w:rsidP="003B76DB">
      <w:pPr>
        <w:pStyle w:val="Prrafodelista"/>
        <w:numPr>
          <w:ilvl w:val="0"/>
          <w:numId w:val="15"/>
        </w:numPr>
        <w:spacing w:after="200" w:line="276" w:lineRule="auto"/>
        <w:contextualSpacing/>
        <w:rPr>
          <w:rFonts w:cs="Arial"/>
          <w:color w:val="000000"/>
        </w:rPr>
      </w:pPr>
      <w:r w:rsidRPr="003B76DB">
        <w:rPr>
          <w:rFonts w:cs="Arial"/>
          <w:color w:val="000000"/>
        </w:rPr>
        <w:t xml:space="preserve">Realizar como mínimo una capacitación anual de asistencia obligatoria para todos los funcionarios de la DGCPTN liderada por la Subdirección de Riesgo. </w:t>
      </w:r>
    </w:p>
    <w:p w:rsidR="00DD38FB" w:rsidRPr="003B76DB" w:rsidRDefault="00DD38FB" w:rsidP="003B76DB">
      <w:pPr>
        <w:pStyle w:val="Prrafodelista"/>
        <w:numPr>
          <w:ilvl w:val="0"/>
          <w:numId w:val="15"/>
        </w:numPr>
        <w:spacing w:after="200" w:line="276" w:lineRule="auto"/>
        <w:contextualSpacing/>
        <w:rPr>
          <w:rFonts w:cs="Arial"/>
          <w:color w:val="000000"/>
        </w:rPr>
      </w:pPr>
      <w:r w:rsidRPr="003B76DB">
        <w:rPr>
          <w:rFonts w:cs="Arial"/>
          <w:color w:val="000000"/>
        </w:rPr>
        <w:t>Realizar una capacitación semestral de asistencia obligatoria para los gestores de riesgo de cada área.</w:t>
      </w:r>
    </w:p>
    <w:p w:rsidR="00DD38FB" w:rsidRPr="003B76DB" w:rsidRDefault="00DD38FB" w:rsidP="003B76DB">
      <w:pPr>
        <w:pStyle w:val="Prrafodelista"/>
        <w:numPr>
          <w:ilvl w:val="0"/>
          <w:numId w:val="15"/>
        </w:numPr>
        <w:spacing w:after="200" w:line="276" w:lineRule="auto"/>
        <w:contextualSpacing/>
        <w:rPr>
          <w:rFonts w:cs="Arial"/>
          <w:color w:val="000000"/>
        </w:rPr>
      </w:pPr>
      <w:r w:rsidRPr="003B76DB">
        <w:rPr>
          <w:rFonts w:cs="Arial"/>
          <w:color w:val="000000"/>
        </w:rPr>
        <w:lastRenderedPageBreak/>
        <w:t>Los dueños de los procesos deben establecer y documentar los procesos, procedimientos e instructivos en cada una de las áreas. Se deben segregar las funciones con el fin de prevenir los posibles conflictos de interés o duplicidad de actividades.</w:t>
      </w:r>
    </w:p>
    <w:p w:rsidR="00DD38FB" w:rsidRPr="003B76DB" w:rsidRDefault="00DD38FB" w:rsidP="003B76DB">
      <w:pPr>
        <w:pStyle w:val="Prrafodelista"/>
        <w:numPr>
          <w:ilvl w:val="0"/>
          <w:numId w:val="15"/>
        </w:numPr>
        <w:spacing w:after="200" w:line="276" w:lineRule="auto"/>
        <w:contextualSpacing/>
        <w:rPr>
          <w:rFonts w:cs="Arial"/>
          <w:color w:val="000000"/>
        </w:rPr>
      </w:pPr>
      <w:r w:rsidRPr="003B76DB">
        <w:rPr>
          <w:rFonts w:cs="Arial"/>
          <w:color w:val="000000"/>
        </w:rPr>
        <w:t>Identificar, documentar, y actualizar junto con los gestores de riesgo de cada una de las áreas, los riesgos de cada uno de los procesos y la descripción de los controles aplicados a los mismos, en los mapas de riesgo.</w:t>
      </w:r>
    </w:p>
    <w:p w:rsidR="00DD38FB" w:rsidRPr="003B76DB" w:rsidRDefault="00A44A70" w:rsidP="003B76DB">
      <w:pPr>
        <w:pStyle w:val="Prrafodelista"/>
        <w:numPr>
          <w:ilvl w:val="0"/>
          <w:numId w:val="15"/>
        </w:numPr>
        <w:spacing w:after="200" w:line="276" w:lineRule="auto"/>
        <w:contextualSpacing/>
        <w:rPr>
          <w:rFonts w:cs="Arial"/>
          <w:color w:val="000000"/>
        </w:rPr>
      </w:pPr>
      <w:r>
        <w:rPr>
          <w:rFonts w:cs="Arial"/>
          <w:color w:val="000000"/>
        </w:rPr>
        <w:t>Estructurar un plan de continuidad de</w:t>
      </w:r>
      <w:r w:rsidR="00DD38FB" w:rsidRPr="003B76DB">
        <w:rPr>
          <w:rFonts w:cs="Arial"/>
          <w:color w:val="000000"/>
        </w:rPr>
        <w:t xml:space="preserve"> negocio, y efectuarle pruebas de funcionamiento anuales.</w:t>
      </w:r>
    </w:p>
    <w:p w:rsidR="00DD38FB" w:rsidRPr="003B76DB" w:rsidRDefault="00DD38FB" w:rsidP="003B76DB">
      <w:pPr>
        <w:pStyle w:val="Prrafodelista"/>
        <w:numPr>
          <w:ilvl w:val="0"/>
          <w:numId w:val="15"/>
        </w:numPr>
        <w:spacing w:after="200" w:line="276" w:lineRule="auto"/>
        <w:contextualSpacing/>
        <w:rPr>
          <w:rFonts w:cs="Arial"/>
          <w:color w:val="000000"/>
        </w:rPr>
      </w:pPr>
      <w:r w:rsidRPr="003B76DB">
        <w:rPr>
          <w:rFonts w:cs="Arial"/>
          <w:color w:val="000000"/>
        </w:rPr>
        <w:t>Contar con personal calificado para el desarrollo de las actividades, sig</w:t>
      </w:r>
      <w:r w:rsidR="00A44A70">
        <w:rPr>
          <w:rFonts w:cs="Arial"/>
          <w:color w:val="000000"/>
        </w:rPr>
        <w:t>uiendo las directrices del MHCP.</w:t>
      </w:r>
    </w:p>
    <w:p w:rsidR="00DD38FB" w:rsidRPr="003B76DB" w:rsidRDefault="00DD38FB" w:rsidP="003B76DB">
      <w:pPr>
        <w:pStyle w:val="Prrafodelista"/>
        <w:numPr>
          <w:ilvl w:val="0"/>
          <w:numId w:val="15"/>
        </w:numPr>
        <w:spacing w:after="200" w:line="276" w:lineRule="auto"/>
        <w:contextualSpacing/>
        <w:rPr>
          <w:rFonts w:cs="Arial"/>
          <w:color w:val="000000"/>
        </w:rPr>
      </w:pPr>
      <w:r w:rsidRPr="003B76DB">
        <w:rPr>
          <w:rFonts w:cs="Arial"/>
          <w:color w:val="000000"/>
        </w:rPr>
        <w:t xml:space="preserve">Garantizar las herramientas para la adecuada administración de riesgo operativo. </w:t>
      </w:r>
    </w:p>
    <w:p w:rsidR="00DD38FB" w:rsidRPr="003B76DB" w:rsidRDefault="00DD38FB" w:rsidP="003B76DB">
      <w:pPr>
        <w:pStyle w:val="Prrafodelista"/>
        <w:numPr>
          <w:ilvl w:val="0"/>
          <w:numId w:val="15"/>
        </w:numPr>
        <w:spacing w:after="200" w:line="276" w:lineRule="auto"/>
        <w:contextualSpacing/>
        <w:rPr>
          <w:rFonts w:cs="Arial"/>
          <w:color w:val="000000"/>
        </w:rPr>
      </w:pPr>
      <w:r w:rsidRPr="003B76DB">
        <w:rPr>
          <w:rFonts w:cs="Arial"/>
          <w:color w:val="000000"/>
        </w:rPr>
        <w:t>Fomentar una cultura de riesgo operativo, partiendo de las capacitaciones y la intervención de los gestores al interior de cada una de las áreas.</w:t>
      </w:r>
    </w:p>
    <w:p w:rsidR="00DD38FB" w:rsidRDefault="00DD38FB" w:rsidP="003B76DB">
      <w:pPr>
        <w:spacing w:line="276" w:lineRule="auto"/>
        <w:rPr>
          <w:rFonts w:cs="Arial"/>
          <w:color w:val="000000"/>
        </w:rPr>
      </w:pPr>
      <w:r w:rsidRPr="003B76DB">
        <w:rPr>
          <w:rFonts w:cs="Arial"/>
          <w:color w:val="000000"/>
        </w:rPr>
        <w:t>Todos los funcionarios de la DGCPTN tienen el deber de:</w:t>
      </w:r>
    </w:p>
    <w:p w:rsidR="00A44A70" w:rsidRPr="003B76DB" w:rsidRDefault="00A44A70" w:rsidP="003B76DB">
      <w:pPr>
        <w:spacing w:line="276" w:lineRule="auto"/>
        <w:rPr>
          <w:rFonts w:cs="Arial"/>
          <w:color w:val="000000"/>
        </w:rPr>
      </w:pPr>
    </w:p>
    <w:p w:rsidR="00DD38FB" w:rsidRPr="003B76DB" w:rsidRDefault="00DD38FB" w:rsidP="003B76DB">
      <w:pPr>
        <w:pStyle w:val="Prrafodelista"/>
        <w:numPr>
          <w:ilvl w:val="0"/>
          <w:numId w:val="18"/>
        </w:numPr>
        <w:spacing w:after="200" w:line="276" w:lineRule="auto"/>
        <w:contextualSpacing/>
        <w:rPr>
          <w:rFonts w:cs="Arial"/>
          <w:color w:val="000000"/>
        </w:rPr>
      </w:pPr>
      <w:r w:rsidRPr="003B76DB">
        <w:rPr>
          <w:rFonts w:cs="Arial"/>
          <w:color w:val="000000"/>
        </w:rPr>
        <w:t>Reportar los eventos de riesgo operativo que tengan conocimiento.</w:t>
      </w:r>
    </w:p>
    <w:p w:rsidR="00DD38FB" w:rsidRPr="003B76DB" w:rsidRDefault="00DD38FB" w:rsidP="003B76DB">
      <w:pPr>
        <w:pStyle w:val="Prrafodelista"/>
        <w:numPr>
          <w:ilvl w:val="0"/>
          <w:numId w:val="18"/>
        </w:numPr>
        <w:spacing w:after="200" w:line="276" w:lineRule="auto"/>
        <w:contextualSpacing/>
        <w:rPr>
          <w:rFonts w:cs="Arial"/>
          <w:color w:val="000000"/>
        </w:rPr>
      </w:pPr>
      <w:r w:rsidRPr="003B76DB">
        <w:rPr>
          <w:rFonts w:cs="Arial"/>
          <w:color w:val="000000"/>
        </w:rPr>
        <w:t>Conocer los riesgos operativos y controles definidos, en el desarrollo de sus funciones.</w:t>
      </w:r>
    </w:p>
    <w:p w:rsidR="00DD38FB" w:rsidRPr="003B76DB" w:rsidRDefault="00DD38FB" w:rsidP="003B76DB">
      <w:pPr>
        <w:pStyle w:val="Prrafodelista"/>
        <w:numPr>
          <w:ilvl w:val="0"/>
          <w:numId w:val="18"/>
        </w:numPr>
        <w:spacing w:after="200" w:line="276" w:lineRule="auto"/>
        <w:contextualSpacing/>
        <w:rPr>
          <w:rFonts w:cs="Arial"/>
          <w:color w:val="000000"/>
        </w:rPr>
      </w:pPr>
      <w:r w:rsidRPr="003B76DB">
        <w:rPr>
          <w:rFonts w:cs="Arial"/>
          <w:color w:val="000000"/>
        </w:rPr>
        <w:t>Cumplir con las disposiciones aprobadas en los planes de acción para mitigar los riesgos operativos.</w:t>
      </w:r>
    </w:p>
    <w:p w:rsidR="00DD38FB" w:rsidRPr="003B76DB" w:rsidRDefault="00DD38FB" w:rsidP="003B76DB">
      <w:pPr>
        <w:pStyle w:val="Prrafodelista"/>
        <w:numPr>
          <w:ilvl w:val="0"/>
          <w:numId w:val="18"/>
        </w:numPr>
        <w:spacing w:after="200" w:line="276" w:lineRule="auto"/>
        <w:contextualSpacing/>
        <w:rPr>
          <w:rFonts w:cs="Arial"/>
          <w:color w:val="000000"/>
        </w:rPr>
      </w:pPr>
      <w:r w:rsidRPr="003B76DB">
        <w:rPr>
          <w:rFonts w:cs="Arial"/>
          <w:color w:val="000000"/>
        </w:rPr>
        <w:t>Asistir a las capacitaciones de riesgo operativo que programe la Subdirección de Riesgo.</w:t>
      </w:r>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Adicional a lo ant</w:t>
      </w:r>
      <w:r w:rsidR="00A44A70">
        <w:rPr>
          <w:rFonts w:cs="Arial"/>
          <w:color w:val="000000"/>
        </w:rPr>
        <w:t>erior, la DGCPTN cuenta con el Sistema Único de G</w:t>
      </w:r>
      <w:r w:rsidRPr="003B76DB">
        <w:rPr>
          <w:rFonts w:cs="Arial"/>
          <w:color w:val="000000"/>
        </w:rPr>
        <w:t xml:space="preserve">estión </w:t>
      </w:r>
      <w:r w:rsidR="00725D3B">
        <w:rPr>
          <w:rFonts w:cs="Arial"/>
          <w:color w:val="000000"/>
        </w:rPr>
        <w:t>(</w:t>
      </w:r>
      <w:r w:rsidRPr="003B76DB">
        <w:rPr>
          <w:rFonts w:cs="Arial"/>
          <w:color w:val="000000"/>
        </w:rPr>
        <w:t>SUG</w:t>
      </w:r>
      <w:r w:rsidR="00725D3B">
        <w:rPr>
          <w:rFonts w:cs="Arial"/>
          <w:color w:val="000000"/>
        </w:rPr>
        <w:t>)</w:t>
      </w:r>
      <w:r w:rsidRPr="003B76DB">
        <w:rPr>
          <w:rFonts w:cs="Arial"/>
          <w:color w:val="000000"/>
        </w:rPr>
        <w:t xml:space="preserve"> que permite identificar claramente los procedimientos y las funciones del personal, por área y su responsabilidad en la organización.</w:t>
      </w:r>
    </w:p>
    <w:p w:rsidR="00A44A70" w:rsidRDefault="00A44A70" w:rsidP="00A44A70">
      <w:pPr>
        <w:pStyle w:val="Ttulo3"/>
      </w:pPr>
      <w:bookmarkStart w:id="36" w:name="_Toc507771249"/>
    </w:p>
    <w:p w:rsidR="00DD38FB" w:rsidRPr="003B76DB" w:rsidRDefault="00DD38FB" w:rsidP="00A44A70">
      <w:pPr>
        <w:pStyle w:val="Ttulo3"/>
        <w:numPr>
          <w:ilvl w:val="1"/>
          <w:numId w:val="23"/>
        </w:numPr>
      </w:pPr>
      <w:bookmarkStart w:id="37" w:name="_Toc4590626"/>
      <w:r w:rsidRPr="003B76DB">
        <w:t xml:space="preserve">Perfil de </w:t>
      </w:r>
      <w:r w:rsidR="00302E19">
        <w:t>R</w:t>
      </w:r>
      <w:r w:rsidRPr="003B76DB">
        <w:t>iesgo</w:t>
      </w:r>
      <w:bookmarkEnd w:id="36"/>
      <w:bookmarkEnd w:id="37"/>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eastAsiaTheme="majorEastAsia" w:cstheme="majorBidi"/>
          <w:b/>
          <w:bCs/>
          <w:color w:val="4F81BD" w:themeColor="accent1"/>
          <w:sz w:val="26"/>
          <w:szCs w:val="26"/>
        </w:rPr>
      </w:pPr>
      <w:r w:rsidRPr="003B76DB">
        <w:rPr>
          <w:rFonts w:cs="Arial"/>
          <w:color w:val="000000"/>
        </w:rPr>
        <w:t>El nivel de riesgo operativo permitido para la DGCPTN es el perfil moderado que corresponde a riesgos de ocurrencia no muy frecuente, aunque probable; para los cuales existen adecuados controles y planes de contingencia.</w:t>
      </w:r>
    </w:p>
    <w:p w:rsidR="00A000CF" w:rsidRDefault="00A000CF" w:rsidP="00A000CF">
      <w:pPr>
        <w:pStyle w:val="Ttulo3"/>
      </w:pPr>
      <w:bookmarkStart w:id="38" w:name="_Toc507771250"/>
    </w:p>
    <w:p w:rsidR="00DD38FB" w:rsidRPr="003B76DB" w:rsidRDefault="00DD38FB" w:rsidP="00A000CF">
      <w:pPr>
        <w:pStyle w:val="Ttulo3"/>
        <w:numPr>
          <w:ilvl w:val="1"/>
          <w:numId w:val="23"/>
        </w:numPr>
      </w:pPr>
      <w:bookmarkStart w:id="39" w:name="_Toc4590627"/>
      <w:r w:rsidRPr="003B76DB">
        <w:t>Estructura Organizacional del SARO</w:t>
      </w:r>
      <w:bookmarkEnd w:id="38"/>
      <w:bookmarkEnd w:id="39"/>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 xml:space="preserve">La gestión de riesgo operativo es transversal a todas las Subdirecciones de </w:t>
      </w:r>
      <w:r w:rsidR="00725D3B">
        <w:rPr>
          <w:rFonts w:cs="Arial"/>
          <w:color w:val="000000"/>
        </w:rPr>
        <w:t>la DGCPTN, por ende, todos los s</w:t>
      </w:r>
      <w:r w:rsidRPr="003B76DB">
        <w:rPr>
          <w:rFonts w:cs="Arial"/>
          <w:color w:val="000000"/>
        </w:rPr>
        <w:t xml:space="preserve">ubdirectores apoyados con la Subdirección de Riesgo administrarán los riesgos de cada uno de sus procesos y procedimientos definidos en el </w:t>
      </w:r>
      <w:r w:rsidR="00725D3B">
        <w:rPr>
          <w:rFonts w:cs="Arial"/>
          <w:color w:val="000000"/>
        </w:rPr>
        <w:t>SUG</w:t>
      </w:r>
      <w:r w:rsidRPr="003B76DB">
        <w:rPr>
          <w:rFonts w:cs="Arial"/>
          <w:color w:val="000000"/>
        </w:rPr>
        <w:t>.</w:t>
      </w:r>
    </w:p>
    <w:p w:rsidR="00DD38FB" w:rsidRPr="003B76DB" w:rsidRDefault="00DD38FB" w:rsidP="003B76DB">
      <w:pPr>
        <w:spacing w:line="276" w:lineRule="auto"/>
        <w:rPr>
          <w:rFonts w:cs="Arial"/>
          <w:color w:val="000000"/>
        </w:rPr>
      </w:pPr>
      <w:r w:rsidRPr="003B76DB">
        <w:rPr>
          <w:rFonts w:cs="Arial"/>
          <w:color w:val="000000"/>
        </w:rPr>
        <w:lastRenderedPageBreak/>
        <w:t>Los principales agentes u organismos identificados en la gestión del riesgo operativo son: 1. Reunión de Administración de Riesgos, 2. El Director General de Crédito Público y Tesoro Nacional, 3. Subdirecciones de la DGCPTN, 4. La Subdirección de Riesgo, y 5. Los gestores de riesgo de cada una de las áreas. El siguiente esquema resume las relaciones de autoridad y control de estos organismos.</w:t>
      </w:r>
    </w:p>
    <w:p w:rsidR="00BC231F" w:rsidRPr="003B76DB" w:rsidRDefault="00BC231F"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noProof/>
          <w:color w:val="000000"/>
          <w:lang w:val="en-US" w:eastAsia="en-US"/>
        </w:rPr>
        <mc:AlternateContent>
          <mc:Choice Requires="wps">
            <w:drawing>
              <wp:anchor distT="0" distB="0" distL="114300" distR="114300" simplePos="0" relativeHeight="251659264" behindDoc="0" locked="0" layoutInCell="1" allowOverlap="1" wp14:anchorId="4E5FCF6F" wp14:editId="4CA5A75F">
                <wp:simplePos x="0" y="0"/>
                <wp:positionH relativeFrom="column">
                  <wp:posOffset>3808730</wp:posOffset>
                </wp:positionH>
                <wp:positionV relativeFrom="paragraph">
                  <wp:posOffset>111760</wp:posOffset>
                </wp:positionV>
                <wp:extent cx="1390650" cy="532130"/>
                <wp:effectExtent l="0" t="0" r="19050" b="20320"/>
                <wp:wrapNone/>
                <wp:docPr id="4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532130"/>
                        </a:xfrm>
                        <a:prstGeom prst="rect">
                          <a:avLst/>
                        </a:prstGeom>
                        <a:solidFill>
                          <a:srgbClr val="FFFFFF"/>
                        </a:solidFill>
                        <a:ln w="9525">
                          <a:solidFill>
                            <a:srgbClr val="000000"/>
                          </a:solidFill>
                          <a:miter lim="800000"/>
                          <a:headEnd/>
                          <a:tailEnd/>
                        </a:ln>
                      </wps:spPr>
                      <wps:txbx>
                        <w:txbxContent>
                          <w:p w:rsidR="00302E19" w:rsidRPr="00313E62" w:rsidRDefault="00302E19" w:rsidP="00DD38FB">
                            <w:pPr>
                              <w:jc w:val="center"/>
                              <w:rPr>
                                <w:sz w:val="26"/>
                                <w:szCs w:val="26"/>
                              </w:rPr>
                            </w:pPr>
                            <w:r w:rsidRPr="00313E62">
                              <w:rPr>
                                <w:sz w:val="26"/>
                                <w:szCs w:val="26"/>
                              </w:rPr>
                              <w:t>Reunión de Admón de Riesgos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FCF6F" id="_x0000_t202" coordsize="21600,21600" o:spt="202" path="m,l,21600r21600,l21600,xe">
                <v:stroke joinstyle="miter"/>
                <v:path gradientshapeok="t" o:connecttype="rect"/>
              </v:shapetype>
              <v:shape id="Text Box 32" o:spid="_x0000_s1026" type="#_x0000_t202" style="position:absolute;left:0;text-align:left;margin-left:299.9pt;margin-top:8.8pt;width:109.5pt;height:4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">
                <v:textbox>
                  <w:txbxContent>
                    <w:p w:rsidR="00302E19" w:rsidRPr="00313E62" w:rsidRDefault="00302E19" w:rsidP="00DD38FB">
                      <w:pPr>
                        <w:jc w:val="center"/>
                        <w:rPr>
                          <w:sz w:val="26"/>
                          <w:szCs w:val="26"/>
                        </w:rPr>
                      </w:pPr>
                      <w:r w:rsidRPr="00313E62">
                        <w:rPr>
                          <w:sz w:val="26"/>
                          <w:szCs w:val="26"/>
                        </w:rPr>
                        <w:t xml:space="preserve">Reunión de </w:t>
                      </w:r>
                      <w:proofErr w:type="spellStart"/>
                      <w:r w:rsidRPr="00313E62">
                        <w:rPr>
                          <w:sz w:val="26"/>
                          <w:szCs w:val="26"/>
                        </w:rPr>
                        <w:t>Admón</w:t>
                      </w:r>
                      <w:proofErr w:type="spellEnd"/>
                      <w:r w:rsidRPr="00313E62">
                        <w:rPr>
                          <w:sz w:val="26"/>
                          <w:szCs w:val="26"/>
                        </w:rPr>
                        <w:t xml:space="preserve"> de Riesgos</w:t>
                      </w:r>
                    </w:p>
                  </w:txbxContent>
                </v:textbox>
              </v:shape>
            </w:pict>
          </mc:Fallback>
        </mc:AlternateContent>
      </w:r>
      <w:r w:rsidRPr="003B76DB">
        <w:rPr>
          <w:rFonts w:cs="Arial"/>
          <w:noProof/>
          <w:color w:val="000000"/>
          <w:lang w:val="en-US" w:eastAsia="en-US"/>
        </w:rPr>
        <mc:AlternateContent>
          <mc:Choice Requires="wps">
            <w:drawing>
              <wp:anchor distT="0" distB="0" distL="114300" distR="114300" simplePos="0" relativeHeight="251664384" behindDoc="0" locked="0" layoutInCell="1" allowOverlap="1" wp14:anchorId="0A12BD62" wp14:editId="0BF8123A">
                <wp:simplePos x="0" y="0"/>
                <wp:positionH relativeFrom="column">
                  <wp:posOffset>1529715</wp:posOffset>
                </wp:positionH>
                <wp:positionV relativeFrom="paragraph">
                  <wp:posOffset>101600</wp:posOffset>
                </wp:positionV>
                <wp:extent cx="1984375" cy="502920"/>
                <wp:effectExtent l="0" t="0" r="15875" b="11430"/>
                <wp:wrapNone/>
                <wp:docPr id="4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4375" cy="502920"/>
                        </a:xfrm>
                        <a:prstGeom prst="rect">
                          <a:avLst/>
                        </a:prstGeom>
                        <a:solidFill>
                          <a:srgbClr val="FFFFFF"/>
                        </a:solidFill>
                        <a:ln w="9525">
                          <a:solidFill>
                            <a:srgbClr val="000000"/>
                          </a:solidFill>
                          <a:miter lim="800000"/>
                          <a:headEnd/>
                          <a:tailEnd/>
                        </a:ln>
                      </wps:spPr>
                      <wps:txbx>
                        <w:txbxContent>
                          <w:p w:rsidR="00302E19" w:rsidRPr="00313E62" w:rsidRDefault="00302E19" w:rsidP="00DD38FB">
                            <w:pPr>
                              <w:jc w:val="center"/>
                              <w:rPr>
                                <w:b/>
                                <w:sz w:val="26"/>
                                <w:szCs w:val="26"/>
                              </w:rPr>
                            </w:pPr>
                            <w:r w:rsidRPr="00313E62">
                              <w:rPr>
                                <w:b/>
                                <w:sz w:val="26"/>
                                <w:szCs w:val="26"/>
                              </w:rPr>
                              <w:t>Director de Crédito Público y Tesoro Nacional</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12BD62" id="Text Box 35" o:spid="_x0000_s1027" type="#_x0000_t202" style="position:absolute;left:0;text-align:left;margin-left:120.45pt;margin-top:8pt;width:156.25pt;height:3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">
                <v:textbox>
                  <w:txbxContent>
                    <w:p w:rsidR="00302E19" w:rsidRPr="00313E62" w:rsidRDefault="00302E19" w:rsidP="00DD38FB">
                      <w:pPr>
                        <w:jc w:val="center"/>
                        <w:rPr>
                          <w:b/>
                          <w:sz w:val="26"/>
                          <w:szCs w:val="26"/>
                        </w:rPr>
                      </w:pPr>
                      <w:r w:rsidRPr="00313E62">
                        <w:rPr>
                          <w:b/>
                          <w:sz w:val="26"/>
                          <w:szCs w:val="26"/>
                        </w:rPr>
                        <w:t>Director de Crédito Público y Tesoro Nacional</w:t>
                      </w:r>
                    </w:p>
                  </w:txbxContent>
                </v:textbox>
              </v:shape>
            </w:pict>
          </mc:Fallback>
        </mc:AlternateContent>
      </w:r>
    </w:p>
    <w:p w:rsidR="00DD38FB" w:rsidRPr="003B76DB" w:rsidRDefault="00DD38FB" w:rsidP="003B76DB">
      <w:pPr>
        <w:spacing w:line="276" w:lineRule="auto"/>
      </w:pPr>
      <w:r w:rsidRPr="003B76DB">
        <w:rPr>
          <w:rFonts w:cs="Arial"/>
          <w:noProof/>
          <w:color w:val="000000"/>
          <w:lang w:val="en-US" w:eastAsia="en-US"/>
        </w:rPr>
        <mc:AlternateContent>
          <mc:Choice Requires="wps">
            <w:drawing>
              <wp:anchor distT="0" distB="0" distL="114300" distR="114300" simplePos="0" relativeHeight="251675648" behindDoc="0" locked="0" layoutInCell="1" allowOverlap="1" wp14:anchorId="46DFE255" wp14:editId="15FAB79D">
                <wp:simplePos x="0" y="0"/>
                <wp:positionH relativeFrom="column">
                  <wp:posOffset>5200015</wp:posOffset>
                </wp:positionH>
                <wp:positionV relativeFrom="paragraph">
                  <wp:posOffset>4445</wp:posOffset>
                </wp:positionV>
                <wp:extent cx="47625" cy="1460500"/>
                <wp:effectExtent l="38100" t="76200" r="447675" b="25400"/>
                <wp:wrapNone/>
                <wp:docPr id="5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47625" cy="1460500"/>
                        </a:xfrm>
                        <a:prstGeom prst="bentConnector3">
                          <a:avLst>
                            <a:gd name="adj1" fmla="val 966528"/>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A8A270"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3" o:spid="_x0000_s1026" type="#_x0000_t34" style="position:absolute;margin-left:409.45pt;margin-top:.35pt;width:3.75pt;height:115pt;rotation:18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" adj="208770" strokeweight="2pt">
                <v:stroke dashstyle="1 1" endarrow="block"/>
              </v:shape>
            </w:pict>
          </mc:Fallback>
        </mc:AlternateContent>
      </w:r>
    </w:p>
    <w:p w:rsidR="00DD38FB" w:rsidRPr="003B76DB" w:rsidRDefault="00BC231F" w:rsidP="003B76DB">
      <w:pPr>
        <w:spacing w:line="276" w:lineRule="auto"/>
      </w:pPr>
      <w:r w:rsidRPr="003B76DB">
        <w:rPr>
          <w:rFonts w:cs="Arial"/>
          <w:noProof/>
          <w:color w:val="000000"/>
          <w:lang w:val="en-US" w:eastAsia="en-US"/>
        </w:rPr>
        <mc:AlternateContent>
          <mc:Choice Requires="wps">
            <w:drawing>
              <wp:anchor distT="0" distB="0" distL="114300" distR="114300" simplePos="0" relativeHeight="251672576" behindDoc="0" locked="0" layoutInCell="1" allowOverlap="1" wp14:anchorId="4E62C89E" wp14:editId="3EB73349">
                <wp:simplePos x="0" y="0"/>
                <wp:positionH relativeFrom="column">
                  <wp:posOffset>1729740</wp:posOffset>
                </wp:positionH>
                <wp:positionV relativeFrom="paragraph">
                  <wp:posOffset>175260</wp:posOffset>
                </wp:positionV>
                <wp:extent cx="681040" cy="852488"/>
                <wp:effectExtent l="85725" t="0" r="14605" b="71755"/>
                <wp:wrapNone/>
                <wp:docPr id="54" name="Conector recto de flecha 54"/>
                <wp:cNvGraphicFramePr/>
                <a:graphic xmlns:a="http://schemas.openxmlformats.org/drawingml/2006/main">
                  <a:graphicData uri="http://schemas.microsoft.com/office/word/2010/wordprocessingShape">
                    <wps:wsp>
                      <wps:cNvCnPr/>
                      <wps:spPr>
                        <a:xfrm rot="16200000" flipH="1" flipV="1">
                          <a:off x="0" y="0"/>
                          <a:ext cx="681040" cy="852488"/>
                        </a:xfrm>
                        <a:prstGeom prst="bentConnector3">
                          <a:avLst>
                            <a:gd name="adj1" fmla="val 66760"/>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9D9C416" id="Conector recto de flecha 54" o:spid="_x0000_s1026" type="#_x0000_t34" style="position:absolute;margin-left:136.2pt;margin-top:13.8pt;width:53.65pt;height:67.15pt;rotation:-90;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" adj="14420" strokeweight="2pt">
                <v:stroke endarrow="block" joinstyle="round"/>
              </v:shape>
            </w:pict>
          </mc:Fallback>
        </mc:AlternateContent>
      </w:r>
    </w:p>
    <w:p w:rsidR="00BC231F" w:rsidRPr="003B76DB" w:rsidRDefault="00BC231F" w:rsidP="003B76DB">
      <w:pPr>
        <w:spacing w:line="276" w:lineRule="auto"/>
      </w:pPr>
      <w:r w:rsidRPr="003B76DB">
        <w:rPr>
          <w:rFonts w:cs="Arial"/>
          <w:noProof/>
          <w:color w:val="000000"/>
          <w:lang w:val="en-US" w:eastAsia="en-US"/>
        </w:rPr>
        <mc:AlternateContent>
          <mc:Choice Requires="wps">
            <w:drawing>
              <wp:anchor distT="0" distB="0" distL="114300" distR="114300" simplePos="0" relativeHeight="251667456" behindDoc="0" locked="0" layoutInCell="1" allowOverlap="1" wp14:anchorId="153741DA" wp14:editId="03E602DE">
                <wp:simplePos x="0" y="0"/>
                <wp:positionH relativeFrom="column">
                  <wp:posOffset>2481580</wp:posOffset>
                </wp:positionH>
                <wp:positionV relativeFrom="paragraph">
                  <wp:posOffset>150495</wp:posOffset>
                </wp:positionV>
                <wp:extent cx="2009775" cy="238125"/>
                <wp:effectExtent l="38100" t="0" r="47625" b="85725"/>
                <wp:wrapNone/>
                <wp:docPr id="51"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2009775" cy="238125"/>
                        </a:xfrm>
                        <a:prstGeom prst="bentConnector3">
                          <a:avLst>
                            <a:gd name="adj1" fmla="val -597"/>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71D61C" id="AutoShape 43" o:spid="_x0000_s1026" type="#_x0000_t34" style="position:absolute;margin-left:195.4pt;margin-top:11.85pt;width:158.25pt;height:18.75pt;rotation:180;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" adj="-129" strokeweight="2pt">
                <v:stroke dashstyle="1 1" endarrow="block"/>
              </v:shape>
            </w:pict>
          </mc:Fallback>
        </mc:AlternateContent>
      </w:r>
    </w:p>
    <w:p w:rsidR="00BC231F" w:rsidRPr="003B76DB" w:rsidRDefault="00BC231F" w:rsidP="003B76DB">
      <w:pPr>
        <w:spacing w:line="276" w:lineRule="auto"/>
      </w:pPr>
    </w:p>
    <w:p w:rsidR="00BC231F" w:rsidRPr="003B76DB" w:rsidRDefault="00BC231F" w:rsidP="003B76DB">
      <w:pPr>
        <w:spacing w:line="276" w:lineRule="auto"/>
      </w:pPr>
    </w:p>
    <w:p w:rsidR="00DD38FB" w:rsidRPr="003B76DB" w:rsidRDefault="00DD38FB" w:rsidP="003B76DB">
      <w:pPr>
        <w:spacing w:line="276" w:lineRule="auto"/>
      </w:pPr>
      <w:r w:rsidRPr="003B76DB">
        <w:rPr>
          <w:rFonts w:cs="Arial"/>
          <w:noProof/>
          <w:color w:val="000000"/>
          <w:lang w:val="en-US" w:eastAsia="en-US"/>
        </w:rPr>
        <mc:AlternateContent>
          <mc:Choice Requires="wps">
            <w:drawing>
              <wp:anchor distT="0" distB="0" distL="114300" distR="114300" simplePos="0" relativeHeight="251669504" behindDoc="0" locked="0" layoutInCell="1" allowOverlap="1" wp14:anchorId="2A08BABE" wp14:editId="2BF0D86D">
                <wp:simplePos x="0" y="0"/>
                <wp:positionH relativeFrom="column">
                  <wp:posOffset>2499995</wp:posOffset>
                </wp:positionH>
                <wp:positionV relativeFrom="paragraph">
                  <wp:posOffset>6985</wp:posOffset>
                </wp:positionV>
                <wp:extent cx="2260600" cy="204470"/>
                <wp:effectExtent l="0" t="0" r="63500" b="62230"/>
                <wp:wrapNone/>
                <wp:docPr id="52"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0600" cy="204470"/>
                        </a:xfrm>
                        <a:prstGeom prst="bentConnector3">
                          <a:avLst>
                            <a:gd name="adj1" fmla="val 99606"/>
                          </a:avLst>
                        </a:prstGeom>
                        <a:noFill/>
                        <a:ln w="254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3FFB78" id="AutoShape 44" o:spid="_x0000_s1026" type="#_x0000_t34" style="position:absolute;margin-left:196.85pt;margin-top:.55pt;width:178pt;height:1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" adj="21515" strokeweight="2pt">
                <v:stroke endarrow="block"/>
              </v:shape>
            </w:pict>
          </mc:Fallback>
        </mc:AlternateContent>
      </w:r>
    </w:p>
    <w:p w:rsidR="00DD38FB" w:rsidRPr="003B76DB" w:rsidRDefault="00DD38FB" w:rsidP="003B76DB">
      <w:pPr>
        <w:spacing w:line="276" w:lineRule="auto"/>
      </w:pPr>
      <w:r w:rsidRPr="003B76DB">
        <w:rPr>
          <w:rFonts w:cs="Arial"/>
          <w:noProof/>
          <w:color w:val="000000"/>
          <w:lang w:val="en-US" w:eastAsia="en-US"/>
        </w:rPr>
        <mc:AlternateContent>
          <mc:Choice Requires="wps">
            <w:drawing>
              <wp:anchor distT="0" distB="0" distL="114300" distR="114300" simplePos="0" relativeHeight="251661312" behindDoc="0" locked="0" layoutInCell="1" allowOverlap="1" wp14:anchorId="51AB996D" wp14:editId="3F29BD8B">
                <wp:simplePos x="0" y="0"/>
                <wp:positionH relativeFrom="column">
                  <wp:posOffset>348615</wp:posOffset>
                </wp:positionH>
                <wp:positionV relativeFrom="paragraph">
                  <wp:posOffset>16510</wp:posOffset>
                </wp:positionV>
                <wp:extent cx="2850515" cy="876300"/>
                <wp:effectExtent l="0" t="0" r="26035" b="19050"/>
                <wp:wrapNone/>
                <wp:docPr id="2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515" cy="876300"/>
                        </a:xfrm>
                        <a:prstGeom prst="rect">
                          <a:avLst/>
                        </a:prstGeom>
                        <a:solidFill>
                          <a:srgbClr val="FFFFFF"/>
                        </a:solidFill>
                        <a:ln w="9525">
                          <a:solidFill>
                            <a:srgbClr val="000000"/>
                          </a:solidFill>
                          <a:miter lim="800000"/>
                          <a:headEnd/>
                          <a:tailEnd/>
                        </a:ln>
                      </wps:spPr>
                      <wps:txbx>
                        <w:txbxContent>
                          <w:p w:rsidR="00302E19" w:rsidRDefault="00302E19" w:rsidP="00DD38FB">
                            <w:pPr>
                              <w:jc w:val="center"/>
                            </w:pPr>
                            <w:r>
                              <w:t>8 Subdirecciones y Grupo de Asuntos Legales</w:t>
                            </w:r>
                          </w:p>
                          <w:p w:rsidR="00302E19" w:rsidRPr="00313E62" w:rsidRDefault="00302E19" w:rsidP="00DD38FB">
                            <w:pPr>
                              <w:jc w:val="center"/>
                              <w:rPr>
                                <w:b/>
                              </w:rPr>
                            </w:pPr>
                            <w:r w:rsidRPr="00725D3B">
                              <w:rPr>
                                <w:b/>
                                <w:i/>
                              </w:rPr>
                              <w:t>Front</w:t>
                            </w:r>
                            <w:r>
                              <w:rPr>
                                <w:b/>
                              </w:rPr>
                              <w:t xml:space="preserve"> y </w:t>
                            </w:r>
                            <w:r w:rsidRPr="00725D3B">
                              <w:rPr>
                                <w:b/>
                                <w:i/>
                              </w:rPr>
                              <w:t>Back Office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AB996D" id="Text Box 34" o:spid="_x0000_s1028" type="#_x0000_t202" style="position:absolute;left:0;text-align:left;margin-left:27.45pt;margin-top:1.3pt;width:224.4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">
                <v:textbox>
                  <w:txbxContent>
                    <w:p w:rsidR="00302E19" w:rsidRDefault="00302E19" w:rsidP="00DD38FB">
                      <w:pPr>
                        <w:jc w:val="center"/>
                      </w:pPr>
                      <w:r>
                        <w:t>8 Subdirecciones y Grupo de Asuntos Legales</w:t>
                      </w:r>
                    </w:p>
                    <w:p w:rsidR="00302E19" w:rsidRPr="00313E62" w:rsidRDefault="00302E19" w:rsidP="00DD38FB">
                      <w:pPr>
                        <w:jc w:val="center"/>
                        <w:rPr>
                          <w:b/>
                        </w:rPr>
                      </w:pPr>
                      <w:r w:rsidRPr="00725D3B">
                        <w:rPr>
                          <w:b/>
                          <w:i/>
                        </w:rPr>
                        <w:t>Front</w:t>
                      </w:r>
                      <w:r>
                        <w:rPr>
                          <w:b/>
                        </w:rPr>
                        <w:t xml:space="preserve"> y </w:t>
                      </w:r>
                      <w:r w:rsidRPr="00725D3B">
                        <w:rPr>
                          <w:b/>
                          <w:i/>
                        </w:rPr>
                        <w:t>Back Office</w:t>
                      </w:r>
                    </w:p>
                  </w:txbxContent>
                </v:textbox>
              </v:shape>
            </w:pict>
          </mc:Fallback>
        </mc:AlternateContent>
      </w:r>
      <w:r w:rsidRPr="003B76DB">
        <w:rPr>
          <w:rFonts w:cs="Arial"/>
          <w:noProof/>
          <w:color w:val="000000"/>
          <w:lang w:val="en-US" w:eastAsia="en-US"/>
        </w:rPr>
        <mc:AlternateContent>
          <mc:Choice Requires="wps">
            <w:drawing>
              <wp:anchor distT="0" distB="0" distL="114300" distR="114300" simplePos="0" relativeHeight="251649024" behindDoc="0" locked="0" layoutInCell="1" allowOverlap="1" wp14:anchorId="3F595A42" wp14:editId="61E86ADE">
                <wp:simplePos x="0" y="0"/>
                <wp:positionH relativeFrom="column">
                  <wp:posOffset>3872865</wp:posOffset>
                </wp:positionH>
                <wp:positionV relativeFrom="paragraph">
                  <wp:posOffset>26035</wp:posOffset>
                </wp:positionV>
                <wp:extent cx="1327150" cy="819150"/>
                <wp:effectExtent l="0" t="0" r="25400" b="19050"/>
                <wp:wrapNone/>
                <wp:docPr id="2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819150"/>
                        </a:xfrm>
                        <a:prstGeom prst="rect">
                          <a:avLst/>
                        </a:prstGeom>
                        <a:solidFill>
                          <a:srgbClr val="FFFFFF"/>
                        </a:solidFill>
                        <a:ln w="9525">
                          <a:solidFill>
                            <a:srgbClr val="000000"/>
                          </a:solidFill>
                          <a:miter lim="800000"/>
                          <a:headEnd/>
                          <a:tailEnd/>
                        </a:ln>
                      </wps:spPr>
                      <wps:txbx>
                        <w:txbxContent>
                          <w:p w:rsidR="00302E19" w:rsidRDefault="00302E19" w:rsidP="00DD38FB">
                            <w:pPr>
                              <w:jc w:val="center"/>
                            </w:pPr>
                            <w:r>
                              <w:t>Subdirección de Riesgo</w:t>
                            </w:r>
                          </w:p>
                          <w:p w:rsidR="00302E19" w:rsidRPr="00725D3B" w:rsidRDefault="00302E19" w:rsidP="00DD38FB">
                            <w:pPr>
                              <w:jc w:val="center"/>
                              <w:rPr>
                                <w:b/>
                                <w:i/>
                              </w:rPr>
                            </w:pPr>
                            <w:r w:rsidRPr="00725D3B">
                              <w:rPr>
                                <w:b/>
                                <w:i/>
                              </w:rPr>
                              <w:t>Middle Office</w:t>
                            </w:r>
                          </w:p>
                          <w:p w:rsidR="00302E19" w:rsidRPr="00313E62" w:rsidRDefault="00302E19" w:rsidP="00DD38FB">
                            <w:pPr>
                              <w:jc w:val="center"/>
                              <w:rPr>
                                <w:b/>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595A42" id="Text Box 37" o:spid="_x0000_s1029" type="#_x0000_t202" style="position:absolute;left:0;text-align:left;margin-left:304.95pt;margin-top:2.05pt;width:104.5pt;height:6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">
                <v:textbox>
                  <w:txbxContent>
                    <w:p w:rsidR="00302E19" w:rsidRDefault="00302E19" w:rsidP="00DD38FB">
                      <w:pPr>
                        <w:jc w:val="center"/>
                      </w:pPr>
                      <w:r>
                        <w:t>Subdirección de Riesgo</w:t>
                      </w:r>
                    </w:p>
                    <w:p w:rsidR="00302E19" w:rsidRPr="00725D3B" w:rsidRDefault="00302E19" w:rsidP="00DD38FB">
                      <w:pPr>
                        <w:jc w:val="center"/>
                        <w:rPr>
                          <w:b/>
                          <w:i/>
                        </w:rPr>
                      </w:pPr>
                      <w:proofErr w:type="spellStart"/>
                      <w:r w:rsidRPr="00725D3B">
                        <w:rPr>
                          <w:b/>
                          <w:i/>
                        </w:rPr>
                        <w:t>Middle</w:t>
                      </w:r>
                      <w:proofErr w:type="spellEnd"/>
                      <w:r w:rsidRPr="00725D3B">
                        <w:rPr>
                          <w:b/>
                          <w:i/>
                        </w:rPr>
                        <w:t xml:space="preserve"> Office</w:t>
                      </w:r>
                    </w:p>
                    <w:p w:rsidR="00302E19" w:rsidRPr="00313E62" w:rsidRDefault="00302E19" w:rsidP="00DD38FB">
                      <w:pPr>
                        <w:jc w:val="center"/>
                        <w:rPr>
                          <w:b/>
                        </w:rPr>
                      </w:pPr>
                    </w:p>
                  </w:txbxContent>
                </v:textbox>
              </v:shape>
            </w:pict>
          </mc:Fallback>
        </mc:AlternateContent>
      </w:r>
    </w:p>
    <w:p w:rsidR="00DD38FB" w:rsidRPr="003B76DB" w:rsidRDefault="00DD38FB" w:rsidP="003B76DB">
      <w:pPr>
        <w:spacing w:line="276" w:lineRule="auto"/>
      </w:pPr>
    </w:p>
    <w:p w:rsidR="00DD38FB" w:rsidRPr="003B76DB" w:rsidRDefault="00BC231F" w:rsidP="003B76DB">
      <w:pPr>
        <w:spacing w:line="276" w:lineRule="auto"/>
        <w:rPr>
          <w:rFonts w:cs="Arial"/>
          <w:color w:val="000000"/>
        </w:rPr>
      </w:pPr>
      <w:r w:rsidRPr="003B76DB">
        <w:rPr>
          <w:rFonts w:cs="Arial"/>
          <w:noProof/>
          <w:color w:val="000000"/>
          <w:lang w:val="en-US" w:eastAsia="en-US"/>
        </w:rPr>
        <mc:AlternateContent>
          <mc:Choice Requires="wps">
            <w:drawing>
              <wp:anchor distT="0" distB="0" distL="114300" distR="114300" simplePos="0" relativeHeight="251652096" behindDoc="0" locked="0" layoutInCell="1" allowOverlap="1" wp14:anchorId="72A9054C" wp14:editId="593D28F9">
                <wp:simplePos x="0" y="0"/>
                <wp:positionH relativeFrom="column">
                  <wp:posOffset>3279140</wp:posOffset>
                </wp:positionH>
                <wp:positionV relativeFrom="paragraph">
                  <wp:posOffset>85090</wp:posOffset>
                </wp:positionV>
                <wp:extent cx="549275" cy="635"/>
                <wp:effectExtent l="38100" t="76200" r="0" b="94615"/>
                <wp:wrapNone/>
                <wp:docPr id="45"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549275" cy="635"/>
                        </a:xfrm>
                        <a:prstGeom prst="bentConnector3">
                          <a:avLst>
                            <a:gd name="adj1" fmla="val 53412"/>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C5FD7" id="AutoShape 38" o:spid="_x0000_s1026" type="#_x0000_t34" style="position:absolute;margin-left:258.2pt;margin-top:6.7pt;width:43.25pt;height:.05pt;rotation:18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" adj="11537" strokeweight="2pt">
                <v:stroke dashstyle="1 1" endarrow="block"/>
              </v:shape>
            </w:pict>
          </mc:Fallback>
        </mc:AlternateContent>
      </w:r>
    </w:p>
    <w:p w:rsidR="00BC231F" w:rsidRPr="003B76DB" w:rsidRDefault="00BC231F" w:rsidP="003B76DB">
      <w:pPr>
        <w:spacing w:line="276" w:lineRule="auto"/>
        <w:rPr>
          <w:rFonts w:cs="Arial"/>
          <w:color w:val="000000"/>
        </w:rPr>
      </w:pPr>
      <w:r w:rsidRPr="003B76DB">
        <w:rPr>
          <w:rFonts w:cs="Arial"/>
          <w:noProof/>
          <w:color w:val="000000"/>
          <w:lang w:val="en-US" w:eastAsia="en-US"/>
        </w:rPr>
        <mc:AlternateContent>
          <mc:Choice Requires="wps">
            <w:drawing>
              <wp:anchor distT="0" distB="0" distL="114300" distR="114300" simplePos="0" relativeHeight="251677696" behindDoc="1" locked="0" layoutInCell="1" allowOverlap="1" wp14:anchorId="2C58BF22" wp14:editId="63A95830">
                <wp:simplePos x="0" y="0"/>
                <wp:positionH relativeFrom="margin">
                  <wp:align>center</wp:align>
                </wp:positionH>
                <wp:positionV relativeFrom="paragraph">
                  <wp:posOffset>13335</wp:posOffset>
                </wp:positionV>
                <wp:extent cx="752475" cy="523875"/>
                <wp:effectExtent l="0" t="0" r="28575" b="28575"/>
                <wp:wrapTight wrapText="bothSides">
                  <wp:wrapPolygon edited="0">
                    <wp:start x="0" y="0"/>
                    <wp:lineTo x="0" y="21993"/>
                    <wp:lineTo x="21873" y="21993"/>
                    <wp:lineTo x="21873" y="0"/>
                    <wp:lineTo x="0" y="0"/>
                  </wp:wrapPolygon>
                </wp:wrapTight>
                <wp:docPr id="58" name="Cuadro de texto 58"/>
                <wp:cNvGraphicFramePr/>
                <a:graphic xmlns:a="http://schemas.openxmlformats.org/drawingml/2006/main">
                  <a:graphicData uri="http://schemas.microsoft.com/office/word/2010/wordprocessingShape">
                    <wps:wsp>
                      <wps:cNvSpPr txBox="1"/>
                      <wps:spPr>
                        <a:xfrm>
                          <a:off x="0" y="0"/>
                          <a:ext cx="752475"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02E19" w:rsidRDefault="00302E19" w:rsidP="00DD38FB">
                            <w:r>
                              <w:t>Gestores de Riesgo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8BF22" id="Cuadro de texto 58" o:spid="_x0000_s1030" type="#_x0000_t202" style="position:absolute;left:0;text-align:left;margin-left:0;margin-top:1.05pt;width:59.25pt;height:41.25pt;z-index:-251638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" fillcolor="white [3201]" strokeweight=".5pt">
                <v:textbox>
                  <w:txbxContent>
                    <w:p w:rsidR="00302E19" w:rsidRDefault="00302E19" w:rsidP="00DD38FB">
                      <w:r>
                        <w:t>Gestores de Riesgo</w:t>
                      </w:r>
                    </w:p>
                  </w:txbxContent>
                </v:textbox>
                <w10:wrap type="tight" anchorx="margin"/>
              </v:shape>
            </w:pict>
          </mc:Fallback>
        </mc:AlternateContent>
      </w:r>
    </w:p>
    <w:p w:rsidR="00BC231F" w:rsidRPr="003B76DB" w:rsidRDefault="00BC231F" w:rsidP="003B76DB">
      <w:pPr>
        <w:spacing w:line="276" w:lineRule="auto"/>
        <w:rPr>
          <w:rFonts w:cs="Arial"/>
          <w:color w:val="000000"/>
        </w:rPr>
      </w:pPr>
    </w:p>
    <w:p w:rsidR="00BC231F" w:rsidRPr="003B76DB" w:rsidRDefault="00BC231F"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noProof/>
          <w:color w:val="000000"/>
          <w:lang w:val="en-US" w:eastAsia="en-US"/>
        </w:rPr>
        <mc:AlternateContent>
          <mc:Choice Requires="wps">
            <w:drawing>
              <wp:anchor distT="4294967294" distB="4294967294" distL="114300" distR="114300" simplePos="0" relativeHeight="251654144" behindDoc="0" locked="0" layoutInCell="1" allowOverlap="1" wp14:anchorId="1A59B5BF" wp14:editId="7E9E1954">
                <wp:simplePos x="0" y="0"/>
                <wp:positionH relativeFrom="column">
                  <wp:posOffset>1411605</wp:posOffset>
                </wp:positionH>
                <wp:positionV relativeFrom="paragraph">
                  <wp:posOffset>89535</wp:posOffset>
                </wp:positionV>
                <wp:extent cx="528320" cy="0"/>
                <wp:effectExtent l="0" t="76200" r="24130" b="95250"/>
                <wp:wrapNone/>
                <wp:docPr id="1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320" cy="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984F05" id="_x0000_t32" coordsize="21600,21600" o:spt="32" o:oned="t" path="m,l21600,21600e" filled="f">
                <v:path arrowok="t" fillok="f" o:connecttype="none"/>
                <o:lock v:ext="edit" shapetype="t"/>
              </v:shapetype>
              <v:shape id="AutoShape 30" o:spid="_x0000_s1026" type="#_x0000_t32" style="position:absolute;margin-left:111.15pt;margin-top:7.05pt;width:41.6pt;height:0;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" strokeweight="2pt">
                <v:stroke endarrow="block"/>
              </v:shape>
            </w:pict>
          </mc:Fallback>
        </mc:AlternateContent>
      </w:r>
      <w:r w:rsidRPr="003B76DB">
        <w:rPr>
          <w:rFonts w:cs="Arial"/>
          <w:color w:val="000000"/>
        </w:rPr>
        <w:t xml:space="preserve">Línea de autoridad: </w:t>
      </w:r>
    </w:p>
    <w:p w:rsidR="00DD38FB" w:rsidRPr="003B76DB" w:rsidRDefault="00DD38FB" w:rsidP="003B76DB">
      <w:pPr>
        <w:spacing w:line="276" w:lineRule="auto"/>
        <w:rPr>
          <w:rFonts w:cs="Arial"/>
          <w:color w:val="000000"/>
        </w:rPr>
      </w:pPr>
      <w:r w:rsidRPr="003B76DB">
        <w:rPr>
          <w:rFonts w:cs="Arial"/>
          <w:noProof/>
          <w:color w:val="000000"/>
          <w:lang w:val="en-US" w:eastAsia="en-US"/>
        </w:rPr>
        <mc:AlternateContent>
          <mc:Choice Requires="wps">
            <w:drawing>
              <wp:anchor distT="0" distB="0" distL="114300" distR="114300" simplePos="0" relativeHeight="251657216" behindDoc="0" locked="0" layoutInCell="1" allowOverlap="1" wp14:anchorId="123EAD85" wp14:editId="0993807E">
                <wp:simplePos x="0" y="0"/>
                <wp:positionH relativeFrom="column">
                  <wp:posOffset>1421130</wp:posOffset>
                </wp:positionH>
                <wp:positionV relativeFrom="paragraph">
                  <wp:posOffset>46990</wp:posOffset>
                </wp:positionV>
                <wp:extent cx="539115" cy="635"/>
                <wp:effectExtent l="0" t="76200" r="13335" b="94615"/>
                <wp:wrapNone/>
                <wp:docPr id="4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115" cy="635"/>
                        </a:xfrm>
                        <a:prstGeom prst="bentConnector3">
                          <a:avLst>
                            <a:gd name="adj1" fmla="val 39339"/>
                          </a:avLst>
                        </a:prstGeom>
                        <a:noFill/>
                        <a:ln w="25400">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ABDB2" id="AutoShape 31" o:spid="_x0000_s1026" type="#_x0000_t34" style="position:absolute;margin-left:111.9pt;margin-top:3.7pt;width:42.4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" adj="8497" strokeweight="2pt">
                <v:stroke dashstyle="1 1" endarrow="block"/>
              </v:shape>
            </w:pict>
          </mc:Fallback>
        </mc:AlternateContent>
      </w:r>
      <w:r w:rsidRPr="003B76DB">
        <w:rPr>
          <w:rFonts w:cs="Arial"/>
          <w:color w:val="000000"/>
        </w:rPr>
        <w:t xml:space="preserve">Línea de control:   </w:t>
      </w: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B26EB" w:rsidRDefault="00DB26EB" w:rsidP="003B76DB">
      <w:pPr>
        <w:spacing w:line="276" w:lineRule="auto"/>
        <w:rPr>
          <w:rFonts w:cs="Arial"/>
          <w:color w:val="000000"/>
        </w:rPr>
      </w:pPr>
    </w:p>
    <w:p w:rsidR="00DD38FB" w:rsidRPr="003B76DB" w:rsidRDefault="00DD38FB" w:rsidP="00DB26EB">
      <w:pPr>
        <w:spacing w:after="200" w:line="276" w:lineRule="auto"/>
        <w:contextualSpacing/>
        <w:rPr>
          <w:rFonts w:cs="Arial"/>
        </w:rPr>
      </w:pPr>
      <w:r w:rsidRPr="00DB26EB">
        <w:rPr>
          <w:rFonts w:cs="Arial"/>
          <w:color w:val="000000"/>
        </w:rPr>
        <w:lastRenderedPageBreak/>
        <w:t xml:space="preserve">La </w:t>
      </w:r>
      <w:r w:rsidR="00DB26EB" w:rsidRPr="00DB26EB">
        <w:rPr>
          <w:rFonts w:cs="Arial"/>
          <w:color w:val="000000"/>
        </w:rPr>
        <w:t>DGCPTN</w:t>
      </w:r>
      <w:r w:rsidRPr="00DB26EB">
        <w:rPr>
          <w:rFonts w:cs="Arial"/>
          <w:color w:val="000000"/>
        </w:rPr>
        <w:t xml:space="preserve"> cuenta con una estructura organizacional de acuerdo a sus funcione</w:t>
      </w:r>
      <w:r w:rsidR="00DB26EB">
        <w:rPr>
          <w:rFonts w:cs="Arial"/>
          <w:color w:val="000000"/>
        </w:rPr>
        <w:t>s y se encuentra dividida en 8 s</w:t>
      </w:r>
      <w:r w:rsidRPr="00DB26EB">
        <w:rPr>
          <w:rFonts w:cs="Arial"/>
          <w:color w:val="000000"/>
        </w:rPr>
        <w:t>ubdirecciones</w:t>
      </w:r>
      <w:r w:rsidR="00DB26EB">
        <w:rPr>
          <w:rFonts w:cs="Arial"/>
          <w:color w:val="000000"/>
        </w:rPr>
        <w:t xml:space="preserve"> las cuales cu</w:t>
      </w:r>
      <w:r w:rsidR="00DB26EB" w:rsidRPr="00DB26EB">
        <w:rPr>
          <w:rFonts w:cs="Arial"/>
        </w:rPr>
        <w:t>enta</w:t>
      </w:r>
      <w:r w:rsidR="00DB26EB">
        <w:rPr>
          <w:rFonts w:cs="Arial"/>
        </w:rPr>
        <w:t>n</w:t>
      </w:r>
      <w:r w:rsidR="00DB26EB" w:rsidRPr="00DB26EB">
        <w:rPr>
          <w:rFonts w:cs="Arial"/>
        </w:rPr>
        <w:t xml:space="preserve"> con el apo</w:t>
      </w:r>
      <w:r w:rsidR="00DB26EB">
        <w:rPr>
          <w:rFonts w:cs="Arial"/>
        </w:rPr>
        <w:t>yo del Grupo de Asuntos Legales,</w:t>
      </w:r>
      <w:r w:rsidR="00DB26EB">
        <w:rPr>
          <w:rFonts w:cs="Arial"/>
          <w:color w:val="000000"/>
        </w:rPr>
        <w:t xml:space="preserve"> como se muestra a continuación:</w:t>
      </w:r>
    </w:p>
    <w:p w:rsidR="00DD38FB" w:rsidRPr="003B76DB" w:rsidRDefault="00DD38FB" w:rsidP="003B76DB">
      <w:pPr>
        <w:spacing w:line="276" w:lineRule="auto"/>
        <w:jc w:val="center"/>
      </w:pPr>
      <w:r w:rsidRPr="003B76DB">
        <w:rPr>
          <w:noProof/>
        </w:rPr>
        <w:t xml:space="preserve">  </w:t>
      </w:r>
      <w:r w:rsidRPr="003B76DB">
        <w:rPr>
          <w:noProof/>
          <w:lang w:val="en-US" w:eastAsia="en-US"/>
        </w:rPr>
        <w:drawing>
          <wp:inline distT="0" distB="0" distL="0" distR="0" wp14:anchorId="7AB50596" wp14:editId="0DA444F4">
            <wp:extent cx="5191125" cy="4876800"/>
            <wp:effectExtent l="0" t="0" r="0" b="19050"/>
            <wp:docPr id="18" name="Diagrama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D38FB" w:rsidRDefault="00C77A23" w:rsidP="00A000CF">
      <w:pPr>
        <w:pStyle w:val="Ttulo3"/>
        <w:numPr>
          <w:ilvl w:val="1"/>
          <w:numId w:val="23"/>
        </w:numPr>
      </w:pPr>
      <w:bookmarkStart w:id="40" w:name="_Toc507771251"/>
      <w:bookmarkStart w:id="41" w:name="_Toc4590628"/>
      <w:r>
        <w:t>Política de A</w:t>
      </w:r>
      <w:r w:rsidR="00DD38FB" w:rsidRPr="003B76DB">
        <w:t xml:space="preserve">cceso y </w:t>
      </w:r>
      <w:r>
        <w:t>Administración de U</w:t>
      </w:r>
      <w:r w:rsidR="00DD38FB" w:rsidRPr="003B76DB">
        <w:t>suarios</w:t>
      </w:r>
      <w:bookmarkEnd w:id="40"/>
      <w:bookmarkEnd w:id="41"/>
      <w:r w:rsidR="00DD38FB" w:rsidRPr="003B76DB">
        <w:t xml:space="preserve"> </w:t>
      </w:r>
    </w:p>
    <w:p w:rsidR="00C77A23" w:rsidRPr="00C77A23" w:rsidRDefault="00C77A23" w:rsidP="00C77A23"/>
    <w:p w:rsidR="00DD38FB" w:rsidRDefault="00C77A23" w:rsidP="00684C4D">
      <w:pPr>
        <w:pStyle w:val="Prrafodelista"/>
        <w:numPr>
          <w:ilvl w:val="0"/>
          <w:numId w:val="29"/>
        </w:numPr>
        <w:spacing w:after="200" w:line="276" w:lineRule="auto"/>
        <w:contextualSpacing/>
        <w:rPr>
          <w:rFonts w:cs="Arial"/>
          <w:color w:val="000000"/>
        </w:rPr>
      </w:pPr>
      <w:r w:rsidRPr="00684C4D">
        <w:rPr>
          <w:rFonts w:cs="Arial"/>
          <w:color w:val="000000"/>
        </w:rPr>
        <w:t>El j</w:t>
      </w:r>
      <w:r w:rsidR="00DD38FB" w:rsidRPr="00684C4D">
        <w:rPr>
          <w:rFonts w:cs="Arial"/>
          <w:color w:val="000000"/>
        </w:rPr>
        <w:t>efe de cada depend</w:t>
      </w:r>
      <w:r w:rsidRPr="00684C4D">
        <w:rPr>
          <w:rFonts w:cs="Arial"/>
          <w:color w:val="000000"/>
        </w:rPr>
        <w:t>encia (Director, Subdirector o Coordinador</w:t>
      </w:r>
      <w:r w:rsidR="00F564EA" w:rsidRPr="00684C4D">
        <w:rPr>
          <w:rFonts w:cs="Arial"/>
          <w:color w:val="000000"/>
        </w:rPr>
        <w:t xml:space="preserve"> de Grupo) elaborará</w:t>
      </w:r>
      <w:r w:rsidR="00DD38FB" w:rsidRPr="00684C4D">
        <w:rPr>
          <w:rFonts w:cs="Arial"/>
          <w:color w:val="000000"/>
        </w:rPr>
        <w:t xml:space="preserve"> la programación de vacaciones de los funcionarios de su área la cual será enviada al enlace administrativo para que este consolide la programación de las vacaciones de todos los funcionarios de la Dirección</w:t>
      </w:r>
      <w:r w:rsidR="00F564EA" w:rsidRPr="00684C4D">
        <w:rPr>
          <w:rFonts w:cs="Arial"/>
          <w:color w:val="000000"/>
        </w:rPr>
        <w:t xml:space="preserve"> para firma del director </w:t>
      </w:r>
      <w:r w:rsidR="00DD38FB" w:rsidRPr="00684C4D">
        <w:rPr>
          <w:rFonts w:cs="Arial"/>
          <w:color w:val="000000"/>
        </w:rPr>
        <w:t xml:space="preserve">quien posteriormente enviará a la Subdirección de Recursos Humanos, con visto bueno de la </w:t>
      </w:r>
      <w:r w:rsidR="00F564EA" w:rsidRPr="00684C4D">
        <w:rPr>
          <w:rFonts w:cs="Arial"/>
          <w:color w:val="000000"/>
        </w:rPr>
        <w:t>DGCPTN</w:t>
      </w:r>
      <w:r w:rsidR="00DD38FB" w:rsidRPr="00684C4D">
        <w:rPr>
          <w:rFonts w:cs="Arial"/>
          <w:color w:val="000000"/>
        </w:rPr>
        <w:t>, verificando que cada funcionario disfrute de su periodo de vacaciones</w:t>
      </w:r>
      <w:r w:rsidR="00F564EA" w:rsidRPr="00684C4D">
        <w:rPr>
          <w:rFonts w:cs="Arial"/>
          <w:color w:val="000000"/>
        </w:rPr>
        <w:t>.</w:t>
      </w:r>
      <w:r w:rsidR="00DD38FB" w:rsidRPr="00684C4D">
        <w:rPr>
          <w:rFonts w:cs="Arial"/>
          <w:color w:val="000000"/>
        </w:rPr>
        <w:t xml:space="preserve"> </w:t>
      </w:r>
      <w:r w:rsidR="00F564EA" w:rsidRPr="00684C4D">
        <w:rPr>
          <w:rFonts w:cs="Arial"/>
          <w:color w:val="000000"/>
        </w:rPr>
        <w:t>E</w:t>
      </w:r>
      <w:r w:rsidR="00DD38FB" w:rsidRPr="00684C4D">
        <w:rPr>
          <w:rFonts w:cs="Arial"/>
          <w:color w:val="000000"/>
        </w:rPr>
        <w:t>n casos debidamente justificado</w:t>
      </w:r>
      <w:r w:rsidR="00F564EA" w:rsidRPr="00684C4D">
        <w:rPr>
          <w:rFonts w:cs="Arial"/>
          <w:color w:val="000000"/>
        </w:rPr>
        <w:t>s,</w:t>
      </w:r>
      <w:r w:rsidR="00DD38FB" w:rsidRPr="00684C4D">
        <w:rPr>
          <w:rFonts w:cs="Arial"/>
          <w:color w:val="000000"/>
        </w:rPr>
        <w:t xml:space="preserve"> por necesidades del servicio</w:t>
      </w:r>
      <w:r w:rsidR="00F564EA" w:rsidRPr="00684C4D">
        <w:rPr>
          <w:rFonts w:cs="Arial"/>
          <w:color w:val="000000"/>
        </w:rPr>
        <w:t>, se podrán suspender las vacaciones</w:t>
      </w:r>
      <w:r w:rsidR="00DD38FB" w:rsidRPr="00684C4D">
        <w:rPr>
          <w:rFonts w:cs="Arial"/>
          <w:color w:val="000000"/>
        </w:rPr>
        <w:t xml:space="preserve"> </w:t>
      </w:r>
      <w:r w:rsidR="00F564EA" w:rsidRPr="00684C4D">
        <w:rPr>
          <w:rFonts w:cs="Arial"/>
          <w:color w:val="000000"/>
        </w:rPr>
        <w:t xml:space="preserve">después de disfrutar </w:t>
      </w:r>
      <w:r w:rsidR="00DD38FB" w:rsidRPr="00684C4D">
        <w:rPr>
          <w:rFonts w:cs="Arial"/>
          <w:color w:val="000000"/>
        </w:rPr>
        <w:t>como mínimo diez (10) días hábiles</w:t>
      </w:r>
      <w:r w:rsidR="00F564EA" w:rsidRPr="00684C4D">
        <w:rPr>
          <w:rFonts w:cs="Arial"/>
          <w:color w:val="000000"/>
        </w:rPr>
        <w:t xml:space="preserve"> continuos</w:t>
      </w:r>
      <w:r w:rsidR="00DD38FB" w:rsidRPr="00684C4D">
        <w:rPr>
          <w:rFonts w:cs="Arial"/>
          <w:color w:val="000000"/>
        </w:rPr>
        <w:t xml:space="preserve"> por cada año de servicio, de conformidad con las garantías establecidas por la póliza de Infidelidad y Riesgos Financieros-IRF-</w:t>
      </w:r>
    </w:p>
    <w:p w:rsidR="00684C4D" w:rsidRPr="00684C4D" w:rsidRDefault="00684C4D" w:rsidP="00684C4D">
      <w:pPr>
        <w:pStyle w:val="Prrafodelista"/>
        <w:spacing w:after="200" w:line="276" w:lineRule="auto"/>
        <w:ind w:left="720"/>
        <w:contextualSpacing/>
        <w:rPr>
          <w:rFonts w:cs="Arial"/>
          <w:color w:val="000000"/>
        </w:rPr>
      </w:pPr>
    </w:p>
    <w:p w:rsidR="00DD38FB" w:rsidRDefault="00DD38FB" w:rsidP="003B76DB">
      <w:pPr>
        <w:pStyle w:val="Prrafodelista"/>
        <w:numPr>
          <w:ilvl w:val="0"/>
          <w:numId w:val="20"/>
        </w:numPr>
        <w:spacing w:after="200" w:line="276" w:lineRule="auto"/>
        <w:contextualSpacing/>
        <w:rPr>
          <w:rFonts w:cs="Arial"/>
          <w:color w:val="000000"/>
        </w:rPr>
      </w:pPr>
      <w:r w:rsidRPr="003B76DB">
        <w:rPr>
          <w:rFonts w:cs="Arial"/>
          <w:color w:val="000000"/>
        </w:rPr>
        <w:t>S</w:t>
      </w:r>
      <w:r w:rsidR="00684C4D">
        <w:rPr>
          <w:rFonts w:cs="Arial"/>
          <w:color w:val="000000"/>
        </w:rPr>
        <w:t xml:space="preserve">e </w:t>
      </w:r>
      <w:r w:rsidRPr="003B76DB">
        <w:rPr>
          <w:rFonts w:cs="Arial"/>
          <w:color w:val="000000"/>
        </w:rPr>
        <w:t>podrá acumular has</w:t>
      </w:r>
      <w:r w:rsidR="00684C4D">
        <w:rPr>
          <w:rFonts w:cs="Arial"/>
          <w:color w:val="000000"/>
        </w:rPr>
        <w:t xml:space="preserve">ta dos periodos de vacaciones, </w:t>
      </w:r>
      <w:r w:rsidRPr="003B76DB">
        <w:rPr>
          <w:rFonts w:cs="Arial"/>
          <w:color w:val="000000"/>
        </w:rPr>
        <w:t xml:space="preserve">siempre que la acumulación obedezca a necesidades del servicio. Será responsabilidad del jefe de la dependencia, que los funcionarios no tengan más de dos periodos de vacaciones acumulados, para lo cual podrá programarlas de oficio, acordando con el funcionario entre varias alternativas, la fecha del </w:t>
      </w:r>
      <w:r w:rsidR="00684C4D">
        <w:rPr>
          <w:rFonts w:cs="Arial"/>
          <w:color w:val="000000"/>
        </w:rPr>
        <w:t>disfrute. Si no hay acuerdo el j</w:t>
      </w:r>
      <w:r w:rsidRPr="003B76DB">
        <w:rPr>
          <w:rFonts w:cs="Arial"/>
          <w:color w:val="000000"/>
        </w:rPr>
        <w:t xml:space="preserve">efe fijará la fecha y la comunicará a la Subdirección de Recursos Humanos </w:t>
      </w:r>
    </w:p>
    <w:p w:rsidR="00684C4D" w:rsidRPr="003B76DB" w:rsidRDefault="00684C4D" w:rsidP="00684C4D">
      <w:pPr>
        <w:pStyle w:val="Prrafodelista"/>
        <w:spacing w:after="200" w:line="276" w:lineRule="auto"/>
        <w:ind w:left="720"/>
        <w:contextualSpacing/>
        <w:rPr>
          <w:rFonts w:cs="Arial"/>
          <w:color w:val="000000"/>
        </w:rPr>
      </w:pPr>
    </w:p>
    <w:p w:rsidR="00684C4D" w:rsidRDefault="00DD38FB" w:rsidP="00684C4D">
      <w:pPr>
        <w:pStyle w:val="Prrafodelista"/>
        <w:numPr>
          <w:ilvl w:val="0"/>
          <w:numId w:val="20"/>
        </w:numPr>
        <w:spacing w:line="276" w:lineRule="auto"/>
        <w:contextualSpacing/>
        <w:rPr>
          <w:rFonts w:cs="Arial"/>
          <w:color w:val="000000"/>
        </w:rPr>
      </w:pPr>
      <w:r w:rsidRPr="003B76DB">
        <w:rPr>
          <w:rFonts w:cs="Arial"/>
          <w:color w:val="000000"/>
        </w:rPr>
        <w:t>Por cada periodo acumulado, el tiempo mínimo de disfrute de vacacion</w:t>
      </w:r>
      <w:r w:rsidR="00684C4D">
        <w:rPr>
          <w:rFonts w:cs="Arial"/>
          <w:color w:val="000000"/>
        </w:rPr>
        <w:t>es es de diez (10) días hábiles</w:t>
      </w:r>
    </w:p>
    <w:p w:rsidR="00684C4D" w:rsidRPr="00684C4D" w:rsidRDefault="00684C4D" w:rsidP="00684C4D">
      <w:pPr>
        <w:spacing w:line="276" w:lineRule="auto"/>
        <w:contextualSpacing/>
        <w:rPr>
          <w:rFonts w:cs="Arial"/>
          <w:color w:val="000000"/>
        </w:rPr>
      </w:pP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 xml:space="preserve">La interrupción o el aplazamiento de vacaciones debe contar con el visto bueno de la </w:t>
      </w:r>
      <w:r w:rsidR="00684C4D">
        <w:rPr>
          <w:rFonts w:cs="Arial"/>
          <w:color w:val="000000"/>
        </w:rPr>
        <w:t>DGCPTN</w:t>
      </w:r>
      <w:r w:rsidRPr="003B76DB">
        <w:rPr>
          <w:rFonts w:cs="Arial"/>
          <w:color w:val="000000"/>
        </w:rPr>
        <w:t>, motivando las razon</w:t>
      </w:r>
      <w:r w:rsidR="00684C4D">
        <w:rPr>
          <w:rFonts w:cs="Arial"/>
          <w:color w:val="000000"/>
        </w:rPr>
        <w:t>es que justifican tal situación</w:t>
      </w:r>
    </w:p>
    <w:p w:rsidR="00684C4D" w:rsidRPr="00684C4D" w:rsidRDefault="00684C4D" w:rsidP="00684C4D">
      <w:pPr>
        <w:spacing w:line="276" w:lineRule="auto"/>
        <w:contextualSpacing/>
        <w:rPr>
          <w:rFonts w:cs="Arial"/>
          <w:color w:val="000000"/>
        </w:rPr>
      </w:pPr>
    </w:p>
    <w:p w:rsidR="00DD38FB" w:rsidRDefault="00DD38FB" w:rsidP="001E2170">
      <w:pPr>
        <w:pStyle w:val="Prrafodelista"/>
        <w:numPr>
          <w:ilvl w:val="0"/>
          <w:numId w:val="20"/>
        </w:numPr>
        <w:spacing w:line="276" w:lineRule="auto"/>
        <w:contextualSpacing/>
        <w:rPr>
          <w:rFonts w:cs="Arial"/>
          <w:color w:val="000000"/>
        </w:rPr>
      </w:pPr>
      <w:r w:rsidRPr="00684C4D">
        <w:rPr>
          <w:rFonts w:cs="Arial"/>
          <w:color w:val="000000"/>
        </w:rPr>
        <w:t>Queda prohibido el acceso a las instalaciones de la DGCPTN mientras los funcionarios se encuentren en alguna situación administrativa: vacaciones, incapa</w:t>
      </w:r>
      <w:r w:rsidR="00684C4D" w:rsidRPr="00684C4D">
        <w:rPr>
          <w:rFonts w:cs="Arial"/>
          <w:color w:val="000000"/>
        </w:rPr>
        <w:t>cidades, licencias y/o permisos.</w:t>
      </w:r>
      <w:r w:rsidR="00684C4D">
        <w:rPr>
          <w:rFonts w:cs="Arial"/>
          <w:color w:val="000000"/>
        </w:rPr>
        <w:t xml:space="preserve"> En caso de requerir el </w:t>
      </w:r>
      <w:r w:rsidRPr="00684C4D">
        <w:rPr>
          <w:rFonts w:cs="Arial"/>
          <w:color w:val="000000"/>
        </w:rPr>
        <w:t xml:space="preserve">ingreso, atendiendo a las necesidades del servicio, el mismo, debe ser autorizado por </w:t>
      </w:r>
      <w:r w:rsidR="00684C4D">
        <w:rPr>
          <w:rFonts w:cs="Arial"/>
          <w:color w:val="000000"/>
        </w:rPr>
        <w:t>Director General de Crédito Público y Tesoro Nacional</w:t>
      </w:r>
      <w:r w:rsidRPr="00684C4D">
        <w:rPr>
          <w:rFonts w:cs="Arial"/>
          <w:color w:val="000000"/>
        </w:rPr>
        <w:t xml:space="preserve"> y, en éstos evento</w:t>
      </w:r>
      <w:r w:rsidR="00684C4D">
        <w:rPr>
          <w:rFonts w:cs="Arial"/>
          <w:color w:val="000000"/>
        </w:rPr>
        <w:t>s, se solicitará por parte del j</w:t>
      </w:r>
      <w:r w:rsidRPr="00684C4D">
        <w:rPr>
          <w:rFonts w:cs="Arial"/>
          <w:color w:val="000000"/>
        </w:rPr>
        <w:t>efe Inmediato a la Subdirección de Recursos Humanos la expedición del respectivo acto administrativo que autorice el ingres</w:t>
      </w:r>
      <w:r w:rsidR="00684C4D">
        <w:rPr>
          <w:rFonts w:cs="Arial"/>
          <w:color w:val="000000"/>
        </w:rPr>
        <w:t>o con copia al a</w:t>
      </w:r>
      <w:r w:rsidRPr="00684C4D">
        <w:rPr>
          <w:rFonts w:cs="Arial"/>
          <w:color w:val="000000"/>
        </w:rPr>
        <w:t>dministrador de usuarios de la DGCPTN. (Se exceptúa la situación</w:t>
      </w:r>
      <w:r w:rsidR="00684C4D">
        <w:rPr>
          <w:rFonts w:cs="Arial"/>
          <w:color w:val="000000"/>
        </w:rPr>
        <w:t xml:space="preserve"> administrativa de incapacidad)</w:t>
      </w:r>
    </w:p>
    <w:p w:rsidR="00684C4D" w:rsidRPr="00684C4D" w:rsidRDefault="00684C4D" w:rsidP="00684C4D">
      <w:pPr>
        <w:spacing w:line="276" w:lineRule="auto"/>
        <w:contextualSpacing/>
        <w:rPr>
          <w:rFonts w:cs="Arial"/>
          <w:color w:val="000000"/>
        </w:rPr>
      </w:pPr>
    </w:p>
    <w:p w:rsidR="00684C4D" w:rsidRDefault="00DD38FB" w:rsidP="00684C4D">
      <w:pPr>
        <w:pStyle w:val="Prrafodelista"/>
        <w:numPr>
          <w:ilvl w:val="0"/>
          <w:numId w:val="20"/>
        </w:numPr>
        <w:spacing w:line="276" w:lineRule="auto"/>
        <w:contextualSpacing/>
        <w:rPr>
          <w:rFonts w:cs="Arial"/>
          <w:color w:val="000000"/>
        </w:rPr>
      </w:pPr>
      <w:r w:rsidRPr="003B76DB">
        <w:rPr>
          <w:rFonts w:cs="Arial"/>
          <w:color w:val="000000"/>
        </w:rPr>
        <w:t xml:space="preserve">Los funcionarios, contratistas y pasantes adscritos a la </w:t>
      </w:r>
      <w:r w:rsidR="00684C4D">
        <w:rPr>
          <w:rFonts w:cs="Arial"/>
          <w:color w:val="000000"/>
        </w:rPr>
        <w:t>DGCPTN</w:t>
      </w:r>
      <w:r w:rsidRPr="003B76DB">
        <w:rPr>
          <w:rFonts w:cs="Arial"/>
          <w:color w:val="000000"/>
        </w:rPr>
        <w:t>, son las únicas personas autorizadas para ingresar a las instalaciones de la DGCPTN, las demás personas que para el cumplimiento de sus funciones requieran ingresar de manera permanente por un tiempo determinado, deberán gestionar el permiso de acceso con el jefe del área donde van a desarrollar sus funciones y tramitar el acceso a través del administrador de usuarios de la DGCPT</w:t>
      </w:r>
      <w:r w:rsidR="00684C4D">
        <w:rPr>
          <w:rFonts w:cs="Arial"/>
          <w:color w:val="000000"/>
        </w:rPr>
        <w:t>N, con la debida justificación</w:t>
      </w:r>
    </w:p>
    <w:p w:rsidR="00684C4D" w:rsidRPr="00684C4D" w:rsidRDefault="00684C4D" w:rsidP="00684C4D">
      <w:pPr>
        <w:spacing w:line="276" w:lineRule="auto"/>
        <w:contextualSpacing/>
        <w:rPr>
          <w:rFonts w:cs="Arial"/>
          <w:color w:val="000000"/>
        </w:rPr>
      </w:pP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 xml:space="preserve">Los proveedores, visitantes, contratistas, así como el personal externo al MHCP que requieran ingresar a la DGCPTN, deberán anunciarse en la recepción de la misma, y requerirán autorización del jefe del </w:t>
      </w:r>
      <w:r w:rsidR="00684C4D">
        <w:rPr>
          <w:rFonts w:cs="Arial"/>
          <w:color w:val="000000"/>
        </w:rPr>
        <w:t>área del funcionario que visita</w:t>
      </w:r>
    </w:p>
    <w:p w:rsidR="00B96F5A" w:rsidRPr="00B96F5A" w:rsidRDefault="00B96F5A" w:rsidP="00B96F5A">
      <w:pPr>
        <w:spacing w:line="276" w:lineRule="auto"/>
        <w:contextualSpacing/>
        <w:rPr>
          <w:rFonts w:cs="Arial"/>
          <w:color w:val="000000"/>
        </w:rPr>
      </w:pPr>
    </w:p>
    <w:p w:rsidR="00DD38FB" w:rsidRPr="003B76DB" w:rsidRDefault="00DD38FB" w:rsidP="00684C4D">
      <w:pPr>
        <w:pStyle w:val="Prrafodelista"/>
        <w:numPr>
          <w:ilvl w:val="0"/>
          <w:numId w:val="20"/>
        </w:numPr>
        <w:spacing w:line="276" w:lineRule="auto"/>
        <w:contextualSpacing/>
        <w:rPr>
          <w:rFonts w:cs="Arial"/>
          <w:color w:val="000000"/>
        </w:rPr>
      </w:pPr>
      <w:r w:rsidRPr="003B76DB">
        <w:rPr>
          <w:rFonts w:cs="Arial"/>
          <w:color w:val="000000"/>
        </w:rPr>
        <w:t>Los visitantes deben entrar acompañados con la(s</w:t>
      </w:r>
      <w:r w:rsidR="00B96F5A">
        <w:rPr>
          <w:rFonts w:cs="Arial"/>
          <w:color w:val="000000"/>
        </w:rPr>
        <w:t>) persona(s) de la Dirección, la(</w:t>
      </w:r>
      <w:r w:rsidRPr="003B76DB">
        <w:rPr>
          <w:rFonts w:cs="Arial"/>
          <w:color w:val="000000"/>
        </w:rPr>
        <w:t>s) cual(es) será(n)</w:t>
      </w:r>
      <w:r w:rsidR="00B96F5A">
        <w:rPr>
          <w:rFonts w:cs="Arial"/>
          <w:color w:val="000000"/>
        </w:rPr>
        <w:t xml:space="preserve"> la(</w:t>
      </w:r>
      <w:r w:rsidRPr="003B76DB">
        <w:rPr>
          <w:rFonts w:cs="Arial"/>
          <w:color w:val="000000"/>
        </w:rPr>
        <w:t>s) respons</w:t>
      </w:r>
      <w:r w:rsidR="00B96F5A">
        <w:rPr>
          <w:rFonts w:cs="Arial"/>
          <w:color w:val="000000"/>
        </w:rPr>
        <w:t>able(s) de las actividades que e</w:t>
      </w:r>
      <w:r w:rsidRPr="003B76DB">
        <w:rPr>
          <w:rFonts w:cs="Arial"/>
          <w:color w:val="000000"/>
        </w:rPr>
        <w:t>sto</w:t>
      </w:r>
      <w:r w:rsidR="00B96F5A">
        <w:rPr>
          <w:rFonts w:cs="Arial"/>
          <w:color w:val="000000"/>
        </w:rPr>
        <w:t>s realicen en las instalaciones</w:t>
      </w: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 xml:space="preserve">Se prohíbe el acceso a personal no autorizado a las instalaciones de la </w:t>
      </w:r>
      <w:r w:rsidR="00B96F5A">
        <w:rPr>
          <w:rFonts w:cs="Arial"/>
          <w:color w:val="000000"/>
        </w:rPr>
        <w:t>DGCPTN</w:t>
      </w:r>
      <w:r w:rsidRPr="003B76DB">
        <w:rPr>
          <w:rFonts w:cs="Arial"/>
          <w:color w:val="000000"/>
        </w:rPr>
        <w:t xml:space="preserve"> (funcionarios, vendedores o personal externo</w:t>
      </w:r>
      <w:r w:rsidR="00B96F5A">
        <w:rPr>
          <w:rFonts w:cs="Arial"/>
          <w:color w:val="000000"/>
        </w:rPr>
        <w:t xml:space="preserve"> no autorizado)</w:t>
      </w:r>
    </w:p>
    <w:p w:rsidR="00B96F5A" w:rsidRPr="00B96F5A" w:rsidRDefault="00B96F5A" w:rsidP="00B96F5A">
      <w:pPr>
        <w:spacing w:line="276" w:lineRule="auto"/>
        <w:contextualSpacing/>
        <w:rPr>
          <w:rFonts w:cs="Arial"/>
          <w:color w:val="000000"/>
        </w:rPr>
      </w:pP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Todos los funcionarios deben tramitar ante el administrador de usuarios de la DGCPTN, la desactivación y activación de las tarjetas de ingresos por concepto de ingresos, retiros, traslados, vacaciones, incapacidades, licencias y/o permisos</w:t>
      </w:r>
    </w:p>
    <w:p w:rsidR="00B96F5A" w:rsidRPr="00B96F5A" w:rsidRDefault="00B96F5A" w:rsidP="00B96F5A">
      <w:pPr>
        <w:spacing w:line="276" w:lineRule="auto"/>
        <w:contextualSpacing/>
        <w:rPr>
          <w:rFonts w:cs="Arial"/>
          <w:color w:val="000000"/>
        </w:rPr>
      </w:pP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Queda prohibido el préstamo de las tarjetas de aproximación, para el desplazamiento e</w:t>
      </w:r>
      <w:r w:rsidR="00B96F5A">
        <w:rPr>
          <w:rFonts w:cs="Arial"/>
          <w:color w:val="000000"/>
        </w:rPr>
        <w:t>n las dependencias de la DGCPTN</w:t>
      </w:r>
    </w:p>
    <w:p w:rsidR="00B96F5A" w:rsidRPr="00B96F5A" w:rsidRDefault="00B96F5A" w:rsidP="00B96F5A">
      <w:pPr>
        <w:spacing w:line="276" w:lineRule="auto"/>
        <w:contextualSpacing/>
        <w:rPr>
          <w:rFonts w:cs="Arial"/>
          <w:color w:val="000000"/>
        </w:rPr>
      </w:pP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Todos los funcionarios deben tramitar ante el administrador de usuarios de los sistemas de información de la DGCPTN la respectiva habilitación, modificación y deshabilitación para los ingresos, retiros, traslados, vacaciones, incapacidades, licencias y/o permisos, siguiendo el procedimiento establecido en los formatos diseñados para cada uno de los sistemas de información, registrando el</w:t>
      </w:r>
      <w:r w:rsidR="00B96F5A">
        <w:rPr>
          <w:rFonts w:cs="Arial"/>
          <w:color w:val="000000"/>
        </w:rPr>
        <w:t xml:space="preserve"> tipo de la novedad</w:t>
      </w:r>
    </w:p>
    <w:p w:rsidR="00B96F5A" w:rsidRPr="00B96F5A" w:rsidRDefault="00B96F5A" w:rsidP="00B96F5A">
      <w:pPr>
        <w:spacing w:line="276" w:lineRule="auto"/>
        <w:contextualSpacing/>
        <w:rPr>
          <w:rFonts w:cs="Arial"/>
          <w:color w:val="000000"/>
        </w:rPr>
      </w:pP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Las contraseñas tendrán una vigencia máxima de un año, contado a partir de la fecha de la solicitud, para tal efecto, el usuario efectuará el respectivo cambio antes del vencimiento del término, de acuerdo con los formatos establecidos</w:t>
      </w:r>
    </w:p>
    <w:p w:rsidR="00B96F5A" w:rsidRPr="00B96F5A" w:rsidRDefault="00B96F5A" w:rsidP="00B96F5A">
      <w:pPr>
        <w:spacing w:line="276" w:lineRule="auto"/>
        <w:contextualSpacing/>
        <w:rPr>
          <w:rFonts w:cs="Arial"/>
          <w:color w:val="000000"/>
        </w:rPr>
      </w:pPr>
    </w:p>
    <w:p w:rsidR="00B96F5A" w:rsidRPr="00B96F5A" w:rsidRDefault="00DD38FB" w:rsidP="00B96F5A">
      <w:pPr>
        <w:pStyle w:val="Prrafodelista"/>
        <w:numPr>
          <w:ilvl w:val="0"/>
          <w:numId w:val="20"/>
        </w:numPr>
        <w:spacing w:line="276" w:lineRule="auto"/>
        <w:contextualSpacing/>
        <w:rPr>
          <w:rFonts w:cs="Arial"/>
          <w:color w:val="000000"/>
        </w:rPr>
      </w:pPr>
      <w:r w:rsidRPr="003B76DB">
        <w:rPr>
          <w:rFonts w:cs="Arial"/>
          <w:color w:val="000000"/>
        </w:rPr>
        <w:t>El manejo de las contraseñas es de naturaleza privada y exclusiva del funcionario autorizado. No podrá ser divulgada, compartida, ni cedida, sin importar la jerarquí</w:t>
      </w:r>
      <w:r w:rsidR="00B96F5A">
        <w:rPr>
          <w:rFonts w:cs="Arial"/>
          <w:color w:val="000000"/>
        </w:rPr>
        <w:t>a de la persona que la solicite</w:t>
      </w:r>
    </w:p>
    <w:p w:rsidR="00B96F5A" w:rsidRPr="00B96F5A" w:rsidRDefault="00B96F5A" w:rsidP="00B96F5A">
      <w:pPr>
        <w:spacing w:line="276" w:lineRule="auto"/>
        <w:contextualSpacing/>
        <w:rPr>
          <w:rFonts w:cs="Arial"/>
          <w:color w:val="000000"/>
        </w:rPr>
      </w:pP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Todo acceso y perfil requerido para un funcionario de la DGCPTN, deberá corresponder con las funciones y labores qu</w:t>
      </w:r>
      <w:r w:rsidR="00B96F5A">
        <w:rPr>
          <w:rFonts w:cs="Arial"/>
          <w:color w:val="000000"/>
        </w:rPr>
        <w:t>e esté desarrollando el usuario</w:t>
      </w:r>
    </w:p>
    <w:p w:rsidR="00B96F5A" w:rsidRPr="00B96F5A" w:rsidRDefault="00B96F5A" w:rsidP="00B96F5A">
      <w:pPr>
        <w:spacing w:line="276" w:lineRule="auto"/>
        <w:contextualSpacing/>
        <w:rPr>
          <w:rFonts w:cs="Arial"/>
          <w:color w:val="000000"/>
        </w:rPr>
      </w:pPr>
    </w:p>
    <w:p w:rsidR="00B96F5A" w:rsidRDefault="00DD38FB" w:rsidP="00B96F5A">
      <w:pPr>
        <w:pStyle w:val="Prrafodelista"/>
        <w:numPr>
          <w:ilvl w:val="0"/>
          <w:numId w:val="20"/>
        </w:numPr>
        <w:spacing w:line="276" w:lineRule="auto"/>
        <w:contextualSpacing/>
        <w:rPr>
          <w:rFonts w:cs="Arial"/>
          <w:color w:val="000000"/>
        </w:rPr>
      </w:pPr>
      <w:r w:rsidRPr="003B76DB">
        <w:rPr>
          <w:rFonts w:cs="Arial"/>
          <w:color w:val="000000"/>
        </w:rPr>
        <w:t xml:space="preserve">Todo acceso y perfil definido por un área de la DGCPTN deberá contemplar un usuario principal (quien realiza diariamente la actividad) y dos </w:t>
      </w:r>
      <w:r w:rsidRPr="00B96F5A">
        <w:rPr>
          <w:rFonts w:cs="Arial"/>
          <w:i/>
          <w:color w:val="000000"/>
        </w:rPr>
        <w:t>backup</w:t>
      </w:r>
      <w:r w:rsidRPr="003B76DB">
        <w:rPr>
          <w:rFonts w:cs="Arial"/>
          <w:color w:val="000000"/>
        </w:rPr>
        <w:t xml:space="preserve"> en caso que el usuario principal NO pueda realizar la labor, a quien se realizará previamen</w:t>
      </w:r>
      <w:r w:rsidR="00B96F5A">
        <w:rPr>
          <w:rFonts w:cs="Arial"/>
          <w:color w:val="000000"/>
        </w:rPr>
        <w:t>te la inducción correspondiente</w:t>
      </w:r>
    </w:p>
    <w:p w:rsidR="00B96F5A" w:rsidRPr="00B96F5A" w:rsidRDefault="00B96F5A" w:rsidP="00B96F5A">
      <w:pPr>
        <w:spacing w:line="276" w:lineRule="auto"/>
        <w:contextualSpacing/>
        <w:rPr>
          <w:rFonts w:cs="Arial"/>
          <w:color w:val="000000"/>
        </w:rPr>
      </w:pP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Las contraseñas deben ser memorizadas, sin dejar evidencia escrita de las mismas por cuanto la responsabilidad de su utilización indebida o no, recaerá en el funcionario titular, quien responderá legal y discip</w:t>
      </w:r>
      <w:r w:rsidR="00B96F5A">
        <w:rPr>
          <w:rFonts w:cs="Arial"/>
          <w:color w:val="000000"/>
        </w:rPr>
        <w:t>linariamente por su utilización</w:t>
      </w:r>
    </w:p>
    <w:p w:rsidR="00B96F5A" w:rsidRPr="00B96F5A" w:rsidRDefault="00B96F5A" w:rsidP="00B96F5A">
      <w:pPr>
        <w:spacing w:line="276" w:lineRule="auto"/>
        <w:contextualSpacing/>
        <w:rPr>
          <w:rFonts w:cs="Arial"/>
          <w:color w:val="000000"/>
        </w:rPr>
      </w:pPr>
    </w:p>
    <w:p w:rsidR="00DD38FB" w:rsidRPr="003B76DB" w:rsidRDefault="00DD38FB" w:rsidP="00684C4D">
      <w:pPr>
        <w:pStyle w:val="Prrafodelista"/>
        <w:numPr>
          <w:ilvl w:val="0"/>
          <w:numId w:val="20"/>
        </w:numPr>
        <w:spacing w:line="276" w:lineRule="auto"/>
        <w:contextualSpacing/>
        <w:rPr>
          <w:rFonts w:cs="Arial"/>
          <w:color w:val="000000"/>
        </w:rPr>
      </w:pPr>
      <w:r w:rsidRPr="003B76DB">
        <w:rPr>
          <w:rFonts w:cs="Arial"/>
          <w:color w:val="000000"/>
        </w:rPr>
        <w:t>Toda novedad de habilitación, deshabilitación y/o modificación del perfil de un usuario a un aplicativo, deberá solicitarse por el área usuaria al administrador de usuarios de la DGCP</w:t>
      </w:r>
      <w:r w:rsidR="00B96F5A">
        <w:rPr>
          <w:rFonts w:cs="Arial"/>
          <w:color w:val="000000"/>
        </w:rPr>
        <w:t>TN indicando el tipo de novedad</w:t>
      </w:r>
    </w:p>
    <w:p w:rsidR="00B96F5A" w:rsidRDefault="00DD38FB" w:rsidP="00B96F5A">
      <w:pPr>
        <w:pStyle w:val="Prrafodelista"/>
        <w:numPr>
          <w:ilvl w:val="0"/>
          <w:numId w:val="20"/>
        </w:numPr>
        <w:spacing w:line="276" w:lineRule="auto"/>
        <w:contextualSpacing/>
        <w:rPr>
          <w:rFonts w:cs="Arial"/>
          <w:color w:val="000000"/>
        </w:rPr>
      </w:pPr>
      <w:r w:rsidRPr="003B76DB">
        <w:rPr>
          <w:rFonts w:cs="Arial"/>
          <w:color w:val="000000"/>
        </w:rPr>
        <w:t xml:space="preserve">Cada novedad debe ser aprobada por el Jefe Inmediato, con visto bueno del </w:t>
      </w:r>
      <w:r w:rsidR="00B96F5A">
        <w:rPr>
          <w:rFonts w:cs="Arial"/>
          <w:color w:val="000000"/>
        </w:rPr>
        <w:t>s</w:t>
      </w:r>
      <w:r w:rsidRPr="003B76DB">
        <w:rPr>
          <w:rFonts w:cs="Arial"/>
          <w:color w:val="000000"/>
        </w:rPr>
        <w:t xml:space="preserve">ubdirector correspondiente. Para los </w:t>
      </w:r>
      <w:r w:rsidR="00B96F5A">
        <w:rPr>
          <w:rFonts w:cs="Arial"/>
          <w:color w:val="000000"/>
        </w:rPr>
        <w:t>subdirectores y/o coordinadores que dependan del d</w:t>
      </w:r>
      <w:r w:rsidRPr="003B76DB">
        <w:rPr>
          <w:rFonts w:cs="Arial"/>
          <w:color w:val="000000"/>
        </w:rPr>
        <w:t xml:space="preserve">espacho de la </w:t>
      </w:r>
      <w:r w:rsidRPr="003B76DB">
        <w:rPr>
          <w:rFonts w:cs="Arial"/>
          <w:color w:val="000000"/>
        </w:rPr>
        <w:lastRenderedPageBreak/>
        <w:t>Dirección, dicha novedad debe ser aprobada por el Director</w:t>
      </w:r>
      <w:r w:rsidR="009706D8">
        <w:rPr>
          <w:rFonts w:cs="Arial"/>
          <w:color w:val="000000"/>
        </w:rPr>
        <w:t xml:space="preserve"> </w:t>
      </w:r>
      <w:r w:rsidRPr="003B76DB">
        <w:rPr>
          <w:rFonts w:cs="Arial"/>
          <w:color w:val="000000"/>
        </w:rPr>
        <w:t>General de Cr</w:t>
      </w:r>
      <w:r w:rsidR="00B96F5A">
        <w:rPr>
          <w:rFonts w:cs="Arial"/>
          <w:color w:val="000000"/>
        </w:rPr>
        <w:t>édito Público y Tesoro Nacional</w:t>
      </w:r>
    </w:p>
    <w:p w:rsidR="00B96F5A" w:rsidRPr="00B96F5A" w:rsidRDefault="00B96F5A" w:rsidP="00B96F5A">
      <w:pPr>
        <w:spacing w:line="276" w:lineRule="auto"/>
        <w:ind w:left="360"/>
        <w:contextualSpacing/>
        <w:rPr>
          <w:rFonts w:cs="Arial"/>
          <w:color w:val="000000"/>
        </w:rPr>
      </w:pPr>
    </w:p>
    <w:p w:rsidR="00DD38FB" w:rsidRDefault="00DD38FB" w:rsidP="00684C4D">
      <w:pPr>
        <w:pStyle w:val="Prrafodelista"/>
        <w:numPr>
          <w:ilvl w:val="0"/>
          <w:numId w:val="20"/>
        </w:numPr>
        <w:spacing w:line="276" w:lineRule="auto"/>
        <w:contextualSpacing/>
        <w:rPr>
          <w:rFonts w:cs="Arial"/>
          <w:color w:val="000000"/>
        </w:rPr>
      </w:pPr>
      <w:r w:rsidRPr="003B76DB">
        <w:rPr>
          <w:rFonts w:cs="Arial"/>
          <w:color w:val="000000"/>
        </w:rPr>
        <w:t xml:space="preserve">Todos los funcionarios deben preparar un instructivo que contenga de forma clara las actividades que desarrolla en cumplimiento de sus funciones, y deberá capacitar a los funcionarios que servirán como </w:t>
      </w:r>
      <w:r w:rsidRPr="00B96F5A">
        <w:rPr>
          <w:rFonts w:cs="Arial"/>
          <w:i/>
          <w:color w:val="000000"/>
        </w:rPr>
        <w:t>backup</w:t>
      </w:r>
      <w:r w:rsidRPr="003B76DB">
        <w:rPr>
          <w:rFonts w:cs="Arial"/>
          <w:color w:val="000000"/>
        </w:rPr>
        <w:t xml:space="preserve"> de sus funciones, antes del inicio de cada situación administrativa, salida de vacaciones y por</w:t>
      </w:r>
      <w:r w:rsidR="00B96F5A">
        <w:rPr>
          <w:rFonts w:cs="Arial"/>
          <w:color w:val="000000"/>
        </w:rPr>
        <w:t xml:space="preserve"> lo menos una vez cada semestre</w:t>
      </w:r>
    </w:p>
    <w:p w:rsidR="00B96F5A" w:rsidRPr="00B96F5A" w:rsidRDefault="00B96F5A" w:rsidP="00B96F5A">
      <w:pPr>
        <w:spacing w:line="276" w:lineRule="auto"/>
        <w:contextualSpacing/>
        <w:rPr>
          <w:rFonts w:cs="Arial"/>
          <w:color w:val="000000"/>
        </w:rPr>
      </w:pPr>
    </w:p>
    <w:p w:rsidR="00DD38FB" w:rsidRPr="003B76DB" w:rsidRDefault="00DD38FB" w:rsidP="00684C4D">
      <w:pPr>
        <w:pStyle w:val="Prrafodelista"/>
        <w:numPr>
          <w:ilvl w:val="0"/>
          <w:numId w:val="20"/>
        </w:numPr>
        <w:spacing w:line="276" w:lineRule="auto"/>
        <w:contextualSpacing/>
        <w:rPr>
          <w:rFonts w:cs="Arial"/>
          <w:color w:val="000000"/>
        </w:rPr>
      </w:pPr>
      <w:r w:rsidRPr="003B76DB">
        <w:rPr>
          <w:rFonts w:cs="Arial"/>
          <w:color w:val="000000"/>
        </w:rPr>
        <w:t xml:space="preserve">Todos los funcionarios deben tener definido dos </w:t>
      </w:r>
      <w:r w:rsidRPr="00B96F5A">
        <w:rPr>
          <w:rFonts w:cs="Arial"/>
          <w:i/>
          <w:color w:val="000000"/>
        </w:rPr>
        <w:t>backup</w:t>
      </w:r>
      <w:r w:rsidRPr="003B76DB">
        <w:rPr>
          <w:rFonts w:cs="Arial"/>
          <w:color w:val="000000"/>
        </w:rPr>
        <w:t xml:space="preserve"> y servir de </w:t>
      </w:r>
      <w:r w:rsidRPr="00B96F5A">
        <w:rPr>
          <w:rFonts w:cs="Arial"/>
          <w:i/>
          <w:color w:val="000000"/>
        </w:rPr>
        <w:t>backup</w:t>
      </w:r>
      <w:r w:rsidRPr="003B76DB">
        <w:rPr>
          <w:rFonts w:cs="Arial"/>
          <w:color w:val="000000"/>
        </w:rPr>
        <w:t xml:space="preserve"> de acuerdo a las funciones que realizan, las funciones de respaldo, no pueden generar un posible conflicto de interés, </w:t>
      </w:r>
      <w:r w:rsidR="00B96F5A">
        <w:rPr>
          <w:rFonts w:cs="Arial"/>
          <w:color w:val="000000"/>
        </w:rPr>
        <w:t>o</w:t>
      </w:r>
      <w:r w:rsidRPr="003B76DB">
        <w:rPr>
          <w:rFonts w:cs="Arial"/>
          <w:color w:val="000000"/>
        </w:rPr>
        <w:t xml:space="preserve"> ningún tipo de concentración de funciones</w:t>
      </w:r>
      <w:r w:rsidR="00B96F5A">
        <w:rPr>
          <w:rFonts w:cs="Arial"/>
          <w:color w:val="000000"/>
        </w:rPr>
        <w:t>.</w:t>
      </w:r>
    </w:p>
    <w:p w:rsidR="00DD38FB" w:rsidRPr="003B76DB" w:rsidRDefault="00DD38FB" w:rsidP="003B76DB">
      <w:pPr>
        <w:pStyle w:val="Prrafodelista"/>
        <w:spacing w:line="276" w:lineRule="auto"/>
        <w:rPr>
          <w:rFonts w:cs="Arial"/>
          <w:color w:val="000000"/>
        </w:rPr>
      </w:pPr>
    </w:p>
    <w:p w:rsidR="00DD38FB" w:rsidRPr="003B76DB" w:rsidRDefault="00DD38FB" w:rsidP="00A000CF">
      <w:pPr>
        <w:pStyle w:val="Ttulo3"/>
        <w:numPr>
          <w:ilvl w:val="1"/>
          <w:numId w:val="23"/>
        </w:numPr>
      </w:pPr>
      <w:bookmarkStart w:id="42" w:name="_Toc507771252"/>
      <w:bookmarkStart w:id="43" w:name="_Toc4590629"/>
      <w:r w:rsidRPr="003B76DB">
        <w:t>Política de Seguridad de la Información</w:t>
      </w:r>
      <w:bookmarkEnd w:id="42"/>
      <w:bookmarkEnd w:id="43"/>
    </w:p>
    <w:p w:rsidR="00DD38FB" w:rsidRPr="003B76DB" w:rsidRDefault="00DD38FB" w:rsidP="003B76DB">
      <w:pPr>
        <w:spacing w:line="276" w:lineRule="auto"/>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 xml:space="preserve">La Política de Seguridad de la Información al interior del Ministerio requiere que todos los sistemas de la entidad sean formalmente evaluados con relación a los requerimientos de </w:t>
      </w:r>
      <w:r w:rsidRPr="003B76DB">
        <w:rPr>
          <w:rFonts w:cs="Arial"/>
          <w:i/>
          <w:color w:val="000000"/>
        </w:rPr>
        <w:t>integridad, confidencialidad, disponibilidad y continuidad</w:t>
      </w:r>
      <w:r w:rsidRPr="003B76DB">
        <w:rPr>
          <w:rFonts w:cs="Arial"/>
          <w:color w:val="000000"/>
        </w:rPr>
        <w:t>. Deben establecerse arreglos de continuidad acorde con el nivel de riesgo inherente en cada siste</w:t>
      </w:r>
      <w:r w:rsidR="00D217F9">
        <w:rPr>
          <w:rFonts w:cs="Arial"/>
          <w:color w:val="000000"/>
        </w:rPr>
        <w:t>ma. Es responsabilidad de cada s</w:t>
      </w:r>
      <w:r w:rsidRPr="003B76DB">
        <w:rPr>
          <w:rFonts w:cs="Arial"/>
          <w:color w:val="000000"/>
        </w:rPr>
        <w:t>ubdirector de área velar por la correcta implementación de medidas de seguridad de la información d</w:t>
      </w:r>
      <w:r w:rsidR="00D217F9">
        <w:rPr>
          <w:rFonts w:cs="Arial"/>
          <w:color w:val="000000"/>
        </w:rPr>
        <w:t>entro de sus respectivas áreas</w:t>
      </w:r>
    </w:p>
    <w:p w:rsidR="00D217F9" w:rsidRPr="00D217F9" w:rsidRDefault="00D217F9" w:rsidP="00D217F9">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La confidencialidad de la información del Ministerio de Hacienda y de los clientes o contrapartes (incluyendo información confidencial interna) es protegida a través de una combinación de códigos, políticas y medios físicos, organizacionales y tecnológicos, tales como candados, contraseñas, controles de acceso y encriptación d</w:t>
      </w:r>
      <w:r w:rsidR="00D217F9">
        <w:rPr>
          <w:rFonts w:cs="Arial"/>
          <w:color w:val="000000"/>
        </w:rPr>
        <w:t>e archivos</w:t>
      </w:r>
    </w:p>
    <w:p w:rsidR="00D217F9" w:rsidRPr="00D217F9" w:rsidRDefault="00D217F9" w:rsidP="00D217F9">
      <w:pPr>
        <w:spacing w:line="276" w:lineRule="auto"/>
        <w:contextualSpacing/>
        <w:rPr>
          <w:rFonts w:cs="Arial"/>
          <w:color w:val="000000"/>
        </w:rPr>
      </w:pPr>
    </w:p>
    <w:p w:rsidR="00D217F9" w:rsidRDefault="00DD38FB" w:rsidP="00D217F9">
      <w:pPr>
        <w:pStyle w:val="Prrafodelista"/>
        <w:numPr>
          <w:ilvl w:val="0"/>
          <w:numId w:val="17"/>
        </w:numPr>
        <w:spacing w:line="276" w:lineRule="auto"/>
        <w:contextualSpacing/>
        <w:rPr>
          <w:rFonts w:cs="Arial"/>
          <w:color w:val="000000"/>
        </w:rPr>
      </w:pPr>
      <w:r w:rsidRPr="003B76DB">
        <w:rPr>
          <w:rFonts w:cs="Arial"/>
          <w:color w:val="000000"/>
        </w:rPr>
        <w:t>Dar estricto cumplimiento al trámite de habilitación, modificación y des habilitación de los usuarios a los diferentes aplicativos, para lo cual deben tramitar ante los correspondientes Administradores la respectiva habilitación, modificación y des habilitación por concepto de ingresos, retiros, traslados, vacaciones, incapacidades, licencias y/o permisos, siguiendo el procedimiento establecido en los formatos diseñados para cada uno de los Sistemas re</w:t>
      </w:r>
      <w:r w:rsidR="00D217F9">
        <w:rPr>
          <w:rFonts w:cs="Arial"/>
          <w:color w:val="000000"/>
        </w:rPr>
        <w:t>gistrando el tipo de la novedad</w:t>
      </w:r>
    </w:p>
    <w:p w:rsidR="00D217F9" w:rsidRPr="00D217F9" w:rsidRDefault="00D217F9" w:rsidP="00D217F9">
      <w:pPr>
        <w:pStyle w:val="Prrafodelista"/>
        <w:rPr>
          <w:rFonts w:cs="Arial"/>
          <w:color w:val="000000"/>
        </w:rPr>
      </w:pPr>
    </w:p>
    <w:p w:rsidR="00D217F9" w:rsidRPr="00D217F9" w:rsidRDefault="00D217F9" w:rsidP="00D217F9">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Las contraseñas tendrán una vigencia máxima de un año contado a partir de la fecha de la solicitud. Para tal efecto, el usuario efectuará el respectivo cambio antes d</w:t>
      </w:r>
      <w:r w:rsidR="00D217F9">
        <w:rPr>
          <w:rFonts w:cs="Arial"/>
          <w:color w:val="000000"/>
        </w:rPr>
        <w:t>el vencimiento de este término</w:t>
      </w:r>
    </w:p>
    <w:p w:rsidR="00D217F9" w:rsidRPr="00D217F9" w:rsidRDefault="00D217F9" w:rsidP="00D217F9">
      <w:pPr>
        <w:spacing w:line="276" w:lineRule="auto"/>
        <w:ind w:left="360"/>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lastRenderedPageBreak/>
        <w:t>El manejo de las contraseñas es de naturaleza privada y exclusiva del funcionario autorizado. No podrá ser divulgada, compartida, ni cedida, sin importar la jerarquí</w:t>
      </w:r>
      <w:r w:rsidR="00D217F9">
        <w:rPr>
          <w:rFonts w:cs="Arial"/>
          <w:color w:val="000000"/>
        </w:rPr>
        <w:t>a de la persona que la solicite</w:t>
      </w:r>
    </w:p>
    <w:p w:rsidR="00D217F9" w:rsidRPr="00D217F9" w:rsidRDefault="00D217F9" w:rsidP="00D217F9">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Todos los usuarios deben ser identificados independientemente con permisos de accesos específicos e individualmente autorizados por razones básicas de la función misional con sus respectivas atribuciones; esta autorización debe estar basada en los principios del “</w:t>
      </w:r>
      <w:r w:rsidRPr="00D217F9">
        <w:rPr>
          <w:rFonts w:cs="Arial"/>
          <w:i/>
          <w:color w:val="000000"/>
        </w:rPr>
        <w:t>need-to-know</w:t>
      </w:r>
      <w:r w:rsidR="00D217F9">
        <w:rPr>
          <w:rFonts w:cs="Arial"/>
          <w:color w:val="000000"/>
        </w:rPr>
        <w:t>” (n</w:t>
      </w:r>
      <w:r w:rsidRPr="003B76DB">
        <w:rPr>
          <w:rFonts w:cs="Arial"/>
          <w:color w:val="000000"/>
        </w:rPr>
        <w:t>ecesidad de saber) y “</w:t>
      </w:r>
      <w:r w:rsidRPr="00D217F9">
        <w:rPr>
          <w:rFonts w:cs="Arial"/>
          <w:i/>
          <w:color w:val="000000"/>
        </w:rPr>
        <w:t>least privilege</w:t>
      </w:r>
      <w:r w:rsidR="00D217F9">
        <w:rPr>
          <w:rFonts w:cs="Arial"/>
          <w:color w:val="000000"/>
        </w:rPr>
        <w:t>” (menor p</w:t>
      </w:r>
      <w:r w:rsidRPr="003B76DB">
        <w:rPr>
          <w:rFonts w:cs="Arial"/>
          <w:color w:val="000000"/>
        </w:rPr>
        <w:t xml:space="preserve">rivilegio). Los métodos de acceso de usuarios deben exigir un proceso robusto de autenticación, autorización </w:t>
      </w:r>
      <w:r w:rsidR="00D217F9">
        <w:rPr>
          <w:rFonts w:cs="Arial"/>
          <w:color w:val="000000"/>
        </w:rPr>
        <w:t>apropiada y auditoria confiable</w:t>
      </w:r>
    </w:p>
    <w:p w:rsidR="00D217F9" w:rsidRPr="00D217F9" w:rsidRDefault="00D217F9" w:rsidP="00D217F9">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 xml:space="preserve">Todo acceso y perfil definido por un área de la DGCPTN deberá contemplar un usuario principal (quien realiza diariamente la actividad) y un backup en caso que el usuario principal </w:t>
      </w:r>
      <w:r w:rsidR="00D217F9">
        <w:rPr>
          <w:rFonts w:cs="Arial"/>
          <w:color w:val="000000"/>
        </w:rPr>
        <w:t xml:space="preserve">no </w:t>
      </w:r>
      <w:r w:rsidRPr="003B76DB">
        <w:rPr>
          <w:rFonts w:cs="Arial"/>
          <w:color w:val="000000"/>
        </w:rPr>
        <w:t>pueda realiza</w:t>
      </w:r>
      <w:r w:rsidR="00D217F9">
        <w:rPr>
          <w:rFonts w:cs="Arial"/>
          <w:color w:val="000000"/>
        </w:rPr>
        <w:t>r dicha labor previa inducción</w:t>
      </w:r>
    </w:p>
    <w:p w:rsidR="00D217F9" w:rsidRPr="00D217F9" w:rsidRDefault="00D217F9" w:rsidP="00D217F9">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Toda novedad de habilitación, deshabilitación y/o modificación del perfil de un usuario a un aplicativo, deberá soli</w:t>
      </w:r>
      <w:r w:rsidR="00D217F9">
        <w:rPr>
          <w:rFonts w:cs="Arial"/>
          <w:color w:val="000000"/>
        </w:rPr>
        <w:t>citarse por el área usuaria al a</w:t>
      </w:r>
      <w:r w:rsidRPr="003B76DB">
        <w:rPr>
          <w:rFonts w:cs="Arial"/>
          <w:color w:val="000000"/>
        </w:rPr>
        <w:t xml:space="preserve">dministrador del sistema, indicando el tipo de novedad. Dicha novedad deberá ser aprobada por el </w:t>
      </w:r>
      <w:r w:rsidR="00D217F9">
        <w:rPr>
          <w:rFonts w:cs="Arial"/>
          <w:color w:val="000000"/>
        </w:rPr>
        <w:t>jefe Inmediato, visto bueno del s</w:t>
      </w:r>
      <w:r w:rsidRPr="003B76DB">
        <w:rPr>
          <w:rFonts w:cs="Arial"/>
          <w:color w:val="000000"/>
        </w:rPr>
        <w:t>ubdire</w:t>
      </w:r>
      <w:r w:rsidR="00D217F9">
        <w:rPr>
          <w:rFonts w:cs="Arial"/>
          <w:color w:val="000000"/>
        </w:rPr>
        <w:t>ctor correspondiente. Para los subdirectores y/o c</w:t>
      </w:r>
      <w:r w:rsidRPr="003B76DB">
        <w:rPr>
          <w:rFonts w:cs="Arial"/>
          <w:color w:val="000000"/>
        </w:rPr>
        <w:t xml:space="preserve">oordinadores que dependan del Despacho, </w:t>
      </w:r>
      <w:r w:rsidR="00D217F9">
        <w:rPr>
          <w:rFonts w:cs="Arial"/>
          <w:color w:val="000000"/>
        </w:rPr>
        <w:t>la</w:t>
      </w:r>
      <w:r w:rsidRPr="003B76DB">
        <w:rPr>
          <w:rFonts w:cs="Arial"/>
          <w:color w:val="000000"/>
        </w:rPr>
        <w:t xml:space="preserve"> novedad debe ser aprobada por la </w:t>
      </w:r>
      <w:r w:rsidR="00D217F9">
        <w:rPr>
          <w:rFonts w:cs="Arial"/>
          <w:color w:val="000000"/>
        </w:rPr>
        <w:t>DGCPTN</w:t>
      </w:r>
    </w:p>
    <w:p w:rsidR="00D217F9" w:rsidRPr="00D217F9" w:rsidRDefault="00D217F9" w:rsidP="00D217F9">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La información debe ser protegida con el nivel necesario en proporción a su valor y el riesgo para la función misional. La protección debe concentrarse en las propiedades de confidencialidad, integridad y disponibilidad de la información</w:t>
      </w:r>
    </w:p>
    <w:p w:rsidR="00D217F9" w:rsidRPr="00D217F9" w:rsidRDefault="00D217F9" w:rsidP="00D217F9">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Los recursos tecnológicos deben ser protegidos con el nivel necesario en proporción a su valor y el riesgo para la función misional. Dichos recursos deben ser utilizados exclusivamente para desarrollar las actividades laborales de los funcionarios y terceras partes; esta utilización debe hacerse en forma adecuada, con el máximo de eficien</w:t>
      </w:r>
      <w:r w:rsidR="00D217F9">
        <w:rPr>
          <w:rFonts w:cs="Arial"/>
          <w:color w:val="000000"/>
        </w:rPr>
        <w:t>cia y con ejemplar racionalidad</w:t>
      </w:r>
    </w:p>
    <w:p w:rsidR="00D217F9" w:rsidRPr="00D217F9" w:rsidRDefault="00D217F9" w:rsidP="00D217F9">
      <w:pPr>
        <w:spacing w:line="276" w:lineRule="auto"/>
        <w:contextualSpacing/>
        <w:rPr>
          <w:rFonts w:cs="Arial"/>
          <w:color w:val="000000"/>
        </w:rPr>
      </w:pPr>
    </w:p>
    <w:p w:rsidR="00DD38FB" w:rsidRPr="003B76DB" w:rsidRDefault="00DD38FB" w:rsidP="00D217F9">
      <w:pPr>
        <w:pStyle w:val="Prrafodelista"/>
        <w:numPr>
          <w:ilvl w:val="0"/>
          <w:numId w:val="17"/>
        </w:numPr>
        <w:spacing w:line="276" w:lineRule="auto"/>
        <w:contextualSpacing/>
        <w:rPr>
          <w:rFonts w:cs="Arial"/>
          <w:color w:val="000000"/>
        </w:rPr>
      </w:pPr>
      <w:r w:rsidRPr="003B76DB">
        <w:rPr>
          <w:rFonts w:cs="Arial"/>
          <w:color w:val="000000"/>
        </w:rPr>
        <w:t>Los usuarios, dueños y custodios de los activos de información del MHCP son responsables por el uso apropiado, protección y privacidad de estos activos. Los sistemas de información del MHCP deben generar y mantener pistas apropiadas de auditoría para identificar usuarios y documentar los eventos relaciona</w:t>
      </w:r>
      <w:r w:rsidR="005978E1">
        <w:rPr>
          <w:rFonts w:cs="Arial"/>
          <w:color w:val="000000"/>
        </w:rPr>
        <w:t>dos con incidentes de seguridad</w:t>
      </w: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Para que la seguridad de la información sea efectiva, se requiere el esfuerzo de equipo, donde deben participar en forma activa todos los funcionarios que tengan interacción con los a</w:t>
      </w:r>
      <w:r w:rsidR="005978E1">
        <w:rPr>
          <w:rFonts w:cs="Arial"/>
          <w:color w:val="000000"/>
        </w:rPr>
        <w:t>ctivos de la información de la e</w:t>
      </w:r>
      <w:r w:rsidRPr="003B76DB">
        <w:rPr>
          <w:rFonts w:cs="Arial"/>
          <w:color w:val="000000"/>
        </w:rPr>
        <w:t xml:space="preserve">ntidad. Todos los funcionarios y terceras partes deben cumplir con </w:t>
      </w:r>
      <w:r w:rsidRPr="003B76DB">
        <w:rPr>
          <w:rFonts w:cs="Arial"/>
          <w:color w:val="000000"/>
        </w:rPr>
        <w:lastRenderedPageBreak/>
        <w:t>las políticas de seguridad de la información y, además, desempeñar un papel activo para su comprensi</w:t>
      </w:r>
      <w:r w:rsidR="005978E1">
        <w:rPr>
          <w:rFonts w:cs="Arial"/>
          <w:color w:val="000000"/>
        </w:rPr>
        <w:t>ón, entendimiento y divulgación</w:t>
      </w:r>
    </w:p>
    <w:p w:rsidR="005978E1" w:rsidRPr="005978E1" w:rsidRDefault="005978E1" w:rsidP="005978E1">
      <w:pPr>
        <w:spacing w:line="276" w:lineRule="auto"/>
        <w:ind w:left="360"/>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En forma periódica la DGCPTN debe efectuar las revisiones necesarias para evaluar el cumplimiento de las diferentes políticas de seguridad. Esta tarea debe ser realizad</w:t>
      </w:r>
      <w:r w:rsidR="005978E1">
        <w:rPr>
          <w:rFonts w:cs="Arial"/>
          <w:color w:val="000000"/>
        </w:rPr>
        <w:t>a por la Subdirección de Riesgo</w:t>
      </w:r>
    </w:p>
    <w:p w:rsidR="005978E1" w:rsidRPr="005978E1" w:rsidRDefault="005978E1" w:rsidP="005978E1">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El uso indebido de la información que los funcionarios conocen o administran es una falta grave sujeta a las sanciones disciplinarias y/o legales que surjan de su utilización. La información soportada por la infraestructura de tecnología infor</w:t>
      </w:r>
      <w:r w:rsidR="005978E1">
        <w:rPr>
          <w:rFonts w:cs="Arial"/>
          <w:color w:val="000000"/>
        </w:rPr>
        <w:t>mática del MHCP pertenece a la e</w:t>
      </w:r>
      <w:r w:rsidRPr="003B76DB">
        <w:rPr>
          <w:rFonts w:cs="Arial"/>
          <w:color w:val="000000"/>
        </w:rPr>
        <w:t xml:space="preserve">ntidad, a menos que en una relación contractual se establezca lo contrario. Sin embargo, la facultad de otorgar acceso a la información es del responsable de la dependencia que genera o es </w:t>
      </w:r>
      <w:r w:rsidR="005978E1">
        <w:rPr>
          <w:rFonts w:cs="Arial"/>
          <w:color w:val="000000"/>
        </w:rPr>
        <w:t>propietaria de esta información</w:t>
      </w:r>
    </w:p>
    <w:p w:rsidR="005978E1" w:rsidRPr="005978E1" w:rsidRDefault="005978E1" w:rsidP="005978E1">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La información propiedad del MHCP y sobre la cual tiene sus derechos, podrá ser suministrada a los entes de control pertinentes cuando estos lo requieran, con previa autorización expresa y aprobada para estos fines por la</w:t>
      </w:r>
      <w:r w:rsidR="005978E1">
        <w:rPr>
          <w:rFonts w:cs="Arial"/>
          <w:color w:val="000000"/>
        </w:rPr>
        <w:t>s directivas de la entidad</w:t>
      </w:r>
    </w:p>
    <w:p w:rsidR="005978E1" w:rsidRPr="005978E1" w:rsidRDefault="005978E1" w:rsidP="005978E1">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 xml:space="preserve">Para efectos de control del flujo de la información de los procesos de la </w:t>
      </w:r>
      <w:r w:rsidR="005978E1">
        <w:rPr>
          <w:rFonts w:cs="Arial"/>
          <w:color w:val="000000"/>
        </w:rPr>
        <w:t>e</w:t>
      </w:r>
      <w:r w:rsidRPr="003B76DB">
        <w:rPr>
          <w:rFonts w:cs="Arial"/>
          <w:color w:val="000000"/>
        </w:rPr>
        <w:t>ntidad, se asignarán responsables de la información, quienes deben asegurar y otorgar acceso a la información que genere su dependencia, con el fin de lograr un adecuado ambiente de contro</w:t>
      </w:r>
      <w:r w:rsidR="005978E1">
        <w:rPr>
          <w:rFonts w:cs="Arial"/>
          <w:color w:val="000000"/>
        </w:rPr>
        <w:t>l y de segregación de funciones</w:t>
      </w:r>
    </w:p>
    <w:p w:rsidR="005978E1" w:rsidRPr="005978E1" w:rsidRDefault="005978E1" w:rsidP="005978E1">
      <w:pPr>
        <w:spacing w:line="276" w:lineRule="auto"/>
        <w:contextualSpacing/>
        <w:rPr>
          <w:rFonts w:cs="Arial"/>
          <w:color w:val="000000"/>
        </w:rPr>
      </w:pPr>
    </w:p>
    <w:p w:rsidR="00DD38FB" w:rsidRDefault="00DD38FB" w:rsidP="00D217F9">
      <w:pPr>
        <w:pStyle w:val="Prrafodelista"/>
        <w:numPr>
          <w:ilvl w:val="0"/>
          <w:numId w:val="17"/>
        </w:numPr>
        <w:spacing w:line="276" w:lineRule="auto"/>
        <w:contextualSpacing/>
        <w:rPr>
          <w:rFonts w:cs="Arial"/>
          <w:color w:val="000000"/>
        </w:rPr>
      </w:pPr>
      <w:r w:rsidRPr="003B76DB">
        <w:rPr>
          <w:rFonts w:cs="Arial"/>
          <w:color w:val="000000"/>
        </w:rPr>
        <w:t>En caso de divulgación no autorizada de la información de propiedad del MHCP, se realizarán las investigaciones pertinentes para establecer las responsabilidades del caso y proceder conforme lo establece para estos casos la normativida</w:t>
      </w:r>
      <w:r w:rsidR="005978E1">
        <w:rPr>
          <w:rFonts w:cs="Arial"/>
          <w:color w:val="000000"/>
        </w:rPr>
        <w:t>d y los procedimientos del MHCP.</w:t>
      </w:r>
    </w:p>
    <w:p w:rsidR="005978E1" w:rsidRPr="005978E1" w:rsidRDefault="005978E1" w:rsidP="005978E1">
      <w:pPr>
        <w:spacing w:line="276" w:lineRule="auto"/>
        <w:contextualSpacing/>
        <w:rPr>
          <w:rFonts w:cs="Arial"/>
          <w:color w:val="000000"/>
        </w:rPr>
      </w:pPr>
    </w:p>
    <w:p w:rsidR="00DD38FB" w:rsidRPr="003B76DB" w:rsidRDefault="00DD38FB" w:rsidP="00D217F9">
      <w:pPr>
        <w:spacing w:line="276" w:lineRule="auto"/>
        <w:rPr>
          <w:rFonts w:cs="Arial"/>
        </w:rPr>
      </w:pPr>
      <w:r w:rsidRPr="003B76DB">
        <w:rPr>
          <w:rFonts w:cs="Arial"/>
        </w:rPr>
        <w:t>Por cada incumplimiento de las políticas aquí definidas, se dará traslado a la Oficina de Control Disciplinario Interno, con el propósito de que se inicien las acciones disciplinarias correspondientes.</w:t>
      </w:r>
    </w:p>
    <w:p w:rsidR="00A000CF" w:rsidRDefault="00A000CF" w:rsidP="00A000CF">
      <w:pPr>
        <w:pStyle w:val="Ttulo3"/>
      </w:pPr>
      <w:bookmarkStart w:id="44" w:name="_Toc507771253"/>
    </w:p>
    <w:p w:rsidR="00DD38FB" w:rsidRPr="003B76DB" w:rsidRDefault="00DD38FB" w:rsidP="00A000CF">
      <w:pPr>
        <w:pStyle w:val="Ttulo3"/>
        <w:numPr>
          <w:ilvl w:val="1"/>
          <w:numId w:val="23"/>
        </w:numPr>
      </w:pPr>
      <w:bookmarkStart w:id="45" w:name="_Toc4590630"/>
      <w:r w:rsidRPr="003B76DB">
        <w:t>Política de Prevención de Fraude y Corrupción</w:t>
      </w:r>
      <w:bookmarkEnd w:id="44"/>
      <w:bookmarkEnd w:id="45"/>
    </w:p>
    <w:p w:rsidR="00DD38FB" w:rsidRPr="003B76DB" w:rsidRDefault="00DD38FB" w:rsidP="003B76DB">
      <w:pPr>
        <w:pStyle w:val="Prrafodelista"/>
        <w:spacing w:line="276" w:lineRule="auto"/>
        <w:rPr>
          <w:rFonts w:cs="Arial"/>
          <w:color w:val="000000"/>
        </w:rPr>
      </w:pPr>
    </w:p>
    <w:p w:rsidR="00DD38FB" w:rsidRPr="003B76DB" w:rsidRDefault="00DD38FB" w:rsidP="005978E1">
      <w:pPr>
        <w:pStyle w:val="Prrafodelista"/>
        <w:numPr>
          <w:ilvl w:val="0"/>
          <w:numId w:val="17"/>
        </w:numPr>
        <w:spacing w:line="276" w:lineRule="auto"/>
        <w:contextualSpacing/>
        <w:rPr>
          <w:rFonts w:cs="Arial"/>
          <w:color w:val="000000"/>
        </w:rPr>
      </w:pPr>
      <w:r w:rsidRPr="003B76DB">
        <w:rPr>
          <w:rFonts w:cs="Arial"/>
          <w:color w:val="000000"/>
        </w:rPr>
        <w:t>En la DGCPTN no se tolera ni el fraude ni la corrupción, por lo tanto, se han adoptado los mecanismos necesarios para evitarlos; mediante la implementación de controles y sistemas para su detección prevención y respuesta</w:t>
      </w:r>
      <w:r w:rsidR="005978E1">
        <w:rPr>
          <w:rFonts w:cs="Arial"/>
          <w:color w:val="000000"/>
        </w:rPr>
        <w:t>s oportunas ante tales acciones</w:t>
      </w:r>
    </w:p>
    <w:p w:rsidR="005978E1" w:rsidRDefault="00DD38FB" w:rsidP="005978E1">
      <w:pPr>
        <w:pStyle w:val="Prrafodelista"/>
        <w:numPr>
          <w:ilvl w:val="0"/>
          <w:numId w:val="17"/>
        </w:numPr>
        <w:spacing w:line="276" w:lineRule="auto"/>
        <w:contextualSpacing/>
        <w:rPr>
          <w:rFonts w:cs="Arial"/>
          <w:color w:val="000000"/>
        </w:rPr>
      </w:pPr>
      <w:r w:rsidRPr="003B76DB">
        <w:rPr>
          <w:rFonts w:cs="Arial"/>
          <w:color w:val="000000"/>
        </w:rPr>
        <w:t xml:space="preserve">Los mecanismos para evitar el fraude y la corrupción están integrados al </w:t>
      </w:r>
      <w:r w:rsidR="005978E1">
        <w:rPr>
          <w:rFonts w:cs="Arial"/>
          <w:color w:val="000000"/>
        </w:rPr>
        <w:t>SARO</w:t>
      </w:r>
      <w:r w:rsidRPr="003B76DB">
        <w:rPr>
          <w:rFonts w:cs="Arial"/>
          <w:color w:val="000000"/>
        </w:rPr>
        <w:t xml:space="preserve">, comprendiendo que estos están en el marco del factor de riesgo </w:t>
      </w:r>
      <w:r w:rsidR="005978E1">
        <w:rPr>
          <w:rFonts w:cs="Arial"/>
          <w:color w:val="000000"/>
        </w:rPr>
        <w:t>del recurso humano de la DGCPTN</w:t>
      </w:r>
    </w:p>
    <w:p w:rsidR="005978E1" w:rsidRPr="005978E1" w:rsidRDefault="005978E1" w:rsidP="005978E1">
      <w:pPr>
        <w:spacing w:line="276" w:lineRule="auto"/>
        <w:ind w:left="360"/>
        <w:contextualSpacing/>
        <w:rPr>
          <w:rFonts w:cs="Arial"/>
          <w:color w:val="000000"/>
        </w:rPr>
      </w:pPr>
    </w:p>
    <w:p w:rsidR="00285114" w:rsidRPr="00D24976" w:rsidRDefault="00DD38FB" w:rsidP="005978E1">
      <w:pPr>
        <w:pStyle w:val="Prrafodelista"/>
        <w:numPr>
          <w:ilvl w:val="0"/>
          <w:numId w:val="17"/>
        </w:numPr>
        <w:spacing w:line="276" w:lineRule="auto"/>
        <w:contextualSpacing/>
        <w:rPr>
          <w:rFonts w:cs="Arial"/>
          <w:color w:val="000000"/>
        </w:rPr>
      </w:pPr>
      <w:r w:rsidRPr="003B76DB">
        <w:rPr>
          <w:rFonts w:cs="Arial"/>
          <w:color w:val="000000"/>
        </w:rPr>
        <w:t>Los riesgos de fraude y/o corrupción deben ser identificados en todos los procesos de la DGCPTN y deben ser incluidos en el mapa de riesgos del SMGI.</w:t>
      </w:r>
    </w:p>
    <w:p w:rsidR="00285114" w:rsidRPr="003B76DB" w:rsidRDefault="00285114" w:rsidP="003B76DB">
      <w:pPr>
        <w:spacing w:line="276" w:lineRule="auto"/>
      </w:pPr>
    </w:p>
    <w:p w:rsidR="00DD38FB" w:rsidRPr="003B76DB" w:rsidRDefault="00DD38FB" w:rsidP="00A000CF">
      <w:pPr>
        <w:pStyle w:val="Ttulo3"/>
        <w:numPr>
          <w:ilvl w:val="1"/>
          <w:numId w:val="23"/>
        </w:numPr>
      </w:pPr>
      <w:bookmarkStart w:id="46" w:name="_Toc507771254"/>
      <w:bookmarkStart w:id="47" w:name="_Toc4590631"/>
      <w:r w:rsidRPr="003B76DB">
        <w:t>Principios de Gestión del Riesgo Operativo</w:t>
      </w:r>
      <w:bookmarkEnd w:id="46"/>
      <w:bookmarkEnd w:id="47"/>
    </w:p>
    <w:p w:rsidR="00DD38FB" w:rsidRPr="003B76DB" w:rsidRDefault="00DD38FB" w:rsidP="003B76DB">
      <w:pPr>
        <w:spacing w:line="276" w:lineRule="auto"/>
      </w:pPr>
    </w:p>
    <w:p w:rsidR="00DD38FB" w:rsidRDefault="00DD38FB" w:rsidP="005978E1">
      <w:pPr>
        <w:pStyle w:val="Prrafodelista"/>
        <w:numPr>
          <w:ilvl w:val="0"/>
          <w:numId w:val="4"/>
        </w:numPr>
        <w:spacing w:line="276" w:lineRule="auto"/>
        <w:ind w:left="709" w:hanging="284"/>
        <w:contextualSpacing/>
        <w:rPr>
          <w:rFonts w:cs="Arial"/>
          <w:color w:val="000000"/>
        </w:rPr>
      </w:pPr>
      <w:r w:rsidRPr="003B76DB">
        <w:rPr>
          <w:rFonts w:cs="Arial"/>
          <w:color w:val="000000"/>
        </w:rPr>
        <w:t>El Riesgo Operativo es parte de las responsabilidades asumidas por los e</w:t>
      </w:r>
      <w:r w:rsidR="005978E1">
        <w:rPr>
          <w:rFonts w:cs="Arial"/>
          <w:color w:val="000000"/>
        </w:rPr>
        <w:t>ncargados de las direcciones y s</w:t>
      </w:r>
      <w:r w:rsidRPr="003B76DB">
        <w:rPr>
          <w:rFonts w:cs="Arial"/>
          <w:color w:val="000000"/>
        </w:rPr>
        <w:t>ubdirecciones del Ministerio, de los procesos, de los sistemas y/o de los productos. Es un hecho que debe reflejarse en el seguimiento de los controles, en la concientización de riesgos y en el es</w:t>
      </w:r>
      <w:r w:rsidR="005978E1">
        <w:rPr>
          <w:rFonts w:cs="Arial"/>
          <w:color w:val="000000"/>
        </w:rPr>
        <w:t>tilo de gerenciamiento a diario</w:t>
      </w:r>
    </w:p>
    <w:p w:rsidR="005978E1" w:rsidRPr="003B76DB" w:rsidRDefault="005978E1" w:rsidP="005978E1">
      <w:pPr>
        <w:pStyle w:val="Prrafodelista"/>
        <w:spacing w:line="276" w:lineRule="auto"/>
        <w:ind w:left="709"/>
        <w:contextualSpacing/>
        <w:rPr>
          <w:rFonts w:cs="Arial"/>
          <w:color w:val="000000"/>
        </w:rPr>
      </w:pPr>
    </w:p>
    <w:p w:rsidR="00DD38FB" w:rsidRDefault="00DD38FB" w:rsidP="005978E1">
      <w:pPr>
        <w:numPr>
          <w:ilvl w:val="0"/>
          <w:numId w:val="5"/>
        </w:numPr>
        <w:spacing w:line="276" w:lineRule="auto"/>
        <w:ind w:left="709" w:hanging="284"/>
        <w:rPr>
          <w:rFonts w:cs="Arial"/>
          <w:color w:val="000000"/>
        </w:rPr>
      </w:pPr>
      <w:r w:rsidRPr="003B76DB">
        <w:rPr>
          <w:rFonts w:cs="Arial"/>
          <w:color w:val="000000"/>
        </w:rPr>
        <w:t>Las tareas y responsabilidades de manejo de</w:t>
      </w:r>
      <w:r w:rsidR="005978E1">
        <w:rPr>
          <w:rFonts w:cs="Arial"/>
          <w:color w:val="000000"/>
        </w:rPr>
        <w:t>l</w:t>
      </w:r>
      <w:r w:rsidRPr="003B76DB">
        <w:rPr>
          <w:rFonts w:cs="Arial"/>
          <w:color w:val="000000"/>
        </w:rPr>
        <w:t xml:space="preserve"> Riesgo Operativo deben ser acordadas e incluidas en los objetivos de todos los encargados de las áreas, p</w:t>
      </w:r>
      <w:r w:rsidR="005978E1">
        <w:rPr>
          <w:rFonts w:cs="Arial"/>
          <w:color w:val="000000"/>
        </w:rPr>
        <w:t>rocesos, sistemas y/o productos</w:t>
      </w:r>
    </w:p>
    <w:p w:rsidR="005978E1" w:rsidRPr="003B76DB" w:rsidRDefault="005978E1" w:rsidP="005978E1">
      <w:pPr>
        <w:spacing w:line="276" w:lineRule="auto"/>
        <w:rPr>
          <w:rFonts w:cs="Arial"/>
          <w:color w:val="000000"/>
        </w:rPr>
      </w:pPr>
    </w:p>
    <w:p w:rsidR="00DD38FB" w:rsidRDefault="00DD38FB" w:rsidP="005978E1">
      <w:pPr>
        <w:numPr>
          <w:ilvl w:val="0"/>
          <w:numId w:val="5"/>
        </w:numPr>
        <w:spacing w:line="276" w:lineRule="auto"/>
        <w:ind w:left="709" w:hanging="284"/>
        <w:rPr>
          <w:rFonts w:cs="Arial"/>
          <w:color w:val="000000"/>
        </w:rPr>
      </w:pPr>
      <w:r w:rsidRPr="003B76DB">
        <w:rPr>
          <w:rFonts w:cs="Arial"/>
          <w:color w:val="000000"/>
        </w:rPr>
        <w:t>Los funcionar</w:t>
      </w:r>
      <w:r w:rsidR="005978E1">
        <w:rPr>
          <w:rFonts w:cs="Arial"/>
          <w:color w:val="000000"/>
        </w:rPr>
        <w:t>ios en todos los niveles de la entidad</w:t>
      </w:r>
      <w:r w:rsidRPr="003B76DB">
        <w:rPr>
          <w:rFonts w:cs="Arial"/>
          <w:color w:val="000000"/>
        </w:rPr>
        <w:t xml:space="preserve"> deben ser conscientes de sus responsabilidades en rel</w:t>
      </w:r>
      <w:r w:rsidR="005978E1">
        <w:rPr>
          <w:rFonts w:cs="Arial"/>
          <w:color w:val="000000"/>
        </w:rPr>
        <w:t>ación a los riesgos operativos</w:t>
      </w:r>
    </w:p>
    <w:p w:rsidR="005978E1" w:rsidRPr="003B76DB" w:rsidRDefault="005978E1" w:rsidP="005978E1">
      <w:pPr>
        <w:spacing w:line="276" w:lineRule="auto"/>
        <w:rPr>
          <w:rFonts w:cs="Arial"/>
          <w:color w:val="000000"/>
        </w:rPr>
      </w:pPr>
    </w:p>
    <w:p w:rsidR="00DD38FB" w:rsidRDefault="005978E1" w:rsidP="005978E1">
      <w:pPr>
        <w:numPr>
          <w:ilvl w:val="0"/>
          <w:numId w:val="5"/>
        </w:numPr>
        <w:spacing w:line="276" w:lineRule="auto"/>
        <w:ind w:left="709" w:hanging="284"/>
        <w:rPr>
          <w:rFonts w:cs="Arial"/>
          <w:color w:val="000000"/>
        </w:rPr>
      </w:pPr>
      <w:r>
        <w:rPr>
          <w:rFonts w:cs="Arial"/>
          <w:color w:val="000000"/>
        </w:rPr>
        <w:t>Las p</w:t>
      </w:r>
      <w:r w:rsidR="00DD38FB" w:rsidRPr="003B76DB">
        <w:rPr>
          <w:rFonts w:cs="Arial"/>
          <w:color w:val="000000"/>
        </w:rPr>
        <w:t xml:space="preserve">olíticas y metodologías están vigentes para asegurar la consistencia y promover </w:t>
      </w:r>
      <w:r>
        <w:rPr>
          <w:rFonts w:cs="Arial"/>
          <w:color w:val="000000"/>
        </w:rPr>
        <w:t xml:space="preserve">las buenas </w:t>
      </w:r>
      <w:r w:rsidR="00DD38FB" w:rsidRPr="003B76DB">
        <w:rPr>
          <w:rFonts w:cs="Arial"/>
          <w:color w:val="000000"/>
        </w:rPr>
        <w:t xml:space="preserve">prácticas </w:t>
      </w:r>
      <w:r>
        <w:rPr>
          <w:rFonts w:cs="Arial"/>
          <w:color w:val="000000"/>
        </w:rPr>
        <w:t>en la administración del riesgo operativo</w:t>
      </w:r>
    </w:p>
    <w:p w:rsidR="005978E1" w:rsidRPr="003B76DB" w:rsidRDefault="005978E1" w:rsidP="005978E1">
      <w:pPr>
        <w:spacing w:line="276" w:lineRule="auto"/>
        <w:rPr>
          <w:rFonts w:cs="Arial"/>
          <w:color w:val="000000"/>
        </w:rPr>
      </w:pPr>
    </w:p>
    <w:p w:rsidR="00DD38FB" w:rsidRPr="003B76DB" w:rsidRDefault="00DD38FB" w:rsidP="005978E1">
      <w:pPr>
        <w:numPr>
          <w:ilvl w:val="0"/>
          <w:numId w:val="5"/>
        </w:numPr>
        <w:spacing w:line="276" w:lineRule="auto"/>
        <w:ind w:left="709" w:hanging="284"/>
        <w:rPr>
          <w:rFonts w:cs="Arial"/>
          <w:color w:val="000000"/>
        </w:rPr>
      </w:pPr>
      <w:r w:rsidRPr="003B76DB">
        <w:rPr>
          <w:rFonts w:cs="Arial"/>
          <w:color w:val="000000"/>
        </w:rPr>
        <w:t>La responsabilidad en la adecuada administración y gestión del riesgo operativo es de todos los funcionarios del Ministerio, quienes en su día a día conocen bien sus procesos y pueden identificar los posibles</w:t>
      </w:r>
      <w:r w:rsidR="005978E1">
        <w:rPr>
          <w:rFonts w:cs="Arial"/>
          <w:color w:val="000000"/>
        </w:rPr>
        <w:t xml:space="preserve"> riesgos a que están expuestos.</w:t>
      </w:r>
    </w:p>
    <w:p w:rsidR="00DD38FB" w:rsidRPr="003B76DB" w:rsidRDefault="00DD38FB" w:rsidP="003B76DB">
      <w:pPr>
        <w:spacing w:line="276" w:lineRule="auto"/>
        <w:rPr>
          <w:rFonts w:cs="Arial"/>
          <w:color w:val="000000"/>
        </w:rPr>
      </w:pPr>
    </w:p>
    <w:p w:rsidR="00DD38FB" w:rsidRPr="003B76DB" w:rsidRDefault="005978E1" w:rsidP="00A000CF">
      <w:pPr>
        <w:pStyle w:val="Ttulo3"/>
        <w:numPr>
          <w:ilvl w:val="1"/>
          <w:numId w:val="23"/>
        </w:numPr>
      </w:pPr>
      <w:bookmarkStart w:id="48" w:name="_Toc507771255"/>
      <w:bookmarkStart w:id="49" w:name="_Toc4590632"/>
      <w:r>
        <w:t>Procedimiento de Gestión d</w:t>
      </w:r>
      <w:r w:rsidRPr="003B76DB">
        <w:t>e Riesgo Operativo</w:t>
      </w:r>
      <w:bookmarkEnd w:id="48"/>
      <w:bookmarkEnd w:id="49"/>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 xml:space="preserve">Para la </w:t>
      </w:r>
      <w:r w:rsidR="005978E1">
        <w:rPr>
          <w:rFonts w:cs="Arial"/>
          <w:color w:val="000000"/>
        </w:rPr>
        <w:t>DGCPTN</w:t>
      </w:r>
      <w:r w:rsidRPr="003B76DB">
        <w:rPr>
          <w:rFonts w:cs="Arial"/>
          <w:color w:val="000000"/>
        </w:rPr>
        <w:t xml:space="preserve"> la gestión del riesgo parte de un ambiente de auto control en cada uno de los procesos y procedimientos a su cargo, de acuerdo a este ambiente ha definido tres líneas de defensa para la gestión del riesgo operativo de la siguiente manera:</w:t>
      </w:r>
    </w:p>
    <w:p w:rsidR="00DD38FB" w:rsidRPr="003B76DB" w:rsidRDefault="00DD38FB" w:rsidP="003B76DB">
      <w:pPr>
        <w:spacing w:line="276" w:lineRule="auto"/>
        <w:rPr>
          <w:rFonts w:cs="Arial"/>
          <w:color w:val="000000"/>
        </w:rPr>
      </w:pPr>
      <w:r w:rsidRPr="003B76DB">
        <w:rPr>
          <w:rFonts w:cs="Arial"/>
          <w:noProof/>
          <w:color w:val="000000"/>
          <w:lang w:val="en-US" w:eastAsia="en-US"/>
        </w:rPr>
        <w:lastRenderedPageBreak/>
        <w:drawing>
          <wp:inline distT="0" distB="0" distL="0" distR="0" wp14:anchorId="71F6090C" wp14:editId="06C60B59">
            <wp:extent cx="5686425" cy="3124200"/>
            <wp:effectExtent l="38100" t="0" r="9525" b="0"/>
            <wp:docPr id="24" name="Diagrama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Pr="003B76DB">
        <w:rPr>
          <w:rFonts w:cs="Arial"/>
          <w:color w:val="000000"/>
        </w:rPr>
        <w:t xml:space="preserve">Para ejecutar las tres líneas de defensa de la Dirección, la Subdirección de Riesgo utilizará la metodología de gestión del riesgo documentada por la norma NTC 5254 de 2006 que es una traducción idéntica de la norma técnica australiana AS/NZ 4360:2004 de amplio reconocimiento mundial, esta norma establece los principales elementos del proceso de gestión de riesgo de la siguiente manera: </w:t>
      </w:r>
    </w:p>
    <w:p w:rsidR="00DD38FB" w:rsidRDefault="00DD38FB" w:rsidP="003B76DB">
      <w:pPr>
        <w:spacing w:line="276" w:lineRule="auto"/>
        <w:jc w:val="center"/>
        <w:rPr>
          <w:rFonts w:cs="Arial"/>
          <w:color w:val="000000"/>
        </w:rPr>
      </w:pPr>
      <w:r w:rsidRPr="003B76DB">
        <w:rPr>
          <w:rFonts w:cs="Arial"/>
          <w:noProof/>
          <w:color w:val="000000"/>
          <w:lang w:val="en-US" w:eastAsia="en-US"/>
        </w:rPr>
        <w:drawing>
          <wp:inline distT="0" distB="0" distL="0" distR="0" wp14:anchorId="76ADFDB7" wp14:editId="0BEB5204">
            <wp:extent cx="4680000" cy="2340000"/>
            <wp:effectExtent l="0" t="0" r="6350" b="317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iesgocuadro.png"/>
                    <pic:cNvPicPr/>
                  </pic:nvPicPr>
                  <pic:blipFill>
                    <a:blip r:embed="rId18">
                      <a:extLst>
                        <a:ext uri="{28A0092B-C50C-407E-A947-70E740481C1C}">
                          <a14:useLocalDpi xmlns:a14="http://schemas.microsoft.com/office/drawing/2010/main" val="0"/>
                        </a:ext>
                      </a:extLst>
                    </a:blip>
                    <a:stretch>
                      <a:fillRect/>
                    </a:stretch>
                  </pic:blipFill>
                  <pic:spPr>
                    <a:xfrm>
                      <a:off x="0" y="0"/>
                      <a:ext cx="4680000" cy="2340000"/>
                    </a:xfrm>
                    <a:prstGeom prst="rect">
                      <a:avLst/>
                    </a:prstGeom>
                  </pic:spPr>
                </pic:pic>
              </a:graphicData>
            </a:graphic>
          </wp:inline>
        </w:drawing>
      </w:r>
    </w:p>
    <w:p w:rsidR="00EF49DC" w:rsidRPr="003B76DB" w:rsidRDefault="00EF49DC" w:rsidP="003B76DB">
      <w:pPr>
        <w:spacing w:line="276" w:lineRule="auto"/>
        <w:jc w:val="center"/>
        <w:rPr>
          <w:rFonts w:cs="Arial"/>
          <w:color w:val="000000"/>
        </w:rPr>
      </w:pPr>
    </w:p>
    <w:p w:rsidR="00DD38FB" w:rsidRPr="003B76DB" w:rsidRDefault="00EF49DC" w:rsidP="00EF49DC">
      <w:pPr>
        <w:pStyle w:val="Default"/>
        <w:spacing w:after="60" w:line="276" w:lineRule="auto"/>
        <w:jc w:val="both"/>
        <w:rPr>
          <w:rFonts w:ascii="Arial Narrow" w:hAnsi="Arial Narrow"/>
          <w:szCs w:val="22"/>
        </w:rPr>
      </w:pPr>
      <w:r>
        <w:rPr>
          <w:rFonts w:ascii="Arial Narrow" w:hAnsi="Arial Narrow"/>
          <w:b/>
          <w:szCs w:val="22"/>
        </w:rPr>
        <w:t>Comunicación y C</w:t>
      </w:r>
      <w:r w:rsidR="00DD38FB" w:rsidRPr="003B76DB">
        <w:rPr>
          <w:rFonts w:ascii="Arial Narrow" w:hAnsi="Arial Narrow"/>
          <w:b/>
          <w:szCs w:val="22"/>
        </w:rPr>
        <w:t>onsulta</w:t>
      </w:r>
      <w:r w:rsidR="00DD38FB" w:rsidRPr="003B76DB">
        <w:rPr>
          <w:rFonts w:ascii="Arial Narrow" w:hAnsi="Arial Narrow"/>
          <w:szCs w:val="22"/>
        </w:rPr>
        <w:t>. Comunicar y consultar con interesados internos y externos según corresponda en cada etapa del proceso de administración de riesgos y concerniendo al proceso como un todo.</w:t>
      </w:r>
    </w:p>
    <w:p w:rsidR="00DD38FB" w:rsidRPr="003B76DB" w:rsidRDefault="00DD38FB" w:rsidP="00EF49DC">
      <w:pPr>
        <w:pStyle w:val="Default"/>
        <w:spacing w:after="60" w:line="276" w:lineRule="auto"/>
        <w:jc w:val="both"/>
        <w:rPr>
          <w:rFonts w:ascii="Arial Narrow" w:hAnsi="Arial Narrow"/>
          <w:szCs w:val="22"/>
        </w:rPr>
      </w:pPr>
      <w:r w:rsidRPr="003B76DB">
        <w:rPr>
          <w:rFonts w:ascii="Arial Narrow" w:hAnsi="Arial Narrow"/>
          <w:b/>
          <w:szCs w:val="22"/>
        </w:rPr>
        <w:t>Establecer el contexto.</w:t>
      </w:r>
      <w:r w:rsidRPr="003B76DB">
        <w:rPr>
          <w:rFonts w:ascii="Arial Narrow" w:hAnsi="Arial Narrow"/>
          <w:szCs w:val="22"/>
        </w:rPr>
        <w:t xml:space="preserve"> Establecer el contexto interno y externo de la gestión del riesgo en el cual tendrá lugar el resto del proceso.</w:t>
      </w:r>
    </w:p>
    <w:p w:rsidR="00DD38FB" w:rsidRPr="003B76DB" w:rsidRDefault="00EF49DC" w:rsidP="00EF49DC">
      <w:pPr>
        <w:pStyle w:val="Default"/>
        <w:spacing w:after="60" w:line="276" w:lineRule="auto"/>
        <w:jc w:val="both"/>
        <w:rPr>
          <w:rFonts w:ascii="Arial Narrow" w:hAnsi="Arial Narrow"/>
          <w:szCs w:val="22"/>
        </w:rPr>
      </w:pPr>
      <w:r>
        <w:rPr>
          <w:rFonts w:ascii="Arial Narrow" w:hAnsi="Arial Narrow"/>
          <w:b/>
          <w:szCs w:val="22"/>
        </w:rPr>
        <w:lastRenderedPageBreak/>
        <w:t>I</w:t>
      </w:r>
      <w:r w:rsidR="00DD38FB" w:rsidRPr="003B76DB">
        <w:rPr>
          <w:rFonts w:ascii="Arial Narrow" w:hAnsi="Arial Narrow"/>
          <w:b/>
          <w:szCs w:val="22"/>
        </w:rPr>
        <w:t>dentificar riesgos.</w:t>
      </w:r>
      <w:r w:rsidR="00DD38FB" w:rsidRPr="003B76DB">
        <w:rPr>
          <w:rFonts w:ascii="Arial Narrow" w:hAnsi="Arial Narrow"/>
          <w:szCs w:val="22"/>
        </w:rPr>
        <w:t xml:space="preserve"> Identificar qué, por qué y cómo pueden surgir las cosas como base para análisis posterior.</w:t>
      </w:r>
    </w:p>
    <w:p w:rsidR="00DD38FB" w:rsidRPr="003B76DB" w:rsidRDefault="00DD38FB" w:rsidP="00EF49DC">
      <w:pPr>
        <w:pStyle w:val="Default"/>
        <w:spacing w:after="60" w:line="276" w:lineRule="auto"/>
        <w:jc w:val="both"/>
        <w:rPr>
          <w:rFonts w:ascii="Arial Narrow" w:hAnsi="Arial Narrow"/>
          <w:szCs w:val="22"/>
        </w:rPr>
      </w:pPr>
      <w:r w:rsidRPr="003B76DB">
        <w:rPr>
          <w:rFonts w:ascii="Arial Narrow" w:hAnsi="Arial Narrow"/>
          <w:b/>
          <w:szCs w:val="22"/>
        </w:rPr>
        <w:t>Analizar riesgos.</w:t>
      </w:r>
      <w:r w:rsidRPr="003B76DB">
        <w:rPr>
          <w:rFonts w:ascii="Arial Narrow" w:hAnsi="Arial Narrow"/>
          <w:szCs w:val="22"/>
        </w:rPr>
        <w:t xml:space="preserve"> Determinar los controles existentes y analizar riesgos en términos de consecuencias y probabilidades en el contexto de esos controles. El análisis debería considerar el rango de consecuencias potenciales y cuán probable es que ocurran esas consecuencias. Consecuencias y probabilidades pueden ser combinadas para producir un nivel estimado de riesgo.</w:t>
      </w:r>
    </w:p>
    <w:p w:rsidR="00DD38FB" w:rsidRPr="003B76DB" w:rsidRDefault="00DD38FB" w:rsidP="00EF49DC">
      <w:pPr>
        <w:pStyle w:val="Default"/>
        <w:spacing w:after="60" w:line="276" w:lineRule="auto"/>
        <w:jc w:val="both"/>
        <w:rPr>
          <w:rFonts w:ascii="Arial Narrow" w:hAnsi="Arial Narrow"/>
        </w:rPr>
      </w:pPr>
      <w:r w:rsidRPr="003B76DB">
        <w:rPr>
          <w:rFonts w:ascii="Arial Narrow" w:hAnsi="Arial Narrow"/>
          <w:b/>
          <w:szCs w:val="22"/>
        </w:rPr>
        <w:t>Evaluar riesgos.</w:t>
      </w:r>
      <w:r w:rsidRPr="003B76DB">
        <w:rPr>
          <w:rFonts w:ascii="Arial Narrow" w:hAnsi="Arial Narrow"/>
          <w:szCs w:val="22"/>
        </w:rPr>
        <w:t xml:space="preserve"> Comparar niveles estimados de riesgos contra los criterios preestablecidos.</w:t>
      </w:r>
    </w:p>
    <w:p w:rsidR="00DD38FB" w:rsidRPr="003B76DB" w:rsidRDefault="00DD38FB" w:rsidP="00EF49DC">
      <w:pPr>
        <w:pStyle w:val="Default"/>
        <w:spacing w:after="60" w:line="276" w:lineRule="auto"/>
        <w:jc w:val="both"/>
        <w:rPr>
          <w:rFonts w:ascii="Arial Narrow" w:hAnsi="Arial Narrow"/>
        </w:rPr>
      </w:pPr>
      <w:r w:rsidRPr="003B76DB">
        <w:rPr>
          <w:rFonts w:ascii="Arial Narrow" w:hAnsi="Arial Narrow"/>
          <w:b/>
          <w:szCs w:val="22"/>
        </w:rPr>
        <w:t>Tratar los riesgos.</w:t>
      </w:r>
      <w:r w:rsidRPr="003B76DB">
        <w:rPr>
          <w:rFonts w:ascii="Arial Narrow" w:hAnsi="Arial Narrow"/>
          <w:szCs w:val="22"/>
        </w:rPr>
        <w:t xml:space="preserve"> Aceptar y monitorear los riesgos de baja prioridad. Para otros riesgos, desarrollar e implementar un plan de administración específico que incluya consideraciones de fondeo, reduciendo pérd</w:t>
      </w:r>
      <w:r w:rsidRPr="003B76DB">
        <w:rPr>
          <w:rFonts w:ascii="Arial Narrow" w:hAnsi="Arial Narrow"/>
        </w:rPr>
        <w:t>idas potenciales.</w:t>
      </w:r>
    </w:p>
    <w:p w:rsidR="00DD38FB" w:rsidRPr="003B76DB" w:rsidRDefault="00DD38FB" w:rsidP="00EF49DC">
      <w:pPr>
        <w:pStyle w:val="Default"/>
        <w:spacing w:after="60" w:line="276" w:lineRule="auto"/>
        <w:jc w:val="both"/>
        <w:rPr>
          <w:rFonts w:ascii="Arial Narrow" w:hAnsi="Arial Narrow"/>
          <w:b/>
          <w:bCs/>
          <w:sz w:val="28"/>
          <w:szCs w:val="28"/>
        </w:rPr>
      </w:pPr>
      <w:r w:rsidRPr="003B76DB">
        <w:rPr>
          <w:rFonts w:ascii="Arial Narrow" w:hAnsi="Arial Narrow"/>
          <w:b/>
          <w:bCs/>
        </w:rPr>
        <w:t>Monitoreo y revisión.</w:t>
      </w:r>
      <w:r w:rsidRPr="003B76DB">
        <w:rPr>
          <w:rFonts w:ascii="Arial Narrow" w:hAnsi="Arial Narrow"/>
          <w:bCs/>
        </w:rPr>
        <w:t xml:space="preserve"> Es necesario monitorear la eficacia de todas las etapas del proceso de gestión del riesgo. Esto es importante para la mejora cont</w:t>
      </w:r>
      <w:r w:rsidR="00EF49DC">
        <w:rPr>
          <w:rFonts w:ascii="Arial Narrow" w:hAnsi="Arial Narrow"/>
          <w:bCs/>
        </w:rPr>
        <w:t>i</w:t>
      </w:r>
      <w:r w:rsidRPr="003B76DB">
        <w:rPr>
          <w:rFonts w:ascii="Arial Narrow" w:hAnsi="Arial Narrow"/>
          <w:bCs/>
        </w:rPr>
        <w:t>nua.</w:t>
      </w:r>
    </w:p>
    <w:p w:rsidR="00DD38FB" w:rsidRPr="003B76DB" w:rsidRDefault="00EF49DC" w:rsidP="00127717">
      <w:pPr>
        <w:pStyle w:val="Ttulo2"/>
        <w:numPr>
          <w:ilvl w:val="0"/>
          <w:numId w:val="23"/>
        </w:numPr>
        <w:spacing w:line="276" w:lineRule="auto"/>
        <w:jc w:val="left"/>
      </w:pPr>
      <w:bookmarkStart w:id="50" w:name="_Toc507771256"/>
      <w:bookmarkStart w:id="51" w:name="_Toc4590633"/>
      <w:r>
        <w:t>Metodologías para la Administración d</w:t>
      </w:r>
      <w:r w:rsidRPr="003B76DB">
        <w:t>e Riesgo Operativo</w:t>
      </w:r>
      <w:bookmarkEnd w:id="50"/>
      <w:bookmarkEnd w:id="51"/>
    </w:p>
    <w:p w:rsidR="00DD38FB" w:rsidRPr="003B76DB" w:rsidRDefault="00DD38FB" w:rsidP="003B76DB">
      <w:pPr>
        <w:spacing w:line="276" w:lineRule="auto"/>
        <w:rPr>
          <w:rFonts w:cs="Arial"/>
          <w:b/>
          <w:bCs/>
          <w:color w:val="000000"/>
          <w:sz w:val="28"/>
          <w:szCs w:val="28"/>
        </w:rPr>
      </w:pPr>
    </w:p>
    <w:p w:rsidR="00DD38FB" w:rsidRDefault="00DD38FB" w:rsidP="003B76DB">
      <w:pPr>
        <w:spacing w:line="276" w:lineRule="auto"/>
        <w:rPr>
          <w:rFonts w:cs="Arial"/>
          <w:color w:val="000000"/>
        </w:rPr>
      </w:pPr>
      <w:r w:rsidRPr="003B76DB">
        <w:rPr>
          <w:rFonts w:cs="Arial"/>
          <w:color w:val="000000"/>
        </w:rPr>
        <w:t>Para administrar adecuadamente los riesgos operativos es necesario obtener información acerca de las áreas que potencialmente tengan un mayor impacto en la gestión de riesgos operativos, donde se permita un adecuado análisis, para poder determinar las causas que afecten los procesos, conocer acerca de la efectividad de los controles o las medidas que los minimizan y a través de las herramientas también permitir un buen monitoreo de la implementación o el desarrollo de los planes d</w:t>
      </w:r>
      <w:r w:rsidR="00EF49DC">
        <w:rPr>
          <w:rFonts w:cs="Arial"/>
          <w:color w:val="000000"/>
        </w:rPr>
        <w:t xml:space="preserve">e acción que se llevan a cabo. </w:t>
      </w:r>
      <w:r w:rsidRPr="003B76DB">
        <w:rPr>
          <w:rFonts w:cs="Arial"/>
          <w:color w:val="000000"/>
        </w:rPr>
        <w:t>Entre los principales objetivos de estas metodologías están:</w:t>
      </w:r>
    </w:p>
    <w:p w:rsidR="00EF49DC" w:rsidRPr="003B76DB" w:rsidRDefault="00EF49DC" w:rsidP="003B76DB">
      <w:pPr>
        <w:spacing w:line="276" w:lineRule="auto"/>
        <w:rPr>
          <w:rFonts w:cs="Arial"/>
          <w:color w:val="000000"/>
        </w:rPr>
      </w:pPr>
    </w:p>
    <w:p w:rsidR="00DD38FB" w:rsidRPr="003B76DB" w:rsidRDefault="00DD38FB" w:rsidP="003B76DB">
      <w:pPr>
        <w:numPr>
          <w:ilvl w:val="0"/>
          <w:numId w:val="6"/>
        </w:numPr>
        <w:spacing w:line="276" w:lineRule="auto"/>
        <w:rPr>
          <w:rFonts w:cs="Arial"/>
        </w:rPr>
      </w:pPr>
      <w:r w:rsidRPr="003B76DB">
        <w:rPr>
          <w:rFonts w:cs="Arial"/>
        </w:rPr>
        <w:t>Identificar, Evaluar, Mitigar y Monitorear lo</w:t>
      </w:r>
      <w:r w:rsidR="00EF49DC">
        <w:rPr>
          <w:rFonts w:cs="Arial"/>
        </w:rPr>
        <w:t>s diferentes riesgos operativos</w:t>
      </w:r>
    </w:p>
    <w:p w:rsidR="00DD38FB" w:rsidRPr="003B76DB" w:rsidRDefault="00DD38FB" w:rsidP="003B76DB">
      <w:pPr>
        <w:numPr>
          <w:ilvl w:val="0"/>
          <w:numId w:val="6"/>
        </w:numPr>
        <w:spacing w:line="276" w:lineRule="auto"/>
        <w:rPr>
          <w:rFonts w:cs="Arial"/>
        </w:rPr>
      </w:pPr>
      <w:r w:rsidRPr="003B76DB">
        <w:rPr>
          <w:rFonts w:cs="Arial"/>
        </w:rPr>
        <w:t>Crear una cultura proactiva en búsqueda de las mejores prá</w:t>
      </w:r>
      <w:r w:rsidR="00EF49DC">
        <w:rPr>
          <w:rFonts w:cs="Arial"/>
        </w:rPr>
        <w:t>cticas que presenta el mercado</w:t>
      </w:r>
    </w:p>
    <w:p w:rsidR="00DD38FB" w:rsidRPr="003B76DB" w:rsidRDefault="00DD38FB" w:rsidP="003B76DB">
      <w:pPr>
        <w:numPr>
          <w:ilvl w:val="0"/>
          <w:numId w:val="6"/>
        </w:numPr>
        <w:spacing w:line="276" w:lineRule="auto"/>
        <w:rPr>
          <w:rFonts w:cs="Arial"/>
        </w:rPr>
      </w:pPr>
      <w:r w:rsidRPr="003B76DB">
        <w:rPr>
          <w:rFonts w:cs="Arial"/>
        </w:rPr>
        <w:t>Generar conciencia de los riesgos relacionada con el nivel y naturaleza de las pé</w:t>
      </w:r>
      <w:r w:rsidR="00EF49DC">
        <w:rPr>
          <w:rFonts w:cs="Arial"/>
        </w:rPr>
        <w:t>rdidas operativas</w:t>
      </w:r>
    </w:p>
    <w:p w:rsidR="00DD38FB" w:rsidRPr="003B76DB" w:rsidRDefault="00DD38FB" w:rsidP="003B76DB">
      <w:pPr>
        <w:numPr>
          <w:ilvl w:val="0"/>
          <w:numId w:val="6"/>
        </w:numPr>
        <w:spacing w:line="276" w:lineRule="auto"/>
        <w:rPr>
          <w:rFonts w:cs="Arial"/>
        </w:rPr>
      </w:pPr>
      <w:r w:rsidRPr="003B76DB">
        <w:rPr>
          <w:rFonts w:cs="Arial"/>
        </w:rPr>
        <w:t>Realizar un registro e información gerencial de las pérdidas op</w:t>
      </w:r>
      <w:r w:rsidR="00EF49DC">
        <w:rPr>
          <w:rFonts w:cs="Arial"/>
        </w:rPr>
        <w:t>erativas reales y/o potenciales</w:t>
      </w:r>
    </w:p>
    <w:p w:rsidR="00DD38FB" w:rsidRPr="003B76DB" w:rsidRDefault="00DD38FB" w:rsidP="003B76DB">
      <w:pPr>
        <w:numPr>
          <w:ilvl w:val="0"/>
          <w:numId w:val="6"/>
        </w:numPr>
        <w:spacing w:line="276" w:lineRule="auto"/>
        <w:rPr>
          <w:rFonts w:cs="Arial"/>
        </w:rPr>
      </w:pPr>
      <w:r w:rsidRPr="003B76DB">
        <w:rPr>
          <w:rFonts w:cs="Arial"/>
        </w:rPr>
        <w:t>Identificar exposición del Ministerio en relación a los dist</w:t>
      </w:r>
      <w:r w:rsidR="00EF49DC">
        <w:rPr>
          <w:rFonts w:cs="Arial"/>
        </w:rPr>
        <w:t>intos tipos de riesgo operativo</w:t>
      </w:r>
    </w:p>
    <w:p w:rsidR="00DD38FB" w:rsidRPr="003B76DB" w:rsidRDefault="00DD38FB" w:rsidP="003B76DB">
      <w:pPr>
        <w:numPr>
          <w:ilvl w:val="0"/>
          <w:numId w:val="6"/>
        </w:numPr>
        <w:spacing w:line="276" w:lineRule="auto"/>
        <w:rPr>
          <w:rFonts w:cs="Arial"/>
        </w:rPr>
      </w:pPr>
      <w:r w:rsidRPr="003B76DB">
        <w:rPr>
          <w:rFonts w:cs="Arial"/>
        </w:rPr>
        <w:t>Ser un insumo de información fundamental para el an</w:t>
      </w:r>
      <w:r w:rsidR="00EF49DC">
        <w:rPr>
          <w:rFonts w:cs="Arial"/>
        </w:rPr>
        <w:t>álisis en la toma de decisiones</w:t>
      </w:r>
    </w:p>
    <w:p w:rsidR="00DD38FB" w:rsidRPr="003B76DB" w:rsidRDefault="00DD38FB" w:rsidP="003B76DB">
      <w:pPr>
        <w:numPr>
          <w:ilvl w:val="0"/>
          <w:numId w:val="6"/>
        </w:numPr>
        <w:spacing w:line="276" w:lineRule="auto"/>
        <w:rPr>
          <w:rFonts w:cs="Arial"/>
        </w:rPr>
      </w:pPr>
      <w:r w:rsidRPr="003B76DB">
        <w:rPr>
          <w:rFonts w:cs="Arial"/>
        </w:rPr>
        <w:t>Aplicar dentro de los procesos más significativos del Ministerio las mejores prácticas para prevenir los posible</w:t>
      </w:r>
      <w:r w:rsidR="00EF49DC">
        <w:rPr>
          <w:rFonts w:cs="Arial"/>
        </w:rPr>
        <w:t>s riesgos operativos asociados.</w:t>
      </w:r>
    </w:p>
    <w:p w:rsidR="00DD38FB" w:rsidRPr="003B76DB" w:rsidRDefault="00DD38FB" w:rsidP="003B76DB">
      <w:pPr>
        <w:spacing w:line="276" w:lineRule="auto"/>
        <w:rPr>
          <w:rFonts w:cs="Arial"/>
          <w:b/>
          <w:bCs/>
          <w:color w:val="000000"/>
          <w:sz w:val="32"/>
          <w:szCs w:val="28"/>
        </w:rPr>
      </w:pPr>
    </w:p>
    <w:p w:rsidR="00DD38FB" w:rsidRPr="003B76DB" w:rsidRDefault="00EF49DC" w:rsidP="00EF49DC">
      <w:pPr>
        <w:pStyle w:val="Ttulo3"/>
        <w:numPr>
          <w:ilvl w:val="1"/>
          <w:numId w:val="23"/>
        </w:numPr>
        <w:ind w:left="567"/>
        <w:jc w:val="left"/>
      </w:pPr>
      <w:bookmarkStart w:id="52" w:name="_Toc507771257"/>
      <w:bookmarkStart w:id="53" w:name="_Toc4590634"/>
      <w:r>
        <w:t>Procedimiento para la Identificación de Riesgos O</w:t>
      </w:r>
      <w:r w:rsidR="00DD38FB" w:rsidRPr="003B76DB">
        <w:t>perativos</w:t>
      </w:r>
      <w:bookmarkEnd w:id="52"/>
      <w:bookmarkEnd w:id="53"/>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 xml:space="preserve">Para la identificación de riesgos los funcionarios de la DGCPTN acompañados por el gestor de riesgo del área, basados en las actividades descritas en los procesos y procedimientos del </w:t>
      </w:r>
      <w:r w:rsidR="00EF49DC">
        <w:rPr>
          <w:rFonts w:cs="Arial"/>
          <w:color w:val="000000"/>
        </w:rPr>
        <w:t>SUG</w:t>
      </w:r>
      <w:r w:rsidRPr="003B76DB">
        <w:rPr>
          <w:rFonts w:cs="Arial"/>
          <w:color w:val="000000"/>
        </w:rPr>
        <w:t xml:space="preserve">, mediante el método </w:t>
      </w:r>
      <w:r w:rsidRPr="003C518A">
        <w:rPr>
          <w:rFonts w:cs="Arial"/>
          <w:color w:val="000000"/>
        </w:rPr>
        <w:t>Delphi</w:t>
      </w:r>
      <w:r w:rsidRPr="003B76DB">
        <w:rPr>
          <w:rFonts w:cs="Arial"/>
          <w:color w:val="000000"/>
        </w:rPr>
        <w:t xml:space="preserve"> o juicio de expertos documentarán en el formato de identificación de riesgo o de registro de evento de riesgo los riesgos a los que se encuentran expuestos en sus procesos, los cuales </w:t>
      </w:r>
      <w:r w:rsidRPr="003B76DB">
        <w:rPr>
          <w:rFonts w:cs="Arial"/>
          <w:color w:val="000000"/>
        </w:rPr>
        <w:lastRenderedPageBreak/>
        <w:t>deben ser comunicados y avalados por el dueño del proceso. Este formato debe ser enviado a la Subdirección de Riesgo para incluirlos en los mapas de riesgo de la Dirección.</w:t>
      </w:r>
    </w:p>
    <w:p w:rsidR="00DD38FB" w:rsidRPr="003B76DB" w:rsidRDefault="001967B7" w:rsidP="003B76DB">
      <w:pPr>
        <w:spacing w:line="276" w:lineRule="auto"/>
        <w:rPr>
          <w:rFonts w:cs="Arial"/>
          <w:color w:val="000000"/>
        </w:rPr>
      </w:pPr>
      <w:r w:rsidRPr="003B76DB">
        <w:rPr>
          <w:rFonts w:cs="Arial"/>
          <w:noProof/>
          <w:color w:val="000000"/>
          <w:lang w:val="en-US" w:eastAsia="en-US"/>
        </w:rPr>
        <mc:AlternateContent>
          <mc:Choice Requires="wps">
            <w:drawing>
              <wp:anchor distT="45720" distB="45720" distL="114300" distR="114300" simplePos="0" relativeHeight="251642880" behindDoc="0" locked="0" layoutInCell="1" allowOverlap="1" wp14:anchorId="7753BB6C" wp14:editId="624A1C43">
                <wp:simplePos x="0" y="0"/>
                <wp:positionH relativeFrom="column">
                  <wp:posOffset>1910715</wp:posOffset>
                </wp:positionH>
                <wp:positionV relativeFrom="paragraph">
                  <wp:posOffset>2540000</wp:posOffset>
                </wp:positionV>
                <wp:extent cx="4000500" cy="1404620"/>
                <wp:effectExtent l="0" t="0" r="19050" b="22225"/>
                <wp:wrapSquare wrapText="bothSides"/>
                <wp:docPr id="3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404620"/>
                        </a:xfrm>
                        <a:prstGeom prst="rect">
                          <a:avLst/>
                        </a:prstGeom>
                        <a:solidFill>
                          <a:srgbClr val="FFFFFF"/>
                        </a:solidFill>
                        <a:ln w="9525">
                          <a:solidFill>
                            <a:srgbClr val="000000"/>
                          </a:solidFill>
                          <a:miter lim="800000"/>
                          <a:headEnd/>
                          <a:tailEnd/>
                        </a:ln>
                      </wps:spPr>
                      <wps:txbx>
                        <w:txbxContent>
                          <w:p w:rsidR="00302E19" w:rsidRDefault="00302E19" w:rsidP="00DD38FB">
                            <w:r>
                              <w:t>La Subdirección de Riesgo, incluirá el riesgo en el mapa de riesgos de la Dirección y hará seguimiento a los controles implementados o por implementar para mitigar el riesgo.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53BB6C" id="Cuadro de texto 2" o:spid="_x0000_s1031" type="#_x0000_t202" style="position:absolute;left:0;text-align:left;margin-left:150.45pt;margin-top:200pt;width:315pt;height:110.6pt;z-index:251642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">
                <v:textbox style="mso-fit-shape-to-text:t">
                  <w:txbxContent>
                    <w:p w:rsidR="00302E19" w:rsidRDefault="00302E19" w:rsidP="00DD38FB">
                      <w:r>
                        <w:t>La Subdirección de Riesgo, incluirá el riesgo en el mapa de riesgos de la Dirección y hará seguimiento a los controles implementados o por implementar para mitigar el riesgo.</w:t>
                      </w:r>
                    </w:p>
                  </w:txbxContent>
                </v:textbox>
                <w10:wrap type="square"/>
              </v:shape>
            </w:pict>
          </mc:Fallback>
        </mc:AlternateContent>
      </w:r>
    </w:p>
    <w:p w:rsidR="00DD38FB" w:rsidRPr="003B76DB" w:rsidRDefault="00DD38FB" w:rsidP="003B76DB">
      <w:pPr>
        <w:tabs>
          <w:tab w:val="left" w:pos="1605"/>
        </w:tabs>
        <w:spacing w:line="276" w:lineRule="auto"/>
        <w:rPr>
          <w:rFonts w:cs="Arial"/>
          <w:color w:val="000000"/>
        </w:rPr>
      </w:pPr>
      <w:r w:rsidRPr="003B76DB">
        <w:rPr>
          <w:rFonts w:cs="Arial"/>
          <w:noProof/>
          <w:color w:val="000000"/>
          <w:lang w:val="en-US" w:eastAsia="en-US"/>
        </w:rPr>
        <mc:AlternateContent>
          <mc:Choice Requires="wps">
            <w:drawing>
              <wp:anchor distT="45720" distB="45720" distL="114300" distR="114300" simplePos="0" relativeHeight="251633664" behindDoc="0" locked="0" layoutInCell="1" allowOverlap="1" wp14:anchorId="5DB612BB" wp14:editId="2CF98160">
                <wp:simplePos x="0" y="0"/>
                <wp:positionH relativeFrom="column">
                  <wp:posOffset>1910715</wp:posOffset>
                </wp:positionH>
                <wp:positionV relativeFrom="paragraph">
                  <wp:posOffset>186055</wp:posOffset>
                </wp:positionV>
                <wp:extent cx="3981450" cy="638175"/>
                <wp:effectExtent l="0" t="0" r="19050" b="28575"/>
                <wp:wrapSquare wrapText="bothSides"/>
                <wp:docPr id="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38175"/>
                        </a:xfrm>
                        <a:prstGeom prst="rect">
                          <a:avLst/>
                        </a:prstGeom>
                        <a:solidFill>
                          <a:srgbClr val="FFFFFF"/>
                        </a:solidFill>
                        <a:ln w="9525">
                          <a:solidFill>
                            <a:srgbClr val="000000"/>
                          </a:solidFill>
                          <a:miter lim="800000"/>
                          <a:headEnd/>
                          <a:tailEnd/>
                        </a:ln>
                      </wps:spPr>
                      <wps:txbx>
                        <w:txbxContent>
                          <w:p w:rsidR="00302E19" w:rsidRDefault="00302E19" w:rsidP="00DD38FB">
                            <w:r>
                              <w:t>Cuando se identifica un riesgo operativo cada funcionario que ejecuta el proceso debe documentar en el formato de identificación de riesgo.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612BB" id="_x0000_s1032" type="#_x0000_t202" style="position:absolute;left:0;text-align:left;margin-left:150.45pt;margin-top:14.65pt;width:313.5pt;height:50.25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">
                <v:textbox>
                  <w:txbxContent>
                    <w:p w:rsidR="00302E19" w:rsidRDefault="00302E19" w:rsidP="00DD38FB">
                      <w:r>
                        <w:t>Cuando se identifica un riesgo operativo cada funcionario que ejecuta el proceso debe documentar en el formato de identificación de riesgo.</w:t>
                      </w:r>
                    </w:p>
                  </w:txbxContent>
                </v:textbox>
                <w10:wrap type="square"/>
              </v:shape>
            </w:pict>
          </mc:Fallback>
        </mc:AlternateContent>
      </w:r>
      <w:r w:rsidRPr="003B76DB">
        <w:rPr>
          <w:rFonts w:cs="Arial"/>
          <w:noProof/>
          <w:color w:val="000000"/>
          <w:lang w:val="en-US" w:eastAsia="en-US"/>
        </w:rPr>
        <mc:AlternateContent>
          <mc:Choice Requires="wps">
            <w:drawing>
              <wp:anchor distT="45720" distB="45720" distL="114300" distR="114300" simplePos="0" relativeHeight="251636736" behindDoc="0" locked="0" layoutInCell="1" allowOverlap="1" wp14:anchorId="7AE519DC" wp14:editId="421E12E5">
                <wp:simplePos x="0" y="0"/>
                <wp:positionH relativeFrom="column">
                  <wp:posOffset>1910715</wp:posOffset>
                </wp:positionH>
                <wp:positionV relativeFrom="paragraph">
                  <wp:posOffset>909955</wp:posOffset>
                </wp:positionV>
                <wp:extent cx="4000500" cy="628650"/>
                <wp:effectExtent l="0" t="0" r="19050" b="19050"/>
                <wp:wrapSquare wrapText="bothSides"/>
                <wp:docPr id="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628650"/>
                        </a:xfrm>
                        <a:prstGeom prst="rect">
                          <a:avLst/>
                        </a:prstGeom>
                        <a:solidFill>
                          <a:srgbClr val="FFFFFF"/>
                        </a:solidFill>
                        <a:ln w="9525">
                          <a:solidFill>
                            <a:srgbClr val="000000"/>
                          </a:solidFill>
                          <a:miter lim="800000"/>
                          <a:headEnd/>
                          <a:tailEnd/>
                        </a:ln>
                      </wps:spPr>
                      <wps:txbx>
                        <w:txbxContent>
                          <w:p w:rsidR="00302E19" w:rsidRDefault="00302E19" w:rsidP="00DD38FB">
                            <w:r>
                              <w:t>El gestor de riesgo brindará al funcionario el apoyo en el diligenciamiento del formato en cuanto a la calificación del riesgo y la propuesta de controles para mitigar el riesgo.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519DC" id="_x0000_s1033" type="#_x0000_t202" style="position:absolute;left:0;text-align:left;margin-left:150.45pt;margin-top:71.65pt;width:315pt;height:49.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">
                <v:textbox>
                  <w:txbxContent>
                    <w:p w:rsidR="00302E19" w:rsidRDefault="00302E19" w:rsidP="00DD38FB">
                      <w:r>
                        <w:t>El gestor de riesgo brindará al funcionario el apoyo en el diligenciamiento del formato en cuanto a la calificación del riesgo y la propuesta de controles para mitigar el riesgo.</w:t>
                      </w:r>
                    </w:p>
                  </w:txbxContent>
                </v:textbox>
                <w10:wrap type="square"/>
              </v:shape>
            </w:pict>
          </mc:Fallback>
        </mc:AlternateContent>
      </w:r>
      <w:r w:rsidRPr="003B76DB">
        <w:rPr>
          <w:rFonts w:cs="Arial"/>
          <w:noProof/>
          <w:color w:val="000000"/>
          <w:lang w:val="en-US" w:eastAsia="en-US"/>
        </w:rPr>
        <mc:AlternateContent>
          <mc:Choice Requires="wps">
            <w:drawing>
              <wp:anchor distT="45720" distB="45720" distL="114300" distR="114300" simplePos="0" relativeHeight="251639808" behindDoc="0" locked="0" layoutInCell="1" allowOverlap="1" wp14:anchorId="16C7AC57" wp14:editId="052B5495">
                <wp:simplePos x="0" y="0"/>
                <wp:positionH relativeFrom="column">
                  <wp:posOffset>1910715</wp:posOffset>
                </wp:positionH>
                <wp:positionV relativeFrom="paragraph">
                  <wp:posOffset>1681480</wp:posOffset>
                </wp:positionV>
                <wp:extent cx="4000500" cy="466725"/>
                <wp:effectExtent l="0" t="0" r="19050" b="28575"/>
                <wp:wrapSquare wrapText="bothSides"/>
                <wp:docPr id="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466725"/>
                        </a:xfrm>
                        <a:prstGeom prst="rect">
                          <a:avLst/>
                        </a:prstGeom>
                        <a:solidFill>
                          <a:srgbClr val="FFFFFF"/>
                        </a:solidFill>
                        <a:ln w="9525">
                          <a:solidFill>
                            <a:srgbClr val="000000"/>
                          </a:solidFill>
                          <a:miter lim="800000"/>
                          <a:headEnd/>
                          <a:tailEnd/>
                        </a:ln>
                      </wps:spPr>
                      <wps:txbx>
                        <w:txbxContent>
                          <w:p w:rsidR="00302E19" w:rsidRDefault="00302E19" w:rsidP="00DD38FB">
                            <w:r>
                              <w:t>El subdirector del área revisará los riesgos identificados y aprobará los controles propuestos para mitigar el riesgo.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7AC57" id="_x0000_s1034" type="#_x0000_t202" style="position:absolute;left:0;text-align:left;margin-left:150.45pt;margin-top:132.4pt;width:315pt;height:36.7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">
                <v:textbox>
                  <w:txbxContent>
                    <w:p w:rsidR="00302E19" w:rsidRDefault="00302E19" w:rsidP="00DD38FB">
                      <w:r>
                        <w:t>El subdirector del área revisará los riesgos identificados y aprobará los controles propuestos para mitigar el riesgo.</w:t>
                      </w:r>
                    </w:p>
                  </w:txbxContent>
                </v:textbox>
                <w10:wrap type="square"/>
              </v:shape>
            </w:pict>
          </mc:Fallback>
        </mc:AlternateContent>
      </w:r>
      <w:r w:rsidRPr="003B76DB">
        <w:rPr>
          <w:rFonts w:cs="Arial"/>
          <w:noProof/>
          <w:color w:val="000000"/>
          <w:lang w:val="en-US" w:eastAsia="en-US"/>
        </w:rPr>
        <mc:AlternateContent>
          <mc:Choice Requires="wps">
            <w:drawing>
              <wp:anchor distT="45720" distB="45720" distL="114300" distR="114300" simplePos="0" relativeHeight="251645952" behindDoc="0" locked="0" layoutInCell="1" allowOverlap="1" wp14:anchorId="6A589CD6" wp14:editId="6485AD3C">
                <wp:simplePos x="0" y="0"/>
                <wp:positionH relativeFrom="column">
                  <wp:posOffset>1910715</wp:posOffset>
                </wp:positionH>
                <wp:positionV relativeFrom="paragraph">
                  <wp:posOffset>3157855</wp:posOffset>
                </wp:positionV>
                <wp:extent cx="4000500" cy="1404620"/>
                <wp:effectExtent l="0" t="0" r="19050" b="27940"/>
                <wp:wrapSquare wrapText="bothSides"/>
                <wp:docPr id="3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404620"/>
                        </a:xfrm>
                        <a:prstGeom prst="rect">
                          <a:avLst/>
                        </a:prstGeom>
                        <a:solidFill>
                          <a:srgbClr val="FFFFFF"/>
                        </a:solidFill>
                        <a:ln w="9525">
                          <a:solidFill>
                            <a:srgbClr val="000000"/>
                          </a:solidFill>
                          <a:miter lim="800000"/>
                          <a:headEnd/>
                          <a:tailEnd/>
                        </a:ln>
                      </wps:spPr>
                      <wps:txbx>
                        <w:txbxContent>
                          <w:p w:rsidR="00302E19" w:rsidRDefault="00302E19" w:rsidP="00DD38FB">
                            <w:r>
                              <w:t>La DGCPTN aprobará el perfil de riesgo operativo y hará seguimiento a su evolución.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589CD6" id="_x0000_s1035" type="#_x0000_t202" style="position:absolute;left:0;text-align:left;margin-left:150.45pt;margin-top:248.65pt;width:315pt;height:110.6pt;z-index:25164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">
                <v:textbox style="mso-fit-shape-to-text:t">
                  <w:txbxContent>
                    <w:p w:rsidR="00302E19" w:rsidRDefault="00302E19" w:rsidP="00DD38FB">
                      <w:r>
                        <w:t>La DGCPTN aprobará el perfil de riesgo operativo y hará seguimiento a su evolución.</w:t>
                      </w:r>
                    </w:p>
                  </w:txbxContent>
                </v:textbox>
                <w10:wrap type="square"/>
              </v:shape>
            </w:pict>
          </mc:Fallback>
        </mc:AlternateContent>
      </w:r>
      <w:r w:rsidRPr="003B76DB">
        <w:rPr>
          <w:rFonts w:cs="Arial"/>
          <w:noProof/>
          <w:color w:val="000000"/>
          <w:lang w:val="en-US" w:eastAsia="en-US"/>
        </w:rPr>
        <w:drawing>
          <wp:anchor distT="0" distB="0" distL="114300" distR="114300" simplePos="0" relativeHeight="251630592" behindDoc="0" locked="0" layoutInCell="1" allowOverlap="1" wp14:anchorId="502B2442" wp14:editId="221AE3BA">
            <wp:simplePos x="1076325" y="895350"/>
            <wp:positionH relativeFrom="margin">
              <wp:align>left</wp:align>
            </wp:positionH>
            <wp:positionV relativeFrom="paragraph">
              <wp:align>top</wp:align>
            </wp:positionV>
            <wp:extent cx="2381250" cy="3887470"/>
            <wp:effectExtent l="0" t="0" r="0" b="17780"/>
            <wp:wrapSquare wrapText="bothSides"/>
            <wp:docPr id="25" name="Diagrama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r w:rsidRPr="003B76DB">
        <w:rPr>
          <w:rFonts w:cs="Arial"/>
          <w:color w:val="000000"/>
        </w:rPr>
        <w:tab/>
      </w:r>
      <w:r w:rsidRPr="003B76DB">
        <w:rPr>
          <w:rFonts w:cs="Arial"/>
          <w:color w:val="000000"/>
        </w:rPr>
        <w:tab/>
      </w:r>
      <w:r w:rsidRPr="003B76DB">
        <w:rPr>
          <w:rFonts w:cs="Arial"/>
          <w:color w:val="000000"/>
        </w:rPr>
        <w:tab/>
      </w:r>
    </w:p>
    <w:p w:rsidR="00EF49DC" w:rsidRDefault="00DD38FB" w:rsidP="003B76DB">
      <w:pPr>
        <w:spacing w:line="276" w:lineRule="auto"/>
        <w:rPr>
          <w:rFonts w:cs="Arial"/>
          <w:color w:val="000000"/>
        </w:rPr>
      </w:pPr>
      <w:r w:rsidRPr="003B76DB">
        <w:rPr>
          <w:rFonts w:cs="Arial"/>
          <w:color w:val="000000"/>
        </w:rPr>
        <w:br w:type="textWrapping" w:clear="all"/>
      </w:r>
    </w:p>
    <w:p w:rsidR="00DD38FB" w:rsidRDefault="00DD38FB" w:rsidP="003B76DB">
      <w:pPr>
        <w:spacing w:line="276" w:lineRule="auto"/>
        <w:rPr>
          <w:rFonts w:cs="Arial"/>
          <w:color w:val="000000"/>
        </w:rPr>
      </w:pPr>
      <w:r w:rsidRPr="003B76DB">
        <w:rPr>
          <w:rFonts w:cs="Arial"/>
          <w:color w:val="000000"/>
        </w:rPr>
        <w:t>De acuerdo a la guía para la administración de riesgos del Ministerio, la definición de las causas es de gran relevancia para lograr una adecuada administración del riesgo. Son las causas, los factores a eliminar o mitigar, para que el riesgo no se materialice, mediante la definición de controles efectivos. Dichas causas deben ser analizadas en la etapa de identificación o incluso cuando un riesgo se ha materializado.</w:t>
      </w:r>
    </w:p>
    <w:p w:rsidR="00EF49DC" w:rsidRPr="003B76DB" w:rsidRDefault="00EF49DC"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 xml:space="preserve">Para </w:t>
      </w:r>
      <w:r w:rsidR="00EF49DC">
        <w:rPr>
          <w:rFonts w:cs="Arial"/>
          <w:color w:val="000000"/>
        </w:rPr>
        <w:t xml:space="preserve">tal fin, </w:t>
      </w:r>
      <w:r w:rsidRPr="003B76DB">
        <w:rPr>
          <w:rFonts w:cs="Arial"/>
          <w:color w:val="000000"/>
        </w:rPr>
        <w:t xml:space="preserve">se utiliza la metodología del diagrama de </w:t>
      </w:r>
      <w:r w:rsidRPr="003C518A">
        <w:rPr>
          <w:rFonts w:cs="Arial"/>
          <w:color w:val="000000"/>
        </w:rPr>
        <w:t>Ishikawa</w:t>
      </w:r>
      <w:r w:rsidR="0063381F">
        <w:rPr>
          <w:rFonts w:cs="Arial"/>
          <w:color w:val="000000"/>
        </w:rPr>
        <w:t xml:space="preserve"> (espina de pescado)</w:t>
      </w:r>
      <w:r w:rsidRPr="003B76DB">
        <w:rPr>
          <w:rFonts w:cs="Arial"/>
          <w:color w:val="000000"/>
        </w:rPr>
        <w:t>, es un método que permite visualizar de manera estructurada todas las causas posibles del riesgo mediante el análisis desde los agentes generadores de riesgo.</w:t>
      </w:r>
    </w:p>
    <w:p w:rsidR="00DD38FB" w:rsidRPr="003B76DB" w:rsidRDefault="00DD38FB" w:rsidP="003B76DB">
      <w:pPr>
        <w:spacing w:line="276" w:lineRule="auto"/>
        <w:jc w:val="center"/>
      </w:pPr>
      <w:r w:rsidRPr="003B76DB">
        <w:rPr>
          <w:noProof/>
          <w:lang w:val="en-US" w:eastAsia="en-US"/>
        </w:rPr>
        <w:lastRenderedPageBreak/>
        <w:drawing>
          <wp:inline distT="0" distB="0" distL="0" distR="0" wp14:anchorId="7C9F11AF" wp14:editId="7D7672D6">
            <wp:extent cx="3390900" cy="202770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10282" cy="2039290"/>
                    </a:xfrm>
                    <a:prstGeom prst="rect">
                      <a:avLst/>
                    </a:prstGeom>
                    <a:noFill/>
                    <a:ln>
                      <a:noFill/>
                    </a:ln>
                  </pic:spPr>
                </pic:pic>
              </a:graphicData>
            </a:graphic>
          </wp:inline>
        </w:drawing>
      </w:r>
    </w:p>
    <w:p w:rsidR="00DD38FB" w:rsidRPr="003B76DB" w:rsidRDefault="00DD38FB" w:rsidP="003B76DB">
      <w:pPr>
        <w:spacing w:line="276" w:lineRule="auto"/>
        <w:rPr>
          <w:rFonts w:cs="Arial"/>
          <w:color w:val="000000"/>
        </w:rPr>
      </w:pPr>
    </w:p>
    <w:p w:rsidR="00DD38FB" w:rsidRPr="003B76DB" w:rsidRDefault="00DD38FB" w:rsidP="003B76DB">
      <w:pPr>
        <w:spacing w:line="276" w:lineRule="auto"/>
        <w:ind w:left="-1134"/>
        <w:rPr>
          <w:rFonts w:cs="Arial"/>
          <w:b/>
          <w:bCs/>
          <w:color w:val="000000"/>
          <w:sz w:val="32"/>
          <w:szCs w:val="28"/>
        </w:rPr>
      </w:pPr>
      <w:r w:rsidRPr="003B76DB">
        <w:rPr>
          <w:noProof/>
          <w:lang w:val="en-US" w:eastAsia="en-US"/>
        </w:rPr>
        <w:drawing>
          <wp:inline distT="0" distB="0" distL="0" distR="0" wp14:anchorId="44207D25" wp14:editId="2D6DC298">
            <wp:extent cx="7181850" cy="5203298"/>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99658" cy="5216200"/>
                    </a:xfrm>
                    <a:prstGeom prst="rect">
                      <a:avLst/>
                    </a:prstGeom>
                    <a:noFill/>
                    <a:ln>
                      <a:noFill/>
                    </a:ln>
                  </pic:spPr>
                </pic:pic>
              </a:graphicData>
            </a:graphic>
          </wp:inline>
        </w:drawing>
      </w:r>
    </w:p>
    <w:p w:rsidR="00DD38FB" w:rsidRPr="003B76DB" w:rsidRDefault="00DD38FB" w:rsidP="003B76DB">
      <w:pPr>
        <w:pStyle w:val="Ttulo2"/>
        <w:spacing w:line="276" w:lineRule="auto"/>
      </w:pPr>
    </w:p>
    <w:p w:rsidR="001937C5" w:rsidRDefault="00DD38FB" w:rsidP="001108C8">
      <w:pPr>
        <w:pStyle w:val="Ttulo3"/>
        <w:numPr>
          <w:ilvl w:val="1"/>
          <w:numId w:val="23"/>
        </w:numPr>
        <w:spacing w:before="0" w:line="276" w:lineRule="auto"/>
        <w:ind w:left="426" w:hanging="284"/>
      </w:pPr>
      <w:bookmarkStart w:id="54" w:name="_Toc507771258"/>
      <w:bookmarkStart w:id="55" w:name="_Toc4590635"/>
      <w:r w:rsidRPr="003B76DB">
        <w:t>Medición de los riesgos operativos</w:t>
      </w:r>
      <w:bookmarkEnd w:id="54"/>
      <w:bookmarkEnd w:id="55"/>
    </w:p>
    <w:p w:rsidR="001937C5" w:rsidRPr="001937C5" w:rsidRDefault="001937C5" w:rsidP="001937C5"/>
    <w:p w:rsidR="00DD38FB" w:rsidRDefault="00DD38FB" w:rsidP="001937C5">
      <w:pPr>
        <w:spacing w:line="276" w:lineRule="auto"/>
        <w:rPr>
          <w:rFonts w:cs="Arial"/>
        </w:rPr>
      </w:pPr>
      <w:r w:rsidRPr="003B76DB">
        <w:rPr>
          <w:rFonts w:cs="Arial"/>
        </w:rPr>
        <w:t>Los criterios para efectuar la medición de los riesgos son los siguientes:</w:t>
      </w:r>
    </w:p>
    <w:p w:rsidR="0063381F" w:rsidRPr="003B76DB" w:rsidRDefault="0063381F" w:rsidP="001937C5">
      <w:pPr>
        <w:spacing w:line="276" w:lineRule="auto"/>
        <w:rPr>
          <w:rFonts w:cs="Arial"/>
        </w:rPr>
      </w:pPr>
    </w:p>
    <w:p w:rsidR="00DD38FB" w:rsidRPr="003B76DB" w:rsidRDefault="00DD38FB" w:rsidP="001937C5">
      <w:pPr>
        <w:spacing w:line="276" w:lineRule="auto"/>
        <w:rPr>
          <w:rFonts w:cs="Arial"/>
        </w:rPr>
      </w:pPr>
      <w:r w:rsidRPr="003B76DB">
        <w:rPr>
          <w:rFonts w:cs="Arial"/>
          <w:b/>
        </w:rPr>
        <w:t>Probabilidad de ocurrencia</w:t>
      </w:r>
      <w:r w:rsidRPr="003B76DB">
        <w:rPr>
          <w:rFonts w:cs="Arial"/>
        </w:rPr>
        <w:t xml:space="preserve">: La unidad de medida </w:t>
      </w:r>
      <w:r w:rsidR="0063381F">
        <w:rPr>
          <w:rFonts w:cs="Arial"/>
        </w:rPr>
        <w:t>será: Raro, Improbable, Moderado, Probable, Casi Certeza</w:t>
      </w:r>
      <w:r w:rsidRPr="003B76DB">
        <w:rPr>
          <w:rFonts w:cs="Arial"/>
        </w:rPr>
        <w:t>. Para establecer la probabilidad de ocurrencia, se deberá tener en cuenta si se han presentado eventos de riesgo de manera permanente, esporádica o recurrente.</w:t>
      </w:r>
    </w:p>
    <w:p w:rsidR="00DD38FB" w:rsidRPr="003B76DB" w:rsidRDefault="00DD38FB" w:rsidP="003B76DB">
      <w:pPr>
        <w:spacing w:line="276" w:lineRule="auto"/>
      </w:pPr>
    </w:p>
    <w:p w:rsidR="00DD38FB" w:rsidRPr="003B76DB" w:rsidRDefault="00DD38FB" w:rsidP="003B76DB">
      <w:pPr>
        <w:spacing w:line="276" w:lineRule="auto"/>
        <w:rPr>
          <w:rFonts w:cs="Arial"/>
        </w:rPr>
      </w:pPr>
      <w:r w:rsidRPr="003B76DB">
        <w:rPr>
          <w:rFonts w:cs="Arial"/>
          <w:b/>
        </w:rPr>
        <w:t>Impacto</w:t>
      </w:r>
      <w:r w:rsidRPr="003B76DB">
        <w:rPr>
          <w:rFonts w:cs="Arial"/>
        </w:rPr>
        <w:t xml:space="preserve">: La unidad de </w:t>
      </w:r>
      <w:r w:rsidR="0063381F">
        <w:rPr>
          <w:rFonts w:cs="Arial"/>
        </w:rPr>
        <w:t>m</w:t>
      </w:r>
      <w:r w:rsidRPr="003B76DB">
        <w:rPr>
          <w:rFonts w:cs="Arial"/>
        </w:rPr>
        <w:t>edida para el impacto será: Insignificante, Menor, Moderado, Mayor y Catastrófico y se califica teniendo en cuenta sus efectos económicos,</w:t>
      </w:r>
      <w:r w:rsidR="0063381F">
        <w:rPr>
          <w:rFonts w:cs="Arial"/>
        </w:rPr>
        <w:t xml:space="preserve"> reputacional, legal y o</w:t>
      </w:r>
      <w:r w:rsidRPr="003B76DB">
        <w:rPr>
          <w:rFonts w:cs="Arial"/>
        </w:rPr>
        <w:t>perativo.</w:t>
      </w:r>
    </w:p>
    <w:p w:rsidR="00DD38FB" w:rsidRDefault="00DD38FB" w:rsidP="003B76DB">
      <w:pPr>
        <w:spacing w:line="276" w:lineRule="auto"/>
        <w:rPr>
          <w:rFonts w:cs="Arial"/>
        </w:rPr>
      </w:pPr>
      <w:r w:rsidRPr="003B76DB">
        <w:rPr>
          <w:rFonts w:cs="Arial"/>
        </w:rPr>
        <w:t>Los niveles de cada una de las escalas de medición serán definidos por la Subdirección de Riesgo de acuerdo a criterios estadísticos.</w:t>
      </w:r>
    </w:p>
    <w:p w:rsidR="0063381F" w:rsidRPr="003B76DB" w:rsidRDefault="0063381F" w:rsidP="003B76DB">
      <w:pPr>
        <w:spacing w:line="276" w:lineRule="auto"/>
        <w:rPr>
          <w:rFonts w:cs="Arial"/>
        </w:rPr>
      </w:pPr>
    </w:p>
    <w:p w:rsidR="00DD38FB" w:rsidRPr="003B76DB" w:rsidRDefault="00DD38FB" w:rsidP="003B76DB">
      <w:pPr>
        <w:spacing w:line="276" w:lineRule="auto"/>
        <w:rPr>
          <w:rFonts w:cs="Arial"/>
        </w:rPr>
      </w:pPr>
      <w:r w:rsidRPr="003B76DB">
        <w:rPr>
          <w:rFonts w:cs="Arial"/>
        </w:rPr>
        <w:t>Una vez se realice la medición de la probabilidad y del impacto para los riesgos de cada proceso por las áreas responsables, la Subdirección de Riesgo revisará la calificación dada y debe realizar la medición consolidada para la Dirección, determinando el perfil de Riesgo Inherente.</w:t>
      </w:r>
    </w:p>
    <w:p w:rsidR="00DD38FB" w:rsidRPr="003B76DB" w:rsidRDefault="00DD38FB" w:rsidP="0063381F">
      <w:pPr>
        <w:pStyle w:val="Ttulo4"/>
      </w:pPr>
      <w:bookmarkStart w:id="56" w:name="_Toc507771259"/>
      <w:bookmarkStart w:id="57" w:name="_Toc4590636"/>
      <w:r w:rsidRPr="003B76DB">
        <w:t>Definición de los niveles de riesgo operativo.</w:t>
      </w:r>
      <w:bookmarkEnd w:id="56"/>
      <w:bookmarkEnd w:id="57"/>
    </w:p>
    <w:p w:rsidR="00DD38FB" w:rsidRPr="003B76DB" w:rsidRDefault="00DD38FB" w:rsidP="003B76DB">
      <w:pPr>
        <w:spacing w:line="276" w:lineRule="auto"/>
      </w:pPr>
    </w:p>
    <w:p w:rsidR="0063381F" w:rsidRPr="003B76DB" w:rsidRDefault="00DD38FB" w:rsidP="003B76DB">
      <w:pPr>
        <w:spacing w:line="276" w:lineRule="auto"/>
        <w:rPr>
          <w:rFonts w:cs="Arial"/>
          <w:color w:val="000000"/>
        </w:rPr>
      </w:pPr>
      <w:r w:rsidRPr="003B76DB">
        <w:rPr>
          <w:rFonts w:cs="Arial"/>
          <w:color w:val="000000"/>
        </w:rPr>
        <w:t>Los riesgos evidenciados, deberán clasificarse conforme</w:t>
      </w:r>
      <w:r w:rsidR="001A3EA1">
        <w:rPr>
          <w:rFonts w:cs="Arial"/>
          <w:color w:val="000000"/>
        </w:rPr>
        <w:t xml:space="preserve"> a</w:t>
      </w:r>
      <w:r w:rsidRPr="003B76DB">
        <w:rPr>
          <w:rFonts w:cs="Arial"/>
          <w:color w:val="000000"/>
        </w:rPr>
        <w:t xml:space="preserve"> </w:t>
      </w:r>
      <w:r w:rsidR="0063381F">
        <w:rPr>
          <w:rFonts w:cs="Arial"/>
          <w:color w:val="000000"/>
        </w:rPr>
        <w:t>lo</w:t>
      </w:r>
      <w:r w:rsidRPr="003B76DB">
        <w:rPr>
          <w:rFonts w:cs="Arial"/>
          <w:color w:val="000000"/>
        </w:rPr>
        <w:t xml:space="preserve">s anteriores </w:t>
      </w:r>
      <w:r w:rsidR="0063381F">
        <w:rPr>
          <w:rFonts w:cs="Arial"/>
          <w:color w:val="000000"/>
        </w:rPr>
        <w:t>criterios</w:t>
      </w:r>
      <w:r w:rsidRPr="003B76DB">
        <w:rPr>
          <w:rFonts w:cs="Arial"/>
          <w:color w:val="000000"/>
        </w:rPr>
        <w:t xml:space="preserve"> empleando la matriz de riesgo definida. </w:t>
      </w:r>
      <w:r w:rsidR="0063381F">
        <w:rPr>
          <w:rFonts w:cs="Arial"/>
          <w:color w:val="000000"/>
        </w:rPr>
        <w:t>L</w:t>
      </w:r>
      <w:r w:rsidRPr="003B76DB">
        <w:rPr>
          <w:rFonts w:cs="Arial"/>
          <w:color w:val="000000"/>
        </w:rPr>
        <w:t xml:space="preserve">a </w:t>
      </w:r>
      <w:r w:rsidR="0063381F">
        <w:rPr>
          <w:rFonts w:cs="Arial"/>
          <w:color w:val="000000"/>
        </w:rPr>
        <w:t>DGCPTN</w:t>
      </w:r>
      <w:r w:rsidR="001A3EA1">
        <w:rPr>
          <w:rFonts w:cs="Arial"/>
          <w:color w:val="000000"/>
        </w:rPr>
        <w:t xml:space="preserve"> manejará</w:t>
      </w:r>
      <w:r w:rsidRPr="003B76DB">
        <w:rPr>
          <w:rFonts w:cs="Arial"/>
          <w:color w:val="000000"/>
        </w:rPr>
        <w:t xml:space="preserve"> los siguientes niveles para determinar el im</w:t>
      </w:r>
      <w:r w:rsidR="0063381F">
        <w:rPr>
          <w:rFonts w:cs="Arial"/>
          <w:color w:val="000000"/>
        </w:rPr>
        <w:t>pacto de los riesgos operativos según la escala que relaciona probabilidades de</w:t>
      </w:r>
      <w:r w:rsidR="001A3EA1">
        <w:rPr>
          <w:rFonts w:cs="Arial"/>
          <w:color w:val="000000"/>
        </w:rPr>
        <w:t xml:space="preserve"> ocurrencia e impacto:</w:t>
      </w:r>
    </w:p>
    <w:p w:rsidR="00DD38FB" w:rsidRPr="003B76DB" w:rsidRDefault="00DD38FB" w:rsidP="003B76DB">
      <w:pPr>
        <w:spacing w:line="276" w:lineRule="auto"/>
        <w:rPr>
          <w:rFonts w:cs="Arial"/>
          <w:color w:val="000000"/>
        </w:rPr>
      </w:pPr>
      <w:r w:rsidRPr="003B76DB">
        <w:rPr>
          <w:noProof/>
          <w:lang w:val="en-US" w:eastAsia="en-US"/>
        </w:rPr>
        <w:lastRenderedPageBreak/>
        <w:drawing>
          <wp:inline distT="0" distB="0" distL="0" distR="0" wp14:anchorId="66CF0600" wp14:editId="2F262477">
            <wp:extent cx="5612130" cy="3943839"/>
            <wp:effectExtent l="0" t="0" r="762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2130" cy="3943839"/>
                    </a:xfrm>
                    <a:prstGeom prst="rect">
                      <a:avLst/>
                    </a:prstGeom>
                    <a:noFill/>
                    <a:ln>
                      <a:noFill/>
                    </a:ln>
                  </pic:spPr>
                </pic:pic>
              </a:graphicData>
            </a:graphic>
          </wp:inline>
        </w:drawing>
      </w:r>
    </w:p>
    <w:p w:rsidR="001A3EA1" w:rsidRDefault="001A3EA1"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Para determinar la probabilidad de ocurrencia de los riesgos se utilizarán las siguientes escalas:</w:t>
      </w:r>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noProof/>
          <w:lang w:val="en-US" w:eastAsia="en-US"/>
        </w:rPr>
        <w:lastRenderedPageBreak/>
        <w:drawing>
          <wp:inline distT="0" distB="0" distL="0" distR="0" wp14:anchorId="6551A35F" wp14:editId="07F571EB">
            <wp:extent cx="5612130" cy="4242179"/>
            <wp:effectExtent l="0" t="0" r="7620" b="635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2130" cy="4242179"/>
                    </a:xfrm>
                    <a:prstGeom prst="rect">
                      <a:avLst/>
                    </a:prstGeom>
                    <a:noFill/>
                    <a:ln>
                      <a:noFill/>
                    </a:ln>
                  </pic:spPr>
                </pic:pic>
              </a:graphicData>
            </a:graphic>
          </wp:inline>
        </w:drawing>
      </w:r>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Los riesgos evidenciados, deberán clasificarse conforme las anteriores escalas empleando la matriz de riesgo definida:</w:t>
      </w:r>
    </w:p>
    <w:p w:rsidR="00DD38FB" w:rsidRPr="003B76DB" w:rsidRDefault="00DD38FB" w:rsidP="003B76DB">
      <w:pPr>
        <w:spacing w:line="276" w:lineRule="auto"/>
        <w:rPr>
          <w:rFonts w:cs="Arial"/>
          <w:color w:val="000000"/>
        </w:rPr>
      </w:pPr>
    </w:p>
    <w:p w:rsidR="00DD38FB" w:rsidRPr="003B76DB" w:rsidRDefault="00DD38FB" w:rsidP="003B76DB">
      <w:pPr>
        <w:spacing w:line="276" w:lineRule="auto"/>
        <w:jc w:val="center"/>
        <w:rPr>
          <w:rFonts w:cs="Arial"/>
          <w:color w:val="000000"/>
        </w:rPr>
      </w:pPr>
      <w:r w:rsidRPr="003B76DB">
        <w:rPr>
          <w:noProof/>
          <w:lang w:val="en-US" w:eastAsia="en-US"/>
        </w:rPr>
        <w:lastRenderedPageBreak/>
        <w:drawing>
          <wp:inline distT="0" distB="0" distL="0" distR="0" wp14:anchorId="6E200841" wp14:editId="5DE9952E">
            <wp:extent cx="5048250" cy="4574303"/>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49494" cy="4575430"/>
                    </a:xfrm>
                    <a:prstGeom prst="rect">
                      <a:avLst/>
                    </a:prstGeom>
                    <a:noFill/>
                    <a:ln>
                      <a:noFill/>
                    </a:ln>
                  </pic:spPr>
                </pic:pic>
              </a:graphicData>
            </a:graphic>
          </wp:inline>
        </w:drawing>
      </w:r>
    </w:p>
    <w:p w:rsidR="00DD38FB" w:rsidRPr="003B76DB" w:rsidRDefault="00DD38FB" w:rsidP="003B76DB">
      <w:pPr>
        <w:spacing w:line="276" w:lineRule="auto"/>
      </w:pPr>
    </w:p>
    <w:tbl>
      <w:tblPr>
        <w:tblW w:w="8940" w:type="dxa"/>
        <w:tblCellSpacing w:w="0" w:type="dxa"/>
        <w:tblInd w:w="10"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861"/>
        <w:gridCol w:w="6370"/>
      </w:tblGrid>
      <w:tr w:rsidR="00DD38FB" w:rsidRPr="003B76DB" w:rsidTr="00DD38FB">
        <w:trPr>
          <w:trHeight w:val="930"/>
          <w:tblCellSpacing w:w="0" w:type="dxa"/>
        </w:trPr>
        <w:tc>
          <w:tcPr>
            <w:tcW w:w="709" w:type="dxa"/>
            <w:shd w:val="clear" w:color="auto" w:fill="FF3300"/>
          </w:tcPr>
          <w:p w:rsidR="00DD38FB" w:rsidRPr="003B76DB" w:rsidRDefault="00DD38FB" w:rsidP="003B76DB">
            <w:pPr>
              <w:spacing w:line="276" w:lineRule="auto"/>
              <w:ind w:left="-30"/>
              <w:rPr>
                <w:rFonts w:cs="Arial"/>
                <w:sz w:val="20"/>
              </w:rPr>
            </w:pPr>
          </w:p>
        </w:tc>
        <w:tc>
          <w:tcPr>
            <w:tcW w:w="1861" w:type="dxa"/>
            <w:vAlign w:val="center"/>
          </w:tcPr>
          <w:p w:rsidR="00DD38FB" w:rsidRPr="003B76DB" w:rsidRDefault="00DD38FB" w:rsidP="003B76DB">
            <w:pPr>
              <w:spacing w:line="276" w:lineRule="auto"/>
              <w:ind w:left="160"/>
              <w:jc w:val="center"/>
              <w:rPr>
                <w:rFonts w:cs="Arial"/>
                <w:sz w:val="20"/>
              </w:rPr>
            </w:pPr>
            <w:r w:rsidRPr="003B76DB">
              <w:rPr>
                <w:rFonts w:cs="Arial"/>
                <w:sz w:val="20"/>
              </w:rPr>
              <w:t>Riesgo Extremo</w:t>
            </w:r>
          </w:p>
        </w:tc>
        <w:tc>
          <w:tcPr>
            <w:tcW w:w="6370" w:type="dxa"/>
            <w:vAlign w:val="center"/>
          </w:tcPr>
          <w:p w:rsidR="00DD38FB" w:rsidRPr="003B76DB" w:rsidRDefault="00DD38FB" w:rsidP="003B76DB">
            <w:pPr>
              <w:spacing w:line="276" w:lineRule="auto"/>
              <w:ind w:left="99"/>
              <w:rPr>
                <w:rFonts w:cs="Arial"/>
                <w:sz w:val="20"/>
              </w:rPr>
            </w:pPr>
            <w:r w:rsidRPr="003B76DB">
              <w:rPr>
                <w:rFonts w:cs="Arial"/>
                <w:sz w:val="20"/>
              </w:rPr>
              <w:t>Riesgos con frecuencia de ocurrencia alta; no existen los suficientes controles y planes de contingencia, o los actuales resultan insuficientes. (No Aceptado por la DGCPTN.)</w:t>
            </w:r>
          </w:p>
        </w:tc>
      </w:tr>
      <w:tr w:rsidR="00DD38FB" w:rsidRPr="003B76DB" w:rsidTr="00DD38FB">
        <w:trPr>
          <w:trHeight w:val="930"/>
          <w:tblCellSpacing w:w="0" w:type="dxa"/>
        </w:trPr>
        <w:tc>
          <w:tcPr>
            <w:tcW w:w="709" w:type="dxa"/>
            <w:tcBorders>
              <w:top w:val="single" w:sz="8" w:space="0" w:color="000000"/>
              <w:bottom w:val="single" w:sz="8" w:space="0" w:color="000000"/>
            </w:tcBorders>
            <w:shd w:val="clear" w:color="auto" w:fill="FF6600"/>
          </w:tcPr>
          <w:p w:rsidR="00DD38FB" w:rsidRPr="003B76DB" w:rsidRDefault="00DD38FB" w:rsidP="003B76DB">
            <w:pPr>
              <w:spacing w:line="276" w:lineRule="auto"/>
              <w:rPr>
                <w:rFonts w:cs="Arial"/>
                <w:sz w:val="20"/>
              </w:rPr>
            </w:pPr>
          </w:p>
        </w:tc>
        <w:tc>
          <w:tcPr>
            <w:tcW w:w="1861" w:type="dxa"/>
            <w:vAlign w:val="center"/>
          </w:tcPr>
          <w:p w:rsidR="00DD38FB" w:rsidRPr="003B76DB" w:rsidRDefault="00DD38FB" w:rsidP="003B76DB">
            <w:pPr>
              <w:spacing w:line="276" w:lineRule="auto"/>
              <w:ind w:left="160"/>
              <w:jc w:val="center"/>
              <w:rPr>
                <w:rFonts w:cs="Arial"/>
                <w:sz w:val="20"/>
              </w:rPr>
            </w:pPr>
            <w:r w:rsidRPr="003B76DB">
              <w:rPr>
                <w:rFonts w:cs="Arial"/>
                <w:sz w:val="20"/>
              </w:rPr>
              <w:t>Riesgo Alto</w:t>
            </w:r>
          </w:p>
        </w:tc>
        <w:tc>
          <w:tcPr>
            <w:tcW w:w="6370" w:type="dxa"/>
            <w:vAlign w:val="center"/>
          </w:tcPr>
          <w:p w:rsidR="00DD38FB" w:rsidRPr="003B76DB" w:rsidRDefault="00DD38FB" w:rsidP="003B76DB">
            <w:pPr>
              <w:spacing w:line="276" w:lineRule="auto"/>
              <w:ind w:left="99"/>
              <w:rPr>
                <w:rFonts w:cs="Arial"/>
                <w:sz w:val="20"/>
              </w:rPr>
            </w:pPr>
            <w:r w:rsidRPr="003B76DB">
              <w:rPr>
                <w:rFonts w:cs="Arial"/>
                <w:sz w:val="20"/>
              </w:rPr>
              <w:t>Riesgos que pueden tener o no una frecuencia de ocurrencia alta, pero que comparten el hecho de que los controles actuales y planes de contingencia pueden mejorarse. (No Aceptado por la DGCPTN.)</w:t>
            </w:r>
          </w:p>
        </w:tc>
      </w:tr>
      <w:tr w:rsidR="00DD38FB" w:rsidRPr="003B76DB" w:rsidTr="00DD38FB">
        <w:trPr>
          <w:trHeight w:val="930"/>
          <w:tblCellSpacing w:w="0" w:type="dxa"/>
        </w:trPr>
        <w:tc>
          <w:tcPr>
            <w:tcW w:w="709" w:type="dxa"/>
            <w:shd w:val="clear" w:color="auto" w:fill="FFFF66"/>
          </w:tcPr>
          <w:p w:rsidR="00DD38FB" w:rsidRPr="003B76DB" w:rsidRDefault="00DD38FB" w:rsidP="003B76DB">
            <w:pPr>
              <w:spacing w:line="276" w:lineRule="auto"/>
              <w:ind w:left="720"/>
              <w:rPr>
                <w:rFonts w:cs="Arial"/>
                <w:sz w:val="20"/>
              </w:rPr>
            </w:pPr>
          </w:p>
        </w:tc>
        <w:tc>
          <w:tcPr>
            <w:tcW w:w="1861" w:type="dxa"/>
            <w:vAlign w:val="center"/>
          </w:tcPr>
          <w:p w:rsidR="00DD38FB" w:rsidRPr="003B76DB" w:rsidRDefault="00DD38FB" w:rsidP="003B76DB">
            <w:pPr>
              <w:spacing w:line="276" w:lineRule="auto"/>
              <w:ind w:left="160"/>
              <w:jc w:val="center"/>
              <w:rPr>
                <w:rFonts w:cs="Arial"/>
                <w:sz w:val="20"/>
              </w:rPr>
            </w:pPr>
            <w:r w:rsidRPr="003B76DB">
              <w:rPr>
                <w:rFonts w:cs="Arial"/>
                <w:sz w:val="20"/>
              </w:rPr>
              <w:t>Riesgo Moderado</w:t>
            </w:r>
          </w:p>
        </w:tc>
        <w:tc>
          <w:tcPr>
            <w:tcW w:w="6370" w:type="dxa"/>
            <w:vAlign w:val="center"/>
          </w:tcPr>
          <w:p w:rsidR="00DD38FB" w:rsidRPr="003B76DB" w:rsidRDefault="00DD38FB" w:rsidP="003B76DB">
            <w:pPr>
              <w:spacing w:line="276" w:lineRule="auto"/>
              <w:ind w:left="99"/>
              <w:rPr>
                <w:rFonts w:cs="Arial"/>
                <w:sz w:val="20"/>
              </w:rPr>
            </w:pPr>
            <w:r w:rsidRPr="003B76DB">
              <w:rPr>
                <w:rFonts w:cs="Arial"/>
                <w:sz w:val="20"/>
              </w:rPr>
              <w:t>Riesgos de ocurrencia no muy frecuente, aunque probable; para los cuales existen adecuados controles y planes de contingencia.</w:t>
            </w:r>
          </w:p>
        </w:tc>
      </w:tr>
      <w:tr w:rsidR="00DD38FB" w:rsidRPr="003B76DB" w:rsidTr="00DD38FB">
        <w:trPr>
          <w:trHeight w:val="930"/>
          <w:tblCellSpacing w:w="0" w:type="dxa"/>
        </w:trPr>
        <w:tc>
          <w:tcPr>
            <w:tcW w:w="709" w:type="dxa"/>
            <w:shd w:val="clear" w:color="auto" w:fill="00CC00"/>
          </w:tcPr>
          <w:p w:rsidR="00DD38FB" w:rsidRPr="003B76DB" w:rsidRDefault="00DD38FB" w:rsidP="003B76DB">
            <w:pPr>
              <w:spacing w:line="276" w:lineRule="auto"/>
              <w:ind w:left="720"/>
              <w:rPr>
                <w:rFonts w:cs="Arial"/>
                <w:sz w:val="20"/>
              </w:rPr>
            </w:pPr>
          </w:p>
        </w:tc>
        <w:tc>
          <w:tcPr>
            <w:tcW w:w="1861" w:type="dxa"/>
            <w:vAlign w:val="center"/>
          </w:tcPr>
          <w:p w:rsidR="00DD38FB" w:rsidRPr="003B76DB" w:rsidRDefault="00DD38FB" w:rsidP="003B76DB">
            <w:pPr>
              <w:spacing w:line="276" w:lineRule="auto"/>
              <w:ind w:left="160"/>
              <w:jc w:val="center"/>
              <w:rPr>
                <w:rFonts w:cs="Arial"/>
                <w:sz w:val="20"/>
              </w:rPr>
            </w:pPr>
            <w:r w:rsidRPr="003B76DB">
              <w:rPr>
                <w:rFonts w:cs="Arial"/>
                <w:sz w:val="20"/>
              </w:rPr>
              <w:t>Riesgo Bajo</w:t>
            </w:r>
          </w:p>
        </w:tc>
        <w:tc>
          <w:tcPr>
            <w:tcW w:w="6370" w:type="dxa"/>
            <w:vAlign w:val="center"/>
          </w:tcPr>
          <w:p w:rsidR="00DD38FB" w:rsidRPr="003B76DB" w:rsidRDefault="00DD38FB" w:rsidP="003B76DB">
            <w:pPr>
              <w:spacing w:line="276" w:lineRule="auto"/>
              <w:ind w:left="99"/>
              <w:rPr>
                <w:rFonts w:cs="Arial"/>
                <w:sz w:val="20"/>
              </w:rPr>
            </w:pPr>
            <w:r w:rsidRPr="003B76DB">
              <w:rPr>
                <w:rFonts w:cs="Arial"/>
                <w:sz w:val="20"/>
              </w:rPr>
              <w:t>Corresponden a aquellos riesgos de ocurrencia poco probable, para los cuales existen adecuados controles y planes de contingencia</w:t>
            </w:r>
          </w:p>
        </w:tc>
      </w:tr>
    </w:tbl>
    <w:p w:rsidR="00DD38FB" w:rsidRPr="003B76DB" w:rsidRDefault="00DD38FB" w:rsidP="003B76DB">
      <w:pPr>
        <w:spacing w:line="276" w:lineRule="auto"/>
      </w:pPr>
    </w:p>
    <w:p w:rsidR="00DD38FB" w:rsidRDefault="00DD38FB" w:rsidP="00127717">
      <w:pPr>
        <w:pStyle w:val="Ttulo2"/>
        <w:numPr>
          <w:ilvl w:val="0"/>
          <w:numId w:val="23"/>
        </w:numPr>
        <w:spacing w:line="276" w:lineRule="auto"/>
        <w:jc w:val="left"/>
      </w:pPr>
      <w:bookmarkStart w:id="58" w:name="_Toc507771260"/>
      <w:bookmarkStart w:id="59" w:name="_Toc4590637"/>
      <w:r w:rsidRPr="003B76DB">
        <w:lastRenderedPageBreak/>
        <w:t>Autoevaluación de Riesgos y Controles Operativos</w:t>
      </w:r>
      <w:bookmarkEnd w:id="58"/>
      <w:bookmarkEnd w:id="59"/>
    </w:p>
    <w:p w:rsidR="001937C5" w:rsidRPr="001937C5" w:rsidRDefault="001937C5" w:rsidP="001937C5"/>
    <w:p w:rsidR="00DD38FB" w:rsidRDefault="00DD38FB" w:rsidP="003B76DB">
      <w:pPr>
        <w:spacing w:line="276" w:lineRule="auto"/>
        <w:rPr>
          <w:rFonts w:cs="Arial"/>
          <w:color w:val="000000"/>
        </w:rPr>
      </w:pPr>
      <w:r w:rsidRPr="003B76DB">
        <w:rPr>
          <w:rFonts w:cs="Arial"/>
          <w:color w:val="000000"/>
        </w:rPr>
        <w:t xml:space="preserve">La </w:t>
      </w:r>
      <w:r w:rsidR="001A3EA1">
        <w:rPr>
          <w:rFonts w:cs="Arial"/>
          <w:color w:val="000000"/>
        </w:rPr>
        <w:t>DGCPTN, establece las a</w:t>
      </w:r>
      <w:r w:rsidRPr="003B76DB">
        <w:rPr>
          <w:rFonts w:cs="Arial"/>
          <w:color w:val="000000"/>
        </w:rPr>
        <w:t>uto</w:t>
      </w:r>
      <w:r w:rsidR="001A3EA1">
        <w:rPr>
          <w:rFonts w:cs="Arial"/>
          <w:color w:val="000000"/>
        </w:rPr>
        <w:t>e</w:t>
      </w:r>
      <w:r w:rsidRPr="003B76DB">
        <w:rPr>
          <w:rFonts w:cs="Arial"/>
          <w:color w:val="000000"/>
        </w:rPr>
        <w:t xml:space="preserve">valuaciones de </w:t>
      </w:r>
      <w:r w:rsidR="001A3EA1">
        <w:rPr>
          <w:rFonts w:cs="Arial"/>
          <w:color w:val="000000"/>
        </w:rPr>
        <w:t>r</w:t>
      </w:r>
      <w:r w:rsidRPr="003B76DB">
        <w:rPr>
          <w:rFonts w:cs="Arial"/>
          <w:color w:val="000000"/>
        </w:rPr>
        <w:t xml:space="preserve">iesgos y </w:t>
      </w:r>
      <w:r w:rsidR="001A3EA1">
        <w:rPr>
          <w:rFonts w:cs="Arial"/>
          <w:color w:val="000000"/>
        </w:rPr>
        <w:t>controles o</w:t>
      </w:r>
      <w:r w:rsidRPr="003B76DB">
        <w:rPr>
          <w:rFonts w:cs="Arial"/>
          <w:color w:val="000000"/>
        </w:rPr>
        <w:t xml:space="preserve">perativos como un medio para asegurar que las personas integrantes de las unidades significativas identifiquen y evalúen: </w:t>
      </w:r>
      <w:r w:rsidRPr="003B76DB">
        <w:rPr>
          <w:rFonts w:cs="Arial"/>
          <w:i/>
          <w:color w:val="000000"/>
        </w:rPr>
        <w:t>a</w:t>
      </w:r>
      <w:r w:rsidRPr="003B76DB">
        <w:rPr>
          <w:rFonts w:cs="Arial"/>
          <w:color w:val="000000"/>
        </w:rPr>
        <w:t xml:space="preserve">) sus riesgos operativos más significativos basándose en el impacto potencial del riesgo y </w:t>
      </w:r>
      <w:r w:rsidRPr="003B76DB">
        <w:rPr>
          <w:rFonts w:cs="Arial"/>
          <w:i/>
          <w:color w:val="000000"/>
        </w:rPr>
        <w:t>b</w:t>
      </w:r>
      <w:r w:rsidRPr="003B76DB">
        <w:rPr>
          <w:rFonts w:cs="Arial"/>
          <w:color w:val="000000"/>
        </w:rPr>
        <w:t xml:space="preserve">) la efectividad de los controles relacionados a dichos procesos. </w:t>
      </w:r>
    </w:p>
    <w:p w:rsidR="001A3EA1" w:rsidRPr="003B76DB" w:rsidRDefault="001A3EA1"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color w:val="000000"/>
        </w:rPr>
        <w:t xml:space="preserve">Las evaluaciones de todas las unidades o áreas significativas de la Dirección se realizan periódicamente, con el fin de determinar los cambios que se puedan </w:t>
      </w:r>
      <w:r w:rsidR="001A3EA1">
        <w:rPr>
          <w:rFonts w:cs="Arial"/>
          <w:color w:val="000000"/>
        </w:rPr>
        <w:t xml:space="preserve">presentar de un periodo a otro. </w:t>
      </w:r>
      <w:r w:rsidRPr="003B76DB">
        <w:rPr>
          <w:rFonts w:cs="Arial"/>
          <w:color w:val="000000"/>
        </w:rPr>
        <w:t xml:space="preserve">El programa provee una base para que la </w:t>
      </w:r>
      <w:r w:rsidR="001A3EA1">
        <w:rPr>
          <w:rFonts w:cs="Arial"/>
          <w:color w:val="000000"/>
        </w:rPr>
        <w:t>alta</w:t>
      </w:r>
      <w:r w:rsidRPr="003B76DB">
        <w:rPr>
          <w:rFonts w:cs="Arial"/>
          <w:color w:val="000000"/>
        </w:rPr>
        <w:t xml:space="preserve"> Dirección evalúe si existen controles y procesos apropiados, y </w:t>
      </w:r>
      <w:r w:rsidR="001A3EA1">
        <w:rPr>
          <w:rFonts w:cs="Arial"/>
          <w:color w:val="000000"/>
        </w:rPr>
        <w:t>establezca</w:t>
      </w:r>
      <w:r w:rsidRPr="003B76DB">
        <w:rPr>
          <w:rFonts w:cs="Arial"/>
          <w:color w:val="000000"/>
        </w:rPr>
        <w:t xml:space="preserve"> si estos son efectivos para mitigar el riesgo operativo de forma continua; de no ser así se deben tomar acciones correctivas apropiadas.</w:t>
      </w:r>
    </w:p>
    <w:p w:rsidR="001A3EA1" w:rsidRPr="003B76DB" w:rsidRDefault="001A3EA1" w:rsidP="003B76DB">
      <w:pPr>
        <w:spacing w:line="276" w:lineRule="auto"/>
        <w:rPr>
          <w:rFonts w:cs="Arial"/>
          <w:color w:val="000000"/>
        </w:rPr>
      </w:pPr>
    </w:p>
    <w:p w:rsidR="00DD38FB" w:rsidRPr="003B76DB" w:rsidRDefault="00DD38FB" w:rsidP="001A3EA1">
      <w:pPr>
        <w:spacing w:line="276" w:lineRule="auto"/>
      </w:pPr>
      <w:r w:rsidRPr="003B76DB">
        <w:rPr>
          <w:rFonts w:cs="Arial"/>
          <w:color w:val="000000"/>
        </w:rPr>
        <w:t>De igual forma la Subdirección de Riesgo, periódicamente realiza el monitoreo de las actividades de control establecidos en los procesos y procedimientos formalizados en el SUG, utilizando el formato de evaluación de controles.</w:t>
      </w:r>
    </w:p>
    <w:p w:rsidR="00DD38FB" w:rsidRPr="003B76DB" w:rsidRDefault="00DD38FB" w:rsidP="00127717">
      <w:pPr>
        <w:pStyle w:val="Ttulo2"/>
        <w:numPr>
          <w:ilvl w:val="0"/>
          <w:numId w:val="23"/>
        </w:numPr>
        <w:spacing w:line="276" w:lineRule="auto"/>
        <w:jc w:val="left"/>
      </w:pPr>
      <w:bookmarkStart w:id="60" w:name="_Toc507771261"/>
      <w:bookmarkStart w:id="61" w:name="_Toc4590638"/>
      <w:r w:rsidRPr="003B76DB">
        <w:t>Monitoreo de los Riesgos</w:t>
      </w:r>
      <w:bookmarkEnd w:id="60"/>
      <w:bookmarkEnd w:id="61"/>
    </w:p>
    <w:p w:rsidR="00DD38FB" w:rsidRPr="003B76DB" w:rsidRDefault="00DD38FB" w:rsidP="003B76DB">
      <w:pPr>
        <w:spacing w:line="276" w:lineRule="auto"/>
      </w:pPr>
    </w:p>
    <w:p w:rsidR="00DD38FB" w:rsidRDefault="00DD38FB" w:rsidP="003B76DB">
      <w:pPr>
        <w:spacing w:line="276" w:lineRule="auto"/>
        <w:rPr>
          <w:rFonts w:cs="Arial"/>
        </w:rPr>
      </w:pPr>
      <w:r w:rsidRPr="003B76DB">
        <w:rPr>
          <w:rFonts w:cs="Arial"/>
        </w:rPr>
        <w:t>Periódicamente se realizará el seguimiento por parte de la Subdirección de Riesgo, con el fin de evaluar el cumplimiento a los controles establecidos y medir la eficiencia y eficacia de dichos controles mediante los siguientes mecanismos:</w:t>
      </w:r>
    </w:p>
    <w:p w:rsidR="001A3EA1" w:rsidRPr="003B76DB" w:rsidRDefault="001A3EA1" w:rsidP="003B76DB">
      <w:pPr>
        <w:spacing w:line="276" w:lineRule="auto"/>
        <w:rPr>
          <w:rFonts w:cs="Arial"/>
        </w:rPr>
      </w:pPr>
    </w:p>
    <w:p w:rsidR="00DD38FB" w:rsidRPr="003B76DB" w:rsidRDefault="001A3EA1" w:rsidP="001A3EA1">
      <w:pPr>
        <w:pStyle w:val="Ttulo3"/>
        <w:numPr>
          <w:ilvl w:val="1"/>
          <w:numId w:val="23"/>
        </w:numPr>
        <w:ind w:hanging="578"/>
      </w:pPr>
      <w:bookmarkStart w:id="62" w:name="_Toc507771262"/>
      <w:bookmarkStart w:id="63" w:name="_Toc4590639"/>
      <w:r>
        <w:t>Registro de E</w:t>
      </w:r>
      <w:r w:rsidR="00DD38FB" w:rsidRPr="003B76DB">
        <w:t xml:space="preserve">ventos de </w:t>
      </w:r>
      <w:r>
        <w:t>Riesgo O</w:t>
      </w:r>
      <w:r w:rsidR="00DD38FB" w:rsidRPr="003B76DB">
        <w:t>perativo</w:t>
      </w:r>
      <w:bookmarkEnd w:id="62"/>
      <w:bookmarkEnd w:id="63"/>
    </w:p>
    <w:p w:rsidR="00DD38FB" w:rsidRPr="003B76DB" w:rsidRDefault="00DD38FB"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color w:val="000000"/>
        </w:rPr>
        <w:t>Todos los funcionarios de la DGCPTN son responsables cuando tengan conocimiento o evidencien la materialización de un evento de riesgo operativo de reporta</w:t>
      </w:r>
      <w:r w:rsidR="001A3EA1">
        <w:rPr>
          <w:rFonts w:cs="Arial"/>
          <w:color w:val="000000"/>
        </w:rPr>
        <w:t>rlo</w:t>
      </w:r>
      <w:r w:rsidRPr="003B76DB">
        <w:rPr>
          <w:rFonts w:cs="Arial"/>
          <w:color w:val="000000"/>
        </w:rPr>
        <w:t xml:space="preserve"> a la Subdirección de Riesgo, la cual documentará el evento de riesgo con las evidencias que envíen las áreas, diligenciando el acta de registro del evento con la siguiente información: </w:t>
      </w:r>
    </w:p>
    <w:p w:rsidR="001A3EA1" w:rsidRPr="003B76DB" w:rsidRDefault="001A3EA1"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Proceso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Subproceso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Responsable del proceso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Quien detecta el evento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Fecha de descubrimiento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Fecha de inicio del evento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Fecha de finalización del evento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Riesgo asociado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Descripción del evento</w:t>
      </w:r>
    </w:p>
    <w:p w:rsidR="00DD38FB" w:rsidRPr="003B76DB" w:rsidRDefault="00DD38FB" w:rsidP="003B76DB">
      <w:pPr>
        <w:spacing w:line="276" w:lineRule="auto"/>
        <w:rPr>
          <w:rFonts w:cs="Arial"/>
          <w:color w:val="000000"/>
        </w:rPr>
      </w:pPr>
      <w:r w:rsidRPr="003B76DB">
        <w:rPr>
          <w:rFonts w:cs="Arial"/>
          <w:color w:val="000000"/>
        </w:rPr>
        <w:lastRenderedPageBreak/>
        <w:t>•</w:t>
      </w:r>
      <w:r w:rsidRPr="003B76DB">
        <w:rPr>
          <w:rFonts w:cs="Arial"/>
          <w:color w:val="000000"/>
        </w:rPr>
        <w:tab/>
        <w:t>Tipo de Impacto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Cuantificación del impacto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Causa principal generadora del evento</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Causa secundaria</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Descripción de la causa</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Acción correctiva</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Descripción de la acción correctiva</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Acción preventiva</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Descripción de la acción preventiva</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Responsable de implementar la acción</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Lecciones aprendidas</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Que salió bien</w:t>
      </w:r>
    </w:p>
    <w:p w:rsidR="00DD38FB" w:rsidRPr="003B76DB" w:rsidRDefault="00DD38FB" w:rsidP="003B76DB">
      <w:pPr>
        <w:spacing w:line="276" w:lineRule="auto"/>
        <w:rPr>
          <w:rFonts w:cs="Arial"/>
          <w:color w:val="000000"/>
        </w:rPr>
      </w:pPr>
      <w:r w:rsidRPr="003B76DB">
        <w:rPr>
          <w:rFonts w:cs="Arial"/>
          <w:color w:val="000000"/>
        </w:rPr>
        <w:t>•</w:t>
      </w:r>
      <w:r w:rsidRPr="003B76DB">
        <w:rPr>
          <w:rFonts w:cs="Arial"/>
          <w:color w:val="000000"/>
        </w:rPr>
        <w:tab/>
        <w:t>Que se puede mejorar</w:t>
      </w:r>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 xml:space="preserve">La Subdirección de Riesgo llevará una base de datos con esta información </w:t>
      </w:r>
      <w:r w:rsidR="00243BCA">
        <w:rPr>
          <w:rFonts w:cs="Arial"/>
          <w:color w:val="000000"/>
        </w:rPr>
        <w:t xml:space="preserve">y </w:t>
      </w:r>
      <w:r w:rsidRPr="003B76DB">
        <w:rPr>
          <w:rFonts w:cs="Arial"/>
          <w:color w:val="000000"/>
        </w:rPr>
        <w:t>hará seguimiento a la implementación de los planes de acción para mitigar los riesgos.</w:t>
      </w:r>
    </w:p>
    <w:p w:rsidR="00243BCA" w:rsidRDefault="00243BCA" w:rsidP="00243BCA">
      <w:pPr>
        <w:pStyle w:val="Ttulo3"/>
      </w:pPr>
      <w:bookmarkStart w:id="64" w:name="_Toc507771263"/>
    </w:p>
    <w:p w:rsidR="00DD38FB" w:rsidRPr="003B76DB" w:rsidRDefault="001937C5" w:rsidP="00243BCA">
      <w:pPr>
        <w:pStyle w:val="Ttulo3"/>
        <w:numPr>
          <w:ilvl w:val="1"/>
          <w:numId w:val="23"/>
        </w:numPr>
        <w:ind w:left="426" w:hanging="284"/>
      </w:pPr>
      <w:bookmarkStart w:id="65" w:name="_Toc4590640"/>
      <w:r>
        <w:t>Inventario de C</w:t>
      </w:r>
      <w:r w:rsidR="00DD38FB" w:rsidRPr="003B76DB">
        <w:t>ontroles</w:t>
      </w:r>
      <w:bookmarkEnd w:id="64"/>
      <w:bookmarkEnd w:id="65"/>
    </w:p>
    <w:p w:rsidR="00DD38FB" w:rsidRPr="003B76DB" w:rsidRDefault="00DD38FB"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color w:val="000000"/>
        </w:rPr>
        <w:t>La Subdirección de Riesgos hará un inventario de controles de acuerdo con la información documentada en los procedimientos de la Dirección, a los controles sin documentar que se evidencien en las visitas de campo qu</w:t>
      </w:r>
      <w:r w:rsidR="00243BCA">
        <w:rPr>
          <w:rFonts w:cs="Arial"/>
          <w:color w:val="000000"/>
        </w:rPr>
        <w:t>e realizará en cada una de las s</w:t>
      </w:r>
      <w:r w:rsidRPr="003B76DB">
        <w:rPr>
          <w:rFonts w:cs="Arial"/>
          <w:color w:val="000000"/>
        </w:rPr>
        <w:t xml:space="preserve">ubdirecciones y a los planes de acción que se documenten en las actas de revisión de eventos de riesgo. </w:t>
      </w:r>
    </w:p>
    <w:p w:rsidR="00243BCA" w:rsidRPr="003B76DB" w:rsidRDefault="00243BCA"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Este inventario lo monitoreará la Subdirección de Riesgos, cada área copi</w:t>
      </w:r>
      <w:r w:rsidR="003C656B">
        <w:rPr>
          <w:rFonts w:cs="Arial"/>
          <w:color w:val="000000"/>
        </w:rPr>
        <w:t>ará a la Subdirección de Riesgo</w:t>
      </w:r>
      <w:r w:rsidRPr="003B76DB">
        <w:rPr>
          <w:rFonts w:cs="Arial"/>
          <w:color w:val="000000"/>
        </w:rPr>
        <w:t xml:space="preserve"> el reporte de ejecución del control cada vez que lo realice cuando el control es manual, para los controles que se ejecutan en una plataforma tecnológica, la Subdirección de Riesgo realizará el monitoreo mediante la consulta de los reportes y </w:t>
      </w:r>
      <w:r w:rsidRPr="003C656B">
        <w:rPr>
          <w:rFonts w:cs="Arial"/>
          <w:i/>
          <w:color w:val="000000"/>
        </w:rPr>
        <w:t>log</w:t>
      </w:r>
      <w:r w:rsidRPr="003B76DB">
        <w:rPr>
          <w:rFonts w:cs="Arial"/>
          <w:color w:val="000000"/>
        </w:rPr>
        <w:t xml:space="preserve"> de auditoria de cada plataforma.</w:t>
      </w:r>
    </w:p>
    <w:p w:rsidR="00DD38FB" w:rsidRPr="003B76DB" w:rsidRDefault="00DD38FB" w:rsidP="003B76DB">
      <w:pPr>
        <w:spacing w:line="276" w:lineRule="auto"/>
        <w:rPr>
          <w:rFonts w:cs="Arial"/>
          <w:color w:val="000000"/>
        </w:rPr>
      </w:pPr>
    </w:p>
    <w:p w:rsidR="00DD38FB" w:rsidRPr="00C8107F" w:rsidRDefault="00DD38FB" w:rsidP="00C8107F">
      <w:pPr>
        <w:pStyle w:val="Ttulo3"/>
        <w:numPr>
          <w:ilvl w:val="1"/>
          <w:numId w:val="23"/>
        </w:numPr>
        <w:ind w:hanging="578"/>
      </w:pPr>
      <w:bookmarkStart w:id="66" w:name="_Toc507771264"/>
      <w:bookmarkStart w:id="67" w:name="_Toc4590641"/>
      <w:r w:rsidRPr="00C8107F">
        <w:rPr>
          <w:rStyle w:val="Ttulo3Car"/>
          <w:b/>
        </w:rPr>
        <w:t>Evaluación de Controles</w:t>
      </w:r>
      <w:bookmarkEnd w:id="66"/>
      <w:bookmarkEnd w:id="67"/>
    </w:p>
    <w:p w:rsidR="00DD38FB" w:rsidRPr="003B76DB" w:rsidRDefault="00DD38FB"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color w:val="000000"/>
        </w:rPr>
        <w:t xml:space="preserve">La Subdirección de Riesgo realizará la evaluación de controles periódicamente, mediante la visita a </w:t>
      </w:r>
      <w:r w:rsidR="00C8107F">
        <w:rPr>
          <w:rFonts w:cs="Arial"/>
          <w:color w:val="000000"/>
        </w:rPr>
        <w:t>cada una de las s</w:t>
      </w:r>
      <w:r w:rsidRPr="003B76DB">
        <w:rPr>
          <w:rFonts w:cs="Arial"/>
          <w:color w:val="000000"/>
        </w:rPr>
        <w:t>ubdirecciones de acuerdo a la criticidad de cada proceso o la frecuencia de la materialización de los riesgos operativos, esta evaluación revisará los siguientes aspectos en cada control:</w:t>
      </w:r>
    </w:p>
    <w:p w:rsidR="00C8107F" w:rsidRPr="003B76DB" w:rsidRDefault="00C8107F" w:rsidP="003B76DB">
      <w:pPr>
        <w:spacing w:line="276" w:lineRule="auto"/>
        <w:rPr>
          <w:rFonts w:cs="Arial"/>
          <w:color w:val="000000"/>
        </w:rPr>
      </w:pPr>
    </w:p>
    <w:p w:rsidR="00DD38FB" w:rsidRPr="003B76DB" w:rsidRDefault="00DD38FB" w:rsidP="003B76DB">
      <w:pPr>
        <w:pStyle w:val="Prrafodelista"/>
        <w:numPr>
          <w:ilvl w:val="0"/>
          <w:numId w:val="13"/>
        </w:numPr>
        <w:spacing w:after="200" w:line="276" w:lineRule="auto"/>
        <w:contextualSpacing/>
        <w:rPr>
          <w:rFonts w:cs="Arial"/>
          <w:color w:val="000000"/>
        </w:rPr>
      </w:pPr>
      <w:r w:rsidRPr="003B76DB">
        <w:rPr>
          <w:rFonts w:cs="Arial"/>
          <w:color w:val="000000"/>
        </w:rPr>
        <w:t>Consecuencias y frecuencia por la omisión del control</w:t>
      </w:r>
    </w:p>
    <w:p w:rsidR="00DD38FB" w:rsidRPr="003B76DB" w:rsidRDefault="00DD38FB" w:rsidP="003B76DB">
      <w:pPr>
        <w:pStyle w:val="Prrafodelista"/>
        <w:numPr>
          <w:ilvl w:val="0"/>
          <w:numId w:val="13"/>
        </w:numPr>
        <w:spacing w:after="200" w:line="276" w:lineRule="auto"/>
        <w:contextualSpacing/>
        <w:rPr>
          <w:rFonts w:cs="Arial"/>
          <w:color w:val="000000"/>
        </w:rPr>
      </w:pPr>
      <w:r w:rsidRPr="003B76DB">
        <w:rPr>
          <w:rFonts w:cs="Arial"/>
          <w:color w:val="000000"/>
        </w:rPr>
        <w:t>Nivel de relevancia del control</w:t>
      </w:r>
    </w:p>
    <w:p w:rsidR="00DD38FB" w:rsidRPr="003B76DB" w:rsidRDefault="00DD38FB" w:rsidP="003B76DB">
      <w:pPr>
        <w:pStyle w:val="Prrafodelista"/>
        <w:numPr>
          <w:ilvl w:val="0"/>
          <w:numId w:val="13"/>
        </w:numPr>
        <w:spacing w:after="200" w:line="276" w:lineRule="auto"/>
        <w:contextualSpacing/>
        <w:rPr>
          <w:rFonts w:cs="Arial"/>
          <w:color w:val="000000"/>
        </w:rPr>
      </w:pPr>
      <w:r w:rsidRPr="003B76DB">
        <w:rPr>
          <w:rFonts w:cs="Arial"/>
          <w:color w:val="000000"/>
        </w:rPr>
        <w:lastRenderedPageBreak/>
        <w:t>Evaluación del diseño del control</w:t>
      </w:r>
    </w:p>
    <w:p w:rsidR="00DD38FB" w:rsidRPr="003B76DB" w:rsidRDefault="00DD38FB" w:rsidP="003B76DB">
      <w:pPr>
        <w:pStyle w:val="Prrafodelista"/>
        <w:numPr>
          <w:ilvl w:val="0"/>
          <w:numId w:val="13"/>
        </w:numPr>
        <w:spacing w:after="200" w:line="276" w:lineRule="auto"/>
        <w:contextualSpacing/>
        <w:rPr>
          <w:rFonts w:cs="Arial"/>
          <w:color w:val="000000"/>
        </w:rPr>
      </w:pPr>
      <w:r w:rsidRPr="003B76DB">
        <w:rPr>
          <w:rFonts w:cs="Arial"/>
          <w:color w:val="000000"/>
        </w:rPr>
        <w:t>Tipo de control</w:t>
      </w:r>
    </w:p>
    <w:p w:rsidR="00DD38FB" w:rsidRPr="003B76DB" w:rsidRDefault="00DD38FB" w:rsidP="003B76DB">
      <w:pPr>
        <w:pStyle w:val="Prrafodelista"/>
        <w:numPr>
          <w:ilvl w:val="0"/>
          <w:numId w:val="13"/>
        </w:numPr>
        <w:spacing w:after="200" w:line="276" w:lineRule="auto"/>
        <w:contextualSpacing/>
        <w:rPr>
          <w:rFonts w:cs="Arial"/>
          <w:color w:val="000000"/>
        </w:rPr>
      </w:pPr>
      <w:r w:rsidRPr="003B76DB">
        <w:rPr>
          <w:rFonts w:cs="Arial"/>
          <w:color w:val="000000"/>
        </w:rPr>
        <w:t>Nivel de cobertura del control</w:t>
      </w:r>
    </w:p>
    <w:p w:rsidR="00DD38FB" w:rsidRPr="003B76DB" w:rsidRDefault="00DD38FB" w:rsidP="003B76DB">
      <w:pPr>
        <w:pStyle w:val="Prrafodelista"/>
        <w:numPr>
          <w:ilvl w:val="0"/>
          <w:numId w:val="13"/>
        </w:numPr>
        <w:spacing w:after="200" w:line="276" w:lineRule="auto"/>
        <w:contextualSpacing/>
        <w:rPr>
          <w:rFonts w:cs="Arial"/>
          <w:color w:val="000000"/>
        </w:rPr>
      </w:pPr>
      <w:r w:rsidRPr="003B76DB">
        <w:rPr>
          <w:rFonts w:cs="Arial"/>
          <w:color w:val="000000"/>
        </w:rPr>
        <w:t>Frecuencia de ejecución del control</w:t>
      </w:r>
    </w:p>
    <w:p w:rsidR="00DD38FB" w:rsidRPr="003B76DB" w:rsidRDefault="00C8107F" w:rsidP="003B76DB">
      <w:pPr>
        <w:pStyle w:val="Prrafodelista"/>
        <w:numPr>
          <w:ilvl w:val="0"/>
          <w:numId w:val="13"/>
        </w:numPr>
        <w:tabs>
          <w:tab w:val="left" w:pos="2310"/>
        </w:tabs>
        <w:spacing w:after="200" w:line="276" w:lineRule="auto"/>
        <w:contextualSpacing/>
        <w:rPr>
          <w:rFonts w:cs="Arial"/>
          <w:color w:val="000000"/>
        </w:rPr>
      </w:pPr>
      <w:r>
        <w:rPr>
          <w:rFonts w:cs="Arial"/>
          <w:color w:val="000000"/>
        </w:rPr>
        <w:t>Línea del control.</w:t>
      </w:r>
    </w:p>
    <w:p w:rsidR="00DD38FB" w:rsidRPr="003B76DB" w:rsidRDefault="00DD38FB" w:rsidP="003B76DB">
      <w:pPr>
        <w:spacing w:line="276" w:lineRule="auto"/>
        <w:rPr>
          <w:rFonts w:cs="Arial"/>
          <w:color w:val="000000"/>
        </w:rPr>
      </w:pPr>
      <w:r w:rsidRPr="003B76DB">
        <w:rPr>
          <w:rFonts w:cs="Arial"/>
          <w:color w:val="000000"/>
        </w:rPr>
        <w:t xml:space="preserve">De acuerdo a esta evaluación se medirá la efectividad y eficiencia del control la cual determinará el </w:t>
      </w:r>
      <w:r w:rsidRPr="00C8107F">
        <w:rPr>
          <w:rFonts w:cs="Arial"/>
          <w:i/>
          <w:color w:val="000000"/>
        </w:rPr>
        <w:t>score</w:t>
      </w:r>
      <w:r w:rsidRPr="003B76DB">
        <w:rPr>
          <w:rFonts w:cs="Arial"/>
          <w:color w:val="000000"/>
        </w:rPr>
        <w:t xml:space="preserve"> del riesgo residual, tanto en su frecuencia como en el impacto.</w:t>
      </w:r>
    </w:p>
    <w:p w:rsidR="00DD38FB" w:rsidRPr="003B76DB" w:rsidRDefault="00DD38FB" w:rsidP="00127717">
      <w:pPr>
        <w:pStyle w:val="Ttulo2"/>
        <w:numPr>
          <w:ilvl w:val="0"/>
          <w:numId w:val="23"/>
        </w:numPr>
        <w:spacing w:line="276" w:lineRule="auto"/>
        <w:jc w:val="left"/>
      </w:pPr>
      <w:bookmarkStart w:id="68" w:name="_Toc507771265"/>
      <w:bookmarkStart w:id="69" w:name="_Toc4590642"/>
      <w:r w:rsidRPr="003B76DB">
        <w:t>Indicadores Claves de Gestión</w:t>
      </w:r>
      <w:bookmarkEnd w:id="68"/>
      <w:bookmarkEnd w:id="69"/>
    </w:p>
    <w:p w:rsidR="00DD38FB" w:rsidRPr="003B76DB" w:rsidRDefault="00DD38FB" w:rsidP="003B76DB">
      <w:pPr>
        <w:spacing w:line="276" w:lineRule="auto"/>
      </w:pPr>
    </w:p>
    <w:p w:rsidR="00DD38FB" w:rsidRPr="003B76DB" w:rsidRDefault="00DD38FB" w:rsidP="003B76DB">
      <w:pPr>
        <w:pStyle w:val="Default"/>
        <w:spacing w:line="276" w:lineRule="auto"/>
        <w:jc w:val="both"/>
        <w:rPr>
          <w:rFonts w:ascii="Arial Narrow" w:hAnsi="Arial Narrow"/>
          <w:szCs w:val="22"/>
        </w:rPr>
      </w:pPr>
      <w:r w:rsidRPr="003B76DB">
        <w:rPr>
          <w:rFonts w:ascii="Arial Narrow" w:hAnsi="Arial Narrow"/>
          <w:szCs w:val="22"/>
        </w:rPr>
        <w:t>También conocidos por sus siglas en inglés como KRI´s (</w:t>
      </w:r>
      <w:r w:rsidRPr="00C8107F">
        <w:rPr>
          <w:rFonts w:ascii="Arial Narrow" w:hAnsi="Arial Narrow"/>
          <w:i/>
          <w:szCs w:val="22"/>
        </w:rPr>
        <w:t>Key Risk Indicators</w:t>
      </w:r>
      <w:r w:rsidR="00C8107F">
        <w:rPr>
          <w:rFonts w:ascii="Arial Narrow" w:hAnsi="Arial Narrow"/>
          <w:szCs w:val="22"/>
        </w:rPr>
        <w:t xml:space="preserve">). </w:t>
      </w:r>
      <w:r w:rsidRPr="003B76DB">
        <w:rPr>
          <w:rFonts w:ascii="Arial Narrow" w:hAnsi="Arial Narrow"/>
          <w:szCs w:val="22"/>
        </w:rPr>
        <w:t>Los indicadores de riesgo claves son métricas, con frecuencia</w:t>
      </w:r>
      <w:r w:rsidR="00C8107F">
        <w:rPr>
          <w:rFonts w:ascii="Arial Narrow" w:hAnsi="Arial Narrow"/>
          <w:szCs w:val="22"/>
        </w:rPr>
        <w:t>s</w:t>
      </w:r>
      <w:r w:rsidRPr="003B76DB">
        <w:rPr>
          <w:rFonts w:ascii="Arial Narrow" w:hAnsi="Arial Narrow"/>
          <w:szCs w:val="22"/>
        </w:rPr>
        <w:t xml:space="preserve"> financieras, que pueden proporcionar información sobre la posición de riesgo operativo que puede afrontar la </w:t>
      </w:r>
      <w:r w:rsidR="00C8107F">
        <w:rPr>
          <w:rFonts w:ascii="Arial Narrow" w:hAnsi="Arial Narrow"/>
          <w:szCs w:val="22"/>
        </w:rPr>
        <w:t>DGCPTN.</w:t>
      </w:r>
    </w:p>
    <w:p w:rsidR="00DD38FB" w:rsidRPr="003B76DB" w:rsidRDefault="00DD38FB" w:rsidP="003B76DB">
      <w:pPr>
        <w:pStyle w:val="Default"/>
        <w:spacing w:line="276" w:lineRule="auto"/>
        <w:jc w:val="both"/>
        <w:rPr>
          <w:rFonts w:ascii="Arial Narrow" w:hAnsi="Arial Narrow"/>
          <w:szCs w:val="22"/>
        </w:rPr>
      </w:pPr>
    </w:p>
    <w:p w:rsidR="00DD38FB" w:rsidRDefault="00DD38FB" w:rsidP="003B76DB">
      <w:pPr>
        <w:pStyle w:val="Default"/>
        <w:spacing w:line="276" w:lineRule="auto"/>
        <w:jc w:val="both"/>
        <w:rPr>
          <w:rFonts w:ascii="Arial Narrow" w:hAnsi="Arial Narrow"/>
          <w:szCs w:val="22"/>
        </w:rPr>
      </w:pPr>
      <w:r w:rsidRPr="003B76DB">
        <w:rPr>
          <w:rFonts w:ascii="Arial Narrow" w:hAnsi="Arial Narrow"/>
          <w:szCs w:val="22"/>
        </w:rPr>
        <w:t xml:space="preserve">Estos indicadores son determinados con base en factores como los siguientes: </w:t>
      </w:r>
    </w:p>
    <w:p w:rsidR="00C8107F" w:rsidRPr="003B76DB" w:rsidRDefault="00C8107F" w:rsidP="003B76DB">
      <w:pPr>
        <w:pStyle w:val="Default"/>
        <w:spacing w:line="276" w:lineRule="auto"/>
        <w:jc w:val="both"/>
        <w:rPr>
          <w:rFonts w:ascii="Arial Narrow" w:hAnsi="Arial Narrow"/>
          <w:szCs w:val="22"/>
        </w:rPr>
      </w:pPr>
    </w:p>
    <w:p w:rsidR="00DD38FB" w:rsidRPr="003B76DB" w:rsidRDefault="00DD38FB" w:rsidP="003B76DB">
      <w:pPr>
        <w:pStyle w:val="Default"/>
        <w:numPr>
          <w:ilvl w:val="0"/>
          <w:numId w:val="7"/>
        </w:numPr>
        <w:spacing w:line="276" w:lineRule="auto"/>
        <w:ind w:left="709" w:hanging="283"/>
        <w:rPr>
          <w:rFonts w:ascii="Arial Narrow" w:hAnsi="Arial Narrow"/>
          <w:szCs w:val="22"/>
        </w:rPr>
      </w:pPr>
      <w:r w:rsidRPr="003B76DB">
        <w:rPr>
          <w:rFonts w:ascii="Arial Narrow" w:hAnsi="Arial Narrow"/>
          <w:szCs w:val="22"/>
        </w:rPr>
        <w:t>Alcance y significancia d</w:t>
      </w:r>
      <w:r w:rsidR="00C8107F">
        <w:rPr>
          <w:rFonts w:ascii="Arial Narrow" w:hAnsi="Arial Narrow"/>
          <w:szCs w:val="22"/>
        </w:rPr>
        <w:t>el riesgo que se está midiendo</w:t>
      </w:r>
    </w:p>
    <w:p w:rsidR="00DD38FB" w:rsidRPr="003B76DB" w:rsidRDefault="00DD38FB" w:rsidP="003B76DB">
      <w:pPr>
        <w:pStyle w:val="Default"/>
        <w:numPr>
          <w:ilvl w:val="0"/>
          <w:numId w:val="7"/>
        </w:numPr>
        <w:spacing w:line="276" w:lineRule="auto"/>
        <w:ind w:left="709" w:hanging="283"/>
        <w:rPr>
          <w:rFonts w:ascii="Arial Narrow" w:hAnsi="Arial Narrow"/>
          <w:szCs w:val="22"/>
        </w:rPr>
      </w:pPr>
      <w:r w:rsidRPr="003B76DB">
        <w:rPr>
          <w:rFonts w:ascii="Arial Narrow" w:hAnsi="Arial Narrow"/>
          <w:szCs w:val="22"/>
        </w:rPr>
        <w:t>Importancia para la Alta Dirección.</w:t>
      </w:r>
    </w:p>
    <w:p w:rsidR="00DD38FB" w:rsidRPr="003B76DB" w:rsidRDefault="00DD38FB" w:rsidP="003B76DB">
      <w:pPr>
        <w:pStyle w:val="Default"/>
        <w:spacing w:line="276" w:lineRule="auto"/>
        <w:rPr>
          <w:rFonts w:ascii="Arial Narrow" w:hAnsi="Arial Narrow"/>
          <w:szCs w:val="22"/>
        </w:rPr>
      </w:pPr>
    </w:p>
    <w:p w:rsidR="00DD38FB" w:rsidRPr="003B76DB" w:rsidRDefault="00DD38FB" w:rsidP="003B76DB">
      <w:pPr>
        <w:pStyle w:val="Default"/>
        <w:spacing w:line="276" w:lineRule="auto"/>
        <w:jc w:val="both"/>
        <w:rPr>
          <w:rFonts w:ascii="Arial Narrow" w:hAnsi="Arial Narrow"/>
        </w:rPr>
      </w:pPr>
      <w:r w:rsidRPr="003B76DB">
        <w:rPr>
          <w:rFonts w:ascii="Arial Narrow" w:hAnsi="Arial Narrow"/>
        </w:rPr>
        <w:t>El indicador principal de riesgo operativo será el perfil de riesgo residual de la DGCPTN, la fórmula de cálculo será el valor promedio de la probabilidad y del impacto de todos los riesgos evaluado</w:t>
      </w:r>
      <w:r w:rsidR="00C8107F">
        <w:rPr>
          <w:rFonts w:ascii="Arial Narrow" w:hAnsi="Arial Narrow"/>
        </w:rPr>
        <w:t>s después de aplicar controles como se muestra a continuación:</w:t>
      </w:r>
    </w:p>
    <w:p w:rsidR="00DD38FB" w:rsidRPr="003B76DB" w:rsidRDefault="00DD38FB" w:rsidP="003B76DB">
      <w:pPr>
        <w:pStyle w:val="Default"/>
        <w:spacing w:line="276" w:lineRule="auto"/>
        <w:jc w:val="both"/>
        <w:rPr>
          <w:rFonts w:ascii="Arial Narrow" w:hAnsi="Arial Narrow"/>
        </w:rPr>
      </w:pPr>
    </w:p>
    <w:tbl>
      <w:tblPr>
        <w:tblW w:w="8940" w:type="dxa"/>
        <w:tblCellSpacing w:w="0" w:type="dxa"/>
        <w:tblInd w:w="10" w:type="dxa"/>
        <w:tblBorders>
          <w:top w:val="single" w:sz="4" w:space="0" w:color="auto"/>
          <w:left w:val="single" w:sz="4" w:space="0" w:color="auto"/>
          <w:bottom w:val="single" w:sz="4" w:space="0" w:color="auto"/>
          <w:right w:val="single" w:sz="4" w:space="0" w:color="auto"/>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861"/>
        <w:gridCol w:w="6370"/>
      </w:tblGrid>
      <w:tr w:rsidR="00DD38FB" w:rsidRPr="003B76DB" w:rsidTr="00DD38FB">
        <w:trPr>
          <w:trHeight w:val="930"/>
          <w:tblCellSpacing w:w="0" w:type="dxa"/>
        </w:trPr>
        <w:tc>
          <w:tcPr>
            <w:tcW w:w="709" w:type="dxa"/>
            <w:shd w:val="clear" w:color="auto" w:fill="FF3300"/>
          </w:tcPr>
          <w:p w:rsidR="00DD38FB" w:rsidRPr="003B76DB" w:rsidRDefault="00DD38FB" w:rsidP="003B76DB">
            <w:pPr>
              <w:spacing w:line="276" w:lineRule="auto"/>
              <w:ind w:left="-30"/>
              <w:rPr>
                <w:rFonts w:cs="Arial"/>
                <w:sz w:val="20"/>
              </w:rPr>
            </w:pPr>
          </w:p>
        </w:tc>
        <w:tc>
          <w:tcPr>
            <w:tcW w:w="1861" w:type="dxa"/>
            <w:vAlign w:val="center"/>
          </w:tcPr>
          <w:p w:rsidR="00DD38FB" w:rsidRPr="003B76DB" w:rsidRDefault="00DD38FB" w:rsidP="003B76DB">
            <w:pPr>
              <w:spacing w:line="276" w:lineRule="auto"/>
              <w:ind w:left="160"/>
              <w:jc w:val="center"/>
              <w:rPr>
                <w:rFonts w:cs="Arial"/>
                <w:sz w:val="20"/>
              </w:rPr>
            </w:pPr>
            <w:r w:rsidRPr="003B76DB">
              <w:rPr>
                <w:rFonts w:cs="Arial"/>
                <w:sz w:val="20"/>
              </w:rPr>
              <w:t>Riesgo Extremo</w:t>
            </w:r>
          </w:p>
        </w:tc>
        <w:tc>
          <w:tcPr>
            <w:tcW w:w="6370" w:type="dxa"/>
            <w:vAlign w:val="center"/>
          </w:tcPr>
          <w:p w:rsidR="00DD38FB" w:rsidRPr="003B76DB" w:rsidRDefault="00DD38FB" w:rsidP="003B76DB">
            <w:pPr>
              <w:spacing w:line="276" w:lineRule="auto"/>
              <w:ind w:left="99"/>
              <w:rPr>
                <w:rFonts w:cs="Arial"/>
                <w:sz w:val="20"/>
              </w:rPr>
            </w:pPr>
            <w:r w:rsidRPr="003B76DB">
              <w:rPr>
                <w:rFonts w:cs="Arial"/>
                <w:sz w:val="20"/>
              </w:rPr>
              <w:t>Riesgos con frecuencia de ocurrencia alta; no existen los suficientes controles y planes de contingencia, o los actuales resultan insuficientes. (No Aceptado por la DGCPTN.)</w:t>
            </w:r>
          </w:p>
        </w:tc>
      </w:tr>
      <w:tr w:rsidR="00DD38FB" w:rsidRPr="003B76DB" w:rsidTr="00DD38FB">
        <w:trPr>
          <w:trHeight w:val="930"/>
          <w:tblCellSpacing w:w="0" w:type="dxa"/>
        </w:trPr>
        <w:tc>
          <w:tcPr>
            <w:tcW w:w="709" w:type="dxa"/>
            <w:tcBorders>
              <w:top w:val="single" w:sz="8" w:space="0" w:color="000000"/>
              <w:bottom w:val="single" w:sz="8" w:space="0" w:color="000000"/>
            </w:tcBorders>
            <w:shd w:val="clear" w:color="auto" w:fill="FF6600"/>
          </w:tcPr>
          <w:p w:rsidR="00DD38FB" w:rsidRPr="003B76DB" w:rsidRDefault="00DD38FB" w:rsidP="003B76DB">
            <w:pPr>
              <w:spacing w:line="276" w:lineRule="auto"/>
              <w:rPr>
                <w:rFonts w:cs="Arial"/>
                <w:sz w:val="20"/>
              </w:rPr>
            </w:pPr>
          </w:p>
        </w:tc>
        <w:tc>
          <w:tcPr>
            <w:tcW w:w="1861" w:type="dxa"/>
            <w:vAlign w:val="center"/>
          </w:tcPr>
          <w:p w:rsidR="00DD38FB" w:rsidRPr="003B76DB" w:rsidRDefault="00DD38FB" w:rsidP="003B76DB">
            <w:pPr>
              <w:spacing w:line="276" w:lineRule="auto"/>
              <w:ind w:left="160"/>
              <w:jc w:val="center"/>
              <w:rPr>
                <w:rFonts w:cs="Arial"/>
                <w:sz w:val="20"/>
              </w:rPr>
            </w:pPr>
            <w:r w:rsidRPr="003B76DB">
              <w:rPr>
                <w:rFonts w:cs="Arial"/>
                <w:sz w:val="20"/>
              </w:rPr>
              <w:t>Riesgo Alto</w:t>
            </w:r>
          </w:p>
        </w:tc>
        <w:tc>
          <w:tcPr>
            <w:tcW w:w="6370" w:type="dxa"/>
            <w:vAlign w:val="center"/>
          </w:tcPr>
          <w:p w:rsidR="00DD38FB" w:rsidRPr="003B76DB" w:rsidRDefault="00DD38FB" w:rsidP="003B76DB">
            <w:pPr>
              <w:spacing w:line="276" w:lineRule="auto"/>
              <w:ind w:left="99"/>
              <w:rPr>
                <w:rFonts w:cs="Arial"/>
                <w:sz w:val="20"/>
              </w:rPr>
            </w:pPr>
            <w:r w:rsidRPr="003B76DB">
              <w:rPr>
                <w:rFonts w:cs="Arial"/>
                <w:sz w:val="20"/>
              </w:rPr>
              <w:t>Riesgos que pueden tener o no una frecuencia de ocurrencia alta, pero que comparten el hecho de que los controles actuales y planes de contingencia pueden mejorarse. (No Aceptado por la DGCPTN.)</w:t>
            </w:r>
          </w:p>
        </w:tc>
      </w:tr>
      <w:tr w:rsidR="00DD38FB" w:rsidRPr="003B76DB" w:rsidTr="00DD38FB">
        <w:trPr>
          <w:trHeight w:val="930"/>
          <w:tblCellSpacing w:w="0" w:type="dxa"/>
        </w:trPr>
        <w:tc>
          <w:tcPr>
            <w:tcW w:w="709" w:type="dxa"/>
            <w:shd w:val="clear" w:color="auto" w:fill="FFFF66"/>
          </w:tcPr>
          <w:p w:rsidR="00DD38FB" w:rsidRPr="003B76DB" w:rsidRDefault="00DD38FB" w:rsidP="003B76DB">
            <w:pPr>
              <w:spacing w:line="276" w:lineRule="auto"/>
              <w:ind w:left="720"/>
              <w:rPr>
                <w:rFonts w:cs="Arial"/>
                <w:sz w:val="20"/>
              </w:rPr>
            </w:pPr>
          </w:p>
        </w:tc>
        <w:tc>
          <w:tcPr>
            <w:tcW w:w="1861" w:type="dxa"/>
            <w:vAlign w:val="center"/>
          </w:tcPr>
          <w:p w:rsidR="00DD38FB" w:rsidRPr="003B76DB" w:rsidRDefault="00DD38FB" w:rsidP="003B76DB">
            <w:pPr>
              <w:spacing w:line="276" w:lineRule="auto"/>
              <w:ind w:left="160"/>
              <w:jc w:val="center"/>
              <w:rPr>
                <w:rFonts w:cs="Arial"/>
                <w:sz w:val="20"/>
              </w:rPr>
            </w:pPr>
            <w:r w:rsidRPr="003B76DB">
              <w:rPr>
                <w:rFonts w:cs="Arial"/>
                <w:sz w:val="20"/>
              </w:rPr>
              <w:t>Riesgo Moderado</w:t>
            </w:r>
          </w:p>
        </w:tc>
        <w:tc>
          <w:tcPr>
            <w:tcW w:w="6370" w:type="dxa"/>
            <w:vAlign w:val="center"/>
          </w:tcPr>
          <w:p w:rsidR="00DD38FB" w:rsidRPr="003B76DB" w:rsidRDefault="00DD38FB" w:rsidP="003B76DB">
            <w:pPr>
              <w:spacing w:line="276" w:lineRule="auto"/>
              <w:ind w:left="99"/>
              <w:rPr>
                <w:rFonts w:cs="Arial"/>
                <w:sz w:val="20"/>
              </w:rPr>
            </w:pPr>
            <w:r w:rsidRPr="003B76DB">
              <w:rPr>
                <w:rFonts w:cs="Arial"/>
                <w:sz w:val="20"/>
              </w:rPr>
              <w:t>Riesgos de ocurrencia no muy frecuente, aunque probable; para los cuales existen adecuados controles y planes de contingencia.</w:t>
            </w:r>
          </w:p>
        </w:tc>
      </w:tr>
      <w:tr w:rsidR="00DD38FB" w:rsidRPr="003B76DB" w:rsidTr="00DD38FB">
        <w:trPr>
          <w:trHeight w:val="930"/>
          <w:tblCellSpacing w:w="0" w:type="dxa"/>
        </w:trPr>
        <w:tc>
          <w:tcPr>
            <w:tcW w:w="709" w:type="dxa"/>
            <w:shd w:val="clear" w:color="auto" w:fill="00CC00"/>
          </w:tcPr>
          <w:p w:rsidR="00DD38FB" w:rsidRPr="003B76DB" w:rsidRDefault="00DD38FB" w:rsidP="003B76DB">
            <w:pPr>
              <w:spacing w:line="276" w:lineRule="auto"/>
              <w:ind w:left="720"/>
              <w:rPr>
                <w:rFonts w:cs="Arial"/>
                <w:sz w:val="20"/>
              </w:rPr>
            </w:pPr>
          </w:p>
        </w:tc>
        <w:tc>
          <w:tcPr>
            <w:tcW w:w="1861" w:type="dxa"/>
            <w:vAlign w:val="center"/>
          </w:tcPr>
          <w:p w:rsidR="00DD38FB" w:rsidRPr="003B76DB" w:rsidRDefault="00DD38FB" w:rsidP="003B76DB">
            <w:pPr>
              <w:spacing w:line="276" w:lineRule="auto"/>
              <w:ind w:left="160"/>
              <w:jc w:val="center"/>
              <w:rPr>
                <w:rFonts w:cs="Arial"/>
                <w:sz w:val="20"/>
              </w:rPr>
            </w:pPr>
            <w:r w:rsidRPr="003B76DB">
              <w:rPr>
                <w:rFonts w:cs="Arial"/>
                <w:sz w:val="20"/>
              </w:rPr>
              <w:t>Riesgo Bajo</w:t>
            </w:r>
          </w:p>
        </w:tc>
        <w:tc>
          <w:tcPr>
            <w:tcW w:w="6370" w:type="dxa"/>
            <w:vAlign w:val="center"/>
          </w:tcPr>
          <w:p w:rsidR="00DD38FB" w:rsidRPr="003B76DB" w:rsidRDefault="00DD38FB" w:rsidP="003B76DB">
            <w:pPr>
              <w:spacing w:line="276" w:lineRule="auto"/>
              <w:ind w:left="99"/>
              <w:rPr>
                <w:rFonts w:cs="Arial"/>
                <w:sz w:val="20"/>
              </w:rPr>
            </w:pPr>
            <w:r w:rsidRPr="003B76DB">
              <w:rPr>
                <w:rFonts w:cs="Arial"/>
                <w:sz w:val="20"/>
              </w:rPr>
              <w:t>Corresponden a aquellos riesgos de ocurrencia poco probable, para los cuales existen adecuados controles y planes de contingencia</w:t>
            </w:r>
          </w:p>
        </w:tc>
      </w:tr>
    </w:tbl>
    <w:p w:rsidR="00DD38FB" w:rsidRPr="003B76DB" w:rsidRDefault="00DD38FB" w:rsidP="003B76DB">
      <w:pPr>
        <w:pStyle w:val="Default"/>
        <w:spacing w:line="276" w:lineRule="auto"/>
        <w:jc w:val="both"/>
        <w:rPr>
          <w:rFonts w:ascii="Arial Narrow" w:hAnsi="Arial Narrow"/>
        </w:rPr>
      </w:pPr>
    </w:p>
    <w:p w:rsidR="00DD38FB" w:rsidRPr="003B76DB" w:rsidRDefault="00DD38FB" w:rsidP="003B76DB">
      <w:pPr>
        <w:pStyle w:val="Default"/>
        <w:spacing w:line="276" w:lineRule="auto"/>
        <w:jc w:val="both"/>
        <w:rPr>
          <w:rFonts w:ascii="Arial Narrow" w:hAnsi="Arial Narrow"/>
        </w:rPr>
      </w:pPr>
      <w:r w:rsidRPr="003B76DB">
        <w:rPr>
          <w:rFonts w:ascii="Arial Narrow" w:hAnsi="Arial Narrow"/>
        </w:rPr>
        <w:lastRenderedPageBreak/>
        <w:t>El nivel aceptado por la DGCPTN es el riesgo moderado, de igual forma se debe calcular el perfil de riesgo residual de cada proceso de la DGCPTN y cada Subdirección, para identificar alertas tempranas en cada proceso.</w:t>
      </w:r>
    </w:p>
    <w:p w:rsidR="00DD38FB" w:rsidRPr="003B76DB" w:rsidRDefault="00DD38FB" w:rsidP="003B76DB">
      <w:pPr>
        <w:pStyle w:val="Default"/>
        <w:spacing w:line="276" w:lineRule="auto"/>
        <w:jc w:val="both"/>
        <w:rPr>
          <w:rFonts w:ascii="Arial Narrow" w:hAnsi="Arial Narrow"/>
        </w:rPr>
      </w:pPr>
    </w:p>
    <w:p w:rsidR="00DD38FB" w:rsidRPr="003B76DB" w:rsidRDefault="00DD38FB" w:rsidP="003B76DB">
      <w:pPr>
        <w:pStyle w:val="Default"/>
        <w:spacing w:line="276" w:lineRule="auto"/>
        <w:jc w:val="both"/>
        <w:rPr>
          <w:rFonts w:ascii="Arial Narrow" w:hAnsi="Arial Narrow"/>
          <w:szCs w:val="22"/>
        </w:rPr>
      </w:pPr>
      <w:r w:rsidRPr="003B76DB">
        <w:rPr>
          <w:rFonts w:ascii="Arial Narrow" w:hAnsi="Arial Narrow"/>
          <w:szCs w:val="22"/>
        </w:rPr>
        <w:t>Las distintas áreas de la Dirección pueden utilizar estos indicadores para identificar y vigilar los riesgos operativos de mayor significancia y las tendencias resultantes pueden indic</w:t>
      </w:r>
      <w:r w:rsidR="001E2170">
        <w:rPr>
          <w:rFonts w:ascii="Arial Narrow" w:hAnsi="Arial Narrow"/>
          <w:szCs w:val="22"/>
        </w:rPr>
        <w:t xml:space="preserve">ar algunas alertas tempranas. </w:t>
      </w:r>
      <w:r w:rsidRPr="003B76DB">
        <w:rPr>
          <w:rFonts w:ascii="Arial Narrow" w:hAnsi="Arial Narrow"/>
          <w:szCs w:val="22"/>
        </w:rPr>
        <w:t>Estos indicadores pueden ayudar en la previsión de ocurrencia de riesgos específicos. Por ejemplo, los indicadores pueden señalar problemas en un determinado proceso que podrían implicar pérdidas operativas, lo que puede dar lugar a adoptar nuevas medidas en pos de reducir los efectos de riesgos no cubiertos.</w:t>
      </w:r>
    </w:p>
    <w:p w:rsidR="00DD38FB" w:rsidRPr="003B76DB" w:rsidRDefault="00DD38FB" w:rsidP="003B76DB">
      <w:pPr>
        <w:pStyle w:val="Default"/>
        <w:spacing w:line="276" w:lineRule="auto"/>
        <w:jc w:val="both"/>
        <w:rPr>
          <w:rFonts w:ascii="Arial Narrow" w:hAnsi="Arial Narrow"/>
          <w:szCs w:val="22"/>
        </w:rPr>
      </w:pPr>
    </w:p>
    <w:p w:rsidR="001E2170" w:rsidRPr="003B76DB" w:rsidRDefault="00DD38FB" w:rsidP="003B76DB">
      <w:pPr>
        <w:autoSpaceDE w:val="0"/>
        <w:autoSpaceDN w:val="0"/>
        <w:adjustRightInd w:val="0"/>
        <w:spacing w:line="276" w:lineRule="auto"/>
        <w:rPr>
          <w:rFonts w:cs="Arial"/>
          <w:color w:val="000000"/>
        </w:rPr>
      </w:pPr>
      <w:r w:rsidRPr="003B76DB">
        <w:rPr>
          <w:rFonts w:cs="Arial"/>
          <w:color w:val="000000"/>
        </w:rPr>
        <w:t>Estos indicadores deberán ser preventivos y reflejar las causas potenciales de riesgo operativo, como pueden ser un crecimiento acelerado, la implementación de nuevos productos, la rotación de los efectivos, interrupciones en las operaciones, interrupciones en el sistema, etc. Cuando estos indicadores se asignan a unos límites máximos, un proceso de seguimiento eficaz puede ayudar a identificar los principales riesgos de forma transparente y permitir que la entidad reaccione ante los mismos de forma adecuada.</w:t>
      </w:r>
    </w:p>
    <w:p w:rsidR="00DD38FB" w:rsidRPr="001E2170" w:rsidRDefault="001E2170" w:rsidP="00127717">
      <w:pPr>
        <w:pStyle w:val="Ttulo2"/>
        <w:numPr>
          <w:ilvl w:val="0"/>
          <w:numId w:val="23"/>
        </w:numPr>
        <w:spacing w:line="276" w:lineRule="auto"/>
        <w:jc w:val="left"/>
        <w:rPr>
          <w:rFonts w:cs="Arial"/>
          <w:color w:val="000000"/>
        </w:rPr>
      </w:pPr>
      <w:bookmarkStart w:id="70" w:name="_Toc4590643"/>
      <w:r>
        <w:t>Seguros</w:t>
      </w:r>
      <w:bookmarkEnd w:id="70"/>
    </w:p>
    <w:p w:rsidR="001E2170" w:rsidRDefault="001E2170" w:rsidP="001E2170">
      <w:pPr>
        <w:spacing w:line="276" w:lineRule="auto"/>
        <w:rPr>
          <w:rFonts w:cs="Arial"/>
          <w:color w:val="000000"/>
        </w:rPr>
      </w:pPr>
    </w:p>
    <w:p w:rsidR="001E2170" w:rsidRPr="001E2170" w:rsidRDefault="001E2170" w:rsidP="001E2170">
      <w:pPr>
        <w:spacing w:line="276" w:lineRule="auto"/>
        <w:rPr>
          <w:rFonts w:cs="Arial"/>
          <w:color w:val="000000"/>
        </w:rPr>
      </w:pPr>
      <w:r w:rsidRPr="001E2170">
        <w:rPr>
          <w:rFonts w:cs="Arial"/>
          <w:color w:val="000000"/>
        </w:rPr>
        <w:t xml:space="preserve">Al interior del Ministerio de Hacienda y Crédito Público existen otras normas o políticas que hacen parte de la gestión del Riesgo Operativo y que ayudan a la Dirección a fortalecer su gestión con el fin de evitar posibles pérdidas no esperadas. </w:t>
      </w:r>
    </w:p>
    <w:p w:rsidR="00DD38FB" w:rsidRPr="003B76DB" w:rsidRDefault="00DD38FB" w:rsidP="003B76DB">
      <w:pPr>
        <w:spacing w:line="276" w:lineRule="auto"/>
      </w:pPr>
    </w:p>
    <w:p w:rsidR="00DD38FB" w:rsidRDefault="00DD38FB" w:rsidP="003B76DB">
      <w:pPr>
        <w:spacing w:line="276" w:lineRule="auto"/>
        <w:rPr>
          <w:rFonts w:cs="Arial"/>
          <w:color w:val="000000"/>
        </w:rPr>
      </w:pPr>
      <w:r w:rsidRPr="003B76DB">
        <w:rPr>
          <w:rFonts w:cs="Arial"/>
          <w:color w:val="000000"/>
        </w:rPr>
        <w:t xml:space="preserve">La Dirección cuenta con pólizas de seguros para la mitigación de riesgos, como una manera de transferir el riesgo de pérdidas de alta severidad. Estas pólizas de seguros son desarrolladas para equilibrar el costo de cobertura con el grado de mitigación de riesgo, teniendo en cuenta la medida en que el riesgo es realmente reducido. </w:t>
      </w:r>
    </w:p>
    <w:p w:rsidR="001E2170" w:rsidRPr="003B76DB" w:rsidRDefault="001E2170" w:rsidP="003B76DB">
      <w:pPr>
        <w:spacing w:line="276" w:lineRule="auto"/>
        <w:rPr>
          <w:rFonts w:cs="Arial"/>
          <w:color w:val="000000"/>
        </w:rPr>
      </w:pPr>
    </w:p>
    <w:p w:rsidR="00DD38FB" w:rsidRPr="003B76DB" w:rsidRDefault="00DD38FB" w:rsidP="003B76DB">
      <w:pPr>
        <w:spacing w:line="276" w:lineRule="auto"/>
        <w:rPr>
          <w:b/>
          <w:bCs/>
          <w:sz w:val="28"/>
          <w:szCs w:val="28"/>
        </w:rPr>
      </w:pPr>
      <w:r w:rsidRPr="003B76DB">
        <w:rPr>
          <w:rFonts w:cs="Arial"/>
          <w:color w:val="000000"/>
        </w:rPr>
        <w:t>Cada una de las áreas debe conocer las condiciones de cumplimiento de la póliza y acatar las políticas creadas para la adecuada cobertura de los riesgos.</w:t>
      </w:r>
    </w:p>
    <w:p w:rsidR="00DD38FB" w:rsidRPr="003B76DB" w:rsidRDefault="00DD38FB" w:rsidP="00127717">
      <w:pPr>
        <w:pStyle w:val="Ttulo2"/>
        <w:numPr>
          <w:ilvl w:val="0"/>
          <w:numId w:val="23"/>
        </w:numPr>
        <w:jc w:val="left"/>
      </w:pPr>
      <w:bookmarkStart w:id="71" w:name="_Toc507771268"/>
      <w:bookmarkStart w:id="72" w:name="_Toc4590644"/>
      <w:r w:rsidRPr="003B76DB">
        <w:t>Seguridad de la Información</w:t>
      </w:r>
      <w:bookmarkEnd w:id="71"/>
      <w:bookmarkEnd w:id="72"/>
    </w:p>
    <w:p w:rsidR="00DD38FB" w:rsidRPr="003B76DB" w:rsidRDefault="00DD38FB" w:rsidP="003B76DB">
      <w:pPr>
        <w:spacing w:line="276" w:lineRule="auto"/>
      </w:pPr>
    </w:p>
    <w:p w:rsidR="00DD38FB" w:rsidRPr="003B76DB" w:rsidRDefault="00DD38FB" w:rsidP="003B76DB">
      <w:pPr>
        <w:spacing w:line="276" w:lineRule="auto"/>
        <w:rPr>
          <w:rFonts w:cs="Arial"/>
          <w:color w:val="000000"/>
        </w:rPr>
      </w:pPr>
      <w:r w:rsidRPr="003B76DB">
        <w:rPr>
          <w:rFonts w:cs="Arial"/>
          <w:color w:val="000000"/>
        </w:rPr>
        <w:t>Adicional a las políticas definidas anteriormente, la seguridad de la información en la DGCPTN será administrada siguiendo los siguientes principios básicos que fundamentan las políticas de seguridad de la información para la infraestructura tecnológica del MHCP:</w:t>
      </w:r>
    </w:p>
    <w:p w:rsidR="00DD38FB" w:rsidRPr="003B76DB" w:rsidRDefault="00DD38FB"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b/>
          <w:color w:val="000000"/>
        </w:rPr>
        <w:lastRenderedPageBreak/>
        <w:t>Autenticidad:</w:t>
      </w:r>
      <w:r w:rsidRPr="003B76DB">
        <w:rPr>
          <w:rFonts w:cs="Arial"/>
          <w:color w:val="000000"/>
        </w:rPr>
        <w:t xml:space="preserve"> La información requerida para el cumplimento de las funciones del MHCP debe ser veraz</w:t>
      </w:r>
      <w:r w:rsidR="001E2170">
        <w:rPr>
          <w:rFonts w:cs="Arial"/>
          <w:color w:val="000000"/>
        </w:rPr>
        <w:t xml:space="preserve"> y estar debidamente autorizada</w:t>
      </w:r>
    </w:p>
    <w:p w:rsidR="001E2170" w:rsidRPr="003B76DB" w:rsidRDefault="001E2170"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b/>
          <w:color w:val="000000"/>
        </w:rPr>
        <w:t>Confiabilidad:</w:t>
      </w:r>
      <w:r w:rsidRPr="003B76DB">
        <w:rPr>
          <w:rFonts w:cs="Arial"/>
          <w:color w:val="000000"/>
        </w:rPr>
        <w:t xml:space="preserve"> La información procesada por de</w:t>
      </w:r>
      <w:r w:rsidR="001E2170">
        <w:rPr>
          <w:rFonts w:cs="Arial"/>
          <w:color w:val="000000"/>
        </w:rPr>
        <w:t>l MHCP tiene carácter confiable</w:t>
      </w:r>
    </w:p>
    <w:p w:rsidR="001E2170" w:rsidRPr="003B76DB" w:rsidRDefault="001E2170"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b/>
          <w:color w:val="000000"/>
        </w:rPr>
        <w:t>Confidencialidad:</w:t>
      </w:r>
      <w:r w:rsidRPr="003B76DB">
        <w:rPr>
          <w:rFonts w:cs="Arial"/>
          <w:color w:val="000000"/>
        </w:rPr>
        <w:t xml:space="preserve"> La información del MHCP debe estar debidamente protegida para que solo el p</w:t>
      </w:r>
      <w:r w:rsidR="001E2170">
        <w:rPr>
          <w:rFonts w:cs="Arial"/>
          <w:color w:val="000000"/>
        </w:rPr>
        <w:t>ersonal autorizado tenga acceso</w:t>
      </w:r>
    </w:p>
    <w:p w:rsidR="001E2170" w:rsidRPr="003B76DB" w:rsidRDefault="001E2170"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b/>
          <w:color w:val="000000"/>
        </w:rPr>
        <w:t>Disponibilidad:</w:t>
      </w:r>
      <w:r w:rsidRPr="003B76DB">
        <w:rPr>
          <w:rFonts w:cs="Arial"/>
          <w:color w:val="000000"/>
        </w:rPr>
        <w:t xml:space="preserve"> Los activos de información deben estar disponibles para soportar los objetivos d</w:t>
      </w:r>
      <w:r w:rsidR="001E2170">
        <w:rPr>
          <w:rFonts w:cs="Arial"/>
          <w:color w:val="000000"/>
        </w:rPr>
        <w:t>e la función misional del MHCP</w:t>
      </w:r>
    </w:p>
    <w:p w:rsidR="001E2170" w:rsidRPr="003B76DB" w:rsidRDefault="001E2170"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b/>
          <w:color w:val="000000"/>
        </w:rPr>
        <w:t>Integridad:</w:t>
      </w:r>
      <w:r w:rsidRPr="003B76DB">
        <w:rPr>
          <w:rFonts w:cs="Arial"/>
          <w:color w:val="000000"/>
        </w:rPr>
        <w:t xml:space="preserve"> Los activos de información deben estar adecuadamente protegidos para asegurar su completitud y precisión. Las medidas de validación definidas deben permitir detectar las modificaciones inapropiadas, la eliminación o la adulteración de los activos d</w:t>
      </w:r>
      <w:r w:rsidR="001E2170">
        <w:rPr>
          <w:rFonts w:cs="Arial"/>
          <w:color w:val="000000"/>
        </w:rPr>
        <w:t>e información</w:t>
      </w:r>
    </w:p>
    <w:p w:rsidR="001E2170" w:rsidRPr="003B76DB" w:rsidRDefault="001E2170" w:rsidP="003B76DB">
      <w:pPr>
        <w:spacing w:line="276" w:lineRule="auto"/>
        <w:rPr>
          <w:rFonts w:cs="Arial"/>
          <w:color w:val="000000"/>
        </w:rPr>
      </w:pPr>
    </w:p>
    <w:p w:rsidR="00DD38FB" w:rsidRDefault="00046849" w:rsidP="003B76DB">
      <w:pPr>
        <w:spacing w:line="276" w:lineRule="auto"/>
        <w:rPr>
          <w:rFonts w:cs="Arial"/>
          <w:color w:val="000000"/>
        </w:rPr>
      </w:pPr>
      <w:r>
        <w:rPr>
          <w:rFonts w:cs="Arial"/>
          <w:b/>
          <w:color w:val="000000"/>
        </w:rPr>
        <w:t>No R</w:t>
      </w:r>
      <w:r w:rsidR="00DD38FB" w:rsidRPr="003B76DB">
        <w:rPr>
          <w:rFonts w:cs="Arial"/>
          <w:b/>
          <w:color w:val="000000"/>
        </w:rPr>
        <w:t>epudio:</w:t>
      </w:r>
      <w:r w:rsidR="00DD38FB" w:rsidRPr="003B76DB">
        <w:rPr>
          <w:rFonts w:cs="Arial"/>
          <w:color w:val="000000"/>
        </w:rPr>
        <w:t xml:space="preserve"> Los activos de información deben estar provistos de mecanismos que permitan probar que una acción o un evento han tenido lugar y no pu</w:t>
      </w:r>
      <w:r w:rsidR="001E2170">
        <w:rPr>
          <w:rFonts w:cs="Arial"/>
          <w:color w:val="000000"/>
        </w:rPr>
        <w:t>edan ser negados posteriormente</w:t>
      </w:r>
    </w:p>
    <w:p w:rsidR="001E2170" w:rsidRPr="003B76DB" w:rsidRDefault="001E2170"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b/>
          <w:color w:val="000000"/>
        </w:rPr>
        <w:t>Trazabilidad:</w:t>
      </w:r>
      <w:r w:rsidRPr="003B76DB">
        <w:rPr>
          <w:rFonts w:cs="Arial"/>
          <w:color w:val="000000"/>
        </w:rPr>
        <w:t xml:space="preserve"> El MHCP requiere que se pueda realizar seguimiento de los cambios de la información y se ide</w:t>
      </w:r>
      <w:r w:rsidR="00046849">
        <w:rPr>
          <w:rFonts w:cs="Arial"/>
          <w:color w:val="000000"/>
        </w:rPr>
        <w:t>ntifiquen los agentes de cambio</w:t>
      </w:r>
    </w:p>
    <w:p w:rsidR="00046849" w:rsidRPr="003B76DB" w:rsidRDefault="00046849"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Estos principios se encuentran documentados en la política de seguridad de la información del MHCP la cual hace parte integral de este documento.</w:t>
      </w:r>
    </w:p>
    <w:p w:rsidR="00DD38FB" w:rsidRPr="003B76DB" w:rsidRDefault="00DD38FB" w:rsidP="00127717">
      <w:pPr>
        <w:pStyle w:val="Ttulo2"/>
        <w:numPr>
          <w:ilvl w:val="0"/>
          <w:numId w:val="23"/>
        </w:numPr>
        <w:spacing w:line="276" w:lineRule="auto"/>
        <w:jc w:val="left"/>
      </w:pPr>
      <w:bookmarkStart w:id="73" w:name="_Toc507771269"/>
      <w:bookmarkStart w:id="74" w:name="_Toc4590645"/>
      <w:r w:rsidRPr="003B76DB">
        <w:t>Continuidad del Negocio</w:t>
      </w:r>
      <w:bookmarkEnd w:id="73"/>
      <w:bookmarkEnd w:id="74"/>
    </w:p>
    <w:p w:rsidR="00DD38FB" w:rsidRPr="003B76DB" w:rsidRDefault="00DD38FB" w:rsidP="003B76DB">
      <w:pPr>
        <w:spacing w:line="276" w:lineRule="auto"/>
      </w:pPr>
    </w:p>
    <w:p w:rsidR="00DD38FB" w:rsidRPr="00D53882" w:rsidRDefault="00DD38FB" w:rsidP="00D53882">
      <w:pPr>
        <w:spacing w:line="276" w:lineRule="auto"/>
        <w:rPr>
          <w:rFonts w:cs="Arial"/>
          <w:color w:val="000000"/>
        </w:rPr>
      </w:pPr>
      <w:r w:rsidRPr="003B76DB">
        <w:rPr>
          <w:rFonts w:cs="Arial"/>
          <w:color w:val="000000"/>
        </w:rPr>
        <w:t xml:space="preserve">El plan de continuidad del negocio (o sus siglas en inglés BCP, por </w:t>
      </w:r>
      <w:r w:rsidRPr="00917E37">
        <w:rPr>
          <w:rFonts w:cs="Arial"/>
          <w:i/>
          <w:color w:val="000000"/>
        </w:rPr>
        <w:t>Business Continuity Plan</w:t>
      </w:r>
      <w:r w:rsidRPr="003B76DB">
        <w:rPr>
          <w:rFonts w:cs="Arial"/>
          <w:color w:val="000000"/>
        </w:rPr>
        <w:t>) es un plan logístico para la práctica de cómo una organización debe recuperar y restaurar sus funciones críticas parcialmente o totalmente interrumpidas dentro de un tiempo predeterminado, después de una inter</w:t>
      </w:r>
      <w:r w:rsidR="00917E37">
        <w:rPr>
          <w:rFonts w:cs="Arial"/>
          <w:color w:val="000000"/>
        </w:rPr>
        <w:t>rupción no deseada o desastre. El P</w:t>
      </w:r>
      <w:r w:rsidRPr="003B76DB">
        <w:rPr>
          <w:rFonts w:cs="Arial"/>
          <w:color w:val="000000"/>
        </w:rPr>
        <w:t>lan de Continuidad de</w:t>
      </w:r>
      <w:r w:rsidR="00917E37">
        <w:rPr>
          <w:rFonts w:cs="Arial"/>
          <w:color w:val="000000"/>
        </w:rPr>
        <w:t>l</w:t>
      </w:r>
      <w:r w:rsidRPr="003B76DB">
        <w:rPr>
          <w:rFonts w:cs="Arial"/>
          <w:color w:val="000000"/>
        </w:rPr>
        <w:t xml:space="preserve"> Negocios busca mantener un nivel aceptable de servicios en caso de fallas internas o externas, que puedan afectar a nuestros clientes o contrapartes. </w:t>
      </w:r>
      <w:r w:rsidRPr="003B76DB">
        <w:rPr>
          <w:rFonts w:cs="Arial"/>
          <w:color w:val="000000"/>
          <w:szCs w:val="22"/>
        </w:rPr>
        <w:t>Por éste motivo se busca:</w:t>
      </w:r>
    </w:p>
    <w:p w:rsidR="00DD38FB" w:rsidRPr="003B76DB" w:rsidRDefault="00DD38FB" w:rsidP="003B76DB">
      <w:pPr>
        <w:pStyle w:val="Textoindependiente3"/>
        <w:spacing w:line="276" w:lineRule="auto"/>
        <w:rPr>
          <w:rFonts w:ascii="Arial Narrow" w:eastAsiaTheme="minorHAnsi" w:hAnsi="Arial Narrow" w:cs="Arial"/>
          <w:color w:val="000000"/>
          <w:sz w:val="24"/>
          <w:szCs w:val="22"/>
        </w:rPr>
      </w:pPr>
    </w:p>
    <w:p w:rsidR="00DD38FB" w:rsidRPr="003B76DB" w:rsidRDefault="00DD38FB" w:rsidP="003B76DB">
      <w:pPr>
        <w:numPr>
          <w:ilvl w:val="0"/>
          <w:numId w:val="8"/>
        </w:numPr>
        <w:spacing w:line="276" w:lineRule="auto"/>
        <w:rPr>
          <w:rFonts w:cs="Arial"/>
          <w:color w:val="000000"/>
        </w:rPr>
      </w:pPr>
      <w:r w:rsidRPr="003B76DB">
        <w:rPr>
          <w:rFonts w:cs="Arial"/>
          <w:color w:val="000000"/>
        </w:rPr>
        <w:t>Minimizar las inter</w:t>
      </w:r>
      <w:r w:rsidR="00D53882">
        <w:rPr>
          <w:rFonts w:cs="Arial"/>
          <w:color w:val="000000"/>
        </w:rPr>
        <w:t>rupciones a la operación normal</w:t>
      </w:r>
    </w:p>
    <w:p w:rsidR="00DD38FB" w:rsidRPr="003B76DB" w:rsidRDefault="00DD38FB" w:rsidP="003B76DB">
      <w:pPr>
        <w:numPr>
          <w:ilvl w:val="0"/>
          <w:numId w:val="8"/>
        </w:numPr>
        <w:spacing w:line="276" w:lineRule="auto"/>
        <w:rPr>
          <w:rFonts w:cs="Arial"/>
          <w:color w:val="000000"/>
        </w:rPr>
      </w:pPr>
      <w:r w:rsidRPr="003B76DB">
        <w:rPr>
          <w:rFonts w:cs="Arial"/>
          <w:color w:val="000000"/>
        </w:rPr>
        <w:t>Minimizar el impacto económico de la interrupción</w:t>
      </w:r>
    </w:p>
    <w:p w:rsidR="00DD38FB" w:rsidRPr="003B76DB" w:rsidRDefault="00DD38FB" w:rsidP="003B76DB">
      <w:pPr>
        <w:numPr>
          <w:ilvl w:val="0"/>
          <w:numId w:val="8"/>
        </w:numPr>
        <w:spacing w:line="276" w:lineRule="auto"/>
        <w:rPr>
          <w:rFonts w:cs="Arial"/>
          <w:color w:val="000000"/>
        </w:rPr>
      </w:pPr>
      <w:r w:rsidRPr="003B76DB">
        <w:rPr>
          <w:rFonts w:cs="Arial"/>
          <w:color w:val="000000"/>
        </w:rPr>
        <w:t>Establecer las Normas, Procedimientos e Instructiv</w:t>
      </w:r>
      <w:r w:rsidR="00D53882">
        <w:rPr>
          <w:rFonts w:cs="Arial"/>
          <w:color w:val="000000"/>
        </w:rPr>
        <w:t>os para manejar la contingencia</w:t>
      </w:r>
    </w:p>
    <w:p w:rsidR="00DD38FB" w:rsidRPr="003B76DB" w:rsidRDefault="00DD38FB" w:rsidP="003B76DB">
      <w:pPr>
        <w:numPr>
          <w:ilvl w:val="0"/>
          <w:numId w:val="8"/>
        </w:numPr>
        <w:spacing w:line="276" w:lineRule="auto"/>
        <w:rPr>
          <w:rFonts w:cs="Arial"/>
          <w:color w:val="000000"/>
        </w:rPr>
      </w:pPr>
      <w:r w:rsidRPr="003B76DB">
        <w:rPr>
          <w:rFonts w:cs="Arial"/>
          <w:color w:val="000000"/>
        </w:rPr>
        <w:t>Identificar y entender las amenazas, riesgos y las medidas para cubrir los mayores riesgos mi</w:t>
      </w:r>
      <w:r w:rsidR="00D53882">
        <w:rPr>
          <w:rFonts w:cs="Arial"/>
          <w:color w:val="000000"/>
        </w:rPr>
        <w:t>nimizando rupturas materiales</w:t>
      </w:r>
    </w:p>
    <w:p w:rsidR="00DD38FB" w:rsidRPr="003B76DB" w:rsidRDefault="00DD38FB" w:rsidP="003B76DB">
      <w:pPr>
        <w:numPr>
          <w:ilvl w:val="0"/>
          <w:numId w:val="8"/>
        </w:numPr>
        <w:spacing w:line="276" w:lineRule="auto"/>
        <w:rPr>
          <w:rFonts w:cs="Arial"/>
          <w:color w:val="000000"/>
        </w:rPr>
      </w:pPr>
      <w:r w:rsidRPr="003B76DB">
        <w:rPr>
          <w:rFonts w:cs="Arial"/>
          <w:color w:val="000000"/>
        </w:rPr>
        <w:lastRenderedPageBreak/>
        <w:t>Mantener los planes individuales tratando con amenazas específicas que pueden</w:t>
      </w:r>
      <w:r w:rsidR="00D53882">
        <w:rPr>
          <w:rFonts w:cs="Arial"/>
          <w:color w:val="000000"/>
        </w:rPr>
        <w:t xml:space="preserve"> levantarse durante una crisis</w:t>
      </w:r>
    </w:p>
    <w:p w:rsidR="00DD38FB" w:rsidRPr="003B76DB" w:rsidRDefault="00DD38FB" w:rsidP="003B76DB">
      <w:pPr>
        <w:numPr>
          <w:ilvl w:val="0"/>
          <w:numId w:val="8"/>
        </w:numPr>
        <w:spacing w:line="276" w:lineRule="auto"/>
        <w:rPr>
          <w:rFonts w:cs="Arial"/>
          <w:color w:val="000000"/>
        </w:rPr>
      </w:pPr>
      <w:r w:rsidRPr="003B76DB">
        <w:rPr>
          <w:rFonts w:cs="Arial"/>
          <w:color w:val="000000"/>
        </w:rPr>
        <w:t xml:space="preserve">Detallar los procedimientos que serán adoptados por el Ministerio en caso de una contingencia </w:t>
      </w:r>
    </w:p>
    <w:p w:rsidR="00DD38FB" w:rsidRPr="003B76DB" w:rsidRDefault="00DD38FB" w:rsidP="003B76DB">
      <w:pPr>
        <w:numPr>
          <w:ilvl w:val="0"/>
          <w:numId w:val="8"/>
        </w:numPr>
        <w:spacing w:line="276" w:lineRule="auto"/>
        <w:rPr>
          <w:rFonts w:cs="Arial"/>
          <w:color w:val="000000"/>
        </w:rPr>
      </w:pPr>
      <w:r w:rsidRPr="003B76DB">
        <w:rPr>
          <w:rFonts w:cs="Arial"/>
          <w:color w:val="000000"/>
        </w:rPr>
        <w:t>Proporcionar las medidas de mitigación de riesgo y la continuidad comercial planeando reducir posibles pérdidas</w:t>
      </w:r>
    </w:p>
    <w:p w:rsidR="00DD38FB" w:rsidRPr="003B76DB" w:rsidRDefault="00DD38FB" w:rsidP="003B76DB">
      <w:pPr>
        <w:spacing w:line="276" w:lineRule="auto"/>
        <w:rPr>
          <w:rFonts w:cs="Arial"/>
          <w:color w:val="000000"/>
        </w:rPr>
      </w:pPr>
    </w:p>
    <w:p w:rsidR="00DD38FB" w:rsidRDefault="00DD38FB" w:rsidP="00A000CF">
      <w:pPr>
        <w:spacing w:line="276" w:lineRule="auto"/>
        <w:rPr>
          <w:rFonts w:cs="Arial"/>
          <w:color w:val="000000"/>
        </w:rPr>
      </w:pPr>
      <w:r w:rsidRPr="003B76DB">
        <w:rPr>
          <w:rFonts w:cs="Arial"/>
          <w:color w:val="000000"/>
        </w:rPr>
        <w:t>El plan de continuidad del negocio está compuesto por los siguientes planes, los cuales hacen parte integral de este documento:</w:t>
      </w:r>
      <w:bookmarkStart w:id="75" w:name="_Toc507771270"/>
    </w:p>
    <w:p w:rsidR="00A000CF" w:rsidRPr="003B76DB" w:rsidRDefault="00A000CF" w:rsidP="00A000CF">
      <w:pPr>
        <w:spacing w:line="276" w:lineRule="auto"/>
      </w:pPr>
    </w:p>
    <w:p w:rsidR="00D53882" w:rsidRPr="00A000CF" w:rsidRDefault="00DD38FB" w:rsidP="00A000CF">
      <w:pPr>
        <w:pStyle w:val="Prrafodelista"/>
        <w:numPr>
          <w:ilvl w:val="1"/>
          <w:numId w:val="9"/>
        </w:numPr>
        <w:ind w:left="709" w:hanging="283"/>
        <w:rPr>
          <w:b/>
        </w:rPr>
      </w:pPr>
      <w:bookmarkStart w:id="76" w:name="_Toc4590087"/>
      <w:r w:rsidRPr="00A000CF">
        <w:rPr>
          <w:b/>
        </w:rPr>
        <w:t>Plan de Atención de Emergencias</w:t>
      </w:r>
      <w:bookmarkEnd w:id="75"/>
      <w:bookmarkEnd w:id="76"/>
    </w:p>
    <w:p w:rsidR="00D53882" w:rsidRPr="00D53882" w:rsidRDefault="00D53882" w:rsidP="00D53882"/>
    <w:p w:rsidR="00DD38FB" w:rsidRPr="003B76DB" w:rsidRDefault="00DD38FB" w:rsidP="00D53882">
      <w:r w:rsidRPr="003B76DB">
        <w:t>Es el plan definido por el Ministerio de Hacienda y Crédito Público, contempla las contramedidas necesarias durante la materialización de una amenaza que atenten contra la integridad de los funcionarios, este plan esta administrado por la Dirección Administrativa del Ministerio.</w:t>
      </w:r>
    </w:p>
    <w:p w:rsidR="00302E19" w:rsidRDefault="00302E19" w:rsidP="00302E19">
      <w:pPr>
        <w:pStyle w:val="Ttulo3"/>
      </w:pPr>
      <w:bookmarkStart w:id="77" w:name="_Toc507771271"/>
    </w:p>
    <w:p w:rsidR="00DD38FB" w:rsidRPr="00A000CF" w:rsidRDefault="00DD38FB" w:rsidP="00A000CF">
      <w:pPr>
        <w:pStyle w:val="Prrafodelista"/>
        <w:numPr>
          <w:ilvl w:val="1"/>
          <w:numId w:val="9"/>
        </w:numPr>
        <w:ind w:left="709" w:hanging="283"/>
        <w:rPr>
          <w:b/>
        </w:rPr>
      </w:pPr>
      <w:bookmarkStart w:id="78" w:name="_Toc4590088"/>
      <w:r w:rsidRPr="00A000CF">
        <w:rPr>
          <w:b/>
        </w:rPr>
        <w:t>Plan de Manejo de Crisis</w:t>
      </w:r>
      <w:bookmarkEnd w:id="77"/>
      <w:bookmarkEnd w:id="78"/>
      <w:r w:rsidRPr="00A000CF">
        <w:rPr>
          <w:b/>
        </w:rPr>
        <w:t xml:space="preserve">  </w:t>
      </w:r>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Es el plan definido por la DGCPTN para mitigar el riesgo reputacional al que se encuentra expuesta la Dirección. Define el procedimiento para atender la crisis y la cadena de comunicación.</w:t>
      </w:r>
    </w:p>
    <w:p w:rsidR="00302E19" w:rsidRDefault="00302E19" w:rsidP="00302E19">
      <w:pPr>
        <w:pStyle w:val="Ttulo3"/>
      </w:pPr>
      <w:bookmarkStart w:id="79" w:name="_Toc507771272"/>
    </w:p>
    <w:p w:rsidR="00DD38FB" w:rsidRPr="00A000CF" w:rsidRDefault="00DD38FB" w:rsidP="00A000CF">
      <w:pPr>
        <w:pStyle w:val="Prrafodelista"/>
        <w:numPr>
          <w:ilvl w:val="1"/>
          <w:numId w:val="9"/>
        </w:numPr>
        <w:ind w:left="709" w:hanging="283"/>
        <w:rPr>
          <w:b/>
        </w:rPr>
      </w:pPr>
      <w:bookmarkStart w:id="80" w:name="_Toc4590089"/>
      <w:r w:rsidRPr="00A000CF">
        <w:rPr>
          <w:b/>
        </w:rPr>
        <w:t>Plan de Contingencia Tecnológica</w:t>
      </w:r>
      <w:bookmarkEnd w:id="79"/>
      <w:bookmarkEnd w:id="80"/>
    </w:p>
    <w:p w:rsidR="00DD38FB" w:rsidRPr="003B76DB" w:rsidRDefault="00DD38FB" w:rsidP="003B76DB">
      <w:pPr>
        <w:spacing w:line="276" w:lineRule="auto"/>
        <w:rPr>
          <w:rFonts w:cs="Arial"/>
          <w:color w:val="000000"/>
        </w:rPr>
      </w:pPr>
    </w:p>
    <w:p w:rsidR="00DD38FB" w:rsidRPr="003B76DB" w:rsidRDefault="00DD38FB" w:rsidP="003B76DB">
      <w:pPr>
        <w:spacing w:line="276" w:lineRule="auto"/>
        <w:rPr>
          <w:rFonts w:cs="Arial"/>
          <w:color w:val="000000"/>
        </w:rPr>
      </w:pPr>
      <w:r w:rsidRPr="003B76DB">
        <w:rPr>
          <w:rFonts w:cs="Arial"/>
          <w:color w:val="000000"/>
        </w:rPr>
        <w:t>Define las acciones de recuperación en la continuidad de las operaciones en los sistemas de información que el MHCP tiene en producción en el menor tiempo y reduciendo el impacto en las operaciones del Ministerio. Es administrado por la Dirección de Tecnología.</w:t>
      </w:r>
    </w:p>
    <w:p w:rsidR="00302E19" w:rsidRDefault="00302E19" w:rsidP="00302E19">
      <w:pPr>
        <w:pStyle w:val="Ttulo3"/>
      </w:pPr>
      <w:bookmarkStart w:id="81" w:name="_Toc507771273"/>
    </w:p>
    <w:p w:rsidR="00DD38FB" w:rsidRPr="00A000CF" w:rsidRDefault="00DD38FB" w:rsidP="00A000CF">
      <w:pPr>
        <w:pStyle w:val="Prrafodelista"/>
        <w:numPr>
          <w:ilvl w:val="1"/>
          <w:numId w:val="9"/>
        </w:numPr>
        <w:ind w:left="709" w:hanging="283"/>
        <w:rPr>
          <w:b/>
        </w:rPr>
      </w:pPr>
      <w:bookmarkStart w:id="82" w:name="_Toc4590090"/>
      <w:r w:rsidRPr="00A000CF">
        <w:rPr>
          <w:b/>
        </w:rPr>
        <w:t>Plan de Contingencia Operativo</w:t>
      </w:r>
      <w:bookmarkEnd w:id="81"/>
      <w:bookmarkEnd w:id="82"/>
    </w:p>
    <w:p w:rsidR="00DD38FB" w:rsidRPr="003B76DB" w:rsidRDefault="00DD38FB" w:rsidP="003B76DB">
      <w:pPr>
        <w:spacing w:line="276" w:lineRule="auto"/>
        <w:rPr>
          <w:rFonts w:cs="Arial"/>
          <w:color w:val="000000"/>
        </w:rPr>
      </w:pPr>
    </w:p>
    <w:p w:rsidR="00DD38FB" w:rsidRDefault="00DD38FB" w:rsidP="003B76DB">
      <w:pPr>
        <w:spacing w:line="276" w:lineRule="auto"/>
        <w:rPr>
          <w:rFonts w:cs="Arial"/>
          <w:color w:val="000000"/>
        </w:rPr>
      </w:pPr>
      <w:r w:rsidRPr="003B76DB">
        <w:rPr>
          <w:rFonts w:cs="Arial"/>
          <w:color w:val="000000"/>
        </w:rPr>
        <w:t>Tiene como finalidad documentar las actividades, procesos y procedimientos requeridos para atender los procesos críticos, ante un escenario que impida el cumplimiento de los objetivos del proceso. Adicionalmente proporciona los mecanismos y herramientas alternas para cumplir con las obligaciones contractuales adquiridas por la nación.</w:t>
      </w:r>
    </w:p>
    <w:p w:rsidR="001937C5" w:rsidRDefault="001937C5" w:rsidP="003B76DB">
      <w:pPr>
        <w:spacing w:line="276" w:lineRule="auto"/>
        <w:rPr>
          <w:rFonts w:cs="Arial"/>
          <w:color w:val="000000"/>
        </w:rPr>
      </w:pPr>
    </w:p>
    <w:p w:rsidR="001937C5" w:rsidRDefault="001937C5" w:rsidP="003B76DB">
      <w:pPr>
        <w:spacing w:line="276" w:lineRule="auto"/>
        <w:rPr>
          <w:b/>
          <w:bCs/>
          <w:sz w:val="28"/>
          <w:szCs w:val="28"/>
        </w:rPr>
      </w:pPr>
    </w:p>
    <w:p w:rsidR="001937C5" w:rsidRDefault="001937C5" w:rsidP="003B76DB">
      <w:pPr>
        <w:spacing w:line="276" w:lineRule="auto"/>
        <w:rPr>
          <w:b/>
          <w:bCs/>
          <w:sz w:val="28"/>
          <w:szCs w:val="28"/>
        </w:rPr>
      </w:pPr>
    </w:p>
    <w:p w:rsidR="001937C5" w:rsidRPr="003B76DB" w:rsidRDefault="001937C5" w:rsidP="003B76DB">
      <w:pPr>
        <w:spacing w:line="276" w:lineRule="auto"/>
        <w:rPr>
          <w:b/>
          <w:bCs/>
          <w:sz w:val="28"/>
          <w:szCs w:val="28"/>
        </w:rPr>
      </w:pPr>
    </w:p>
    <w:p w:rsidR="003E2B1F" w:rsidRDefault="003E2B1F" w:rsidP="001937C5"/>
    <w:p w:rsidR="00082011" w:rsidRPr="003B76DB" w:rsidRDefault="00082011" w:rsidP="00127717">
      <w:pPr>
        <w:pStyle w:val="Ttulo2"/>
        <w:numPr>
          <w:ilvl w:val="0"/>
          <w:numId w:val="23"/>
        </w:numPr>
        <w:jc w:val="left"/>
      </w:pPr>
      <w:bookmarkStart w:id="83" w:name="_Toc4590646"/>
      <w:r w:rsidRPr="003B76DB">
        <w:lastRenderedPageBreak/>
        <w:t>Historial de Cambios</w:t>
      </w:r>
      <w:bookmarkEnd w:id="83"/>
    </w:p>
    <w:p w:rsidR="00082011" w:rsidRPr="003B76DB" w:rsidRDefault="00082011" w:rsidP="003B76DB">
      <w:pPr>
        <w:pStyle w:val="Ttulo"/>
        <w:spacing w:line="276" w:lineRule="auto"/>
        <w:rPr>
          <w:rFonts w:ascii="Arial Narrow" w:hAnsi="Arial Narrow"/>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1107"/>
        <w:gridCol w:w="4308"/>
        <w:gridCol w:w="2170"/>
      </w:tblGrid>
      <w:tr w:rsidR="00082011" w:rsidRPr="003B76DB" w:rsidTr="00127717">
        <w:trPr>
          <w:trHeight w:val="346"/>
          <w:tblHeader/>
        </w:trPr>
        <w:tc>
          <w:tcPr>
            <w:tcW w:w="704" w:type="pct"/>
            <w:shd w:val="clear" w:color="auto" w:fill="D9D9D9"/>
            <w:tcMar>
              <w:top w:w="57" w:type="dxa"/>
              <w:left w:w="113" w:type="dxa"/>
              <w:bottom w:w="57" w:type="dxa"/>
            </w:tcMar>
            <w:vAlign w:val="center"/>
          </w:tcPr>
          <w:p w:rsidR="00082011" w:rsidRPr="00127717" w:rsidRDefault="00082011" w:rsidP="003B76DB">
            <w:pPr>
              <w:pStyle w:val="Ttulo"/>
              <w:spacing w:line="276" w:lineRule="auto"/>
              <w:rPr>
                <w:rFonts w:ascii="Arial Narrow" w:hAnsi="Arial Narrow"/>
                <w:b/>
                <w:szCs w:val="24"/>
              </w:rPr>
            </w:pPr>
            <w:r w:rsidRPr="00127717">
              <w:rPr>
                <w:rFonts w:ascii="Arial Narrow" w:hAnsi="Arial Narrow"/>
                <w:b/>
                <w:szCs w:val="24"/>
              </w:rPr>
              <w:t>FECHA</w:t>
            </w:r>
          </w:p>
        </w:tc>
        <w:tc>
          <w:tcPr>
            <w:tcW w:w="627" w:type="pct"/>
            <w:shd w:val="clear" w:color="auto" w:fill="D9D9D9"/>
            <w:tcMar>
              <w:top w:w="57" w:type="dxa"/>
              <w:left w:w="113" w:type="dxa"/>
              <w:bottom w:w="57" w:type="dxa"/>
            </w:tcMar>
            <w:vAlign w:val="center"/>
          </w:tcPr>
          <w:p w:rsidR="00082011" w:rsidRPr="00127717" w:rsidRDefault="00082011" w:rsidP="003B76DB">
            <w:pPr>
              <w:pStyle w:val="Ttulo"/>
              <w:spacing w:line="276" w:lineRule="auto"/>
              <w:rPr>
                <w:rFonts w:ascii="Arial Narrow" w:hAnsi="Arial Narrow"/>
                <w:b/>
                <w:szCs w:val="24"/>
              </w:rPr>
            </w:pPr>
            <w:r w:rsidRPr="00127717">
              <w:rPr>
                <w:rFonts w:ascii="Arial Narrow" w:hAnsi="Arial Narrow"/>
                <w:b/>
                <w:szCs w:val="24"/>
              </w:rPr>
              <w:t>VERSIÓN</w:t>
            </w:r>
          </w:p>
        </w:tc>
        <w:tc>
          <w:tcPr>
            <w:tcW w:w="2440" w:type="pct"/>
            <w:shd w:val="clear" w:color="auto" w:fill="D9D9D9"/>
            <w:tcMar>
              <w:top w:w="57" w:type="dxa"/>
              <w:left w:w="113" w:type="dxa"/>
              <w:bottom w:w="57" w:type="dxa"/>
            </w:tcMar>
            <w:vAlign w:val="center"/>
          </w:tcPr>
          <w:p w:rsidR="00082011" w:rsidRPr="00127717" w:rsidRDefault="00082011" w:rsidP="003B76DB">
            <w:pPr>
              <w:pStyle w:val="Ttulo"/>
              <w:spacing w:line="276" w:lineRule="auto"/>
              <w:rPr>
                <w:rFonts w:ascii="Arial Narrow" w:hAnsi="Arial Narrow"/>
                <w:b/>
                <w:szCs w:val="24"/>
              </w:rPr>
            </w:pPr>
            <w:r w:rsidRPr="00127717">
              <w:rPr>
                <w:rFonts w:ascii="Arial Narrow" w:hAnsi="Arial Narrow"/>
                <w:b/>
                <w:szCs w:val="24"/>
              </w:rPr>
              <w:t>DESCRIPCIÓN DEL CAMBIO</w:t>
            </w:r>
          </w:p>
        </w:tc>
        <w:tc>
          <w:tcPr>
            <w:tcW w:w="1229" w:type="pct"/>
            <w:shd w:val="clear" w:color="auto" w:fill="D9D9D9"/>
            <w:tcMar>
              <w:top w:w="57" w:type="dxa"/>
              <w:left w:w="113" w:type="dxa"/>
              <w:bottom w:w="57" w:type="dxa"/>
            </w:tcMar>
            <w:vAlign w:val="center"/>
          </w:tcPr>
          <w:p w:rsidR="00082011" w:rsidRPr="00127717" w:rsidRDefault="00082011" w:rsidP="003B76DB">
            <w:pPr>
              <w:pStyle w:val="Ttulo"/>
              <w:spacing w:line="276" w:lineRule="auto"/>
              <w:rPr>
                <w:rFonts w:ascii="Arial Narrow" w:hAnsi="Arial Narrow"/>
                <w:b/>
                <w:szCs w:val="24"/>
              </w:rPr>
            </w:pPr>
            <w:r w:rsidRPr="00127717">
              <w:rPr>
                <w:rFonts w:ascii="Arial Narrow" w:hAnsi="Arial Narrow"/>
                <w:b/>
                <w:szCs w:val="24"/>
              </w:rPr>
              <w:t>ASESOR SUG</w:t>
            </w:r>
          </w:p>
        </w:tc>
      </w:tr>
      <w:tr w:rsidR="00082011" w:rsidRPr="003B76DB" w:rsidTr="00127717">
        <w:trPr>
          <w:trHeight w:val="417"/>
        </w:trPr>
        <w:tc>
          <w:tcPr>
            <w:tcW w:w="704" w:type="pct"/>
            <w:shd w:val="clear" w:color="auto" w:fill="auto"/>
            <w:tcMar>
              <w:top w:w="57" w:type="dxa"/>
              <w:left w:w="113" w:type="dxa"/>
              <w:bottom w:w="57" w:type="dxa"/>
            </w:tcMar>
            <w:vAlign w:val="center"/>
          </w:tcPr>
          <w:p w:rsidR="00082011" w:rsidRPr="003B76DB" w:rsidRDefault="00127717" w:rsidP="003B76DB">
            <w:pPr>
              <w:pStyle w:val="Ttulo"/>
              <w:spacing w:line="276" w:lineRule="auto"/>
              <w:rPr>
                <w:rFonts w:ascii="Arial Narrow" w:hAnsi="Arial Narrow"/>
                <w:szCs w:val="24"/>
              </w:rPr>
            </w:pPr>
            <w:r>
              <w:rPr>
                <w:rFonts w:ascii="Arial Narrow" w:hAnsi="Arial Narrow"/>
                <w:szCs w:val="24"/>
              </w:rPr>
              <w:t>27-03-2019</w:t>
            </w:r>
          </w:p>
        </w:tc>
        <w:tc>
          <w:tcPr>
            <w:tcW w:w="627" w:type="pct"/>
            <w:shd w:val="clear" w:color="auto" w:fill="auto"/>
            <w:tcMar>
              <w:top w:w="57" w:type="dxa"/>
              <w:left w:w="113" w:type="dxa"/>
              <w:bottom w:w="57" w:type="dxa"/>
            </w:tcMar>
            <w:vAlign w:val="center"/>
          </w:tcPr>
          <w:p w:rsidR="00082011" w:rsidRPr="003B76DB" w:rsidRDefault="00127717" w:rsidP="003B76DB">
            <w:pPr>
              <w:pStyle w:val="Ttulo"/>
              <w:spacing w:line="276" w:lineRule="auto"/>
              <w:rPr>
                <w:rFonts w:ascii="Arial Narrow" w:hAnsi="Arial Narrow"/>
                <w:szCs w:val="24"/>
              </w:rPr>
            </w:pPr>
            <w:r>
              <w:rPr>
                <w:rFonts w:ascii="Arial Narrow" w:hAnsi="Arial Narrow"/>
                <w:szCs w:val="24"/>
              </w:rPr>
              <w:t>1</w:t>
            </w:r>
          </w:p>
        </w:tc>
        <w:tc>
          <w:tcPr>
            <w:tcW w:w="2440" w:type="pct"/>
            <w:tcMar>
              <w:top w:w="57" w:type="dxa"/>
              <w:left w:w="113" w:type="dxa"/>
              <w:bottom w:w="57" w:type="dxa"/>
            </w:tcMar>
            <w:vAlign w:val="center"/>
          </w:tcPr>
          <w:p w:rsidR="00082011" w:rsidRPr="003B76DB" w:rsidRDefault="00127717" w:rsidP="003B76DB">
            <w:pPr>
              <w:pStyle w:val="Ttulo"/>
              <w:spacing w:line="276" w:lineRule="auto"/>
              <w:rPr>
                <w:rFonts w:ascii="Arial Narrow" w:hAnsi="Arial Narrow"/>
                <w:szCs w:val="24"/>
              </w:rPr>
            </w:pPr>
            <w:r>
              <w:rPr>
                <w:rFonts w:ascii="Arial Narrow" w:hAnsi="Arial Narrow"/>
                <w:szCs w:val="24"/>
              </w:rPr>
              <w:t>Creación del documento</w:t>
            </w:r>
          </w:p>
        </w:tc>
        <w:tc>
          <w:tcPr>
            <w:tcW w:w="1229" w:type="pct"/>
            <w:tcMar>
              <w:top w:w="57" w:type="dxa"/>
              <w:left w:w="113" w:type="dxa"/>
              <w:bottom w:w="57" w:type="dxa"/>
            </w:tcMar>
            <w:vAlign w:val="center"/>
          </w:tcPr>
          <w:p w:rsidR="00082011" w:rsidRPr="003B76DB" w:rsidRDefault="00127717" w:rsidP="003B76DB">
            <w:pPr>
              <w:pStyle w:val="Ttulo"/>
              <w:spacing w:line="276" w:lineRule="auto"/>
              <w:rPr>
                <w:rFonts w:ascii="Arial Narrow" w:hAnsi="Arial Narrow"/>
                <w:szCs w:val="24"/>
              </w:rPr>
            </w:pPr>
            <w:r>
              <w:rPr>
                <w:rFonts w:ascii="Arial Narrow" w:hAnsi="Arial Narrow"/>
                <w:szCs w:val="24"/>
              </w:rPr>
              <w:t xml:space="preserve">Tatiana Santos Yate </w:t>
            </w:r>
          </w:p>
        </w:tc>
      </w:tr>
    </w:tbl>
    <w:p w:rsidR="00082011" w:rsidRPr="003B76DB" w:rsidRDefault="00082011" w:rsidP="003B76DB">
      <w:pPr>
        <w:pStyle w:val="Ttulo"/>
        <w:spacing w:line="276" w:lineRule="auto"/>
        <w:rPr>
          <w:rFonts w:ascii="Arial Narrow" w:hAnsi="Arial Narrow"/>
          <w:szCs w:val="24"/>
        </w:rPr>
      </w:pPr>
    </w:p>
    <w:p w:rsidR="00082011" w:rsidRDefault="00082011" w:rsidP="00127717">
      <w:pPr>
        <w:pStyle w:val="Ttulo2"/>
        <w:numPr>
          <w:ilvl w:val="0"/>
          <w:numId w:val="23"/>
        </w:numPr>
        <w:jc w:val="left"/>
      </w:pPr>
      <w:bookmarkStart w:id="84" w:name="_Toc4590647"/>
      <w:r w:rsidRPr="003B76DB">
        <w:t>Aprobación</w:t>
      </w:r>
      <w:bookmarkEnd w:id="84"/>
    </w:p>
    <w:p w:rsidR="003E2B1F" w:rsidRDefault="003E2B1F" w:rsidP="003E2B1F"/>
    <w:tbl>
      <w:tblPr>
        <w:tblW w:w="879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5957"/>
      </w:tblGrid>
      <w:tr w:rsidR="003E2B1F" w:rsidRPr="00CB26AD" w:rsidTr="00302E19">
        <w:trPr>
          <w:trHeight w:val="878"/>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3E2B1F" w:rsidRPr="00CB26AD" w:rsidRDefault="003E2B1F" w:rsidP="00302E19">
            <w:pPr>
              <w:pStyle w:val="Piedepgina"/>
              <w:ind w:right="360"/>
              <w:rPr>
                <w:rFonts w:cs="Arial"/>
                <w:b/>
              </w:rPr>
            </w:pPr>
            <w:r w:rsidRPr="00CB26AD">
              <w:rPr>
                <w:rFonts w:cs="Arial"/>
                <w:b/>
              </w:rPr>
              <w:t xml:space="preserve">ELABORADO POR: </w:t>
            </w:r>
          </w:p>
        </w:tc>
        <w:tc>
          <w:tcPr>
            <w:tcW w:w="5957" w:type="dxa"/>
            <w:tcBorders>
              <w:top w:val="single" w:sz="6" w:space="0" w:color="auto"/>
              <w:left w:val="single" w:sz="6" w:space="0" w:color="auto"/>
              <w:bottom w:val="single" w:sz="6" w:space="0" w:color="auto"/>
              <w:right w:val="single" w:sz="6" w:space="0" w:color="auto"/>
            </w:tcBorders>
            <w:shd w:val="clear" w:color="auto" w:fill="FFFFFF"/>
            <w:vAlign w:val="center"/>
          </w:tcPr>
          <w:p w:rsidR="003E2B1F" w:rsidRPr="003B76DB" w:rsidRDefault="003E2B1F" w:rsidP="003E2B1F">
            <w:pPr>
              <w:pStyle w:val="Ttulo"/>
              <w:spacing w:line="276" w:lineRule="auto"/>
              <w:jc w:val="left"/>
              <w:rPr>
                <w:rFonts w:ascii="Arial Narrow" w:hAnsi="Arial Narrow"/>
                <w:szCs w:val="24"/>
              </w:rPr>
            </w:pPr>
            <w:r w:rsidRPr="008B4895">
              <w:rPr>
                <w:rFonts w:ascii="Arial Narrow" w:hAnsi="Arial Narrow"/>
                <w:b/>
              </w:rPr>
              <w:t xml:space="preserve">Nombre: </w:t>
            </w:r>
            <w:r w:rsidRPr="003B76DB">
              <w:rPr>
                <w:rFonts w:ascii="Arial Narrow" w:hAnsi="Arial Narrow"/>
                <w:szCs w:val="24"/>
              </w:rPr>
              <w:t>John Neftali Mojica Morales</w:t>
            </w:r>
          </w:p>
          <w:p w:rsidR="003E2B1F" w:rsidRPr="008B4895" w:rsidRDefault="003E2B1F" w:rsidP="00302E19">
            <w:pPr>
              <w:pStyle w:val="Piedepgina"/>
              <w:tabs>
                <w:tab w:val="left" w:pos="4536"/>
              </w:tabs>
              <w:ind w:right="71"/>
              <w:rPr>
                <w:rFonts w:cs="Arial"/>
                <w:b/>
              </w:rPr>
            </w:pPr>
            <w:r w:rsidRPr="008B4895">
              <w:rPr>
                <w:rFonts w:cs="Arial"/>
                <w:b/>
              </w:rPr>
              <w:t xml:space="preserve">Cargo:    </w:t>
            </w:r>
            <w:r w:rsidR="000B7D45" w:rsidRPr="003B76DB">
              <w:t>Profesional Especializado</w:t>
            </w:r>
          </w:p>
          <w:p w:rsidR="003E2B1F" w:rsidRPr="008B4895" w:rsidRDefault="003E2B1F" w:rsidP="00302E19">
            <w:pPr>
              <w:pStyle w:val="Piedepgina"/>
              <w:ind w:right="360"/>
              <w:rPr>
                <w:rFonts w:cs="Arial"/>
                <w:b/>
              </w:rPr>
            </w:pPr>
            <w:r w:rsidRPr="008B4895">
              <w:rPr>
                <w:rFonts w:cs="Arial"/>
                <w:b/>
              </w:rPr>
              <w:t xml:space="preserve">Fecha:    </w:t>
            </w:r>
            <w:r w:rsidR="000B7D45" w:rsidRPr="005852CD">
              <w:rPr>
                <w:b/>
              </w:rPr>
              <w:t>28-11-2018</w:t>
            </w:r>
          </w:p>
        </w:tc>
      </w:tr>
      <w:tr w:rsidR="003E2B1F" w:rsidRPr="00CB26AD" w:rsidTr="00302E19">
        <w:trPr>
          <w:trHeight w:val="821"/>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3E2B1F" w:rsidRPr="00CB26AD" w:rsidRDefault="003E2B1F" w:rsidP="00302E19">
            <w:pPr>
              <w:pStyle w:val="Piedepgina"/>
              <w:ind w:right="360"/>
              <w:rPr>
                <w:rFonts w:cs="Arial"/>
                <w:b/>
              </w:rPr>
            </w:pPr>
            <w:r w:rsidRPr="00CB26AD">
              <w:rPr>
                <w:rFonts w:cs="Arial"/>
                <w:b/>
              </w:rPr>
              <w:t>REVISADO POR:</w:t>
            </w:r>
          </w:p>
        </w:tc>
        <w:tc>
          <w:tcPr>
            <w:tcW w:w="5957" w:type="dxa"/>
            <w:tcBorders>
              <w:top w:val="single" w:sz="6" w:space="0" w:color="auto"/>
              <w:left w:val="single" w:sz="6" w:space="0" w:color="auto"/>
              <w:bottom w:val="single" w:sz="6" w:space="0" w:color="auto"/>
              <w:right w:val="single" w:sz="6" w:space="0" w:color="auto"/>
            </w:tcBorders>
            <w:vAlign w:val="center"/>
          </w:tcPr>
          <w:p w:rsidR="003E2B1F" w:rsidRPr="000B7D45" w:rsidRDefault="003E2B1F" w:rsidP="000B7D45">
            <w:pPr>
              <w:pStyle w:val="Ttulo"/>
              <w:spacing w:line="276" w:lineRule="auto"/>
              <w:jc w:val="left"/>
              <w:rPr>
                <w:rFonts w:ascii="Arial Narrow" w:hAnsi="Arial Narrow"/>
                <w:szCs w:val="24"/>
              </w:rPr>
            </w:pPr>
            <w:r w:rsidRPr="008B4895">
              <w:rPr>
                <w:rFonts w:ascii="Arial Narrow" w:hAnsi="Arial Narrow"/>
                <w:b/>
              </w:rPr>
              <w:t xml:space="preserve">Nombre: </w:t>
            </w:r>
            <w:r w:rsidR="000B7D45" w:rsidRPr="003B76DB">
              <w:rPr>
                <w:rFonts w:ascii="Arial Narrow" w:hAnsi="Arial Narrow"/>
                <w:szCs w:val="24"/>
              </w:rPr>
              <w:t>Javier Andrés Cuellar Sánchez</w:t>
            </w:r>
          </w:p>
          <w:p w:rsidR="003E2B1F" w:rsidRPr="000B7D45" w:rsidRDefault="003E2B1F" w:rsidP="000B7D45">
            <w:pPr>
              <w:pStyle w:val="Ttulo"/>
              <w:spacing w:line="276" w:lineRule="auto"/>
              <w:jc w:val="left"/>
              <w:rPr>
                <w:rFonts w:ascii="Arial Narrow" w:hAnsi="Arial Narrow"/>
                <w:szCs w:val="24"/>
              </w:rPr>
            </w:pPr>
            <w:r w:rsidRPr="008B4895">
              <w:rPr>
                <w:rFonts w:ascii="Arial Narrow" w:hAnsi="Arial Narrow"/>
                <w:b/>
              </w:rPr>
              <w:t xml:space="preserve">Cargo: </w:t>
            </w:r>
            <w:r w:rsidR="000B7D45">
              <w:rPr>
                <w:rFonts w:ascii="Arial Narrow" w:hAnsi="Arial Narrow"/>
                <w:b/>
              </w:rPr>
              <w:t xml:space="preserve">   </w:t>
            </w:r>
            <w:r w:rsidR="000B7D45" w:rsidRPr="003B76DB">
              <w:rPr>
                <w:rFonts w:ascii="Arial Narrow" w:hAnsi="Arial Narrow"/>
                <w:szCs w:val="24"/>
              </w:rPr>
              <w:t>Subdirector de Riesgo</w:t>
            </w:r>
          </w:p>
          <w:p w:rsidR="003E2B1F" w:rsidRPr="008B4895" w:rsidRDefault="003E2B1F" w:rsidP="000B7D45">
            <w:pPr>
              <w:pStyle w:val="Piedepgina"/>
              <w:ind w:right="360"/>
              <w:rPr>
                <w:rFonts w:cs="Arial"/>
                <w:b/>
              </w:rPr>
            </w:pPr>
            <w:r w:rsidRPr="008B4895">
              <w:rPr>
                <w:rFonts w:cs="Arial"/>
                <w:b/>
              </w:rPr>
              <w:t xml:space="preserve">Fecha: </w:t>
            </w:r>
            <w:r w:rsidR="000B7D45">
              <w:rPr>
                <w:rFonts w:cs="Arial"/>
                <w:b/>
              </w:rPr>
              <w:t xml:space="preserve">   </w:t>
            </w:r>
            <w:r w:rsidR="000B7D45" w:rsidRPr="005852CD">
              <w:rPr>
                <w:b/>
              </w:rPr>
              <w:t>28-11-2018</w:t>
            </w:r>
            <w:r w:rsidRPr="008B4895">
              <w:rPr>
                <w:rFonts w:cs="Arial"/>
                <w:b/>
              </w:rPr>
              <w:t xml:space="preserve">  </w:t>
            </w:r>
          </w:p>
        </w:tc>
      </w:tr>
      <w:tr w:rsidR="003E2B1F" w:rsidRPr="00CB26AD" w:rsidTr="00302E19">
        <w:trPr>
          <w:trHeight w:val="846"/>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3E2B1F" w:rsidRPr="00CB26AD" w:rsidRDefault="003E2B1F" w:rsidP="00302E19">
            <w:pPr>
              <w:pStyle w:val="Piedepgina"/>
              <w:ind w:right="360"/>
              <w:rPr>
                <w:rFonts w:cs="Arial"/>
                <w:b/>
              </w:rPr>
            </w:pPr>
            <w:r w:rsidRPr="00CB26AD">
              <w:rPr>
                <w:rFonts w:cs="Arial"/>
                <w:b/>
              </w:rPr>
              <w:t>APROBADO POR:</w:t>
            </w:r>
          </w:p>
        </w:tc>
        <w:tc>
          <w:tcPr>
            <w:tcW w:w="5957" w:type="dxa"/>
            <w:tcBorders>
              <w:top w:val="single" w:sz="6" w:space="0" w:color="auto"/>
              <w:left w:val="single" w:sz="6" w:space="0" w:color="auto"/>
              <w:bottom w:val="single" w:sz="6" w:space="0" w:color="auto"/>
              <w:right w:val="single" w:sz="6" w:space="0" w:color="auto"/>
            </w:tcBorders>
            <w:vAlign w:val="center"/>
          </w:tcPr>
          <w:p w:rsidR="003E2B1F" w:rsidRPr="000B7D45" w:rsidRDefault="003E2B1F" w:rsidP="000B7D45">
            <w:pPr>
              <w:pStyle w:val="Ttulo"/>
              <w:spacing w:line="276" w:lineRule="auto"/>
              <w:jc w:val="left"/>
              <w:rPr>
                <w:rFonts w:ascii="Arial Narrow" w:hAnsi="Arial Narrow"/>
                <w:b/>
                <w:szCs w:val="24"/>
              </w:rPr>
            </w:pPr>
            <w:r w:rsidRPr="008B4895">
              <w:rPr>
                <w:rFonts w:ascii="Arial Narrow" w:hAnsi="Arial Narrow"/>
                <w:b/>
              </w:rPr>
              <w:t xml:space="preserve">Nombre: </w:t>
            </w:r>
            <w:r w:rsidR="000B7D45" w:rsidRPr="003B76DB">
              <w:rPr>
                <w:rFonts w:ascii="Arial Narrow" w:hAnsi="Arial Narrow"/>
                <w:szCs w:val="24"/>
              </w:rPr>
              <w:t>Cesar Augusto Arias Hernández</w:t>
            </w:r>
          </w:p>
          <w:p w:rsidR="003E2B1F" w:rsidRPr="008B4895" w:rsidRDefault="003E2B1F" w:rsidP="00302E19">
            <w:pPr>
              <w:pStyle w:val="Piedepgina"/>
              <w:tabs>
                <w:tab w:val="center" w:pos="4325"/>
              </w:tabs>
              <w:ind w:right="-70"/>
              <w:rPr>
                <w:rFonts w:cs="Arial"/>
                <w:b/>
              </w:rPr>
            </w:pPr>
            <w:r w:rsidRPr="008B4895">
              <w:rPr>
                <w:rFonts w:cs="Arial"/>
                <w:b/>
              </w:rPr>
              <w:t>Cargo:</w:t>
            </w:r>
            <w:r w:rsidRPr="009E0FDB">
              <w:rPr>
                <w:rFonts w:cs="Arial"/>
                <w:b/>
                <w:i/>
                <w:color w:val="C00000"/>
              </w:rPr>
              <w:t xml:space="preserve"> </w:t>
            </w:r>
            <w:r w:rsidR="000B7D45">
              <w:rPr>
                <w:rFonts w:cs="Arial"/>
                <w:b/>
                <w:i/>
                <w:color w:val="C00000"/>
              </w:rPr>
              <w:t xml:space="preserve">   </w:t>
            </w:r>
            <w:r w:rsidR="000B7D45" w:rsidRPr="003B76DB">
              <w:t>Director General de Crédito Público y Tesoro Nacional</w:t>
            </w:r>
            <w:r w:rsidRPr="008B4895">
              <w:rPr>
                <w:rFonts w:cs="Arial"/>
              </w:rPr>
              <w:t xml:space="preserve"> </w:t>
            </w:r>
          </w:p>
          <w:p w:rsidR="003E2B1F" w:rsidRPr="008B4895" w:rsidRDefault="003E2B1F" w:rsidP="00634A1F">
            <w:pPr>
              <w:pStyle w:val="Piedepgina"/>
              <w:ind w:right="360"/>
              <w:rPr>
                <w:rFonts w:cs="Arial"/>
                <w:b/>
              </w:rPr>
            </w:pPr>
            <w:r w:rsidRPr="008B4895">
              <w:rPr>
                <w:rFonts w:cs="Arial"/>
                <w:b/>
              </w:rPr>
              <w:t xml:space="preserve">Fecha: </w:t>
            </w:r>
            <w:r w:rsidR="000B7D45">
              <w:rPr>
                <w:rFonts w:cs="Arial"/>
                <w:b/>
              </w:rPr>
              <w:t xml:space="preserve">   </w:t>
            </w:r>
            <w:r w:rsidR="000B7D45" w:rsidRPr="000B7D45">
              <w:rPr>
                <w:b/>
              </w:rPr>
              <w:t>2</w:t>
            </w:r>
            <w:r w:rsidR="00634A1F">
              <w:rPr>
                <w:b/>
              </w:rPr>
              <w:t>7</w:t>
            </w:r>
            <w:r w:rsidR="00127717">
              <w:rPr>
                <w:b/>
              </w:rPr>
              <w:t>/03/2019</w:t>
            </w:r>
          </w:p>
        </w:tc>
      </w:tr>
    </w:tbl>
    <w:p w:rsidR="003E2B1F" w:rsidRPr="003E2B1F" w:rsidRDefault="003E2B1F" w:rsidP="003E2B1F"/>
    <w:p w:rsidR="0096587C" w:rsidRPr="003B76DB" w:rsidRDefault="0096587C" w:rsidP="003B76DB">
      <w:pPr>
        <w:pStyle w:val="Ttulo"/>
        <w:spacing w:line="276" w:lineRule="auto"/>
        <w:rPr>
          <w:rFonts w:ascii="Arial Narrow" w:eastAsia="Batang" w:hAnsi="Arial Narrow"/>
          <w:szCs w:val="24"/>
          <w:lang w:val="es-ES" w:eastAsia="en-US"/>
        </w:rPr>
      </w:pPr>
      <w:bookmarkStart w:id="85" w:name="_GoBack"/>
      <w:bookmarkEnd w:id="85"/>
    </w:p>
    <w:sectPr w:rsidR="0096587C" w:rsidRPr="003B76DB" w:rsidSect="008F7A44">
      <w:headerReference w:type="default" r:id="rId29"/>
      <w:footerReference w:type="default" r:id="rId3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A86" w:rsidRDefault="001D3A86" w:rsidP="00B30341">
      <w:r>
        <w:separator/>
      </w:r>
    </w:p>
  </w:endnote>
  <w:endnote w:type="continuationSeparator" w:id="0">
    <w:p w:rsidR="001D3A86" w:rsidRDefault="001D3A86" w:rsidP="00B30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E19" w:rsidRPr="003B76DB" w:rsidRDefault="00302E19">
    <w:pPr>
      <w:pStyle w:val="Piedepgina"/>
      <w:rPr>
        <w:lang w:val="en-US"/>
      </w:rPr>
    </w:pPr>
    <w:r w:rsidRPr="00B272FD">
      <w:rPr>
        <w:sz w:val="16"/>
        <w:szCs w:val="16"/>
        <w:lang w:val="en-US"/>
      </w:rPr>
      <w:t>Est.1.4.Ins.1.Fr.13 Plantilla Manual_V.1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A86" w:rsidRDefault="001D3A86" w:rsidP="00B30341">
      <w:r>
        <w:separator/>
      </w:r>
    </w:p>
  </w:footnote>
  <w:footnote w:type="continuationSeparator" w:id="0">
    <w:p w:rsidR="001D3A86" w:rsidRDefault="001D3A86" w:rsidP="00B30341">
      <w:r>
        <w:continuationSeparator/>
      </w:r>
    </w:p>
  </w:footnote>
  <w:footnote w:id="1">
    <w:p w:rsidR="00302E19" w:rsidRPr="003B76DB" w:rsidRDefault="00302E19" w:rsidP="003B76DB">
      <w:pPr>
        <w:pStyle w:val="Piedepgina"/>
        <w:rPr>
          <w:sz w:val="20"/>
          <w:szCs w:val="20"/>
        </w:rPr>
      </w:pPr>
      <w:r w:rsidRPr="003B76DB">
        <w:rPr>
          <w:rStyle w:val="Refdenotaalpie"/>
          <w:sz w:val="20"/>
          <w:szCs w:val="20"/>
        </w:rPr>
        <w:footnoteRef/>
      </w:r>
      <w:r w:rsidRPr="003B76DB">
        <w:rPr>
          <w:sz w:val="20"/>
          <w:szCs w:val="20"/>
        </w:rPr>
        <w:t xml:space="preserve"> El Comité de Supervisión Bancaria de Basilea, creado en 1975 por los Gobernadores de los bancos centrales del Grupo de los Diez, está compuesto por altos representantes de autoridades de supervisión bancaria y de bancos centrales de Alemania, Bélgica, Canadá, España, Estados Unidos, Francia, Italia, Japón, Luxemburgo, Suecia, Suiza, los Países Bajos y el Reino Unido. Sus reuniones suelen celebrarse en la sede del Banco de Pagos Internacionales en Basilea (Suiza), d</w:t>
      </w:r>
      <w:r>
        <w:rPr>
          <w:sz w:val="20"/>
          <w:szCs w:val="20"/>
        </w:rPr>
        <w:t>onde está ubicada su Secretaría.</w:t>
      </w:r>
    </w:p>
  </w:footnote>
  <w:footnote w:id="2">
    <w:p w:rsidR="00302E19" w:rsidRDefault="00302E19" w:rsidP="00DD38FB">
      <w:pPr>
        <w:pStyle w:val="Textonotapie"/>
      </w:pPr>
      <w:r>
        <w:rPr>
          <w:rStyle w:val="Refdenotaalpie"/>
        </w:rPr>
        <w:footnoteRef/>
      </w:r>
      <w:r>
        <w:t xml:space="preserve"> Basilea en su definición de Riesgo Operativo incluye el Riesgo Legal pero excluye el Riesgo Reputacional. </w:t>
      </w:r>
    </w:p>
  </w:footnote>
  <w:footnote w:id="3">
    <w:p w:rsidR="00302E19" w:rsidRDefault="00302E19" w:rsidP="00DD38FB">
      <w:pPr>
        <w:pStyle w:val="Textonotapie"/>
      </w:pPr>
      <w:r>
        <w:rPr>
          <w:rStyle w:val="Refdenotaalpie"/>
        </w:rPr>
        <w:footnoteRef/>
      </w:r>
      <w:r>
        <w:t xml:space="preserve"> Circular Externa 041 de 2007 de la Superintendencia Financiera.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45" w:type="dxa"/>
      <w:tblInd w:w="-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4033"/>
      <w:gridCol w:w="1134"/>
      <w:gridCol w:w="1843"/>
    </w:tblGrid>
    <w:tr w:rsidR="00302E19" w:rsidTr="00127717">
      <w:trPr>
        <w:cantSplit/>
        <w:trHeight w:val="264"/>
      </w:trPr>
      <w:tc>
        <w:tcPr>
          <w:tcW w:w="2835" w:type="dxa"/>
          <w:vMerge w:val="restart"/>
          <w:vAlign w:val="center"/>
        </w:tcPr>
        <w:p w:rsidR="00302E19" w:rsidRDefault="00302E19" w:rsidP="00CD0B72">
          <w:pPr>
            <w:pStyle w:val="Encabezado"/>
            <w:jc w:val="center"/>
            <w:rPr>
              <w:rFonts w:ascii="Arial" w:hAnsi="Arial"/>
            </w:rPr>
          </w:pPr>
          <w:r w:rsidRPr="008E0216">
            <w:rPr>
              <w:noProof/>
              <w:lang w:val="en-US" w:eastAsia="en-US"/>
            </w:rPr>
            <w:drawing>
              <wp:inline distT="0" distB="0" distL="0" distR="0">
                <wp:extent cx="1675130" cy="438785"/>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75130" cy="438785"/>
                        </a:xfrm>
                        <a:prstGeom prst="rect">
                          <a:avLst/>
                        </a:prstGeom>
                        <a:noFill/>
                        <a:ln>
                          <a:noFill/>
                        </a:ln>
                      </pic:spPr>
                    </pic:pic>
                  </a:graphicData>
                </a:graphic>
              </wp:inline>
            </w:drawing>
          </w:r>
        </w:p>
      </w:tc>
      <w:tc>
        <w:tcPr>
          <w:tcW w:w="4033" w:type="dxa"/>
          <w:vMerge w:val="restart"/>
          <w:vAlign w:val="center"/>
        </w:tcPr>
        <w:p w:rsidR="00302E19" w:rsidRDefault="00302E19" w:rsidP="00DD38FB">
          <w:pPr>
            <w:jc w:val="center"/>
            <w:rPr>
              <w:rFonts w:ascii="Arial" w:hAnsi="Arial"/>
              <w:b/>
            </w:rPr>
          </w:pPr>
          <w:r>
            <w:rPr>
              <w:rFonts w:ascii="Arial" w:hAnsi="Arial"/>
              <w:b/>
            </w:rPr>
            <w:t>Manual de Riesgo Operativo</w:t>
          </w:r>
        </w:p>
      </w:tc>
      <w:tc>
        <w:tcPr>
          <w:tcW w:w="1134" w:type="dxa"/>
          <w:vAlign w:val="center"/>
        </w:tcPr>
        <w:p w:rsidR="00302E19" w:rsidRDefault="00302E19" w:rsidP="00CD0B72">
          <w:pPr>
            <w:pStyle w:val="Encabezado"/>
            <w:rPr>
              <w:rFonts w:ascii="Arial" w:hAnsi="Arial" w:cs="Arial"/>
              <w:b/>
            </w:rPr>
          </w:pPr>
          <w:r>
            <w:rPr>
              <w:rFonts w:ascii="Arial" w:hAnsi="Arial"/>
              <w:b/>
            </w:rPr>
            <w:t>Código:</w:t>
          </w:r>
          <w:r>
            <w:t xml:space="preserve"> </w:t>
          </w:r>
        </w:p>
      </w:tc>
      <w:tc>
        <w:tcPr>
          <w:tcW w:w="1843" w:type="dxa"/>
          <w:vAlign w:val="center"/>
        </w:tcPr>
        <w:p w:rsidR="00302E19" w:rsidRPr="00127717" w:rsidRDefault="00127717" w:rsidP="00127717">
          <w:pPr>
            <w:pStyle w:val="Encabezado"/>
            <w:jc w:val="center"/>
            <w:rPr>
              <w:rFonts w:ascii="Arial" w:hAnsi="Arial" w:cs="Arial"/>
            </w:rPr>
          </w:pPr>
          <w:r w:rsidRPr="00127717">
            <w:rPr>
              <w:rFonts w:ascii="Arial" w:hAnsi="Arial" w:cs="Arial"/>
            </w:rPr>
            <w:t>Mis.3.10 Man8</w:t>
          </w:r>
        </w:p>
      </w:tc>
    </w:tr>
    <w:tr w:rsidR="00302E19" w:rsidTr="00127717">
      <w:trPr>
        <w:cantSplit/>
        <w:trHeight w:val="140"/>
      </w:trPr>
      <w:tc>
        <w:tcPr>
          <w:tcW w:w="2835" w:type="dxa"/>
          <w:vMerge/>
        </w:tcPr>
        <w:p w:rsidR="00302E19" w:rsidRDefault="00302E19" w:rsidP="00CD0B72">
          <w:pPr>
            <w:pStyle w:val="Encabezado"/>
            <w:jc w:val="center"/>
            <w:rPr>
              <w:rFonts w:ascii="Arial" w:hAnsi="Arial"/>
            </w:rPr>
          </w:pPr>
        </w:p>
      </w:tc>
      <w:tc>
        <w:tcPr>
          <w:tcW w:w="4033" w:type="dxa"/>
          <w:vMerge/>
        </w:tcPr>
        <w:p w:rsidR="00302E19" w:rsidRDefault="00302E19" w:rsidP="00CD0B72">
          <w:pPr>
            <w:pStyle w:val="Encabezado"/>
            <w:jc w:val="center"/>
            <w:rPr>
              <w:rFonts w:ascii="Arial" w:hAnsi="Arial"/>
              <w:b/>
            </w:rPr>
          </w:pPr>
        </w:p>
      </w:tc>
      <w:tc>
        <w:tcPr>
          <w:tcW w:w="1134" w:type="dxa"/>
          <w:vAlign w:val="center"/>
        </w:tcPr>
        <w:p w:rsidR="00302E19" w:rsidRDefault="00302E19" w:rsidP="00CD0B72">
          <w:pPr>
            <w:pStyle w:val="Encabezado"/>
            <w:rPr>
              <w:rFonts w:ascii="Arial" w:hAnsi="Arial"/>
              <w:b/>
            </w:rPr>
          </w:pPr>
          <w:r>
            <w:rPr>
              <w:rFonts w:ascii="Arial" w:hAnsi="Arial"/>
              <w:b/>
            </w:rPr>
            <w:t>Fecha:</w:t>
          </w:r>
        </w:p>
      </w:tc>
      <w:tc>
        <w:tcPr>
          <w:tcW w:w="1843" w:type="dxa"/>
          <w:vAlign w:val="center"/>
        </w:tcPr>
        <w:p w:rsidR="00302E19" w:rsidRPr="00127717" w:rsidRDefault="00302E19" w:rsidP="00127717">
          <w:pPr>
            <w:pStyle w:val="Encabezado"/>
            <w:jc w:val="center"/>
            <w:rPr>
              <w:rFonts w:ascii="Arial" w:hAnsi="Arial"/>
            </w:rPr>
          </w:pPr>
          <w:r w:rsidRPr="00127717">
            <w:rPr>
              <w:rFonts w:ascii="Arial" w:hAnsi="Arial"/>
            </w:rPr>
            <w:t>27-03-2019</w:t>
          </w:r>
        </w:p>
      </w:tc>
    </w:tr>
    <w:tr w:rsidR="00302E19" w:rsidTr="00127717">
      <w:trPr>
        <w:cantSplit/>
        <w:trHeight w:val="140"/>
      </w:trPr>
      <w:tc>
        <w:tcPr>
          <w:tcW w:w="2835" w:type="dxa"/>
          <w:vMerge/>
        </w:tcPr>
        <w:p w:rsidR="00302E19" w:rsidRDefault="00302E19" w:rsidP="00CD0B72">
          <w:pPr>
            <w:pStyle w:val="Encabezado"/>
            <w:jc w:val="center"/>
            <w:rPr>
              <w:rFonts w:ascii="Arial" w:hAnsi="Arial"/>
            </w:rPr>
          </w:pPr>
        </w:p>
      </w:tc>
      <w:tc>
        <w:tcPr>
          <w:tcW w:w="4033" w:type="dxa"/>
          <w:vMerge/>
        </w:tcPr>
        <w:p w:rsidR="00302E19" w:rsidRDefault="00302E19" w:rsidP="00CD0B72">
          <w:pPr>
            <w:pStyle w:val="Encabezado"/>
            <w:jc w:val="center"/>
            <w:rPr>
              <w:rFonts w:ascii="Arial" w:hAnsi="Arial"/>
              <w:b/>
            </w:rPr>
          </w:pPr>
        </w:p>
      </w:tc>
      <w:tc>
        <w:tcPr>
          <w:tcW w:w="1134" w:type="dxa"/>
          <w:vAlign w:val="center"/>
        </w:tcPr>
        <w:p w:rsidR="00302E19" w:rsidRDefault="00302E19" w:rsidP="00CD0B72">
          <w:pPr>
            <w:pStyle w:val="Encabezado"/>
            <w:rPr>
              <w:rFonts w:ascii="Arial" w:hAnsi="Arial"/>
              <w:b/>
            </w:rPr>
          </w:pPr>
          <w:r>
            <w:rPr>
              <w:rFonts w:ascii="Arial" w:hAnsi="Arial"/>
              <w:b/>
            </w:rPr>
            <w:t xml:space="preserve">Versión: </w:t>
          </w:r>
        </w:p>
      </w:tc>
      <w:tc>
        <w:tcPr>
          <w:tcW w:w="1843" w:type="dxa"/>
          <w:vAlign w:val="center"/>
        </w:tcPr>
        <w:p w:rsidR="00302E19" w:rsidRPr="00127717" w:rsidRDefault="00127717" w:rsidP="00127717">
          <w:pPr>
            <w:pStyle w:val="Encabezado"/>
            <w:jc w:val="center"/>
            <w:rPr>
              <w:rFonts w:ascii="Arial" w:hAnsi="Arial"/>
            </w:rPr>
          </w:pPr>
          <w:r>
            <w:rPr>
              <w:rFonts w:ascii="Arial" w:hAnsi="Arial"/>
            </w:rPr>
            <w:t>1</w:t>
          </w:r>
        </w:p>
      </w:tc>
    </w:tr>
    <w:tr w:rsidR="00302E19" w:rsidTr="00127717">
      <w:trPr>
        <w:cantSplit/>
        <w:trHeight w:val="141"/>
      </w:trPr>
      <w:tc>
        <w:tcPr>
          <w:tcW w:w="2835" w:type="dxa"/>
          <w:vMerge/>
          <w:tcBorders>
            <w:bottom w:val="single" w:sz="4" w:space="0" w:color="auto"/>
          </w:tcBorders>
        </w:tcPr>
        <w:p w:rsidR="00302E19" w:rsidRDefault="00302E19" w:rsidP="00CD0B72">
          <w:pPr>
            <w:pStyle w:val="Encabezado"/>
            <w:jc w:val="center"/>
            <w:rPr>
              <w:rFonts w:ascii="Arial" w:hAnsi="Arial"/>
              <w:b/>
            </w:rPr>
          </w:pPr>
        </w:p>
      </w:tc>
      <w:tc>
        <w:tcPr>
          <w:tcW w:w="4033" w:type="dxa"/>
          <w:vMerge/>
          <w:tcBorders>
            <w:bottom w:val="single" w:sz="4" w:space="0" w:color="auto"/>
          </w:tcBorders>
        </w:tcPr>
        <w:p w:rsidR="00302E19" w:rsidRDefault="00302E19" w:rsidP="00CD0B72">
          <w:pPr>
            <w:pStyle w:val="Encabezado"/>
            <w:jc w:val="center"/>
            <w:rPr>
              <w:rFonts w:ascii="Arial" w:hAnsi="Arial"/>
              <w:b/>
            </w:rPr>
          </w:pPr>
        </w:p>
      </w:tc>
      <w:tc>
        <w:tcPr>
          <w:tcW w:w="1134" w:type="dxa"/>
          <w:vAlign w:val="center"/>
        </w:tcPr>
        <w:p w:rsidR="00302E19" w:rsidRDefault="00302E19" w:rsidP="00CD0B72">
          <w:pPr>
            <w:pStyle w:val="Encabezado"/>
            <w:rPr>
              <w:rFonts w:ascii="Arial" w:hAnsi="Arial"/>
              <w:b/>
            </w:rPr>
          </w:pPr>
          <w:r>
            <w:rPr>
              <w:rFonts w:ascii="Arial" w:hAnsi="Arial"/>
              <w:b/>
            </w:rPr>
            <w:t xml:space="preserve">Página: </w:t>
          </w:r>
        </w:p>
      </w:tc>
      <w:tc>
        <w:tcPr>
          <w:tcW w:w="1843" w:type="dxa"/>
          <w:vAlign w:val="center"/>
        </w:tcPr>
        <w:p w:rsidR="00302E19" w:rsidRPr="00127717" w:rsidRDefault="00302E19" w:rsidP="00127717">
          <w:pPr>
            <w:pStyle w:val="Encabezado"/>
            <w:jc w:val="center"/>
            <w:rPr>
              <w:rFonts w:ascii="Arial" w:hAnsi="Arial"/>
            </w:rPr>
          </w:pPr>
          <w:r w:rsidRPr="00127717">
            <w:rPr>
              <w:rFonts w:ascii="Arial" w:hAnsi="Arial"/>
            </w:rPr>
            <w:fldChar w:fldCharType="begin"/>
          </w:r>
          <w:r w:rsidRPr="00127717">
            <w:rPr>
              <w:rFonts w:ascii="Arial" w:hAnsi="Arial"/>
            </w:rPr>
            <w:instrText xml:space="preserve"> PAGE </w:instrText>
          </w:r>
          <w:r w:rsidRPr="00127717">
            <w:rPr>
              <w:rFonts w:ascii="Arial" w:hAnsi="Arial"/>
            </w:rPr>
            <w:fldChar w:fldCharType="separate"/>
          </w:r>
          <w:r w:rsidR="00634A1F">
            <w:rPr>
              <w:rFonts w:ascii="Arial" w:hAnsi="Arial"/>
              <w:noProof/>
            </w:rPr>
            <w:t>33</w:t>
          </w:r>
          <w:r w:rsidRPr="00127717">
            <w:rPr>
              <w:rFonts w:ascii="Arial" w:hAnsi="Arial"/>
            </w:rPr>
            <w:fldChar w:fldCharType="end"/>
          </w:r>
          <w:r w:rsidRPr="00127717">
            <w:rPr>
              <w:rFonts w:ascii="Arial" w:hAnsi="Arial"/>
            </w:rPr>
            <w:t xml:space="preserve"> de </w:t>
          </w:r>
          <w:r w:rsidRPr="00127717">
            <w:rPr>
              <w:rFonts w:ascii="Arial" w:hAnsi="Arial"/>
            </w:rPr>
            <w:fldChar w:fldCharType="begin"/>
          </w:r>
          <w:r w:rsidRPr="00127717">
            <w:rPr>
              <w:rFonts w:ascii="Arial" w:hAnsi="Arial"/>
            </w:rPr>
            <w:instrText xml:space="preserve"> NUMPAGES  \# "0" \* Arabic  \* MERGEFORMAT </w:instrText>
          </w:r>
          <w:r w:rsidRPr="00127717">
            <w:rPr>
              <w:rFonts w:ascii="Arial" w:hAnsi="Arial"/>
            </w:rPr>
            <w:fldChar w:fldCharType="separate"/>
          </w:r>
          <w:r w:rsidR="00634A1F">
            <w:rPr>
              <w:rFonts w:ascii="Arial" w:hAnsi="Arial"/>
              <w:noProof/>
            </w:rPr>
            <w:t>34</w:t>
          </w:r>
          <w:r w:rsidRPr="00127717">
            <w:rPr>
              <w:rFonts w:ascii="Arial" w:hAnsi="Arial"/>
            </w:rPr>
            <w:fldChar w:fldCharType="end"/>
          </w:r>
        </w:p>
      </w:tc>
    </w:tr>
  </w:tbl>
  <w:p w:rsidR="00302E19" w:rsidRPr="004B1C86" w:rsidRDefault="00302E19" w:rsidP="004B1C8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9B9"/>
    <w:multiLevelType w:val="multilevel"/>
    <w:tmpl w:val="20C22A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pStyle w:val="Ttulo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0DF5C8D"/>
    <w:multiLevelType w:val="hybridMultilevel"/>
    <w:tmpl w:val="893649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53F3621"/>
    <w:multiLevelType w:val="hybridMultilevel"/>
    <w:tmpl w:val="E23245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9115E2A"/>
    <w:multiLevelType w:val="hybridMultilevel"/>
    <w:tmpl w:val="1C02F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E7352BC"/>
    <w:multiLevelType w:val="hybridMultilevel"/>
    <w:tmpl w:val="86366E36"/>
    <w:lvl w:ilvl="0" w:tplc="D4E4A606">
      <w:start w:val="1"/>
      <w:numFmt w:val="bullet"/>
      <w:lvlText w:val=""/>
      <w:lvlJc w:val="left"/>
      <w:pPr>
        <w:tabs>
          <w:tab w:val="num" w:pos="405"/>
        </w:tabs>
        <w:ind w:left="405" w:hanging="360"/>
      </w:pPr>
      <w:rPr>
        <w:rFonts w:ascii="Symbol" w:hAnsi="Symbol" w:hint="default"/>
        <w:color w:val="auto"/>
      </w:rPr>
    </w:lvl>
    <w:lvl w:ilvl="1" w:tplc="240A0003" w:tentative="1">
      <w:start w:val="1"/>
      <w:numFmt w:val="bullet"/>
      <w:lvlText w:val="o"/>
      <w:lvlJc w:val="left"/>
      <w:pPr>
        <w:tabs>
          <w:tab w:val="num" w:pos="1440"/>
        </w:tabs>
        <w:ind w:left="1440" w:hanging="360"/>
      </w:pPr>
      <w:rPr>
        <w:rFonts w:ascii="Courier New" w:hAnsi="Courier New" w:cs="Courier New" w:hint="default"/>
      </w:rPr>
    </w:lvl>
    <w:lvl w:ilvl="2" w:tplc="240A0005" w:tentative="1">
      <w:start w:val="1"/>
      <w:numFmt w:val="bullet"/>
      <w:lvlText w:val=""/>
      <w:lvlJc w:val="left"/>
      <w:pPr>
        <w:tabs>
          <w:tab w:val="num" w:pos="2160"/>
        </w:tabs>
        <w:ind w:left="2160" w:hanging="360"/>
      </w:pPr>
      <w:rPr>
        <w:rFonts w:ascii="Wingdings" w:hAnsi="Wingdings" w:hint="default"/>
      </w:rPr>
    </w:lvl>
    <w:lvl w:ilvl="3" w:tplc="240A0001" w:tentative="1">
      <w:start w:val="1"/>
      <w:numFmt w:val="bullet"/>
      <w:lvlText w:val=""/>
      <w:lvlJc w:val="left"/>
      <w:pPr>
        <w:tabs>
          <w:tab w:val="num" w:pos="2880"/>
        </w:tabs>
        <w:ind w:left="2880" w:hanging="360"/>
      </w:pPr>
      <w:rPr>
        <w:rFonts w:ascii="Symbol" w:hAnsi="Symbol" w:hint="default"/>
      </w:rPr>
    </w:lvl>
    <w:lvl w:ilvl="4" w:tplc="240A0003" w:tentative="1">
      <w:start w:val="1"/>
      <w:numFmt w:val="bullet"/>
      <w:lvlText w:val="o"/>
      <w:lvlJc w:val="left"/>
      <w:pPr>
        <w:tabs>
          <w:tab w:val="num" w:pos="3600"/>
        </w:tabs>
        <w:ind w:left="3600" w:hanging="360"/>
      </w:pPr>
      <w:rPr>
        <w:rFonts w:ascii="Courier New" w:hAnsi="Courier New" w:cs="Courier New" w:hint="default"/>
      </w:rPr>
    </w:lvl>
    <w:lvl w:ilvl="5" w:tplc="240A0005" w:tentative="1">
      <w:start w:val="1"/>
      <w:numFmt w:val="bullet"/>
      <w:lvlText w:val=""/>
      <w:lvlJc w:val="left"/>
      <w:pPr>
        <w:tabs>
          <w:tab w:val="num" w:pos="4320"/>
        </w:tabs>
        <w:ind w:left="4320" w:hanging="360"/>
      </w:pPr>
      <w:rPr>
        <w:rFonts w:ascii="Wingdings" w:hAnsi="Wingdings" w:hint="default"/>
      </w:rPr>
    </w:lvl>
    <w:lvl w:ilvl="6" w:tplc="240A0001" w:tentative="1">
      <w:start w:val="1"/>
      <w:numFmt w:val="bullet"/>
      <w:lvlText w:val=""/>
      <w:lvlJc w:val="left"/>
      <w:pPr>
        <w:tabs>
          <w:tab w:val="num" w:pos="5040"/>
        </w:tabs>
        <w:ind w:left="5040" w:hanging="360"/>
      </w:pPr>
      <w:rPr>
        <w:rFonts w:ascii="Symbol" w:hAnsi="Symbol" w:hint="default"/>
      </w:rPr>
    </w:lvl>
    <w:lvl w:ilvl="7" w:tplc="240A0003" w:tentative="1">
      <w:start w:val="1"/>
      <w:numFmt w:val="bullet"/>
      <w:lvlText w:val="o"/>
      <w:lvlJc w:val="left"/>
      <w:pPr>
        <w:tabs>
          <w:tab w:val="num" w:pos="5760"/>
        </w:tabs>
        <w:ind w:left="5760" w:hanging="360"/>
      </w:pPr>
      <w:rPr>
        <w:rFonts w:ascii="Courier New" w:hAnsi="Courier New" w:cs="Courier New" w:hint="default"/>
      </w:rPr>
    </w:lvl>
    <w:lvl w:ilvl="8" w:tplc="24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C06789"/>
    <w:multiLevelType w:val="hybridMultilevel"/>
    <w:tmpl w:val="A0D8F0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1D532D0"/>
    <w:multiLevelType w:val="hybridMultilevel"/>
    <w:tmpl w:val="4A2611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7616370"/>
    <w:multiLevelType w:val="hybridMultilevel"/>
    <w:tmpl w:val="02F48F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3B55457"/>
    <w:multiLevelType w:val="hybridMultilevel"/>
    <w:tmpl w:val="CE4CDF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62F5CA2"/>
    <w:multiLevelType w:val="hybridMultilevel"/>
    <w:tmpl w:val="0FBAA452"/>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3E185200"/>
    <w:multiLevelType w:val="multilevel"/>
    <w:tmpl w:val="C6068CF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48121792"/>
    <w:multiLevelType w:val="hybridMultilevel"/>
    <w:tmpl w:val="BD4476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8F53493"/>
    <w:multiLevelType w:val="hybridMultilevel"/>
    <w:tmpl w:val="86E8FDE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7273C1A"/>
    <w:multiLevelType w:val="hybridMultilevel"/>
    <w:tmpl w:val="FD402E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84E5BC4"/>
    <w:multiLevelType w:val="hybridMultilevel"/>
    <w:tmpl w:val="57BFE1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B261BFE"/>
    <w:multiLevelType w:val="hybridMultilevel"/>
    <w:tmpl w:val="511C1B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C70009F"/>
    <w:multiLevelType w:val="hybridMultilevel"/>
    <w:tmpl w:val="087E0CC6"/>
    <w:lvl w:ilvl="0" w:tplc="BB2C4040">
      <w:start w:val="1"/>
      <w:numFmt w:val="bullet"/>
      <w:lvlText w:val="-"/>
      <w:lvlJc w:val="left"/>
      <w:pPr>
        <w:ind w:left="5760" w:hanging="360"/>
      </w:pPr>
      <w:rPr>
        <w:rFonts w:ascii="Arial" w:eastAsiaTheme="minorHAnsi" w:hAnsi="Arial" w:cs="Arial" w:hint="default"/>
      </w:rPr>
    </w:lvl>
    <w:lvl w:ilvl="1" w:tplc="240A0003">
      <w:start w:val="1"/>
      <w:numFmt w:val="bullet"/>
      <w:lvlText w:val="o"/>
      <w:lvlJc w:val="left"/>
      <w:pPr>
        <w:ind w:left="6480" w:hanging="360"/>
      </w:pPr>
      <w:rPr>
        <w:rFonts w:ascii="Courier New" w:hAnsi="Courier New" w:cs="Courier New" w:hint="default"/>
      </w:rPr>
    </w:lvl>
    <w:lvl w:ilvl="2" w:tplc="240A0005" w:tentative="1">
      <w:start w:val="1"/>
      <w:numFmt w:val="bullet"/>
      <w:lvlText w:val=""/>
      <w:lvlJc w:val="left"/>
      <w:pPr>
        <w:ind w:left="7200" w:hanging="360"/>
      </w:pPr>
      <w:rPr>
        <w:rFonts w:ascii="Wingdings" w:hAnsi="Wingdings" w:hint="default"/>
      </w:rPr>
    </w:lvl>
    <w:lvl w:ilvl="3" w:tplc="240A0001" w:tentative="1">
      <w:start w:val="1"/>
      <w:numFmt w:val="bullet"/>
      <w:lvlText w:val=""/>
      <w:lvlJc w:val="left"/>
      <w:pPr>
        <w:ind w:left="7920" w:hanging="360"/>
      </w:pPr>
      <w:rPr>
        <w:rFonts w:ascii="Symbol" w:hAnsi="Symbol" w:hint="default"/>
      </w:rPr>
    </w:lvl>
    <w:lvl w:ilvl="4" w:tplc="240A0003" w:tentative="1">
      <w:start w:val="1"/>
      <w:numFmt w:val="bullet"/>
      <w:lvlText w:val="o"/>
      <w:lvlJc w:val="left"/>
      <w:pPr>
        <w:ind w:left="8640" w:hanging="360"/>
      </w:pPr>
      <w:rPr>
        <w:rFonts w:ascii="Courier New" w:hAnsi="Courier New" w:cs="Courier New" w:hint="default"/>
      </w:rPr>
    </w:lvl>
    <w:lvl w:ilvl="5" w:tplc="240A0005" w:tentative="1">
      <w:start w:val="1"/>
      <w:numFmt w:val="bullet"/>
      <w:lvlText w:val=""/>
      <w:lvlJc w:val="left"/>
      <w:pPr>
        <w:ind w:left="9360" w:hanging="360"/>
      </w:pPr>
      <w:rPr>
        <w:rFonts w:ascii="Wingdings" w:hAnsi="Wingdings" w:hint="default"/>
      </w:rPr>
    </w:lvl>
    <w:lvl w:ilvl="6" w:tplc="240A0001" w:tentative="1">
      <w:start w:val="1"/>
      <w:numFmt w:val="bullet"/>
      <w:lvlText w:val=""/>
      <w:lvlJc w:val="left"/>
      <w:pPr>
        <w:ind w:left="10080" w:hanging="360"/>
      </w:pPr>
      <w:rPr>
        <w:rFonts w:ascii="Symbol" w:hAnsi="Symbol" w:hint="default"/>
      </w:rPr>
    </w:lvl>
    <w:lvl w:ilvl="7" w:tplc="240A0003" w:tentative="1">
      <w:start w:val="1"/>
      <w:numFmt w:val="bullet"/>
      <w:lvlText w:val="o"/>
      <w:lvlJc w:val="left"/>
      <w:pPr>
        <w:ind w:left="10800" w:hanging="360"/>
      </w:pPr>
      <w:rPr>
        <w:rFonts w:ascii="Courier New" w:hAnsi="Courier New" w:cs="Courier New" w:hint="default"/>
      </w:rPr>
    </w:lvl>
    <w:lvl w:ilvl="8" w:tplc="240A0005" w:tentative="1">
      <w:start w:val="1"/>
      <w:numFmt w:val="bullet"/>
      <w:lvlText w:val=""/>
      <w:lvlJc w:val="left"/>
      <w:pPr>
        <w:ind w:left="11520" w:hanging="360"/>
      </w:pPr>
      <w:rPr>
        <w:rFonts w:ascii="Wingdings" w:hAnsi="Wingdings" w:hint="default"/>
      </w:rPr>
    </w:lvl>
  </w:abstractNum>
  <w:abstractNum w:abstractNumId="17" w15:restartNumberingAfterBreak="0">
    <w:nsid w:val="5D595E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F946B9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5936F4"/>
    <w:multiLevelType w:val="hybridMultilevel"/>
    <w:tmpl w:val="FC9202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586047C"/>
    <w:multiLevelType w:val="hybridMultilevel"/>
    <w:tmpl w:val="6A62AF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7027C27"/>
    <w:multiLevelType w:val="hybridMultilevel"/>
    <w:tmpl w:val="F768E0AA"/>
    <w:lvl w:ilvl="0" w:tplc="240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DA8063B"/>
    <w:multiLevelType w:val="hybridMultilevel"/>
    <w:tmpl w:val="56543DCC"/>
    <w:lvl w:ilvl="0" w:tplc="D4E4A606">
      <w:start w:val="1"/>
      <w:numFmt w:val="bullet"/>
      <w:lvlText w:val=""/>
      <w:lvlJc w:val="left"/>
      <w:pPr>
        <w:tabs>
          <w:tab w:val="num" w:pos="405"/>
        </w:tabs>
        <w:ind w:left="405" w:hanging="360"/>
      </w:pPr>
      <w:rPr>
        <w:rFonts w:ascii="Symbol" w:hAnsi="Symbol" w:hint="default"/>
        <w:color w:val="auto"/>
      </w:rPr>
    </w:lvl>
    <w:lvl w:ilvl="1" w:tplc="240A0003" w:tentative="1">
      <w:start w:val="1"/>
      <w:numFmt w:val="bullet"/>
      <w:lvlText w:val="o"/>
      <w:lvlJc w:val="left"/>
      <w:pPr>
        <w:tabs>
          <w:tab w:val="num" w:pos="1440"/>
        </w:tabs>
        <w:ind w:left="1440" w:hanging="360"/>
      </w:pPr>
      <w:rPr>
        <w:rFonts w:ascii="Courier New" w:hAnsi="Courier New" w:cs="Courier New" w:hint="default"/>
      </w:rPr>
    </w:lvl>
    <w:lvl w:ilvl="2" w:tplc="240A0005" w:tentative="1">
      <w:start w:val="1"/>
      <w:numFmt w:val="bullet"/>
      <w:lvlText w:val=""/>
      <w:lvlJc w:val="left"/>
      <w:pPr>
        <w:tabs>
          <w:tab w:val="num" w:pos="2160"/>
        </w:tabs>
        <w:ind w:left="2160" w:hanging="360"/>
      </w:pPr>
      <w:rPr>
        <w:rFonts w:ascii="Wingdings" w:hAnsi="Wingdings" w:hint="default"/>
      </w:rPr>
    </w:lvl>
    <w:lvl w:ilvl="3" w:tplc="240A0001" w:tentative="1">
      <w:start w:val="1"/>
      <w:numFmt w:val="bullet"/>
      <w:lvlText w:val=""/>
      <w:lvlJc w:val="left"/>
      <w:pPr>
        <w:tabs>
          <w:tab w:val="num" w:pos="2880"/>
        </w:tabs>
        <w:ind w:left="2880" w:hanging="360"/>
      </w:pPr>
      <w:rPr>
        <w:rFonts w:ascii="Symbol" w:hAnsi="Symbol" w:hint="default"/>
      </w:rPr>
    </w:lvl>
    <w:lvl w:ilvl="4" w:tplc="240A0003" w:tentative="1">
      <w:start w:val="1"/>
      <w:numFmt w:val="bullet"/>
      <w:lvlText w:val="o"/>
      <w:lvlJc w:val="left"/>
      <w:pPr>
        <w:tabs>
          <w:tab w:val="num" w:pos="3600"/>
        </w:tabs>
        <w:ind w:left="3600" w:hanging="360"/>
      </w:pPr>
      <w:rPr>
        <w:rFonts w:ascii="Courier New" w:hAnsi="Courier New" w:cs="Courier New" w:hint="default"/>
      </w:rPr>
    </w:lvl>
    <w:lvl w:ilvl="5" w:tplc="240A0005" w:tentative="1">
      <w:start w:val="1"/>
      <w:numFmt w:val="bullet"/>
      <w:lvlText w:val=""/>
      <w:lvlJc w:val="left"/>
      <w:pPr>
        <w:tabs>
          <w:tab w:val="num" w:pos="4320"/>
        </w:tabs>
        <w:ind w:left="4320" w:hanging="360"/>
      </w:pPr>
      <w:rPr>
        <w:rFonts w:ascii="Wingdings" w:hAnsi="Wingdings" w:hint="default"/>
      </w:rPr>
    </w:lvl>
    <w:lvl w:ilvl="6" w:tplc="240A0001" w:tentative="1">
      <w:start w:val="1"/>
      <w:numFmt w:val="bullet"/>
      <w:lvlText w:val=""/>
      <w:lvlJc w:val="left"/>
      <w:pPr>
        <w:tabs>
          <w:tab w:val="num" w:pos="5040"/>
        </w:tabs>
        <w:ind w:left="5040" w:hanging="360"/>
      </w:pPr>
      <w:rPr>
        <w:rFonts w:ascii="Symbol" w:hAnsi="Symbol" w:hint="default"/>
      </w:rPr>
    </w:lvl>
    <w:lvl w:ilvl="7" w:tplc="240A0003" w:tentative="1">
      <w:start w:val="1"/>
      <w:numFmt w:val="bullet"/>
      <w:lvlText w:val="o"/>
      <w:lvlJc w:val="left"/>
      <w:pPr>
        <w:tabs>
          <w:tab w:val="num" w:pos="5760"/>
        </w:tabs>
        <w:ind w:left="5760" w:hanging="360"/>
      </w:pPr>
      <w:rPr>
        <w:rFonts w:ascii="Courier New" w:hAnsi="Courier New" w:cs="Courier New" w:hint="default"/>
      </w:rPr>
    </w:lvl>
    <w:lvl w:ilvl="8" w:tplc="24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7C7D63"/>
    <w:multiLevelType w:val="multilevel"/>
    <w:tmpl w:val="D26052A6"/>
    <w:lvl w:ilvl="0">
      <w:start w:val="1"/>
      <w:numFmt w:val="decimal"/>
      <w:pStyle w:val="Ttulo1"/>
      <w:lvlText w:val="%1."/>
      <w:lvlJc w:val="left"/>
      <w:pPr>
        <w:ind w:left="6456" w:hanging="360"/>
      </w:pPr>
      <w:rPr>
        <w:rFonts w:hint="default"/>
        <w:sz w:val="24"/>
        <w:szCs w:val="24"/>
        <w:lang w:val="es-E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sz w:val="26"/>
        <w:szCs w:val="26"/>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2EB6B5E"/>
    <w:multiLevelType w:val="hybridMultilevel"/>
    <w:tmpl w:val="7FEAC65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5034BC6"/>
    <w:multiLevelType w:val="hybridMultilevel"/>
    <w:tmpl w:val="61B84BB4"/>
    <w:lvl w:ilvl="0" w:tplc="BB2C4040">
      <w:start w:val="1"/>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7524A04"/>
    <w:multiLevelType w:val="hybridMultilevel"/>
    <w:tmpl w:val="7B6430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CED60CD"/>
    <w:multiLevelType w:val="multilevel"/>
    <w:tmpl w:val="723856B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713502"/>
    <w:multiLevelType w:val="hybridMultilevel"/>
    <w:tmpl w:val="7FEAC65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3"/>
  </w:num>
  <w:num w:numId="2">
    <w:abstractNumId w:val="22"/>
  </w:num>
  <w:num w:numId="3">
    <w:abstractNumId w:val="14"/>
  </w:num>
  <w:num w:numId="4">
    <w:abstractNumId w:val="21"/>
  </w:num>
  <w:num w:numId="5">
    <w:abstractNumId w:val="4"/>
  </w:num>
  <w:num w:numId="6">
    <w:abstractNumId w:val="18"/>
  </w:num>
  <w:num w:numId="7">
    <w:abstractNumId w:val="25"/>
  </w:num>
  <w:num w:numId="8">
    <w:abstractNumId w:val="17"/>
  </w:num>
  <w:num w:numId="9">
    <w:abstractNumId w:val="27"/>
  </w:num>
  <w:num w:numId="10">
    <w:abstractNumId w:val="16"/>
  </w:num>
  <w:num w:numId="11">
    <w:abstractNumId w:val="9"/>
  </w:num>
  <w:num w:numId="12">
    <w:abstractNumId w:val="24"/>
  </w:num>
  <w:num w:numId="13">
    <w:abstractNumId w:val="13"/>
  </w:num>
  <w:num w:numId="14">
    <w:abstractNumId w:val="19"/>
  </w:num>
  <w:num w:numId="15">
    <w:abstractNumId w:val="7"/>
  </w:num>
  <w:num w:numId="16">
    <w:abstractNumId w:val="28"/>
  </w:num>
  <w:num w:numId="17">
    <w:abstractNumId w:val="2"/>
  </w:num>
  <w:num w:numId="18">
    <w:abstractNumId w:val="1"/>
  </w:num>
  <w:num w:numId="19">
    <w:abstractNumId w:val="11"/>
  </w:num>
  <w:num w:numId="20">
    <w:abstractNumId w:val="8"/>
  </w:num>
  <w:num w:numId="21">
    <w:abstractNumId w:val="15"/>
  </w:num>
  <w:num w:numId="22">
    <w:abstractNumId w:val="12"/>
  </w:num>
  <w:num w:numId="23">
    <w:abstractNumId w:val="0"/>
  </w:num>
  <w:num w:numId="24">
    <w:abstractNumId w:val="5"/>
  </w:num>
  <w:num w:numId="25">
    <w:abstractNumId w:val="26"/>
  </w:num>
  <w:num w:numId="26">
    <w:abstractNumId w:val="10"/>
  </w:num>
  <w:num w:numId="27">
    <w:abstractNumId w:val="3"/>
  </w:num>
  <w:num w:numId="28">
    <w:abstractNumId w:val="6"/>
  </w:num>
  <w:num w:numId="29">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417"/>
    <w:rsid w:val="00000242"/>
    <w:rsid w:val="00000A3E"/>
    <w:rsid w:val="00001849"/>
    <w:rsid w:val="000021DB"/>
    <w:rsid w:val="0000334E"/>
    <w:rsid w:val="0000353C"/>
    <w:rsid w:val="00004A4F"/>
    <w:rsid w:val="0000747B"/>
    <w:rsid w:val="000074F1"/>
    <w:rsid w:val="00007CDA"/>
    <w:rsid w:val="00010772"/>
    <w:rsid w:val="00010933"/>
    <w:rsid w:val="0001256D"/>
    <w:rsid w:val="00012709"/>
    <w:rsid w:val="00014A0B"/>
    <w:rsid w:val="000174D7"/>
    <w:rsid w:val="00017EE3"/>
    <w:rsid w:val="0002006F"/>
    <w:rsid w:val="00023F38"/>
    <w:rsid w:val="00024247"/>
    <w:rsid w:val="00025CBC"/>
    <w:rsid w:val="00025EF3"/>
    <w:rsid w:val="000264E9"/>
    <w:rsid w:val="00026BC5"/>
    <w:rsid w:val="000271FD"/>
    <w:rsid w:val="0002726F"/>
    <w:rsid w:val="00034705"/>
    <w:rsid w:val="00035474"/>
    <w:rsid w:val="00043C10"/>
    <w:rsid w:val="00046849"/>
    <w:rsid w:val="00047598"/>
    <w:rsid w:val="000476F0"/>
    <w:rsid w:val="00047D20"/>
    <w:rsid w:val="00053091"/>
    <w:rsid w:val="00054323"/>
    <w:rsid w:val="000547E0"/>
    <w:rsid w:val="00056DEC"/>
    <w:rsid w:val="00056E64"/>
    <w:rsid w:val="0006053D"/>
    <w:rsid w:val="00060E6C"/>
    <w:rsid w:val="000613B6"/>
    <w:rsid w:val="0006326B"/>
    <w:rsid w:val="00063A43"/>
    <w:rsid w:val="00064207"/>
    <w:rsid w:val="00065028"/>
    <w:rsid w:val="00065FE3"/>
    <w:rsid w:val="00070363"/>
    <w:rsid w:val="00070FEE"/>
    <w:rsid w:val="000735AC"/>
    <w:rsid w:val="00073A59"/>
    <w:rsid w:val="00075CB9"/>
    <w:rsid w:val="00076D56"/>
    <w:rsid w:val="0008043B"/>
    <w:rsid w:val="00082011"/>
    <w:rsid w:val="00084981"/>
    <w:rsid w:val="00085699"/>
    <w:rsid w:val="000866F0"/>
    <w:rsid w:val="0008713F"/>
    <w:rsid w:val="00090761"/>
    <w:rsid w:val="00092105"/>
    <w:rsid w:val="00093E03"/>
    <w:rsid w:val="0009594D"/>
    <w:rsid w:val="0009709C"/>
    <w:rsid w:val="000979EC"/>
    <w:rsid w:val="000A04E2"/>
    <w:rsid w:val="000A4CF2"/>
    <w:rsid w:val="000A7B35"/>
    <w:rsid w:val="000B516E"/>
    <w:rsid w:val="000B56D6"/>
    <w:rsid w:val="000B7D45"/>
    <w:rsid w:val="000C0556"/>
    <w:rsid w:val="000C0EAE"/>
    <w:rsid w:val="000C26D3"/>
    <w:rsid w:val="000C364C"/>
    <w:rsid w:val="000C3A0C"/>
    <w:rsid w:val="000C418C"/>
    <w:rsid w:val="000C5473"/>
    <w:rsid w:val="000C74B0"/>
    <w:rsid w:val="000C76AB"/>
    <w:rsid w:val="000C76C7"/>
    <w:rsid w:val="000C7F57"/>
    <w:rsid w:val="000D167C"/>
    <w:rsid w:val="000D2FBE"/>
    <w:rsid w:val="000D3425"/>
    <w:rsid w:val="000D4956"/>
    <w:rsid w:val="000D499F"/>
    <w:rsid w:val="000D5242"/>
    <w:rsid w:val="000D5C7A"/>
    <w:rsid w:val="000D6333"/>
    <w:rsid w:val="000D7571"/>
    <w:rsid w:val="000E6828"/>
    <w:rsid w:val="000F170F"/>
    <w:rsid w:val="000F3F82"/>
    <w:rsid w:val="001025E0"/>
    <w:rsid w:val="00103837"/>
    <w:rsid w:val="00103DB7"/>
    <w:rsid w:val="00104CEA"/>
    <w:rsid w:val="00104D73"/>
    <w:rsid w:val="0010580F"/>
    <w:rsid w:val="0010596F"/>
    <w:rsid w:val="00106920"/>
    <w:rsid w:val="00107025"/>
    <w:rsid w:val="001071F6"/>
    <w:rsid w:val="00111575"/>
    <w:rsid w:val="00111EDF"/>
    <w:rsid w:val="001125FA"/>
    <w:rsid w:val="001139F6"/>
    <w:rsid w:val="001156ED"/>
    <w:rsid w:val="0011630F"/>
    <w:rsid w:val="00116C81"/>
    <w:rsid w:val="00117289"/>
    <w:rsid w:val="00122D30"/>
    <w:rsid w:val="00126305"/>
    <w:rsid w:val="00127717"/>
    <w:rsid w:val="00127A41"/>
    <w:rsid w:val="00130246"/>
    <w:rsid w:val="00131ABC"/>
    <w:rsid w:val="00132239"/>
    <w:rsid w:val="00132543"/>
    <w:rsid w:val="00135BF6"/>
    <w:rsid w:val="00140A3B"/>
    <w:rsid w:val="001422EB"/>
    <w:rsid w:val="00142CA7"/>
    <w:rsid w:val="001452B6"/>
    <w:rsid w:val="001456E8"/>
    <w:rsid w:val="001470AA"/>
    <w:rsid w:val="0014718E"/>
    <w:rsid w:val="001500B4"/>
    <w:rsid w:val="00151FA2"/>
    <w:rsid w:val="001560ED"/>
    <w:rsid w:val="00157B67"/>
    <w:rsid w:val="00157DCE"/>
    <w:rsid w:val="00161852"/>
    <w:rsid w:val="00162BC3"/>
    <w:rsid w:val="00163A90"/>
    <w:rsid w:val="001643BE"/>
    <w:rsid w:val="00167292"/>
    <w:rsid w:val="0017240E"/>
    <w:rsid w:val="00172476"/>
    <w:rsid w:val="001739DE"/>
    <w:rsid w:val="0017614A"/>
    <w:rsid w:val="0017715E"/>
    <w:rsid w:val="00177BD2"/>
    <w:rsid w:val="0018164F"/>
    <w:rsid w:val="00181AB9"/>
    <w:rsid w:val="00183E0D"/>
    <w:rsid w:val="00184A6C"/>
    <w:rsid w:val="00186CBF"/>
    <w:rsid w:val="00190F70"/>
    <w:rsid w:val="001937C5"/>
    <w:rsid w:val="001945DC"/>
    <w:rsid w:val="00195C9A"/>
    <w:rsid w:val="001964F5"/>
    <w:rsid w:val="001967B7"/>
    <w:rsid w:val="001974D4"/>
    <w:rsid w:val="001A0CDD"/>
    <w:rsid w:val="001A30E6"/>
    <w:rsid w:val="001A3EA1"/>
    <w:rsid w:val="001A561A"/>
    <w:rsid w:val="001A5DD4"/>
    <w:rsid w:val="001B261C"/>
    <w:rsid w:val="001B36FA"/>
    <w:rsid w:val="001B4625"/>
    <w:rsid w:val="001B6581"/>
    <w:rsid w:val="001B687C"/>
    <w:rsid w:val="001B6C61"/>
    <w:rsid w:val="001B6CF3"/>
    <w:rsid w:val="001C0477"/>
    <w:rsid w:val="001C118B"/>
    <w:rsid w:val="001C2BC8"/>
    <w:rsid w:val="001C39F8"/>
    <w:rsid w:val="001C3E66"/>
    <w:rsid w:val="001C407A"/>
    <w:rsid w:val="001C4E0A"/>
    <w:rsid w:val="001C6EB5"/>
    <w:rsid w:val="001C7A36"/>
    <w:rsid w:val="001C7D9E"/>
    <w:rsid w:val="001D3A86"/>
    <w:rsid w:val="001D3CCB"/>
    <w:rsid w:val="001D41F6"/>
    <w:rsid w:val="001D7238"/>
    <w:rsid w:val="001E13B5"/>
    <w:rsid w:val="001E2170"/>
    <w:rsid w:val="001E34EE"/>
    <w:rsid w:val="001E54A7"/>
    <w:rsid w:val="001F0018"/>
    <w:rsid w:val="001F0992"/>
    <w:rsid w:val="001F3979"/>
    <w:rsid w:val="001F3B36"/>
    <w:rsid w:val="001F7E84"/>
    <w:rsid w:val="00202366"/>
    <w:rsid w:val="002027BD"/>
    <w:rsid w:val="002034E9"/>
    <w:rsid w:val="002079E2"/>
    <w:rsid w:val="002177B8"/>
    <w:rsid w:val="00217901"/>
    <w:rsid w:val="0021794A"/>
    <w:rsid w:val="0022082A"/>
    <w:rsid w:val="0022138F"/>
    <w:rsid w:val="00221396"/>
    <w:rsid w:val="002229B2"/>
    <w:rsid w:val="00223BCF"/>
    <w:rsid w:val="0022429A"/>
    <w:rsid w:val="00224E42"/>
    <w:rsid w:val="002254EC"/>
    <w:rsid w:val="00227D7C"/>
    <w:rsid w:val="00227D90"/>
    <w:rsid w:val="00230AA5"/>
    <w:rsid w:val="002315D8"/>
    <w:rsid w:val="00233B4C"/>
    <w:rsid w:val="0023506C"/>
    <w:rsid w:val="00237F3D"/>
    <w:rsid w:val="00242916"/>
    <w:rsid w:val="00243BCA"/>
    <w:rsid w:val="00244C24"/>
    <w:rsid w:val="00245B05"/>
    <w:rsid w:val="00245F18"/>
    <w:rsid w:val="00246287"/>
    <w:rsid w:val="00246C68"/>
    <w:rsid w:val="0024730F"/>
    <w:rsid w:val="00253CDF"/>
    <w:rsid w:val="00255C9C"/>
    <w:rsid w:val="00260FB8"/>
    <w:rsid w:val="00263190"/>
    <w:rsid w:val="002634E1"/>
    <w:rsid w:val="00265335"/>
    <w:rsid w:val="00267264"/>
    <w:rsid w:val="0026761B"/>
    <w:rsid w:val="0026781B"/>
    <w:rsid w:val="0027343E"/>
    <w:rsid w:val="002778E9"/>
    <w:rsid w:val="00282A87"/>
    <w:rsid w:val="00283935"/>
    <w:rsid w:val="00285114"/>
    <w:rsid w:val="002854A7"/>
    <w:rsid w:val="00285CE3"/>
    <w:rsid w:val="002869BB"/>
    <w:rsid w:val="0029025E"/>
    <w:rsid w:val="0029035F"/>
    <w:rsid w:val="00290D5F"/>
    <w:rsid w:val="00290E02"/>
    <w:rsid w:val="00295ED9"/>
    <w:rsid w:val="00296979"/>
    <w:rsid w:val="002A120E"/>
    <w:rsid w:val="002A1C6E"/>
    <w:rsid w:val="002A1ED2"/>
    <w:rsid w:val="002A1F9F"/>
    <w:rsid w:val="002A2A19"/>
    <w:rsid w:val="002A3CD9"/>
    <w:rsid w:val="002A48FA"/>
    <w:rsid w:val="002A59A1"/>
    <w:rsid w:val="002A71D9"/>
    <w:rsid w:val="002A7CC0"/>
    <w:rsid w:val="002B3262"/>
    <w:rsid w:val="002B334D"/>
    <w:rsid w:val="002B382D"/>
    <w:rsid w:val="002B4940"/>
    <w:rsid w:val="002B586F"/>
    <w:rsid w:val="002C06ED"/>
    <w:rsid w:val="002C0F28"/>
    <w:rsid w:val="002C1AE4"/>
    <w:rsid w:val="002C29A5"/>
    <w:rsid w:val="002C2DF4"/>
    <w:rsid w:val="002C3AE2"/>
    <w:rsid w:val="002C54AF"/>
    <w:rsid w:val="002C6570"/>
    <w:rsid w:val="002D300F"/>
    <w:rsid w:val="002D308A"/>
    <w:rsid w:val="002D38C1"/>
    <w:rsid w:val="002D75BE"/>
    <w:rsid w:val="002D767B"/>
    <w:rsid w:val="002D785F"/>
    <w:rsid w:val="002E5755"/>
    <w:rsid w:val="002E6218"/>
    <w:rsid w:val="002F021F"/>
    <w:rsid w:val="002F57F4"/>
    <w:rsid w:val="002F7BB0"/>
    <w:rsid w:val="00302018"/>
    <w:rsid w:val="0030241F"/>
    <w:rsid w:val="00302E19"/>
    <w:rsid w:val="003044FC"/>
    <w:rsid w:val="00304814"/>
    <w:rsid w:val="003057B0"/>
    <w:rsid w:val="003077E1"/>
    <w:rsid w:val="003103BB"/>
    <w:rsid w:val="003117DA"/>
    <w:rsid w:val="00312CCC"/>
    <w:rsid w:val="00313B9D"/>
    <w:rsid w:val="00314072"/>
    <w:rsid w:val="0031445E"/>
    <w:rsid w:val="003161B6"/>
    <w:rsid w:val="00316B0F"/>
    <w:rsid w:val="00321252"/>
    <w:rsid w:val="00322B5F"/>
    <w:rsid w:val="00324707"/>
    <w:rsid w:val="003252FA"/>
    <w:rsid w:val="003255F3"/>
    <w:rsid w:val="00326DCD"/>
    <w:rsid w:val="0032788A"/>
    <w:rsid w:val="00332B6E"/>
    <w:rsid w:val="003331E8"/>
    <w:rsid w:val="00333289"/>
    <w:rsid w:val="003344E3"/>
    <w:rsid w:val="003356F6"/>
    <w:rsid w:val="003357B4"/>
    <w:rsid w:val="00335B7D"/>
    <w:rsid w:val="00335CA6"/>
    <w:rsid w:val="00336675"/>
    <w:rsid w:val="00337DD3"/>
    <w:rsid w:val="00337EAD"/>
    <w:rsid w:val="00342146"/>
    <w:rsid w:val="0034220E"/>
    <w:rsid w:val="00345542"/>
    <w:rsid w:val="00346432"/>
    <w:rsid w:val="00347206"/>
    <w:rsid w:val="003523E1"/>
    <w:rsid w:val="0035405F"/>
    <w:rsid w:val="00355297"/>
    <w:rsid w:val="00356AC0"/>
    <w:rsid w:val="00356B09"/>
    <w:rsid w:val="00356C4F"/>
    <w:rsid w:val="00361A76"/>
    <w:rsid w:val="003668CC"/>
    <w:rsid w:val="0036746B"/>
    <w:rsid w:val="00367ED4"/>
    <w:rsid w:val="00371599"/>
    <w:rsid w:val="00374A42"/>
    <w:rsid w:val="0038291D"/>
    <w:rsid w:val="00382FD1"/>
    <w:rsid w:val="00387216"/>
    <w:rsid w:val="00390623"/>
    <w:rsid w:val="00392462"/>
    <w:rsid w:val="003936E9"/>
    <w:rsid w:val="003945BD"/>
    <w:rsid w:val="0039590C"/>
    <w:rsid w:val="00395C79"/>
    <w:rsid w:val="00395CA8"/>
    <w:rsid w:val="00397F32"/>
    <w:rsid w:val="003A1192"/>
    <w:rsid w:val="003A1501"/>
    <w:rsid w:val="003A2CCA"/>
    <w:rsid w:val="003A3614"/>
    <w:rsid w:val="003A370F"/>
    <w:rsid w:val="003A50DD"/>
    <w:rsid w:val="003A75E7"/>
    <w:rsid w:val="003B1379"/>
    <w:rsid w:val="003B17D2"/>
    <w:rsid w:val="003B3F41"/>
    <w:rsid w:val="003B582C"/>
    <w:rsid w:val="003B7196"/>
    <w:rsid w:val="003B76DB"/>
    <w:rsid w:val="003B76FD"/>
    <w:rsid w:val="003C264A"/>
    <w:rsid w:val="003C2C64"/>
    <w:rsid w:val="003C518A"/>
    <w:rsid w:val="003C656B"/>
    <w:rsid w:val="003D32F0"/>
    <w:rsid w:val="003D459F"/>
    <w:rsid w:val="003D5041"/>
    <w:rsid w:val="003E2B1F"/>
    <w:rsid w:val="003E3936"/>
    <w:rsid w:val="003E43AD"/>
    <w:rsid w:val="003E56F4"/>
    <w:rsid w:val="003E5A61"/>
    <w:rsid w:val="003E6B82"/>
    <w:rsid w:val="003E74E4"/>
    <w:rsid w:val="003E77D2"/>
    <w:rsid w:val="003F0129"/>
    <w:rsid w:val="003F0BF1"/>
    <w:rsid w:val="003F1476"/>
    <w:rsid w:val="003F3353"/>
    <w:rsid w:val="003F4330"/>
    <w:rsid w:val="003F4962"/>
    <w:rsid w:val="003F5353"/>
    <w:rsid w:val="003F5ACA"/>
    <w:rsid w:val="003F7450"/>
    <w:rsid w:val="003F7A73"/>
    <w:rsid w:val="0040071C"/>
    <w:rsid w:val="004007EB"/>
    <w:rsid w:val="00403293"/>
    <w:rsid w:val="0040423D"/>
    <w:rsid w:val="00404597"/>
    <w:rsid w:val="00404F2C"/>
    <w:rsid w:val="00405B7F"/>
    <w:rsid w:val="00406161"/>
    <w:rsid w:val="00406D20"/>
    <w:rsid w:val="004111ED"/>
    <w:rsid w:val="00411874"/>
    <w:rsid w:val="00412FA2"/>
    <w:rsid w:val="0041387B"/>
    <w:rsid w:val="004139F4"/>
    <w:rsid w:val="00414828"/>
    <w:rsid w:val="0041487F"/>
    <w:rsid w:val="004166C4"/>
    <w:rsid w:val="00417586"/>
    <w:rsid w:val="0042119F"/>
    <w:rsid w:val="00422649"/>
    <w:rsid w:val="0042507E"/>
    <w:rsid w:val="00425C03"/>
    <w:rsid w:val="004264E2"/>
    <w:rsid w:val="00426E82"/>
    <w:rsid w:val="00427013"/>
    <w:rsid w:val="00427B0C"/>
    <w:rsid w:val="00431A37"/>
    <w:rsid w:val="0043563A"/>
    <w:rsid w:val="00436065"/>
    <w:rsid w:val="00436C69"/>
    <w:rsid w:val="00437B4C"/>
    <w:rsid w:val="004413C5"/>
    <w:rsid w:val="004437BA"/>
    <w:rsid w:val="00443892"/>
    <w:rsid w:val="00445C4B"/>
    <w:rsid w:val="00451387"/>
    <w:rsid w:val="004520A3"/>
    <w:rsid w:val="004531F5"/>
    <w:rsid w:val="00453DA2"/>
    <w:rsid w:val="00456BA6"/>
    <w:rsid w:val="0045768D"/>
    <w:rsid w:val="00460DBC"/>
    <w:rsid w:val="00461948"/>
    <w:rsid w:val="0046360D"/>
    <w:rsid w:val="00463803"/>
    <w:rsid w:val="004642E5"/>
    <w:rsid w:val="00464439"/>
    <w:rsid w:val="00471C00"/>
    <w:rsid w:val="00472D15"/>
    <w:rsid w:val="0047402F"/>
    <w:rsid w:val="004765F9"/>
    <w:rsid w:val="00476607"/>
    <w:rsid w:val="004775C0"/>
    <w:rsid w:val="0048140F"/>
    <w:rsid w:val="00481657"/>
    <w:rsid w:val="00482331"/>
    <w:rsid w:val="00483882"/>
    <w:rsid w:val="00484EA1"/>
    <w:rsid w:val="0048507A"/>
    <w:rsid w:val="00485ACD"/>
    <w:rsid w:val="00487A0F"/>
    <w:rsid w:val="00490D7D"/>
    <w:rsid w:val="00491721"/>
    <w:rsid w:val="0049205B"/>
    <w:rsid w:val="00494A8A"/>
    <w:rsid w:val="00495FD8"/>
    <w:rsid w:val="0049706F"/>
    <w:rsid w:val="004973C5"/>
    <w:rsid w:val="00497ABB"/>
    <w:rsid w:val="004A08C2"/>
    <w:rsid w:val="004A3212"/>
    <w:rsid w:val="004A3D7B"/>
    <w:rsid w:val="004A5E96"/>
    <w:rsid w:val="004A5FDD"/>
    <w:rsid w:val="004A636A"/>
    <w:rsid w:val="004B04D8"/>
    <w:rsid w:val="004B09B9"/>
    <w:rsid w:val="004B1C86"/>
    <w:rsid w:val="004B292E"/>
    <w:rsid w:val="004B66F1"/>
    <w:rsid w:val="004B6A66"/>
    <w:rsid w:val="004B722B"/>
    <w:rsid w:val="004C0391"/>
    <w:rsid w:val="004C2761"/>
    <w:rsid w:val="004C2C60"/>
    <w:rsid w:val="004C3633"/>
    <w:rsid w:val="004C4B9C"/>
    <w:rsid w:val="004D02F5"/>
    <w:rsid w:val="004D09A7"/>
    <w:rsid w:val="004D4724"/>
    <w:rsid w:val="004D596C"/>
    <w:rsid w:val="004D5C95"/>
    <w:rsid w:val="004D6C23"/>
    <w:rsid w:val="004E062E"/>
    <w:rsid w:val="004E1E2F"/>
    <w:rsid w:val="004E2753"/>
    <w:rsid w:val="004E330D"/>
    <w:rsid w:val="004E7AFD"/>
    <w:rsid w:val="004F362C"/>
    <w:rsid w:val="004F3763"/>
    <w:rsid w:val="004F4957"/>
    <w:rsid w:val="004F548B"/>
    <w:rsid w:val="004F57F2"/>
    <w:rsid w:val="004F60D0"/>
    <w:rsid w:val="004F73D7"/>
    <w:rsid w:val="004F7EAA"/>
    <w:rsid w:val="00500486"/>
    <w:rsid w:val="00502C0F"/>
    <w:rsid w:val="00503416"/>
    <w:rsid w:val="00504526"/>
    <w:rsid w:val="005072DD"/>
    <w:rsid w:val="00510AE0"/>
    <w:rsid w:val="00517842"/>
    <w:rsid w:val="00521A30"/>
    <w:rsid w:val="00524EFA"/>
    <w:rsid w:val="0053085B"/>
    <w:rsid w:val="00531F41"/>
    <w:rsid w:val="00532AAB"/>
    <w:rsid w:val="00533892"/>
    <w:rsid w:val="0053553D"/>
    <w:rsid w:val="0053649E"/>
    <w:rsid w:val="00537271"/>
    <w:rsid w:val="00537B9B"/>
    <w:rsid w:val="00537DB1"/>
    <w:rsid w:val="005417B0"/>
    <w:rsid w:val="00541B7C"/>
    <w:rsid w:val="005422A8"/>
    <w:rsid w:val="0054535F"/>
    <w:rsid w:val="00547BE2"/>
    <w:rsid w:val="00550137"/>
    <w:rsid w:val="005512F3"/>
    <w:rsid w:val="00551D21"/>
    <w:rsid w:val="00552A02"/>
    <w:rsid w:val="0055343E"/>
    <w:rsid w:val="005535B7"/>
    <w:rsid w:val="00554643"/>
    <w:rsid w:val="0056437E"/>
    <w:rsid w:val="00565211"/>
    <w:rsid w:val="005710BB"/>
    <w:rsid w:val="005715E3"/>
    <w:rsid w:val="00572B4F"/>
    <w:rsid w:val="00572F2F"/>
    <w:rsid w:val="005739C9"/>
    <w:rsid w:val="00573E12"/>
    <w:rsid w:val="00573FD6"/>
    <w:rsid w:val="005744D2"/>
    <w:rsid w:val="005744F2"/>
    <w:rsid w:val="00576552"/>
    <w:rsid w:val="005770ED"/>
    <w:rsid w:val="00577C3B"/>
    <w:rsid w:val="00583FAC"/>
    <w:rsid w:val="00586463"/>
    <w:rsid w:val="0058689D"/>
    <w:rsid w:val="00586B2E"/>
    <w:rsid w:val="0059054E"/>
    <w:rsid w:val="0059122A"/>
    <w:rsid w:val="00593B51"/>
    <w:rsid w:val="005940FE"/>
    <w:rsid w:val="00594F26"/>
    <w:rsid w:val="005954FF"/>
    <w:rsid w:val="0059580A"/>
    <w:rsid w:val="00596F14"/>
    <w:rsid w:val="005978E1"/>
    <w:rsid w:val="00597F4E"/>
    <w:rsid w:val="005A0716"/>
    <w:rsid w:val="005A0853"/>
    <w:rsid w:val="005A279B"/>
    <w:rsid w:val="005A2D69"/>
    <w:rsid w:val="005A362D"/>
    <w:rsid w:val="005A6C37"/>
    <w:rsid w:val="005A7470"/>
    <w:rsid w:val="005A7481"/>
    <w:rsid w:val="005B231B"/>
    <w:rsid w:val="005B2657"/>
    <w:rsid w:val="005B3342"/>
    <w:rsid w:val="005B7638"/>
    <w:rsid w:val="005C1752"/>
    <w:rsid w:val="005C1FB7"/>
    <w:rsid w:val="005C1FBD"/>
    <w:rsid w:val="005C25A7"/>
    <w:rsid w:val="005C3511"/>
    <w:rsid w:val="005C3723"/>
    <w:rsid w:val="005C5D2D"/>
    <w:rsid w:val="005C671D"/>
    <w:rsid w:val="005C6A39"/>
    <w:rsid w:val="005C6AA3"/>
    <w:rsid w:val="005C6D23"/>
    <w:rsid w:val="005C7D24"/>
    <w:rsid w:val="005D08FD"/>
    <w:rsid w:val="005D19F4"/>
    <w:rsid w:val="005D3DBB"/>
    <w:rsid w:val="005D41B9"/>
    <w:rsid w:val="005D5D32"/>
    <w:rsid w:val="005D75D6"/>
    <w:rsid w:val="005D7915"/>
    <w:rsid w:val="005E0A64"/>
    <w:rsid w:val="005E1E5E"/>
    <w:rsid w:val="005E224F"/>
    <w:rsid w:val="005E34F7"/>
    <w:rsid w:val="005E6155"/>
    <w:rsid w:val="005F040A"/>
    <w:rsid w:val="005F294E"/>
    <w:rsid w:val="005F39AC"/>
    <w:rsid w:val="005F40AB"/>
    <w:rsid w:val="005F4BB7"/>
    <w:rsid w:val="005F5A3C"/>
    <w:rsid w:val="00604216"/>
    <w:rsid w:val="006048A0"/>
    <w:rsid w:val="0060782F"/>
    <w:rsid w:val="0061035D"/>
    <w:rsid w:val="00610987"/>
    <w:rsid w:val="006150BD"/>
    <w:rsid w:val="00615892"/>
    <w:rsid w:val="00615CAF"/>
    <w:rsid w:val="00616B96"/>
    <w:rsid w:val="00620015"/>
    <w:rsid w:val="006209A5"/>
    <w:rsid w:val="00621083"/>
    <w:rsid w:val="0062474F"/>
    <w:rsid w:val="00627CAE"/>
    <w:rsid w:val="00631B36"/>
    <w:rsid w:val="0063381F"/>
    <w:rsid w:val="00633F33"/>
    <w:rsid w:val="006349BC"/>
    <w:rsid w:val="00634A1F"/>
    <w:rsid w:val="00635666"/>
    <w:rsid w:val="006422E0"/>
    <w:rsid w:val="00644BC3"/>
    <w:rsid w:val="00647DD9"/>
    <w:rsid w:val="00650A83"/>
    <w:rsid w:val="00651332"/>
    <w:rsid w:val="0066084D"/>
    <w:rsid w:val="00660A79"/>
    <w:rsid w:val="00660A90"/>
    <w:rsid w:val="00662DA8"/>
    <w:rsid w:val="00663642"/>
    <w:rsid w:val="00663FA3"/>
    <w:rsid w:val="0066430F"/>
    <w:rsid w:val="00665FD0"/>
    <w:rsid w:val="00671352"/>
    <w:rsid w:val="006719CF"/>
    <w:rsid w:val="00673939"/>
    <w:rsid w:val="0067437E"/>
    <w:rsid w:val="00680922"/>
    <w:rsid w:val="00682927"/>
    <w:rsid w:val="006830B0"/>
    <w:rsid w:val="006834B9"/>
    <w:rsid w:val="00684C4D"/>
    <w:rsid w:val="00685E7E"/>
    <w:rsid w:val="00690372"/>
    <w:rsid w:val="00692A42"/>
    <w:rsid w:val="00695A33"/>
    <w:rsid w:val="00696ED7"/>
    <w:rsid w:val="006A0D20"/>
    <w:rsid w:val="006A21B7"/>
    <w:rsid w:val="006B1778"/>
    <w:rsid w:val="006B1E95"/>
    <w:rsid w:val="006B2366"/>
    <w:rsid w:val="006B3981"/>
    <w:rsid w:val="006B5020"/>
    <w:rsid w:val="006B5BC9"/>
    <w:rsid w:val="006B7025"/>
    <w:rsid w:val="006C165C"/>
    <w:rsid w:val="006C59A9"/>
    <w:rsid w:val="006C753E"/>
    <w:rsid w:val="006D74E9"/>
    <w:rsid w:val="006E0251"/>
    <w:rsid w:val="006E0A8D"/>
    <w:rsid w:val="006E1A4E"/>
    <w:rsid w:val="006E40DE"/>
    <w:rsid w:val="006E6F19"/>
    <w:rsid w:val="006F245E"/>
    <w:rsid w:val="006F4D41"/>
    <w:rsid w:val="006F6A70"/>
    <w:rsid w:val="006F7192"/>
    <w:rsid w:val="007003EE"/>
    <w:rsid w:val="00700637"/>
    <w:rsid w:val="00700798"/>
    <w:rsid w:val="00700E29"/>
    <w:rsid w:val="00701B25"/>
    <w:rsid w:val="007025B5"/>
    <w:rsid w:val="00703BFF"/>
    <w:rsid w:val="007127CB"/>
    <w:rsid w:val="00712893"/>
    <w:rsid w:val="00714A30"/>
    <w:rsid w:val="00714CC0"/>
    <w:rsid w:val="0071736B"/>
    <w:rsid w:val="007173B2"/>
    <w:rsid w:val="00717793"/>
    <w:rsid w:val="00720816"/>
    <w:rsid w:val="00725D3B"/>
    <w:rsid w:val="007273DC"/>
    <w:rsid w:val="00731479"/>
    <w:rsid w:val="007340DD"/>
    <w:rsid w:val="00741599"/>
    <w:rsid w:val="00745352"/>
    <w:rsid w:val="00746B5B"/>
    <w:rsid w:val="007471BA"/>
    <w:rsid w:val="00752206"/>
    <w:rsid w:val="00753EBF"/>
    <w:rsid w:val="00756101"/>
    <w:rsid w:val="00761AF7"/>
    <w:rsid w:val="00762573"/>
    <w:rsid w:val="007627C9"/>
    <w:rsid w:val="00762897"/>
    <w:rsid w:val="007641D9"/>
    <w:rsid w:val="007647C6"/>
    <w:rsid w:val="00766365"/>
    <w:rsid w:val="007667BD"/>
    <w:rsid w:val="0077040A"/>
    <w:rsid w:val="0077046A"/>
    <w:rsid w:val="007712C2"/>
    <w:rsid w:val="007753C9"/>
    <w:rsid w:val="00776FF9"/>
    <w:rsid w:val="007800C4"/>
    <w:rsid w:val="0078096C"/>
    <w:rsid w:val="00781F0A"/>
    <w:rsid w:val="007825E5"/>
    <w:rsid w:val="007827D3"/>
    <w:rsid w:val="007855D7"/>
    <w:rsid w:val="00793A09"/>
    <w:rsid w:val="0079447B"/>
    <w:rsid w:val="0079641C"/>
    <w:rsid w:val="00796641"/>
    <w:rsid w:val="007977AB"/>
    <w:rsid w:val="00797B1C"/>
    <w:rsid w:val="007A01D9"/>
    <w:rsid w:val="007A146E"/>
    <w:rsid w:val="007A2594"/>
    <w:rsid w:val="007A35D7"/>
    <w:rsid w:val="007A4790"/>
    <w:rsid w:val="007A77EE"/>
    <w:rsid w:val="007A77FD"/>
    <w:rsid w:val="007B5E2D"/>
    <w:rsid w:val="007C180F"/>
    <w:rsid w:val="007C303F"/>
    <w:rsid w:val="007C3C24"/>
    <w:rsid w:val="007C43BE"/>
    <w:rsid w:val="007C604A"/>
    <w:rsid w:val="007C628E"/>
    <w:rsid w:val="007C66D7"/>
    <w:rsid w:val="007D065B"/>
    <w:rsid w:val="007D0C6E"/>
    <w:rsid w:val="007D4528"/>
    <w:rsid w:val="007D4551"/>
    <w:rsid w:val="007D6488"/>
    <w:rsid w:val="007D7D0F"/>
    <w:rsid w:val="007D7EBE"/>
    <w:rsid w:val="007E0344"/>
    <w:rsid w:val="007E0AB4"/>
    <w:rsid w:val="007E402D"/>
    <w:rsid w:val="007E47B9"/>
    <w:rsid w:val="007E6E8D"/>
    <w:rsid w:val="007F0B1E"/>
    <w:rsid w:val="00800D28"/>
    <w:rsid w:val="008019A4"/>
    <w:rsid w:val="00803075"/>
    <w:rsid w:val="00803D26"/>
    <w:rsid w:val="0080459D"/>
    <w:rsid w:val="00807319"/>
    <w:rsid w:val="00807A8C"/>
    <w:rsid w:val="00807A8D"/>
    <w:rsid w:val="00813FC0"/>
    <w:rsid w:val="00815534"/>
    <w:rsid w:val="00816477"/>
    <w:rsid w:val="0081664F"/>
    <w:rsid w:val="00817321"/>
    <w:rsid w:val="00824274"/>
    <w:rsid w:val="00824D03"/>
    <w:rsid w:val="008250E0"/>
    <w:rsid w:val="00825C96"/>
    <w:rsid w:val="00826472"/>
    <w:rsid w:val="00831AFA"/>
    <w:rsid w:val="0083340F"/>
    <w:rsid w:val="008336B1"/>
    <w:rsid w:val="00834153"/>
    <w:rsid w:val="00835C31"/>
    <w:rsid w:val="00840C59"/>
    <w:rsid w:val="00841540"/>
    <w:rsid w:val="008417B0"/>
    <w:rsid w:val="00842A4D"/>
    <w:rsid w:val="00846E73"/>
    <w:rsid w:val="00851883"/>
    <w:rsid w:val="00851D8A"/>
    <w:rsid w:val="0085211D"/>
    <w:rsid w:val="00854E89"/>
    <w:rsid w:val="00855196"/>
    <w:rsid w:val="00860931"/>
    <w:rsid w:val="0086133F"/>
    <w:rsid w:val="00864E53"/>
    <w:rsid w:val="0086573E"/>
    <w:rsid w:val="00866339"/>
    <w:rsid w:val="008665A5"/>
    <w:rsid w:val="0086695E"/>
    <w:rsid w:val="00867300"/>
    <w:rsid w:val="0087088F"/>
    <w:rsid w:val="00870AC3"/>
    <w:rsid w:val="00871CC1"/>
    <w:rsid w:val="00873952"/>
    <w:rsid w:val="00873EEF"/>
    <w:rsid w:val="008767E7"/>
    <w:rsid w:val="00876CBF"/>
    <w:rsid w:val="00877080"/>
    <w:rsid w:val="008773CD"/>
    <w:rsid w:val="00877FC3"/>
    <w:rsid w:val="008804C5"/>
    <w:rsid w:val="008902CB"/>
    <w:rsid w:val="00894395"/>
    <w:rsid w:val="00895B05"/>
    <w:rsid w:val="0089604D"/>
    <w:rsid w:val="00896103"/>
    <w:rsid w:val="008977DD"/>
    <w:rsid w:val="008A0102"/>
    <w:rsid w:val="008A4D3F"/>
    <w:rsid w:val="008A52F3"/>
    <w:rsid w:val="008A652F"/>
    <w:rsid w:val="008B0261"/>
    <w:rsid w:val="008B0689"/>
    <w:rsid w:val="008B56D8"/>
    <w:rsid w:val="008B5786"/>
    <w:rsid w:val="008B66F6"/>
    <w:rsid w:val="008B7264"/>
    <w:rsid w:val="008B7376"/>
    <w:rsid w:val="008B7702"/>
    <w:rsid w:val="008C1FC9"/>
    <w:rsid w:val="008C25AD"/>
    <w:rsid w:val="008C312C"/>
    <w:rsid w:val="008C3B82"/>
    <w:rsid w:val="008C4FE9"/>
    <w:rsid w:val="008C7046"/>
    <w:rsid w:val="008C72F9"/>
    <w:rsid w:val="008C79C1"/>
    <w:rsid w:val="008D02C1"/>
    <w:rsid w:val="008D346C"/>
    <w:rsid w:val="008D3F61"/>
    <w:rsid w:val="008D4963"/>
    <w:rsid w:val="008D7A71"/>
    <w:rsid w:val="008E0C03"/>
    <w:rsid w:val="008E43BD"/>
    <w:rsid w:val="008E5171"/>
    <w:rsid w:val="008E52F6"/>
    <w:rsid w:val="008E576F"/>
    <w:rsid w:val="008E6C37"/>
    <w:rsid w:val="008E7BC9"/>
    <w:rsid w:val="008F2DC1"/>
    <w:rsid w:val="008F3C44"/>
    <w:rsid w:val="008F546E"/>
    <w:rsid w:val="008F554B"/>
    <w:rsid w:val="008F5F56"/>
    <w:rsid w:val="008F666D"/>
    <w:rsid w:val="008F708B"/>
    <w:rsid w:val="008F7525"/>
    <w:rsid w:val="008F7A44"/>
    <w:rsid w:val="009020B7"/>
    <w:rsid w:val="00905338"/>
    <w:rsid w:val="0090694C"/>
    <w:rsid w:val="00914D44"/>
    <w:rsid w:val="00915260"/>
    <w:rsid w:val="00915588"/>
    <w:rsid w:val="00916C64"/>
    <w:rsid w:val="00917E37"/>
    <w:rsid w:val="009219FF"/>
    <w:rsid w:val="00922862"/>
    <w:rsid w:val="00923878"/>
    <w:rsid w:val="00923E4A"/>
    <w:rsid w:val="00924066"/>
    <w:rsid w:val="00926A62"/>
    <w:rsid w:val="00927C9B"/>
    <w:rsid w:val="00930C14"/>
    <w:rsid w:val="00931CF9"/>
    <w:rsid w:val="00935A34"/>
    <w:rsid w:val="00941409"/>
    <w:rsid w:val="00942F7A"/>
    <w:rsid w:val="00944C96"/>
    <w:rsid w:val="00945844"/>
    <w:rsid w:val="00945CB5"/>
    <w:rsid w:val="00947444"/>
    <w:rsid w:val="0095077E"/>
    <w:rsid w:val="009508A6"/>
    <w:rsid w:val="00953117"/>
    <w:rsid w:val="0095374A"/>
    <w:rsid w:val="00956C35"/>
    <w:rsid w:val="00957EC2"/>
    <w:rsid w:val="0096111D"/>
    <w:rsid w:val="00962DB0"/>
    <w:rsid w:val="0096312E"/>
    <w:rsid w:val="00963449"/>
    <w:rsid w:val="00963723"/>
    <w:rsid w:val="00964641"/>
    <w:rsid w:val="00965722"/>
    <w:rsid w:val="0096587C"/>
    <w:rsid w:val="00965912"/>
    <w:rsid w:val="009662D2"/>
    <w:rsid w:val="00966E41"/>
    <w:rsid w:val="00967047"/>
    <w:rsid w:val="009671E5"/>
    <w:rsid w:val="009706D8"/>
    <w:rsid w:val="00971664"/>
    <w:rsid w:val="00974E25"/>
    <w:rsid w:val="00974E28"/>
    <w:rsid w:val="00976933"/>
    <w:rsid w:val="00980D08"/>
    <w:rsid w:val="00983848"/>
    <w:rsid w:val="00984AC0"/>
    <w:rsid w:val="00986D3D"/>
    <w:rsid w:val="00986E90"/>
    <w:rsid w:val="009928D4"/>
    <w:rsid w:val="00993706"/>
    <w:rsid w:val="009972C6"/>
    <w:rsid w:val="009979AD"/>
    <w:rsid w:val="009A14A6"/>
    <w:rsid w:val="009A2A00"/>
    <w:rsid w:val="009A2B9A"/>
    <w:rsid w:val="009A3341"/>
    <w:rsid w:val="009A3854"/>
    <w:rsid w:val="009A42EC"/>
    <w:rsid w:val="009A44B2"/>
    <w:rsid w:val="009A4FA7"/>
    <w:rsid w:val="009A7FFB"/>
    <w:rsid w:val="009B036A"/>
    <w:rsid w:val="009B13CB"/>
    <w:rsid w:val="009B2DDA"/>
    <w:rsid w:val="009B476D"/>
    <w:rsid w:val="009C0541"/>
    <w:rsid w:val="009C0E86"/>
    <w:rsid w:val="009C1C71"/>
    <w:rsid w:val="009C500E"/>
    <w:rsid w:val="009C70F2"/>
    <w:rsid w:val="009C758A"/>
    <w:rsid w:val="009D4776"/>
    <w:rsid w:val="009D5A0B"/>
    <w:rsid w:val="009D61B7"/>
    <w:rsid w:val="009D675F"/>
    <w:rsid w:val="009E1333"/>
    <w:rsid w:val="009E2379"/>
    <w:rsid w:val="009E337D"/>
    <w:rsid w:val="009E3EF3"/>
    <w:rsid w:val="009E453C"/>
    <w:rsid w:val="009E4FB5"/>
    <w:rsid w:val="009E754B"/>
    <w:rsid w:val="009F052B"/>
    <w:rsid w:val="009F2AB9"/>
    <w:rsid w:val="009F55D6"/>
    <w:rsid w:val="009F5B27"/>
    <w:rsid w:val="00A000CF"/>
    <w:rsid w:val="00A004F1"/>
    <w:rsid w:val="00A00C1B"/>
    <w:rsid w:val="00A01811"/>
    <w:rsid w:val="00A01AFE"/>
    <w:rsid w:val="00A0406D"/>
    <w:rsid w:val="00A04DD0"/>
    <w:rsid w:val="00A10D3B"/>
    <w:rsid w:val="00A10F48"/>
    <w:rsid w:val="00A12CAE"/>
    <w:rsid w:val="00A13DC9"/>
    <w:rsid w:val="00A175B2"/>
    <w:rsid w:val="00A17E0B"/>
    <w:rsid w:val="00A20620"/>
    <w:rsid w:val="00A2280C"/>
    <w:rsid w:val="00A23960"/>
    <w:rsid w:val="00A273D7"/>
    <w:rsid w:val="00A27420"/>
    <w:rsid w:val="00A3492B"/>
    <w:rsid w:val="00A3713E"/>
    <w:rsid w:val="00A4147D"/>
    <w:rsid w:val="00A449D6"/>
    <w:rsid w:val="00A44A70"/>
    <w:rsid w:val="00A52697"/>
    <w:rsid w:val="00A52F5B"/>
    <w:rsid w:val="00A53D86"/>
    <w:rsid w:val="00A541C1"/>
    <w:rsid w:val="00A55BF3"/>
    <w:rsid w:val="00A60288"/>
    <w:rsid w:val="00A6119E"/>
    <w:rsid w:val="00A63EFC"/>
    <w:rsid w:val="00A640C6"/>
    <w:rsid w:val="00A653E5"/>
    <w:rsid w:val="00A67C8F"/>
    <w:rsid w:val="00A67F6F"/>
    <w:rsid w:val="00A715FB"/>
    <w:rsid w:val="00A72854"/>
    <w:rsid w:val="00A734F1"/>
    <w:rsid w:val="00A75AF6"/>
    <w:rsid w:val="00A80A66"/>
    <w:rsid w:val="00A82390"/>
    <w:rsid w:val="00A823F3"/>
    <w:rsid w:val="00A839E9"/>
    <w:rsid w:val="00A83B95"/>
    <w:rsid w:val="00A863C3"/>
    <w:rsid w:val="00A8673F"/>
    <w:rsid w:val="00A876BF"/>
    <w:rsid w:val="00A90E89"/>
    <w:rsid w:val="00A90FB5"/>
    <w:rsid w:val="00A91206"/>
    <w:rsid w:val="00A9136E"/>
    <w:rsid w:val="00A93751"/>
    <w:rsid w:val="00A93B50"/>
    <w:rsid w:val="00A946AA"/>
    <w:rsid w:val="00A966BD"/>
    <w:rsid w:val="00A97DBA"/>
    <w:rsid w:val="00AA0D73"/>
    <w:rsid w:val="00AA177C"/>
    <w:rsid w:val="00AA20D7"/>
    <w:rsid w:val="00AA3FDE"/>
    <w:rsid w:val="00AA5510"/>
    <w:rsid w:val="00AB0D89"/>
    <w:rsid w:val="00AB1A03"/>
    <w:rsid w:val="00AB50F0"/>
    <w:rsid w:val="00AB74EE"/>
    <w:rsid w:val="00AC0539"/>
    <w:rsid w:val="00AC1C3A"/>
    <w:rsid w:val="00AC38FB"/>
    <w:rsid w:val="00AC3A03"/>
    <w:rsid w:val="00AC53A8"/>
    <w:rsid w:val="00AC64D6"/>
    <w:rsid w:val="00AC6EAE"/>
    <w:rsid w:val="00AC72F3"/>
    <w:rsid w:val="00AC7E5F"/>
    <w:rsid w:val="00AD2C15"/>
    <w:rsid w:val="00AD312C"/>
    <w:rsid w:val="00AD3AED"/>
    <w:rsid w:val="00AD50DE"/>
    <w:rsid w:val="00AD6403"/>
    <w:rsid w:val="00AD7ABE"/>
    <w:rsid w:val="00AD7B7F"/>
    <w:rsid w:val="00AE2341"/>
    <w:rsid w:val="00AE339B"/>
    <w:rsid w:val="00AE380D"/>
    <w:rsid w:val="00AF131D"/>
    <w:rsid w:val="00AF3BB1"/>
    <w:rsid w:val="00AF46EB"/>
    <w:rsid w:val="00AF4BE7"/>
    <w:rsid w:val="00AF680F"/>
    <w:rsid w:val="00AF6B75"/>
    <w:rsid w:val="00AF716D"/>
    <w:rsid w:val="00B0094C"/>
    <w:rsid w:val="00B06CE9"/>
    <w:rsid w:val="00B1002D"/>
    <w:rsid w:val="00B10CA0"/>
    <w:rsid w:val="00B11CFA"/>
    <w:rsid w:val="00B13EA5"/>
    <w:rsid w:val="00B16D1F"/>
    <w:rsid w:val="00B178D8"/>
    <w:rsid w:val="00B22B16"/>
    <w:rsid w:val="00B2302A"/>
    <w:rsid w:val="00B23CCF"/>
    <w:rsid w:val="00B2514D"/>
    <w:rsid w:val="00B30341"/>
    <w:rsid w:val="00B3445F"/>
    <w:rsid w:val="00B41417"/>
    <w:rsid w:val="00B43B0F"/>
    <w:rsid w:val="00B44196"/>
    <w:rsid w:val="00B51327"/>
    <w:rsid w:val="00B528F6"/>
    <w:rsid w:val="00B5329E"/>
    <w:rsid w:val="00B56CB8"/>
    <w:rsid w:val="00B60DC1"/>
    <w:rsid w:val="00B61C1E"/>
    <w:rsid w:val="00B61C2E"/>
    <w:rsid w:val="00B62252"/>
    <w:rsid w:val="00B63AF9"/>
    <w:rsid w:val="00B63E0C"/>
    <w:rsid w:val="00B654FB"/>
    <w:rsid w:val="00B66994"/>
    <w:rsid w:val="00B67EFB"/>
    <w:rsid w:val="00B71143"/>
    <w:rsid w:val="00B76E9E"/>
    <w:rsid w:val="00B775B4"/>
    <w:rsid w:val="00B80DA2"/>
    <w:rsid w:val="00B80DC3"/>
    <w:rsid w:val="00B82904"/>
    <w:rsid w:val="00B86E56"/>
    <w:rsid w:val="00B871C7"/>
    <w:rsid w:val="00B9005E"/>
    <w:rsid w:val="00B903CA"/>
    <w:rsid w:val="00B90B08"/>
    <w:rsid w:val="00B91905"/>
    <w:rsid w:val="00B92B5D"/>
    <w:rsid w:val="00B93003"/>
    <w:rsid w:val="00B943F3"/>
    <w:rsid w:val="00B9650E"/>
    <w:rsid w:val="00B96605"/>
    <w:rsid w:val="00B96F5A"/>
    <w:rsid w:val="00B97235"/>
    <w:rsid w:val="00B9741C"/>
    <w:rsid w:val="00B97E7C"/>
    <w:rsid w:val="00BA0FF5"/>
    <w:rsid w:val="00BA257A"/>
    <w:rsid w:val="00BA4467"/>
    <w:rsid w:val="00BA5D10"/>
    <w:rsid w:val="00BA61F2"/>
    <w:rsid w:val="00BA73B8"/>
    <w:rsid w:val="00BA7880"/>
    <w:rsid w:val="00BB0E0C"/>
    <w:rsid w:val="00BB570D"/>
    <w:rsid w:val="00BB5D87"/>
    <w:rsid w:val="00BB6839"/>
    <w:rsid w:val="00BC231F"/>
    <w:rsid w:val="00BC3DE4"/>
    <w:rsid w:val="00BC5CA9"/>
    <w:rsid w:val="00BD1010"/>
    <w:rsid w:val="00BD1BC7"/>
    <w:rsid w:val="00BD2DEC"/>
    <w:rsid w:val="00BD57EE"/>
    <w:rsid w:val="00BD5A32"/>
    <w:rsid w:val="00BD6BC2"/>
    <w:rsid w:val="00BE022B"/>
    <w:rsid w:val="00BE0566"/>
    <w:rsid w:val="00BE0BBC"/>
    <w:rsid w:val="00BE1A3F"/>
    <w:rsid w:val="00BE1F55"/>
    <w:rsid w:val="00BE2D95"/>
    <w:rsid w:val="00BE34F3"/>
    <w:rsid w:val="00BE38E1"/>
    <w:rsid w:val="00BE3DB1"/>
    <w:rsid w:val="00BE5D4F"/>
    <w:rsid w:val="00BE6377"/>
    <w:rsid w:val="00BE66CD"/>
    <w:rsid w:val="00BE7FB6"/>
    <w:rsid w:val="00BF0AE8"/>
    <w:rsid w:val="00BF15BD"/>
    <w:rsid w:val="00BF1C9F"/>
    <w:rsid w:val="00BF298F"/>
    <w:rsid w:val="00BF2CAE"/>
    <w:rsid w:val="00BF2DBA"/>
    <w:rsid w:val="00BF3B7A"/>
    <w:rsid w:val="00BF44B6"/>
    <w:rsid w:val="00BF5B56"/>
    <w:rsid w:val="00BF711F"/>
    <w:rsid w:val="00C000BA"/>
    <w:rsid w:val="00C01B46"/>
    <w:rsid w:val="00C03438"/>
    <w:rsid w:val="00C05BA0"/>
    <w:rsid w:val="00C106FE"/>
    <w:rsid w:val="00C11BAB"/>
    <w:rsid w:val="00C11CF9"/>
    <w:rsid w:val="00C13A37"/>
    <w:rsid w:val="00C1615E"/>
    <w:rsid w:val="00C212D2"/>
    <w:rsid w:val="00C2371D"/>
    <w:rsid w:val="00C24D02"/>
    <w:rsid w:val="00C25951"/>
    <w:rsid w:val="00C35A6E"/>
    <w:rsid w:val="00C35B4E"/>
    <w:rsid w:val="00C406BB"/>
    <w:rsid w:val="00C407E2"/>
    <w:rsid w:val="00C429A4"/>
    <w:rsid w:val="00C44CED"/>
    <w:rsid w:val="00C45C5D"/>
    <w:rsid w:val="00C520CB"/>
    <w:rsid w:val="00C5304A"/>
    <w:rsid w:val="00C53CC8"/>
    <w:rsid w:val="00C53F9A"/>
    <w:rsid w:val="00C561DA"/>
    <w:rsid w:val="00C62D6E"/>
    <w:rsid w:val="00C63A6C"/>
    <w:rsid w:val="00C70E72"/>
    <w:rsid w:val="00C711A9"/>
    <w:rsid w:val="00C756FD"/>
    <w:rsid w:val="00C75B5E"/>
    <w:rsid w:val="00C75D6D"/>
    <w:rsid w:val="00C77A23"/>
    <w:rsid w:val="00C8107F"/>
    <w:rsid w:val="00C812A4"/>
    <w:rsid w:val="00C83805"/>
    <w:rsid w:val="00C84629"/>
    <w:rsid w:val="00C85D14"/>
    <w:rsid w:val="00C875C6"/>
    <w:rsid w:val="00C87A7A"/>
    <w:rsid w:val="00C93958"/>
    <w:rsid w:val="00C93E2F"/>
    <w:rsid w:val="00C942E1"/>
    <w:rsid w:val="00C947DA"/>
    <w:rsid w:val="00C95AF3"/>
    <w:rsid w:val="00C96964"/>
    <w:rsid w:val="00C96F6A"/>
    <w:rsid w:val="00CA0DCC"/>
    <w:rsid w:val="00CA4864"/>
    <w:rsid w:val="00CA7B52"/>
    <w:rsid w:val="00CB181B"/>
    <w:rsid w:val="00CB2965"/>
    <w:rsid w:val="00CB42CE"/>
    <w:rsid w:val="00CB64E4"/>
    <w:rsid w:val="00CC0348"/>
    <w:rsid w:val="00CC0BB9"/>
    <w:rsid w:val="00CC381D"/>
    <w:rsid w:val="00CC6D4D"/>
    <w:rsid w:val="00CC7392"/>
    <w:rsid w:val="00CD0B72"/>
    <w:rsid w:val="00CD0CA0"/>
    <w:rsid w:val="00CD25C0"/>
    <w:rsid w:val="00CD2A79"/>
    <w:rsid w:val="00CD39DF"/>
    <w:rsid w:val="00CD6BF0"/>
    <w:rsid w:val="00CD7497"/>
    <w:rsid w:val="00CE163F"/>
    <w:rsid w:val="00CE4DB2"/>
    <w:rsid w:val="00CE6B40"/>
    <w:rsid w:val="00CE6B49"/>
    <w:rsid w:val="00CF1C8E"/>
    <w:rsid w:val="00CF5BFC"/>
    <w:rsid w:val="00CF6BB2"/>
    <w:rsid w:val="00D00258"/>
    <w:rsid w:val="00D00301"/>
    <w:rsid w:val="00D035D2"/>
    <w:rsid w:val="00D04D14"/>
    <w:rsid w:val="00D05268"/>
    <w:rsid w:val="00D05642"/>
    <w:rsid w:val="00D11C22"/>
    <w:rsid w:val="00D13238"/>
    <w:rsid w:val="00D13FCE"/>
    <w:rsid w:val="00D1445A"/>
    <w:rsid w:val="00D15C4E"/>
    <w:rsid w:val="00D161F8"/>
    <w:rsid w:val="00D17CFE"/>
    <w:rsid w:val="00D212DA"/>
    <w:rsid w:val="00D217F9"/>
    <w:rsid w:val="00D230E9"/>
    <w:rsid w:val="00D24976"/>
    <w:rsid w:val="00D262A8"/>
    <w:rsid w:val="00D3307A"/>
    <w:rsid w:val="00D353DD"/>
    <w:rsid w:val="00D35CE8"/>
    <w:rsid w:val="00D3640A"/>
    <w:rsid w:val="00D41145"/>
    <w:rsid w:val="00D420AD"/>
    <w:rsid w:val="00D462A9"/>
    <w:rsid w:val="00D46C8A"/>
    <w:rsid w:val="00D504E0"/>
    <w:rsid w:val="00D50861"/>
    <w:rsid w:val="00D512AB"/>
    <w:rsid w:val="00D5171D"/>
    <w:rsid w:val="00D53882"/>
    <w:rsid w:val="00D54D8F"/>
    <w:rsid w:val="00D56EF9"/>
    <w:rsid w:val="00D605CE"/>
    <w:rsid w:val="00D645C9"/>
    <w:rsid w:val="00D64AB6"/>
    <w:rsid w:val="00D64D36"/>
    <w:rsid w:val="00D653FD"/>
    <w:rsid w:val="00D662C5"/>
    <w:rsid w:val="00D66983"/>
    <w:rsid w:val="00D66EBF"/>
    <w:rsid w:val="00D671E4"/>
    <w:rsid w:val="00D7215A"/>
    <w:rsid w:val="00D74065"/>
    <w:rsid w:val="00D7425B"/>
    <w:rsid w:val="00D74BE1"/>
    <w:rsid w:val="00D75231"/>
    <w:rsid w:val="00D80346"/>
    <w:rsid w:val="00D80EE1"/>
    <w:rsid w:val="00D81349"/>
    <w:rsid w:val="00D8241C"/>
    <w:rsid w:val="00D82F4F"/>
    <w:rsid w:val="00D83430"/>
    <w:rsid w:val="00D837E9"/>
    <w:rsid w:val="00D83E98"/>
    <w:rsid w:val="00D86622"/>
    <w:rsid w:val="00D867D9"/>
    <w:rsid w:val="00D90465"/>
    <w:rsid w:val="00D90CA7"/>
    <w:rsid w:val="00D92140"/>
    <w:rsid w:val="00D97340"/>
    <w:rsid w:val="00D973FB"/>
    <w:rsid w:val="00DA2489"/>
    <w:rsid w:val="00DA3A56"/>
    <w:rsid w:val="00DA53A2"/>
    <w:rsid w:val="00DA5426"/>
    <w:rsid w:val="00DA578D"/>
    <w:rsid w:val="00DA706A"/>
    <w:rsid w:val="00DA7DCE"/>
    <w:rsid w:val="00DB0DE7"/>
    <w:rsid w:val="00DB1143"/>
    <w:rsid w:val="00DB118E"/>
    <w:rsid w:val="00DB14E6"/>
    <w:rsid w:val="00DB266B"/>
    <w:rsid w:val="00DB26EB"/>
    <w:rsid w:val="00DB3559"/>
    <w:rsid w:val="00DB3C15"/>
    <w:rsid w:val="00DB3CB4"/>
    <w:rsid w:val="00DB3E86"/>
    <w:rsid w:val="00DB47E3"/>
    <w:rsid w:val="00DB56D6"/>
    <w:rsid w:val="00DB5A87"/>
    <w:rsid w:val="00DB66AD"/>
    <w:rsid w:val="00DB6902"/>
    <w:rsid w:val="00DB6B31"/>
    <w:rsid w:val="00DB6DE1"/>
    <w:rsid w:val="00DC2471"/>
    <w:rsid w:val="00DC3FCE"/>
    <w:rsid w:val="00DD0960"/>
    <w:rsid w:val="00DD38FB"/>
    <w:rsid w:val="00DD3B5E"/>
    <w:rsid w:val="00DD489B"/>
    <w:rsid w:val="00DD575A"/>
    <w:rsid w:val="00DD613F"/>
    <w:rsid w:val="00DE096A"/>
    <w:rsid w:val="00DE5365"/>
    <w:rsid w:val="00DE67B6"/>
    <w:rsid w:val="00DF0030"/>
    <w:rsid w:val="00DF0CC6"/>
    <w:rsid w:val="00DF2EE1"/>
    <w:rsid w:val="00DF3C22"/>
    <w:rsid w:val="00DF507F"/>
    <w:rsid w:val="00DF6278"/>
    <w:rsid w:val="00DF63D0"/>
    <w:rsid w:val="00DF67B9"/>
    <w:rsid w:val="00DF7A5A"/>
    <w:rsid w:val="00DF7BD8"/>
    <w:rsid w:val="00E04263"/>
    <w:rsid w:val="00E07C36"/>
    <w:rsid w:val="00E1025A"/>
    <w:rsid w:val="00E11221"/>
    <w:rsid w:val="00E15BC2"/>
    <w:rsid w:val="00E16AE7"/>
    <w:rsid w:val="00E2122E"/>
    <w:rsid w:val="00E249D9"/>
    <w:rsid w:val="00E24BC3"/>
    <w:rsid w:val="00E25CA7"/>
    <w:rsid w:val="00E26966"/>
    <w:rsid w:val="00E26A1A"/>
    <w:rsid w:val="00E26F51"/>
    <w:rsid w:val="00E306D7"/>
    <w:rsid w:val="00E30D0E"/>
    <w:rsid w:val="00E33879"/>
    <w:rsid w:val="00E372CE"/>
    <w:rsid w:val="00E41865"/>
    <w:rsid w:val="00E46F4D"/>
    <w:rsid w:val="00E51A02"/>
    <w:rsid w:val="00E51A55"/>
    <w:rsid w:val="00E53F7D"/>
    <w:rsid w:val="00E54ED3"/>
    <w:rsid w:val="00E56795"/>
    <w:rsid w:val="00E577D7"/>
    <w:rsid w:val="00E616DD"/>
    <w:rsid w:val="00E61F30"/>
    <w:rsid w:val="00E63C96"/>
    <w:rsid w:val="00E67DDC"/>
    <w:rsid w:val="00E71336"/>
    <w:rsid w:val="00E72091"/>
    <w:rsid w:val="00E779CF"/>
    <w:rsid w:val="00E85CB4"/>
    <w:rsid w:val="00E91A0E"/>
    <w:rsid w:val="00E939C2"/>
    <w:rsid w:val="00E951D0"/>
    <w:rsid w:val="00EA18AB"/>
    <w:rsid w:val="00EA2E7B"/>
    <w:rsid w:val="00EA514B"/>
    <w:rsid w:val="00EA5BB9"/>
    <w:rsid w:val="00EB2B18"/>
    <w:rsid w:val="00EB2E1D"/>
    <w:rsid w:val="00EB3175"/>
    <w:rsid w:val="00EB42E8"/>
    <w:rsid w:val="00EB4E2E"/>
    <w:rsid w:val="00EC06E9"/>
    <w:rsid w:val="00EC3E53"/>
    <w:rsid w:val="00EC71C0"/>
    <w:rsid w:val="00ED0B76"/>
    <w:rsid w:val="00ED19C9"/>
    <w:rsid w:val="00ED301C"/>
    <w:rsid w:val="00ED3D5D"/>
    <w:rsid w:val="00ED4F76"/>
    <w:rsid w:val="00ED5A34"/>
    <w:rsid w:val="00ED6D1E"/>
    <w:rsid w:val="00ED6D5C"/>
    <w:rsid w:val="00ED6EAF"/>
    <w:rsid w:val="00ED705F"/>
    <w:rsid w:val="00ED734F"/>
    <w:rsid w:val="00EE0FDB"/>
    <w:rsid w:val="00EE1412"/>
    <w:rsid w:val="00EE4BE3"/>
    <w:rsid w:val="00EE57A9"/>
    <w:rsid w:val="00EE6D9F"/>
    <w:rsid w:val="00EF49DC"/>
    <w:rsid w:val="00EF5157"/>
    <w:rsid w:val="00F0168D"/>
    <w:rsid w:val="00F01DB3"/>
    <w:rsid w:val="00F0476E"/>
    <w:rsid w:val="00F069EC"/>
    <w:rsid w:val="00F077B7"/>
    <w:rsid w:val="00F079D4"/>
    <w:rsid w:val="00F07D57"/>
    <w:rsid w:val="00F10551"/>
    <w:rsid w:val="00F15E95"/>
    <w:rsid w:val="00F16172"/>
    <w:rsid w:val="00F22356"/>
    <w:rsid w:val="00F229ED"/>
    <w:rsid w:val="00F232FE"/>
    <w:rsid w:val="00F247DA"/>
    <w:rsid w:val="00F24ACB"/>
    <w:rsid w:val="00F25034"/>
    <w:rsid w:val="00F256D3"/>
    <w:rsid w:val="00F261D6"/>
    <w:rsid w:val="00F303CC"/>
    <w:rsid w:val="00F358FF"/>
    <w:rsid w:val="00F376B1"/>
    <w:rsid w:val="00F37C19"/>
    <w:rsid w:val="00F40358"/>
    <w:rsid w:val="00F408E8"/>
    <w:rsid w:val="00F417B0"/>
    <w:rsid w:val="00F4196C"/>
    <w:rsid w:val="00F42817"/>
    <w:rsid w:val="00F442C1"/>
    <w:rsid w:val="00F44D7F"/>
    <w:rsid w:val="00F452E6"/>
    <w:rsid w:val="00F452F7"/>
    <w:rsid w:val="00F462C6"/>
    <w:rsid w:val="00F46932"/>
    <w:rsid w:val="00F4796B"/>
    <w:rsid w:val="00F505CB"/>
    <w:rsid w:val="00F546D8"/>
    <w:rsid w:val="00F5509E"/>
    <w:rsid w:val="00F564EA"/>
    <w:rsid w:val="00F6311E"/>
    <w:rsid w:val="00F65522"/>
    <w:rsid w:val="00F66173"/>
    <w:rsid w:val="00F706E2"/>
    <w:rsid w:val="00F70E45"/>
    <w:rsid w:val="00F72A26"/>
    <w:rsid w:val="00F73763"/>
    <w:rsid w:val="00F74DC0"/>
    <w:rsid w:val="00F74F8C"/>
    <w:rsid w:val="00F758AB"/>
    <w:rsid w:val="00F80A0E"/>
    <w:rsid w:val="00F816CC"/>
    <w:rsid w:val="00F83206"/>
    <w:rsid w:val="00F834B0"/>
    <w:rsid w:val="00F855B3"/>
    <w:rsid w:val="00F8728E"/>
    <w:rsid w:val="00F87EDD"/>
    <w:rsid w:val="00F91CC8"/>
    <w:rsid w:val="00F92321"/>
    <w:rsid w:val="00F92CD6"/>
    <w:rsid w:val="00F93131"/>
    <w:rsid w:val="00F931BE"/>
    <w:rsid w:val="00F96655"/>
    <w:rsid w:val="00F96AA9"/>
    <w:rsid w:val="00F97F47"/>
    <w:rsid w:val="00FA1847"/>
    <w:rsid w:val="00FA4446"/>
    <w:rsid w:val="00FA4763"/>
    <w:rsid w:val="00FA4B0E"/>
    <w:rsid w:val="00FB2C0E"/>
    <w:rsid w:val="00FB2F95"/>
    <w:rsid w:val="00FB4113"/>
    <w:rsid w:val="00FB41C8"/>
    <w:rsid w:val="00FB6D7D"/>
    <w:rsid w:val="00FB700A"/>
    <w:rsid w:val="00FB748D"/>
    <w:rsid w:val="00FC011E"/>
    <w:rsid w:val="00FC21FC"/>
    <w:rsid w:val="00FC2764"/>
    <w:rsid w:val="00FC3FEB"/>
    <w:rsid w:val="00FC7DAD"/>
    <w:rsid w:val="00FC7EE8"/>
    <w:rsid w:val="00FD0E0B"/>
    <w:rsid w:val="00FD1EC4"/>
    <w:rsid w:val="00FD2F92"/>
    <w:rsid w:val="00FD4720"/>
    <w:rsid w:val="00FD51AD"/>
    <w:rsid w:val="00FD69AA"/>
    <w:rsid w:val="00FD7C3A"/>
    <w:rsid w:val="00FE37B5"/>
    <w:rsid w:val="00FE5465"/>
    <w:rsid w:val="00FF0B01"/>
    <w:rsid w:val="00FF0C4E"/>
    <w:rsid w:val="00FF0F81"/>
    <w:rsid w:val="00FF196F"/>
    <w:rsid w:val="00FF1A9D"/>
    <w:rsid w:val="00FF27FE"/>
    <w:rsid w:val="00FF4187"/>
    <w:rsid w:val="00FF427C"/>
    <w:rsid w:val="00FF79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3FFED3"/>
  <w15:docId w15:val="{E2C00491-9A66-45CC-92BF-B30F33449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F26"/>
    <w:pPr>
      <w:spacing w:after="0" w:line="240" w:lineRule="auto"/>
      <w:jc w:val="both"/>
    </w:pPr>
    <w:rPr>
      <w:rFonts w:ascii="Arial Narrow" w:hAnsi="Arial Narrow" w:cs="Times New Roman"/>
      <w:sz w:val="24"/>
      <w:szCs w:val="24"/>
      <w:lang w:eastAsia="es-CO"/>
    </w:rPr>
  </w:style>
  <w:style w:type="paragraph" w:styleId="Ttulo1">
    <w:name w:val="heading 1"/>
    <w:basedOn w:val="Normal"/>
    <w:next w:val="Normal"/>
    <w:link w:val="Ttulo1Car"/>
    <w:uiPriority w:val="99"/>
    <w:qFormat/>
    <w:rsid w:val="00B30341"/>
    <w:pPr>
      <w:keepNext/>
      <w:keepLines/>
      <w:numPr>
        <w:numId w:val="1"/>
      </w:numPr>
      <w:spacing w:before="480"/>
      <w:outlineLvl w:val="0"/>
    </w:pPr>
    <w:rPr>
      <w:rFonts w:eastAsiaTheme="majorEastAsia" w:cstheme="majorBidi"/>
      <w:b/>
      <w:bCs/>
      <w:sz w:val="32"/>
      <w:szCs w:val="28"/>
    </w:rPr>
  </w:style>
  <w:style w:type="paragraph" w:styleId="Ttulo2">
    <w:name w:val="heading 2"/>
    <w:basedOn w:val="Normal"/>
    <w:next w:val="Normal"/>
    <w:link w:val="Ttulo2Car"/>
    <w:uiPriority w:val="9"/>
    <w:unhideWhenUsed/>
    <w:qFormat/>
    <w:rsid w:val="003B76DB"/>
    <w:pPr>
      <w:keepNext/>
      <w:keepLines/>
      <w:spacing w:before="200"/>
      <w:outlineLvl w:val="1"/>
    </w:pPr>
    <w:rPr>
      <w:rFonts w:eastAsiaTheme="majorEastAsia" w:cstheme="majorBidi"/>
      <w:b/>
      <w:bCs/>
      <w:color w:val="000000" w:themeColor="text1"/>
      <w:szCs w:val="26"/>
    </w:rPr>
  </w:style>
  <w:style w:type="paragraph" w:styleId="Ttulo3">
    <w:name w:val="heading 3"/>
    <w:basedOn w:val="Normal"/>
    <w:next w:val="Normal"/>
    <w:link w:val="Ttulo3Car"/>
    <w:uiPriority w:val="9"/>
    <w:unhideWhenUsed/>
    <w:qFormat/>
    <w:rsid w:val="00D24976"/>
    <w:pPr>
      <w:keepNext/>
      <w:keepLines/>
      <w:spacing w:before="40"/>
      <w:outlineLvl w:val="2"/>
    </w:pPr>
    <w:rPr>
      <w:rFonts w:eastAsiaTheme="majorEastAsia" w:cstheme="majorBidi"/>
      <w:b/>
    </w:rPr>
  </w:style>
  <w:style w:type="paragraph" w:styleId="Ttulo4">
    <w:name w:val="heading 4"/>
    <w:basedOn w:val="Ttulo2"/>
    <w:next w:val="Normal"/>
    <w:link w:val="Ttulo4Car"/>
    <w:uiPriority w:val="9"/>
    <w:unhideWhenUsed/>
    <w:qFormat/>
    <w:rsid w:val="00F247DA"/>
    <w:pPr>
      <w:numPr>
        <w:ilvl w:val="2"/>
        <w:numId w:val="23"/>
      </w:numPr>
      <w:spacing w:line="276" w:lineRule="auto"/>
      <w:outlineLvl w:val="3"/>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B30341"/>
    <w:rPr>
      <w:rFonts w:ascii="Arial Narrow" w:eastAsiaTheme="majorEastAsia" w:hAnsi="Arial Narrow" w:cstheme="majorBidi"/>
      <w:b/>
      <w:bCs/>
      <w:sz w:val="32"/>
      <w:szCs w:val="28"/>
      <w:lang w:eastAsia="es-CO"/>
    </w:rPr>
  </w:style>
  <w:style w:type="character" w:styleId="Refdenotaalpie">
    <w:name w:val="footnote reference"/>
    <w:basedOn w:val="Fuentedeprrafopredeter"/>
    <w:uiPriority w:val="99"/>
    <w:semiHidden/>
    <w:rsid w:val="00B30341"/>
    <w:rPr>
      <w:rFonts w:cs="Times New Roman"/>
      <w:vertAlign w:val="superscript"/>
    </w:rPr>
  </w:style>
  <w:style w:type="paragraph" w:styleId="Textonotapie">
    <w:name w:val="footnote text"/>
    <w:basedOn w:val="Normal"/>
    <w:link w:val="TextonotapieCar"/>
    <w:uiPriority w:val="99"/>
    <w:semiHidden/>
    <w:rsid w:val="00B30341"/>
    <w:rPr>
      <w:rFonts w:eastAsia="Batang"/>
      <w:sz w:val="20"/>
      <w:szCs w:val="20"/>
      <w:lang w:val="es-AR" w:eastAsia="en-US"/>
    </w:rPr>
  </w:style>
  <w:style w:type="character" w:customStyle="1" w:styleId="TextonotapieCar">
    <w:name w:val="Texto nota pie Car"/>
    <w:basedOn w:val="Fuentedeprrafopredeter"/>
    <w:link w:val="Textonotapie"/>
    <w:uiPriority w:val="99"/>
    <w:semiHidden/>
    <w:rsid w:val="00B30341"/>
    <w:rPr>
      <w:rFonts w:ascii="Arial Narrow" w:eastAsia="Batang" w:hAnsi="Arial Narrow" w:cs="Times New Roman"/>
      <w:sz w:val="20"/>
      <w:szCs w:val="20"/>
      <w:lang w:val="es-AR"/>
    </w:rPr>
  </w:style>
  <w:style w:type="paragraph" w:styleId="Prrafodelista">
    <w:name w:val="List Paragraph"/>
    <w:basedOn w:val="Normal"/>
    <w:uiPriority w:val="34"/>
    <w:qFormat/>
    <w:rsid w:val="009D4776"/>
    <w:pPr>
      <w:ind w:left="708"/>
    </w:pPr>
    <w:rPr>
      <w:rFonts w:eastAsia="Batang"/>
      <w:szCs w:val="22"/>
      <w:lang w:val="es-ES" w:eastAsia="en-US"/>
    </w:rPr>
  </w:style>
  <w:style w:type="table" w:styleId="Tablaconcuadrcula">
    <w:name w:val="Table Grid"/>
    <w:basedOn w:val="Tablanormal"/>
    <w:uiPriority w:val="59"/>
    <w:rsid w:val="009D4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2">
    <w:name w:val="List 2"/>
    <w:basedOn w:val="Normal"/>
    <w:uiPriority w:val="99"/>
    <w:unhideWhenUsed/>
    <w:rsid w:val="00A01811"/>
    <w:pPr>
      <w:ind w:left="566" w:hanging="283"/>
      <w:contextualSpacing/>
    </w:pPr>
  </w:style>
  <w:style w:type="paragraph" w:styleId="Lista3">
    <w:name w:val="List 3"/>
    <w:basedOn w:val="Normal"/>
    <w:uiPriority w:val="99"/>
    <w:unhideWhenUsed/>
    <w:rsid w:val="00A01811"/>
    <w:pPr>
      <w:ind w:left="849" w:hanging="283"/>
      <w:contextualSpacing/>
    </w:pPr>
  </w:style>
  <w:style w:type="paragraph" w:styleId="Saludo">
    <w:name w:val="Salutation"/>
    <w:basedOn w:val="Normal"/>
    <w:next w:val="Normal"/>
    <w:link w:val="SaludoCar"/>
    <w:uiPriority w:val="99"/>
    <w:unhideWhenUsed/>
    <w:rsid w:val="00A01811"/>
  </w:style>
  <w:style w:type="character" w:customStyle="1" w:styleId="SaludoCar">
    <w:name w:val="Saludo Car"/>
    <w:basedOn w:val="Fuentedeprrafopredeter"/>
    <w:link w:val="Saludo"/>
    <w:uiPriority w:val="99"/>
    <w:rsid w:val="00A01811"/>
    <w:rPr>
      <w:rFonts w:ascii="Arial Narrow" w:hAnsi="Arial Narrow" w:cs="Times New Roman"/>
      <w:sz w:val="24"/>
      <w:szCs w:val="24"/>
      <w:lang w:eastAsia="es-CO"/>
    </w:rPr>
  </w:style>
  <w:style w:type="paragraph" w:styleId="Textoindependiente">
    <w:name w:val="Body Text"/>
    <w:basedOn w:val="Normal"/>
    <w:link w:val="TextoindependienteCar"/>
    <w:uiPriority w:val="99"/>
    <w:unhideWhenUsed/>
    <w:rsid w:val="00A01811"/>
    <w:pPr>
      <w:spacing w:after="120"/>
    </w:pPr>
  </w:style>
  <w:style w:type="character" w:customStyle="1" w:styleId="TextoindependienteCar">
    <w:name w:val="Texto independiente Car"/>
    <w:basedOn w:val="Fuentedeprrafopredeter"/>
    <w:link w:val="Textoindependiente"/>
    <w:uiPriority w:val="99"/>
    <w:rsid w:val="00A01811"/>
    <w:rPr>
      <w:rFonts w:ascii="Arial Narrow" w:hAnsi="Arial Narrow" w:cs="Times New Roman"/>
      <w:sz w:val="24"/>
      <w:szCs w:val="24"/>
      <w:lang w:eastAsia="es-CO"/>
    </w:rPr>
  </w:style>
  <w:style w:type="paragraph" w:styleId="Textodeglobo">
    <w:name w:val="Balloon Text"/>
    <w:basedOn w:val="Normal"/>
    <w:link w:val="TextodegloboCar"/>
    <w:uiPriority w:val="99"/>
    <w:semiHidden/>
    <w:unhideWhenUsed/>
    <w:rsid w:val="008C7046"/>
    <w:rPr>
      <w:rFonts w:ascii="Tahoma" w:hAnsi="Tahoma" w:cs="Tahoma"/>
      <w:sz w:val="16"/>
      <w:szCs w:val="16"/>
    </w:rPr>
  </w:style>
  <w:style w:type="character" w:customStyle="1" w:styleId="TextodegloboCar">
    <w:name w:val="Texto de globo Car"/>
    <w:basedOn w:val="Fuentedeprrafopredeter"/>
    <w:link w:val="Textodeglobo"/>
    <w:uiPriority w:val="99"/>
    <w:semiHidden/>
    <w:rsid w:val="008C7046"/>
    <w:rPr>
      <w:rFonts w:ascii="Tahoma" w:hAnsi="Tahoma" w:cs="Tahoma"/>
      <w:sz w:val="16"/>
      <w:szCs w:val="16"/>
      <w:lang w:eastAsia="es-CO"/>
    </w:rPr>
  </w:style>
  <w:style w:type="character" w:styleId="Textodelmarcadordeposicin">
    <w:name w:val="Placeholder Text"/>
    <w:basedOn w:val="Fuentedeprrafopredeter"/>
    <w:uiPriority w:val="99"/>
    <w:semiHidden/>
    <w:rsid w:val="008C7046"/>
    <w:rPr>
      <w:color w:val="808080"/>
    </w:rPr>
  </w:style>
  <w:style w:type="character" w:styleId="Hipervnculo">
    <w:name w:val="Hyperlink"/>
    <w:basedOn w:val="Fuentedeprrafopredeter"/>
    <w:uiPriority w:val="99"/>
    <w:unhideWhenUsed/>
    <w:rsid w:val="00967047"/>
    <w:rPr>
      <w:color w:val="0000FF" w:themeColor="hyperlink"/>
      <w:u w:val="single"/>
    </w:rPr>
  </w:style>
  <w:style w:type="paragraph" w:styleId="TDC1">
    <w:name w:val="toc 1"/>
    <w:basedOn w:val="Normal"/>
    <w:next w:val="Normal"/>
    <w:autoRedefine/>
    <w:uiPriority w:val="39"/>
    <w:unhideWhenUsed/>
    <w:qFormat/>
    <w:rsid w:val="00967047"/>
    <w:pPr>
      <w:spacing w:after="100"/>
    </w:pPr>
  </w:style>
  <w:style w:type="paragraph" w:styleId="TDC2">
    <w:name w:val="toc 2"/>
    <w:basedOn w:val="Normal"/>
    <w:next w:val="Normal"/>
    <w:autoRedefine/>
    <w:uiPriority w:val="39"/>
    <w:unhideWhenUsed/>
    <w:qFormat/>
    <w:rsid w:val="00437B4C"/>
    <w:pPr>
      <w:tabs>
        <w:tab w:val="left" w:pos="851"/>
        <w:tab w:val="right" w:leader="dot" w:pos="8828"/>
      </w:tabs>
      <w:spacing w:after="100"/>
      <w:ind w:left="240"/>
    </w:pPr>
  </w:style>
  <w:style w:type="paragraph" w:styleId="TDC3">
    <w:name w:val="toc 3"/>
    <w:basedOn w:val="Normal"/>
    <w:next w:val="Normal"/>
    <w:autoRedefine/>
    <w:uiPriority w:val="39"/>
    <w:unhideWhenUsed/>
    <w:qFormat/>
    <w:rsid w:val="00967047"/>
    <w:pPr>
      <w:spacing w:after="100"/>
      <w:ind w:left="480"/>
    </w:pPr>
  </w:style>
  <w:style w:type="paragraph" w:styleId="Encabezado">
    <w:name w:val="header"/>
    <w:basedOn w:val="Normal"/>
    <w:link w:val="EncabezadoCar"/>
    <w:uiPriority w:val="99"/>
    <w:unhideWhenUsed/>
    <w:rsid w:val="004B1C86"/>
    <w:pPr>
      <w:tabs>
        <w:tab w:val="center" w:pos="4419"/>
        <w:tab w:val="right" w:pos="8838"/>
      </w:tabs>
    </w:pPr>
  </w:style>
  <w:style w:type="character" w:customStyle="1" w:styleId="EncabezadoCar">
    <w:name w:val="Encabezado Car"/>
    <w:basedOn w:val="Fuentedeprrafopredeter"/>
    <w:link w:val="Encabezado"/>
    <w:uiPriority w:val="99"/>
    <w:rsid w:val="004B1C86"/>
    <w:rPr>
      <w:rFonts w:ascii="Arial Narrow" w:hAnsi="Arial Narrow" w:cs="Times New Roman"/>
      <w:sz w:val="24"/>
      <w:szCs w:val="24"/>
      <w:lang w:eastAsia="es-CO"/>
    </w:rPr>
  </w:style>
  <w:style w:type="paragraph" w:styleId="Piedepgina">
    <w:name w:val="footer"/>
    <w:basedOn w:val="Normal"/>
    <w:link w:val="PiedepginaCar"/>
    <w:unhideWhenUsed/>
    <w:rsid w:val="004B1C86"/>
    <w:pPr>
      <w:tabs>
        <w:tab w:val="center" w:pos="4419"/>
        <w:tab w:val="right" w:pos="8838"/>
      </w:tabs>
    </w:pPr>
  </w:style>
  <w:style w:type="character" w:customStyle="1" w:styleId="PiedepginaCar">
    <w:name w:val="Pie de página Car"/>
    <w:basedOn w:val="Fuentedeprrafopredeter"/>
    <w:link w:val="Piedepgina"/>
    <w:rsid w:val="004B1C86"/>
    <w:rPr>
      <w:rFonts w:ascii="Arial Narrow" w:hAnsi="Arial Narrow" w:cs="Times New Roman"/>
      <w:sz w:val="24"/>
      <w:szCs w:val="24"/>
      <w:lang w:eastAsia="es-CO"/>
    </w:rPr>
  </w:style>
  <w:style w:type="paragraph" w:styleId="Mapadeldocumento">
    <w:name w:val="Document Map"/>
    <w:basedOn w:val="Normal"/>
    <w:link w:val="MapadeldocumentoCar"/>
    <w:uiPriority w:val="99"/>
    <w:semiHidden/>
    <w:unhideWhenUsed/>
    <w:rsid w:val="0062474F"/>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62474F"/>
    <w:rPr>
      <w:rFonts w:ascii="Tahoma" w:hAnsi="Tahoma" w:cs="Tahoma"/>
      <w:sz w:val="16"/>
      <w:szCs w:val="16"/>
      <w:lang w:eastAsia="es-CO"/>
    </w:rPr>
  </w:style>
  <w:style w:type="paragraph" w:styleId="Textoindependiente2">
    <w:name w:val="Body Text 2"/>
    <w:basedOn w:val="Normal"/>
    <w:link w:val="Textoindependiente2Car"/>
    <w:uiPriority w:val="99"/>
    <w:semiHidden/>
    <w:unhideWhenUsed/>
    <w:rsid w:val="0026781B"/>
    <w:pPr>
      <w:spacing w:after="120" w:line="480" w:lineRule="auto"/>
    </w:pPr>
  </w:style>
  <w:style w:type="character" w:customStyle="1" w:styleId="Textoindependiente2Car">
    <w:name w:val="Texto independiente 2 Car"/>
    <w:basedOn w:val="Fuentedeprrafopredeter"/>
    <w:link w:val="Textoindependiente2"/>
    <w:uiPriority w:val="99"/>
    <w:semiHidden/>
    <w:rsid w:val="0026781B"/>
    <w:rPr>
      <w:rFonts w:ascii="Arial Narrow" w:hAnsi="Arial Narrow" w:cs="Times New Roman"/>
      <w:sz w:val="24"/>
      <w:szCs w:val="24"/>
      <w:lang w:eastAsia="es-CO"/>
    </w:rPr>
  </w:style>
  <w:style w:type="character" w:customStyle="1" w:styleId="Ttulo2Car">
    <w:name w:val="Título 2 Car"/>
    <w:basedOn w:val="Fuentedeprrafopredeter"/>
    <w:link w:val="Ttulo2"/>
    <w:uiPriority w:val="9"/>
    <w:rsid w:val="003B76DB"/>
    <w:rPr>
      <w:rFonts w:ascii="Arial Narrow" w:eastAsiaTheme="majorEastAsia" w:hAnsi="Arial Narrow" w:cstheme="majorBidi"/>
      <w:b/>
      <w:bCs/>
      <w:color w:val="000000" w:themeColor="text1"/>
      <w:sz w:val="24"/>
      <w:szCs w:val="26"/>
      <w:lang w:eastAsia="es-CO"/>
    </w:rPr>
  </w:style>
  <w:style w:type="paragraph" w:styleId="Sangradetextonormal">
    <w:name w:val="Body Text Indent"/>
    <w:basedOn w:val="Normal"/>
    <w:link w:val="SangradetextonormalCar"/>
    <w:rsid w:val="003B17D2"/>
    <w:pPr>
      <w:spacing w:after="120"/>
      <w:ind w:left="283"/>
      <w:jc w:val="left"/>
    </w:pPr>
    <w:rPr>
      <w:rFonts w:ascii="Times New Roman" w:eastAsia="Times New Roman" w:hAnsi="Times New Roman"/>
      <w:lang w:val="es-ES" w:eastAsia="es-ES"/>
    </w:rPr>
  </w:style>
  <w:style w:type="character" w:customStyle="1" w:styleId="SangradetextonormalCar">
    <w:name w:val="Sangría de texto normal Car"/>
    <w:basedOn w:val="Fuentedeprrafopredeter"/>
    <w:link w:val="Sangradetextonormal"/>
    <w:rsid w:val="003B17D2"/>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rsid w:val="00965912"/>
    <w:rPr>
      <w:sz w:val="16"/>
      <w:szCs w:val="16"/>
    </w:rPr>
  </w:style>
  <w:style w:type="paragraph" w:styleId="Textocomentario">
    <w:name w:val="annotation text"/>
    <w:basedOn w:val="Normal"/>
    <w:link w:val="TextocomentarioCar"/>
    <w:uiPriority w:val="99"/>
    <w:semiHidden/>
    <w:unhideWhenUsed/>
    <w:rsid w:val="00965912"/>
    <w:rPr>
      <w:sz w:val="20"/>
      <w:szCs w:val="20"/>
    </w:rPr>
  </w:style>
  <w:style w:type="character" w:customStyle="1" w:styleId="TextocomentarioCar">
    <w:name w:val="Texto comentario Car"/>
    <w:basedOn w:val="Fuentedeprrafopredeter"/>
    <w:link w:val="Textocomentario"/>
    <w:uiPriority w:val="99"/>
    <w:semiHidden/>
    <w:rsid w:val="00965912"/>
    <w:rPr>
      <w:rFonts w:ascii="Arial Narrow" w:hAnsi="Arial Narrow"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965912"/>
    <w:rPr>
      <w:b/>
      <w:bCs/>
    </w:rPr>
  </w:style>
  <w:style w:type="character" w:customStyle="1" w:styleId="AsuntodelcomentarioCar">
    <w:name w:val="Asunto del comentario Car"/>
    <w:basedOn w:val="TextocomentarioCar"/>
    <w:link w:val="Asuntodelcomentario"/>
    <w:uiPriority w:val="99"/>
    <w:semiHidden/>
    <w:rsid w:val="00965912"/>
    <w:rPr>
      <w:rFonts w:ascii="Arial Narrow" w:hAnsi="Arial Narrow" w:cs="Times New Roman"/>
      <w:b/>
      <w:bCs/>
      <w:sz w:val="20"/>
      <w:szCs w:val="20"/>
      <w:lang w:eastAsia="es-CO"/>
    </w:rPr>
  </w:style>
  <w:style w:type="paragraph" w:styleId="NormalWeb">
    <w:name w:val="Normal (Web)"/>
    <w:basedOn w:val="Normal"/>
    <w:uiPriority w:val="99"/>
    <w:unhideWhenUsed/>
    <w:rsid w:val="00C03438"/>
    <w:pPr>
      <w:spacing w:before="100" w:beforeAutospacing="1" w:after="100" w:afterAutospacing="1"/>
      <w:jc w:val="left"/>
    </w:pPr>
    <w:rPr>
      <w:rFonts w:ascii="Times New Roman" w:eastAsia="Times New Roman" w:hAnsi="Times New Roman"/>
    </w:rPr>
  </w:style>
  <w:style w:type="paragraph" w:styleId="Ttulo">
    <w:name w:val="Title"/>
    <w:basedOn w:val="Normal"/>
    <w:link w:val="TtuloCar"/>
    <w:uiPriority w:val="10"/>
    <w:qFormat/>
    <w:rsid w:val="00594F26"/>
    <w:pPr>
      <w:jc w:val="center"/>
    </w:pPr>
    <w:rPr>
      <w:rFonts w:ascii="Arial" w:eastAsia="Times New Roman" w:hAnsi="Arial" w:cs="Arial"/>
      <w:szCs w:val="20"/>
      <w:lang w:val="es-MX" w:eastAsia="es-ES"/>
    </w:rPr>
  </w:style>
  <w:style w:type="character" w:customStyle="1" w:styleId="TtuloCar">
    <w:name w:val="Título Car"/>
    <w:basedOn w:val="Fuentedeprrafopredeter"/>
    <w:link w:val="Ttulo"/>
    <w:uiPriority w:val="10"/>
    <w:rsid w:val="00594F26"/>
    <w:rPr>
      <w:rFonts w:ascii="Arial" w:eastAsia="Times New Roman" w:hAnsi="Arial" w:cs="Arial"/>
      <w:sz w:val="24"/>
      <w:szCs w:val="20"/>
      <w:lang w:val="es-MX" w:eastAsia="es-ES"/>
    </w:rPr>
  </w:style>
  <w:style w:type="paragraph" w:styleId="TtuloTDC">
    <w:name w:val="TOC Heading"/>
    <w:basedOn w:val="Ttulo1"/>
    <w:next w:val="Normal"/>
    <w:uiPriority w:val="39"/>
    <w:unhideWhenUsed/>
    <w:qFormat/>
    <w:rsid w:val="00C44CED"/>
    <w:pPr>
      <w:numPr>
        <w:numId w:val="0"/>
      </w:numPr>
      <w:spacing w:line="276" w:lineRule="auto"/>
      <w:jc w:val="left"/>
      <w:outlineLvl w:val="9"/>
    </w:pPr>
    <w:rPr>
      <w:rFonts w:asciiTheme="majorHAnsi" w:hAnsiTheme="majorHAnsi"/>
      <w:color w:val="365F91" w:themeColor="accent1" w:themeShade="BF"/>
      <w:sz w:val="28"/>
      <w:lang w:val="es-ES" w:eastAsia="en-US"/>
    </w:rPr>
  </w:style>
  <w:style w:type="paragraph" w:customStyle="1" w:styleId="Default">
    <w:name w:val="Default"/>
    <w:rsid w:val="00CB2965"/>
    <w:pPr>
      <w:autoSpaceDE w:val="0"/>
      <w:autoSpaceDN w:val="0"/>
      <w:adjustRightInd w:val="0"/>
      <w:spacing w:after="0" w:line="240" w:lineRule="auto"/>
    </w:pPr>
    <w:rPr>
      <w:rFonts w:ascii="Arial" w:eastAsia="Times New Roman" w:hAnsi="Arial" w:cs="Arial"/>
      <w:color w:val="000000"/>
      <w:sz w:val="24"/>
      <w:szCs w:val="24"/>
    </w:rPr>
  </w:style>
  <w:style w:type="paragraph" w:styleId="Sinespaciado">
    <w:name w:val="No Spacing"/>
    <w:uiPriority w:val="1"/>
    <w:qFormat/>
    <w:rsid w:val="00082011"/>
    <w:pPr>
      <w:spacing w:after="0" w:line="240" w:lineRule="auto"/>
      <w:jc w:val="both"/>
    </w:pPr>
    <w:rPr>
      <w:rFonts w:ascii="Arial Narrow" w:hAnsi="Arial Narrow" w:cs="Times New Roman"/>
      <w:sz w:val="24"/>
      <w:szCs w:val="24"/>
      <w:lang w:eastAsia="es-CO"/>
    </w:rPr>
  </w:style>
  <w:style w:type="character" w:styleId="nfasis">
    <w:name w:val="Emphasis"/>
    <w:basedOn w:val="Fuentedeprrafopredeter"/>
    <w:uiPriority w:val="20"/>
    <w:qFormat/>
    <w:rsid w:val="006B7025"/>
    <w:rPr>
      <w:i/>
      <w:iCs/>
    </w:rPr>
  </w:style>
  <w:style w:type="character" w:styleId="nfasissutil">
    <w:name w:val="Subtle Emphasis"/>
    <w:basedOn w:val="Fuentedeprrafopredeter"/>
    <w:uiPriority w:val="19"/>
    <w:qFormat/>
    <w:rsid w:val="006B7025"/>
    <w:rPr>
      <w:i/>
      <w:iCs/>
      <w:color w:val="808080" w:themeColor="text1" w:themeTint="7F"/>
    </w:rPr>
  </w:style>
  <w:style w:type="character" w:styleId="Textoennegrita">
    <w:name w:val="Strong"/>
    <w:basedOn w:val="Fuentedeprrafopredeter"/>
    <w:uiPriority w:val="22"/>
    <w:qFormat/>
    <w:rsid w:val="006B7025"/>
    <w:rPr>
      <w:b/>
      <w:bCs/>
    </w:rPr>
  </w:style>
  <w:style w:type="character" w:customStyle="1" w:styleId="bigtitle1">
    <w:name w:val="bigtitle1"/>
    <w:basedOn w:val="Fuentedeprrafopredeter"/>
    <w:rsid w:val="00DD38FB"/>
    <w:rPr>
      <w:b/>
      <w:bCs/>
      <w:sz w:val="43"/>
      <w:szCs w:val="43"/>
    </w:rPr>
  </w:style>
  <w:style w:type="paragraph" w:styleId="Textoindependiente3">
    <w:name w:val="Body Text 3"/>
    <w:basedOn w:val="Normal"/>
    <w:link w:val="Textoindependiente3Car"/>
    <w:rsid w:val="00DD38FB"/>
    <w:rPr>
      <w:rFonts w:ascii="Times New Roman" w:eastAsia="Times New Roman" w:hAnsi="Times New Roman"/>
      <w:sz w:val="20"/>
      <w:szCs w:val="20"/>
      <w:lang w:eastAsia="en-US"/>
    </w:rPr>
  </w:style>
  <w:style w:type="character" w:customStyle="1" w:styleId="Textoindependiente3Car">
    <w:name w:val="Texto independiente 3 Car"/>
    <w:basedOn w:val="Fuentedeprrafopredeter"/>
    <w:link w:val="Textoindependiente3"/>
    <w:rsid w:val="00DD38FB"/>
    <w:rPr>
      <w:rFonts w:ascii="Times New Roman" w:eastAsia="Times New Roman" w:hAnsi="Times New Roman" w:cs="Times New Roman"/>
      <w:sz w:val="20"/>
      <w:szCs w:val="20"/>
    </w:rPr>
  </w:style>
  <w:style w:type="paragraph" w:styleId="Revisin">
    <w:name w:val="Revision"/>
    <w:hidden/>
    <w:uiPriority w:val="99"/>
    <w:semiHidden/>
    <w:rsid w:val="00DD38FB"/>
    <w:pPr>
      <w:spacing w:after="0" w:line="240" w:lineRule="auto"/>
    </w:pPr>
  </w:style>
  <w:style w:type="character" w:customStyle="1" w:styleId="Ttulo3Car">
    <w:name w:val="Título 3 Car"/>
    <w:basedOn w:val="Fuentedeprrafopredeter"/>
    <w:link w:val="Ttulo3"/>
    <w:uiPriority w:val="9"/>
    <w:rsid w:val="00D24976"/>
    <w:rPr>
      <w:rFonts w:ascii="Arial Narrow" w:eastAsiaTheme="majorEastAsia" w:hAnsi="Arial Narrow" w:cstheme="majorBidi"/>
      <w:b/>
      <w:sz w:val="24"/>
      <w:szCs w:val="24"/>
      <w:lang w:eastAsia="es-CO"/>
    </w:rPr>
  </w:style>
  <w:style w:type="character" w:customStyle="1" w:styleId="Ttulo4Car">
    <w:name w:val="Título 4 Car"/>
    <w:basedOn w:val="Fuentedeprrafopredeter"/>
    <w:link w:val="Ttulo4"/>
    <w:uiPriority w:val="9"/>
    <w:rsid w:val="00F247DA"/>
    <w:rPr>
      <w:rFonts w:ascii="Arial Narrow" w:eastAsiaTheme="majorEastAsia" w:hAnsi="Arial Narrow" w:cstheme="majorBidi"/>
      <w:b/>
      <w:bCs/>
      <w:color w:val="000000" w:themeColor="text1"/>
      <w:sz w:val="24"/>
      <w:szCs w:val="26"/>
      <w:lang w:eastAsia="es-CO"/>
    </w:rPr>
  </w:style>
  <w:style w:type="paragraph" w:styleId="TDC4">
    <w:name w:val="toc 4"/>
    <w:basedOn w:val="Normal"/>
    <w:next w:val="Normal"/>
    <w:autoRedefine/>
    <w:uiPriority w:val="39"/>
    <w:unhideWhenUsed/>
    <w:rsid w:val="001B36FA"/>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2603">
      <w:bodyDiv w:val="1"/>
      <w:marLeft w:val="0"/>
      <w:marRight w:val="0"/>
      <w:marTop w:val="0"/>
      <w:marBottom w:val="0"/>
      <w:divBdr>
        <w:top w:val="none" w:sz="0" w:space="0" w:color="auto"/>
        <w:left w:val="none" w:sz="0" w:space="0" w:color="auto"/>
        <w:bottom w:val="none" w:sz="0" w:space="0" w:color="auto"/>
        <w:right w:val="none" w:sz="0" w:space="0" w:color="auto"/>
      </w:divBdr>
    </w:div>
    <w:div w:id="44648002">
      <w:bodyDiv w:val="1"/>
      <w:marLeft w:val="0"/>
      <w:marRight w:val="0"/>
      <w:marTop w:val="0"/>
      <w:marBottom w:val="0"/>
      <w:divBdr>
        <w:top w:val="none" w:sz="0" w:space="0" w:color="auto"/>
        <w:left w:val="none" w:sz="0" w:space="0" w:color="auto"/>
        <w:bottom w:val="none" w:sz="0" w:space="0" w:color="auto"/>
        <w:right w:val="none" w:sz="0" w:space="0" w:color="auto"/>
      </w:divBdr>
    </w:div>
    <w:div w:id="80761970">
      <w:bodyDiv w:val="1"/>
      <w:marLeft w:val="0"/>
      <w:marRight w:val="0"/>
      <w:marTop w:val="0"/>
      <w:marBottom w:val="0"/>
      <w:divBdr>
        <w:top w:val="none" w:sz="0" w:space="0" w:color="auto"/>
        <w:left w:val="none" w:sz="0" w:space="0" w:color="auto"/>
        <w:bottom w:val="none" w:sz="0" w:space="0" w:color="auto"/>
        <w:right w:val="none" w:sz="0" w:space="0" w:color="auto"/>
      </w:divBdr>
    </w:div>
    <w:div w:id="250433355">
      <w:bodyDiv w:val="1"/>
      <w:marLeft w:val="0"/>
      <w:marRight w:val="0"/>
      <w:marTop w:val="0"/>
      <w:marBottom w:val="0"/>
      <w:divBdr>
        <w:top w:val="none" w:sz="0" w:space="0" w:color="auto"/>
        <w:left w:val="none" w:sz="0" w:space="0" w:color="auto"/>
        <w:bottom w:val="none" w:sz="0" w:space="0" w:color="auto"/>
        <w:right w:val="none" w:sz="0" w:space="0" w:color="auto"/>
      </w:divBdr>
    </w:div>
    <w:div w:id="324433979">
      <w:bodyDiv w:val="1"/>
      <w:marLeft w:val="0"/>
      <w:marRight w:val="0"/>
      <w:marTop w:val="0"/>
      <w:marBottom w:val="0"/>
      <w:divBdr>
        <w:top w:val="none" w:sz="0" w:space="0" w:color="auto"/>
        <w:left w:val="none" w:sz="0" w:space="0" w:color="auto"/>
        <w:bottom w:val="none" w:sz="0" w:space="0" w:color="auto"/>
        <w:right w:val="none" w:sz="0" w:space="0" w:color="auto"/>
      </w:divBdr>
    </w:div>
    <w:div w:id="411582314">
      <w:bodyDiv w:val="1"/>
      <w:marLeft w:val="0"/>
      <w:marRight w:val="0"/>
      <w:marTop w:val="0"/>
      <w:marBottom w:val="0"/>
      <w:divBdr>
        <w:top w:val="none" w:sz="0" w:space="0" w:color="auto"/>
        <w:left w:val="none" w:sz="0" w:space="0" w:color="auto"/>
        <w:bottom w:val="none" w:sz="0" w:space="0" w:color="auto"/>
        <w:right w:val="none" w:sz="0" w:space="0" w:color="auto"/>
      </w:divBdr>
    </w:div>
    <w:div w:id="524445004">
      <w:bodyDiv w:val="1"/>
      <w:marLeft w:val="0"/>
      <w:marRight w:val="0"/>
      <w:marTop w:val="0"/>
      <w:marBottom w:val="0"/>
      <w:divBdr>
        <w:top w:val="none" w:sz="0" w:space="0" w:color="auto"/>
        <w:left w:val="none" w:sz="0" w:space="0" w:color="auto"/>
        <w:bottom w:val="none" w:sz="0" w:space="0" w:color="auto"/>
        <w:right w:val="none" w:sz="0" w:space="0" w:color="auto"/>
      </w:divBdr>
    </w:div>
    <w:div w:id="628049480">
      <w:bodyDiv w:val="1"/>
      <w:marLeft w:val="0"/>
      <w:marRight w:val="0"/>
      <w:marTop w:val="0"/>
      <w:marBottom w:val="0"/>
      <w:divBdr>
        <w:top w:val="none" w:sz="0" w:space="0" w:color="auto"/>
        <w:left w:val="none" w:sz="0" w:space="0" w:color="auto"/>
        <w:bottom w:val="none" w:sz="0" w:space="0" w:color="auto"/>
        <w:right w:val="none" w:sz="0" w:space="0" w:color="auto"/>
      </w:divBdr>
    </w:div>
    <w:div w:id="905259406">
      <w:bodyDiv w:val="1"/>
      <w:marLeft w:val="0"/>
      <w:marRight w:val="0"/>
      <w:marTop w:val="0"/>
      <w:marBottom w:val="0"/>
      <w:divBdr>
        <w:top w:val="none" w:sz="0" w:space="0" w:color="auto"/>
        <w:left w:val="none" w:sz="0" w:space="0" w:color="auto"/>
        <w:bottom w:val="none" w:sz="0" w:space="0" w:color="auto"/>
        <w:right w:val="none" w:sz="0" w:space="0" w:color="auto"/>
      </w:divBdr>
    </w:div>
    <w:div w:id="1012686413">
      <w:bodyDiv w:val="1"/>
      <w:marLeft w:val="0"/>
      <w:marRight w:val="0"/>
      <w:marTop w:val="0"/>
      <w:marBottom w:val="0"/>
      <w:divBdr>
        <w:top w:val="none" w:sz="0" w:space="0" w:color="auto"/>
        <w:left w:val="none" w:sz="0" w:space="0" w:color="auto"/>
        <w:bottom w:val="none" w:sz="0" w:space="0" w:color="auto"/>
        <w:right w:val="none" w:sz="0" w:space="0" w:color="auto"/>
      </w:divBdr>
    </w:div>
    <w:div w:id="1061757171">
      <w:bodyDiv w:val="1"/>
      <w:marLeft w:val="0"/>
      <w:marRight w:val="0"/>
      <w:marTop w:val="0"/>
      <w:marBottom w:val="0"/>
      <w:divBdr>
        <w:top w:val="none" w:sz="0" w:space="0" w:color="auto"/>
        <w:left w:val="none" w:sz="0" w:space="0" w:color="auto"/>
        <w:bottom w:val="none" w:sz="0" w:space="0" w:color="auto"/>
        <w:right w:val="none" w:sz="0" w:space="0" w:color="auto"/>
      </w:divBdr>
    </w:div>
    <w:div w:id="1093480377">
      <w:bodyDiv w:val="1"/>
      <w:marLeft w:val="0"/>
      <w:marRight w:val="0"/>
      <w:marTop w:val="0"/>
      <w:marBottom w:val="0"/>
      <w:divBdr>
        <w:top w:val="none" w:sz="0" w:space="0" w:color="auto"/>
        <w:left w:val="none" w:sz="0" w:space="0" w:color="auto"/>
        <w:bottom w:val="none" w:sz="0" w:space="0" w:color="auto"/>
        <w:right w:val="none" w:sz="0" w:space="0" w:color="auto"/>
      </w:divBdr>
    </w:div>
    <w:div w:id="1101225784">
      <w:bodyDiv w:val="1"/>
      <w:marLeft w:val="0"/>
      <w:marRight w:val="0"/>
      <w:marTop w:val="0"/>
      <w:marBottom w:val="0"/>
      <w:divBdr>
        <w:top w:val="none" w:sz="0" w:space="0" w:color="auto"/>
        <w:left w:val="none" w:sz="0" w:space="0" w:color="auto"/>
        <w:bottom w:val="none" w:sz="0" w:space="0" w:color="auto"/>
        <w:right w:val="none" w:sz="0" w:space="0" w:color="auto"/>
      </w:divBdr>
    </w:div>
    <w:div w:id="1103912961">
      <w:bodyDiv w:val="1"/>
      <w:marLeft w:val="0"/>
      <w:marRight w:val="0"/>
      <w:marTop w:val="0"/>
      <w:marBottom w:val="0"/>
      <w:divBdr>
        <w:top w:val="none" w:sz="0" w:space="0" w:color="auto"/>
        <w:left w:val="none" w:sz="0" w:space="0" w:color="auto"/>
        <w:bottom w:val="none" w:sz="0" w:space="0" w:color="auto"/>
        <w:right w:val="none" w:sz="0" w:space="0" w:color="auto"/>
      </w:divBdr>
    </w:div>
    <w:div w:id="1114833334">
      <w:bodyDiv w:val="1"/>
      <w:marLeft w:val="0"/>
      <w:marRight w:val="0"/>
      <w:marTop w:val="0"/>
      <w:marBottom w:val="0"/>
      <w:divBdr>
        <w:top w:val="none" w:sz="0" w:space="0" w:color="auto"/>
        <w:left w:val="none" w:sz="0" w:space="0" w:color="auto"/>
        <w:bottom w:val="none" w:sz="0" w:space="0" w:color="auto"/>
        <w:right w:val="none" w:sz="0" w:space="0" w:color="auto"/>
      </w:divBdr>
    </w:div>
    <w:div w:id="1150515010">
      <w:bodyDiv w:val="1"/>
      <w:marLeft w:val="0"/>
      <w:marRight w:val="0"/>
      <w:marTop w:val="0"/>
      <w:marBottom w:val="0"/>
      <w:divBdr>
        <w:top w:val="none" w:sz="0" w:space="0" w:color="auto"/>
        <w:left w:val="none" w:sz="0" w:space="0" w:color="auto"/>
        <w:bottom w:val="none" w:sz="0" w:space="0" w:color="auto"/>
        <w:right w:val="none" w:sz="0" w:space="0" w:color="auto"/>
      </w:divBdr>
    </w:div>
    <w:div w:id="1191605901">
      <w:bodyDiv w:val="1"/>
      <w:marLeft w:val="0"/>
      <w:marRight w:val="0"/>
      <w:marTop w:val="0"/>
      <w:marBottom w:val="0"/>
      <w:divBdr>
        <w:top w:val="none" w:sz="0" w:space="0" w:color="auto"/>
        <w:left w:val="none" w:sz="0" w:space="0" w:color="auto"/>
        <w:bottom w:val="none" w:sz="0" w:space="0" w:color="auto"/>
        <w:right w:val="none" w:sz="0" w:space="0" w:color="auto"/>
      </w:divBdr>
    </w:div>
    <w:div w:id="1322539225">
      <w:bodyDiv w:val="1"/>
      <w:marLeft w:val="0"/>
      <w:marRight w:val="0"/>
      <w:marTop w:val="0"/>
      <w:marBottom w:val="0"/>
      <w:divBdr>
        <w:top w:val="none" w:sz="0" w:space="0" w:color="auto"/>
        <w:left w:val="none" w:sz="0" w:space="0" w:color="auto"/>
        <w:bottom w:val="none" w:sz="0" w:space="0" w:color="auto"/>
        <w:right w:val="none" w:sz="0" w:space="0" w:color="auto"/>
      </w:divBdr>
    </w:div>
    <w:div w:id="1470440995">
      <w:bodyDiv w:val="1"/>
      <w:marLeft w:val="0"/>
      <w:marRight w:val="0"/>
      <w:marTop w:val="0"/>
      <w:marBottom w:val="0"/>
      <w:divBdr>
        <w:top w:val="none" w:sz="0" w:space="0" w:color="auto"/>
        <w:left w:val="none" w:sz="0" w:space="0" w:color="auto"/>
        <w:bottom w:val="none" w:sz="0" w:space="0" w:color="auto"/>
        <w:right w:val="none" w:sz="0" w:space="0" w:color="auto"/>
      </w:divBdr>
    </w:div>
    <w:div w:id="1491406593">
      <w:bodyDiv w:val="1"/>
      <w:marLeft w:val="0"/>
      <w:marRight w:val="0"/>
      <w:marTop w:val="0"/>
      <w:marBottom w:val="0"/>
      <w:divBdr>
        <w:top w:val="none" w:sz="0" w:space="0" w:color="auto"/>
        <w:left w:val="none" w:sz="0" w:space="0" w:color="auto"/>
        <w:bottom w:val="none" w:sz="0" w:space="0" w:color="auto"/>
        <w:right w:val="none" w:sz="0" w:space="0" w:color="auto"/>
      </w:divBdr>
    </w:div>
    <w:div w:id="1526748744">
      <w:bodyDiv w:val="1"/>
      <w:marLeft w:val="0"/>
      <w:marRight w:val="0"/>
      <w:marTop w:val="0"/>
      <w:marBottom w:val="0"/>
      <w:divBdr>
        <w:top w:val="none" w:sz="0" w:space="0" w:color="auto"/>
        <w:left w:val="none" w:sz="0" w:space="0" w:color="auto"/>
        <w:bottom w:val="none" w:sz="0" w:space="0" w:color="auto"/>
        <w:right w:val="none" w:sz="0" w:space="0" w:color="auto"/>
      </w:divBdr>
    </w:div>
    <w:div w:id="1529416754">
      <w:bodyDiv w:val="1"/>
      <w:marLeft w:val="0"/>
      <w:marRight w:val="0"/>
      <w:marTop w:val="0"/>
      <w:marBottom w:val="0"/>
      <w:divBdr>
        <w:top w:val="none" w:sz="0" w:space="0" w:color="auto"/>
        <w:left w:val="none" w:sz="0" w:space="0" w:color="auto"/>
        <w:bottom w:val="none" w:sz="0" w:space="0" w:color="auto"/>
        <w:right w:val="none" w:sz="0" w:space="0" w:color="auto"/>
      </w:divBdr>
    </w:div>
    <w:div w:id="1578129492">
      <w:bodyDiv w:val="1"/>
      <w:marLeft w:val="0"/>
      <w:marRight w:val="0"/>
      <w:marTop w:val="0"/>
      <w:marBottom w:val="0"/>
      <w:divBdr>
        <w:top w:val="none" w:sz="0" w:space="0" w:color="auto"/>
        <w:left w:val="none" w:sz="0" w:space="0" w:color="auto"/>
        <w:bottom w:val="none" w:sz="0" w:space="0" w:color="auto"/>
        <w:right w:val="none" w:sz="0" w:space="0" w:color="auto"/>
      </w:divBdr>
    </w:div>
    <w:div w:id="1639455283">
      <w:bodyDiv w:val="1"/>
      <w:marLeft w:val="0"/>
      <w:marRight w:val="0"/>
      <w:marTop w:val="0"/>
      <w:marBottom w:val="0"/>
      <w:divBdr>
        <w:top w:val="none" w:sz="0" w:space="0" w:color="auto"/>
        <w:left w:val="none" w:sz="0" w:space="0" w:color="auto"/>
        <w:bottom w:val="none" w:sz="0" w:space="0" w:color="auto"/>
        <w:right w:val="none" w:sz="0" w:space="0" w:color="auto"/>
      </w:divBdr>
    </w:div>
    <w:div w:id="1798639268">
      <w:bodyDiv w:val="1"/>
      <w:marLeft w:val="0"/>
      <w:marRight w:val="0"/>
      <w:marTop w:val="0"/>
      <w:marBottom w:val="0"/>
      <w:divBdr>
        <w:top w:val="none" w:sz="0" w:space="0" w:color="auto"/>
        <w:left w:val="none" w:sz="0" w:space="0" w:color="auto"/>
        <w:bottom w:val="none" w:sz="0" w:space="0" w:color="auto"/>
        <w:right w:val="none" w:sz="0" w:space="0" w:color="auto"/>
      </w:divBdr>
    </w:div>
    <w:div w:id="1802108974">
      <w:bodyDiv w:val="1"/>
      <w:marLeft w:val="0"/>
      <w:marRight w:val="0"/>
      <w:marTop w:val="0"/>
      <w:marBottom w:val="0"/>
      <w:divBdr>
        <w:top w:val="none" w:sz="0" w:space="0" w:color="auto"/>
        <w:left w:val="none" w:sz="0" w:space="0" w:color="auto"/>
        <w:bottom w:val="none" w:sz="0" w:space="0" w:color="auto"/>
        <w:right w:val="none" w:sz="0" w:space="0" w:color="auto"/>
      </w:divBdr>
    </w:div>
    <w:div w:id="1815946962">
      <w:bodyDiv w:val="1"/>
      <w:marLeft w:val="0"/>
      <w:marRight w:val="0"/>
      <w:marTop w:val="0"/>
      <w:marBottom w:val="0"/>
      <w:divBdr>
        <w:top w:val="none" w:sz="0" w:space="0" w:color="auto"/>
        <w:left w:val="none" w:sz="0" w:space="0" w:color="auto"/>
        <w:bottom w:val="none" w:sz="0" w:space="0" w:color="auto"/>
        <w:right w:val="none" w:sz="0" w:space="0" w:color="auto"/>
      </w:divBdr>
    </w:div>
    <w:div w:id="1880122722">
      <w:bodyDiv w:val="1"/>
      <w:marLeft w:val="0"/>
      <w:marRight w:val="0"/>
      <w:marTop w:val="0"/>
      <w:marBottom w:val="0"/>
      <w:divBdr>
        <w:top w:val="none" w:sz="0" w:space="0" w:color="auto"/>
        <w:left w:val="none" w:sz="0" w:space="0" w:color="auto"/>
        <w:bottom w:val="none" w:sz="0" w:space="0" w:color="auto"/>
        <w:right w:val="none" w:sz="0" w:space="0" w:color="auto"/>
      </w:divBdr>
    </w:div>
    <w:div w:id="1883636203">
      <w:bodyDiv w:val="1"/>
      <w:marLeft w:val="0"/>
      <w:marRight w:val="0"/>
      <w:marTop w:val="0"/>
      <w:marBottom w:val="0"/>
      <w:divBdr>
        <w:top w:val="none" w:sz="0" w:space="0" w:color="auto"/>
        <w:left w:val="none" w:sz="0" w:space="0" w:color="auto"/>
        <w:bottom w:val="none" w:sz="0" w:space="0" w:color="auto"/>
        <w:right w:val="none" w:sz="0" w:space="0" w:color="auto"/>
      </w:divBdr>
    </w:div>
    <w:div w:id="2060014623">
      <w:bodyDiv w:val="1"/>
      <w:marLeft w:val="0"/>
      <w:marRight w:val="0"/>
      <w:marTop w:val="0"/>
      <w:marBottom w:val="0"/>
      <w:divBdr>
        <w:top w:val="none" w:sz="0" w:space="0" w:color="auto"/>
        <w:left w:val="none" w:sz="0" w:space="0" w:color="auto"/>
        <w:bottom w:val="none" w:sz="0" w:space="0" w:color="auto"/>
        <w:right w:val="none" w:sz="0" w:space="0" w:color="auto"/>
      </w:divBdr>
    </w:div>
    <w:div w:id="213891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image" Target="media/image1.png"/><Relationship Id="rId26" Type="http://schemas.openxmlformats.org/officeDocument/2006/relationships/image" Target="media/image4.emf"/><Relationship Id="rId3" Type="http://schemas.openxmlformats.org/officeDocument/2006/relationships/styles" Target="styles.xml"/><Relationship Id="rId21" Type="http://schemas.openxmlformats.org/officeDocument/2006/relationships/diagramQuickStyle" Target="diagrams/quickStyle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Layout" Target="diagrams/layout3.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2.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microsoft.com/office/2007/relationships/diagramDrawing" Target="diagrams/drawing3.xml"/><Relationship Id="rId28" Type="http://schemas.openxmlformats.org/officeDocument/2006/relationships/image" Target="media/image6.emf"/><Relationship Id="rId10" Type="http://schemas.openxmlformats.org/officeDocument/2006/relationships/diagramQuickStyle" Target="diagrams/quickStyle1.xml"/><Relationship Id="rId19" Type="http://schemas.openxmlformats.org/officeDocument/2006/relationships/diagramData" Target="diagrams/data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diagramColors" Target="diagrams/colors3.xml"/><Relationship Id="rId27" Type="http://schemas.openxmlformats.org/officeDocument/2006/relationships/image" Target="media/image5.emf"/><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741484-FDAC-49C3-B49D-7437F89D1421}" type="doc">
      <dgm:prSet loTypeId="urn:microsoft.com/office/officeart/2009/3/layout/HorizontalOrganizationChart" loCatId="hierarchy" qsTypeId="urn:microsoft.com/office/officeart/2005/8/quickstyle/simple1" qsCatId="simple" csTypeId="urn:microsoft.com/office/officeart/2005/8/colors/accent1_2" csCatId="accent1" phldr="1"/>
      <dgm:spPr/>
      <dgm:t>
        <a:bodyPr/>
        <a:lstStyle/>
        <a:p>
          <a:endParaRPr lang="es-ES"/>
        </a:p>
      </dgm:t>
    </dgm:pt>
    <dgm:pt modelId="{0150FC75-916E-4CBF-BC0C-4417E4F44A5A}">
      <dgm:prSet phldrT="[Texto]"/>
      <dgm:spPr/>
      <dgm:t>
        <a:bodyPr/>
        <a:lstStyle/>
        <a:p>
          <a:r>
            <a:rPr lang="es-ES" dirty="0" smtClean="0"/>
            <a:t>Dirección de Crédito Publico y Tesoro Nacional</a:t>
          </a:r>
          <a:endParaRPr lang="es-ES" dirty="0"/>
        </a:p>
      </dgm:t>
    </dgm:pt>
    <dgm:pt modelId="{94C52706-E144-4055-8446-76899D89F5E7}" type="parTrans" cxnId="{571207C8-68AA-454B-8001-985DF9116ECF}">
      <dgm:prSet/>
      <dgm:spPr/>
      <dgm:t>
        <a:bodyPr/>
        <a:lstStyle/>
        <a:p>
          <a:endParaRPr lang="es-ES"/>
        </a:p>
      </dgm:t>
    </dgm:pt>
    <dgm:pt modelId="{1E865523-D30F-43DF-AB1F-F66A328BDDE0}" type="sibTrans" cxnId="{571207C8-68AA-454B-8001-985DF9116ECF}">
      <dgm:prSet/>
      <dgm:spPr/>
      <dgm:t>
        <a:bodyPr/>
        <a:lstStyle/>
        <a:p>
          <a:endParaRPr lang="es-ES"/>
        </a:p>
      </dgm:t>
    </dgm:pt>
    <dgm:pt modelId="{50AE9901-FAA4-4C01-A658-00AEDBE0BF9C}" type="asst">
      <dgm:prSet phldrT="[Texto]"/>
      <dgm:spPr/>
      <dgm:t>
        <a:bodyPr/>
        <a:lstStyle/>
        <a:p>
          <a:r>
            <a:rPr lang="es-ES" dirty="0" smtClean="0"/>
            <a:t>Grupo de Asuntos Legales</a:t>
          </a:r>
          <a:endParaRPr lang="es-ES" dirty="0"/>
        </a:p>
      </dgm:t>
    </dgm:pt>
    <dgm:pt modelId="{5B9EC400-681E-4815-9FF6-BD9E56977BBB}" type="parTrans" cxnId="{8FDD0262-855A-4DEA-90E4-853F9E597123}">
      <dgm:prSet/>
      <dgm:spPr/>
      <dgm:t>
        <a:bodyPr/>
        <a:lstStyle/>
        <a:p>
          <a:endParaRPr lang="es-ES"/>
        </a:p>
      </dgm:t>
    </dgm:pt>
    <dgm:pt modelId="{C4F98EA2-6F82-48F7-BC9B-C54B6F836865}" type="sibTrans" cxnId="{8FDD0262-855A-4DEA-90E4-853F9E597123}">
      <dgm:prSet/>
      <dgm:spPr/>
      <dgm:t>
        <a:bodyPr/>
        <a:lstStyle/>
        <a:p>
          <a:endParaRPr lang="es-ES"/>
        </a:p>
      </dgm:t>
    </dgm:pt>
    <dgm:pt modelId="{11D12E2C-6395-4F2D-AF2A-73444B53736B}">
      <dgm:prSet phldrT="[Texto]"/>
      <dgm:spPr/>
      <dgm:t>
        <a:bodyPr/>
        <a:lstStyle/>
        <a:p>
          <a:r>
            <a:rPr lang="es-ES" dirty="0" smtClean="0"/>
            <a:t>Subdirección de Financiamiento Interno de la Nación</a:t>
          </a:r>
          <a:endParaRPr lang="es-ES" dirty="0"/>
        </a:p>
      </dgm:t>
    </dgm:pt>
    <dgm:pt modelId="{00207057-996B-4900-A68E-5BD89617D221}" type="parTrans" cxnId="{B3F0379E-2F79-49DC-B55B-E5FF565B22CA}">
      <dgm:prSet/>
      <dgm:spPr/>
      <dgm:t>
        <a:bodyPr/>
        <a:lstStyle/>
        <a:p>
          <a:endParaRPr lang="es-ES"/>
        </a:p>
      </dgm:t>
    </dgm:pt>
    <dgm:pt modelId="{9C183944-0E06-4854-970C-164B72C5E77D}" type="sibTrans" cxnId="{B3F0379E-2F79-49DC-B55B-E5FF565B22CA}">
      <dgm:prSet/>
      <dgm:spPr/>
      <dgm:t>
        <a:bodyPr/>
        <a:lstStyle/>
        <a:p>
          <a:endParaRPr lang="es-ES"/>
        </a:p>
      </dgm:t>
    </dgm:pt>
    <dgm:pt modelId="{8DA4A4D0-1ABF-4CA7-A492-C434CFB3DA02}">
      <dgm:prSet phldrT="[Texto]"/>
      <dgm:spPr/>
      <dgm:t>
        <a:bodyPr/>
        <a:lstStyle/>
        <a:p>
          <a:r>
            <a:rPr lang="es-ES" dirty="0" smtClean="0"/>
            <a:t>Subdirección de Tesorería</a:t>
          </a:r>
          <a:endParaRPr lang="es-ES" dirty="0"/>
        </a:p>
      </dgm:t>
    </dgm:pt>
    <dgm:pt modelId="{B5F99398-FFC3-41F6-A73B-406CE7341DA6}" type="parTrans" cxnId="{EB7F9A46-9BB5-4066-B147-73FF53888212}">
      <dgm:prSet/>
      <dgm:spPr/>
      <dgm:t>
        <a:bodyPr/>
        <a:lstStyle/>
        <a:p>
          <a:endParaRPr lang="es-ES"/>
        </a:p>
      </dgm:t>
    </dgm:pt>
    <dgm:pt modelId="{C279D643-C343-4596-AEE0-DDD2F830F0F3}" type="sibTrans" cxnId="{EB7F9A46-9BB5-4066-B147-73FF53888212}">
      <dgm:prSet/>
      <dgm:spPr/>
      <dgm:t>
        <a:bodyPr/>
        <a:lstStyle/>
        <a:p>
          <a:endParaRPr lang="es-ES"/>
        </a:p>
      </dgm:t>
    </dgm:pt>
    <dgm:pt modelId="{C3BE351D-70AD-473D-B986-269022F3B594}">
      <dgm:prSet phldrT="[Texto]"/>
      <dgm:spPr/>
      <dgm:t>
        <a:bodyPr/>
        <a:lstStyle/>
        <a:p>
          <a:r>
            <a:rPr lang="es-ES" dirty="0" smtClean="0"/>
            <a:t>Subdirección de Financiamiento Externo de la Nación</a:t>
          </a:r>
          <a:endParaRPr lang="es-ES" dirty="0"/>
        </a:p>
      </dgm:t>
    </dgm:pt>
    <dgm:pt modelId="{25777104-3CE9-491A-9012-6FE04D7CBF67}" type="parTrans" cxnId="{C76B92C0-5CDB-4F74-A889-8C6613C697EF}">
      <dgm:prSet/>
      <dgm:spPr/>
      <dgm:t>
        <a:bodyPr/>
        <a:lstStyle/>
        <a:p>
          <a:endParaRPr lang="es-ES"/>
        </a:p>
      </dgm:t>
    </dgm:pt>
    <dgm:pt modelId="{293E36B9-57F7-41F0-902C-6A316123B241}" type="sibTrans" cxnId="{C76B92C0-5CDB-4F74-A889-8C6613C697EF}">
      <dgm:prSet/>
      <dgm:spPr/>
      <dgm:t>
        <a:bodyPr/>
        <a:lstStyle/>
        <a:p>
          <a:endParaRPr lang="es-ES"/>
        </a:p>
      </dgm:t>
    </dgm:pt>
    <dgm:pt modelId="{C2F9876D-DC07-4A7D-A187-712E71CADEFE}">
      <dgm:prSet phldrT="[Texto]"/>
      <dgm:spPr/>
      <dgm:t>
        <a:bodyPr/>
        <a:lstStyle/>
        <a:p>
          <a:r>
            <a:rPr lang="es-ES" dirty="0" smtClean="0"/>
            <a:t>Subdirección de Financiamiento de Otras Entidades, Seguimiento Saneamiento y Cartera.</a:t>
          </a:r>
          <a:endParaRPr lang="es-ES" dirty="0"/>
        </a:p>
      </dgm:t>
    </dgm:pt>
    <dgm:pt modelId="{8C411D13-472B-4538-A101-4233DF60E04F}" type="parTrans" cxnId="{DA3CD70C-4542-49E7-B453-378D52B20791}">
      <dgm:prSet/>
      <dgm:spPr/>
      <dgm:t>
        <a:bodyPr/>
        <a:lstStyle/>
        <a:p>
          <a:endParaRPr lang="es-ES"/>
        </a:p>
      </dgm:t>
    </dgm:pt>
    <dgm:pt modelId="{7C954110-E157-4C39-8978-DA2F236034D4}" type="sibTrans" cxnId="{DA3CD70C-4542-49E7-B453-378D52B20791}">
      <dgm:prSet/>
      <dgm:spPr/>
      <dgm:t>
        <a:bodyPr/>
        <a:lstStyle/>
        <a:p>
          <a:endParaRPr lang="es-ES"/>
        </a:p>
      </dgm:t>
    </dgm:pt>
    <dgm:pt modelId="{51852D51-3089-4EB5-8728-D2253EC87081}">
      <dgm:prSet phldrT="[Texto]"/>
      <dgm:spPr/>
      <dgm:t>
        <a:bodyPr/>
        <a:lstStyle/>
        <a:p>
          <a:r>
            <a:rPr lang="es-ES" dirty="0" smtClean="0"/>
            <a:t>Subdirección de Financiamiento con Organismos Multilaterales y Gobiernos</a:t>
          </a:r>
          <a:endParaRPr lang="es-ES" dirty="0"/>
        </a:p>
      </dgm:t>
    </dgm:pt>
    <dgm:pt modelId="{42EA9671-E1CA-4E39-A228-BF6DEDE6CBD6}" type="parTrans" cxnId="{7F95BCE8-232E-4EA8-89DE-BED1FDEC76C3}">
      <dgm:prSet/>
      <dgm:spPr/>
      <dgm:t>
        <a:bodyPr/>
        <a:lstStyle/>
        <a:p>
          <a:endParaRPr lang="es-ES"/>
        </a:p>
      </dgm:t>
    </dgm:pt>
    <dgm:pt modelId="{378AE8B8-6471-4281-8BBC-E04F73D7F9B0}" type="sibTrans" cxnId="{7F95BCE8-232E-4EA8-89DE-BED1FDEC76C3}">
      <dgm:prSet/>
      <dgm:spPr/>
      <dgm:t>
        <a:bodyPr/>
        <a:lstStyle/>
        <a:p>
          <a:endParaRPr lang="es-ES"/>
        </a:p>
      </dgm:t>
    </dgm:pt>
    <dgm:pt modelId="{3F7B4609-1259-4CB7-938B-788C14096565}">
      <dgm:prSet phldrT="[Texto]"/>
      <dgm:spPr/>
      <dgm:t>
        <a:bodyPr/>
        <a:lstStyle/>
        <a:p>
          <a:r>
            <a:rPr lang="es-ES" dirty="0" smtClean="0"/>
            <a:t>Subdirección de Asociaciones Publico Privadas</a:t>
          </a:r>
          <a:endParaRPr lang="es-ES" dirty="0"/>
        </a:p>
      </dgm:t>
    </dgm:pt>
    <dgm:pt modelId="{8B9F7D33-3E9C-4AEF-AF3D-1DF5B28014BB}" type="parTrans" cxnId="{2F223BEA-41C0-48A3-80EE-8722A32573A8}">
      <dgm:prSet/>
      <dgm:spPr/>
      <dgm:t>
        <a:bodyPr/>
        <a:lstStyle/>
        <a:p>
          <a:endParaRPr lang="es-ES"/>
        </a:p>
      </dgm:t>
    </dgm:pt>
    <dgm:pt modelId="{7656F832-3DA0-4609-9145-950F428EEE1B}" type="sibTrans" cxnId="{2F223BEA-41C0-48A3-80EE-8722A32573A8}">
      <dgm:prSet/>
      <dgm:spPr/>
      <dgm:t>
        <a:bodyPr/>
        <a:lstStyle/>
        <a:p>
          <a:endParaRPr lang="es-ES"/>
        </a:p>
      </dgm:t>
    </dgm:pt>
    <dgm:pt modelId="{EEE5AD3A-2310-4252-AEBA-B59936E2C5B5}">
      <dgm:prSet phldrT="[Texto]"/>
      <dgm:spPr/>
      <dgm:t>
        <a:bodyPr/>
        <a:lstStyle/>
        <a:p>
          <a:r>
            <a:rPr lang="es-ES" dirty="0" smtClean="0"/>
            <a:t>Subdirección de Operaciones</a:t>
          </a:r>
          <a:endParaRPr lang="es-ES" dirty="0"/>
        </a:p>
      </dgm:t>
    </dgm:pt>
    <dgm:pt modelId="{EB87E498-0314-4AA5-8C94-E2044F98E727}" type="parTrans" cxnId="{1A1E3528-0CF8-49BB-88A0-30337E8A6CD6}">
      <dgm:prSet/>
      <dgm:spPr/>
      <dgm:t>
        <a:bodyPr/>
        <a:lstStyle/>
        <a:p>
          <a:endParaRPr lang="es-ES"/>
        </a:p>
      </dgm:t>
    </dgm:pt>
    <dgm:pt modelId="{AE5974DD-9F0A-4F5F-A407-6CF055949BF8}" type="sibTrans" cxnId="{1A1E3528-0CF8-49BB-88A0-30337E8A6CD6}">
      <dgm:prSet/>
      <dgm:spPr/>
      <dgm:t>
        <a:bodyPr/>
        <a:lstStyle/>
        <a:p>
          <a:endParaRPr lang="es-ES"/>
        </a:p>
      </dgm:t>
    </dgm:pt>
    <dgm:pt modelId="{DA7BE96B-4CC3-4B95-8054-5DC8F396356E}">
      <dgm:prSet phldrT="[Texto]"/>
      <dgm:spPr/>
      <dgm:t>
        <a:bodyPr/>
        <a:lstStyle/>
        <a:p>
          <a:r>
            <a:rPr lang="es-ES" dirty="0" smtClean="0"/>
            <a:t>Subdirección de Riesgo</a:t>
          </a:r>
          <a:endParaRPr lang="es-ES" dirty="0"/>
        </a:p>
      </dgm:t>
    </dgm:pt>
    <dgm:pt modelId="{1D89EC40-89B9-46DC-97B6-864B2A83134D}" type="parTrans" cxnId="{3455FBAD-6536-4B14-97A2-297B6B3C8A9B}">
      <dgm:prSet/>
      <dgm:spPr/>
      <dgm:t>
        <a:bodyPr/>
        <a:lstStyle/>
        <a:p>
          <a:endParaRPr lang="es-ES"/>
        </a:p>
      </dgm:t>
    </dgm:pt>
    <dgm:pt modelId="{7472FFC2-18D3-4985-9E2D-E950B795FCFD}" type="sibTrans" cxnId="{3455FBAD-6536-4B14-97A2-297B6B3C8A9B}">
      <dgm:prSet/>
      <dgm:spPr/>
      <dgm:t>
        <a:bodyPr/>
        <a:lstStyle/>
        <a:p>
          <a:endParaRPr lang="es-ES"/>
        </a:p>
      </dgm:t>
    </dgm:pt>
    <dgm:pt modelId="{44366D95-9974-464F-805E-CF4DD61BD780}" type="pres">
      <dgm:prSet presAssocID="{6B741484-FDAC-49C3-B49D-7437F89D1421}" presName="hierChild1" presStyleCnt="0">
        <dgm:presLayoutVars>
          <dgm:orgChart val="1"/>
          <dgm:chPref val="1"/>
          <dgm:dir/>
          <dgm:animOne val="branch"/>
          <dgm:animLvl val="lvl"/>
          <dgm:resizeHandles/>
        </dgm:presLayoutVars>
      </dgm:prSet>
      <dgm:spPr/>
      <dgm:t>
        <a:bodyPr/>
        <a:lstStyle/>
        <a:p>
          <a:endParaRPr lang="es-ES"/>
        </a:p>
      </dgm:t>
    </dgm:pt>
    <dgm:pt modelId="{9C2AE9E3-97FA-496C-BD68-84020977804B}" type="pres">
      <dgm:prSet presAssocID="{0150FC75-916E-4CBF-BC0C-4417E4F44A5A}" presName="hierRoot1" presStyleCnt="0">
        <dgm:presLayoutVars>
          <dgm:hierBranch val="init"/>
        </dgm:presLayoutVars>
      </dgm:prSet>
      <dgm:spPr/>
    </dgm:pt>
    <dgm:pt modelId="{4F8D57E4-6F53-4521-B9D5-A0EB24F5C25A}" type="pres">
      <dgm:prSet presAssocID="{0150FC75-916E-4CBF-BC0C-4417E4F44A5A}" presName="rootComposite1" presStyleCnt="0"/>
      <dgm:spPr/>
    </dgm:pt>
    <dgm:pt modelId="{AC0D94B6-78FD-49A4-B914-B00C9AC18057}" type="pres">
      <dgm:prSet presAssocID="{0150FC75-916E-4CBF-BC0C-4417E4F44A5A}" presName="rootText1" presStyleLbl="node0" presStyleIdx="0" presStyleCnt="1">
        <dgm:presLayoutVars>
          <dgm:chPref val="3"/>
        </dgm:presLayoutVars>
      </dgm:prSet>
      <dgm:spPr/>
      <dgm:t>
        <a:bodyPr/>
        <a:lstStyle/>
        <a:p>
          <a:endParaRPr lang="es-ES"/>
        </a:p>
      </dgm:t>
    </dgm:pt>
    <dgm:pt modelId="{68B66424-EB53-4FD5-B47C-B3D426CC356C}" type="pres">
      <dgm:prSet presAssocID="{0150FC75-916E-4CBF-BC0C-4417E4F44A5A}" presName="rootConnector1" presStyleLbl="node1" presStyleIdx="0" presStyleCnt="0"/>
      <dgm:spPr/>
      <dgm:t>
        <a:bodyPr/>
        <a:lstStyle/>
        <a:p>
          <a:endParaRPr lang="es-ES"/>
        </a:p>
      </dgm:t>
    </dgm:pt>
    <dgm:pt modelId="{DF9E8412-9595-44BA-9813-DC16886A8F76}" type="pres">
      <dgm:prSet presAssocID="{0150FC75-916E-4CBF-BC0C-4417E4F44A5A}" presName="hierChild2" presStyleCnt="0"/>
      <dgm:spPr/>
    </dgm:pt>
    <dgm:pt modelId="{82BFA320-4210-4D2E-926F-B5374CC3153A}" type="pres">
      <dgm:prSet presAssocID="{00207057-996B-4900-A68E-5BD89617D221}" presName="Name64" presStyleLbl="parChTrans1D2" presStyleIdx="0" presStyleCnt="9"/>
      <dgm:spPr/>
      <dgm:t>
        <a:bodyPr/>
        <a:lstStyle/>
        <a:p>
          <a:endParaRPr lang="es-ES"/>
        </a:p>
      </dgm:t>
    </dgm:pt>
    <dgm:pt modelId="{A33B5ED0-834E-4425-A737-321BEEAB279C}" type="pres">
      <dgm:prSet presAssocID="{11D12E2C-6395-4F2D-AF2A-73444B53736B}" presName="hierRoot2" presStyleCnt="0">
        <dgm:presLayoutVars>
          <dgm:hierBranch val="init"/>
        </dgm:presLayoutVars>
      </dgm:prSet>
      <dgm:spPr/>
    </dgm:pt>
    <dgm:pt modelId="{AAFC1A7E-386E-4019-86D5-FFB5E7D5B65B}" type="pres">
      <dgm:prSet presAssocID="{11D12E2C-6395-4F2D-AF2A-73444B53736B}" presName="rootComposite" presStyleCnt="0"/>
      <dgm:spPr/>
    </dgm:pt>
    <dgm:pt modelId="{EBE584FD-AD8A-4179-B707-3ADE66DA534B}" type="pres">
      <dgm:prSet presAssocID="{11D12E2C-6395-4F2D-AF2A-73444B53736B}" presName="rootText" presStyleLbl="node2" presStyleIdx="0" presStyleCnt="8">
        <dgm:presLayoutVars>
          <dgm:chPref val="3"/>
        </dgm:presLayoutVars>
      </dgm:prSet>
      <dgm:spPr/>
      <dgm:t>
        <a:bodyPr/>
        <a:lstStyle/>
        <a:p>
          <a:endParaRPr lang="es-ES"/>
        </a:p>
      </dgm:t>
    </dgm:pt>
    <dgm:pt modelId="{9BE82144-47F7-463A-B0A3-26118BC985EF}" type="pres">
      <dgm:prSet presAssocID="{11D12E2C-6395-4F2D-AF2A-73444B53736B}" presName="rootConnector" presStyleLbl="node2" presStyleIdx="0" presStyleCnt="8"/>
      <dgm:spPr/>
      <dgm:t>
        <a:bodyPr/>
        <a:lstStyle/>
        <a:p>
          <a:endParaRPr lang="es-ES"/>
        </a:p>
      </dgm:t>
    </dgm:pt>
    <dgm:pt modelId="{187E42A2-B17C-48BA-BBB4-D00FF7BBFAED}" type="pres">
      <dgm:prSet presAssocID="{11D12E2C-6395-4F2D-AF2A-73444B53736B}" presName="hierChild4" presStyleCnt="0"/>
      <dgm:spPr/>
    </dgm:pt>
    <dgm:pt modelId="{B0C1635A-A586-4D8D-A6D8-537A047FFEE7}" type="pres">
      <dgm:prSet presAssocID="{11D12E2C-6395-4F2D-AF2A-73444B53736B}" presName="hierChild5" presStyleCnt="0"/>
      <dgm:spPr/>
    </dgm:pt>
    <dgm:pt modelId="{D195A68C-BF3E-4FDC-B71D-5F013C75EA2C}" type="pres">
      <dgm:prSet presAssocID="{B5F99398-FFC3-41F6-A73B-406CE7341DA6}" presName="Name64" presStyleLbl="parChTrans1D2" presStyleIdx="1" presStyleCnt="9"/>
      <dgm:spPr/>
      <dgm:t>
        <a:bodyPr/>
        <a:lstStyle/>
        <a:p>
          <a:endParaRPr lang="es-ES"/>
        </a:p>
      </dgm:t>
    </dgm:pt>
    <dgm:pt modelId="{193F5C12-C7D7-4A7F-A1D9-ABC3B9E12EFF}" type="pres">
      <dgm:prSet presAssocID="{8DA4A4D0-1ABF-4CA7-A492-C434CFB3DA02}" presName="hierRoot2" presStyleCnt="0">
        <dgm:presLayoutVars>
          <dgm:hierBranch val="init"/>
        </dgm:presLayoutVars>
      </dgm:prSet>
      <dgm:spPr/>
    </dgm:pt>
    <dgm:pt modelId="{981D2FC8-E26B-43CE-A913-F6D1A205632A}" type="pres">
      <dgm:prSet presAssocID="{8DA4A4D0-1ABF-4CA7-A492-C434CFB3DA02}" presName="rootComposite" presStyleCnt="0"/>
      <dgm:spPr/>
    </dgm:pt>
    <dgm:pt modelId="{3E20C04A-75F6-4324-982E-12484631C914}" type="pres">
      <dgm:prSet presAssocID="{8DA4A4D0-1ABF-4CA7-A492-C434CFB3DA02}" presName="rootText" presStyleLbl="node2" presStyleIdx="1" presStyleCnt="8">
        <dgm:presLayoutVars>
          <dgm:chPref val="3"/>
        </dgm:presLayoutVars>
      </dgm:prSet>
      <dgm:spPr/>
      <dgm:t>
        <a:bodyPr/>
        <a:lstStyle/>
        <a:p>
          <a:endParaRPr lang="es-ES"/>
        </a:p>
      </dgm:t>
    </dgm:pt>
    <dgm:pt modelId="{CA450C1C-C0D5-457E-89E1-2885B050C527}" type="pres">
      <dgm:prSet presAssocID="{8DA4A4D0-1ABF-4CA7-A492-C434CFB3DA02}" presName="rootConnector" presStyleLbl="node2" presStyleIdx="1" presStyleCnt="8"/>
      <dgm:spPr/>
      <dgm:t>
        <a:bodyPr/>
        <a:lstStyle/>
        <a:p>
          <a:endParaRPr lang="es-ES"/>
        </a:p>
      </dgm:t>
    </dgm:pt>
    <dgm:pt modelId="{5116CA76-9BE2-4817-B166-BB1913C81565}" type="pres">
      <dgm:prSet presAssocID="{8DA4A4D0-1ABF-4CA7-A492-C434CFB3DA02}" presName="hierChild4" presStyleCnt="0"/>
      <dgm:spPr/>
    </dgm:pt>
    <dgm:pt modelId="{E10E7AA4-DC08-4F1C-8CF6-1839631C0F88}" type="pres">
      <dgm:prSet presAssocID="{8DA4A4D0-1ABF-4CA7-A492-C434CFB3DA02}" presName="hierChild5" presStyleCnt="0"/>
      <dgm:spPr/>
    </dgm:pt>
    <dgm:pt modelId="{249D029D-2B8C-4DDB-83DF-835BA5C40A6A}" type="pres">
      <dgm:prSet presAssocID="{25777104-3CE9-491A-9012-6FE04D7CBF67}" presName="Name64" presStyleLbl="parChTrans1D2" presStyleIdx="2" presStyleCnt="9"/>
      <dgm:spPr/>
      <dgm:t>
        <a:bodyPr/>
        <a:lstStyle/>
        <a:p>
          <a:endParaRPr lang="es-ES"/>
        </a:p>
      </dgm:t>
    </dgm:pt>
    <dgm:pt modelId="{4808CA87-ADC6-41A8-B875-074FCE271EB2}" type="pres">
      <dgm:prSet presAssocID="{C3BE351D-70AD-473D-B986-269022F3B594}" presName="hierRoot2" presStyleCnt="0">
        <dgm:presLayoutVars>
          <dgm:hierBranch val="init"/>
        </dgm:presLayoutVars>
      </dgm:prSet>
      <dgm:spPr/>
    </dgm:pt>
    <dgm:pt modelId="{B6EC5619-408B-469F-A5FD-C2427846EC3C}" type="pres">
      <dgm:prSet presAssocID="{C3BE351D-70AD-473D-B986-269022F3B594}" presName="rootComposite" presStyleCnt="0"/>
      <dgm:spPr/>
    </dgm:pt>
    <dgm:pt modelId="{6B9869F3-B770-4D08-905E-78678C298063}" type="pres">
      <dgm:prSet presAssocID="{C3BE351D-70AD-473D-B986-269022F3B594}" presName="rootText" presStyleLbl="node2" presStyleIdx="2" presStyleCnt="8">
        <dgm:presLayoutVars>
          <dgm:chPref val="3"/>
        </dgm:presLayoutVars>
      </dgm:prSet>
      <dgm:spPr/>
      <dgm:t>
        <a:bodyPr/>
        <a:lstStyle/>
        <a:p>
          <a:endParaRPr lang="es-ES"/>
        </a:p>
      </dgm:t>
    </dgm:pt>
    <dgm:pt modelId="{EEC02DE2-186B-4DF1-AC97-CF9140DCB636}" type="pres">
      <dgm:prSet presAssocID="{C3BE351D-70AD-473D-B986-269022F3B594}" presName="rootConnector" presStyleLbl="node2" presStyleIdx="2" presStyleCnt="8"/>
      <dgm:spPr/>
      <dgm:t>
        <a:bodyPr/>
        <a:lstStyle/>
        <a:p>
          <a:endParaRPr lang="es-ES"/>
        </a:p>
      </dgm:t>
    </dgm:pt>
    <dgm:pt modelId="{43572A8C-7581-496B-AB5E-A1648C8F7A22}" type="pres">
      <dgm:prSet presAssocID="{C3BE351D-70AD-473D-B986-269022F3B594}" presName="hierChild4" presStyleCnt="0"/>
      <dgm:spPr/>
    </dgm:pt>
    <dgm:pt modelId="{F718D3CB-242B-4A07-91E8-E7B78F8099B1}" type="pres">
      <dgm:prSet presAssocID="{C3BE351D-70AD-473D-B986-269022F3B594}" presName="hierChild5" presStyleCnt="0"/>
      <dgm:spPr/>
    </dgm:pt>
    <dgm:pt modelId="{4F85E4DC-E2FA-4DEA-A326-01E42720FDA3}" type="pres">
      <dgm:prSet presAssocID="{42EA9671-E1CA-4E39-A228-BF6DEDE6CBD6}" presName="Name64" presStyleLbl="parChTrans1D2" presStyleIdx="3" presStyleCnt="9"/>
      <dgm:spPr/>
      <dgm:t>
        <a:bodyPr/>
        <a:lstStyle/>
        <a:p>
          <a:endParaRPr lang="es-ES"/>
        </a:p>
      </dgm:t>
    </dgm:pt>
    <dgm:pt modelId="{261D096C-9700-4674-A5EF-47D4B69360FE}" type="pres">
      <dgm:prSet presAssocID="{51852D51-3089-4EB5-8728-D2253EC87081}" presName="hierRoot2" presStyleCnt="0">
        <dgm:presLayoutVars>
          <dgm:hierBranch val="init"/>
        </dgm:presLayoutVars>
      </dgm:prSet>
      <dgm:spPr/>
    </dgm:pt>
    <dgm:pt modelId="{BE32B186-E6F6-448D-AAFA-F04961AB8954}" type="pres">
      <dgm:prSet presAssocID="{51852D51-3089-4EB5-8728-D2253EC87081}" presName="rootComposite" presStyleCnt="0"/>
      <dgm:spPr/>
    </dgm:pt>
    <dgm:pt modelId="{E1884DC9-36E9-421E-B304-107DF7D6263D}" type="pres">
      <dgm:prSet presAssocID="{51852D51-3089-4EB5-8728-D2253EC87081}" presName="rootText" presStyleLbl="node2" presStyleIdx="3" presStyleCnt="8">
        <dgm:presLayoutVars>
          <dgm:chPref val="3"/>
        </dgm:presLayoutVars>
      </dgm:prSet>
      <dgm:spPr/>
      <dgm:t>
        <a:bodyPr/>
        <a:lstStyle/>
        <a:p>
          <a:endParaRPr lang="es-ES"/>
        </a:p>
      </dgm:t>
    </dgm:pt>
    <dgm:pt modelId="{10EAC792-DDDC-4806-8A48-3ACB1552D762}" type="pres">
      <dgm:prSet presAssocID="{51852D51-3089-4EB5-8728-D2253EC87081}" presName="rootConnector" presStyleLbl="node2" presStyleIdx="3" presStyleCnt="8"/>
      <dgm:spPr/>
      <dgm:t>
        <a:bodyPr/>
        <a:lstStyle/>
        <a:p>
          <a:endParaRPr lang="es-ES"/>
        </a:p>
      </dgm:t>
    </dgm:pt>
    <dgm:pt modelId="{E5DFFF50-898A-40E6-8967-F86ACFE9BB3A}" type="pres">
      <dgm:prSet presAssocID="{51852D51-3089-4EB5-8728-D2253EC87081}" presName="hierChild4" presStyleCnt="0"/>
      <dgm:spPr/>
    </dgm:pt>
    <dgm:pt modelId="{9B66D6EA-0C90-4442-9B89-66F7197FE1E5}" type="pres">
      <dgm:prSet presAssocID="{51852D51-3089-4EB5-8728-D2253EC87081}" presName="hierChild5" presStyleCnt="0"/>
      <dgm:spPr/>
    </dgm:pt>
    <dgm:pt modelId="{611C4DF0-B5B2-406E-A887-AC788D2E9EC3}" type="pres">
      <dgm:prSet presAssocID="{8B9F7D33-3E9C-4AEF-AF3D-1DF5B28014BB}" presName="Name64" presStyleLbl="parChTrans1D2" presStyleIdx="4" presStyleCnt="9"/>
      <dgm:spPr/>
      <dgm:t>
        <a:bodyPr/>
        <a:lstStyle/>
        <a:p>
          <a:endParaRPr lang="es-ES"/>
        </a:p>
      </dgm:t>
    </dgm:pt>
    <dgm:pt modelId="{975B4037-A684-4FEF-B95D-983FAD5E2549}" type="pres">
      <dgm:prSet presAssocID="{3F7B4609-1259-4CB7-938B-788C14096565}" presName="hierRoot2" presStyleCnt="0">
        <dgm:presLayoutVars>
          <dgm:hierBranch val="init"/>
        </dgm:presLayoutVars>
      </dgm:prSet>
      <dgm:spPr/>
    </dgm:pt>
    <dgm:pt modelId="{E3CA12A8-6570-4B0D-996F-3596045BB737}" type="pres">
      <dgm:prSet presAssocID="{3F7B4609-1259-4CB7-938B-788C14096565}" presName="rootComposite" presStyleCnt="0"/>
      <dgm:spPr/>
    </dgm:pt>
    <dgm:pt modelId="{C08851DF-3BA9-46A2-94F7-778C07697FF4}" type="pres">
      <dgm:prSet presAssocID="{3F7B4609-1259-4CB7-938B-788C14096565}" presName="rootText" presStyleLbl="node2" presStyleIdx="4" presStyleCnt="8">
        <dgm:presLayoutVars>
          <dgm:chPref val="3"/>
        </dgm:presLayoutVars>
      </dgm:prSet>
      <dgm:spPr/>
      <dgm:t>
        <a:bodyPr/>
        <a:lstStyle/>
        <a:p>
          <a:endParaRPr lang="es-ES"/>
        </a:p>
      </dgm:t>
    </dgm:pt>
    <dgm:pt modelId="{6C036386-3F7F-45F1-BFC3-CBD168098FD8}" type="pres">
      <dgm:prSet presAssocID="{3F7B4609-1259-4CB7-938B-788C14096565}" presName="rootConnector" presStyleLbl="node2" presStyleIdx="4" presStyleCnt="8"/>
      <dgm:spPr/>
      <dgm:t>
        <a:bodyPr/>
        <a:lstStyle/>
        <a:p>
          <a:endParaRPr lang="es-ES"/>
        </a:p>
      </dgm:t>
    </dgm:pt>
    <dgm:pt modelId="{186023DE-F0D6-43AF-A427-B734B6B89919}" type="pres">
      <dgm:prSet presAssocID="{3F7B4609-1259-4CB7-938B-788C14096565}" presName="hierChild4" presStyleCnt="0"/>
      <dgm:spPr/>
    </dgm:pt>
    <dgm:pt modelId="{536C06E1-F7C7-4044-8D04-E2F3FF21627E}" type="pres">
      <dgm:prSet presAssocID="{3F7B4609-1259-4CB7-938B-788C14096565}" presName="hierChild5" presStyleCnt="0"/>
      <dgm:spPr/>
    </dgm:pt>
    <dgm:pt modelId="{7976ACC0-CEC0-49E2-907A-470880C19442}" type="pres">
      <dgm:prSet presAssocID="{EB87E498-0314-4AA5-8C94-E2044F98E727}" presName="Name64" presStyleLbl="parChTrans1D2" presStyleIdx="5" presStyleCnt="9"/>
      <dgm:spPr/>
      <dgm:t>
        <a:bodyPr/>
        <a:lstStyle/>
        <a:p>
          <a:endParaRPr lang="es-ES"/>
        </a:p>
      </dgm:t>
    </dgm:pt>
    <dgm:pt modelId="{F6B05847-2972-45C6-B5FB-CABC294FD2E8}" type="pres">
      <dgm:prSet presAssocID="{EEE5AD3A-2310-4252-AEBA-B59936E2C5B5}" presName="hierRoot2" presStyleCnt="0">
        <dgm:presLayoutVars>
          <dgm:hierBranch val="init"/>
        </dgm:presLayoutVars>
      </dgm:prSet>
      <dgm:spPr/>
    </dgm:pt>
    <dgm:pt modelId="{E8AC290D-5D40-40F8-B2B5-05FE0ACACD12}" type="pres">
      <dgm:prSet presAssocID="{EEE5AD3A-2310-4252-AEBA-B59936E2C5B5}" presName="rootComposite" presStyleCnt="0"/>
      <dgm:spPr/>
    </dgm:pt>
    <dgm:pt modelId="{E7CF0F8C-0A35-4DA6-A77D-7E374D90D13D}" type="pres">
      <dgm:prSet presAssocID="{EEE5AD3A-2310-4252-AEBA-B59936E2C5B5}" presName="rootText" presStyleLbl="node2" presStyleIdx="5" presStyleCnt="8">
        <dgm:presLayoutVars>
          <dgm:chPref val="3"/>
        </dgm:presLayoutVars>
      </dgm:prSet>
      <dgm:spPr/>
      <dgm:t>
        <a:bodyPr/>
        <a:lstStyle/>
        <a:p>
          <a:endParaRPr lang="es-ES"/>
        </a:p>
      </dgm:t>
    </dgm:pt>
    <dgm:pt modelId="{944A8212-FE66-4168-95BF-20C129F98BF1}" type="pres">
      <dgm:prSet presAssocID="{EEE5AD3A-2310-4252-AEBA-B59936E2C5B5}" presName="rootConnector" presStyleLbl="node2" presStyleIdx="5" presStyleCnt="8"/>
      <dgm:spPr/>
      <dgm:t>
        <a:bodyPr/>
        <a:lstStyle/>
        <a:p>
          <a:endParaRPr lang="es-ES"/>
        </a:p>
      </dgm:t>
    </dgm:pt>
    <dgm:pt modelId="{6491D127-C3B6-462A-8C4C-2D519B184CD9}" type="pres">
      <dgm:prSet presAssocID="{EEE5AD3A-2310-4252-AEBA-B59936E2C5B5}" presName="hierChild4" presStyleCnt="0"/>
      <dgm:spPr/>
    </dgm:pt>
    <dgm:pt modelId="{BE4FFFC5-2F1D-4B8C-B9D6-066ABDF330D8}" type="pres">
      <dgm:prSet presAssocID="{EEE5AD3A-2310-4252-AEBA-B59936E2C5B5}" presName="hierChild5" presStyleCnt="0"/>
      <dgm:spPr/>
    </dgm:pt>
    <dgm:pt modelId="{54BDAE33-247E-4EB1-8487-A5B8BE627475}" type="pres">
      <dgm:prSet presAssocID="{1D89EC40-89B9-46DC-97B6-864B2A83134D}" presName="Name64" presStyleLbl="parChTrans1D2" presStyleIdx="6" presStyleCnt="9"/>
      <dgm:spPr/>
      <dgm:t>
        <a:bodyPr/>
        <a:lstStyle/>
        <a:p>
          <a:endParaRPr lang="es-ES"/>
        </a:p>
      </dgm:t>
    </dgm:pt>
    <dgm:pt modelId="{5279AE84-6AD6-47AA-BE5D-D2951018EF6D}" type="pres">
      <dgm:prSet presAssocID="{DA7BE96B-4CC3-4B95-8054-5DC8F396356E}" presName="hierRoot2" presStyleCnt="0">
        <dgm:presLayoutVars>
          <dgm:hierBranch val="init"/>
        </dgm:presLayoutVars>
      </dgm:prSet>
      <dgm:spPr/>
    </dgm:pt>
    <dgm:pt modelId="{EFE36ECF-E315-4C1B-8903-DDDCF28B72D7}" type="pres">
      <dgm:prSet presAssocID="{DA7BE96B-4CC3-4B95-8054-5DC8F396356E}" presName="rootComposite" presStyleCnt="0"/>
      <dgm:spPr/>
    </dgm:pt>
    <dgm:pt modelId="{56D68AD8-6B40-4B77-B422-CC424FDABA04}" type="pres">
      <dgm:prSet presAssocID="{DA7BE96B-4CC3-4B95-8054-5DC8F396356E}" presName="rootText" presStyleLbl="node2" presStyleIdx="6" presStyleCnt="8">
        <dgm:presLayoutVars>
          <dgm:chPref val="3"/>
        </dgm:presLayoutVars>
      </dgm:prSet>
      <dgm:spPr/>
      <dgm:t>
        <a:bodyPr/>
        <a:lstStyle/>
        <a:p>
          <a:endParaRPr lang="es-ES"/>
        </a:p>
      </dgm:t>
    </dgm:pt>
    <dgm:pt modelId="{28638965-7EAA-485B-B545-C3E36369E60F}" type="pres">
      <dgm:prSet presAssocID="{DA7BE96B-4CC3-4B95-8054-5DC8F396356E}" presName="rootConnector" presStyleLbl="node2" presStyleIdx="6" presStyleCnt="8"/>
      <dgm:spPr/>
      <dgm:t>
        <a:bodyPr/>
        <a:lstStyle/>
        <a:p>
          <a:endParaRPr lang="es-ES"/>
        </a:p>
      </dgm:t>
    </dgm:pt>
    <dgm:pt modelId="{B444D1A2-0557-4DB6-B6C3-E5004BE8806F}" type="pres">
      <dgm:prSet presAssocID="{DA7BE96B-4CC3-4B95-8054-5DC8F396356E}" presName="hierChild4" presStyleCnt="0"/>
      <dgm:spPr/>
    </dgm:pt>
    <dgm:pt modelId="{E790EF85-CB39-4B8E-B646-4CC029A7D3D8}" type="pres">
      <dgm:prSet presAssocID="{DA7BE96B-4CC3-4B95-8054-5DC8F396356E}" presName="hierChild5" presStyleCnt="0"/>
      <dgm:spPr/>
    </dgm:pt>
    <dgm:pt modelId="{2A936D30-F755-4A1A-B596-00A12B54ADD6}" type="pres">
      <dgm:prSet presAssocID="{8C411D13-472B-4538-A101-4233DF60E04F}" presName="Name64" presStyleLbl="parChTrans1D2" presStyleIdx="7" presStyleCnt="9"/>
      <dgm:spPr/>
      <dgm:t>
        <a:bodyPr/>
        <a:lstStyle/>
        <a:p>
          <a:endParaRPr lang="es-ES"/>
        </a:p>
      </dgm:t>
    </dgm:pt>
    <dgm:pt modelId="{5607FAFD-8FA3-4C06-BA75-4BDDB84AAA46}" type="pres">
      <dgm:prSet presAssocID="{C2F9876D-DC07-4A7D-A187-712E71CADEFE}" presName="hierRoot2" presStyleCnt="0">
        <dgm:presLayoutVars>
          <dgm:hierBranch val="init"/>
        </dgm:presLayoutVars>
      </dgm:prSet>
      <dgm:spPr/>
    </dgm:pt>
    <dgm:pt modelId="{A4ED802F-42C5-4AE6-BA2F-2DCC50877EBD}" type="pres">
      <dgm:prSet presAssocID="{C2F9876D-DC07-4A7D-A187-712E71CADEFE}" presName="rootComposite" presStyleCnt="0"/>
      <dgm:spPr/>
    </dgm:pt>
    <dgm:pt modelId="{F15FE673-5228-4E50-B743-896407AEEFB1}" type="pres">
      <dgm:prSet presAssocID="{C2F9876D-DC07-4A7D-A187-712E71CADEFE}" presName="rootText" presStyleLbl="node2" presStyleIdx="7" presStyleCnt="8">
        <dgm:presLayoutVars>
          <dgm:chPref val="3"/>
        </dgm:presLayoutVars>
      </dgm:prSet>
      <dgm:spPr/>
      <dgm:t>
        <a:bodyPr/>
        <a:lstStyle/>
        <a:p>
          <a:endParaRPr lang="es-ES"/>
        </a:p>
      </dgm:t>
    </dgm:pt>
    <dgm:pt modelId="{7CD5152A-D5BB-4347-8F52-8178374A7E0E}" type="pres">
      <dgm:prSet presAssocID="{C2F9876D-DC07-4A7D-A187-712E71CADEFE}" presName="rootConnector" presStyleLbl="node2" presStyleIdx="7" presStyleCnt="8"/>
      <dgm:spPr/>
      <dgm:t>
        <a:bodyPr/>
        <a:lstStyle/>
        <a:p>
          <a:endParaRPr lang="es-ES"/>
        </a:p>
      </dgm:t>
    </dgm:pt>
    <dgm:pt modelId="{ABE94C37-5928-4B21-B736-3C92F7F35772}" type="pres">
      <dgm:prSet presAssocID="{C2F9876D-DC07-4A7D-A187-712E71CADEFE}" presName="hierChild4" presStyleCnt="0"/>
      <dgm:spPr/>
    </dgm:pt>
    <dgm:pt modelId="{C67E4B01-5F30-4DC3-99A8-F603535E2F56}" type="pres">
      <dgm:prSet presAssocID="{C2F9876D-DC07-4A7D-A187-712E71CADEFE}" presName="hierChild5" presStyleCnt="0"/>
      <dgm:spPr/>
    </dgm:pt>
    <dgm:pt modelId="{7DF92E53-AE7F-457B-A5CA-2F2D72A21ED4}" type="pres">
      <dgm:prSet presAssocID="{0150FC75-916E-4CBF-BC0C-4417E4F44A5A}" presName="hierChild3" presStyleCnt="0"/>
      <dgm:spPr/>
    </dgm:pt>
    <dgm:pt modelId="{17CB23AD-AAA5-4011-838A-65DF3A227282}" type="pres">
      <dgm:prSet presAssocID="{5B9EC400-681E-4815-9FF6-BD9E56977BBB}" presName="Name115" presStyleLbl="parChTrans1D2" presStyleIdx="8" presStyleCnt="9"/>
      <dgm:spPr/>
      <dgm:t>
        <a:bodyPr/>
        <a:lstStyle/>
        <a:p>
          <a:endParaRPr lang="es-ES"/>
        </a:p>
      </dgm:t>
    </dgm:pt>
    <dgm:pt modelId="{15CF57DA-B34A-4502-9D84-A45F6B3E4C02}" type="pres">
      <dgm:prSet presAssocID="{50AE9901-FAA4-4C01-A658-00AEDBE0BF9C}" presName="hierRoot3" presStyleCnt="0">
        <dgm:presLayoutVars>
          <dgm:hierBranch val="init"/>
        </dgm:presLayoutVars>
      </dgm:prSet>
      <dgm:spPr/>
    </dgm:pt>
    <dgm:pt modelId="{2D55A455-5F04-4A97-96D5-08C7C5F22CDA}" type="pres">
      <dgm:prSet presAssocID="{50AE9901-FAA4-4C01-A658-00AEDBE0BF9C}" presName="rootComposite3" presStyleCnt="0"/>
      <dgm:spPr/>
    </dgm:pt>
    <dgm:pt modelId="{016F7D5E-4044-47E0-8AF2-502E18326DD6}" type="pres">
      <dgm:prSet presAssocID="{50AE9901-FAA4-4C01-A658-00AEDBE0BF9C}" presName="rootText3" presStyleLbl="asst1" presStyleIdx="0" presStyleCnt="1">
        <dgm:presLayoutVars>
          <dgm:chPref val="3"/>
        </dgm:presLayoutVars>
      </dgm:prSet>
      <dgm:spPr/>
      <dgm:t>
        <a:bodyPr/>
        <a:lstStyle/>
        <a:p>
          <a:endParaRPr lang="es-ES"/>
        </a:p>
      </dgm:t>
    </dgm:pt>
    <dgm:pt modelId="{3B65D69B-A1F6-4565-BC0E-6FE79FE4069A}" type="pres">
      <dgm:prSet presAssocID="{50AE9901-FAA4-4C01-A658-00AEDBE0BF9C}" presName="rootConnector3" presStyleLbl="asst1" presStyleIdx="0" presStyleCnt="1"/>
      <dgm:spPr/>
      <dgm:t>
        <a:bodyPr/>
        <a:lstStyle/>
        <a:p>
          <a:endParaRPr lang="es-ES"/>
        </a:p>
      </dgm:t>
    </dgm:pt>
    <dgm:pt modelId="{B8AE4984-A9A2-481D-A4E1-A329323DC26A}" type="pres">
      <dgm:prSet presAssocID="{50AE9901-FAA4-4C01-A658-00AEDBE0BF9C}" presName="hierChild6" presStyleCnt="0"/>
      <dgm:spPr/>
    </dgm:pt>
    <dgm:pt modelId="{74C3ACCA-8C32-47BF-921F-BC24BB393013}" type="pres">
      <dgm:prSet presAssocID="{50AE9901-FAA4-4C01-A658-00AEDBE0BF9C}" presName="hierChild7" presStyleCnt="0"/>
      <dgm:spPr/>
    </dgm:pt>
  </dgm:ptLst>
  <dgm:cxnLst>
    <dgm:cxn modelId="{D35CE937-4569-4B11-AC44-C57D542398EC}" type="presOf" srcId="{0150FC75-916E-4CBF-BC0C-4417E4F44A5A}" destId="{AC0D94B6-78FD-49A4-B914-B00C9AC18057}" srcOrd="0" destOrd="0" presId="urn:microsoft.com/office/officeart/2009/3/layout/HorizontalOrganizationChart"/>
    <dgm:cxn modelId="{EB7F9A46-9BB5-4066-B147-73FF53888212}" srcId="{0150FC75-916E-4CBF-BC0C-4417E4F44A5A}" destId="{8DA4A4D0-1ABF-4CA7-A492-C434CFB3DA02}" srcOrd="2" destOrd="0" parTransId="{B5F99398-FFC3-41F6-A73B-406CE7341DA6}" sibTransId="{C279D643-C343-4596-AEE0-DDD2F830F0F3}"/>
    <dgm:cxn modelId="{EB6492D2-C62E-4413-A120-CBA00953DC40}" type="presOf" srcId="{51852D51-3089-4EB5-8728-D2253EC87081}" destId="{10EAC792-DDDC-4806-8A48-3ACB1552D762}" srcOrd="1" destOrd="0" presId="urn:microsoft.com/office/officeart/2009/3/layout/HorizontalOrganizationChart"/>
    <dgm:cxn modelId="{3455FBAD-6536-4B14-97A2-297B6B3C8A9B}" srcId="{0150FC75-916E-4CBF-BC0C-4417E4F44A5A}" destId="{DA7BE96B-4CC3-4B95-8054-5DC8F396356E}" srcOrd="7" destOrd="0" parTransId="{1D89EC40-89B9-46DC-97B6-864B2A83134D}" sibTransId="{7472FFC2-18D3-4985-9E2D-E950B795FCFD}"/>
    <dgm:cxn modelId="{1C64E1DD-8190-4003-B01A-52BA981B4EFF}" type="presOf" srcId="{11D12E2C-6395-4F2D-AF2A-73444B53736B}" destId="{9BE82144-47F7-463A-B0A3-26118BC985EF}" srcOrd="1" destOrd="0" presId="urn:microsoft.com/office/officeart/2009/3/layout/HorizontalOrganizationChart"/>
    <dgm:cxn modelId="{F25E07E7-4D42-42E7-8DA8-676CD52689E7}" type="presOf" srcId="{0150FC75-916E-4CBF-BC0C-4417E4F44A5A}" destId="{68B66424-EB53-4FD5-B47C-B3D426CC356C}" srcOrd="1" destOrd="0" presId="urn:microsoft.com/office/officeart/2009/3/layout/HorizontalOrganizationChart"/>
    <dgm:cxn modelId="{1A49AF3A-A961-477C-AE51-C01E10A96807}" type="presOf" srcId="{6B741484-FDAC-49C3-B49D-7437F89D1421}" destId="{44366D95-9974-464F-805E-CF4DD61BD780}" srcOrd="0" destOrd="0" presId="urn:microsoft.com/office/officeart/2009/3/layout/HorizontalOrganizationChart"/>
    <dgm:cxn modelId="{5B431192-35C8-49CC-B5D0-0ED469D01DEA}" type="presOf" srcId="{C2F9876D-DC07-4A7D-A187-712E71CADEFE}" destId="{F15FE673-5228-4E50-B743-896407AEEFB1}" srcOrd="0" destOrd="0" presId="urn:microsoft.com/office/officeart/2009/3/layout/HorizontalOrganizationChart"/>
    <dgm:cxn modelId="{CC1EF0C9-D130-4F26-8FA2-8961D253FA43}" type="presOf" srcId="{3F7B4609-1259-4CB7-938B-788C14096565}" destId="{6C036386-3F7F-45F1-BFC3-CBD168098FD8}" srcOrd="1" destOrd="0" presId="urn:microsoft.com/office/officeart/2009/3/layout/HorizontalOrganizationChart"/>
    <dgm:cxn modelId="{C6B47104-9830-4FA1-B33C-0F24A019D00B}" type="presOf" srcId="{8DA4A4D0-1ABF-4CA7-A492-C434CFB3DA02}" destId="{CA450C1C-C0D5-457E-89E1-2885B050C527}" srcOrd="1" destOrd="0" presId="urn:microsoft.com/office/officeart/2009/3/layout/HorizontalOrganizationChart"/>
    <dgm:cxn modelId="{BB88A739-B66D-4DB2-9152-A7814F2DB87F}" type="presOf" srcId="{3F7B4609-1259-4CB7-938B-788C14096565}" destId="{C08851DF-3BA9-46A2-94F7-778C07697FF4}" srcOrd="0" destOrd="0" presId="urn:microsoft.com/office/officeart/2009/3/layout/HorizontalOrganizationChart"/>
    <dgm:cxn modelId="{ADBEB40F-E2B6-4826-B275-5EB8BDC52FA3}" type="presOf" srcId="{00207057-996B-4900-A68E-5BD89617D221}" destId="{82BFA320-4210-4D2E-926F-B5374CC3153A}" srcOrd="0" destOrd="0" presId="urn:microsoft.com/office/officeart/2009/3/layout/HorizontalOrganizationChart"/>
    <dgm:cxn modelId="{2F223BEA-41C0-48A3-80EE-8722A32573A8}" srcId="{0150FC75-916E-4CBF-BC0C-4417E4F44A5A}" destId="{3F7B4609-1259-4CB7-938B-788C14096565}" srcOrd="5" destOrd="0" parTransId="{8B9F7D33-3E9C-4AEF-AF3D-1DF5B28014BB}" sibTransId="{7656F832-3DA0-4609-9145-950F428EEE1B}"/>
    <dgm:cxn modelId="{B3F0379E-2F79-49DC-B55B-E5FF565B22CA}" srcId="{0150FC75-916E-4CBF-BC0C-4417E4F44A5A}" destId="{11D12E2C-6395-4F2D-AF2A-73444B53736B}" srcOrd="1" destOrd="0" parTransId="{00207057-996B-4900-A68E-5BD89617D221}" sibTransId="{9C183944-0E06-4854-970C-164B72C5E77D}"/>
    <dgm:cxn modelId="{571207C8-68AA-454B-8001-985DF9116ECF}" srcId="{6B741484-FDAC-49C3-B49D-7437F89D1421}" destId="{0150FC75-916E-4CBF-BC0C-4417E4F44A5A}" srcOrd="0" destOrd="0" parTransId="{94C52706-E144-4055-8446-76899D89F5E7}" sibTransId="{1E865523-D30F-43DF-AB1F-F66A328BDDE0}"/>
    <dgm:cxn modelId="{2AD50B57-682D-44A4-A76A-683E54E8D7B0}" type="presOf" srcId="{C3BE351D-70AD-473D-B986-269022F3B594}" destId="{EEC02DE2-186B-4DF1-AC97-CF9140DCB636}" srcOrd="1" destOrd="0" presId="urn:microsoft.com/office/officeart/2009/3/layout/HorizontalOrganizationChart"/>
    <dgm:cxn modelId="{EB2D56BF-61EC-40F6-ACA1-6A7804B77871}" type="presOf" srcId="{DA7BE96B-4CC3-4B95-8054-5DC8F396356E}" destId="{56D68AD8-6B40-4B77-B422-CC424FDABA04}" srcOrd="0" destOrd="0" presId="urn:microsoft.com/office/officeart/2009/3/layout/HorizontalOrganizationChart"/>
    <dgm:cxn modelId="{8EA78BAB-3714-48B9-BC03-5EECD8801B7A}" type="presOf" srcId="{8B9F7D33-3E9C-4AEF-AF3D-1DF5B28014BB}" destId="{611C4DF0-B5B2-406E-A887-AC788D2E9EC3}" srcOrd="0" destOrd="0" presId="urn:microsoft.com/office/officeart/2009/3/layout/HorizontalOrganizationChart"/>
    <dgm:cxn modelId="{30E196E0-2212-4CDC-9C62-ED8D891B1D64}" type="presOf" srcId="{11D12E2C-6395-4F2D-AF2A-73444B53736B}" destId="{EBE584FD-AD8A-4179-B707-3ADE66DA534B}" srcOrd="0" destOrd="0" presId="urn:microsoft.com/office/officeart/2009/3/layout/HorizontalOrganizationChart"/>
    <dgm:cxn modelId="{FFFE2EE9-3A01-41B2-AE3B-048CF394A61A}" type="presOf" srcId="{1D89EC40-89B9-46DC-97B6-864B2A83134D}" destId="{54BDAE33-247E-4EB1-8487-A5B8BE627475}" srcOrd="0" destOrd="0" presId="urn:microsoft.com/office/officeart/2009/3/layout/HorizontalOrganizationChart"/>
    <dgm:cxn modelId="{2DA9612A-515F-4FA5-9604-2B33D6952B4D}" type="presOf" srcId="{C3BE351D-70AD-473D-B986-269022F3B594}" destId="{6B9869F3-B770-4D08-905E-78678C298063}" srcOrd="0" destOrd="0" presId="urn:microsoft.com/office/officeart/2009/3/layout/HorizontalOrganizationChart"/>
    <dgm:cxn modelId="{5CD2543E-4F0B-48FF-BFED-254EE3B0CC32}" type="presOf" srcId="{B5F99398-FFC3-41F6-A73B-406CE7341DA6}" destId="{D195A68C-BF3E-4FDC-B71D-5F013C75EA2C}" srcOrd="0" destOrd="0" presId="urn:microsoft.com/office/officeart/2009/3/layout/HorizontalOrganizationChart"/>
    <dgm:cxn modelId="{DA3CD70C-4542-49E7-B453-378D52B20791}" srcId="{0150FC75-916E-4CBF-BC0C-4417E4F44A5A}" destId="{C2F9876D-DC07-4A7D-A187-712E71CADEFE}" srcOrd="8" destOrd="0" parTransId="{8C411D13-472B-4538-A101-4233DF60E04F}" sibTransId="{7C954110-E157-4C39-8978-DA2F236034D4}"/>
    <dgm:cxn modelId="{6D444220-9E57-4531-9B68-C42ABDF5C21E}" type="presOf" srcId="{DA7BE96B-4CC3-4B95-8054-5DC8F396356E}" destId="{28638965-7EAA-485B-B545-C3E36369E60F}" srcOrd="1" destOrd="0" presId="urn:microsoft.com/office/officeart/2009/3/layout/HorizontalOrganizationChart"/>
    <dgm:cxn modelId="{1A1E3528-0CF8-49BB-88A0-30337E8A6CD6}" srcId="{0150FC75-916E-4CBF-BC0C-4417E4F44A5A}" destId="{EEE5AD3A-2310-4252-AEBA-B59936E2C5B5}" srcOrd="6" destOrd="0" parTransId="{EB87E498-0314-4AA5-8C94-E2044F98E727}" sibTransId="{AE5974DD-9F0A-4F5F-A407-6CF055949BF8}"/>
    <dgm:cxn modelId="{DDB94C04-DB2E-4A7F-A186-E7DADA9DCD8A}" type="presOf" srcId="{50AE9901-FAA4-4C01-A658-00AEDBE0BF9C}" destId="{3B65D69B-A1F6-4565-BC0E-6FE79FE4069A}" srcOrd="1" destOrd="0" presId="urn:microsoft.com/office/officeart/2009/3/layout/HorizontalOrganizationChart"/>
    <dgm:cxn modelId="{B0C15FC4-4BE9-40FE-8A16-715480711178}" type="presOf" srcId="{51852D51-3089-4EB5-8728-D2253EC87081}" destId="{E1884DC9-36E9-421E-B304-107DF7D6263D}" srcOrd="0" destOrd="0" presId="urn:microsoft.com/office/officeart/2009/3/layout/HorizontalOrganizationChart"/>
    <dgm:cxn modelId="{EA980611-1AC2-4F9A-8C07-5F026C2A390B}" type="presOf" srcId="{EB87E498-0314-4AA5-8C94-E2044F98E727}" destId="{7976ACC0-CEC0-49E2-907A-470880C19442}" srcOrd="0" destOrd="0" presId="urn:microsoft.com/office/officeart/2009/3/layout/HorizontalOrganizationChart"/>
    <dgm:cxn modelId="{8FDD0262-855A-4DEA-90E4-853F9E597123}" srcId="{0150FC75-916E-4CBF-BC0C-4417E4F44A5A}" destId="{50AE9901-FAA4-4C01-A658-00AEDBE0BF9C}" srcOrd="0" destOrd="0" parTransId="{5B9EC400-681E-4815-9FF6-BD9E56977BBB}" sibTransId="{C4F98EA2-6F82-48F7-BC9B-C54B6F836865}"/>
    <dgm:cxn modelId="{7F95BCE8-232E-4EA8-89DE-BED1FDEC76C3}" srcId="{0150FC75-916E-4CBF-BC0C-4417E4F44A5A}" destId="{51852D51-3089-4EB5-8728-D2253EC87081}" srcOrd="4" destOrd="0" parTransId="{42EA9671-E1CA-4E39-A228-BF6DEDE6CBD6}" sibTransId="{378AE8B8-6471-4281-8BBC-E04F73D7F9B0}"/>
    <dgm:cxn modelId="{CD57F06D-7127-4F5D-BED8-70427174B207}" type="presOf" srcId="{50AE9901-FAA4-4C01-A658-00AEDBE0BF9C}" destId="{016F7D5E-4044-47E0-8AF2-502E18326DD6}" srcOrd="0" destOrd="0" presId="urn:microsoft.com/office/officeart/2009/3/layout/HorizontalOrganizationChart"/>
    <dgm:cxn modelId="{C573618B-FD28-4D9D-AB2B-BFD23A859277}" type="presOf" srcId="{8DA4A4D0-1ABF-4CA7-A492-C434CFB3DA02}" destId="{3E20C04A-75F6-4324-982E-12484631C914}" srcOrd="0" destOrd="0" presId="urn:microsoft.com/office/officeart/2009/3/layout/HorizontalOrganizationChart"/>
    <dgm:cxn modelId="{3E1BB966-27BB-4493-8ABC-EB20CADAAD8E}" type="presOf" srcId="{EEE5AD3A-2310-4252-AEBA-B59936E2C5B5}" destId="{944A8212-FE66-4168-95BF-20C129F98BF1}" srcOrd="1" destOrd="0" presId="urn:microsoft.com/office/officeart/2009/3/layout/HorizontalOrganizationChart"/>
    <dgm:cxn modelId="{A9F94266-6169-4929-A0DE-E5B900F4B812}" type="presOf" srcId="{5B9EC400-681E-4815-9FF6-BD9E56977BBB}" destId="{17CB23AD-AAA5-4011-838A-65DF3A227282}" srcOrd="0" destOrd="0" presId="urn:microsoft.com/office/officeart/2009/3/layout/HorizontalOrganizationChart"/>
    <dgm:cxn modelId="{C8499B02-478F-4395-A4F2-1ABB2DFBBE63}" type="presOf" srcId="{C2F9876D-DC07-4A7D-A187-712E71CADEFE}" destId="{7CD5152A-D5BB-4347-8F52-8178374A7E0E}" srcOrd="1" destOrd="0" presId="urn:microsoft.com/office/officeart/2009/3/layout/HorizontalOrganizationChart"/>
    <dgm:cxn modelId="{40D28141-65F9-4762-BFFA-76086771797A}" type="presOf" srcId="{25777104-3CE9-491A-9012-6FE04D7CBF67}" destId="{249D029D-2B8C-4DDB-83DF-835BA5C40A6A}" srcOrd="0" destOrd="0" presId="urn:microsoft.com/office/officeart/2009/3/layout/HorizontalOrganizationChart"/>
    <dgm:cxn modelId="{A2B2F297-40F3-40B7-BA5A-C26AD829DB5D}" type="presOf" srcId="{EEE5AD3A-2310-4252-AEBA-B59936E2C5B5}" destId="{E7CF0F8C-0A35-4DA6-A77D-7E374D90D13D}" srcOrd="0" destOrd="0" presId="urn:microsoft.com/office/officeart/2009/3/layout/HorizontalOrganizationChart"/>
    <dgm:cxn modelId="{1C7738E0-5913-4916-B8CA-87902CA0A727}" type="presOf" srcId="{42EA9671-E1CA-4E39-A228-BF6DEDE6CBD6}" destId="{4F85E4DC-E2FA-4DEA-A326-01E42720FDA3}" srcOrd="0" destOrd="0" presId="urn:microsoft.com/office/officeart/2009/3/layout/HorizontalOrganizationChart"/>
    <dgm:cxn modelId="{49A90F74-A6E8-43BF-8D5C-63005D369D6B}" type="presOf" srcId="{8C411D13-472B-4538-A101-4233DF60E04F}" destId="{2A936D30-F755-4A1A-B596-00A12B54ADD6}" srcOrd="0" destOrd="0" presId="urn:microsoft.com/office/officeart/2009/3/layout/HorizontalOrganizationChart"/>
    <dgm:cxn modelId="{C76B92C0-5CDB-4F74-A889-8C6613C697EF}" srcId="{0150FC75-916E-4CBF-BC0C-4417E4F44A5A}" destId="{C3BE351D-70AD-473D-B986-269022F3B594}" srcOrd="3" destOrd="0" parTransId="{25777104-3CE9-491A-9012-6FE04D7CBF67}" sibTransId="{293E36B9-57F7-41F0-902C-6A316123B241}"/>
    <dgm:cxn modelId="{EDD53268-F2A6-4198-B6F0-2DBD05D88150}" type="presParOf" srcId="{44366D95-9974-464F-805E-CF4DD61BD780}" destId="{9C2AE9E3-97FA-496C-BD68-84020977804B}" srcOrd="0" destOrd="0" presId="urn:microsoft.com/office/officeart/2009/3/layout/HorizontalOrganizationChart"/>
    <dgm:cxn modelId="{284C4CBA-C8E5-4AA5-A8D3-8063E8017E55}" type="presParOf" srcId="{9C2AE9E3-97FA-496C-BD68-84020977804B}" destId="{4F8D57E4-6F53-4521-B9D5-A0EB24F5C25A}" srcOrd="0" destOrd="0" presId="urn:microsoft.com/office/officeart/2009/3/layout/HorizontalOrganizationChart"/>
    <dgm:cxn modelId="{A81E7704-30B3-4D8C-9F3A-9289D8B4FFF8}" type="presParOf" srcId="{4F8D57E4-6F53-4521-B9D5-A0EB24F5C25A}" destId="{AC0D94B6-78FD-49A4-B914-B00C9AC18057}" srcOrd="0" destOrd="0" presId="urn:microsoft.com/office/officeart/2009/3/layout/HorizontalOrganizationChart"/>
    <dgm:cxn modelId="{0899CDFF-0FE2-45BD-A7AC-F68E96FD4F2F}" type="presParOf" srcId="{4F8D57E4-6F53-4521-B9D5-A0EB24F5C25A}" destId="{68B66424-EB53-4FD5-B47C-B3D426CC356C}" srcOrd="1" destOrd="0" presId="urn:microsoft.com/office/officeart/2009/3/layout/HorizontalOrganizationChart"/>
    <dgm:cxn modelId="{D1A311DA-1272-4D1D-B941-AFC01A6E8E55}" type="presParOf" srcId="{9C2AE9E3-97FA-496C-BD68-84020977804B}" destId="{DF9E8412-9595-44BA-9813-DC16886A8F76}" srcOrd="1" destOrd="0" presId="urn:microsoft.com/office/officeart/2009/3/layout/HorizontalOrganizationChart"/>
    <dgm:cxn modelId="{4BA71227-62E1-43C5-8E5F-1E10F8E912DB}" type="presParOf" srcId="{DF9E8412-9595-44BA-9813-DC16886A8F76}" destId="{82BFA320-4210-4D2E-926F-B5374CC3153A}" srcOrd="0" destOrd="0" presId="urn:microsoft.com/office/officeart/2009/3/layout/HorizontalOrganizationChart"/>
    <dgm:cxn modelId="{A0C6DC81-A66E-463A-AC85-92C72BA0B783}" type="presParOf" srcId="{DF9E8412-9595-44BA-9813-DC16886A8F76}" destId="{A33B5ED0-834E-4425-A737-321BEEAB279C}" srcOrd="1" destOrd="0" presId="urn:microsoft.com/office/officeart/2009/3/layout/HorizontalOrganizationChart"/>
    <dgm:cxn modelId="{7515DAA3-2364-4BE2-8C86-4FEC0AC98FF9}" type="presParOf" srcId="{A33B5ED0-834E-4425-A737-321BEEAB279C}" destId="{AAFC1A7E-386E-4019-86D5-FFB5E7D5B65B}" srcOrd="0" destOrd="0" presId="urn:microsoft.com/office/officeart/2009/3/layout/HorizontalOrganizationChart"/>
    <dgm:cxn modelId="{64F185D2-5163-4D36-A9E2-D6F40970B0EC}" type="presParOf" srcId="{AAFC1A7E-386E-4019-86D5-FFB5E7D5B65B}" destId="{EBE584FD-AD8A-4179-B707-3ADE66DA534B}" srcOrd="0" destOrd="0" presId="urn:microsoft.com/office/officeart/2009/3/layout/HorizontalOrganizationChart"/>
    <dgm:cxn modelId="{3A946B33-B286-481C-8CEB-BC5832054DF4}" type="presParOf" srcId="{AAFC1A7E-386E-4019-86D5-FFB5E7D5B65B}" destId="{9BE82144-47F7-463A-B0A3-26118BC985EF}" srcOrd="1" destOrd="0" presId="urn:microsoft.com/office/officeart/2009/3/layout/HorizontalOrganizationChart"/>
    <dgm:cxn modelId="{26FE323B-621D-4D22-8EA3-A2917F6E8BE3}" type="presParOf" srcId="{A33B5ED0-834E-4425-A737-321BEEAB279C}" destId="{187E42A2-B17C-48BA-BBB4-D00FF7BBFAED}" srcOrd="1" destOrd="0" presId="urn:microsoft.com/office/officeart/2009/3/layout/HorizontalOrganizationChart"/>
    <dgm:cxn modelId="{9D6AE12E-F938-41A1-8329-6B7A2533DC88}" type="presParOf" srcId="{A33B5ED0-834E-4425-A737-321BEEAB279C}" destId="{B0C1635A-A586-4D8D-A6D8-537A047FFEE7}" srcOrd="2" destOrd="0" presId="urn:microsoft.com/office/officeart/2009/3/layout/HorizontalOrganizationChart"/>
    <dgm:cxn modelId="{81C35507-2C77-40BE-93AA-F25D2E35FB49}" type="presParOf" srcId="{DF9E8412-9595-44BA-9813-DC16886A8F76}" destId="{D195A68C-BF3E-4FDC-B71D-5F013C75EA2C}" srcOrd="2" destOrd="0" presId="urn:microsoft.com/office/officeart/2009/3/layout/HorizontalOrganizationChart"/>
    <dgm:cxn modelId="{4D40F7D8-2F0A-497A-8061-BE39BF4E78F4}" type="presParOf" srcId="{DF9E8412-9595-44BA-9813-DC16886A8F76}" destId="{193F5C12-C7D7-4A7F-A1D9-ABC3B9E12EFF}" srcOrd="3" destOrd="0" presId="urn:microsoft.com/office/officeart/2009/3/layout/HorizontalOrganizationChart"/>
    <dgm:cxn modelId="{B5EE94BD-23D9-40FE-85F3-3A1F9D80D63A}" type="presParOf" srcId="{193F5C12-C7D7-4A7F-A1D9-ABC3B9E12EFF}" destId="{981D2FC8-E26B-43CE-A913-F6D1A205632A}" srcOrd="0" destOrd="0" presId="urn:microsoft.com/office/officeart/2009/3/layout/HorizontalOrganizationChart"/>
    <dgm:cxn modelId="{B37047F6-E518-421A-A2C4-853952260F0B}" type="presParOf" srcId="{981D2FC8-E26B-43CE-A913-F6D1A205632A}" destId="{3E20C04A-75F6-4324-982E-12484631C914}" srcOrd="0" destOrd="0" presId="urn:microsoft.com/office/officeart/2009/3/layout/HorizontalOrganizationChart"/>
    <dgm:cxn modelId="{547CBEF7-F36F-473C-8DF9-615DE4C91081}" type="presParOf" srcId="{981D2FC8-E26B-43CE-A913-F6D1A205632A}" destId="{CA450C1C-C0D5-457E-89E1-2885B050C527}" srcOrd="1" destOrd="0" presId="urn:microsoft.com/office/officeart/2009/3/layout/HorizontalOrganizationChart"/>
    <dgm:cxn modelId="{994BAEE3-DD76-46D8-8E7A-97C7B4E9E026}" type="presParOf" srcId="{193F5C12-C7D7-4A7F-A1D9-ABC3B9E12EFF}" destId="{5116CA76-9BE2-4817-B166-BB1913C81565}" srcOrd="1" destOrd="0" presId="urn:microsoft.com/office/officeart/2009/3/layout/HorizontalOrganizationChart"/>
    <dgm:cxn modelId="{C40DFB88-64E5-41AB-A3BC-288C3D275D03}" type="presParOf" srcId="{193F5C12-C7D7-4A7F-A1D9-ABC3B9E12EFF}" destId="{E10E7AA4-DC08-4F1C-8CF6-1839631C0F88}" srcOrd="2" destOrd="0" presId="urn:microsoft.com/office/officeart/2009/3/layout/HorizontalOrganizationChart"/>
    <dgm:cxn modelId="{F3133271-A465-40C7-8593-829AEFBF3688}" type="presParOf" srcId="{DF9E8412-9595-44BA-9813-DC16886A8F76}" destId="{249D029D-2B8C-4DDB-83DF-835BA5C40A6A}" srcOrd="4" destOrd="0" presId="urn:microsoft.com/office/officeart/2009/3/layout/HorizontalOrganizationChart"/>
    <dgm:cxn modelId="{50E3DFDF-1C38-4C6B-94C1-D34EF4DEE4DE}" type="presParOf" srcId="{DF9E8412-9595-44BA-9813-DC16886A8F76}" destId="{4808CA87-ADC6-41A8-B875-074FCE271EB2}" srcOrd="5" destOrd="0" presId="urn:microsoft.com/office/officeart/2009/3/layout/HorizontalOrganizationChart"/>
    <dgm:cxn modelId="{CD2C14EE-5EC3-4738-9ABE-9D65B7F6E8F5}" type="presParOf" srcId="{4808CA87-ADC6-41A8-B875-074FCE271EB2}" destId="{B6EC5619-408B-469F-A5FD-C2427846EC3C}" srcOrd="0" destOrd="0" presId="urn:microsoft.com/office/officeart/2009/3/layout/HorizontalOrganizationChart"/>
    <dgm:cxn modelId="{527AE2E2-C1C4-4796-BC84-FE2CA8D873DE}" type="presParOf" srcId="{B6EC5619-408B-469F-A5FD-C2427846EC3C}" destId="{6B9869F3-B770-4D08-905E-78678C298063}" srcOrd="0" destOrd="0" presId="urn:microsoft.com/office/officeart/2009/3/layout/HorizontalOrganizationChart"/>
    <dgm:cxn modelId="{B1925D69-A029-4D1C-B2C1-6A444EA1D771}" type="presParOf" srcId="{B6EC5619-408B-469F-A5FD-C2427846EC3C}" destId="{EEC02DE2-186B-4DF1-AC97-CF9140DCB636}" srcOrd="1" destOrd="0" presId="urn:microsoft.com/office/officeart/2009/3/layout/HorizontalOrganizationChart"/>
    <dgm:cxn modelId="{155C9677-21B5-4207-BEF9-09AE03EDB849}" type="presParOf" srcId="{4808CA87-ADC6-41A8-B875-074FCE271EB2}" destId="{43572A8C-7581-496B-AB5E-A1648C8F7A22}" srcOrd="1" destOrd="0" presId="urn:microsoft.com/office/officeart/2009/3/layout/HorizontalOrganizationChart"/>
    <dgm:cxn modelId="{A716CCA7-2569-4B94-8D1A-A9742181D3AD}" type="presParOf" srcId="{4808CA87-ADC6-41A8-B875-074FCE271EB2}" destId="{F718D3CB-242B-4A07-91E8-E7B78F8099B1}" srcOrd="2" destOrd="0" presId="urn:microsoft.com/office/officeart/2009/3/layout/HorizontalOrganizationChart"/>
    <dgm:cxn modelId="{C20EA12F-5A03-4CDD-82DC-50DFD299F462}" type="presParOf" srcId="{DF9E8412-9595-44BA-9813-DC16886A8F76}" destId="{4F85E4DC-E2FA-4DEA-A326-01E42720FDA3}" srcOrd="6" destOrd="0" presId="urn:microsoft.com/office/officeart/2009/3/layout/HorizontalOrganizationChart"/>
    <dgm:cxn modelId="{440A3079-EB02-4679-89A3-89575A6C2162}" type="presParOf" srcId="{DF9E8412-9595-44BA-9813-DC16886A8F76}" destId="{261D096C-9700-4674-A5EF-47D4B69360FE}" srcOrd="7" destOrd="0" presId="urn:microsoft.com/office/officeart/2009/3/layout/HorizontalOrganizationChart"/>
    <dgm:cxn modelId="{6734BDF0-112D-4F65-A7B6-A03E97D81D77}" type="presParOf" srcId="{261D096C-9700-4674-A5EF-47D4B69360FE}" destId="{BE32B186-E6F6-448D-AAFA-F04961AB8954}" srcOrd="0" destOrd="0" presId="urn:microsoft.com/office/officeart/2009/3/layout/HorizontalOrganizationChart"/>
    <dgm:cxn modelId="{E5A5F44A-F31A-4682-9A4C-30583055F008}" type="presParOf" srcId="{BE32B186-E6F6-448D-AAFA-F04961AB8954}" destId="{E1884DC9-36E9-421E-B304-107DF7D6263D}" srcOrd="0" destOrd="0" presId="urn:microsoft.com/office/officeart/2009/3/layout/HorizontalOrganizationChart"/>
    <dgm:cxn modelId="{A4ED8EBD-8969-4196-A148-595D1852F05A}" type="presParOf" srcId="{BE32B186-E6F6-448D-AAFA-F04961AB8954}" destId="{10EAC792-DDDC-4806-8A48-3ACB1552D762}" srcOrd="1" destOrd="0" presId="urn:microsoft.com/office/officeart/2009/3/layout/HorizontalOrganizationChart"/>
    <dgm:cxn modelId="{AB1C58C8-4648-40B1-A199-663665689679}" type="presParOf" srcId="{261D096C-9700-4674-A5EF-47D4B69360FE}" destId="{E5DFFF50-898A-40E6-8967-F86ACFE9BB3A}" srcOrd="1" destOrd="0" presId="urn:microsoft.com/office/officeart/2009/3/layout/HorizontalOrganizationChart"/>
    <dgm:cxn modelId="{2C65CC12-F1D9-4AE5-A99B-09A0E04387C3}" type="presParOf" srcId="{261D096C-9700-4674-A5EF-47D4B69360FE}" destId="{9B66D6EA-0C90-4442-9B89-66F7197FE1E5}" srcOrd="2" destOrd="0" presId="urn:microsoft.com/office/officeart/2009/3/layout/HorizontalOrganizationChart"/>
    <dgm:cxn modelId="{A6B462CA-0CB7-4416-9563-756840467F8F}" type="presParOf" srcId="{DF9E8412-9595-44BA-9813-DC16886A8F76}" destId="{611C4DF0-B5B2-406E-A887-AC788D2E9EC3}" srcOrd="8" destOrd="0" presId="urn:microsoft.com/office/officeart/2009/3/layout/HorizontalOrganizationChart"/>
    <dgm:cxn modelId="{5D1210C2-8881-4CEF-AB30-1BDE2E7FC6DA}" type="presParOf" srcId="{DF9E8412-9595-44BA-9813-DC16886A8F76}" destId="{975B4037-A684-4FEF-B95D-983FAD5E2549}" srcOrd="9" destOrd="0" presId="urn:microsoft.com/office/officeart/2009/3/layout/HorizontalOrganizationChart"/>
    <dgm:cxn modelId="{A713247D-E696-45F7-AEC6-D8BF733E32B0}" type="presParOf" srcId="{975B4037-A684-4FEF-B95D-983FAD5E2549}" destId="{E3CA12A8-6570-4B0D-996F-3596045BB737}" srcOrd="0" destOrd="0" presId="urn:microsoft.com/office/officeart/2009/3/layout/HorizontalOrganizationChart"/>
    <dgm:cxn modelId="{E0E3AFB7-FB93-42DB-9FD8-50515728596B}" type="presParOf" srcId="{E3CA12A8-6570-4B0D-996F-3596045BB737}" destId="{C08851DF-3BA9-46A2-94F7-778C07697FF4}" srcOrd="0" destOrd="0" presId="urn:microsoft.com/office/officeart/2009/3/layout/HorizontalOrganizationChart"/>
    <dgm:cxn modelId="{02635EC6-4B4F-40E5-94B8-59AFECB82C5B}" type="presParOf" srcId="{E3CA12A8-6570-4B0D-996F-3596045BB737}" destId="{6C036386-3F7F-45F1-BFC3-CBD168098FD8}" srcOrd="1" destOrd="0" presId="urn:microsoft.com/office/officeart/2009/3/layout/HorizontalOrganizationChart"/>
    <dgm:cxn modelId="{AE70ED6F-A094-4DB9-832D-55B2D4D70676}" type="presParOf" srcId="{975B4037-A684-4FEF-B95D-983FAD5E2549}" destId="{186023DE-F0D6-43AF-A427-B734B6B89919}" srcOrd="1" destOrd="0" presId="urn:microsoft.com/office/officeart/2009/3/layout/HorizontalOrganizationChart"/>
    <dgm:cxn modelId="{2ABA2CFD-810F-4DE2-B99D-869BC16F865D}" type="presParOf" srcId="{975B4037-A684-4FEF-B95D-983FAD5E2549}" destId="{536C06E1-F7C7-4044-8D04-E2F3FF21627E}" srcOrd="2" destOrd="0" presId="urn:microsoft.com/office/officeart/2009/3/layout/HorizontalOrganizationChart"/>
    <dgm:cxn modelId="{D4BC63D0-8367-4B25-B42C-CAE5C72650B3}" type="presParOf" srcId="{DF9E8412-9595-44BA-9813-DC16886A8F76}" destId="{7976ACC0-CEC0-49E2-907A-470880C19442}" srcOrd="10" destOrd="0" presId="urn:microsoft.com/office/officeart/2009/3/layout/HorizontalOrganizationChart"/>
    <dgm:cxn modelId="{1FB8D7FA-F287-4E0C-BF02-5F6505A8C0FF}" type="presParOf" srcId="{DF9E8412-9595-44BA-9813-DC16886A8F76}" destId="{F6B05847-2972-45C6-B5FB-CABC294FD2E8}" srcOrd="11" destOrd="0" presId="urn:microsoft.com/office/officeart/2009/3/layout/HorizontalOrganizationChart"/>
    <dgm:cxn modelId="{3515334B-EE39-43FF-8F26-7ECDCB853650}" type="presParOf" srcId="{F6B05847-2972-45C6-B5FB-CABC294FD2E8}" destId="{E8AC290D-5D40-40F8-B2B5-05FE0ACACD12}" srcOrd="0" destOrd="0" presId="urn:microsoft.com/office/officeart/2009/3/layout/HorizontalOrganizationChart"/>
    <dgm:cxn modelId="{D8A125D9-D56E-487B-8F1F-EE559DD9BC53}" type="presParOf" srcId="{E8AC290D-5D40-40F8-B2B5-05FE0ACACD12}" destId="{E7CF0F8C-0A35-4DA6-A77D-7E374D90D13D}" srcOrd="0" destOrd="0" presId="urn:microsoft.com/office/officeart/2009/3/layout/HorizontalOrganizationChart"/>
    <dgm:cxn modelId="{4D51E728-778A-4FA6-B7B4-F2E783166217}" type="presParOf" srcId="{E8AC290D-5D40-40F8-B2B5-05FE0ACACD12}" destId="{944A8212-FE66-4168-95BF-20C129F98BF1}" srcOrd="1" destOrd="0" presId="urn:microsoft.com/office/officeart/2009/3/layout/HorizontalOrganizationChart"/>
    <dgm:cxn modelId="{7BA83FF7-CE2A-4144-92BE-544BB04A7E43}" type="presParOf" srcId="{F6B05847-2972-45C6-B5FB-CABC294FD2E8}" destId="{6491D127-C3B6-462A-8C4C-2D519B184CD9}" srcOrd="1" destOrd="0" presId="urn:microsoft.com/office/officeart/2009/3/layout/HorizontalOrganizationChart"/>
    <dgm:cxn modelId="{74198254-B463-4820-BFD4-0ECFE174F7F9}" type="presParOf" srcId="{F6B05847-2972-45C6-B5FB-CABC294FD2E8}" destId="{BE4FFFC5-2F1D-4B8C-B9D6-066ABDF330D8}" srcOrd="2" destOrd="0" presId="urn:microsoft.com/office/officeart/2009/3/layout/HorizontalOrganizationChart"/>
    <dgm:cxn modelId="{2B1F0315-182B-4BE2-BCAC-6E1A79BE7874}" type="presParOf" srcId="{DF9E8412-9595-44BA-9813-DC16886A8F76}" destId="{54BDAE33-247E-4EB1-8487-A5B8BE627475}" srcOrd="12" destOrd="0" presId="urn:microsoft.com/office/officeart/2009/3/layout/HorizontalOrganizationChart"/>
    <dgm:cxn modelId="{EC6E3D09-7D59-4C6B-8034-9EAC3C37A493}" type="presParOf" srcId="{DF9E8412-9595-44BA-9813-DC16886A8F76}" destId="{5279AE84-6AD6-47AA-BE5D-D2951018EF6D}" srcOrd="13" destOrd="0" presId="urn:microsoft.com/office/officeart/2009/3/layout/HorizontalOrganizationChart"/>
    <dgm:cxn modelId="{71C1FD2E-B7BA-4B90-ABA5-3B4621190954}" type="presParOf" srcId="{5279AE84-6AD6-47AA-BE5D-D2951018EF6D}" destId="{EFE36ECF-E315-4C1B-8903-DDDCF28B72D7}" srcOrd="0" destOrd="0" presId="urn:microsoft.com/office/officeart/2009/3/layout/HorizontalOrganizationChart"/>
    <dgm:cxn modelId="{B560E187-B375-4FD0-B721-C5758B6A2807}" type="presParOf" srcId="{EFE36ECF-E315-4C1B-8903-DDDCF28B72D7}" destId="{56D68AD8-6B40-4B77-B422-CC424FDABA04}" srcOrd="0" destOrd="0" presId="urn:microsoft.com/office/officeart/2009/3/layout/HorizontalOrganizationChart"/>
    <dgm:cxn modelId="{85973E12-8CDB-4971-9005-4E382384AE5C}" type="presParOf" srcId="{EFE36ECF-E315-4C1B-8903-DDDCF28B72D7}" destId="{28638965-7EAA-485B-B545-C3E36369E60F}" srcOrd="1" destOrd="0" presId="urn:microsoft.com/office/officeart/2009/3/layout/HorizontalOrganizationChart"/>
    <dgm:cxn modelId="{D11926B3-F3A4-492C-9F9A-08F7C345D890}" type="presParOf" srcId="{5279AE84-6AD6-47AA-BE5D-D2951018EF6D}" destId="{B444D1A2-0557-4DB6-B6C3-E5004BE8806F}" srcOrd="1" destOrd="0" presId="urn:microsoft.com/office/officeart/2009/3/layout/HorizontalOrganizationChart"/>
    <dgm:cxn modelId="{9BFE3CA9-D6F7-4084-B988-EA6D0C747AEA}" type="presParOf" srcId="{5279AE84-6AD6-47AA-BE5D-D2951018EF6D}" destId="{E790EF85-CB39-4B8E-B646-4CC029A7D3D8}" srcOrd="2" destOrd="0" presId="urn:microsoft.com/office/officeart/2009/3/layout/HorizontalOrganizationChart"/>
    <dgm:cxn modelId="{CD35345B-1BF6-47FB-8D01-CE56866C91BA}" type="presParOf" srcId="{DF9E8412-9595-44BA-9813-DC16886A8F76}" destId="{2A936D30-F755-4A1A-B596-00A12B54ADD6}" srcOrd="14" destOrd="0" presId="urn:microsoft.com/office/officeart/2009/3/layout/HorizontalOrganizationChart"/>
    <dgm:cxn modelId="{D1EFC004-C9AA-47CB-89BD-4C0787435A0E}" type="presParOf" srcId="{DF9E8412-9595-44BA-9813-DC16886A8F76}" destId="{5607FAFD-8FA3-4C06-BA75-4BDDB84AAA46}" srcOrd="15" destOrd="0" presId="urn:microsoft.com/office/officeart/2009/3/layout/HorizontalOrganizationChart"/>
    <dgm:cxn modelId="{FF087C6D-6349-4A5C-A168-2F8FC66EAED5}" type="presParOf" srcId="{5607FAFD-8FA3-4C06-BA75-4BDDB84AAA46}" destId="{A4ED802F-42C5-4AE6-BA2F-2DCC50877EBD}" srcOrd="0" destOrd="0" presId="urn:microsoft.com/office/officeart/2009/3/layout/HorizontalOrganizationChart"/>
    <dgm:cxn modelId="{61A9CB2B-6038-4FCF-8171-3376241F04DF}" type="presParOf" srcId="{A4ED802F-42C5-4AE6-BA2F-2DCC50877EBD}" destId="{F15FE673-5228-4E50-B743-896407AEEFB1}" srcOrd="0" destOrd="0" presId="urn:microsoft.com/office/officeart/2009/3/layout/HorizontalOrganizationChart"/>
    <dgm:cxn modelId="{17A15210-BB56-4335-AA4A-AEFBEDF90A5B}" type="presParOf" srcId="{A4ED802F-42C5-4AE6-BA2F-2DCC50877EBD}" destId="{7CD5152A-D5BB-4347-8F52-8178374A7E0E}" srcOrd="1" destOrd="0" presId="urn:microsoft.com/office/officeart/2009/3/layout/HorizontalOrganizationChart"/>
    <dgm:cxn modelId="{18B6A945-49BF-484C-8BD3-568A3964A9C4}" type="presParOf" srcId="{5607FAFD-8FA3-4C06-BA75-4BDDB84AAA46}" destId="{ABE94C37-5928-4B21-B736-3C92F7F35772}" srcOrd="1" destOrd="0" presId="urn:microsoft.com/office/officeart/2009/3/layout/HorizontalOrganizationChart"/>
    <dgm:cxn modelId="{8B23F2CA-EF6F-44F5-8818-C7E879C3B58F}" type="presParOf" srcId="{5607FAFD-8FA3-4C06-BA75-4BDDB84AAA46}" destId="{C67E4B01-5F30-4DC3-99A8-F603535E2F56}" srcOrd="2" destOrd="0" presId="urn:microsoft.com/office/officeart/2009/3/layout/HorizontalOrganizationChart"/>
    <dgm:cxn modelId="{55C15DDA-CB68-44BE-BDCF-E1A1F6CD10D5}" type="presParOf" srcId="{9C2AE9E3-97FA-496C-BD68-84020977804B}" destId="{7DF92E53-AE7F-457B-A5CA-2F2D72A21ED4}" srcOrd="2" destOrd="0" presId="urn:microsoft.com/office/officeart/2009/3/layout/HorizontalOrganizationChart"/>
    <dgm:cxn modelId="{05C5B07F-41E5-4701-BCC1-F1B5E12C85E7}" type="presParOf" srcId="{7DF92E53-AE7F-457B-A5CA-2F2D72A21ED4}" destId="{17CB23AD-AAA5-4011-838A-65DF3A227282}" srcOrd="0" destOrd="0" presId="urn:microsoft.com/office/officeart/2009/3/layout/HorizontalOrganizationChart"/>
    <dgm:cxn modelId="{340E6594-8BDF-4925-9F48-8F447FA36CEA}" type="presParOf" srcId="{7DF92E53-AE7F-457B-A5CA-2F2D72A21ED4}" destId="{15CF57DA-B34A-4502-9D84-A45F6B3E4C02}" srcOrd="1" destOrd="0" presId="urn:microsoft.com/office/officeart/2009/3/layout/HorizontalOrganizationChart"/>
    <dgm:cxn modelId="{A78C7BEB-EEC0-419B-B1E9-4E575C32F838}" type="presParOf" srcId="{15CF57DA-B34A-4502-9D84-A45F6B3E4C02}" destId="{2D55A455-5F04-4A97-96D5-08C7C5F22CDA}" srcOrd="0" destOrd="0" presId="urn:microsoft.com/office/officeart/2009/3/layout/HorizontalOrganizationChart"/>
    <dgm:cxn modelId="{FC56068D-77C4-4EEE-9D11-2EF9120372BB}" type="presParOf" srcId="{2D55A455-5F04-4A97-96D5-08C7C5F22CDA}" destId="{016F7D5E-4044-47E0-8AF2-502E18326DD6}" srcOrd="0" destOrd="0" presId="urn:microsoft.com/office/officeart/2009/3/layout/HorizontalOrganizationChart"/>
    <dgm:cxn modelId="{47550583-45E0-4B4B-82AF-8B62904A8C21}" type="presParOf" srcId="{2D55A455-5F04-4A97-96D5-08C7C5F22CDA}" destId="{3B65D69B-A1F6-4565-BC0E-6FE79FE4069A}" srcOrd="1" destOrd="0" presId="urn:microsoft.com/office/officeart/2009/3/layout/HorizontalOrganizationChart"/>
    <dgm:cxn modelId="{4815F793-B14B-41EA-8224-3380A88C56FE}" type="presParOf" srcId="{15CF57DA-B34A-4502-9D84-A45F6B3E4C02}" destId="{B8AE4984-A9A2-481D-A4E1-A329323DC26A}" srcOrd="1" destOrd="0" presId="urn:microsoft.com/office/officeart/2009/3/layout/HorizontalOrganizationChart"/>
    <dgm:cxn modelId="{8DAC5DB3-8E2B-4068-BA3D-6AA3E34F6106}" type="presParOf" srcId="{15CF57DA-B34A-4502-9D84-A45F6B3E4C02}" destId="{74C3ACCA-8C32-47BF-921F-BC24BB393013}" srcOrd="2" destOrd="0" presId="urn:microsoft.com/office/officeart/2009/3/layout/HorizontalOrganizationChar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4AD7CE9-3844-403A-90F2-6BDA465C1678}"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s-CO"/>
        </a:p>
      </dgm:t>
    </dgm:pt>
    <dgm:pt modelId="{72786A50-E011-48C0-AB82-74CD5570C018}">
      <dgm:prSet phldrT="[Texto]"/>
      <dgm:spPr/>
      <dgm:t>
        <a:bodyPr/>
        <a:lstStyle/>
        <a:p>
          <a:r>
            <a:rPr lang="es-CO" b="1">
              <a:solidFill>
                <a:srgbClr val="FFFF00"/>
              </a:solidFill>
              <a:latin typeface="Arial Narrow" panose="020B0606020202030204" pitchFamily="34" charset="0"/>
            </a:rPr>
            <a:t>Primera línea de defensa</a:t>
          </a:r>
        </a:p>
      </dgm:t>
    </dgm:pt>
    <dgm:pt modelId="{ACE91D8A-9A3B-4CE9-A6D6-29827320DA6C}" type="parTrans" cxnId="{5F6679FC-7248-408A-9174-A06417FA9DAF}">
      <dgm:prSet/>
      <dgm:spPr/>
      <dgm:t>
        <a:bodyPr/>
        <a:lstStyle/>
        <a:p>
          <a:endParaRPr lang="es-CO"/>
        </a:p>
      </dgm:t>
    </dgm:pt>
    <dgm:pt modelId="{34111050-FF08-43D7-AAAB-88B043F9C001}" type="sibTrans" cxnId="{5F6679FC-7248-408A-9174-A06417FA9DAF}">
      <dgm:prSet/>
      <dgm:spPr/>
      <dgm:t>
        <a:bodyPr/>
        <a:lstStyle/>
        <a:p>
          <a:endParaRPr lang="es-CO"/>
        </a:p>
      </dgm:t>
    </dgm:pt>
    <dgm:pt modelId="{5E142380-F602-4CC5-BDCD-5D34DE2801E2}">
      <dgm:prSet phldrT="[Texto]" custT="1"/>
      <dgm:spPr/>
      <dgm:t>
        <a:bodyPr/>
        <a:lstStyle/>
        <a:p>
          <a:pPr algn="just"/>
          <a:r>
            <a:rPr lang="es-CO" sz="1000">
              <a:latin typeface="Arial Narrow" panose="020B0606020202030204" pitchFamily="34" charset="0"/>
            </a:rPr>
            <a:t>Actividades identificación de riesgos y de auto control ejecutadas por los funcionarios  de cada una de las Subdirecciones.</a:t>
          </a:r>
        </a:p>
        <a:p>
          <a:pPr algn="just"/>
          <a:r>
            <a:rPr lang="es-CO" sz="1000">
              <a:latin typeface="Arial Narrow" panose="020B0606020202030204" pitchFamily="34" charset="0"/>
            </a:rPr>
            <a:t>En cada una de las areas se define un gestor de riesgo que es el encargado de reportar a la Subdirección de Riesgo, los cambios en el riesgo operativo de cada proceso.</a:t>
          </a:r>
        </a:p>
        <a:p>
          <a:pPr algn="l"/>
          <a:endParaRPr lang="es-CO" sz="500">
            <a:latin typeface="Arial Narrow" panose="020B0606020202030204" pitchFamily="34" charset="0"/>
          </a:endParaRPr>
        </a:p>
        <a:p>
          <a:pPr algn="l"/>
          <a:r>
            <a:rPr lang="es-CO" sz="1000">
              <a:latin typeface="Arial Narrow" panose="020B0606020202030204" pitchFamily="34" charset="0"/>
            </a:rPr>
            <a:t>Gestión de riesgo preventiva</a:t>
          </a:r>
        </a:p>
      </dgm:t>
    </dgm:pt>
    <dgm:pt modelId="{80AF5A5B-BD36-4366-B6CE-9E9AB75C3432}" type="parTrans" cxnId="{DEBFEAF1-5E3E-433A-8752-452FB7301581}">
      <dgm:prSet/>
      <dgm:spPr/>
      <dgm:t>
        <a:bodyPr/>
        <a:lstStyle/>
        <a:p>
          <a:endParaRPr lang="es-CO"/>
        </a:p>
      </dgm:t>
    </dgm:pt>
    <dgm:pt modelId="{F00AD2F4-0285-47CC-B5F2-F299596040A0}" type="sibTrans" cxnId="{DEBFEAF1-5E3E-433A-8752-452FB7301581}">
      <dgm:prSet/>
      <dgm:spPr/>
      <dgm:t>
        <a:bodyPr/>
        <a:lstStyle/>
        <a:p>
          <a:endParaRPr lang="es-CO"/>
        </a:p>
      </dgm:t>
    </dgm:pt>
    <dgm:pt modelId="{2529D431-B1F8-4A74-9936-EC9687DD8B94}">
      <dgm:prSet phldrT="[Texto]"/>
      <dgm:spPr/>
      <dgm:t>
        <a:bodyPr/>
        <a:lstStyle/>
        <a:p>
          <a:r>
            <a:rPr lang="es-CO" b="1">
              <a:solidFill>
                <a:srgbClr val="FFFF00"/>
              </a:solidFill>
              <a:latin typeface="Arial Narrow" panose="020B0606020202030204" pitchFamily="34" charset="0"/>
            </a:rPr>
            <a:t>Segunda línea de defensa</a:t>
          </a:r>
        </a:p>
      </dgm:t>
    </dgm:pt>
    <dgm:pt modelId="{E9D5293B-7767-4174-8DF7-07D433134018}" type="parTrans" cxnId="{B12F22D7-D7AC-47BC-AD93-81CC9308ABB9}">
      <dgm:prSet/>
      <dgm:spPr/>
      <dgm:t>
        <a:bodyPr/>
        <a:lstStyle/>
        <a:p>
          <a:endParaRPr lang="es-CO"/>
        </a:p>
      </dgm:t>
    </dgm:pt>
    <dgm:pt modelId="{9CB2E176-1E28-482C-8A47-8C8AD43ACED0}" type="sibTrans" cxnId="{B12F22D7-D7AC-47BC-AD93-81CC9308ABB9}">
      <dgm:prSet/>
      <dgm:spPr/>
      <dgm:t>
        <a:bodyPr/>
        <a:lstStyle/>
        <a:p>
          <a:endParaRPr lang="es-CO"/>
        </a:p>
      </dgm:t>
    </dgm:pt>
    <dgm:pt modelId="{91D88072-A1E2-48FA-95A0-BEC393B3C85A}">
      <dgm:prSet phldrT="[Texto]"/>
      <dgm:spPr/>
      <dgm:t>
        <a:bodyPr/>
        <a:lstStyle/>
        <a:p>
          <a:pPr algn="just"/>
          <a:r>
            <a:rPr lang="es-CO">
              <a:latin typeface="Arial Narrow" panose="020B0606020202030204" pitchFamily="34" charset="0"/>
            </a:rPr>
            <a:t>Actividades de monitoreo.</a:t>
          </a:r>
        </a:p>
        <a:p>
          <a:pPr algn="l"/>
          <a:endParaRPr lang="es-CO">
            <a:latin typeface="Arial Narrow" panose="020B0606020202030204" pitchFamily="34" charset="0"/>
          </a:endParaRPr>
        </a:p>
        <a:p>
          <a:pPr algn="just"/>
          <a:r>
            <a:rPr lang="es-CO">
              <a:latin typeface="Arial Narrow" panose="020B0606020202030204" pitchFamily="34" charset="0"/>
            </a:rPr>
            <a:t>La Subdirección de Riesgo  realizará el monitoreo de los controles establecidos en cada uno de los procesos, mediante visitas de campo, y monitoreo de ejecución de controles midiendo  la eficiencia y eficacia de los mismos. </a:t>
          </a:r>
        </a:p>
        <a:p>
          <a:pPr algn="l"/>
          <a:endParaRPr lang="es-CO">
            <a:latin typeface="Arial Narrow" panose="020B0606020202030204" pitchFamily="34" charset="0"/>
          </a:endParaRPr>
        </a:p>
        <a:p>
          <a:pPr algn="l"/>
          <a:r>
            <a:rPr lang="es-CO">
              <a:latin typeface="Arial Narrow" panose="020B0606020202030204" pitchFamily="34" charset="0"/>
            </a:rPr>
            <a:t>Gestión de riesgo preventiva</a:t>
          </a:r>
        </a:p>
      </dgm:t>
    </dgm:pt>
    <dgm:pt modelId="{E41CA490-ECEC-40D2-A936-5C145E26A977}" type="parTrans" cxnId="{6848C390-DAE0-40BE-B27E-E824F27F1593}">
      <dgm:prSet/>
      <dgm:spPr/>
      <dgm:t>
        <a:bodyPr/>
        <a:lstStyle/>
        <a:p>
          <a:endParaRPr lang="es-CO"/>
        </a:p>
      </dgm:t>
    </dgm:pt>
    <dgm:pt modelId="{8BD2A2A2-B238-4093-83C5-E5E3D147D998}" type="sibTrans" cxnId="{6848C390-DAE0-40BE-B27E-E824F27F1593}">
      <dgm:prSet/>
      <dgm:spPr/>
      <dgm:t>
        <a:bodyPr/>
        <a:lstStyle/>
        <a:p>
          <a:endParaRPr lang="es-CO"/>
        </a:p>
      </dgm:t>
    </dgm:pt>
    <dgm:pt modelId="{C45D54F1-F5EA-4356-B7E3-A2CB061A47A0}">
      <dgm:prSet phldrT="[Texto]"/>
      <dgm:spPr/>
      <dgm:t>
        <a:bodyPr/>
        <a:lstStyle/>
        <a:p>
          <a:r>
            <a:rPr lang="es-CO" b="1">
              <a:solidFill>
                <a:srgbClr val="FFFF00"/>
              </a:solidFill>
              <a:latin typeface="Arial Narrow" panose="020B0606020202030204" pitchFamily="34" charset="0"/>
            </a:rPr>
            <a:t>Tercera línea de defensa</a:t>
          </a:r>
        </a:p>
      </dgm:t>
    </dgm:pt>
    <dgm:pt modelId="{BCBF639B-1AB5-44E0-91CD-ABD0742ED41A}" type="parTrans" cxnId="{E6FC3FB8-0D76-4FF3-90BB-4ADE794844FC}">
      <dgm:prSet/>
      <dgm:spPr/>
      <dgm:t>
        <a:bodyPr/>
        <a:lstStyle/>
        <a:p>
          <a:endParaRPr lang="es-CO"/>
        </a:p>
      </dgm:t>
    </dgm:pt>
    <dgm:pt modelId="{27AED645-49CC-42A7-A9DA-BDFC5BA54514}" type="sibTrans" cxnId="{E6FC3FB8-0D76-4FF3-90BB-4ADE794844FC}">
      <dgm:prSet/>
      <dgm:spPr/>
      <dgm:t>
        <a:bodyPr/>
        <a:lstStyle/>
        <a:p>
          <a:endParaRPr lang="es-CO"/>
        </a:p>
      </dgm:t>
    </dgm:pt>
    <dgm:pt modelId="{BB76ED62-6764-4953-9953-C65237AA18B0}">
      <dgm:prSet phldrT="[Texto]" custT="1"/>
      <dgm:spPr/>
      <dgm:t>
        <a:bodyPr/>
        <a:lstStyle/>
        <a:p>
          <a:pPr algn="just"/>
          <a:r>
            <a:rPr lang="es-CO" sz="1000">
              <a:latin typeface="Arial Narrow" panose="020B0606020202030204" pitchFamily="34" charset="0"/>
            </a:rPr>
            <a:t>Evaluaciones de auditoria interna.</a:t>
          </a:r>
        </a:p>
        <a:p>
          <a:pPr algn="just"/>
          <a:r>
            <a:rPr lang="es-CO" sz="1000">
              <a:latin typeface="Arial Narrow" panose="020B0606020202030204" pitchFamily="34" charset="0"/>
            </a:rPr>
            <a:t>el area de contraloria interna recomienda mejoras continuamente y provee una evaluación independiente.</a:t>
          </a:r>
        </a:p>
        <a:p>
          <a:pPr algn="l"/>
          <a:endParaRPr lang="es-CO" sz="1000">
            <a:latin typeface="Arial Narrow" panose="020B0606020202030204" pitchFamily="34" charset="0"/>
          </a:endParaRPr>
        </a:p>
        <a:p>
          <a:pPr algn="l"/>
          <a:endParaRPr lang="es-CO" sz="1000">
            <a:latin typeface="Arial Narrow" panose="020B0606020202030204" pitchFamily="34" charset="0"/>
          </a:endParaRPr>
        </a:p>
        <a:p>
          <a:pPr algn="l"/>
          <a:endParaRPr lang="es-CO" sz="1000">
            <a:latin typeface="Arial Narrow" panose="020B0606020202030204" pitchFamily="34" charset="0"/>
          </a:endParaRPr>
        </a:p>
        <a:p>
          <a:pPr algn="l"/>
          <a:endParaRPr lang="es-CO" sz="1000">
            <a:latin typeface="Arial Narrow" panose="020B0606020202030204" pitchFamily="34" charset="0"/>
          </a:endParaRPr>
        </a:p>
        <a:p>
          <a:pPr algn="l"/>
          <a:endParaRPr lang="es-CO" sz="900">
            <a:latin typeface="Arial Narrow" panose="020B0606020202030204" pitchFamily="34" charset="0"/>
          </a:endParaRPr>
        </a:p>
        <a:p>
          <a:pPr algn="l"/>
          <a:r>
            <a:rPr lang="es-CO" sz="1000">
              <a:latin typeface="Arial Narrow" panose="020B0606020202030204" pitchFamily="34" charset="0"/>
            </a:rPr>
            <a:t>Gestión de riesgo correctiva</a:t>
          </a:r>
        </a:p>
      </dgm:t>
    </dgm:pt>
    <dgm:pt modelId="{8F3D46EF-0D33-4590-A10A-EA70B04C6FB0}" type="parTrans" cxnId="{D489F73C-815C-4FCD-9A95-5406418EE682}">
      <dgm:prSet/>
      <dgm:spPr/>
      <dgm:t>
        <a:bodyPr/>
        <a:lstStyle/>
        <a:p>
          <a:endParaRPr lang="es-CO"/>
        </a:p>
      </dgm:t>
    </dgm:pt>
    <dgm:pt modelId="{44B7A457-CC00-478C-BA51-7B39A6989698}" type="sibTrans" cxnId="{D489F73C-815C-4FCD-9A95-5406418EE682}">
      <dgm:prSet/>
      <dgm:spPr/>
      <dgm:t>
        <a:bodyPr/>
        <a:lstStyle/>
        <a:p>
          <a:endParaRPr lang="es-CO"/>
        </a:p>
      </dgm:t>
    </dgm:pt>
    <dgm:pt modelId="{CA43DE7D-C17F-48FE-9A5D-E68EBA6CE82F}" type="pres">
      <dgm:prSet presAssocID="{44AD7CE9-3844-403A-90F2-6BDA465C1678}" presName="Name0" presStyleCnt="0">
        <dgm:presLayoutVars>
          <dgm:dir/>
          <dgm:animLvl val="lvl"/>
          <dgm:resizeHandles val="exact"/>
        </dgm:presLayoutVars>
      </dgm:prSet>
      <dgm:spPr/>
      <dgm:t>
        <a:bodyPr/>
        <a:lstStyle/>
        <a:p>
          <a:endParaRPr lang="es-CO"/>
        </a:p>
      </dgm:t>
    </dgm:pt>
    <dgm:pt modelId="{BF0DA4DB-F501-4AF3-BD7D-A062E8B54822}" type="pres">
      <dgm:prSet presAssocID="{72786A50-E011-48C0-AB82-74CD5570C018}" presName="compositeNode" presStyleCnt="0">
        <dgm:presLayoutVars>
          <dgm:bulletEnabled val="1"/>
        </dgm:presLayoutVars>
      </dgm:prSet>
      <dgm:spPr/>
    </dgm:pt>
    <dgm:pt modelId="{C09F74FD-CEA5-4CE5-BDC1-F5A0C8EA4A53}" type="pres">
      <dgm:prSet presAssocID="{72786A50-E011-48C0-AB82-74CD5570C018}" presName="bgRect" presStyleLbl="node1" presStyleIdx="0" presStyleCnt="3"/>
      <dgm:spPr/>
      <dgm:t>
        <a:bodyPr/>
        <a:lstStyle/>
        <a:p>
          <a:endParaRPr lang="es-CO"/>
        </a:p>
      </dgm:t>
    </dgm:pt>
    <dgm:pt modelId="{21E1C404-5EC1-497F-8773-2D815E3C07E9}" type="pres">
      <dgm:prSet presAssocID="{72786A50-E011-48C0-AB82-74CD5570C018}" presName="parentNode" presStyleLbl="node1" presStyleIdx="0" presStyleCnt="3">
        <dgm:presLayoutVars>
          <dgm:chMax val="0"/>
          <dgm:bulletEnabled val="1"/>
        </dgm:presLayoutVars>
      </dgm:prSet>
      <dgm:spPr/>
      <dgm:t>
        <a:bodyPr/>
        <a:lstStyle/>
        <a:p>
          <a:endParaRPr lang="es-CO"/>
        </a:p>
      </dgm:t>
    </dgm:pt>
    <dgm:pt modelId="{E8E3AE34-8DDC-4C96-B9A3-334BB2CB7EF4}" type="pres">
      <dgm:prSet presAssocID="{72786A50-E011-48C0-AB82-74CD5570C018}" presName="childNode" presStyleLbl="node1" presStyleIdx="0" presStyleCnt="3">
        <dgm:presLayoutVars>
          <dgm:bulletEnabled val="1"/>
        </dgm:presLayoutVars>
      </dgm:prSet>
      <dgm:spPr/>
      <dgm:t>
        <a:bodyPr/>
        <a:lstStyle/>
        <a:p>
          <a:endParaRPr lang="es-CO"/>
        </a:p>
      </dgm:t>
    </dgm:pt>
    <dgm:pt modelId="{072AE9F5-540E-439F-848A-F59B062AA082}" type="pres">
      <dgm:prSet presAssocID="{34111050-FF08-43D7-AAAB-88B043F9C001}" presName="hSp" presStyleCnt="0"/>
      <dgm:spPr/>
    </dgm:pt>
    <dgm:pt modelId="{A36C3D67-4374-4547-96F5-FED7BCC72B76}" type="pres">
      <dgm:prSet presAssocID="{34111050-FF08-43D7-AAAB-88B043F9C001}" presName="vProcSp" presStyleCnt="0"/>
      <dgm:spPr/>
    </dgm:pt>
    <dgm:pt modelId="{865D1F2D-1D0C-48C1-88FB-FCA7B1C022D1}" type="pres">
      <dgm:prSet presAssocID="{34111050-FF08-43D7-AAAB-88B043F9C001}" presName="vSp1" presStyleCnt="0"/>
      <dgm:spPr/>
    </dgm:pt>
    <dgm:pt modelId="{EF6A63F8-E3CD-4935-88C8-C27C757E5EB5}" type="pres">
      <dgm:prSet presAssocID="{34111050-FF08-43D7-AAAB-88B043F9C001}" presName="simulatedConn" presStyleLbl="solidFgAcc1" presStyleIdx="0" presStyleCnt="2"/>
      <dgm:spPr/>
    </dgm:pt>
    <dgm:pt modelId="{FF0A63A2-A1C5-4903-9CA0-E27BEE7DC4CC}" type="pres">
      <dgm:prSet presAssocID="{34111050-FF08-43D7-AAAB-88B043F9C001}" presName="vSp2" presStyleCnt="0"/>
      <dgm:spPr/>
    </dgm:pt>
    <dgm:pt modelId="{25A567A2-C4CC-47ED-9092-04A6E4D56641}" type="pres">
      <dgm:prSet presAssocID="{34111050-FF08-43D7-AAAB-88B043F9C001}" presName="sibTrans" presStyleCnt="0"/>
      <dgm:spPr/>
    </dgm:pt>
    <dgm:pt modelId="{EB15C078-6BB1-46FF-9D2B-98571C86FCAA}" type="pres">
      <dgm:prSet presAssocID="{2529D431-B1F8-4A74-9936-EC9687DD8B94}" presName="compositeNode" presStyleCnt="0">
        <dgm:presLayoutVars>
          <dgm:bulletEnabled val="1"/>
        </dgm:presLayoutVars>
      </dgm:prSet>
      <dgm:spPr/>
    </dgm:pt>
    <dgm:pt modelId="{61A2A803-EFAA-4AF9-969D-FD6780B297EA}" type="pres">
      <dgm:prSet presAssocID="{2529D431-B1F8-4A74-9936-EC9687DD8B94}" presName="bgRect" presStyleLbl="node1" presStyleIdx="1" presStyleCnt="3"/>
      <dgm:spPr/>
      <dgm:t>
        <a:bodyPr/>
        <a:lstStyle/>
        <a:p>
          <a:endParaRPr lang="es-CO"/>
        </a:p>
      </dgm:t>
    </dgm:pt>
    <dgm:pt modelId="{525176E5-A4E6-470E-BEC6-2787EBFC1C7F}" type="pres">
      <dgm:prSet presAssocID="{2529D431-B1F8-4A74-9936-EC9687DD8B94}" presName="parentNode" presStyleLbl="node1" presStyleIdx="1" presStyleCnt="3">
        <dgm:presLayoutVars>
          <dgm:chMax val="0"/>
          <dgm:bulletEnabled val="1"/>
        </dgm:presLayoutVars>
      </dgm:prSet>
      <dgm:spPr/>
      <dgm:t>
        <a:bodyPr/>
        <a:lstStyle/>
        <a:p>
          <a:endParaRPr lang="es-CO"/>
        </a:p>
      </dgm:t>
    </dgm:pt>
    <dgm:pt modelId="{B989B059-2F3B-4F1A-9B4C-39ECA36CFACD}" type="pres">
      <dgm:prSet presAssocID="{2529D431-B1F8-4A74-9936-EC9687DD8B94}" presName="childNode" presStyleLbl="node1" presStyleIdx="1" presStyleCnt="3">
        <dgm:presLayoutVars>
          <dgm:bulletEnabled val="1"/>
        </dgm:presLayoutVars>
      </dgm:prSet>
      <dgm:spPr/>
      <dgm:t>
        <a:bodyPr/>
        <a:lstStyle/>
        <a:p>
          <a:endParaRPr lang="es-CO"/>
        </a:p>
      </dgm:t>
    </dgm:pt>
    <dgm:pt modelId="{ABCFE524-9378-45A0-B168-431B630A7D1E}" type="pres">
      <dgm:prSet presAssocID="{9CB2E176-1E28-482C-8A47-8C8AD43ACED0}" presName="hSp" presStyleCnt="0"/>
      <dgm:spPr/>
    </dgm:pt>
    <dgm:pt modelId="{CAC2DB95-813C-4AD0-85DF-6CDA64B58489}" type="pres">
      <dgm:prSet presAssocID="{9CB2E176-1E28-482C-8A47-8C8AD43ACED0}" presName="vProcSp" presStyleCnt="0"/>
      <dgm:spPr/>
    </dgm:pt>
    <dgm:pt modelId="{0CB6C6D4-AF7B-463E-AA20-7F4637DE58CC}" type="pres">
      <dgm:prSet presAssocID="{9CB2E176-1E28-482C-8A47-8C8AD43ACED0}" presName="vSp1" presStyleCnt="0"/>
      <dgm:spPr/>
    </dgm:pt>
    <dgm:pt modelId="{2305EE12-8A2E-48DF-BF7E-75C1F0E7B31A}" type="pres">
      <dgm:prSet presAssocID="{9CB2E176-1E28-482C-8A47-8C8AD43ACED0}" presName="simulatedConn" presStyleLbl="solidFgAcc1" presStyleIdx="1" presStyleCnt="2"/>
      <dgm:spPr/>
    </dgm:pt>
    <dgm:pt modelId="{692AD61C-4896-4257-BDE0-0D27FD14640C}" type="pres">
      <dgm:prSet presAssocID="{9CB2E176-1E28-482C-8A47-8C8AD43ACED0}" presName="vSp2" presStyleCnt="0"/>
      <dgm:spPr/>
    </dgm:pt>
    <dgm:pt modelId="{8E9621DF-9B72-4533-842E-1703D44155CC}" type="pres">
      <dgm:prSet presAssocID="{9CB2E176-1E28-482C-8A47-8C8AD43ACED0}" presName="sibTrans" presStyleCnt="0"/>
      <dgm:spPr/>
    </dgm:pt>
    <dgm:pt modelId="{35205D77-7850-4029-996A-57DD4E442113}" type="pres">
      <dgm:prSet presAssocID="{C45D54F1-F5EA-4356-B7E3-A2CB061A47A0}" presName="compositeNode" presStyleCnt="0">
        <dgm:presLayoutVars>
          <dgm:bulletEnabled val="1"/>
        </dgm:presLayoutVars>
      </dgm:prSet>
      <dgm:spPr/>
    </dgm:pt>
    <dgm:pt modelId="{C4C1335D-FB7D-4A64-9D7B-ECD54563CD62}" type="pres">
      <dgm:prSet presAssocID="{C45D54F1-F5EA-4356-B7E3-A2CB061A47A0}" presName="bgRect" presStyleLbl="node1" presStyleIdx="2" presStyleCnt="3"/>
      <dgm:spPr/>
      <dgm:t>
        <a:bodyPr/>
        <a:lstStyle/>
        <a:p>
          <a:endParaRPr lang="es-CO"/>
        </a:p>
      </dgm:t>
    </dgm:pt>
    <dgm:pt modelId="{119B6162-A3B1-4329-AA31-AB3D4FE7D22F}" type="pres">
      <dgm:prSet presAssocID="{C45D54F1-F5EA-4356-B7E3-A2CB061A47A0}" presName="parentNode" presStyleLbl="node1" presStyleIdx="2" presStyleCnt="3">
        <dgm:presLayoutVars>
          <dgm:chMax val="0"/>
          <dgm:bulletEnabled val="1"/>
        </dgm:presLayoutVars>
      </dgm:prSet>
      <dgm:spPr/>
      <dgm:t>
        <a:bodyPr/>
        <a:lstStyle/>
        <a:p>
          <a:endParaRPr lang="es-CO"/>
        </a:p>
      </dgm:t>
    </dgm:pt>
    <dgm:pt modelId="{BB0BD408-EC18-4B5A-BA82-817AEAA0BF1C}" type="pres">
      <dgm:prSet presAssocID="{C45D54F1-F5EA-4356-B7E3-A2CB061A47A0}" presName="childNode" presStyleLbl="node1" presStyleIdx="2" presStyleCnt="3">
        <dgm:presLayoutVars>
          <dgm:bulletEnabled val="1"/>
        </dgm:presLayoutVars>
      </dgm:prSet>
      <dgm:spPr/>
      <dgm:t>
        <a:bodyPr/>
        <a:lstStyle/>
        <a:p>
          <a:endParaRPr lang="es-CO"/>
        </a:p>
      </dgm:t>
    </dgm:pt>
  </dgm:ptLst>
  <dgm:cxnLst>
    <dgm:cxn modelId="{E6FC3FB8-0D76-4FF3-90BB-4ADE794844FC}" srcId="{44AD7CE9-3844-403A-90F2-6BDA465C1678}" destId="{C45D54F1-F5EA-4356-B7E3-A2CB061A47A0}" srcOrd="2" destOrd="0" parTransId="{BCBF639B-1AB5-44E0-91CD-ABD0742ED41A}" sibTransId="{27AED645-49CC-42A7-A9DA-BDFC5BA54514}"/>
    <dgm:cxn modelId="{5F6679FC-7248-408A-9174-A06417FA9DAF}" srcId="{44AD7CE9-3844-403A-90F2-6BDA465C1678}" destId="{72786A50-E011-48C0-AB82-74CD5570C018}" srcOrd="0" destOrd="0" parTransId="{ACE91D8A-9A3B-4CE9-A6D6-29827320DA6C}" sibTransId="{34111050-FF08-43D7-AAAB-88B043F9C001}"/>
    <dgm:cxn modelId="{9F27E297-BBF8-4481-8813-35497DF81B0D}" type="presOf" srcId="{5E142380-F602-4CC5-BDCD-5D34DE2801E2}" destId="{E8E3AE34-8DDC-4C96-B9A3-334BB2CB7EF4}" srcOrd="0" destOrd="0" presId="urn:microsoft.com/office/officeart/2005/8/layout/hProcess7"/>
    <dgm:cxn modelId="{EE848E72-96E9-419A-B41A-82FFBB642136}" type="presOf" srcId="{C45D54F1-F5EA-4356-B7E3-A2CB061A47A0}" destId="{C4C1335D-FB7D-4A64-9D7B-ECD54563CD62}" srcOrd="0" destOrd="0" presId="urn:microsoft.com/office/officeart/2005/8/layout/hProcess7"/>
    <dgm:cxn modelId="{DEBFEAF1-5E3E-433A-8752-452FB7301581}" srcId="{72786A50-E011-48C0-AB82-74CD5570C018}" destId="{5E142380-F602-4CC5-BDCD-5D34DE2801E2}" srcOrd="0" destOrd="0" parTransId="{80AF5A5B-BD36-4366-B6CE-9E9AB75C3432}" sibTransId="{F00AD2F4-0285-47CC-B5F2-F299596040A0}"/>
    <dgm:cxn modelId="{9317AF6D-D9D7-466A-9155-79CE5442242A}" type="presOf" srcId="{C45D54F1-F5EA-4356-B7E3-A2CB061A47A0}" destId="{119B6162-A3B1-4329-AA31-AB3D4FE7D22F}" srcOrd="1" destOrd="0" presId="urn:microsoft.com/office/officeart/2005/8/layout/hProcess7"/>
    <dgm:cxn modelId="{D489F73C-815C-4FCD-9A95-5406418EE682}" srcId="{C45D54F1-F5EA-4356-B7E3-A2CB061A47A0}" destId="{BB76ED62-6764-4953-9953-C65237AA18B0}" srcOrd="0" destOrd="0" parTransId="{8F3D46EF-0D33-4590-A10A-EA70B04C6FB0}" sibTransId="{44B7A457-CC00-478C-BA51-7B39A6989698}"/>
    <dgm:cxn modelId="{527A405B-3DDE-4443-8060-B29F3065EB4D}" type="presOf" srcId="{BB76ED62-6764-4953-9953-C65237AA18B0}" destId="{BB0BD408-EC18-4B5A-BA82-817AEAA0BF1C}" srcOrd="0" destOrd="0" presId="urn:microsoft.com/office/officeart/2005/8/layout/hProcess7"/>
    <dgm:cxn modelId="{FDBEE2B3-86E2-455A-B13E-93FA5D446D95}" type="presOf" srcId="{44AD7CE9-3844-403A-90F2-6BDA465C1678}" destId="{CA43DE7D-C17F-48FE-9A5D-E68EBA6CE82F}" srcOrd="0" destOrd="0" presId="urn:microsoft.com/office/officeart/2005/8/layout/hProcess7"/>
    <dgm:cxn modelId="{A6A1C4B8-4E08-4CD0-96EC-A58D401337BA}" type="presOf" srcId="{72786A50-E011-48C0-AB82-74CD5570C018}" destId="{C09F74FD-CEA5-4CE5-BDC1-F5A0C8EA4A53}" srcOrd="0" destOrd="0" presId="urn:microsoft.com/office/officeart/2005/8/layout/hProcess7"/>
    <dgm:cxn modelId="{6848C390-DAE0-40BE-B27E-E824F27F1593}" srcId="{2529D431-B1F8-4A74-9936-EC9687DD8B94}" destId="{91D88072-A1E2-48FA-95A0-BEC393B3C85A}" srcOrd="0" destOrd="0" parTransId="{E41CA490-ECEC-40D2-A936-5C145E26A977}" sibTransId="{8BD2A2A2-B238-4093-83C5-E5E3D147D998}"/>
    <dgm:cxn modelId="{6E108E0F-1FE0-4CEE-970C-43FE13B44161}" type="presOf" srcId="{2529D431-B1F8-4A74-9936-EC9687DD8B94}" destId="{61A2A803-EFAA-4AF9-969D-FD6780B297EA}" srcOrd="0" destOrd="0" presId="urn:microsoft.com/office/officeart/2005/8/layout/hProcess7"/>
    <dgm:cxn modelId="{F3099936-0482-49D9-9213-4170012DD021}" type="presOf" srcId="{72786A50-E011-48C0-AB82-74CD5570C018}" destId="{21E1C404-5EC1-497F-8773-2D815E3C07E9}" srcOrd="1" destOrd="0" presId="urn:microsoft.com/office/officeart/2005/8/layout/hProcess7"/>
    <dgm:cxn modelId="{A30F0BE2-291A-44D5-9E54-78C4C5DBACC5}" type="presOf" srcId="{91D88072-A1E2-48FA-95A0-BEC393B3C85A}" destId="{B989B059-2F3B-4F1A-9B4C-39ECA36CFACD}" srcOrd="0" destOrd="0" presId="urn:microsoft.com/office/officeart/2005/8/layout/hProcess7"/>
    <dgm:cxn modelId="{B12F22D7-D7AC-47BC-AD93-81CC9308ABB9}" srcId="{44AD7CE9-3844-403A-90F2-6BDA465C1678}" destId="{2529D431-B1F8-4A74-9936-EC9687DD8B94}" srcOrd="1" destOrd="0" parTransId="{E9D5293B-7767-4174-8DF7-07D433134018}" sibTransId="{9CB2E176-1E28-482C-8A47-8C8AD43ACED0}"/>
    <dgm:cxn modelId="{0E9F2844-1988-4A44-A210-5595A6031840}" type="presOf" srcId="{2529D431-B1F8-4A74-9936-EC9687DD8B94}" destId="{525176E5-A4E6-470E-BEC6-2787EBFC1C7F}" srcOrd="1" destOrd="0" presId="urn:microsoft.com/office/officeart/2005/8/layout/hProcess7"/>
    <dgm:cxn modelId="{D5E1E0ED-EB30-4384-AB6E-92548C7CBEA9}" type="presParOf" srcId="{CA43DE7D-C17F-48FE-9A5D-E68EBA6CE82F}" destId="{BF0DA4DB-F501-4AF3-BD7D-A062E8B54822}" srcOrd="0" destOrd="0" presId="urn:microsoft.com/office/officeart/2005/8/layout/hProcess7"/>
    <dgm:cxn modelId="{10866D8D-65F7-4224-B975-7D50FA36361F}" type="presParOf" srcId="{BF0DA4DB-F501-4AF3-BD7D-A062E8B54822}" destId="{C09F74FD-CEA5-4CE5-BDC1-F5A0C8EA4A53}" srcOrd="0" destOrd="0" presId="urn:microsoft.com/office/officeart/2005/8/layout/hProcess7"/>
    <dgm:cxn modelId="{F8CBE14A-40A9-430B-97E6-3688C1AC0012}" type="presParOf" srcId="{BF0DA4DB-F501-4AF3-BD7D-A062E8B54822}" destId="{21E1C404-5EC1-497F-8773-2D815E3C07E9}" srcOrd="1" destOrd="0" presId="urn:microsoft.com/office/officeart/2005/8/layout/hProcess7"/>
    <dgm:cxn modelId="{A1B96312-5D55-4084-8B6B-A49A1F21A8E1}" type="presParOf" srcId="{BF0DA4DB-F501-4AF3-BD7D-A062E8B54822}" destId="{E8E3AE34-8DDC-4C96-B9A3-334BB2CB7EF4}" srcOrd="2" destOrd="0" presId="urn:microsoft.com/office/officeart/2005/8/layout/hProcess7"/>
    <dgm:cxn modelId="{90595B59-A6A5-4441-8100-0B3708327D75}" type="presParOf" srcId="{CA43DE7D-C17F-48FE-9A5D-E68EBA6CE82F}" destId="{072AE9F5-540E-439F-848A-F59B062AA082}" srcOrd="1" destOrd="0" presId="urn:microsoft.com/office/officeart/2005/8/layout/hProcess7"/>
    <dgm:cxn modelId="{E3EF2FA2-441F-4E8E-ABAE-9458C1308829}" type="presParOf" srcId="{CA43DE7D-C17F-48FE-9A5D-E68EBA6CE82F}" destId="{A36C3D67-4374-4547-96F5-FED7BCC72B76}" srcOrd="2" destOrd="0" presId="urn:microsoft.com/office/officeart/2005/8/layout/hProcess7"/>
    <dgm:cxn modelId="{53E1D375-27CA-4060-A260-488592EBE246}" type="presParOf" srcId="{A36C3D67-4374-4547-96F5-FED7BCC72B76}" destId="{865D1F2D-1D0C-48C1-88FB-FCA7B1C022D1}" srcOrd="0" destOrd="0" presId="urn:microsoft.com/office/officeart/2005/8/layout/hProcess7"/>
    <dgm:cxn modelId="{1E48321E-FC7A-4D4E-95C6-94FA2F1489C1}" type="presParOf" srcId="{A36C3D67-4374-4547-96F5-FED7BCC72B76}" destId="{EF6A63F8-E3CD-4935-88C8-C27C757E5EB5}" srcOrd="1" destOrd="0" presId="urn:microsoft.com/office/officeart/2005/8/layout/hProcess7"/>
    <dgm:cxn modelId="{6240ADFF-6204-43A5-ACE5-43B49E0AED4F}" type="presParOf" srcId="{A36C3D67-4374-4547-96F5-FED7BCC72B76}" destId="{FF0A63A2-A1C5-4903-9CA0-E27BEE7DC4CC}" srcOrd="2" destOrd="0" presId="urn:microsoft.com/office/officeart/2005/8/layout/hProcess7"/>
    <dgm:cxn modelId="{23C16577-EEE1-479D-BD55-D3FD458D9DAF}" type="presParOf" srcId="{CA43DE7D-C17F-48FE-9A5D-E68EBA6CE82F}" destId="{25A567A2-C4CC-47ED-9092-04A6E4D56641}" srcOrd="3" destOrd="0" presId="urn:microsoft.com/office/officeart/2005/8/layout/hProcess7"/>
    <dgm:cxn modelId="{01B7CF14-49CD-4FC9-8D52-5AD30B67266D}" type="presParOf" srcId="{CA43DE7D-C17F-48FE-9A5D-E68EBA6CE82F}" destId="{EB15C078-6BB1-46FF-9D2B-98571C86FCAA}" srcOrd="4" destOrd="0" presId="urn:microsoft.com/office/officeart/2005/8/layout/hProcess7"/>
    <dgm:cxn modelId="{7A0D77CD-FB46-4C40-B668-6226ECE04A01}" type="presParOf" srcId="{EB15C078-6BB1-46FF-9D2B-98571C86FCAA}" destId="{61A2A803-EFAA-4AF9-969D-FD6780B297EA}" srcOrd="0" destOrd="0" presId="urn:microsoft.com/office/officeart/2005/8/layout/hProcess7"/>
    <dgm:cxn modelId="{14238F96-7685-4CCD-9449-3D7BD4C1A5C2}" type="presParOf" srcId="{EB15C078-6BB1-46FF-9D2B-98571C86FCAA}" destId="{525176E5-A4E6-470E-BEC6-2787EBFC1C7F}" srcOrd="1" destOrd="0" presId="urn:microsoft.com/office/officeart/2005/8/layout/hProcess7"/>
    <dgm:cxn modelId="{B8D15B68-9CE0-4239-A35F-0158D848DC13}" type="presParOf" srcId="{EB15C078-6BB1-46FF-9D2B-98571C86FCAA}" destId="{B989B059-2F3B-4F1A-9B4C-39ECA36CFACD}" srcOrd="2" destOrd="0" presId="urn:microsoft.com/office/officeart/2005/8/layout/hProcess7"/>
    <dgm:cxn modelId="{2F8EB559-425C-4943-8354-55AE21ABCC80}" type="presParOf" srcId="{CA43DE7D-C17F-48FE-9A5D-E68EBA6CE82F}" destId="{ABCFE524-9378-45A0-B168-431B630A7D1E}" srcOrd="5" destOrd="0" presId="urn:microsoft.com/office/officeart/2005/8/layout/hProcess7"/>
    <dgm:cxn modelId="{A07AC90B-415A-4ABB-A70F-70BCF2F32DA7}" type="presParOf" srcId="{CA43DE7D-C17F-48FE-9A5D-E68EBA6CE82F}" destId="{CAC2DB95-813C-4AD0-85DF-6CDA64B58489}" srcOrd="6" destOrd="0" presId="urn:microsoft.com/office/officeart/2005/8/layout/hProcess7"/>
    <dgm:cxn modelId="{38FB43CA-9257-4314-9041-4F28C526F2C1}" type="presParOf" srcId="{CAC2DB95-813C-4AD0-85DF-6CDA64B58489}" destId="{0CB6C6D4-AF7B-463E-AA20-7F4637DE58CC}" srcOrd="0" destOrd="0" presId="urn:microsoft.com/office/officeart/2005/8/layout/hProcess7"/>
    <dgm:cxn modelId="{1CBB81BF-D809-4C9C-AC9D-89C9DD28FE2F}" type="presParOf" srcId="{CAC2DB95-813C-4AD0-85DF-6CDA64B58489}" destId="{2305EE12-8A2E-48DF-BF7E-75C1F0E7B31A}" srcOrd="1" destOrd="0" presId="urn:microsoft.com/office/officeart/2005/8/layout/hProcess7"/>
    <dgm:cxn modelId="{77B895BB-DF2D-4A4F-9C17-885A4C67C870}" type="presParOf" srcId="{CAC2DB95-813C-4AD0-85DF-6CDA64B58489}" destId="{692AD61C-4896-4257-BDE0-0D27FD14640C}" srcOrd="2" destOrd="0" presId="urn:microsoft.com/office/officeart/2005/8/layout/hProcess7"/>
    <dgm:cxn modelId="{9A4B1F72-8AD9-483A-873B-8033DF6FEB4B}" type="presParOf" srcId="{CA43DE7D-C17F-48FE-9A5D-E68EBA6CE82F}" destId="{8E9621DF-9B72-4533-842E-1703D44155CC}" srcOrd="7" destOrd="0" presId="urn:microsoft.com/office/officeart/2005/8/layout/hProcess7"/>
    <dgm:cxn modelId="{340B0ECB-947C-47EF-8B0D-01EC7066FB1A}" type="presParOf" srcId="{CA43DE7D-C17F-48FE-9A5D-E68EBA6CE82F}" destId="{35205D77-7850-4029-996A-57DD4E442113}" srcOrd="8" destOrd="0" presId="urn:microsoft.com/office/officeart/2005/8/layout/hProcess7"/>
    <dgm:cxn modelId="{B7262BDA-20A4-4543-81EC-B04D69C63673}" type="presParOf" srcId="{35205D77-7850-4029-996A-57DD4E442113}" destId="{C4C1335D-FB7D-4A64-9D7B-ECD54563CD62}" srcOrd="0" destOrd="0" presId="urn:microsoft.com/office/officeart/2005/8/layout/hProcess7"/>
    <dgm:cxn modelId="{FA5056E5-16EC-4CD1-8543-9A2960782365}" type="presParOf" srcId="{35205D77-7850-4029-996A-57DD4E442113}" destId="{119B6162-A3B1-4329-AA31-AB3D4FE7D22F}" srcOrd="1" destOrd="0" presId="urn:microsoft.com/office/officeart/2005/8/layout/hProcess7"/>
    <dgm:cxn modelId="{1353C832-D023-43A5-9F41-BF39F9D2A576}" type="presParOf" srcId="{35205D77-7850-4029-996A-57DD4E442113}" destId="{BB0BD408-EC18-4B5A-BA82-817AEAA0BF1C}" srcOrd="2" destOrd="0" presId="urn:microsoft.com/office/officeart/2005/8/layout/hProcess7"/>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E7A426A-919F-4910-810C-8B90CE3897BF}" type="doc">
      <dgm:prSet loTypeId="urn:microsoft.com/office/officeart/2009/layout/CircleArrowProcess" loCatId="cycle" qsTypeId="urn:microsoft.com/office/officeart/2005/8/quickstyle/simple1" qsCatId="simple" csTypeId="urn:microsoft.com/office/officeart/2005/8/colors/accent1_2" csCatId="accent1" phldr="1"/>
      <dgm:spPr/>
      <dgm:t>
        <a:bodyPr/>
        <a:lstStyle/>
        <a:p>
          <a:endParaRPr lang="es-CO"/>
        </a:p>
      </dgm:t>
    </dgm:pt>
    <dgm:pt modelId="{DD035F7F-2956-4E1C-8559-39801BC304A1}">
      <dgm:prSet phldrT="[Texto]"/>
      <dgm:spPr/>
      <dgm:t>
        <a:bodyPr/>
        <a:lstStyle/>
        <a:p>
          <a:r>
            <a:rPr lang="es-CO"/>
            <a:t>Todos los funcionarios</a:t>
          </a:r>
        </a:p>
      </dgm:t>
    </dgm:pt>
    <dgm:pt modelId="{2C14B166-E8D7-49A8-ADE8-C63F279BF014}" type="parTrans" cxnId="{DCB0DB3C-CE3A-4EEE-8C77-23F4BDB6D70D}">
      <dgm:prSet/>
      <dgm:spPr/>
      <dgm:t>
        <a:bodyPr/>
        <a:lstStyle/>
        <a:p>
          <a:endParaRPr lang="es-CO"/>
        </a:p>
      </dgm:t>
    </dgm:pt>
    <dgm:pt modelId="{C1D16BD8-6C37-4F56-AD4A-74DE2AE157C5}" type="sibTrans" cxnId="{DCB0DB3C-CE3A-4EEE-8C77-23F4BDB6D70D}">
      <dgm:prSet/>
      <dgm:spPr/>
      <dgm:t>
        <a:bodyPr/>
        <a:lstStyle/>
        <a:p>
          <a:endParaRPr lang="es-CO"/>
        </a:p>
      </dgm:t>
    </dgm:pt>
    <dgm:pt modelId="{987E715E-DBA6-40BD-BC44-86AAA9B0FB55}">
      <dgm:prSet phldrT="[Texto]"/>
      <dgm:spPr/>
      <dgm:t>
        <a:bodyPr/>
        <a:lstStyle/>
        <a:p>
          <a:r>
            <a:rPr lang="es-CO"/>
            <a:t>Gestor de riesgo</a:t>
          </a:r>
        </a:p>
      </dgm:t>
    </dgm:pt>
    <dgm:pt modelId="{FE08CC42-92D0-4ED2-8664-827ABBA7944A}" type="parTrans" cxnId="{026334BA-1D1D-4A93-BC52-7802C03FC5B5}">
      <dgm:prSet/>
      <dgm:spPr/>
      <dgm:t>
        <a:bodyPr/>
        <a:lstStyle/>
        <a:p>
          <a:endParaRPr lang="es-CO"/>
        </a:p>
      </dgm:t>
    </dgm:pt>
    <dgm:pt modelId="{542FF3EB-5E86-4B91-837D-96084DF74C44}" type="sibTrans" cxnId="{026334BA-1D1D-4A93-BC52-7802C03FC5B5}">
      <dgm:prSet/>
      <dgm:spPr/>
      <dgm:t>
        <a:bodyPr/>
        <a:lstStyle/>
        <a:p>
          <a:endParaRPr lang="es-CO"/>
        </a:p>
      </dgm:t>
    </dgm:pt>
    <dgm:pt modelId="{0D96D399-E6FD-4257-9721-4B7CA40D5ACE}">
      <dgm:prSet phldrT="[Texto]"/>
      <dgm:spPr/>
      <dgm:t>
        <a:bodyPr/>
        <a:lstStyle/>
        <a:p>
          <a:r>
            <a:rPr lang="es-CO"/>
            <a:t>Subdirector del area</a:t>
          </a:r>
        </a:p>
      </dgm:t>
    </dgm:pt>
    <dgm:pt modelId="{8BBEE773-FA21-4E26-9E62-1F7964FD79CD}" type="parTrans" cxnId="{95426C52-DA20-490C-8A89-FB9057C0DD4D}">
      <dgm:prSet/>
      <dgm:spPr/>
      <dgm:t>
        <a:bodyPr/>
        <a:lstStyle/>
        <a:p>
          <a:endParaRPr lang="es-CO"/>
        </a:p>
      </dgm:t>
    </dgm:pt>
    <dgm:pt modelId="{51D5CD3D-FAF4-4DC3-A27F-7EED02571569}" type="sibTrans" cxnId="{95426C52-DA20-490C-8A89-FB9057C0DD4D}">
      <dgm:prSet/>
      <dgm:spPr/>
      <dgm:t>
        <a:bodyPr/>
        <a:lstStyle/>
        <a:p>
          <a:endParaRPr lang="es-CO"/>
        </a:p>
      </dgm:t>
    </dgm:pt>
    <dgm:pt modelId="{750BA54D-421E-45A5-A9DF-28A8FF3D1B8E}">
      <dgm:prSet/>
      <dgm:spPr/>
      <dgm:t>
        <a:bodyPr/>
        <a:lstStyle/>
        <a:p>
          <a:r>
            <a:rPr lang="es-CO"/>
            <a:t>Subdirección de Riesgo</a:t>
          </a:r>
        </a:p>
      </dgm:t>
    </dgm:pt>
    <dgm:pt modelId="{848125E3-184F-47CA-A63A-ED03DDC1CDE5}" type="parTrans" cxnId="{2D636E9D-0F00-4B8D-8FA5-1E9581B762F3}">
      <dgm:prSet/>
      <dgm:spPr/>
      <dgm:t>
        <a:bodyPr/>
        <a:lstStyle/>
        <a:p>
          <a:endParaRPr lang="es-CO"/>
        </a:p>
      </dgm:t>
    </dgm:pt>
    <dgm:pt modelId="{1549265B-B90E-45B0-AC96-7D265DAADD88}" type="sibTrans" cxnId="{2D636E9D-0F00-4B8D-8FA5-1E9581B762F3}">
      <dgm:prSet/>
      <dgm:spPr/>
      <dgm:t>
        <a:bodyPr/>
        <a:lstStyle/>
        <a:p>
          <a:endParaRPr lang="es-CO"/>
        </a:p>
      </dgm:t>
    </dgm:pt>
    <dgm:pt modelId="{5272E99A-54AB-48B2-96E8-CF429FB28C0A}">
      <dgm:prSet/>
      <dgm:spPr/>
      <dgm:t>
        <a:bodyPr/>
        <a:lstStyle/>
        <a:p>
          <a:r>
            <a:rPr lang="es-CO"/>
            <a:t>DGCPTN</a:t>
          </a:r>
        </a:p>
      </dgm:t>
    </dgm:pt>
    <dgm:pt modelId="{A14ECAD7-48AD-42B5-8AB2-94291DD3A0BA}" type="parTrans" cxnId="{05EBAA02-34E5-4E1C-ABC8-7EF69029709F}">
      <dgm:prSet/>
      <dgm:spPr/>
      <dgm:t>
        <a:bodyPr/>
        <a:lstStyle/>
        <a:p>
          <a:endParaRPr lang="es-CO"/>
        </a:p>
      </dgm:t>
    </dgm:pt>
    <dgm:pt modelId="{8A82D495-0EA5-4635-93F9-3751C280B216}" type="sibTrans" cxnId="{05EBAA02-34E5-4E1C-ABC8-7EF69029709F}">
      <dgm:prSet/>
      <dgm:spPr/>
      <dgm:t>
        <a:bodyPr/>
        <a:lstStyle/>
        <a:p>
          <a:endParaRPr lang="es-CO"/>
        </a:p>
      </dgm:t>
    </dgm:pt>
    <dgm:pt modelId="{A918BB32-332E-468C-A934-9FDD659B88E4}" type="pres">
      <dgm:prSet presAssocID="{4E7A426A-919F-4910-810C-8B90CE3897BF}" presName="Name0" presStyleCnt="0">
        <dgm:presLayoutVars>
          <dgm:chMax val="7"/>
          <dgm:chPref val="7"/>
          <dgm:dir val="rev"/>
          <dgm:animLvl val="lvl"/>
        </dgm:presLayoutVars>
      </dgm:prSet>
      <dgm:spPr/>
      <dgm:t>
        <a:bodyPr/>
        <a:lstStyle/>
        <a:p>
          <a:endParaRPr lang="es-CO"/>
        </a:p>
      </dgm:t>
    </dgm:pt>
    <dgm:pt modelId="{179B9EF3-8748-4DE8-9A3D-E4E74B716B83}" type="pres">
      <dgm:prSet presAssocID="{DD035F7F-2956-4E1C-8559-39801BC304A1}" presName="Accent1" presStyleCnt="0"/>
      <dgm:spPr/>
    </dgm:pt>
    <dgm:pt modelId="{48941450-DE20-4A5C-BDD1-52B6BF938E85}" type="pres">
      <dgm:prSet presAssocID="{DD035F7F-2956-4E1C-8559-39801BC304A1}" presName="Accent" presStyleLbl="node1" presStyleIdx="0" presStyleCnt="5"/>
      <dgm:spPr/>
    </dgm:pt>
    <dgm:pt modelId="{4E1D0D9E-391B-4888-9859-AE8A6C5667A6}" type="pres">
      <dgm:prSet presAssocID="{DD035F7F-2956-4E1C-8559-39801BC304A1}" presName="Parent1" presStyleLbl="revTx" presStyleIdx="0" presStyleCnt="5">
        <dgm:presLayoutVars>
          <dgm:chMax val="1"/>
          <dgm:chPref val="1"/>
          <dgm:bulletEnabled val="1"/>
        </dgm:presLayoutVars>
      </dgm:prSet>
      <dgm:spPr/>
      <dgm:t>
        <a:bodyPr/>
        <a:lstStyle/>
        <a:p>
          <a:endParaRPr lang="es-CO"/>
        </a:p>
      </dgm:t>
    </dgm:pt>
    <dgm:pt modelId="{0E8FDCA6-352B-4217-B79F-B87955B1F386}" type="pres">
      <dgm:prSet presAssocID="{987E715E-DBA6-40BD-BC44-86AAA9B0FB55}" presName="Accent2" presStyleCnt="0"/>
      <dgm:spPr/>
    </dgm:pt>
    <dgm:pt modelId="{65149967-DCC9-41DC-974D-F078C49DC5F9}" type="pres">
      <dgm:prSet presAssocID="{987E715E-DBA6-40BD-BC44-86AAA9B0FB55}" presName="Accent" presStyleLbl="node1" presStyleIdx="1" presStyleCnt="5"/>
      <dgm:spPr/>
    </dgm:pt>
    <dgm:pt modelId="{608875DF-9DE0-47EA-8FE7-2015F49D2B3D}" type="pres">
      <dgm:prSet presAssocID="{987E715E-DBA6-40BD-BC44-86AAA9B0FB55}" presName="Parent2" presStyleLbl="revTx" presStyleIdx="1" presStyleCnt="5">
        <dgm:presLayoutVars>
          <dgm:chMax val="1"/>
          <dgm:chPref val="1"/>
          <dgm:bulletEnabled val="1"/>
        </dgm:presLayoutVars>
      </dgm:prSet>
      <dgm:spPr/>
      <dgm:t>
        <a:bodyPr/>
        <a:lstStyle/>
        <a:p>
          <a:endParaRPr lang="es-CO"/>
        </a:p>
      </dgm:t>
    </dgm:pt>
    <dgm:pt modelId="{27450CA1-46B8-4D51-8792-FD1CAEF8884A}" type="pres">
      <dgm:prSet presAssocID="{0D96D399-E6FD-4257-9721-4B7CA40D5ACE}" presName="Accent3" presStyleCnt="0"/>
      <dgm:spPr/>
    </dgm:pt>
    <dgm:pt modelId="{089BD4D3-0399-45A2-B5EF-E35F3194013A}" type="pres">
      <dgm:prSet presAssocID="{0D96D399-E6FD-4257-9721-4B7CA40D5ACE}" presName="Accent" presStyleLbl="node1" presStyleIdx="2" presStyleCnt="5"/>
      <dgm:spPr/>
      <dgm:t>
        <a:bodyPr/>
        <a:lstStyle/>
        <a:p>
          <a:endParaRPr lang="es-CO"/>
        </a:p>
      </dgm:t>
    </dgm:pt>
    <dgm:pt modelId="{46DAA362-AA08-46DD-8D66-10C8A9D0529A}" type="pres">
      <dgm:prSet presAssocID="{0D96D399-E6FD-4257-9721-4B7CA40D5ACE}" presName="Parent3" presStyleLbl="revTx" presStyleIdx="2" presStyleCnt="5">
        <dgm:presLayoutVars>
          <dgm:chMax val="1"/>
          <dgm:chPref val="1"/>
          <dgm:bulletEnabled val="1"/>
        </dgm:presLayoutVars>
      </dgm:prSet>
      <dgm:spPr/>
      <dgm:t>
        <a:bodyPr/>
        <a:lstStyle/>
        <a:p>
          <a:endParaRPr lang="es-CO"/>
        </a:p>
      </dgm:t>
    </dgm:pt>
    <dgm:pt modelId="{029E7AE8-4132-4AB9-896B-CC4AB25591BC}" type="pres">
      <dgm:prSet presAssocID="{750BA54D-421E-45A5-A9DF-28A8FF3D1B8E}" presName="Accent4" presStyleCnt="0"/>
      <dgm:spPr/>
    </dgm:pt>
    <dgm:pt modelId="{B1F12CA7-055F-45F5-BC5D-4B9CCB2037F6}" type="pres">
      <dgm:prSet presAssocID="{750BA54D-421E-45A5-A9DF-28A8FF3D1B8E}" presName="Accent" presStyleLbl="node1" presStyleIdx="3" presStyleCnt="5"/>
      <dgm:spPr/>
    </dgm:pt>
    <dgm:pt modelId="{DB9B9AAE-208B-48A8-A430-553FB073D5C4}" type="pres">
      <dgm:prSet presAssocID="{750BA54D-421E-45A5-A9DF-28A8FF3D1B8E}" presName="Parent4" presStyleLbl="revTx" presStyleIdx="3" presStyleCnt="5">
        <dgm:presLayoutVars>
          <dgm:chMax val="1"/>
          <dgm:chPref val="1"/>
          <dgm:bulletEnabled val="1"/>
        </dgm:presLayoutVars>
      </dgm:prSet>
      <dgm:spPr/>
      <dgm:t>
        <a:bodyPr/>
        <a:lstStyle/>
        <a:p>
          <a:endParaRPr lang="es-CO"/>
        </a:p>
      </dgm:t>
    </dgm:pt>
    <dgm:pt modelId="{1707B50F-B2E2-49D6-89D6-A12B1112D4B7}" type="pres">
      <dgm:prSet presAssocID="{5272E99A-54AB-48B2-96E8-CF429FB28C0A}" presName="Accent5" presStyleCnt="0"/>
      <dgm:spPr/>
    </dgm:pt>
    <dgm:pt modelId="{490F47F3-A169-4139-986B-2587E145FB7E}" type="pres">
      <dgm:prSet presAssocID="{5272E99A-54AB-48B2-96E8-CF429FB28C0A}" presName="Accent" presStyleLbl="node1" presStyleIdx="4" presStyleCnt="5"/>
      <dgm:spPr/>
    </dgm:pt>
    <dgm:pt modelId="{F5B807DE-4AC4-440A-BF19-2042DE5C0B12}" type="pres">
      <dgm:prSet presAssocID="{5272E99A-54AB-48B2-96E8-CF429FB28C0A}" presName="Parent5" presStyleLbl="revTx" presStyleIdx="4" presStyleCnt="5">
        <dgm:presLayoutVars>
          <dgm:chMax val="1"/>
          <dgm:chPref val="1"/>
          <dgm:bulletEnabled val="1"/>
        </dgm:presLayoutVars>
      </dgm:prSet>
      <dgm:spPr/>
      <dgm:t>
        <a:bodyPr/>
        <a:lstStyle/>
        <a:p>
          <a:endParaRPr lang="es-CO"/>
        </a:p>
      </dgm:t>
    </dgm:pt>
  </dgm:ptLst>
  <dgm:cxnLst>
    <dgm:cxn modelId="{05EBAA02-34E5-4E1C-ABC8-7EF69029709F}" srcId="{4E7A426A-919F-4910-810C-8B90CE3897BF}" destId="{5272E99A-54AB-48B2-96E8-CF429FB28C0A}" srcOrd="4" destOrd="0" parTransId="{A14ECAD7-48AD-42B5-8AB2-94291DD3A0BA}" sibTransId="{8A82D495-0EA5-4635-93F9-3751C280B216}"/>
    <dgm:cxn modelId="{B81CBBC7-FB6C-4DE4-A60A-13C124886B37}" type="presOf" srcId="{750BA54D-421E-45A5-A9DF-28A8FF3D1B8E}" destId="{DB9B9AAE-208B-48A8-A430-553FB073D5C4}" srcOrd="0" destOrd="0" presId="urn:microsoft.com/office/officeart/2009/layout/CircleArrowProcess"/>
    <dgm:cxn modelId="{95426C52-DA20-490C-8A89-FB9057C0DD4D}" srcId="{4E7A426A-919F-4910-810C-8B90CE3897BF}" destId="{0D96D399-E6FD-4257-9721-4B7CA40D5ACE}" srcOrd="2" destOrd="0" parTransId="{8BBEE773-FA21-4E26-9E62-1F7964FD79CD}" sibTransId="{51D5CD3D-FAF4-4DC3-A27F-7EED02571569}"/>
    <dgm:cxn modelId="{2D636E9D-0F00-4B8D-8FA5-1E9581B762F3}" srcId="{4E7A426A-919F-4910-810C-8B90CE3897BF}" destId="{750BA54D-421E-45A5-A9DF-28A8FF3D1B8E}" srcOrd="3" destOrd="0" parTransId="{848125E3-184F-47CA-A63A-ED03DDC1CDE5}" sibTransId="{1549265B-B90E-45B0-AC96-7D265DAADD88}"/>
    <dgm:cxn modelId="{61953152-FD31-40F7-8397-D7316A94734A}" type="presOf" srcId="{5272E99A-54AB-48B2-96E8-CF429FB28C0A}" destId="{F5B807DE-4AC4-440A-BF19-2042DE5C0B12}" srcOrd="0" destOrd="0" presId="urn:microsoft.com/office/officeart/2009/layout/CircleArrowProcess"/>
    <dgm:cxn modelId="{2F2A938F-F8C1-4B56-8DDF-FE8255C1C780}" type="presOf" srcId="{4E7A426A-919F-4910-810C-8B90CE3897BF}" destId="{A918BB32-332E-468C-A934-9FDD659B88E4}" srcOrd="0" destOrd="0" presId="urn:microsoft.com/office/officeart/2009/layout/CircleArrowProcess"/>
    <dgm:cxn modelId="{DCB0DB3C-CE3A-4EEE-8C77-23F4BDB6D70D}" srcId="{4E7A426A-919F-4910-810C-8B90CE3897BF}" destId="{DD035F7F-2956-4E1C-8559-39801BC304A1}" srcOrd="0" destOrd="0" parTransId="{2C14B166-E8D7-49A8-ADE8-C63F279BF014}" sibTransId="{C1D16BD8-6C37-4F56-AD4A-74DE2AE157C5}"/>
    <dgm:cxn modelId="{026334BA-1D1D-4A93-BC52-7802C03FC5B5}" srcId="{4E7A426A-919F-4910-810C-8B90CE3897BF}" destId="{987E715E-DBA6-40BD-BC44-86AAA9B0FB55}" srcOrd="1" destOrd="0" parTransId="{FE08CC42-92D0-4ED2-8664-827ABBA7944A}" sibTransId="{542FF3EB-5E86-4B91-837D-96084DF74C44}"/>
    <dgm:cxn modelId="{7D953168-9A1E-4B1C-B315-324F40F9C98E}" type="presOf" srcId="{DD035F7F-2956-4E1C-8559-39801BC304A1}" destId="{4E1D0D9E-391B-4888-9859-AE8A6C5667A6}" srcOrd="0" destOrd="0" presId="urn:microsoft.com/office/officeart/2009/layout/CircleArrowProcess"/>
    <dgm:cxn modelId="{EFDE643A-63A2-4850-8D98-CC2AE38F1B64}" type="presOf" srcId="{987E715E-DBA6-40BD-BC44-86AAA9B0FB55}" destId="{608875DF-9DE0-47EA-8FE7-2015F49D2B3D}" srcOrd="0" destOrd="0" presId="urn:microsoft.com/office/officeart/2009/layout/CircleArrowProcess"/>
    <dgm:cxn modelId="{CED5207D-4E98-4D89-A646-86A61B6C0EB2}" type="presOf" srcId="{0D96D399-E6FD-4257-9721-4B7CA40D5ACE}" destId="{46DAA362-AA08-46DD-8D66-10C8A9D0529A}" srcOrd="0" destOrd="0" presId="urn:microsoft.com/office/officeart/2009/layout/CircleArrowProcess"/>
    <dgm:cxn modelId="{6BE42DE8-33AF-4C97-95E5-EBF6E97A94ED}" type="presParOf" srcId="{A918BB32-332E-468C-A934-9FDD659B88E4}" destId="{179B9EF3-8748-4DE8-9A3D-E4E74B716B83}" srcOrd="0" destOrd="0" presId="urn:microsoft.com/office/officeart/2009/layout/CircleArrowProcess"/>
    <dgm:cxn modelId="{B9A3EFA5-A993-43D3-8BF7-5D2FFF6EFC83}" type="presParOf" srcId="{179B9EF3-8748-4DE8-9A3D-E4E74B716B83}" destId="{48941450-DE20-4A5C-BDD1-52B6BF938E85}" srcOrd="0" destOrd="0" presId="urn:microsoft.com/office/officeart/2009/layout/CircleArrowProcess"/>
    <dgm:cxn modelId="{9543F1C6-C554-4BAD-BDDF-43CD4D2E605D}" type="presParOf" srcId="{A918BB32-332E-468C-A934-9FDD659B88E4}" destId="{4E1D0D9E-391B-4888-9859-AE8A6C5667A6}" srcOrd="1" destOrd="0" presId="urn:microsoft.com/office/officeart/2009/layout/CircleArrowProcess"/>
    <dgm:cxn modelId="{7FA18550-E7CB-4222-ADA5-F72C2C8CD03C}" type="presParOf" srcId="{A918BB32-332E-468C-A934-9FDD659B88E4}" destId="{0E8FDCA6-352B-4217-B79F-B87955B1F386}" srcOrd="2" destOrd="0" presId="urn:microsoft.com/office/officeart/2009/layout/CircleArrowProcess"/>
    <dgm:cxn modelId="{CE2BE80A-8EF1-48C6-84DD-95537D796A17}" type="presParOf" srcId="{0E8FDCA6-352B-4217-B79F-B87955B1F386}" destId="{65149967-DCC9-41DC-974D-F078C49DC5F9}" srcOrd="0" destOrd="0" presId="urn:microsoft.com/office/officeart/2009/layout/CircleArrowProcess"/>
    <dgm:cxn modelId="{A5A5A198-BCE6-4B2F-B391-D59519D322CD}" type="presParOf" srcId="{A918BB32-332E-468C-A934-9FDD659B88E4}" destId="{608875DF-9DE0-47EA-8FE7-2015F49D2B3D}" srcOrd="3" destOrd="0" presId="urn:microsoft.com/office/officeart/2009/layout/CircleArrowProcess"/>
    <dgm:cxn modelId="{E6B6EAC9-1E0B-406C-B46E-859A8DE13063}" type="presParOf" srcId="{A918BB32-332E-468C-A934-9FDD659B88E4}" destId="{27450CA1-46B8-4D51-8792-FD1CAEF8884A}" srcOrd="4" destOrd="0" presId="urn:microsoft.com/office/officeart/2009/layout/CircleArrowProcess"/>
    <dgm:cxn modelId="{25C9DF17-7D7D-49D1-8D77-E56300E41F1C}" type="presParOf" srcId="{27450CA1-46B8-4D51-8792-FD1CAEF8884A}" destId="{089BD4D3-0399-45A2-B5EF-E35F3194013A}" srcOrd="0" destOrd="0" presId="urn:microsoft.com/office/officeart/2009/layout/CircleArrowProcess"/>
    <dgm:cxn modelId="{2BA4805D-0651-41ED-8A88-B81CA85BFF81}" type="presParOf" srcId="{A918BB32-332E-468C-A934-9FDD659B88E4}" destId="{46DAA362-AA08-46DD-8D66-10C8A9D0529A}" srcOrd="5" destOrd="0" presId="urn:microsoft.com/office/officeart/2009/layout/CircleArrowProcess"/>
    <dgm:cxn modelId="{226555B1-3028-486C-A083-A672D5DCA9E6}" type="presParOf" srcId="{A918BB32-332E-468C-A934-9FDD659B88E4}" destId="{029E7AE8-4132-4AB9-896B-CC4AB25591BC}" srcOrd="6" destOrd="0" presId="urn:microsoft.com/office/officeart/2009/layout/CircleArrowProcess"/>
    <dgm:cxn modelId="{EA6FFAAC-E764-46A7-9483-232E8469B61D}" type="presParOf" srcId="{029E7AE8-4132-4AB9-896B-CC4AB25591BC}" destId="{B1F12CA7-055F-45F5-BC5D-4B9CCB2037F6}" srcOrd="0" destOrd="0" presId="urn:microsoft.com/office/officeart/2009/layout/CircleArrowProcess"/>
    <dgm:cxn modelId="{D9AA94D0-EA9F-4BBB-AC47-E5C6DAAFE965}" type="presParOf" srcId="{A918BB32-332E-468C-A934-9FDD659B88E4}" destId="{DB9B9AAE-208B-48A8-A430-553FB073D5C4}" srcOrd="7" destOrd="0" presId="urn:microsoft.com/office/officeart/2009/layout/CircleArrowProcess"/>
    <dgm:cxn modelId="{54FCE1CC-06B0-4445-A142-F2155EFCF312}" type="presParOf" srcId="{A918BB32-332E-468C-A934-9FDD659B88E4}" destId="{1707B50F-B2E2-49D6-89D6-A12B1112D4B7}" srcOrd="8" destOrd="0" presId="urn:microsoft.com/office/officeart/2009/layout/CircleArrowProcess"/>
    <dgm:cxn modelId="{F54CDE60-2738-48F1-B284-CAADDD6668A1}" type="presParOf" srcId="{1707B50F-B2E2-49D6-89D6-A12B1112D4B7}" destId="{490F47F3-A169-4139-986B-2587E145FB7E}" srcOrd="0" destOrd="0" presId="urn:microsoft.com/office/officeart/2009/layout/CircleArrowProcess"/>
    <dgm:cxn modelId="{888752E6-C756-433F-97D7-87F139AE7D11}" type="presParOf" srcId="{A918BB32-332E-468C-A934-9FDD659B88E4}" destId="{F5B807DE-4AC4-440A-BF19-2042DE5C0B12}" srcOrd="9" destOrd="0" presId="urn:microsoft.com/office/officeart/2009/layout/CircleArrowProcess"/>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CB23AD-AAA5-4011-838A-65DF3A227282}">
      <dsp:nvSpPr>
        <dsp:cNvPr id="0" name=""/>
        <dsp:cNvSpPr/>
      </dsp:nvSpPr>
      <dsp:spPr>
        <a:xfrm>
          <a:off x="1566462" y="2346516"/>
          <a:ext cx="1029099" cy="91883"/>
        </a:xfrm>
        <a:custGeom>
          <a:avLst/>
          <a:gdLst/>
          <a:ahLst/>
          <a:cxnLst/>
          <a:rect l="0" t="0" r="0" b="0"/>
          <a:pathLst>
            <a:path>
              <a:moveTo>
                <a:pt x="0" y="91883"/>
              </a:moveTo>
              <a:lnTo>
                <a:pt x="1029099" y="91883"/>
              </a:lnTo>
              <a:lnTo>
                <a:pt x="102909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936D30-F755-4A1A-B596-00A12B54ADD6}">
      <dsp:nvSpPr>
        <dsp:cNvPr id="0" name=""/>
        <dsp:cNvSpPr/>
      </dsp:nvSpPr>
      <dsp:spPr>
        <a:xfrm>
          <a:off x="1566462" y="2438400"/>
          <a:ext cx="2058199" cy="2212564"/>
        </a:xfrm>
        <a:custGeom>
          <a:avLst/>
          <a:gdLst/>
          <a:ahLst/>
          <a:cxnLst/>
          <a:rect l="0" t="0" r="0" b="0"/>
          <a:pathLst>
            <a:path>
              <a:moveTo>
                <a:pt x="0" y="0"/>
              </a:moveTo>
              <a:lnTo>
                <a:pt x="1911185" y="0"/>
              </a:lnTo>
              <a:lnTo>
                <a:pt x="1911185" y="2212564"/>
              </a:lnTo>
              <a:lnTo>
                <a:pt x="2058199" y="22125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BDAE33-247E-4EB1-8487-A5B8BE627475}">
      <dsp:nvSpPr>
        <dsp:cNvPr id="0" name=""/>
        <dsp:cNvSpPr/>
      </dsp:nvSpPr>
      <dsp:spPr>
        <a:xfrm>
          <a:off x="1566462" y="2438400"/>
          <a:ext cx="2058199" cy="1580403"/>
        </a:xfrm>
        <a:custGeom>
          <a:avLst/>
          <a:gdLst/>
          <a:ahLst/>
          <a:cxnLst/>
          <a:rect l="0" t="0" r="0" b="0"/>
          <a:pathLst>
            <a:path>
              <a:moveTo>
                <a:pt x="0" y="0"/>
              </a:moveTo>
              <a:lnTo>
                <a:pt x="1911185" y="0"/>
              </a:lnTo>
              <a:lnTo>
                <a:pt x="1911185" y="1580403"/>
              </a:lnTo>
              <a:lnTo>
                <a:pt x="2058199" y="158040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76ACC0-CEC0-49E2-907A-470880C19442}">
      <dsp:nvSpPr>
        <dsp:cNvPr id="0" name=""/>
        <dsp:cNvSpPr/>
      </dsp:nvSpPr>
      <dsp:spPr>
        <a:xfrm>
          <a:off x="1566462" y="2438400"/>
          <a:ext cx="2058199" cy="948242"/>
        </a:xfrm>
        <a:custGeom>
          <a:avLst/>
          <a:gdLst/>
          <a:ahLst/>
          <a:cxnLst/>
          <a:rect l="0" t="0" r="0" b="0"/>
          <a:pathLst>
            <a:path>
              <a:moveTo>
                <a:pt x="0" y="0"/>
              </a:moveTo>
              <a:lnTo>
                <a:pt x="1911185" y="0"/>
              </a:lnTo>
              <a:lnTo>
                <a:pt x="1911185" y="948242"/>
              </a:lnTo>
              <a:lnTo>
                <a:pt x="2058199" y="9482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1C4DF0-B5B2-406E-A887-AC788D2E9EC3}">
      <dsp:nvSpPr>
        <dsp:cNvPr id="0" name=""/>
        <dsp:cNvSpPr/>
      </dsp:nvSpPr>
      <dsp:spPr>
        <a:xfrm>
          <a:off x="1566462" y="2438400"/>
          <a:ext cx="2058199" cy="316080"/>
        </a:xfrm>
        <a:custGeom>
          <a:avLst/>
          <a:gdLst/>
          <a:ahLst/>
          <a:cxnLst/>
          <a:rect l="0" t="0" r="0" b="0"/>
          <a:pathLst>
            <a:path>
              <a:moveTo>
                <a:pt x="0" y="0"/>
              </a:moveTo>
              <a:lnTo>
                <a:pt x="1911185" y="0"/>
              </a:lnTo>
              <a:lnTo>
                <a:pt x="1911185" y="316080"/>
              </a:lnTo>
              <a:lnTo>
                <a:pt x="2058199" y="3160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85E4DC-E2FA-4DEA-A326-01E42720FDA3}">
      <dsp:nvSpPr>
        <dsp:cNvPr id="0" name=""/>
        <dsp:cNvSpPr/>
      </dsp:nvSpPr>
      <dsp:spPr>
        <a:xfrm>
          <a:off x="1566462" y="2122319"/>
          <a:ext cx="2058199" cy="316080"/>
        </a:xfrm>
        <a:custGeom>
          <a:avLst/>
          <a:gdLst/>
          <a:ahLst/>
          <a:cxnLst/>
          <a:rect l="0" t="0" r="0" b="0"/>
          <a:pathLst>
            <a:path>
              <a:moveTo>
                <a:pt x="0" y="316080"/>
              </a:moveTo>
              <a:lnTo>
                <a:pt x="1911185" y="316080"/>
              </a:lnTo>
              <a:lnTo>
                <a:pt x="1911185" y="0"/>
              </a:lnTo>
              <a:lnTo>
                <a:pt x="205819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9D029D-2B8C-4DDB-83DF-835BA5C40A6A}">
      <dsp:nvSpPr>
        <dsp:cNvPr id="0" name=""/>
        <dsp:cNvSpPr/>
      </dsp:nvSpPr>
      <dsp:spPr>
        <a:xfrm>
          <a:off x="1566462" y="1490157"/>
          <a:ext cx="2058199" cy="948242"/>
        </a:xfrm>
        <a:custGeom>
          <a:avLst/>
          <a:gdLst/>
          <a:ahLst/>
          <a:cxnLst/>
          <a:rect l="0" t="0" r="0" b="0"/>
          <a:pathLst>
            <a:path>
              <a:moveTo>
                <a:pt x="0" y="948242"/>
              </a:moveTo>
              <a:lnTo>
                <a:pt x="1911185" y="948242"/>
              </a:lnTo>
              <a:lnTo>
                <a:pt x="1911185" y="0"/>
              </a:lnTo>
              <a:lnTo>
                <a:pt x="205819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95A68C-BF3E-4FDC-B71D-5F013C75EA2C}">
      <dsp:nvSpPr>
        <dsp:cNvPr id="0" name=""/>
        <dsp:cNvSpPr/>
      </dsp:nvSpPr>
      <dsp:spPr>
        <a:xfrm>
          <a:off x="1566462" y="857996"/>
          <a:ext cx="2058199" cy="1580403"/>
        </a:xfrm>
        <a:custGeom>
          <a:avLst/>
          <a:gdLst/>
          <a:ahLst/>
          <a:cxnLst/>
          <a:rect l="0" t="0" r="0" b="0"/>
          <a:pathLst>
            <a:path>
              <a:moveTo>
                <a:pt x="0" y="1580403"/>
              </a:moveTo>
              <a:lnTo>
                <a:pt x="1911185" y="1580403"/>
              </a:lnTo>
              <a:lnTo>
                <a:pt x="1911185" y="0"/>
              </a:lnTo>
              <a:lnTo>
                <a:pt x="205819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BFA320-4210-4D2E-926F-B5374CC3153A}">
      <dsp:nvSpPr>
        <dsp:cNvPr id="0" name=""/>
        <dsp:cNvSpPr/>
      </dsp:nvSpPr>
      <dsp:spPr>
        <a:xfrm>
          <a:off x="1566462" y="225835"/>
          <a:ext cx="2058199" cy="2212564"/>
        </a:xfrm>
        <a:custGeom>
          <a:avLst/>
          <a:gdLst/>
          <a:ahLst/>
          <a:cxnLst/>
          <a:rect l="0" t="0" r="0" b="0"/>
          <a:pathLst>
            <a:path>
              <a:moveTo>
                <a:pt x="0" y="2212564"/>
              </a:moveTo>
              <a:lnTo>
                <a:pt x="1911185" y="2212564"/>
              </a:lnTo>
              <a:lnTo>
                <a:pt x="1911185" y="0"/>
              </a:lnTo>
              <a:lnTo>
                <a:pt x="205819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0D94B6-78FD-49A4-B914-B00C9AC18057}">
      <dsp:nvSpPr>
        <dsp:cNvPr id="0" name=""/>
        <dsp:cNvSpPr/>
      </dsp:nvSpPr>
      <dsp:spPr>
        <a:xfrm>
          <a:off x="96319" y="2214203"/>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Dirección de Crédito Publico y Tesoro Nacional</a:t>
          </a:r>
          <a:endParaRPr lang="es-ES" sz="800" kern="1200" dirty="0"/>
        </a:p>
      </dsp:txBody>
      <dsp:txXfrm>
        <a:off x="96319" y="2214203"/>
        <a:ext cx="1470142" cy="448393"/>
      </dsp:txXfrm>
    </dsp:sp>
    <dsp:sp modelId="{EBE584FD-AD8A-4179-B707-3ADE66DA534B}">
      <dsp:nvSpPr>
        <dsp:cNvPr id="0" name=""/>
        <dsp:cNvSpPr/>
      </dsp:nvSpPr>
      <dsp:spPr>
        <a:xfrm>
          <a:off x="3624662" y="1638"/>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Subdirección de Financiamiento Interno de la Nación</a:t>
          </a:r>
          <a:endParaRPr lang="es-ES" sz="800" kern="1200" dirty="0"/>
        </a:p>
      </dsp:txBody>
      <dsp:txXfrm>
        <a:off x="3624662" y="1638"/>
        <a:ext cx="1470142" cy="448393"/>
      </dsp:txXfrm>
    </dsp:sp>
    <dsp:sp modelId="{3E20C04A-75F6-4324-982E-12484631C914}">
      <dsp:nvSpPr>
        <dsp:cNvPr id="0" name=""/>
        <dsp:cNvSpPr/>
      </dsp:nvSpPr>
      <dsp:spPr>
        <a:xfrm>
          <a:off x="3624662" y="633799"/>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Subdirección de Tesorería</a:t>
          </a:r>
          <a:endParaRPr lang="es-ES" sz="800" kern="1200" dirty="0"/>
        </a:p>
      </dsp:txBody>
      <dsp:txXfrm>
        <a:off x="3624662" y="633799"/>
        <a:ext cx="1470142" cy="448393"/>
      </dsp:txXfrm>
    </dsp:sp>
    <dsp:sp modelId="{6B9869F3-B770-4D08-905E-78678C298063}">
      <dsp:nvSpPr>
        <dsp:cNvPr id="0" name=""/>
        <dsp:cNvSpPr/>
      </dsp:nvSpPr>
      <dsp:spPr>
        <a:xfrm>
          <a:off x="3624662" y="1265961"/>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Subdirección de Financiamiento Externo de la Nación</a:t>
          </a:r>
          <a:endParaRPr lang="es-ES" sz="800" kern="1200" dirty="0"/>
        </a:p>
      </dsp:txBody>
      <dsp:txXfrm>
        <a:off x="3624662" y="1265961"/>
        <a:ext cx="1470142" cy="448393"/>
      </dsp:txXfrm>
    </dsp:sp>
    <dsp:sp modelId="{E1884DC9-36E9-421E-B304-107DF7D6263D}">
      <dsp:nvSpPr>
        <dsp:cNvPr id="0" name=""/>
        <dsp:cNvSpPr/>
      </dsp:nvSpPr>
      <dsp:spPr>
        <a:xfrm>
          <a:off x="3624662" y="1898122"/>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Subdirección de Financiamiento con Organismos Multilaterales y Gobiernos</a:t>
          </a:r>
          <a:endParaRPr lang="es-ES" sz="800" kern="1200" dirty="0"/>
        </a:p>
      </dsp:txBody>
      <dsp:txXfrm>
        <a:off x="3624662" y="1898122"/>
        <a:ext cx="1470142" cy="448393"/>
      </dsp:txXfrm>
    </dsp:sp>
    <dsp:sp modelId="{C08851DF-3BA9-46A2-94F7-778C07697FF4}">
      <dsp:nvSpPr>
        <dsp:cNvPr id="0" name=""/>
        <dsp:cNvSpPr/>
      </dsp:nvSpPr>
      <dsp:spPr>
        <a:xfrm>
          <a:off x="3624662" y="2530283"/>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Subdirección de Asociaciones Publico Privadas</a:t>
          </a:r>
          <a:endParaRPr lang="es-ES" sz="800" kern="1200" dirty="0"/>
        </a:p>
      </dsp:txBody>
      <dsp:txXfrm>
        <a:off x="3624662" y="2530283"/>
        <a:ext cx="1470142" cy="448393"/>
      </dsp:txXfrm>
    </dsp:sp>
    <dsp:sp modelId="{E7CF0F8C-0A35-4DA6-A77D-7E374D90D13D}">
      <dsp:nvSpPr>
        <dsp:cNvPr id="0" name=""/>
        <dsp:cNvSpPr/>
      </dsp:nvSpPr>
      <dsp:spPr>
        <a:xfrm>
          <a:off x="3624662" y="3162445"/>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Subdirección de Operaciones</a:t>
          </a:r>
          <a:endParaRPr lang="es-ES" sz="800" kern="1200" dirty="0"/>
        </a:p>
      </dsp:txBody>
      <dsp:txXfrm>
        <a:off x="3624662" y="3162445"/>
        <a:ext cx="1470142" cy="448393"/>
      </dsp:txXfrm>
    </dsp:sp>
    <dsp:sp modelId="{56D68AD8-6B40-4B77-B422-CC424FDABA04}">
      <dsp:nvSpPr>
        <dsp:cNvPr id="0" name=""/>
        <dsp:cNvSpPr/>
      </dsp:nvSpPr>
      <dsp:spPr>
        <a:xfrm>
          <a:off x="3624662" y="3794606"/>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Subdirección de Riesgo</a:t>
          </a:r>
          <a:endParaRPr lang="es-ES" sz="800" kern="1200" dirty="0"/>
        </a:p>
      </dsp:txBody>
      <dsp:txXfrm>
        <a:off x="3624662" y="3794606"/>
        <a:ext cx="1470142" cy="448393"/>
      </dsp:txXfrm>
    </dsp:sp>
    <dsp:sp modelId="{F15FE673-5228-4E50-B743-896407AEEFB1}">
      <dsp:nvSpPr>
        <dsp:cNvPr id="0" name=""/>
        <dsp:cNvSpPr/>
      </dsp:nvSpPr>
      <dsp:spPr>
        <a:xfrm>
          <a:off x="3624662" y="4426768"/>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Subdirección de Financiamiento de Otras Entidades, Seguimiento Saneamiento y Cartera.</a:t>
          </a:r>
          <a:endParaRPr lang="es-ES" sz="800" kern="1200" dirty="0"/>
        </a:p>
      </dsp:txBody>
      <dsp:txXfrm>
        <a:off x="3624662" y="4426768"/>
        <a:ext cx="1470142" cy="448393"/>
      </dsp:txXfrm>
    </dsp:sp>
    <dsp:sp modelId="{016F7D5E-4044-47E0-8AF2-502E18326DD6}">
      <dsp:nvSpPr>
        <dsp:cNvPr id="0" name=""/>
        <dsp:cNvSpPr/>
      </dsp:nvSpPr>
      <dsp:spPr>
        <a:xfrm>
          <a:off x="1860491" y="1898122"/>
          <a:ext cx="1470142" cy="44839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kern="1200" dirty="0" smtClean="0"/>
            <a:t>Grupo de Asuntos Legales</a:t>
          </a:r>
          <a:endParaRPr lang="es-ES" sz="800" kern="1200" dirty="0"/>
        </a:p>
      </dsp:txBody>
      <dsp:txXfrm>
        <a:off x="1860491" y="1898122"/>
        <a:ext cx="1470142" cy="44839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9F74FD-CEA5-4CE5-BDC1-F5A0C8EA4A53}">
      <dsp:nvSpPr>
        <dsp:cNvPr id="0" name=""/>
        <dsp:cNvSpPr/>
      </dsp:nvSpPr>
      <dsp:spPr>
        <a:xfrm>
          <a:off x="430" y="450914"/>
          <a:ext cx="1851975" cy="2222370"/>
        </a:xfrm>
        <a:prstGeom prst="roundRect">
          <a:avLst>
            <a:gd name="adj" fmla="val 5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4577" rIns="57785" bIns="0" numCol="1" spcCol="1270" anchor="t" anchorCtr="0">
          <a:noAutofit/>
        </a:bodyPr>
        <a:lstStyle/>
        <a:p>
          <a:pPr lvl="0" algn="r" defTabSz="577850">
            <a:lnSpc>
              <a:spcPct val="90000"/>
            </a:lnSpc>
            <a:spcBef>
              <a:spcPct val="0"/>
            </a:spcBef>
            <a:spcAft>
              <a:spcPct val="35000"/>
            </a:spcAft>
          </a:pPr>
          <a:r>
            <a:rPr lang="es-CO" sz="1300" b="1" kern="1200">
              <a:solidFill>
                <a:srgbClr val="FFFF00"/>
              </a:solidFill>
              <a:latin typeface="Arial Narrow" panose="020B0606020202030204" pitchFamily="34" charset="0"/>
            </a:rPr>
            <a:t>Primera línea de defensa</a:t>
          </a:r>
        </a:p>
      </dsp:txBody>
      <dsp:txXfrm rot="16200000">
        <a:off x="-725543" y="1176889"/>
        <a:ext cx="1822343" cy="370395"/>
      </dsp:txXfrm>
    </dsp:sp>
    <dsp:sp modelId="{E8E3AE34-8DDC-4C96-B9A3-334BB2CB7EF4}">
      <dsp:nvSpPr>
        <dsp:cNvPr id="0" name=""/>
        <dsp:cNvSpPr/>
      </dsp:nvSpPr>
      <dsp:spPr>
        <a:xfrm>
          <a:off x="370825" y="450914"/>
          <a:ext cx="1379721" cy="2222370"/>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4290" rIns="0" bIns="0" numCol="1" spcCol="1270" anchor="t" anchorCtr="0">
          <a:noAutofit/>
        </a:bodyPr>
        <a:lstStyle/>
        <a:p>
          <a:pPr lvl="0" algn="just" defTabSz="444500">
            <a:lnSpc>
              <a:spcPct val="90000"/>
            </a:lnSpc>
            <a:spcBef>
              <a:spcPct val="0"/>
            </a:spcBef>
            <a:spcAft>
              <a:spcPct val="35000"/>
            </a:spcAft>
          </a:pPr>
          <a:r>
            <a:rPr lang="es-CO" sz="1000" kern="1200">
              <a:latin typeface="Arial Narrow" panose="020B0606020202030204" pitchFamily="34" charset="0"/>
            </a:rPr>
            <a:t>Actividades identificación de riesgos y de auto control ejecutadas por los funcionarios  de cada una de las Subdirecciones.</a:t>
          </a:r>
        </a:p>
        <a:p>
          <a:pPr lvl="0" algn="just" defTabSz="444500">
            <a:lnSpc>
              <a:spcPct val="90000"/>
            </a:lnSpc>
            <a:spcBef>
              <a:spcPct val="0"/>
            </a:spcBef>
            <a:spcAft>
              <a:spcPct val="35000"/>
            </a:spcAft>
          </a:pPr>
          <a:r>
            <a:rPr lang="es-CO" sz="1000" kern="1200">
              <a:latin typeface="Arial Narrow" panose="020B0606020202030204" pitchFamily="34" charset="0"/>
            </a:rPr>
            <a:t>En cada una de las areas se define un gestor de riesgo que es el encargado de reportar a la Subdirección de Riesgo, los cambios en el riesgo operativo de cada proceso.</a:t>
          </a:r>
        </a:p>
        <a:p>
          <a:pPr lvl="0" algn="l" defTabSz="444500">
            <a:lnSpc>
              <a:spcPct val="90000"/>
            </a:lnSpc>
            <a:spcBef>
              <a:spcPct val="0"/>
            </a:spcBef>
            <a:spcAft>
              <a:spcPct val="35000"/>
            </a:spcAft>
          </a:pPr>
          <a:endParaRPr lang="es-CO" sz="500" kern="1200">
            <a:latin typeface="Arial Narrow" panose="020B0606020202030204" pitchFamily="34" charset="0"/>
          </a:endParaRPr>
        </a:p>
        <a:p>
          <a:pPr lvl="0" algn="l" defTabSz="444500">
            <a:lnSpc>
              <a:spcPct val="90000"/>
            </a:lnSpc>
            <a:spcBef>
              <a:spcPct val="0"/>
            </a:spcBef>
            <a:spcAft>
              <a:spcPct val="35000"/>
            </a:spcAft>
          </a:pPr>
          <a:r>
            <a:rPr lang="es-CO" sz="1000" kern="1200">
              <a:latin typeface="Arial Narrow" panose="020B0606020202030204" pitchFamily="34" charset="0"/>
            </a:rPr>
            <a:t>Gestión de riesgo preventiva</a:t>
          </a:r>
        </a:p>
      </dsp:txBody>
      <dsp:txXfrm>
        <a:off x="370825" y="450914"/>
        <a:ext cx="1379721" cy="2222370"/>
      </dsp:txXfrm>
    </dsp:sp>
    <dsp:sp modelId="{61A2A803-EFAA-4AF9-969D-FD6780B297EA}">
      <dsp:nvSpPr>
        <dsp:cNvPr id="0" name=""/>
        <dsp:cNvSpPr/>
      </dsp:nvSpPr>
      <dsp:spPr>
        <a:xfrm>
          <a:off x="1917224" y="450914"/>
          <a:ext cx="1851975" cy="2222370"/>
        </a:xfrm>
        <a:prstGeom prst="roundRect">
          <a:avLst>
            <a:gd name="adj" fmla="val 5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4577" rIns="57785" bIns="0" numCol="1" spcCol="1270" anchor="t" anchorCtr="0">
          <a:noAutofit/>
        </a:bodyPr>
        <a:lstStyle/>
        <a:p>
          <a:pPr lvl="0" algn="r" defTabSz="577850">
            <a:lnSpc>
              <a:spcPct val="90000"/>
            </a:lnSpc>
            <a:spcBef>
              <a:spcPct val="0"/>
            </a:spcBef>
            <a:spcAft>
              <a:spcPct val="35000"/>
            </a:spcAft>
          </a:pPr>
          <a:r>
            <a:rPr lang="es-CO" sz="1300" b="1" kern="1200">
              <a:solidFill>
                <a:srgbClr val="FFFF00"/>
              </a:solidFill>
              <a:latin typeface="Arial Narrow" panose="020B0606020202030204" pitchFamily="34" charset="0"/>
            </a:rPr>
            <a:t>Segunda línea de defensa</a:t>
          </a:r>
        </a:p>
      </dsp:txBody>
      <dsp:txXfrm rot="16200000">
        <a:off x="1191250" y="1176889"/>
        <a:ext cx="1822343" cy="370395"/>
      </dsp:txXfrm>
    </dsp:sp>
    <dsp:sp modelId="{EF6A63F8-E3CD-4935-88C8-C27C757E5EB5}">
      <dsp:nvSpPr>
        <dsp:cNvPr id="0" name=""/>
        <dsp:cNvSpPr/>
      </dsp:nvSpPr>
      <dsp:spPr>
        <a:xfrm rot="5400000">
          <a:off x="1763111" y="2218032"/>
          <a:ext cx="326745" cy="277796"/>
        </a:xfrm>
        <a:prstGeom prst="flowChartExtra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989B059-2F3B-4F1A-9B4C-39ECA36CFACD}">
      <dsp:nvSpPr>
        <dsp:cNvPr id="0" name=""/>
        <dsp:cNvSpPr/>
      </dsp:nvSpPr>
      <dsp:spPr>
        <a:xfrm>
          <a:off x="2287619" y="450914"/>
          <a:ext cx="1379721" cy="2222370"/>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4290" rIns="0" bIns="0" numCol="1" spcCol="1270" anchor="t" anchorCtr="0">
          <a:noAutofit/>
        </a:bodyPr>
        <a:lstStyle/>
        <a:p>
          <a:pPr lvl="0" algn="just" defTabSz="444500">
            <a:lnSpc>
              <a:spcPct val="90000"/>
            </a:lnSpc>
            <a:spcBef>
              <a:spcPct val="0"/>
            </a:spcBef>
            <a:spcAft>
              <a:spcPct val="35000"/>
            </a:spcAft>
          </a:pPr>
          <a:r>
            <a:rPr lang="es-CO" sz="1000" kern="1200">
              <a:latin typeface="Arial Narrow" panose="020B0606020202030204" pitchFamily="34" charset="0"/>
            </a:rPr>
            <a:t>Actividades de monitoreo.</a:t>
          </a:r>
        </a:p>
        <a:p>
          <a:pPr lvl="0" algn="l" defTabSz="444500">
            <a:lnSpc>
              <a:spcPct val="90000"/>
            </a:lnSpc>
            <a:spcBef>
              <a:spcPct val="0"/>
            </a:spcBef>
            <a:spcAft>
              <a:spcPct val="35000"/>
            </a:spcAft>
          </a:pPr>
          <a:endParaRPr lang="es-CO" sz="1000" kern="1200">
            <a:latin typeface="Arial Narrow" panose="020B0606020202030204" pitchFamily="34" charset="0"/>
          </a:endParaRPr>
        </a:p>
        <a:p>
          <a:pPr lvl="0" algn="just" defTabSz="444500">
            <a:lnSpc>
              <a:spcPct val="90000"/>
            </a:lnSpc>
            <a:spcBef>
              <a:spcPct val="0"/>
            </a:spcBef>
            <a:spcAft>
              <a:spcPct val="35000"/>
            </a:spcAft>
          </a:pPr>
          <a:r>
            <a:rPr lang="es-CO" sz="1000" kern="1200">
              <a:latin typeface="Arial Narrow" panose="020B0606020202030204" pitchFamily="34" charset="0"/>
            </a:rPr>
            <a:t>La Subdirección de Riesgo  realizará el monitoreo de los controles establecidos en cada uno de los procesos, mediante visitas de campo, y monitoreo de ejecución de controles midiendo  la eficiencia y eficacia de los mismos. </a:t>
          </a:r>
        </a:p>
        <a:p>
          <a:pPr lvl="0" algn="l" defTabSz="444500">
            <a:lnSpc>
              <a:spcPct val="90000"/>
            </a:lnSpc>
            <a:spcBef>
              <a:spcPct val="0"/>
            </a:spcBef>
            <a:spcAft>
              <a:spcPct val="35000"/>
            </a:spcAft>
          </a:pPr>
          <a:endParaRPr lang="es-CO" sz="1000" kern="1200">
            <a:latin typeface="Arial Narrow" panose="020B0606020202030204" pitchFamily="34" charset="0"/>
          </a:endParaRPr>
        </a:p>
        <a:p>
          <a:pPr lvl="0" algn="l" defTabSz="444500">
            <a:lnSpc>
              <a:spcPct val="90000"/>
            </a:lnSpc>
            <a:spcBef>
              <a:spcPct val="0"/>
            </a:spcBef>
            <a:spcAft>
              <a:spcPct val="35000"/>
            </a:spcAft>
          </a:pPr>
          <a:r>
            <a:rPr lang="es-CO" sz="1000" kern="1200">
              <a:latin typeface="Arial Narrow" panose="020B0606020202030204" pitchFamily="34" charset="0"/>
            </a:rPr>
            <a:t>Gestión de riesgo preventiva</a:t>
          </a:r>
        </a:p>
      </dsp:txBody>
      <dsp:txXfrm>
        <a:off x="2287619" y="450914"/>
        <a:ext cx="1379721" cy="2222370"/>
      </dsp:txXfrm>
    </dsp:sp>
    <dsp:sp modelId="{C4C1335D-FB7D-4A64-9D7B-ECD54563CD62}">
      <dsp:nvSpPr>
        <dsp:cNvPr id="0" name=""/>
        <dsp:cNvSpPr/>
      </dsp:nvSpPr>
      <dsp:spPr>
        <a:xfrm>
          <a:off x="3834019" y="450914"/>
          <a:ext cx="1851975" cy="2222370"/>
        </a:xfrm>
        <a:prstGeom prst="roundRect">
          <a:avLst>
            <a:gd name="adj" fmla="val 5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44577" rIns="57785" bIns="0" numCol="1" spcCol="1270" anchor="t" anchorCtr="0">
          <a:noAutofit/>
        </a:bodyPr>
        <a:lstStyle/>
        <a:p>
          <a:pPr lvl="0" algn="r" defTabSz="577850">
            <a:lnSpc>
              <a:spcPct val="90000"/>
            </a:lnSpc>
            <a:spcBef>
              <a:spcPct val="0"/>
            </a:spcBef>
            <a:spcAft>
              <a:spcPct val="35000"/>
            </a:spcAft>
          </a:pPr>
          <a:r>
            <a:rPr lang="es-CO" sz="1300" b="1" kern="1200">
              <a:solidFill>
                <a:srgbClr val="FFFF00"/>
              </a:solidFill>
              <a:latin typeface="Arial Narrow" panose="020B0606020202030204" pitchFamily="34" charset="0"/>
            </a:rPr>
            <a:t>Tercera línea de defensa</a:t>
          </a:r>
        </a:p>
      </dsp:txBody>
      <dsp:txXfrm rot="16200000">
        <a:off x="3108044" y="1176889"/>
        <a:ext cx="1822343" cy="370395"/>
      </dsp:txXfrm>
    </dsp:sp>
    <dsp:sp modelId="{2305EE12-8A2E-48DF-BF7E-75C1F0E7B31A}">
      <dsp:nvSpPr>
        <dsp:cNvPr id="0" name=""/>
        <dsp:cNvSpPr/>
      </dsp:nvSpPr>
      <dsp:spPr>
        <a:xfrm rot="5400000">
          <a:off x="3679906" y="2218032"/>
          <a:ext cx="326745" cy="277796"/>
        </a:xfrm>
        <a:prstGeom prst="flowChartExtra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B0BD408-EC18-4B5A-BA82-817AEAA0BF1C}">
      <dsp:nvSpPr>
        <dsp:cNvPr id="0" name=""/>
        <dsp:cNvSpPr/>
      </dsp:nvSpPr>
      <dsp:spPr>
        <a:xfrm>
          <a:off x="4204414" y="450914"/>
          <a:ext cx="1379721" cy="2222370"/>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4290" rIns="0" bIns="0" numCol="1" spcCol="1270" anchor="t" anchorCtr="0">
          <a:noAutofit/>
        </a:bodyPr>
        <a:lstStyle/>
        <a:p>
          <a:pPr lvl="0" algn="just" defTabSz="444500">
            <a:lnSpc>
              <a:spcPct val="90000"/>
            </a:lnSpc>
            <a:spcBef>
              <a:spcPct val="0"/>
            </a:spcBef>
            <a:spcAft>
              <a:spcPct val="35000"/>
            </a:spcAft>
          </a:pPr>
          <a:r>
            <a:rPr lang="es-CO" sz="1000" kern="1200">
              <a:latin typeface="Arial Narrow" panose="020B0606020202030204" pitchFamily="34" charset="0"/>
            </a:rPr>
            <a:t>Evaluaciones de auditoria interna.</a:t>
          </a:r>
        </a:p>
        <a:p>
          <a:pPr lvl="0" algn="just" defTabSz="444500">
            <a:lnSpc>
              <a:spcPct val="90000"/>
            </a:lnSpc>
            <a:spcBef>
              <a:spcPct val="0"/>
            </a:spcBef>
            <a:spcAft>
              <a:spcPct val="35000"/>
            </a:spcAft>
          </a:pPr>
          <a:r>
            <a:rPr lang="es-CO" sz="1000" kern="1200">
              <a:latin typeface="Arial Narrow" panose="020B0606020202030204" pitchFamily="34" charset="0"/>
            </a:rPr>
            <a:t>el area de contraloria interna recomienda mejoras continuamente y provee una evaluación independiente.</a:t>
          </a:r>
        </a:p>
        <a:p>
          <a:pPr lvl="0" algn="l" defTabSz="444500">
            <a:lnSpc>
              <a:spcPct val="90000"/>
            </a:lnSpc>
            <a:spcBef>
              <a:spcPct val="0"/>
            </a:spcBef>
            <a:spcAft>
              <a:spcPct val="35000"/>
            </a:spcAft>
          </a:pPr>
          <a:endParaRPr lang="es-CO" sz="1000" kern="1200">
            <a:latin typeface="Arial Narrow" panose="020B0606020202030204" pitchFamily="34" charset="0"/>
          </a:endParaRPr>
        </a:p>
        <a:p>
          <a:pPr lvl="0" algn="l" defTabSz="444500">
            <a:lnSpc>
              <a:spcPct val="90000"/>
            </a:lnSpc>
            <a:spcBef>
              <a:spcPct val="0"/>
            </a:spcBef>
            <a:spcAft>
              <a:spcPct val="35000"/>
            </a:spcAft>
          </a:pPr>
          <a:endParaRPr lang="es-CO" sz="1000" kern="1200">
            <a:latin typeface="Arial Narrow" panose="020B0606020202030204" pitchFamily="34" charset="0"/>
          </a:endParaRPr>
        </a:p>
        <a:p>
          <a:pPr lvl="0" algn="l" defTabSz="444500">
            <a:lnSpc>
              <a:spcPct val="90000"/>
            </a:lnSpc>
            <a:spcBef>
              <a:spcPct val="0"/>
            </a:spcBef>
            <a:spcAft>
              <a:spcPct val="35000"/>
            </a:spcAft>
          </a:pPr>
          <a:endParaRPr lang="es-CO" sz="1000" kern="1200">
            <a:latin typeface="Arial Narrow" panose="020B0606020202030204" pitchFamily="34" charset="0"/>
          </a:endParaRPr>
        </a:p>
        <a:p>
          <a:pPr lvl="0" algn="l" defTabSz="444500">
            <a:lnSpc>
              <a:spcPct val="90000"/>
            </a:lnSpc>
            <a:spcBef>
              <a:spcPct val="0"/>
            </a:spcBef>
            <a:spcAft>
              <a:spcPct val="35000"/>
            </a:spcAft>
          </a:pPr>
          <a:endParaRPr lang="es-CO" sz="1000" kern="1200">
            <a:latin typeface="Arial Narrow" panose="020B0606020202030204" pitchFamily="34" charset="0"/>
          </a:endParaRPr>
        </a:p>
        <a:p>
          <a:pPr lvl="0" algn="l" defTabSz="444500">
            <a:lnSpc>
              <a:spcPct val="90000"/>
            </a:lnSpc>
            <a:spcBef>
              <a:spcPct val="0"/>
            </a:spcBef>
            <a:spcAft>
              <a:spcPct val="35000"/>
            </a:spcAft>
          </a:pPr>
          <a:endParaRPr lang="es-CO" sz="900" kern="1200">
            <a:latin typeface="Arial Narrow" panose="020B0606020202030204" pitchFamily="34" charset="0"/>
          </a:endParaRPr>
        </a:p>
        <a:p>
          <a:pPr lvl="0" algn="l" defTabSz="444500">
            <a:lnSpc>
              <a:spcPct val="90000"/>
            </a:lnSpc>
            <a:spcBef>
              <a:spcPct val="0"/>
            </a:spcBef>
            <a:spcAft>
              <a:spcPct val="35000"/>
            </a:spcAft>
          </a:pPr>
          <a:r>
            <a:rPr lang="es-CO" sz="1000" kern="1200">
              <a:latin typeface="Arial Narrow" panose="020B0606020202030204" pitchFamily="34" charset="0"/>
            </a:rPr>
            <a:t>Gestión de riesgo correctiva</a:t>
          </a:r>
        </a:p>
      </dsp:txBody>
      <dsp:txXfrm>
        <a:off x="4204414" y="450914"/>
        <a:ext cx="1379721" cy="22223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941450-DE20-4A5C-BDD1-52B6BF938E85}">
      <dsp:nvSpPr>
        <dsp:cNvPr id="0" name=""/>
        <dsp:cNvSpPr/>
      </dsp:nvSpPr>
      <dsp:spPr>
        <a:xfrm>
          <a:off x="421206" y="0"/>
          <a:ext cx="1204277" cy="1204338"/>
        </a:xfrm>
        <a:prstGeom prst="leftCircularArrow">
          <a:avLst>
            <a:gd name="adj1" fmla="val 10980"/>
            <a:gd name="adj2" fmla="val 1142322"/>
            <a:gd name="adj3" fmla="val 6300000"/>
            <a:gd name="adj4" fmla="val 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E1D0D9E-391B-4888-9859-AE8A6C5667A6}">
      <dsp:nvSpPr>
        <dsp:cNvPr id="0" name=""/>
        <dsp:cNvSpPr/>
      </dsp:nvSpPr>
      <dsp:spPr>
        <a:xfrm>
          <a:off x="685736" y="436174"/>
          <a:ext cx="672055" cy="33587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CO" sz="900" kern="1200"/>
            <a:t>Todos los funcionarios</a:t>
          </a:r>
        </a:p>
      </dsp:txBody>
      <dsp:txXfrm>
        <a:off x="685736" y="436174"/>
        <a:ext cx="672055" cy="335877"/>
      </dsp:txXfrm>
    </dsp:sp>
    <dsp:sp modelId="{65149967-DCC9-41DC-974D-F078C49DC5F9}">
      <dsp:nvSpPr>
        <dsp:cNvPr id="0" name=""/>
        <dsp:cNvSpPr/>
      </dsp:nvSpPr>
      <dsp:spPr>
        <a:xfrm>
          <a:off x="755765" y="691969"/>
          <a:ext cx="1204277" cy="1204338"/>
        </a:xfrm>
        <a:prstGeom prst="circularArrow">
          <a:avLst>
            <a:gd name="adj1" fmla="val 10980"/>
            <a:gd name="adj2" fmla="val 1142322"/>
            <a:gd name="adj3" fmla="val 4500000"/>
            <a:gd name="adj4" fmla="val 135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08875DF-9DE0-47EA-8FE7-2015F49D2B3D}">
      <dsp:nvSpPr>
        <dsp:cNvPr id="0" name=""/>
        <dsp:cNvSpPr/>
      </dsp:nvSpPr>
      <dsp:spPr>
        <a:xfrm>
          <a:off x="1021651" y="1129698"/>
          <a:ext cx="672055" cy="33587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CO" sz="900" kern="1200"/>
            <a:t>Gestor de riesgo</a:t>
          </a:r>
        </a:p>
      </dsp:txBody>
      <dsp:txXfrm>
        <a:off x="1021651" y="1129698"/>
        <a:ext cx="672055" cy="335877"/>
      </dsp:txXfrm>
    </dsp:sp>
    <dsp:sp modelId="{089BD4D3-0399-45A2-B5EF-E35F3194013A}">
      <dsp:nvSpPr>
        <dsp:cNvPr id="0" name=""/>
        <dsp:cNvSpPr/>
      </dsp:nvSpPr>
      <dsp:spPr>
        <a:xfrm>
          <a:off x="421206" y="1387049"/>
          <a:ext cx="1204277" cy="1204338"/>
        </a:xfrm>
        <a:prstGeom prst="leftCircularArrow">
          <a:avLst>
            <a:gd name="adj1" fmla="val 10980"/>
            <a:gd name="adj2" fmla="val 1142322"/>
            <a:gd name="adj3" fmla="val 6300000"/>
            <a:gd name="adj4" fmla="val 189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6DAA362-AA08-46DD-8D66-10C8A9D0529A}">
      <dsp:nvSpPr>
        <dsp:cNvPr id="0" name=""/>
        <dsp:cNvSpPr/>
      </dsp:nvSpPr>
      <dsp:spPr>
        <a:xfrm>
          <a:off x="685736" y="1822834"/>
          <a:ext cx="672055" cy="33587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CO" sz="900" kern="1200"/>
            <a:t>Subdirector del area</a:t>
          </a:r>
        </a:p>
      </dsp:txBody>
      <dsp:txXfrm>
        <a:off x="685736" y="1822834"/>
        <a:ext cx="672055" cy="335877"/>
      </dsp:txXfrm>
    </dsp:sp>
    <dsp:sp modelId="{B1F12CA7-055F-45F5-BC5D-4B9CCB2037F6}">
      <dsp:nvSpPr>
        <dsp:cNvPr id="0" name=""/>
        <dsp:cNvSpPr/>
      </dsp:nvSpPr>
      <dsp:spPr>
        <a:xfrm>
          <a:off x="755765" y="2080185"/>
          <a:ext cx="1204277" cy="1204338"/>
        </a:xfrm>
        <a:prstGeom prst="circularArrow">
          <a:avLst>
            <a:gd name="adj1" fmla="val 10980"/>
            <a:gd name="adj2" fmla="val 1142322"/>
            <a:gd name="adj3" fmla="val 4500000"/>
            <a:gd name="adj4" fmla="val 13500000"/>
            <a:gd name="adj5" fmla="val 125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B9B9AAE-208B-48A8-A430-553FB073D5C4}">
      <dsp:nvSpPr>
        <dsp:cNvPr id="0" name=""/>
        <dsp:cNvSpPr/>
      </dsp:nvSpPr>
      <dsp:spPr>
        <a:xfrm>
          <a:off x="1021651" y="2516359"/>
          <a:ext cx="672055" cy="33587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CO" sz="900" kern="1200"/>
            <a:t>Subdirección de Riesgo</a:t>
          </a:r>
        </a:p>
      </dsp:txBody>
      <dsp:txXfrm>
        <a:off x="1021651" y="2516359"/>
        <a:ext cx="672055" cy="335877"/>
      </dsp:txXfrm>
    </dsp:sp>
    <dsp:sp modelId="{490F47F3-A169-4139-986B-2587E145FB7E}">
      <dsp:nvSpPr>
        <dsp:cNvPr id="0" name=""/>
        <dsp:cNvSpPr/>
      </dsp:nvSpPr>
      <dsp:spPr>
        <a:xfrm>
          <a:off x="506597" y="2852236"/>
          <a:ext cx="1034626" cy="1035233"/>
        </a:xfrm>
        <a:prstGeom prst="blockArc">
          <a:avLst>
            <a:gd name="adj1" fmla="val 0"/>
            <a:gd name="adj2" fmla="val 18900000"/>
            <a:gd name="adj3" fmla="val 1274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5B807DE-4AC4-440A-BF19-2042DE5C0B12}">
      <dsp:nvSpPr>
        <dsp:cNvPr id="0" name=""/>
        <dsp:cNvSpPr/>
      </dsp:nvSpPr>
      <dsp:spPr>
        <a:xfrm>
          <a:off x="685736" y="3209883"/>
          <a:ext cx="672055" cy="33587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CO" sz="900" kern="1200"/>
            <a:t>DGCPTN</a:t>
          </a:r>
        </a:p>
      </dsp:txBody>
      <dsp:txXfrm>
        <a:off x="685736" y="3209883"/>
        <a:ext cx="672055" cy="335877"/>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CACC0-89BE-42F2-A549-F1A2BBCF4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8394</Words>
  <Characters>47849</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Ministerio de Hacienda y C.P.</Company>
  <LinksUpToDate>false</LinksUpToDate>
  <CharactersWithSpaces>56131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ggomezr</dc:creator>
  <cp:keywords/>
  <dc:description/>
  <cp:lastModifiedBy>Daissy Tatiana Santos Yate</cp:lastModifiedBy>
  <cp:revision>4</cp:revision>
  <cp:lastPrinted>2018-12-04T14:23:00Z</cp:lastPrinted>
  <dcterms:created xsi:type="dcterms:W3CDTF">2019-04-15T20:59:00Z</dcterms:created>
  <dcterms:modified xsi:type="dcterms:W3CDTF">2019-04-15T21:08:00Z</dcterms:modified>
</cp:coreProperties>
</file>