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0A5" w:rsidRPr="000C0C01" w:rsidRDefault="008410A5" w:rsidP="008410A5">
      <w:pPr>
        <w:jc w:val="center"/>
        <w:rPr>
          <w:rFonts w:ascii="Arial Narrow" w:hAnsi="Arial Narrow" w:cs="Arial"/>
          <w:b/>
          <w:color w:val="C00000"/>
          <w:sz w:val="24"/>
          <w:szCs w:val="24"/>
        </w:rPr>
      </w:pPr>
      <w:bookmarkStart w:id="0" w:name="_Toc126147374"/>
      <w:bookmarkStart w:id="1" w:name="_Toc126301040"/>
    </w:p>
    <w:p w:rsidR="00FE52EC" w:rsidRDefault="00932B30" w:rsidP="002307A2">
      <w:pPr>
        <w:jc w:val="center"/>
        <w:rPr>
          <w:rFonts w:ascii="Arial Narrow" w:hAnsi="Arial Narrow"/>
          <w:b/>
          <w:sz w:val="24"/>
          <w:szCs w:val="24"/>
        </w:rPr>
      </w:pPr>
      <w:r w:rsidRPr="000C0C01">
        <w:rPr>
          <w:rFonts w:ascii="Arial Narrow" w:hAnsi="Arial Narrow"/>
          <w:b/>
          <w:sz w:val="24"/>
          <w:szCs w:val="24"/>
        </w:rPr>
        <w:t>TA</w:t>
      </w:r>
      <w:r w:rsidR="00FE52EC" w:rsidRPr="000C0C01">
        <w:rPr>
          <w:rFonts w:ascii="Arial Narrow" w:hAnsi="Arial Narrow"/>
          <w:b/>
          <w:sz w:val="24"/>
          <w:szCs w:val="24"/>
        </w:rPr>
        <w:t>BLA DE CONTENIDO</w:t>
      </w:r>
    </w:p>
    <w:p w:rsidR="00C14CF7" w:rsidRPr="000C0C01" w:rsidRDefault="00C14CF7" w:rsidP="002307A2">
      <w:pPr>
        <w:jc w:val="center"/>
        <w:rPr>
          <w:rFonts w:ascii="Arial Narrow" w:hAnsi="Arial Narrow" w:cs="Arial"/>
          <w:b/>
          <w:i/>
          <w:color w:val="C00000"/>
          <w:sz w:val="24"/>
          <w:szCs w:val="24"/>
        </w:rPr>
      </w:pPr>
    </w:p>
    <w:p w:rsidR="00FE52EC" w:rsidRPr="000C0C01" w:rsidRDefault="00FE52EC" w:rsidP="00CB26AD">
      <w:pPr>
        <w:ind w:left="360"/>
        <w:jc w:val="both"/>
        <w:rPr>
          <w:rFonts w:ascii="Arial Narrow" w:hAnsi="Arial Narrow" w:cs="Arial"/>
          <w:b/>
          <w:sz w:val="24"/>
          <w:szCs w:val="24"/>
        </w:rPr>
      </w:pPr>
    </w:p>
    <w:p w:rsidR="00196DC6" w:rsidRPr="00196DC6" w:rsidRDefault="008C2C73">
      <w:pPr>
        <w:pStyle w:val="TDC1"/>
        <w:rPr>
          <w:rFonts w:eastAsiaTheme="minorEastAsia" w:cstheme="minorBidi"/>
          <w:b w:val="0"/>
          <w:szCs w:val="24"/>
          <w:lang w:val="en-US"/>
        </w:rPr>
      </w:pPr>
      <w:r w:rsidRPr="00196DC6">
        <w:rPr>
          <w:b w:val="0"/>
          <w:szCs w:val="24"/>
        </w:rPr>
        <w:fldChar w:fldCharType="begin"/>
      </w:r>
      <w:r w:rsidRPr="00196DC6">
        <w:rPr>
          <w:b w:val="0"/>
          <w:szCs w:val="24"/>
        </w:rPr>
        <w:instrText xml:space="preserve"> TOC \o "1-6" \h \z \u </w:instrText>
      </w:r>
      <w:r w:rsidRPr="00196DC6">
        <w:rPr>
          <w:b w:val="0"/>
          <w:szCs w:val="24"/>
        </w:rPr>
        <w:fldChar w:fldCharType="separate"/>
      </w:r>
      <w:hyperlink w:anchor="_Toc528669633" w:history="1">
        <w:r w:rsidR="00196DC6" w:rsidRPr="00196DC6">
          <w:rPr>
            <w:rStyle w:val="Hipervnculo"/>
            <w:b w:val="0"/>
            <w:iCs/>
            <w:szCs w:val="24"/>
          </w:rPr>
          <w:t>1.</w:t>
        </w:r>
        <w:r w:rsidR="00196DC6" w:rsidRPr="00196DC6">
          <w:rPr>
            <w:rFonts w:eastAsiaTheme="minorEastAsia" w:cstheme="minorBidi"/>
            <w:b w:val="0"/>
            <w:szCs w:val="24"/>
            <w:lang w:val="en-US"/>
          </w:rPr>
          <w:tab/>
        </w:r>
        <w:r w:rsidR="00196DC6" w:rsidRPr="00196DC6">
          <w:rPr>
            <w:rStyle w:val="Hipervnculo"/>
            <w:b w:val="0"/>
            <w:iCs/>
            <w:szCs w:val="24"/>
          </w:rPr>
          <w:t>INTRODUCCIÓN</w:t>
        </w:r>
        <w:r w:rsidR="00196DC6" w:rsidRPr="00196DC6">
          <w:rPr>
            <w:b w:val="0"/>
            <w:webHidden/>
            <w:szCs w:val="24"/>
          </w:rPr>
          <w:tab/>
        </w:r>
        <w:r w:rsidR="00196DC6" w:rsidRPr="00196DC6">
          <w:rPr>
            <w:b w:val="0"/>
            <w:webHidden/>
            <w:szCs w:val="24"/>
          </w:rPr>
          <w:fldChar w:fldCharType="begin"/>
        </w:r>
        <w:r w:rsidR="00196DC6" w:rsidRPr="00196DC6">
          <w:rPr>
            <w:b w:val="0"/>
            <w:webHidden/>
            <w:szCs w:val="24"/>
          </w:rPr>
          <w:instrText xml:space="preserve"> PAGEREF _Toc528669633 \h </w:instrText>
        </w:r>
        <w:r w:rsidR="00196DC6" w:rsidRPr="00196DC6">
          <w:rPr>
            <w:b w:val="0"/>
            <w:webHidden/>
            <w:szCs w:val="24"/>
          </w:rPr>
        </w:r>
        <w:r w:rsidR="00196DC6" w:rsidRPr="00196DC6">
          <w:rPr>
            <w:b w:val="0"/>
            <w:webHidden/>
            <w:szCs w:val="24"/>
          </w:rPr>
          <w:fldChar w:fldCharType="separate"/>
        </w:r>
        <w:r w:rsidR="00370F38">
          <w:rPr>
            <w:b w:val="0"/>
            <w:webHidden/>
            <w:szCs w:val="24"/>
          </w:rPr>
          <w:t>2</w:t>
        </w:r>
        <w:r w:rsidR="00196DC6" w:rsidRPr="00196DC6">
          <w:rPr>
            <w:b w:val="0"/>
            <w:webHidden/>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34" w:history="1">
        <w:r w:rsidRPr="00196DC6">
          <w:rPr>
            <w:rStyle w:val="Hipervnculo"/>
            <w:b w:val="0"/>
            <w:iCs/>
            <w:szCs w:val="24"/>
          </w:rPr>
          <w:t>2.</w:t>
        </w:r>
        <w:r w:rsidRPr="00196DC6">
          <w:rPr>
            <w:rFonts w:eastAsiaTheme="minorEastAsia" w:cstheme="minorBidi"/>
            <w:b w:val="0"/>
            <w:szCs w:val="24"/>
            <w:lang w:val="en-US"/>
          </w:rPr>
          <w:tab/>
        </w:r>
        <w:r w:rsidRPr="00196DC6">
          <w:rPr>
            <w:rStyle w:val="Hipervnculo"/>
            <w:b w:val="0"/>
            <w:iCs/>
            <w:szCs w:val="24"/>
          </w:rPr>
          <w:t>OBJETIVO</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_Toc528669634 \h </w:instrText>
        </w:r>
        <w:r w:rsidRPr="00196DC6">
          <w:rPr>
            <w:b w:val="0"/>
            <w:webHidden/>
            <w:szCs w:val="24"/>
          </w:rPr>
        </w:r>
        <w:r w:rsidRPr="00196DC6">
          <w:rPr>
            <w:b w:val="0"/>
            <w:webHidden/>
            <w:szCs w:val="24"/>
          </w:rPr>
          <w:fldChar w:fldCharType="separate"/>
        </w:r>
        <w:r w:rsidR="00370F38">
          <w:rPr>
            <w:b w:val="0"/>
            <w:webHidden/>
            <w:szCs w:val="24"/>
          </w:rPr>
          <w:t>2</w:t>
        </w:r>
        <w:r w:rsidRPr="00196DC6">
          <w:rPr>
            <w:b w:val="0"/>
            <w:webHidden/>
            <w:szCs w:val="24"/>
          </w:rPr>
          <w:fldChar w:fldCharType="end"/>
        </w:r>
      </w:hyperlink>
    </w:p>
    <w:p w:rsidR="00196DC6" w:rsidRPr="00196DC6" w:rsidRDefault="00196DC6">
      <w:pPr>
        <w:pStyle w:val="TDC2"/>
        <w:rPr>
          <w:rFonts w:ascii="Arial Narrow" w:eastAsiaTheme="minorEastAsia" w:hAnsi="Arial Narrow" w:cstheme="minorBidi"/>
          <w:noProof/>
          <w:sz w:val="24"/>
          <w:szCs w:val="24"/>
          <w:lang w:val="en-US" w:eastAsia="en-US"/>
        </w:rPr>
      </w:pPr>
      <w:hyperlink w:anchor="_Toc528669635" w:history="1">
        <w:r w:rsidRPr="00196DC6">
          <w:rPr>
            <w:rStyle w:val="Hipervnculo"/>
            <w:rFonts w:ascii="Arial Narrow" w:hAnsi="Arial Narrow"/>
            <w:noProof/>
            <w:sz w:val="24"/>
            <w:szCs w:val="24"/>
          </w:rPr>
          <w:t>2.1.</w:t>
        </w:r>
        <w:r>
          <w:rPr>
            <w:rStyle w:val="Hipervnculo"/>
            <w:rFonts w:ascii="Arial Narrow" w:hAnsi="Arial Narrow"/>
            <w:noProof/>
            <w:sz w:val="24"/>
            <w:szCs w:val="24"/>
          </w:rPr>
          <w:t xml:space="preserve">  </w:t>
        </w:r>
        <w:r w:rsidRPr="00196DC6">
          <w:rPr>
            <w:rStyle w:val="Hipervnculo"/>
            <w:rFonts w:ascii="Arial Narrow" w:hAnsi="Arial Narrow"/>
            <w:noProof/>
            <w:sz w:val="24"/>
            <w:szCs w:val="24"/>
          </w:rPr>
          <w:t>Objetivos Específicos</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_Toc528669635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2</w:t>
        </w:r>
        <w:r w:rsidRPr="00196DC6">
          <w:rPr>
            <w:rFonts w:ascii="Arial Narrow" w:hAnsi="Arial Narrow"/>
            <w:noProof/>
            <w:webHidden/>
            <w:sz w:val="24"/>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36" w:history="1">
        <w:r w:rsidRPr="00196DC6">
          <w:rPr>
            <w:rStyle w:val="Hipervnculo"/>
            <w:b w:val="0"/>
            <w:szCs w:val="24"/>
          </w:rPr>
          <w:t>3.</w:t>
        </w:r>
        <w:r w:rsidRPr="00196DC6">
          <w:rPr>
            <w:rFonts w:eastAsiaTheme="minorEastAsia" w:cstheme="minorBidi"/>
            <w:b w:val="0"/>
            <w:szCs w:val="24"/>
            <w:lang w:val="en-US"/>
          </w:rPr>
          <w:tab/>
        </w:r>
        <w:r w:rsidRPr="00196DC6">
          <w:rPr>
            <w:rStyle w:val="Hipervnculo"/>
            <w:b w:val="0"/>
            <w:szCs w:val="24"/>
          </w:rPr>
          <w:t>ALCANCE</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_Toc528669636 \h </w:instrText>
        </w:r>
        <w:r w:rsidRPr="00196DC6">
          <w:rPr>
            <w:b w:val="0"/>
            <w:webHidden/>
            <w:szCs w:val="24"/>
          </w:rPr>
        </w:r>
        <w:r w:rsidRPr="00196DC6">
          <w:rPr>
            <w:b w:val="0"/>
            <w:webHidden/>
            <w:szCs w:val="24"/>
          </w:rPr>
          <w:fldChar w:fldCharType="separate"/>
        </w:r>
        <w:r w:rsidR="00370F38">
          <w:rPr>
            <w:b w:val="0"/>
            <w:webHidden/>
            <w:szCs w:val="24"/>
          </w:rPr>
          <w:t>3</w:t>
        </w:r>
        <w:r w:rsidRPr="00196DC6">
          <w:rPr>
            <w:b w:val="0"/>
            <w:webHidden/>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37" w:history="1">
        <w:r w:rsidRPr="00196DC6">
          <w:rPr>
            <w:rStyle w:val="Hipervnculo"/>
            <w:b w:val="0"/>
            <w:szCs w:val="24"/>
          </w:rPr>
          <w:t>4.</w:t>
        </w:r>
        <w:r w:rsidRPr="00196DC6">
          <w:rPr>
            <w:rFonts w:eastAsiaTheme="minorEastAsia" w:cstheme="minorBidi"/>
            <w:b w:val="0"/>
            <w:szCs w:val="24"/>
            <w:lang w:val="en-US"/>
          </w:rPr>
          <w:tab/>
        </w:r>
        <w:r w:rsidRPr="00196DC6">
          <w:rPr>
            <w:rStyle w:val="Hipervnculo"/>
            <w:b w:val="0"/>
            <w:szCs w:val="24"/>
          </w:rPr>
          <w:t>PRODUCTOS ESPERADOS</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_Toc528669637 \h </w:instrText>
        </w:r>
        <w:r w:rsidRPr="00196DC6">
          <w:rPr>
            <w:b w:val="0"/>
            <w:webHidden/>
            <w:szCs w:val="24"/>
          </w:rPr>
        </w:r>
        <w:r w:rsidRPr="00196DC6">
          <w:rPr>
            <w:b w:val="0"/>
            <w:webHidden/>
            <w:szCs w:val="24"/>
          </w:rPr>
          <w:fldChar w:fldCharType="separate"/>
        </w:r>
        <w:r w:rsidR="00370F38">
          <w:rPr>
            <w:b w:val="0"/>
            <w:webHidden/>
            <w:szCs w:val="24"/>
          </w:rPr>
          <w:t>3</w:t>
        </w:r>
        <w:r w:rsidRPr="00196DC6">
          <w:rPr>
            <w:b w:val="0"/>
            <w:webHidden/>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38" w:history="1">
        <w:r w:rsidRPr="00196DC6">
          <w:rPr>
            <w:rStyle w:val="Hipervnculo"/>
            <w:b w:val="0"/>
            <w:szCs w:val="24"/>
          </w:rPr>
          <w:t>5.</w:t>
        </w:r>
        <w:r w:rsidRPr="00196DC6">
          <w:rPr>
            <w:rFonts w:eastAsiaTheme="minorEastAsia" w:cstheme="minorBidi"/>
            <w:b w:val="0"/>
            <w:szCs w:val="24"/>
            <w:lang w:val="en-US"/>
          </w:rPr>
          <w:tab/>
        </w:r>
        <w:r w:rsidRPr="00196DC6">
          <w:rPr>
            <w:rStyle w:val="Hipervnculo"/>
            <w:b w:val="0"/>
            <w:szCs w:val="24"/>
          </w:rPr>
          <w:t>TÉRMINOS Y DEFINICIONES</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_Toc528669638 \h </w:instrText>
        </w:r>
        <w:r w:rsidRPr="00196DC6">
          <w:rPr>
            <w:b w:val="0"/>
            <w:webHidden/>
            <w:szCs w:val="24"/>
          </w:rPr>
        </w:r>
        <w:r w:rsidRPr="00196DC6">
          <w:rPr>
            <w:b w:val="0"/>
            <w:webHidden/>
            <w:szCs w:val="24"/>
          </w:rPr>
          <w:fldChar w:fldCharType="separate"/>
        </w:r>
        <w:r w:rsidR="00370F38">
          <w:rPr>
            <w:b w:val="0"/>
            <w:webHidden/>
            <w:szCs w:val="24"/>
          </w:rPr>
          <w:t>3</w:t>
        </w:r>
        <w:r w:rsidRPr="00196DC6">
          <w:rPr>
            <w:b w:val="0"/>
            <w:webHidden/>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39" w:history="1">
        <w:r w:rsidRPr="00196DC6">
          <w:rPr>
            <w:rStyle w:val="Hipervnculo"/>
            <w:b w:val="0"/>
            <w:szCs w:val="24"/>
          </w:rPr>
          <w:t>6.</w:t>
        </w:r>
        <w:r w:rsidRPr="00196DC6">
          <w:rPr>
            <w:rFonts w:eastAsiaTheme="minorEastAsia" w:cstheme="minorBidi"/>
            <w:b w:val="0"/>
            <w:szCs w:val="24"/>
            <w:lang w:val="en-US"/>
          </w:rPr>
          <w:tab/>
        </w:r>
        <w:r w:rsidRPr="00196DC6">
          <w:rPr>
            <w:rStyle w:val="Hipervnculo"/>
            <w:b w:val="0"/>
            <w:szCs w:val="24"/>
          </w:rPr>
          <w:t>ESTRUCTURA ORGANIZACIONAL</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_Toc528669639 \h </w:instrText>
        </w:r>
        <w:r w:rsidRPr="00196DC6">
          <w:rPr>
            <w:b w:val="0"/>
            <w:webHidden/>
            <w:szCs w:val="24"/>
          </w:rPr>
        </w:r>
        <w:r w:rsidRPr="00196DC6">
          <w:rPr>
            <w:b w:val="0"/>
            <w:webHidden/>
            <w:szCs w:val="24"/>
          </w:rPr>
          <w:fldChar w:fldCharType="separate"/>
        </w:r>
        <w:r w:rsidR="00370F38">
          <w:rPr>
            <w:b w:val="0"/>
            <w:webHidden/>
            <w:szCs w:val="24"/>
          </w:rPr>
          <w:t>4</w:t>
        </w:r>
        <w:r w:rsidRPr="00196DC6">
          <w:rPr>
            <w:b w:val="0"/>
            <w:webHidden/>
            <w:szCs w:val="24"/>
          </w:rPr>
          <w:fldChar w:fldCharType="end"/>
        </w:r>
      </w:hyperlink>
    </w:p>
    <w:p w:rsidR="00196DC6" w:rsidRPr="00196DC6" w:rsidRDefault="00196DC6">
      <w:pPr>
        <w:pStyle w:val="TDC2"/>
        <w:rPr>
          <w:rFonts w:ascii="Arial Narrow" w:eastAsiaTheme="minorEastAsia" w:hAnsi="Arial Narrow" w:cstheme="minorBidi"/>
          <w:noProof/>
          <w:sz w:val="24"/>
          <w:szCs w:val="24"/>
          <w:lang w:val="en-US" w:eastAsia="en-US"/>
        </w:rPr>
      </w:pPr>
      <w:hyperlink w:anchor="_Toc528669640" w:history="1">
        <w:r w:rsidRPr="00196DC6">
          <w:rPr>
            <w:rStyle w:val="Hipervnculo"/>
            <w:rFonts w:ascii="Arial Narrow" w:hAnsi="Arial Narrow"/>
            <w:noProof/>
            <w:sz w:val="24"/>
            <w:szCs w:val="24"/>
          </w:rPr>
          <w:t>6.1.</w:t>
        </w:r>
        <w:r>
          <w:rPr>
            <w:rStyle w:val="Hipervnculo"/>
            <w:rFonts w:ascii="Arial Narrow" w:hAnsi="Arial Narrow"/>
            <w:noProof/>
            <w:sz w:val="24"/>
            <w:szCs w:val="24"/>
          </w:rPr>
          <w:t xml:space="preserve">  </w:t>
        </w:r>
        <w:r w:rsidRPr="00196DC6">
          <w:rPr>
            <w:rStyle w:val="Hipervnculo"/>
            <w:rFonts w:ascii="Arial Narrow" w:hAnsi="Arial Narrow"/>
            <w:noProof/>
            <w:sz w:val="24"/>
            <w:szCs w:val="24"/>
          </w:rPr>
          <w:t>Independencia Funcional del SARC</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_Toc528669640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4</w:t>
        </w:r>
        <w:r w:rsidRPr="00196DC6">
          <w:rPr>
            <w:rFonts w:ascii="Arial Narrow" w:hAnsi="Arial Narrow"/>
            <w:noProof/>
            <w:webHidden/>
            <w:sz w:val="24"/>
            <w:szCs w:val="24"/>
          </w:rPr>
          <w:fldChar w:fldCharType="end"/>
        </w:r>
      </w:hyperlink>
    </w:p>
    <w:p w:rsidR="00196DC6" w:rsidRPr="00196DC6" w:rsidRDefault="00196DC6">
      <w:pPr>
        <w:pStyle w:val="TDC2"/>
        <w:rPr>
          <w:rFonts w:ascii="Arial Narrow" w:eastAsiaTheme="minorEastAsia" w:hAnsi="Arial Narrow" w:cstheme="minorBidi"/>
          <w:noProof/>
          <w:sz w:val="24"/>
          <w:szCs w:val="24"/>
          <w:lang w:val="en-US" w:eastAsia="en-US"/>
        </w:rPr>
      </w:pPr>
      <w:hyperlink w:anchor="_Toc528669641" w:history="1">
        <w:r w:rsidRPr="00196DC6">
          <w:rPr>
            <w:rStyle w:val="Hipervnculo"/>
            <w:rFonts w:ascii="Arial Narrow" w:hAnsi="Arial Narrow" w:cs="Arial"/>
            <w:noProof/>
            <w:sz w:val="24"/>
            <w:szCs w:val="24"/>
          </w:rPr>
          <w:t>6.2.</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Identificación de los Organismos</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_Toc528669641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5</w:t>
        </w:r>
        <w:r w:rsidRPr="00196DC6">
          <w:rPr>
            <w:rFonts w:ascii="Arial Narrow" w:hAnsi="Arial Narrow"/>
            <w:noProof/>
            <w:webHidden/>
            <w:sz w:val="24"/>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42" w:history="1">
        <w:r w:rsidRPr="00196DC6">
          <w:rPr>
            <w:rStyle w:val="Hipervnculo"/>
            <w:b w:val="0"/>
            <w:szCs w:val="24"/>
          </w:rPr>
          <w:t>7.</w:t>
        </w:r>
        <w:r w:rsidRPr="00196DC6">
          <w:rPr>
            <w:rFonts w:eastAsiaTheme="minorEastAsia" w:cstheme="minorBidi"/>
            <w:b w:val="0"/>
            <w:szCs w:val="24"/>
            <w:lang w:val="en-US"/>
          </w:rPr>
          <w:tab/>
        </w:r>
        <w:r w:rsidRPr="00196DC6">
          <w:rPr>
            <w:rStyle w:val="Hipervnculo"/>
            <w:b w:val="0"/>
            <w:szCs w:val="24"/>
          </w:rPr>
          <w:t>POLÍTICAS DE RIESGO</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_Toc528669642 \h </w:instrText>
        </w:r>
        <w:r w:rsidRPr="00196DC6">
          <w:rPr>
            <w:b w:val="0"/>
            <w:webHidden/>
            <w:szCs w:val="24"/>
          </w:rPr>
        </w:r>
        <w:r w:rsidRPr="00196DC6">
          <w:rPr>
            <w:b w:val="0"/>
            <w:webHidden/>
            <w:szCs w:val="24"/>
          </w:rPr>
          <w:fldChar w:fldCharType="separate"/>
        </w:r>
        <w:r w:rsidR="00370F38">
          <w:rPr>
            <w:b w:val="0"/>
            <w:webHidden/>
            <w:szCs w:val="24"/>
          </w:rPr>
          <w:t>6</w:t>
        </w:r>
        <w:r w:rsidRPr="00196DC6">
          <w:rPr>
            <w:b w:val="0"/>
            <w:webHidden/>
            <w:szCs w:val="24"/>
          </w:rPr>
          <w:fldChar w:fldCharType="end"/>
        </w:r>
      </w:hyperlink>
    </w:p>
    <w:p w:rsidR="00196DC6" w:rsidRPr="00196DC6" w:rsidRDefault="00196DC6">
      <w:pPr>
        <w:pStyle w:val="TDC2"/>
        <w:rPr>
          <w:rFonts w:ascii="Arial Narrow" w:eastAsiaTheme="minorEastAsia" w:hAnsi="Arial Narrow" w:cstheme="minorBidi"/>
          <w:noProof/>
          <w:sz w:val="24"/>
          <w:szCs w:val="24"/>
          <w:lang w:val="en-US" w:eastAsia="en-US"/>
        </w:rPr>
      </w:pPr>
      <w:hyperlink w:anchor="_Toc528669643" w:history="1">
        <w:r w:rsidRPr="00196DC6">
          <w:rPr>
            <w:rStyle w:val="Hipervnculo"/>
            <w:rFonts w:ascii="Arial Narrow" w:hAnsi="Arial Narrow" w:cs="Arial"/>
            <w:bCs/>
            <w:noProof/>
            <w:sz w:val="24"/>
            <w:szCs w:val="24"/>
            <w:lang w:val="es-CO" w:eastAsia="es-CO"/>
          </w:rPr>
          <w:t>7.1.</w:t>
        </w:r>
        <w:r>
          <w:rPr>
            <w:rStyle w:val="Hipervnculo"/>
            <w:rFonts w:ascii="Arial Narrow" w:hAnsi="Arial Narrow" w:cs="Arial"/>
            <w:bCs/>
            <w:noProof/>
            <w:sz w:val="24"/>
            <w:szCs w:val="24"/>
            <w:lang w:val="es-CO" w:eastAsia="es-CO"/>
          </w:rPr>
          <w:t xml:space="preserve">  </w:t>
        </w:r>
        <w:r w:rsidRPr="00196DC6">
          <w:rPr>
            <w:rStyle w:val="Hipervnculo"/>
            <w:rFonts w:ascii="Arial Narrow" w:hAnsi="Arial Narrow" w:cs="Arial"/>
            <w:noProof/>
            <w:sz w:val="24"/>
            <w:szCs w:val="24"/>
          </w:rPr>
          <w:t>Alcance del Sistema de Administración de Riesgo de Crédito</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_Toc528669643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6</w:t>
        </w:r>
        <w:r w:rsidRPr="00196DC6">
          <w:rPr>
            <w:rFonts w:ascii="Arial Narrow" w:hAnsi="Arial Narrow"/>
            <w:noProof/>
            <w:webHidden/>
            <w:sz w:val="24"/>
            <w:szCs w:val="24"/>
          </w:rPr>
          <w:fldChar w:fldCharType="end"/>
        </w:r>
      </w:hyperlink>
    </w:p>
    <w:p w:rsidR="00196DC6" w:rsidRPr="00196DC6" w:rsidRDefault="00196DC6">
      <w:pPr>
        <w:pStyle w:val="TDC2"/>
        <w:rPr>
          <w:rFonts w:ascii="Arial Narrow" w:eastAsiaTheme="minorEastAsia" w:hAnsi="Arial Narrow" w:cstheme="minorBidi"/>
          <w:noProof/>
          <w:sz w:val="24"/>
          <w:szCs w:val="24"/>
          <w:lang w:val="en-US" w:eastAsia="en-US"/>
        </w:rPr>
      </w:pPr>
      <w:hyperlink w:anchor="_Toc528669644" w:history="1">
        <w:r w:rsidRPr="00196DC6">
          <w:rPr>
            <w:rStyle w:val="Hipervnculo"/>
            <w:rFonts w:ascii="Arial Narrow" w:hAnsi="Arial Narrow" w:cs="Arial"/>
            <w:bCs/>
            <w:noProof/>
            <w:sz w:val="24"/>
            <w:szCs w:val="24"/>
            <w:lang w:val="es-CO" w:eastAsia="es-CO"/>
          </w:rPr>
          <w:t>7.2.</w:t>
        </w:r>
        <w:r>
          <w:rPr>
            <w:rStyle w:val="Hipervnculo"/>
            <w:rFonts w:ascii="Arial Narrow" w:hAnsi="Arial Narrow" w:cs="Arial"/>
            <w:bCs/>
            <w:noProof/>
            <w:sz w:val="24"/>
            <w:szCs w:val="24"/>
            <w:lang w:val="es-CO" w:eastAsia="es-CO"/>
          </w:rPr>
          <w:t xml:space="preserve">  </w:t>
        </w:r>
        <w:r w:rsidRPr="00196DC6">
          <w:rPr>
            <w:rStyle w:val="Hipervnculo"/>
            <w:rFonts w:ascii="Arial Narrow" w:hAnsi="Arial Narrow" w:cs="Arial"/>
            <w:bCs/>
            <w:noProof/>
            <w:sz w:val="24"/>
            <w:szCs w:val="24"/>
            <w:lang w:val="es-CO" w:eastAsia="es-CO"/>
          </w:rPr>
          <w:t>Directrices</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_Toc528669644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6</w:t>
        </w:r>
        <w:r w:rsidRPr="00196DC6">
          <w:rPr>
            <w:rFonts w:ascii="Arial Narrow" w:hAnsi="Arial Narrow"/>
            <w:noProof/>
            <w:webHidden/>
            <w:sz w:val="24"/>
            <w:szCs w:val="24"/>
          </w:rPr>
          <w:fldChar w:fldCharType="end"/>
        </w:r>
      </w:hyperlink>
    </w:p>
    <w:p w:rsidR="00196DC6" w:rsidRPr="00196DC6" w:rsidRDefault="00196DC6">
      <w:pPr>
        <w:pStyle w:val="TDC3"/>
        <w:rPr>
          <w:rFonts w:ascii="Arial Narrow" w:eastAsiaTheme="minorEastAsia" w:hAnsi="Arial Narrow" w:cstheme="minorBidi"/>
          <w:noProof/>
          <w:sz w:val="24"/>
          <w:szCs w:val="24"/>
          <w:lang w:val="en-US" w:eastAsia="en-US"/>
        </w:rPr>
      </w:pPr>
      <w:hyperlink w:anchor="_Toc528669645" w:history="1">
        <w:r w:rsidRPr="00196DC6">
          <w:rPr>
            <w:rStyle w:val="Hipervnculo"/>
            <w:rFonts w:ascii="Arial Narrow" w:hAnsi="Arial Narrow" w:cs="Arial"/>
            <w:noProof/>
            <w:sz w:val="24"/>
            <w:szCs w:val="24"/>
          </w:rPr>
          <w:t>7.2.1.</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Directrices en Materia de Originación</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_Toc528669645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6</w:t>
        </w:r>
        <w:r w:rsidRPr="00196DC6">
          <w:rPr>
            <w:rFonts w:ascii="Arial Narrow" w:hAnsi="Arial Narrow"/>
            <w:noProof/>
            <w:webHidden/>
            <w:sz w:val="24"/>
            <w:szCs w:val="24"/>
          </w:rPr>
          <w:fldChar w:fldCharType="end"/>
        </w:r>
      </w:hyperlink>
    </w:p>
    <w:p w:rsidR="00196DC6" w:rsidRPr="00196DC6" w:rsidRDefault="00196DC6">
      <w:pPr>
        <w:pStyle w:val="TDC4"/>
        <w:rPr>
          <w:rFonts w:ascii="Arial Narrow" w:eastAsiaTheme="minorEastAsia" w:hAnsi="Arial Narrow" w:cstheme="minorBidi"/>
          <w:noProof/>
          <w:sz w:val="24"/>
          <w:szCs w:val="24"/>
          <w:lang w:val="en-US" w:eastAsia="en-US"/>
        </w:rPr>
      </w:pPr>
      <w:hyperlink w:anchor="_Toc528669646" w:history="1">
        <w:r w:rsidRPr="00196DC6">
          <w:rPr>
            <w:rStyle w:val="Hipervnculo"/>
            <w:rFonts w:ascii="Arial Narrow" w:hAnsi="Arial Narrow" w:cs="Arial"/>
            <w:noProof/>
            <w:sz w:val="24"/>
            <w:szCs w:val="24"/>
          </w:rPr>
          <w:t>7.2.1.1.</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Autorización</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_Toc528669646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6</w:t>
        </w:r>
        <w:r w:rsidRPr="00196DC6">
          <w:rPr>
            <w:rFonts w:ascii="Arial Narrow" w:hAnsi="Arial Narrow"/>
            <w:noProof/>
            <w:webHidden/>
            <w:sz w:val="24"/>
            <w:szCs w:val="24"/>
          </w:rPr>
          <w:fldChar w:fldCharType="end"/>
        </w:r>
      </w:hyperlink>
    </w:p>
    <w:p w:rsidR="00196DC6" w:rsidRPr="00196DC6" w:rsidRDefault="00196DC6">
      <w:pPr>
        <w:pStyle w:val="TDC4"/>
        <w:rPr>
          <w:rFonts w:ascii="Arial Narrow" w:eastAsiaTheme="minorEastAsia" w:hAnsi="Arial Narrow" w:cstheme="minorBidi"/>
          <w:noProof/>
          <w:sz w:val="24"/>
          <w:szCs w:val="24"/>
          <w:lang w:val="en-US" w:eastAsia="en-US"/>
        </w:rPr>
      </w:pPr>
      <w:hyperlink w:anchor="_Toc528669647" w:history="1">
        <w:r w:rsidRPr="00196DC6">
          <w:rPr>
            <w:rStyle w:val="Hipervnculo"/>
            <w:rFonts w:ascii="Arial Narrow" w:hAnsi="Arial Narrow" w:cs="Arial"/>
            <w:noProof/>
            <w:sz w:val="24"/>
            <w:szCs w:val="24"/>
          </w:rPr>
          <w:t>7.2.1.2.</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Otorgamiento</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_Toc528669647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7</w:t>
        </w:r>
        <w:r w:rsidRPr="00196DC6">
          <w:rPr>
            <w:rFonts w:ascii="Arial Narrow" w:hAnsi="Arial Narrow"/>
            <w:noProof/>
            <w:webHidden/>
            <w:sz w:val="24"/>
            <w:szCs w:val="24"/>
          </w:rPr>
          <w:fldChar w:fldCharType="end"/>
        </w:r>
      </w:hyperlink>
    </w:p>
    <w:p w:rsidR="00196DC6" w:rsidRPr="00196DC6" w:rsidRDefault="00196DC6">
      <w:pPr>
        <w:pStyle w:val="TDC4"/>
        <w:rPr>
          <w:rFonts w:ascii="Arial Narrow" w:eastAsiaTheme="minorEastAsia" w:hAnsi="Arial Narrow" w:cstheme="minorBidi"/>
          <w:noProof/>
          <w:sz w:val="24"/>
          <w:szCs w:val="24"/>
          <w:lang w:val="en-US" w:eastAsia="en-US"/>
        </w:rPr>
      </w:pPr>
      <w:hyperlink w:anchor="_Toc528669648" w:history="1">
        <w:r w:rsidRPr="00196DC6">
          <w:rPr>
            <w:rStyle w:val="Hipervnculo"/>
            <w:rFonts w:ascii="Arial Narrow" w:hAnsi="Arial Narrow" w:cs="Arial"/>
            <w:noProof/>
            <w:sz w:val="24"/>
            <w:szCs w:val="24"/>
          </w:rPr>
          <w:t>7.2.1.3.</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Adjudicación de Garantías</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_Toc528669648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7</w:t>
        </w:r>
        <w:r w:rsidRPr="00196DC6">
          <w:rPr>
            <w:rFonts w:ascii="Arial Narrow" w:hAnsi="Arial Narrow"/>
            <w:noProof/>
            <w:webHidden/>
            <w:sz w:val="24"/>
            <w:szCs w:val="24"/>
          </w:rPr>
          <w:fldChar w:fldCharType="end"/>
        </w:r>
      </w:hyperlink>
    </w:p>
    <w:p w:rsidR="00196DC6" w:rsidRPr="00196DC6" w:rsidRDefault="00196DC6">
      <w:pPr>
        <w:pStyle w:val="TDC3"/>
        <w:rPr>
          <w:rFonts w:ascii="Arial Narrow" w:eastAsiaTheme="minorEastAsia" w:hAnsi="Arial Narrow" w:cstheme="minorBidi"/>
          <w:noProof/>
          <w:sz w:val="24"/>
          <w:szCs w:val="24"/>
          <w:lang w:val="en-US" w:eastAsia="en-US"/>
        </w:rPr>
      </w:pPr>
      <w:hyperlink w:anchor="_Toc528669649" w:history="1">
        <w:r w:rsidRPr="00196DC6">
          <w:rPr>
            <w:rStyle w:val="Hipervnculo"/>
            <w:rFonts w:ascii="Arial Narrow" w:hAnsi="Arial Narrow" w:cs="Arial"/>
            <w:noProof/>
            <w:sz w:val="24"/>
            <w:szCs w:val="24"/>
          </w:rPr>
          <w:t>7.2.2.</w:t>
        </w:r>
        <w:r>
          <w:rPr>
            <w:rStyle w:val="Hipervnculo"/>
            <w:rFonts w:ascii="Arial Narrow" w:hAnsi="Arial Narrow" w:cs="Arial"/>
            <w:noProof/>
            <w:sz w:val="24"/>
            <w:szCs w:val="24"/>
          </w:rPr>
          <w:t xml:space="preserve"> D</w:t>
        </w:r>
        <w:r w:rsidRPr="00196DC6">
          <w:rPr>
            <w:rStyle w:val="Hipervnculo"/>
            <w:rFonts w:ascii="Arial Narrow" w:hAnsi="Arial Narrow" w:cs="Arial"/>
            <w:noProof/>
            <w:sz w:val="24"/>
            <w:szCs w:val="24"/>
          </w:rPr>
          <w:t>irectrices en Materia de Seguimiento de la Cartera</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_Toc528669649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8</w:t>
        </w:r>
        <w:r w:rsidRPr="00196DC6">
          <w:rPr>
            <w:rFonts w:ascii="Arial Narrow" w:hAnsi="Arial Narrow"/>
            <w:noProof/>
            <w:webHidden/>
            <w:sz w:val="24"/>
            <w:szCs w:val="24"/>
          </w:rPr>
          <w:fldChar w:fldCharType="end"/>
        </w:r>
      </w:hyperlink>
    </w:p>
    <w:p w:rsidR="00196DC6" w:rsidRPr="00196DC6" w:rsidRDefault="00196DC6">
      <w:pPr>
        <w:pStyle w:val="TDC4"/>
        <w:rPr>
          <w:rFonts w:ascii="Arial Narrow" w:eastAsiaTheme="minorEastAsia" w:hAnsi="Arial Narrow" w:cstheme="minorBidi"/>
          <w:noProof/>
          <w:sz w:val="24"/>
          <w:szCs w:val="24"/>
          <w:lang w:val="en-US" w:eastAsia="en-US"/>
        </w:rPr>
      </w:pPr>
      <w:hyperlink w:anchor="_Toc528669650" w:history="1">
        <w:r w:rsidRPr="00196DC6">
          <w:rPr>
            <w:rStyle w:val="Hipervnculo"/>
            <w:rFonts w:ascii="Arial Narrow" w:hAnsi="Arial Narrow" w:cs="Arial"/>
            <w:noProof/>
            <w:sz w:val="24"/>
            <w:szCs w:val="24"/>
          </w:rPr>
          <w:t>7.2.2.1.</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Seguimiento de la Cartera</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_Toc528669650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8</w:t>
        </w:r>
        <w:r w:rsidRPr="00196DC6">
          <w:rPr>
            <w:rFonts w:ascii="Arial Narrow" w:hAnsi="Arial Narrow"/>
            <w:noProof/>
            <w:webHidden/>
            <w:sz w:val="24"/>
            <w:szCs w:val="24"/>
          </w:rPr>
          <w:fldChar w:fldCharType="end"/>
        </w:r>
      </w:hyperlink>
    </w:p>
    <w:p w:rsidR="00196DC6" w:rsidRPr="00196DC6" w:rsidRDefault="00196DC6">
      <w:pPr>
        <w:pStyle w:val="TDC5"/>
        <w:rPr>
          <w:rFonts w:ascii="Arial Narrow" w:eastAsiaTheme="minorEastAsia" w:hAnsi="Arial Narrow" w:cstheme="minorBidi"/>
          <w:noProof/>
          <w:sz w:val="24"/>
          <w:szCs w:val="24"/>
          <w:lang w:val="en-US" w:eastAsia="en-US"/>
        </w:rPr>
      </w:pPr>
      <w:hyperlink w:anchor="_Toc528669651" w:history="1">
        <w:r w:rsidRPr="00196DC6">
          <w:rPr>
            <w:rStyle w:val="Hipervnculo"/>
            <w:rFonts w:ascii="Arial Narrow" w:hAnsi="Arial Narrow" w:cs="Arial"/>
            <w:noProof/>
            <w:sz w:val="24"/>
            <w:szCs w:val="24"/>
          </w:rPr>
          <w:t>7.2.2.1.1.</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Créditos Internos y Externos Garantizados por la Nación</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_Toc528669651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9</w:t>
        </w:r>
        <w:r w:rsidRPr="00196DC6">
          <w:rPr>
            <w:rFonts w:ascii="Arial Narrow" w:hAnsi="Arial Narrow"/>
            <w:noProof/>
            <w:webHidden/>
            <w:sz w:val="24"/>
            <w:szCs w:val="24"/>
          </w:rPr>
          <w:fldChar w:fldCharType="end"/>
        </w:r>
      </w:hyperlink>
    </w:p>
    <w:p w:rsidR="00196DC6" w:rsidRPr="00196DC6" w:rsidRDefault="00196DC6">
      <w:pPr>
        <w:pStyle w:val="TDC5"/>
        <w:rPr>
          <w:rFonts w:ascii="Arial Narrow" w:eastAsiaTheme="minorEastAsia" w:hAnsi="Arial Narrow" w:cstheme="minorBidi"/>
          <w:noProof/>
          <w:sz w:val="24"/>
          <w:szCs w:val="24"/>
          <w:lang w:val="en-US" w:eastAsia="en-US"/>
        </w:rPr>
      </w:pPr>
      <w:hyperlink w:anchor="_Toc528669652" w:history="1">
        <w:r w:rsidRPr="00196DC6">
          <w:rPr>
            <w:rStyle w:val="Hipervnculo"/>
            <w:rFonts w:ascii="Arial Narrow" w:hAnsi="Arial Narrow" w:cs="Arial"/>
            <w:noProof/>
            <w:sz w:val="24"/>
            <w:szCs w:val="24"/>
          </w:rPr>
          <w:t>7.2.2.1.2.</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Créditos de Presupuesto y Seguimiento a Acuerdos de Pago</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_Toc528669652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9</w:t>
        </w:r>
        <w:r w:rsidRPr="00196DC6">
          <w:rPr>
            <w:rFonts w:ascii="Arial Narrow" w:hAnsi="Arial Narrow"/>
            <w:noProof/>
            <w:webHidden/>
            <w:sz w:val="24"/>
            <w:szCs w:val="24"/>
          </w:rPr>
          <w:fldChar w:fldCharType="end"/>
        </w:r>
      </w:hyperlink>
    </w:p>
    <w:p w:rsidR="00196DC6" w:rsidRPr="00196DC6" w:rsidRDefault="00196DC6">
      <w:pPr>
        <w:pStyle w:val="TDC4"/>
        <w:rPr>
          <w:rFonts w:ascii="Arial Narrow" w:eastAsiaTheme="minorEastAsia" w:hAnsi="Arial Narrow" w:cstheme="minorBidi"/>
          <w:noProof/>
          <w:sz w:val="24"/>
          <w:szCs w:val="24"/>
          <w:lang w:val="en-US" w:eastAsia="en-US"/>
        </w:rPr>
      </w:pPr>
      <w:hyperlink w:anchor="_Toc528669653" w:history="1">
        <w:r w:rsidRPr="00196DC6">
          <w:rPr>
            <w:rStyle w:val="Hipervnculo"/>
            <w:rFonts w:ascii="Arial Narrow" w:hAnsi="Arial Narrow" w:cs="Arial"/>
            <w:noProof/>
            <w:sz w:val="24"/>
            <w:szCs w:val="24"/>
          </w:rPr>
          <w:t>7.2.2.2.</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Mecanismos de Control y Monitoreo del Riesgo de Crédito</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_Toc528669653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10</w:t>
        </w:r>
        <w:r w:rsidRPr="00196DC6">
          <w:rPr>
            <w:rFonts w:ascii="Arial Narrow" w:hAnsi="Arial Narrow"/>
            <w:noProof/>
            <w:webHidden/>
            <w:sz w:val="24"/>
            <w:szCs w:val="24"/>
          </w:rPr>
          <w:fldChar w:fldCharType="end"/>
        </w:r>
      </w:hyperlink>
    </w:p>
    <w:p w:rsidR="00196DC6" w:rsidRPr="00196DC6" w:rsidRDefault="00196DC6">
      <w:pPr>
        <w:pStyle w:val="TDC5"/>
        <w:rPr>
          <w:rFonts w:ascii="Arial Narrow" w:eastAsiaTheme="minorEastAsia" w:hAnsi="Arial Narrow" w:cstheme="minorBidi"/>
          <w:noProof/>
          <w:sz w:val="24"/>
          <w:szCs w:val="24"/>
          <w:lang w:val="en-US" w:eastAsia="en-US"/>
        </w:rPr>
      </w:pPr>
      <w:hyperlink w:anchor="_Toc528669654" w:history="1">
        <w:r w:rsidRPr="00196DC6">
          <w:rPr>
            <w:rStyle w:val="Hipervnculo"/>
            <w:rFonts w:ascii="Arial Narrow" w:hAnsi="Arial Narrow" w:cs="Arial"/>
            <w:noProof/>
            <w:sz w:val="24"/>
            <w:szCs w:val="24"/>
          </w:rPr>
          <w:t>7.2.2.2.1.</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Reglas Generales sobre Calificación de Riesgo de Crédito</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_Toc528669654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10</w:t>
        </w:r>
        <w:r w:rsidRPr="00196DC6">
          <w:rPr>
            <w:rFonts w:ascii="Arial Narrow" w:hAnsi="Arial Narrow"/>
            <w:noProof/>
            <w:webHidden/>
            <w:sz w:val="24"/>
            <w:szCs w:val="24"/>
          </w:rPr>
          <w:fldChar w:fldCharType="end"/>
        </w:r>
      </w:hyperlink>
    </w:p>
    <w:p w:rsidR="00196DC6" w:rsidRPr="00196DC6" w:rsidRDefault="00196DC6">
      <w:pPr>
        <w:pStyle w:val="TDC5"/>
        <w:rPr>
          <w:rFonts w:ascii="Arial Narrow" w:eastAsiaTheme="minorEastAsia" w:hAnsi="Arial Narrow" w:cstheme="minorBidi"/>
          <w:noProof/>
          <w:sz w:val="24"/>
          <w:szCs w:val="24"/>
          <w:lang w:val="en-US" w:eastAsia="en-US"/>
        </w:rPr>
      </w:pPr>
      <w:hyperlink w:anchor="_Toc528669655" w:history="1">
        <w:r w:rsidRPr="00196DC6">
          <w:rPr>
            <w:rStyle w:val="Hipervnculo"/>
            <w:rFonts w:ascii="Arial Narrow" w:hAnsi="Arial Narrow" w:cs="Arial"/>
            <w:noProof/>
            <w:sz w:val="24"/>
            <w:szCs w:val="24"/>
          </w:rPr>
          <w:t>7.2.2.2.2.</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Monitoreo del riesgo de Crédito</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_Toc528669655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11</w:t>
        </w:r>
        <w:r w:rsidRPr="00196DC6">
          <w:rPr>
            <w:rFonts w:ascii="Arial Narrow" w:hAnsi="Arial Narrow"/>
            <w:noProof/>
            <w:webHidden/>
            <w:sz w:val="24"/>
            <w:szCs w:val="24"/>
          </w:rPr>
          <w:fldChar w:fldCharType="end"/>
        </w:r>
      </w:hyperlink>
    </w:p>
    <w:p w:rsidR="00196DC6" w:rsidRPr="00196DC6" w:rsidRDefault="00196DC6">
      <w:pPr>
        <w:pStyle w:val="TDC3"/>
        <w:rPr>
          <w:rFonts w:ascii="Arial Narrow" w:eastAsiaTheme="minorEastAsia" w:hAnsi="Arial Narrow" w:cstheme="minorBidi"/>
          <w:noProof/>
          <w:sz w:val="24"/>
          <w:szCs w:val="24"/>
          <w:lang w:val="en-US" w:eastAsia="en-US"/>
        </w:rPr>
      </w:pPr>
      <w:hyperlink w:anchor="_Toc528669656" w:history="1">
        <w:r w:rsidRPr="00196DC6">
          <w:rPr>
            <w:rStyle w:val="Hipervnculo"/>
            <w:rFonts w:ascii="Arial Narrow" w:hAnsi="Arial Narrow" w:cs="Arial"/>
            <w:noProof/>
            <w:sz w:val="24"/>
            <w:szCs w:val="24"/>
          </w:rPr>
          <w:t>7.2.3.</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Directrices en Materia de Recuperación de la Cartera</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_Toc528669656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11</w:t>
        </w:r>
        <w:r w:rsidRPr="00196DC6">
          <w:rPr>
            <w:rFonts w:ascii="Arial Narrow" w:hAnsi="Arial Narrow"/>
            <w:noProof/>
            <w:webHidden/>
            <w:sz w:val="24"/>
            <w:szCs w:val="24"/>
          </w:rPr>
          <w:fldChar w:fldCharType="end"/>
        </w:r>
      </w:hyperlink>
    </w:p>
    <w:p w:rsidR="00196DC6" w:rsidRPr="00196DC6" w:rsidRDefault="00196DC6">
      <w:pPr>
        <w:pStyle w:val="TDC3"/>
        <w:rPr>
          <w:rFonts w:ascii="Arial Narrow" w:eastAsiaTheme="minorEastAsia" w:hAnsi="Arial Narrow" w:cstheme="minorBidi"/>
          <w:noProof/>
          <w:sz w:val="24"/>
          <w:szCs w:val="24"/>
          <w:lang w:val="en-US" w:eastAsia="en-US"/>
        </w:rPr>
      </w:pPr>
      <w:hyperlink w:anchor="_Toc528669657" w:history="1">
        <w:r w:rsidRPr="00196DC6">
          <w:rPr>
            <w:rStyle w:val="Hipervnculo"/>
            <w:rFonts w:ascii="Arial Narrow" w:hAnsi="Arial Narrow" w:cs="Arial"/>
            <w:noProof/>
            <w:sz w:val="24"/>
            <w:szCs w:val="24"/>
          </w:rPr>
          <w:t>7.2.4.</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Límites de Riesgo</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_Toc528669657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12</w:t>
        </w:r>
        <w:r w:rsidRPr="00196DC6">
          <w:rPr>
            <w:rFonts w:ascii="Arial Narrow" w:hAnsi="Arial Narrow"/>
            <w:noProof/>
            <w:webHidden/>
            <w:sz w:val="24"/>
            <w:szCs w:val="24"/>
          </w:rPr>
          <w:fldChar w:fldCharType="end"/>
        </w:r>
      </w:hyperlink>
    </w:p>
    <w:p w:rsidR="00196DC6" w:rsidRPr="00196DC6" w:rsidRDefault="00196DC6">
      <w:pPr>
        <w:pStyle w:val="TDC3"/>
        <w:rPr>
          <w:rFonts w:ascii="Arial Narrow" w:eastAsiaTheme="minorEastAsia" w:hAnsi="Arial Narrow" w:cstheme="minorBidi"/>
          <w:noProof/>
          <w:sz w:val="24"/>
          <w:szCs w:val="24"/>
          <w:lang w:val="en-US" w:eastAsia="en-US"/>
        </w:rPr>
      </w:pPr>
      <w:hyperlink w:anchor="_Toc528669658" w:history="1">
        <w:r w:rsidRPr="00196DC6">
          <w:rPr>
            <w:rStyle w:val="Hipervnculo"/>
            <w:rFonts w:ascii="Arial Narrow" w:hAnsi="Arial Narrow" w:cs="Arial"/>
            <w:noProof/>
            <w:sz w:val="24"/>
            <w:szCs w:val="24"/>
          </w:rPr>
          <w:t>7.2.5.</w:t>
        </w:r>
        <w:r>
          <w:rPr>
            <w:rStyle w:val="Hipervnculo"/>
            <w:rFonts w:ascii="Arial Narrow" w:hAnsi="Arial Narrow" w:cs="Arial"/>
            <w:noProof/>
            <w:sz w:val="24"/>
            <w:szCs w:val="24"/>
          </w:rPr>
          <w:t xml:space="preserve"> </w:t>
        </w:r>
        <w:r w:rsidRPr="00196DC6">
          <w:rPr>
            <w:rStyle w:val="Hipervnculo"/>
            <w:rFonts w:ascii="Arial Narrow" w:hAnsi="Arial Narrow" w:cs="Arial"/>
            <w:noProof/>
            <w:sz w:val="24"/>
            <w:szCs w:val="24"/>
          </w:rPr>
          <w:t>Autorizaciones Especiales</w:t>
        </w:r>
        <w:r w:rsidRPr="00196DC6">
          <w:rPr>
            <w:rFonts w:ascii="Arial Narrow" w:hAnsi="Arial Narrow"/>
            <w:noProof/>
            <w:webHidden/>
            <w:sz w:val="24"/>
            <w:szCs w:val="24"/>
          </w:rPr>
          <w:tab/>
        </w:r>
        <w:r w:rsidRPr="00196DC6">
          <w:rPr>
            <w:rFonts w:ascii="Arial Narrow" w:hAnsi="Arial Narrow"/>
            <w:noProof/>
            <w:webHidden/>
            <w:sz w:val="24"/>
            <w:szCs w:val="24"/>
          </w:rPr>
          <w:fldChar w:fldCharType="begin"/>
        </w:r>
        <w:r w:rsidRPr="00196DC6">
          <w:rPr>
            <w:rFonts w:ascii="Arial Narrow" w:hAnsi="Arial Narrow"/>
            <w:noProof/>
            <w:webHidden/>
            <w:sz w:val="24"/>
            <w:szCs w:val="24"/>
          </w:rPr>
          <w:instrText xml:space="preserve"> PAGEREF _Toc528669658 \h </w:instrText>
        </w:r>
        <w:r w:rsidRPr="00196DC6">
          <w:rPr>
            <w:rFonts w:ascii="Arial Narrow" w:hAnsi="Arial Narrow"/>
            <w:noProof/>
            <w:webHidden/>
            <w:sz w:val="24"/>
            <w:szCs w:val="24"/>
          </w:rPr>
        </w:r>
        <w:r w:rsidRPr="00196DC6">
          <w:rPr>
            <w:rFonts w:ascii="Arial Narrow" w:hAnsi="Arial Narrow"/>
            <w:noProof/>
            <w:webHidden/>
            <w:sz w:val="24"/>
            <w:szCs w:val="24"/>
          </w:rPr>
          <w:fldChar w:fldCharType="separate"/>
        </w:r>
        <w:r w:rsidR="00370F38">
          <w:rPr>
            <w:rFonts w:ascii="Arial Narrow" w:hAnsi="Arial Narrow"/>
            <w:noProof/>
            <w:webHidden/>
            <w:sz w:val="24"/>
            <w:szCs w:val="24"/>
          </w:rPr>
          <w:t>12</w:t>
        </w:r>
        <w:r w:rsidRPr="00196DC6">
          <w:rPr>
            <w:rFonts w:ascii="Arial Narrow" w:hAnsi="Arial Narrow"/>
            <w:noProof/>
            <w:webHidden/>
            <w:sz w:val="24"/>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59" w:history="1">
        <w:r w:rsidRPr="00196DC6">
          <w:rPr>
            <w:rStyle w:val="Hipervnculo"/>
            <w:b w:val="0"/>
            <w:szCs w:val="24"/>
          </w:rPr>
          <w:t>8.</w:t>
        </w:r>
        <w:r w:rsidRPr="00196DC6">
          <w:rPr>
            <w:rFonts w:eastAsiaTheme="minorEastAsia" w:cstheme="minorBidi"/>
            <w:b w:val="0"/>
            <w:szCs w:val="24"/>
            <w:lang w:val="en-US"/>
          </w:rPr>
          <w:tab/>
        </w:r>
        <w:r w:rsidRPr="00196DC6">
          <w:rPr>
            <w:rStyle w:val="Hipervnculo"/>
            <w:b w:val="0"/>
            <w:szCs w:val="24"/>
          </w:rPr>
          <w:t>HISTORIAL DE CAMBIOS</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_Toc528669659 \h </w:instrText>
        </w:r>
        <w:r w:rsidRPr="00196DC6">
          <w:rPr>
            <w:b w:val="0"/>
            <w:webHidden/>
            <w:szCs w:val="24"/>
          </w:rPr>
        </w:r>
        <w:r w:rsidRPr="00196DC6">
          <w:rPr>
            <w:b w:val="0"/>
            <w:webHidden/>
            <w:szCs w:val="24"/>
          </w:rPr>
          <w:fldChar w:fldCharType="separate"/>
        </w:r>
        <w:r w:rsidR="00370F38">
          <w:rPr>
            <w:b w:val="0"/>
            <w:webHidden/>
            <w:szCs w:val="24"/>
          </w:rPr>
          <w:t>13</w:t>
        </w:r>
        <w:r w:rsidRPr="00196DC6">
          <w:rPr>
            <w:b w:val="0"/>
            <w:webHidden/>
            <w:szCs w:val="24"/>
          </w:rPr>
          <w:fldChar w:fldCharType="end"/>
        </w:r>
      </w:hyperlink>
    </w:p>
    <w:p w:rsidR="00196DC6" w:rsidRDefault="00196DC6">
      <w:pPr>
        <w:pStyle w:val="TDC1"/>
        <w:rPr>
          <w:rStyle w:val="Hipervnculo"/>
          <w:b w:val="0"/>
          <w:szCs w:val="24"/>
        </w:rPr>
      </w:pPr>
    </w:p>
    <w:p w:rsidR="00196DC6" w:rsidRPr="00196DC6" w:rsidRDefault="00196DC6">
      <w:pPr>
        <w:pStyle w:val="TDC1"/>
        <w:rPr>
          <w:rFonts w:eastAsiaTheme="minorEastAsia" w:cstheme="minorBidi"/>
          <w:b w:val="0"/>
          <w:szCs w:val="24"/>
          <w:lang w:val="en-US"/>
        </w:rPr>
      </w:pPr>
      <w:hyperlink w:anchor="_Toc528669660" w:history="1">
        <w:r w:rsidRPr="00196DC6">
          <w:rPr>
            <w:rStyle w:val="Hipervnculo"/>
            <w:b w:val="0"/>
            <w:szCs w:val="24"/>
          </w:rPr>
          <w:t>9.</w:t>
        </w:r>
        <w:r w:rsidRPr="00196DC6">
          <w:rPr>
            <w:rFonts w:eastAsiaTheme="minorEastAsia" w:cstheme="minorBidi"/>
            <w:b w:val="0"/>
            <w:szCs w:val="24"/>
            <w:lang w:val="en-US"/>
          </w:rPr>
          <w:tab/>
        </w:r>
        <w:r w:rsidRPr="00196DC6">
          <w:rPr>
            <w:rStyle w:val="Hipervnculo"/>
            <w:b w:val="0"/>
            <w:szCs w:val="24"/>
          </w:rPr>
          <w:t>APROBACIÓN</w:t>
        </w:r>
        <w:r w:rsidRPr="00196DC6">
          <w:rPr>
            <w:b w:val="0"/>
            <w:webHidden/>
            <w:szCs w:val="24"/>
          </w:rPr>
          <w:tab/>
        </w:r>
        <w:r w:rsidRPr="00196DC6">
          <w:rPr>
            <w:b w:val="0"/>
            <w:webHidden/>
            <w:szCs w:val="24"/>
          </w:rPr>
          <w:fldChar w:fldCharType="begin"/>
        </w:r>
        <w:r w:rsidRPr="00196DC6">
          <w:rPr>
            <w:b w:val="0"/>
            <w:webHidden/>
            <w:szCs w:val="24"/>
          </w:rPr>
          <w:instrText xml:space="preserve"> PAGEREF _Toc528669660 \h </w:instrText>
        </w:r>
        <w:r w:rsidRPr="00196DC6">
          <w:rPr>
            <w:b w:val="0"/>
            <w:webHidden/>
            <w:szCs w:val="24"/>
          </w:rPr>
        </w:r>
        <w:r w:rsidRPr="00196DC6">
          <w:rPr>
            <w:b w:val="0"/>
            <w:webHidden/>
            <w:szCs w:val="24"/>
          </w:rPr>
          <w:fldChar w:fldCharType="separate"/>
        </w:r>
        <w:r w:rsidR="00370F38">
          <w:rPr>
            <w:b w:val="0"/>
            <w:webHidden/>
            <w:szCs w:val="24"/>
          </w:rPr>
          <w:t>13</w:t>
        </w:r>
        <w:r w:rsidRPr="00196DC6">
          <w:rPr>
            <w:b w:val="0"/>
            <w:webHidden/>
            <w:szCs w:val="24"/>
          </w:rPr>
          <w:fldChar w:fldCharType="end"/>
        </w:r>
      </w:hyperlink>
    </w:p>
    <w:p w:rsidR="0094407F" w:rsidRPr="000C0C01" w:rsidRDefault="008C2C73" w:rsidP="00196DC6">
      <w:pPr>
        <w:jc w:val="both"/>
        <w:rPr>
          <w:rFonts w:ascii="Arial Narrow" w:hAnsi="Arial Narrow"/>
          <w:sz w:val="24"/>
          <w:szCs w:val="24"/>
        </w:rPr>
      </w:pPr>
      <w:r w:rsidRPr="00196DC6">
        <w:rPr>
          <w:rFonts w:ascii="Arial Narrow" w:hAnsi="Arial Narrow" w:cs="Arial"/>
          <w:noProof/>
          <w:sz w:val="24"/>
          <w:szCs w:val="24"/>
          <w:lang w:val="es-MX" w:eastAsia="en-US"/>
        </w:rPr>
        <w:fldChar w:fldCharType="end"/>
      </w:r>
    </w:p>
    <w:p w:rsidR="00FE52EC" w:rsidRPr="000C0C01" w:rsidRDefault="00FE52EC" w:rsidP="002307A2">
      <w:pPr>
        <w:jc w:val="both"/>
        <w:rPr>
          <w:rFonts w:ascii="Arial Narrow" w:hAnsi="Arial Narrow" w:cs="Arial"/>
          <w:b/>
          <w:sz w:val="24"/>
          <w:szCs w:val="24"/>
        </w:rPr>
      </w:pPr>
    </w:p>
    <w:p w:rsidR="0094407F" w:rsidRPr="000C0C01" w:rsidRDefault="0094407F" w:rsidP="00CB26AD">
      <w:pPr>
        <w:ind w:left="360"/>
        <w:jc w:val="both"/>
        <w:rPr>
          <w:rFonts w:ascii="Arial Narrow" w:hAnsi="Arial Narrow" w:cs="Arial"/>
          <w:b/>
          <w:sz w:val="24"/>
          <w:szCs w:val="24"/>
        </w:rPr>
      </w:pPr>
    </w:p>
    <w:p w:rsidR="00386147" w:rsidRPr="000C0C01" w:rsidRDefault="008410A5" w:rsidP="00CB26AD">
      <w:pPr>
        <w:ind w:left="360"/>
        <w:jc w:val="both"/>
        <w:rPr>
          <w:rFonts w:ascii="Arial Narrow" w:hAnsi="Arial Narrow" w:cs="Arial"/>
          <w:b/>
          <w:sz w:val="24"/>
          <w:szCs w:val="24"/>
        </w:rPr>
      </w:pPr>
      <w:r w:rsidRPr="000C0C01">
        <w:rPr>
          <w:rFonts w:ascii="Arial Narrow" w:hAnsi="Arial Narrow" w:cs="Arial"/>
          <w:b/>
          <w:sz w:val="24"/>
          <w:szCs w:val="24"/>
        </w:rPr>
        <w:br w:type="page"/>
      </w:r>
    </w:p>
    <w:p w:rsidR="00454E0D" w:rsidRPr="00454E0D" w:rsidRDefault="00454E0D" w:rsidP="00454E0D">
      <w:bookmarkStart w:id="2" w:name="_Toc181004292"/>
    </w:p>
    <w:p w:rsidR="00A23D16" w:rsidRPr="00E92761" w:rsidRDefault="00A23D16" w:rsidP="008C2C73">
      <w:pPr>
        <w:pStyle w:val="Ttulo1"/>
        <w:numPr>
          <w:ilvl w:val="0"/>
          <w:numId w:val="42"/>
        </w:numPr>
        <w:rPr>
          <w:rStyle w:val="nfasis"/>
          <w:b/>
        </w:rPr>
      </w:pPr>
      <w:bookmarkStart w:id="3" w:name="_Toc528669633"/>
      <w:r w:rsidRPr="00E92761">
        <w:rPr>
          <w:rStyle w:val="nfasis"/>
          <w:b/>
        </w:rPr>
        <w:t>INTRODUCCIÓN</w:t>
      </w:r>
      <w:bookmarkEnd w:id="3"/>
      <w:r w:rsidR="00CB26AD" w:rsidRPr="00E92761">
        <w:rPr>
          <w:rStyle w:val="nfasis"/>
          <w:b/>
        </w:rPr>
        <w:t xml:space="preserve"> </w:t>
      </w:r>
    </w:p>
    <w:p w:rsidR="008410A5" w:rsidRPr="000C0C01" w:rsidRDefault="008410A5" w:rsidP="008410A5">
      <w:pPr>
        <w:rPr>
          <w:rFonts w:ascii="Arial Narrow" w:hAnsi="Arial Narrow"/>
          <w:sz w:val="24"/>
          <w:szCs w:val="24"/>
        </w:rPr>
      </w:pPr>
    </w:p>
    <w:p w:rsidR="0094407F" w:rsidRDefault="008410A5" w:rsidP="00CB26AD">
      <w:pPr>
        <w:jc w:val="both"/>
        <w:rPr>
          <w:rFonts w:ascii="Arial Narrow" w:hAnsi="Arial Narrow"/>
          <w:sz w:val="24"/>
          <w:szCs w:val="24"/>
        </w:rPr>
      </w:pPr>
      <w:r w:rsidRPr="000C0C01">
        <w:rPr>
          <w:rFonts w:ascii="Arial Narrow" w:hAnsi="Arial Narrow"/>
          <w:sz w:val="24"/>
          <w:szCs w:val="24"/>
        </w:rPr>
        <w:t xml:space="preserve">El manual de políticas de riesgo de crédito </w:t>
      </w:r>
      <w:r w:rsidR="00C41CD3" w:rsidRPr="000C0C01">
        <w:rPr>
          <w:rFonts w:ascii="Arial Narrow" w:hAnsi="Arial Narrow"/>
          <w:sz w:val="24"/>
          <w:szCs w:val="24"/>
        </w:rPr>
        <w:t xml:space="preserve">establecerá los lineamientos a tener en cuenta en el </w:t>
      </w:r>
      <w:r w:rsidR="002307A2" w:rsidRPr="000C0C01">
        <w:rPr>
          <w:rFonts w:ascii="Arial Narrow" w:hAnsi="Arial Narrow"/>
          <w:sz w:val="24"/>
          <w:szCs w:val="24"/>
        </w:rPr>
        <w:t>desarrollo de un Sistema de Administración de Riesgo de Crédito</w:t>
      </w:r>
      <w:r w:rsidR="00C87D87" w:rsidRPr="000C0C01">
        <w:rPr>
          <w:rFonts w:ascii="Arial Narrow" w:hAnsi="Arial Narrow"/>
          <w:sz w:val="24"/>
          <w:szCs w:val="24"/>
        </w:rPr>
        <w:t xml:space="preserve"> - SARC</w:t>
      </w:r>
      <w:r w:rsidR="002307A2" w:rsidRPr="000C0C01">
        <w:rPr>
          <w:rFonts w:ascii="Arial Narrow" w:hAnsi="Arial Narrow"/>
          <w:sz w:val="24"/>
          <w:szCs w:val="24"/>
        </w:rPr>
        <w:t xml:space="preserve">, comprendiendo las etapas de Originación, Seguimiento y Recuperación del </w:t>
      </w:r>
      <w:r w:rsidR="002307A2" w:rsidRPr="00196DC6">
        <w:rPr>
          <w:rFonts w:ascii="Arial Narrow" w:hAnsi="Arial Narrow"/>
          <w:sz w:val="24"/>
          <w:szCs w:val="24"/>
        </w:rPr>
        <w:t>mismo</w:t>
      </w:r>
      <w:r w:rsidR="002307A2" w:rsidRPr="000C0C01">
        <w:rPr>
          <w:rFonts w:ascii="Arial Narrow" w:hAnsi="Arial Narrow"/>
          <w:sz w:val="24"/>
          <w:szCs w:val="24"/>
        </w:rPr>
        <w:t xml:space="preserve">, y buscando instaurar una estructura de políticas sanas </w:t>
      </w:r>
      <w:r w:rsidR="00C87D87" w:rsidRPr="000C0C01">
        <w:rPr>
          <w:rFonts w:ascii="Arial Narrow" w:hAnsi="Arial Narrow"/>
          <w:sz w:val="24"/>
          <w:szCs w:val="24"/>
        </w:rPr>
        <w:t>al interior de la Dirección General de Crédito Público y Tesoro Nacional</w:t>
      </w:r>
      <w:r w:rsidR="00520CE6" w:rsidRPr="000C0C01">
        <w:rPr>
          <w:rFonts w:ascii="Arial Narrow" w:hAnsi="Arial Narrow"/>
          <w:sz w:val="24"/>
          <w:szCs w:val="24"/>
        </w:rPr>
        <w:t xml:space="preserve"> - DGCPTN</w:t>
      </w:r>
      <w:r w:rsidR="00C87D87" w:rsidRPr="000C0C01">
        <w:rPr>
          <w:rFonts w:ascii="Arial Narrow" w:hAnsi="Arial Narrow"/>
          <w:sz w:val="24"/>
          <w:szCs w:val="24"/>
        </w:rPr>
        <w:t xml:space="preserve"> en pro de la reducción del Riesgo Fiscal que pueda llegar a generarse por la cartera de la Dirección.</w:t>
      </w:r>
    </w:p>
    <w:p w:rsidR="00594B42" w:rsidRDefault="00594B42" w:rsidP="00CB26AD">
      <w:pPr>
        <w:jc w:val="both"/>
        <w:rPr>
          <w:rFonts w:ascii="Arial Narrow" w:hAnsi="Arial Narrow" w:cs="Arial"/>
          <w:sz w:val="24"/>
          <w:szCs w:val="24"/>
          <w:lang w:val="es-CO"/>
        </w:rPr>
      </w:pPr>
    </w:p>
    <w:p w:rsidR="00454E0D" w:rsidRPr="000C0C01" w:rsidRDefault="00454E0D" w:rsidP="00CB26AD">
      <w:pPr>
        <w:jc w:val="both"/>
        <w:rPr>
          <w:rFonts w:ascii="Arial Narrow" w:hAnsi="Arial Narrow" w:cs="Arial"/>
          <w:sz w:val="24"/>
          <w:szCs w:val="24"/>
          <w:lang w:val="es-CO"/>
        </w:rPr>
      </w:pPr>
    </w:p>
    <w:p w:rsidR="00FE52EC" w:rsidRPr="00E92761" w:rsidRDefault="00E00CE9" w:rsidP="00454E0D">
      <w:pPr>
        <w:pStyle w:val="Ttulo1"/>
        <w:numPr>
          <w:ilvl w:val="0"/>
          <w:numId w:val="42"/>
        </w:numPr>
        <w:jc w:val="left"/>
        <w:rPr>
          <w:rStyle w:val="nfasis"/>
          <w:b/>
        </w:rPr>
      </w:pPr>
      <w:bookmarkStart w:id="4" w:name="_Toc528669634"/>
      <w:r w:rsidRPr="00E92761">
        <w:rPr>
          <w:rStyle w:val="nfasis"/>
          <w:b/>
        </w:rPr>
        <w:t>OBJETIVO</w:t>
      </w:r>
      <w:bookmarkEnd w:id="0"/>
      <w:bookmarkEnd w:id="1"/>
      <w:bookmarkEnd w:id="2"/>
      <w:bookmarkEnd w:id="4"/>
      <w:r w:rsidRPr="00E92761">
        <w:rPr>
          <w:rStyle w:val="nfasis"/>
          <w:b/>
        </w:rPr>
        <w:t xml:space="preserve"> </w:t>
      </w:r>
    </w:p>
    <w:p w:rsidR="00FE52EC" w:rsidRPr="000C0C01" w:rsidRDefault="00FE52EC" w:rsidP="00CB26AD">
      <w:pPr>
        <w:ind w:left="360"/>
        <w:jc w:val="both"/>
        <w:rPr>
          <w:rFonts w:ascii="Arial Narrow" w:hAnsi="Arial Narrow" w:cs="Arial"/>
          <w:b/>
          <w:sz w:val="24"/>
          <w:szCs w:val="24"/>
        </w:rPr>
      </w:pPr>
    </w:p>
    <w:p w:rsidR="00A41425" w:rsidRPr="000C0C01" w:rsidRDefault="00A41425" w:rsidP="00A41425">
      <w:pPr>
        <w:jc w:val="both"/>
        <w:rPr>
          <w:rFonts w:ascii="Arial Narrow" w:hAnsi="Arial Narrow" w:cs="Arial"/>
          <w:sz w:val="24"/>
          <w:szCs w:val="24"/>
        </w:rPr>
      </w:pPr>
      <w:r w:rsidRPr="000C0C01">
        <w:rPr>
          <w:rFonts w:ascii="Arial Narrow" w:hAnsi="Arial Narrow" w:cs="Arial"/>
          <w:sz w:val="24"/>
          <w:szCs w:val="24"/>
        </w:rPr>
        <w:t>Administrar el riesgo inherente ante un posible incumplimiento en la colocación de cartera de operaciones autorizadas, otorgadas y garantizadas por la Nación con el fin de mitigar su impacto fiscal, desde su origen y a lo largo de la vida de las mismas.</w:t>
      </w:r>
    </w:p>
    <w:p w:rsidR="00CC12BC" w:rsidRDefault="00CC12BC" w:rsidP="00A41425">
      <w:pPr>
        <w:pStyle w:val="Prrafodelista"/>
        <w:ind w:left="0"/>
        <w:rPr>
          <w:rFonts w:ascii="Arial Narrow" w:hAnsi="Arial Narrow" w:cs="Arial"/>
          <w:sz w:val="24"/>
          <w:szCs w:val="24"/>
        </w:rPr>
      </w:pPr>
    </w:p>
    <w:p w:rsidR="00454E0D" w:rsidRPr="000C0C01" w:rsidRDefault="00454E0D" w:rsidP="00A41425">
      <w:pPr>
        <w:pStyle w:val="Prrafodelista"/>
        <w:ind w:left="0"/>
        <w:rPr>
          <w:rFonts w:ascii="Arial Narrow" w:hAnsi="Arial Narrow" w:cs="Arial"/>
          <w:sz w:val="24"/>
          <w:szCs w:val="24"/>
        </w:rPr>
      </w:pPr>
    </w:p>
    <w:p w:rsidR="00CC12BC" w:rsidRPr="000C0C01" w:rsidRDefault="00CC12BC" w:rsidP="008C2C73">
      <w:pPr>
        <w:pStyle w:val="Ttulo2"/>
        <w:numPr>
          <w:ilvl w:val="1"/>
          <w:numId w:val="42"/>
        </w:numPr>
        <w:rPr>
          <w:szCs w:val="24"/>
        </w:rPr>
      </w:pPr>
      <w:bookmarkStart w:id="5" w:name="_Toc528669635"/>
      <w:r w:rsidRPr="000C0C01">
        <w:rPr>
          <w:szCs w:val="24"/>
        </w:rPr>
        <w:t>Objetivos Específicos</w:t>
      </w:r>
      <w:bookmarkEnd w:id="5"/>
      <w:r w:rsidRPr="000C0C01">
        <w:rPr>
          <w:szCs w:val="24"/>
        </w:rPr>
        <w:t xml:space="preserve"> </w:t>
      </w:r>
    </w:p>
    <w:p w:rsidR="0094407F" w:rsidRPr="000C0C01" w:rsidRDefault="0094407F" w:rsidP="00CC12BC">
      <w:pPr>
        <w:jc w:val="both"/>
        <w:rPr>
          <w:rFonts w:ascii="Arial Narrow" w:hAnsi="Arial Narrow"/>
          <w:i/>
          <w:color w:val="C00000"/>
          <w:sz w:val="24"/>
          <w:szCs w:val="24"/>
        </w:rPr>
      </w:pPr>
    </w:p>
    <w:p w:rsidR="00A41425" w:rsidRPr="000C0C01" w:rsidRDefault="00A41425" w:rsidP="00A41425">
      <w:pPr>
        <w:rPr>
          <w:rFonts w:ascii="Arial Narrow" w:hAnsi="Arial Narrow" w:cs="Arial"/>
          <w:sz w:val="24"/>
          <w:szCs w:val="24"/>
        </w:rPr>
      </w:pPr>
      <w:r w:rsidRPr="000C0C01">
        <w:rPr>
          <w:rFonts w:ascii="Arial Narrow" w:hAnsi="Arial Narrow" w:cs="Arial"/>
          <w:sz w:val="24"/>
          <w:szCs w:val="24"/>
        </w:rPr>
        <w:t>Se presentan a continuación los objetivos específicos que permiten a la DGCPTN lograr la adecuada Administración del Riesgo de Crédito (SARC):</w:t>
      </w:r>
    </w:p>
    <w:p w:rsidR="00A41425" w:rsidRPr="000C0C01" w:rsidRDefault="00A41425" w:rsidP="00A41425">
      <w:pPr>
        <w:ind w:left="567" w:hanging="567"/>
        <w:rPr>
          <w:rFonts w:ascii="Arial Narrow" w:hAnsi="Arial Narrow" w:cs="Arial"/>
          <w:sz w:val="24"/>
          <w:szCs w:val="24"/>
        </w:rPr>
      </w:pPr>
    </w:p>
    <w:p w:rsidR="00A41425" w:rsidRPr="000C0C01"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Definir políticas claras y específicas para el adecuado funcionamiento de la Administración del Riesgo de Crédito, acorde con la normatividad que le aplica a la DGCPTN;</w:t>
      </w:r>
    </w:p>
    <w:p w:rsidR="00A41425" w:rsidRPr="000C0C01"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Identificar y medir el riesgo de crédito para el adecuado control de las pérdidas potenciales de la cartera;</w:t>
      </w:r>
    </w:p>
    <w:p w:rsidR="00A41425" w:rsidRPr="000C0C01"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Determinar lineamientos para el otorgamiento de crédito y asignación de garantías, precisando los niveles de tolerancia al riesgo, discriminar a las entidades públicas para determinar si son sujetas de crédito y definir los niveles de adjudicación en las operaciones;</w:t>
      </w:r>
    </w:p>
    <w:p w:rsidR="00A41425" w:rsidRPr="000C0C01"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Establecer un esquema de exigencia y aceptación de contragarantías para aquellas operaciones de crédito de las entidades públicas en las cuales la Nación es garante;</w:t>
      </w:r>
    </w:p>
    <w:p w:rsidR="00A41425" w:rsidRPr="000C0C01"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Implementar un sistema de seguimiento y control de riesgo de crédito, a partir de la clasificación de las operaciones crediticias de acuerdo con el comportamiento de pago de las entidades públicas;</w:t>
      </w:r>
    </w:p>
    <w:p w:rsidR="00A41425" w:rsidRPr="000C0C01"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Determinar sistemas de cubrimiento del riesgo de crédito a partir de la definición de planes de aportes de las entidades públicas al Fondo de Contingencias cuando la Nación es garante de sus operaciones de crédito;</w:t>
      </w:r>
    </w:p>
    <w:p w:rsidR="00A41425" w:rsidRPr="000C0C01"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Establecer un esquema de provisiones para mitigar el impacto fiscal ante el incumplimiento en el pago de las obligaciones crediticias de las operaciones de crédito que no aportan al fondo de contingencia ni adjudican contragarantías;</w:t>
      </w:r>
    </w:p>
    <w:p w:rsidR="00A41425" w:rsidRDefault="00A41425" w:rsidP="00A41425">
      <w:pPr>
        <w:pStyle w:val="Prrafodelista"/>
        <w:numPr>
          <w:ilvl w:val="0"/>
          <w:numId w:val="26"/>
        </w:numPr>
        <w:ind w:left="567" w:hanging="283"/>
        <w:jc w:val="both"/>
        <w:rPr>
          <w:rFonts w:ascii="Arial Narrow" w:hAnsi="Arial Narrow" w:cs="Arial"/>
          <w:sz w:val="24"/>
          <w:szCs w:val="24"/>
        </w:rPr>
      </w:pPr>
      <w:r w:rsidRPr="000C0C01">
        <w:rPr>
          <w:rFonts w:ascii="Arial Narrow" w:hAnsi="Arial Narrow" w:cs="Arial"/>
          <w:sz w:val="24"/>
          <w:szCs w:val="24"/>
        </w:rPr>
        <w:t>Diseñar políticas que le permitan la DGCPTN tomar decisiones para la adecuada recuperación de la cartera;</w:t>
      </w:r>
    </w:p>
    <w:p w:rsidR="00594B42" w:rsidRDefault="00594B42" w:rsidP="00594B42">
      <w:pPr>
        <w:pStyle w:val="Prrafodelista"/>
        <w:jc w:val="both"/>
        <w:rPr>
          <w:rFonts w:ascii="Arial Narrow" w:hAnsi="Arial Narrow" w:cs="Arial"/>
          <w:sz w:val="24"/>
          <w:szCs w:val="24"/>
        </w:rPr>
      </w:pPr>
    </w:p>
    <w:p w:rsidR="00594B42" w:rsidRPr="000C0C01" w:rsidRDefault="00594B42" w:rsidP="00594B42">
      <w:pPr>
        <w:pStyle w:val="Prrafodelista"/>
        <w:jc w:val="both"/>
        <w:rPr>
          <w:rFonts w:ascii="Arial Narrow" w:hAnsi="Arial Narrow" w:cs="Arial"/>
          <w:sz w:val="24"/>
          <w:szCs w:val="24"/>
        </w:rPr>
      </w:pPr>
    </w:p>
    <w:p w:rsidR="0078679A" w:rsidRPr="000C0C01" w:rsidRDefault="0078679A" w:rsidP="00454E0D">
      <w:pPr>
        <w:pStyle w:val="Ttulo1"/>
        <w:numPr>
          <w:ilvl w:val="0"/>
          <w:numId w:val="42"/>
        </w:numPr>
        <w:jc w:val="left"/>
        <w:rPr>
          <w:rFonts w:ascii="Arial Narrow" w:hAnsi="Arial Narrow"/>
          <w:sz w:val="24"/>
          <w:szCs w:val="24"/>
        </w:rPr>
      </w:pPr>
      <w:bookmarkStart w:id="6" w:name="_Toc528669636"/>
      <w:r w:rsidRPr="000C0C01">
        <w:rPr>
          <w:rFonts w:ascii="Arial Narrow" w:hAnsi="Arial Narrow"/>
          <w:sz w:val="24"/>
          <w:szCs w:val="24"/>
        </w:rPr>
        <w:lastRenderedPageBreak/>
        <w:t>ALCANCE</w:t>
      </w:r>
      <w:bookmarkEnd w:id="6"/>
    </w:p>
    <w:p w:rsidR="00FE52EC" w:rsidRPr="000C0C01" w:rsidRDefault="00FE52EC" w:rsidP="00CB26AD">
      <w:pPr>
        <w:jc w:val="both"/>
        <w:rPr>
          <w:rFonts w:ascii="Arial Narrow" w:hAnsi="Arial Narrow" w:cs="Arial"/>
          <w:b/>
          <w:sz w:val="24"/>
          <w:szCs w:val="24"/>
        </w:rPr>
      </w:pPr>
    </w:p>
    <w:p w:rsidR="00454E0D" w:rsidRDefault="00454E0D" w:rsidP="00454E0D">
      <w:pPr>
        <w:jc w:val="both"/>
        <w:rPr>
          <w:rFonts w:ascii="Arial Narrow" w:hAnsi="Arial Narrow" w:cs="Arial"/>
          <w:sz w:val="24"/>
          <w:szCs w:val="24"/>
        </w:rPr>
      </w:pPr>
      <w:r>
        <w:rPr>
          <w:rFonts w:ascii="Arial Narrow" w:hAnsi="Arial Narrow" w:cs="Arial"/>
          <w:sz w:val="24"/>
          <w:szCs w:val="24"/>
        </w:rPr>
        <w:t>I</w:t>
      </w:r>
      <w:r w:rsidRPr="000C0C01">
        <w:rPr>
          <w:rFonts w:ascii="Arial Narrow" w:hAnsi="Arial Narrow" w:cs="Arial"/>
          <w:sz w:val="24"/>
          <w:szCs w:val="24"/>
        </w:rPr>
        <w:t>nicia en la originación de la cartera, pasando por el seguimiento y control y finalizando en la recuperación para los casos que hayan alcanzado esta instancia.</w:t>
      </w:r>
    </w:p>
    <w:p w:rsidR="00454E0D" w:rsidRDefault="00454E0D" w:rsidP="00CC12BC">
      <w:pPr>
        <w:jc w:val="both"/>
        <w:rPr>
          <w:rFonts w:ascii="Arial Narrow" w:hAnsi="Arial Narrow" w:cs="Arial"/>
          <w:sz w:val="24"/>
          <w:szCs w:val="24"/>
        </w:rPr>
      </w:pPr>
    </w:p>
    <w:p w:rsidR="00740B48" w:rsidRDefault="00520CE6" w:rsidP="00CC12BC">
      <w:pPr>
        <w:jc w:val="both"/>
        <w:rPr>
          <w:rFonts w:ascii="Arial Narrow" w:hAnsi="Arial Narrow" w:cs="Arial"/>
          <w:sz w:val="24"/>
          <w:szCs w:val="24"/>
        </w:rPr>
      </w:pPr>
      <w:r w:rsidRPr="000C0C01">
        <w:rPr>
          <w:rFonts w:ascii="Arial Narrow" w:hAnsi="Arial Narrow" w:cs="Arial"/>
          <w:sz w:val="24"/>
          <w:szCs w:val="24"/>
        </w:rPr>
        <w:t xml:space="preserve">El manual de políticas de Riesgo de Crédito determinará el marco de lineamientos que permitirá a la DGCPTN </w:t>
      </w:r>
      <w:r w:rsidR="00BD67C1" w:rsidRPr="000C0C01">
        <w:rPr>
          <w:rFonts w:ascii="Arial Narrow" w:hAnsi="Arial Narrow" w:cs="Arial"/>
          <w:sz w:val="24"/>
          <w:szCs w:val="24"/>
        </w:rPr>
        <w:t>encaminar sus estrategias hacia una adecuada administración del Riesgo de Crédito que se pueda desencadenar de las operaciones de cartera que maneja la Dirección</w:t>
      </w:r>
    </w:p>
    <w:p w:rsidR="00740B48" w:rsidRDefault="00740B48" w:rsidP="00CC12BC">
      <w:pPr>
        <w:jc w:val="both"/>
        <w:rPr>
          <w:rFonts w:ascii="Arial Narrow" w:hAnsi="Arial Narrow" w:cs="Arial"/>
          <w:sz w:val="24"/>
          <w:szCs w:val="24"/>
        </w:rPr>
      </w:pPr>
    </w:p>
    <w:p w:rsidR="00454E0D" w:rsidRDefault="00454E0D" w:rsidP="00CC12BC">
      <w:pPr>
        <w:jc w:val="both"/>
        <w:rPr>
          <w:rFonts w:ascii="Arial Narrow" w:hAnsi="Arial Narrow" w:cs="Arial"/>
          <w:sz w:val="24"/>
          <w:szCs w:val="24"/>
        </w:rPr>
      </w:pPr>
    </w:p>
    <w:p w:rsidR="00740B48" w:rsidRDefault="00740B48" w:rsidP="00454E0D">
      <w:pPr>
        <w:pStyle w:val="Ttulo1"/>
        <w:numPr>
          <w:ilvl w:val="0"/>
          <w:numId w:val="42"/>
        </w:numPr>
        <w:jc w:val="left"/>
        <w:rPr>
          <w:rFonts w:ascii="Arial Narrow" w:hAnsi="Arial Narrow"/>
          <w:sz w:val="24"/>
          <w:szCs w:val="24"/>
        </w:rPr>
      </w:pPr>
      <w:bookmarkStart w:id="7" w:name="_Toc528669637"/>
      <w:r>
        <w:rPr>
          <w:rFonts w:ascii="Arial Narrow" w:hAnsi="Arial Narrow"/>
          <w:sz w:val="24"/>
          <w:szCs w:val="24"/>
        </w:rPr>
        <w:t>PRODUCTOS ESPERADOS</w:t>
      </w:r>
      <w:bookmarkEnd w:id="7"/>
    </w:p>
    <w:p w:rsidR="00740B48" w:rsidRDefault="00740B48" w:rsidP="00740B48"/>
    <w:p w:rsidR="00C14CF7" w:rsidRPr="00222590" w:rsidRDefault="00C14CF7" w:rsidP="00C14CF7">
      <w:pPr>
        <w:jc w:val="both"/>
        <w:rPr>
          <w:rFonts w:ascii="Arial Narrow" w:hAnsi="Arial Narrow" w:cs="Arial"/>
          <w:sz w:val="24"/>
          <w:szCs w:val="24"/>
          <w:lang w:val="es-CO"/>
        </w:rPr>
      </w:pPr>
      <w:r>
        <w:rPr>
          <w:rFonts w:ascii="Arial Narrow" w:hAnsi="Arial Narrow" w:cs="Arial"/>
          <w:sz w:val="24"/>
          <w:szCs w:val="24"/>
          <w:lang w:val="es-CO"/>
        </w:rPr>
        <w:t>C</w:t>
      </w:r>
      <w:r w:rsidRPr="00222590">
        <w:rPr>
          <w:rFonts w:ascii="Arial Narrow" w:hAnsi="Arial Narrow" w:cs="Arial"/>
          <w:sz w:val="24"/>
          <w:szCs w:val="24"/>
          <w:lang w:val="es-CO"/>
        </w:rPr>
        <w:t>on la aplicación adecuada de los lineamientos descritos en este documento</w:t>
      </w:r>
      <w:r>
        <w:rPr>
          <w:rFonts w:ascii="Arial Narrow" w:hAnsi="Arial Narrow" w:cs="Arial"/>
          <w:sz w:val="24"/>
          <w:szCs w:val="24"/>
          <w:lang w:val="es-CO"/>
        </w:rPr>
        <w:t xml:space="preserve">, se espera obtener el siguiente producto: </w:t>
      </w:r>
    </w:p>
    <w:p w:rsidR="00C14CF7" w:rsidRDefault="00C14CF7" w:rsidP="00740B48">
      <w:pPr>
        <w:rPr>
          <w:lang w:val="es-CO"/>
        </w:rPr>
      </w:pPr>
    </w:p>
    <w:p w:rsidR="00C14CF7" w:rsidRPr="00C14CF7" w:rsidRDefault="00C14CF7" w:rsidP="00C14CF7">
      <w:pPr>
        <w:pStyle w:val="Prrafodelista"/>
        <w:numPr>
          <w:ilvl w:val="0"/>
          <w:numId w:val="44"/>
        </w:numPr>
        <w:jc w:val="both"/>
        <w:rPr>
          <w:rFonts w:ascii="Arial Narrow" w:hAnsi="Arial Narrow" w:cs="Arial"/>
          <w:sz w:val="24"/>
          <w:szCs w:val="24"/>
          <w:lang w:val="es-CO"/>
        </w:rPr>
      </w:pPr>
      <w:r w:rsidRPr="00C14CF7">
        <w:rPr>
          <w:rFonts w:ascii="Arial Narrow" w:hAnsi="Arial Narrow" w:cs="Arial"/>
          <w:sz w:val="24"/>
          <w:szCs w:val="24"/>
          <w:lang w:val="es-CO"/>
        </w:rPr>
        <w:t>Cumplimiento de las políticas de riesgo por parte de las áreas de la Dirección de Crédito Público que interactúan en el proceso de cartera.</w:t>
      </w:r>
    </w:p>
    <w:p w:rsidR="00740B48" w:rsidRDefault="00740B48" w:rsidP="00740B48"/>
    <w:p w:rsidR="00740B48" w:rsidRPr="00740B48" w:rsidRDefault="00740B48" w:rsidP="00454E0D"/>
    <w:p w:rsidR="00386147" w:rsidRDefault="00386147" w:rsidP="00454E0D">
      <w:pPr>
        <w:pStyle w:val="Ttulo1"/>
        <w:numPr>
          <w:ilvl w:val="0"/>
          <w:numId w:val="42"/>
        </w:numPr>
        <w:jc w:val="left"/>
        <w:rPr>
          <w:rFonts w:ascii="Arial Narrow" w:hAnsi="Arial Narrow"/>
          <w:sz w:val="24"/>
          <w:szCs w:val="24"/>
        </w:rPr>
      </w:pPr>
      <w:bookmarkStart w:id="8" w:name="_Toc528669638"/>
      <w:r w:rsidRPr="000C0C01">
        <w:rPr>
          <w:rFonts w:ascii="Arial Narrow" w:hAnsi="Arial Narrow"/>
          <w:sz w:val="24"/>
          <w:szCs w:val="24"/>
        </w:rPr>
        <w:t>TÉRMINOS Y DEFINICIONES</w:t>
      </w:r>
      <w:bookmarkEnd w:id="8"/>
    </w:p>
    <w:p w:rsidR="00454E0D" w:rsidRDefault="00454E0D" w:rsidP="00454E0D"/>
    <w:p w:rsidR="00454E0D" w:rsidRPr="00222590" w:rsidRDefault="00454E0D" w:rsidP="00454E0D">
      <w:pPr>
        <w:jc w:val="both"/>
        <w:rPr>
          <w:rFonts w:ascii="Arial Narrow" w:hAnsi="Arial Narrow" w:cs="Arial"/>
          <w:sz w:val="24"/>
          <w:szCs w:val="24"/>
        </w:rPr>
      </w:pPr>
      <w:r w:rsidRPr="00222590">
        <w:rPr>
          <w:rFonts w:ascii="Arial Narrow" w:hAnsi="Arial Narrow" w:cs="Arial"/>
          <w:sz w:val="24"/>
          <w:szCs w:val="24"/>
        </w:rPr>
        <w:t>Los términos y definiciones que se desarrollan a continuación, corresponde al lenguaje que se utiliza en el contenido del manual:</w:t>
      </w:r>
    </w:p>
    <w:p w:rsidR="00454E0D" w:rsidRPr="00454E0D" w:rsidRDefault="00454E0D" w:rsidP="00454E0D"/>
    <w:p w:rsidR="00740B48" w:rsidRDefault="00740B48" w:rsidP="00740B48"/>
    <w:p w:rsidR="00740B48" w:rsidRPr="00740B48" w:rsidRDefault="00740B48" w:rsidP="00740B48">
      <w:pPr>
        <w:pStyle w:val="Prrafodelista"/>
        <w:numPr>
          <w:ilvl w:val="0"/>
          <w:numId w:val="43"/>
        </w:numPr>
        <w:jc w:val="both"/>
        <w:rPr>
          <w:rFonts w:ascii="Arial Narrow" w:hAnsi="Arial Narrow" w:cs="Arial"/>
          <w:sz w:val="24"/>
          <w:szCs w:val="24"/>
        </w:rPr>
      </w:pPr>
      <w:r w:rsidRPr="00740B48">
        <w:rPr>
          <w:rFonts w:ascii="Arial Narrow" w:hAnsi="Arial Narrow" w:cs="Arial"/>
          <w:b/>
          <w:sz w:val="24"/>
          <w:szCs w:val="24"/>
        </w:rPr>
        <w:t>Incumplimiento:</w:t>
      </w:r>
      <w:r w:rsidRPr="00740B48">
        <w:rPr>
          <w:rFonts w:ascii="Arial Narrow" w:hAnsi="Arial Narrow" w:cs="Arial"/>
          <w:sz w:val="24"/>
          <w:szCs w:val="24"/>
        </w:rPr>
        <w:t xml:space="preserve"> Cualquier situación que signifique el no cumplimiento oportuno de las obligaciones de pago pactadas por parte de una entidad.</w:t>
      </w:r>
    </w:p>
    <w:p w:rsidR="00386147" w:rsidRPr="000C0C01" w:rsidRDefault="00386147" w:rsidP="00653694">
      <w:pPr>
        <w:jc w:val="both"/>
        <w:rPr>
          <w:rFonts w:ascii="Arial Narrow" w:hAnsi="Arial Narrow" w:cs="Arial"/>
          <w:b/>
          <w:sz w:val="24"/>
          <w:szCs w:val="24"/>
        </w:rPr>
      </w:pPr>
    </w:p>
    <w:p w:rsidR="00386147" w:rsidRPr="00740B48" w:rsidRDefault="00653694" w:rsidP="00740B48">
      <w:pPr>
        <w:pStyle w:val="Prrafodelista"/>
        <w:numPr>
          <w:ilvl w:val="0"/>
          <w:numId w:val="43"/>
        </w:numPr>
        <w:jc w:val="both"/>
        <w:rPr>
          <w:rFonts w:ascii="Arial Narrow" w:hAnsi="Arial Narrow" w:cs="Arial"/>
          <w:sz w:val="24"/>
          <w:szCs w:val="24"/>
        </w:rPr>
      </w:pPr>
      <w:r w:rsidRPr="00740B48">
        <w:rPr>
          <w:rFonts w:ascii="Arial Narrow" w:hAnsi="Arial Narrow" w:cs="Arial"/>
          <w:b/>
          <w:sz w:val="24"/>
          <w:szCs w:val="24"/>
        </w:rPr>
        <w:t xml:space="preserve">Originación: </w:t>
      </w:r>
      <w:r w:rsidRPr="00740B48">
        <w:rPr>
          <w:rFonts w:ascii="Arial Narrow" w:hAnsi="Arial Narrow" w:cs="Arial"/>
          <w:sz w:val="24"/>
          <w:szCs w:val="24"/>
        </w:rPr>
        <w:t>Hace referencia a los procesos de autorización, otorgamiento y adjudicación de garantías donde interviene la DGCPTN. En estos procesos se evalúa la situación financiera de la entidad que ingresará a ser parte integral de la cartera.</w:t>
      </w:r>
    </w:p>
    <w:p w:rsidR="000C0C01" w:rsidRPr="000C0C01" w:rsidRDefault="000C0C01" w:rsidP="00653694">
      <w:pPr>
        <w:jc w:val="both"/>
        <w:rPr>
          <w:rFonts w:ascii="Arial Narrow" w:hAnsi="Arial Narrow" w:cs="Arial"/>
          <w:sz w:val="24"/>
          <w:szCs w:val="24"/>
        </w:rPr>
      </w:pPr>
    </w:p>
    <w:p w:rsidR="00740B48" w:rsidRPr="00740B48" w:rsidRDefault="00740B48" w:rsidP="00740B48">
      <w:pPr>
        <w:pStyle w:val="Prrafodelista"/>
        <w:numPr>
          <w:ilvl w:val="0"/>
          <w:numId w:val="43"/>
        </w:numPr>
        <w:jc w:val="both"/>
        <w:rPr>
          <w:rFonts w:ascii="Arial Narrow" w:hAnsi="Arial Narrow" w:cs="Arial"/>
          <w:sz w:val="24"/>
          <w:szCs w:val="24"/>
        </w:rPr>
      </w:pPr>
      <w:r w:rsidRPr="00740B48">
        <w:rPr>
          <w:rFonts w:ascii="Arial Narrow" w:hAnsi="Arial Narrow" w:cs="Arial"/>
          <w:b/>
          <w:sz w:val="24"/>
          <w:szCs w:val="24"/>
        </w:rPr>
        <w:t>Recuperación:</w:t>
      </w:r>
      <w:r w:rsidRPr="00740B48">
        <w:rPr>
          <w:rFonts w:ascii="Arial Narrow" w:hAnsi="Arial Narrow" w:cs="Arial"/>
          <w:sz w:val="24"/>
          <w:szCs w:val="24"/>
        </w:rPr>
        <w:t xml:space="preserve"> El proceso de recuperación se presenta una vez la entidad entra en estado de incumplimiento y se buscan alternativas que permitan el retorno de la mayor parte de capital e intereses que se dejaron de percibir por el incumplimiento. </w:t>
      </w:r>
      <w:bookmarkStart w:id="9" w:name="_Toc358123734"/>
      <w:bookmarkStart w:id="10" w:name="_Toc525892034"/>
    </w:p>
    <w:bookmarkEnd w:id="9"/>
    <w:bookmarkEnd w:id="10"/>
    <w:p w:rsidR="00653694" w:rsidRPr="000C0C01" w:rsidRDefault="00653694" w:rsidP="00653694">
      <w:pPr>
        <w:jc w:val="both"/>
        <w:rPr>
          <w:rFonts w:ascii="Arial Narrow" w:hAnsi="Arial Narrow" w:cs="Arial"/>
          <w:sz w:val="24"/>
          <w:szCs w:val="24"/>
        </w:rPr>
      </w:pPr>
    </w:p>
    <w:p w:rsidR="00653694" w:rsidRPr="00740B48" w:rsidRDefault="00653694" w:rsidP="00740B48">
      <w:pPr>
        <w:pStyle w:val="Prrafodelista"/>
        <w:numPr>
          <w:ilvl w:val="0"/>
          <w:numId w:val="43"/>
        </w:numPr>
        <w:jc w:val="both"/>
        <w:rPr>
          <w:rFonts w:ascii="Arial Narrow" w:hAnsi="Arial Narrow" w:cs="Arial"/>
          <w:sz w:val="24"/>
          <w:szCs w:val="24"/>
        </w:rPr>
      </w:pPr>
      <w:r w:rsidRPr="00740B48">
        <w:rPr>
          <w:rFonts w:ascii="Arial Narrow" w:hAnsi="Arial Narrow" w:cs="Arial"/>
          <w:b/>
          <w:sz w:val="24"/>
          <w:szCs w:val="24"/>
        </w:rPr>
        <w:t xml:space="preserve">Seguimiento: </w:t>
      </w:r>
      <w:r w:rsidRPr="00740B48">
        <w:rPr>
          <w:rFonts w:ascii="Arial Narrow" w:hAnsi="Arial Narrow" w:cs="Arial"/>
          <w:sz w:val="24"/>
          <w:szCs w:val="24"/>
        </w:rPr>
        <w:t>Es el proceso mediante el cual la DGCPTN realiza una evaluación de la entidad con posterioridad a la originación y le permitirá a la Dirección crear alertas tempranas sobre posibles incumplimientos por parte de las entidades.</w:t>
      </w:r>
    </w:p>
    <w:p w:rsidR="00653694" w:rsidRPr="000C0C01" w:rsidRDefault="00653694" w:rsidP="00653694">
      <w:pPr>
        <w:jc w:val="both"/>
        <w:rPr>
          <w:rFonts w:ascii="Arial Narrow" w:hAnsi="Arial Narrow" w:cs="Arial"/>
          <w:sz w:val="24"/>
          <w:szCs w:val="24"/>
        </w:rPr>
      </w:pPr>
    </w:p>
    <w:p w:rsidR="000C0C01" w:rsidRDefault="000C0C01" w:rsidP="000C0C01">
      <w:pPr>
        <w:rPr>
          <w:rFonts w:ascii="Arial Narrow" w:hAnsi="Arial Narrow" w:cs="Arial"/>
          <w:sz w:val="24"/>
          <w:szCs w:val="24"/>
        </w:rPr>
      </w:pPr>
      <w:bookmarkStart w:id="11" w:name="_Toc126143692"/>
      <w:bookmarkStart w:id="12" w:name="_Toc126144694"/>
      <w:bookmarkStart w:id="13" w:name="_Toc126144876"/>
      <w:bookmarkStart w:id="14" w:name="_Toc126144946"/>
      <w:bookmarkStart w:id="15" w:name="_Toc126147376"/>
      <w:bookmarkStart w:id="16" w:name="_Toc126301042"/>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Pr="000C0C01" w:rsidRDefault="00454E0D" w:rsidP="000C0C01">
      <w:pPr>
        <w:rPr>
          <w:rFonts w:ascii="Arial Narrow" w:hAnsi="Arial Narrow" w:cs="Arial"/>
          <w:sz w:val="24"/>
          <w:szCs w:val="24"/>
        </w:rPr>
      </w:pPr>
    </w:p>
    <w:p w:rsidR="000C0C01" w:rsidRDefault="000C0C01" w:rsidP="000C0C01">
      <w:pPr>
        <w:jc w:val="both"/>
        <w:rPr>
          <w:rFonts w:ascii="Arial Narrow" w:hAnsi="Arial Narrow" w:cs="Arial"/>
          <w:sz w:val="24"/>
          <w:szCs w:val="24"/>
        </w:rPr>
      </w:pPr>
      <w:r w:rsidRPr="000C0C01">
        <w:rPr>
          <w:rFonts w:ascii="Arial Narrow" w:hAnsi="Arial Narrow" w:cs="Arial"/>
          <w:sz w:val="24"/>
          <w:szCs w:val="24"/>
        </w:rPr>
        <w:t xml:space="preserve">Es importante mencionar que la Superintendencia Financiera de Colombia, en la Circular Básica, Financiera y Contable (Circular 100 de 1995) define en el Capítulo II las reglas relativas al Sistema de Administración de Riesgo de Crédito para las entidades sometidas a inspección y vigilancia de este ente supervisor, el cual se tomó como referencia para definir los parámetros para el diseño de las políticas descritas en el presente Manual, en particular lo correspondiente a las etapas del sistema de administración de riesgo como son la identificación, la medición, la fijación de controles y realización de un monitoreo constante para así mitigar el riesgo de crédito. </w:t>
      </w:r>
      <w:bookmarkStart w:id="17" w:name="_Toc358123736"/>
    </w:p>
    <w:p w:rsidR="00594B42" w:rsidRDefault="00594B42"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594B42" w:rsidRPr="000C0C01" w:rsidRDefault="00594B42" w:rsidP="008C2C73">
      <w:pPr>
        <w:pStyle w:val="Ttulo1"/>
        <w:numPr>
          <w:ilvl w:val="0"/>
          <w:numId w:val="42"/>
        </w:numPr>
        <w:rPr>
          <w:rFonts w:ascii="Arial Narrow" w:hAnsi="Arial Narrow"/>
          <w:sz w:val="24"/>
          <w:szCs w:val="24"/>
        </w:rPr>
      </w:pPr>
      <w:bookmarkStart w:id="18" w:name="_Toc528669639"/>
      <w:r>
        <w:rPr>
          <w:rFonts w:ascii="Arial Narrow" w:hAnsi="Arial Narrow"/>
          <w:sz w:val="24"/>
          <w:szCs w:val="24"/>
        </w:rPr>
        <w:t>ESTRUCTURA ORGANIZACIONAL</w:t>
      </w:r>
      <w:bookmarkEnd w:id="18"/>
    </w:p>
    <w:p w:rsidR="000C0C01" w:rsidRPr="000C0C01" w:rsidRDefault="000C0C01" w:rsidP="000C0C01">
      <w:pPr>
        <w:rPr>
          <w:rFonts w:ascii="Arial Narrow" w:hAnsi="Arial Narrow" w:cs="Arial"/>
          <w:sz w:val="24"/>
          <w:szCs w:val="24"/>
          <w:u w:val="single"/>
        </w:rPr>
      </w:pPr>
    </w:p>
    <w:p w:rsidR="00594B42" w:rsidRDefault="000C0C01" w:rsidP="00594B42">
      <w:pPr>
        <w:jc w:val="both"/>
        <w:rPr>
          <w:rFonts w:ascii="Arial Narrow" w:hAnsi="Arial Narrow" w:cs="Arial"/>
          <w:sz w:val="24"/>
          <w:szCs w:val="24"/>
        </w:rPr>
      </w:pPr>
      <w:r w:rsidRPr="000C0C01">
        <w:rPr>
          <w:rFonts w:ascii="Arial Narrow" w:hAnsi="Arial Narrow" w:cs="Arial"/>
          <w:sz w:val="24"/>
          <w:szCs w:val="24"/>
        </w:rPr>
        <w:t xml:space="preserve">Este capítulo describe las funciones de los diferentes organismos involucrados en la gestión del SARC a cargo de la DGCPTN. Se presenta la estructura organizacional, las líneas de autoridad y de control y las responsabilidades asociadas a cada uno de los involucrados en los procesos de seguimiento y saneamiento de la cartera. </w:t>
      </w:r>
    </w:p>
    <w:p w:rsidR="00594B42" w:rsidRPr="008C2C73" w:rsidRDefault="00594B42" w:rsidP="008C2C73">
      <w:pPr>
        <w:pStyle w:val="Ttulo3"/>
      </w:pPr>
    </w:p>
    <w:p w:rsidR="000C0C01" w:rsidRPr="00594B42" w:rsidRDefault="000C0C01" w:rsidP="008C2C73">
      <w:pPr>
        <w:pStyle w:val="Ttulo2"/>
        <w:numPr>
          <w:ilvl w:val="1"/>
          <w:numId w:val="42"/>
        </w:numPr>
      </w:pPr>
      <w:bookmarkStart w:id="19" w:name="_Toc528669640"/>
      <w:r w:rsidRPr="008C2C73">
        <w:t>Independencia Funcional del SARC</w:t>
      </w:r>
      <w:bookmarkEnd w:id="19"/>
    </w:p>
    <w:p w:rsidR="000C0C01" w:rsidRPr="000C0C01" w:rsidRDefault="000C0C01" w:rsidP="000C0C01">
      <w:pPr>
        <w:pStyle w:val="Prrafodelista"/>
        <w:ind w:left="0"/>
        <w:rPr>
          <w:rFonts w:ascii="Arial Narrow" w:hAnsi="Arial Narrow" w:cs="Arial"/>
          <w:b/>
          <w:bCs/>
          <w:sz w:val="24"/>
          <w:szCs w:val="24"/>
          <w:lang w:val="es-CO" w:eastAsia="es-CO"/>
        </w:rPr>
      </w:pPr>
    </w:p>
    <w:p w:rsidR="000C0C01" w:rsidRPr="000C0C01" w:rsidRDefault="000C0C01" w:rsidP="00594B42">
      <w:pPr>
        <w:pStyle w:val="Prrafodelista"/>
        <w:ind w:left="0"/>
        <w:jc w:val="both"/>
        <w:rPr>
          <w:rFonts w:ascii="Arial Narrow" w:hAnsi="Arial Narrow" w:cs="Arial"/>
          <w:sz w:val="24"/>
          <w:szCs w:val="24"/>
        </w:rPr>
      </w:pPr>
      <w:r w:rsidRPr="000C0C01">
        <w:rPr>
          <w:rFonts w:ascii="Arial Narrow" w:hAnsi="Arial Narrow" w:cs="Arial"/>
          <w:bCs/>
          <w:sz w:val="24"/>
          <w:szCs w:val="24"/>
          <w:lang w:val="es-CO" w:eastAsia="es-CO"/>
        </w:rPr>
        <w:t xml:space="preserve">Para la adecuada administración del riesgo de crédito, se establece la independencia funcional de acuerdo con las responsabilidades de las áreas involucradas en la administración de la cartera de crédito público, </w:t>
      </w:r>
      <w:r w:rsidRPr="000C0C01">
        <w:rPr>
          <w:rFonts w:ascii="Arial Narrow" w:hAnsi="Arial Narrow" w:cs="Arial"/>
          <w:sz w:val="24"/>
          <w:szCs w:val="24"/>
        </w:rPr>
        <w:t>de la siguiente manera:</w:t>
      </w:r>
    </w:p>
    <w:p w:rsidR="000C0C01" w:rsidRPr="000C0C01" w:rsidRDefault="000C0C01" w:rsidP="000C0C01">
      <w:pPr>
        <w:rPr>
          <w:rFonts w:ascii="Arial Narrow" w:hAnsi="Arial Narrow" w:cs="Arial"/>
          <w:sz w:val="24"/>
          <w:szCs w:val="24"/>
        </w:rPr>
      </w:pPr>
    </w:p>
    <w:p w:rsidR="000C0C01" w:rsidRPr="000C0C01" w:rsidRDefault="000C0C01" w:rsidP="000C0C01">
      <w:pPr>
        <w:pStyle w:val="Prrafodelista"/>
        <w:numPr>
          <w:ilvl w:val="0"/>
          <w:numId w:val="28"/>
        </w:numPr>
        <w:ind w:left="567" w:hanging="283"/>
        <w:jc w:val="both"/>
        <w:rPr>
          <w:rFonts w:ascii="Arial Narrow" w:hAnsi="Arial Narrow" w:cs="Arial"/>
          <w:sz w:val="24"/>
          <w:szCs w:val="24"/>
        </w:rPr>
      </w:pPr>
      <w:r w:rsidRPr="000C0C01">
        <w:rPr>
          <w:rFonts w:ascii="Arial Narrow" w:hAnsi="Arial Narrow" w:cs="Arial"/>
          <w:b/>
          <w:sz w:val="24"/>
          <w:szCs w:val="24"/>
        </w:rPr>
        <w:t>Front Office</w:t>
      </w:r>
      <w:r w:rsidRPr="000C0C01">
        <w:rPr>
          <w:rFonts w:ascii="Arial Narrow" w:hAnsi="Arial Narrow" w:cs="Arial"/>
          <w:sz w:val="24"/>
          <w:szCs w:val="24"/>
        </w:rPr>
        <w:t>: es el área donde gestiona el proceso de autorización por parte del MHCP de las operaciones derivadas de la colocación de cartera de las entidades estatales, así como también se realiza el otorgamiento de las operaciones de colocación de créditos de tesorería. Adicionalmente, es el área que realiza el seguimiento de los pagos para el debido cumplimiento de las obligaciones de crédito de las entidades públicas. Las funciones son desarrolladas por la Subdirección de Financiamiento de Otras Entidades, Saneamiento y Cartera, y por la Subdirección de Tesorería de la DGCPTN.</w:t>
      </w:r>
    </w:p>
    <w:p w:rsidR="000C0C01" w:rsidRPr="000C0C01" w:rsidRDefault="000C0C01" w:rsidP="000C0C01">
      <w:pPr>
        <w:pStyle w:val="Prrafodelista"/>
        <w:numPr>
          <w:ilvl w:val="0"/>
          <w:numId w:val="28"/>
        </w:numPr>
        <w:ind w:left="567" w:hanging="283"/>
        <w:jc w:val="both"/>
        <w:rPr>
          <w:rFonts w:ascii="Arial Narrow" w:hAnsi="Arial Narrow" w:cs="Arial"/>
          <w:sz w:val="24"/>
          <w:szCs w:val="24"/>
        </w:rPr>
      </w:pPr>
      <w:r w:rsidRPr="000C0C01">
        <w:rPr>
          <w:rFonts w:ascii="Arial Narrow" w:hAnsi="Arial Narrow" w:cs="Arial"/>
          <w:b/>
          <w:sz w:val="24"/>
          <w:szCs w:val="24"/>
        </w:rPr>
        <w:t>Middle Office</w:t>
      </w:r>
      <w:r w:rsidRPr="000C0C01">
        <w:rPr>
          <w:rFonts w:ascii="Arial Narrow" w:hAnsi="Arial Narrow" w:cs="Arial"/>
          <w:sz w:val="24"/>
          <w:szCs w:val="24"/>
        </w:rPr>
        <w:t>: es el área encargada del control y monitoreo, así como de definir las directrices, políticas y estrategias de riesgo, relacionadas con el riesgo procedente de la colocación de cartera. Dichas funciones son ejercidas por la Subdirección de Riesgo de la DGCPTN.</w:t>
      </w:r>
    </w:p>
    <w:p w:rsidR="000C0C01" w:rsidRPr="000C0C01" w:rsidRDefault="000C0C01" w:rsidP="000C0C01">
      <w:pPr>
        <w:ind w:left="284"/>
        <w:rPr>
          <w:rFonts w:ascii="Arial Narrow" w:hAnsi="Arial Narrow" w:cs="Arial"/>
          <w:sz w:val="24"/>
          <w:szCs w:val="24"/>
        </w:rPr>
      </w:pPr>
    </w:p>
    <w:p w:rsidR="000C0C01" w:rsidRPr="000C0C01" w:rsidRDefault="000C0C01" w:rsidP="000C0C01">
      <w:pPr>
        <w:pStyle w:val="Prrafodelista"/>
        <w:numPr>
          <w:ilvl w:val="0"/>
          <w:numId w:val="28"/>
        </w:numPr>
        <w:ind w:left="567" w:hanging="283"/>
        <w:jc w:val="both"/>
        <w:rPr>
          <w:rFonts w:ascii="Arial Narrow" w:hAnsi="Arial Narrow" w:cs="Arial"/>
          <w:sz w:val="24"/>
          <w:szCs w:val="24"/>
        </w:rPr>
      </w:pPr>
      <w:r w:rsidRPr="000C0C01">
        <w:rPr>
          <w:rFonts w:ascii="Arial Narrow" w:hAnsi="Arial Narrow" w:cs="Arial"/>
          <w:b/>
          <w:sz w:val="24"/>
          <w:szCs w:val="24"/>
        </w:rPr>
        <w:t>Back Office</w:t>
      </w:r>
      <w:r w:rsidRPr="000C0C01">
        <w:rPr>
          <w:rFonts w:ascii="Arial Narrow" w:hAnsi="Arial Narrow" w:cs="Arial"/>
          <w:sz w:val="24"/>
          <w:szCs w:val="24"/>
        </w:rPr>
        <w:t>: es el área encargada del control y ejecución de los pagos y el debido registro y cumplimiento de todas las operaciones de la Dirección, así como de su debido cierre y registro contable. Dichas funciones son ejercidas por la Subdirección de Operaciones de la DGCPTN.</w:t>
      </w:r>
    </w:p>
    <w:p w:rsidR="000C0C01" w:rsidRDefault="000C0C01"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Default="00454E0D" w:rsidP="000C0C01">
      <w:pPr>
        <w:rPr>
          <w:rFonts w:ascii="Arial Narrow" w:hAnsi="Arial Narrow" w:cs="Arial"/>
          <w:sz w:val="24"/>
          <w:szCs w:val="24"/>
        </w:rPr>
      </w:pPr>
    </w:p>
    <w:p w:rsidR="00454E0D" w:rsidRPr="000C0C01" w:rsidRDefault="00454E0D" w:rsidP="000C0C01">
      <w:pPr>
        <w:rPr>
          <w:rFonts w:ascii="Arial Narrow" w:hAnsi="Arial Narrow" w:cs="Arial"/>
          <w:sz w:val="24"/>
          <w:szCs w:val="24"/>
        </w:rPr>
      </w:pPr>
    </w:p>
    <w:p w:rsidR="000C0C01" w:rsidRPr="000C0C01" w:rsidRDefault="000C0C01" w:rsidP="008C2C73">
      <w:pPr>
        <w:pStyle w:val="Prrafodelista"/>
        <w:numPr>
          <w:ilvl w:val="1"/>
          <w:numId w:val="42"/>
        </w:numPr>
        <w:jc w:val="both"/>
        <w:outlineLvl w:val="1"/>
        <w:rPr>
          <w:rFonts w:ascii="Arial Narrow" w:hAnsi="Arial Narrow" w:cs="Arial"/>
          <w:b/>
          <w:sz w:val="24"/>
          <w:szCs w:val="24"/>
        </w:rPr>
      </w:pPr>
      <w:bookmarkStart w:id="20" w:name="_Toc528669641"/>
      <w:r w:rsidRPr="000C0C01">
        <w:rPr>
          <w:rFonts w:ascii="Arial Narrow" w:hAnsi="Arial Narrow" w:cs="Arial"/>
          <w:b/>
          <w:sz w:val="24"/>
          <w:szCs w:val="24"/>
        </w:rPr>
        <w:t>Identificación de los Organismos</w:t>
      </w:r>
      <w:bookmarkEnd w:id="20"/>
    </w:p>
    <w:p w:rsidR="000C0C01" w:rsidRPr="000C0C01" w:rsidRDefault="000C0C01" w:rsidP="000C0C01">
      <w:pPr>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Los principales agentes u organismos identificados en el proceso de gestión de tesorería que adelanta la DGCPTN son: 1. Reunión de Administración de Riesgos, 2. El Director General de Crédito Público y Tesoro Nacional, 3. La Subdirección de Financiamiento de Otras Entidades, 4. La Subdirección de Riesgo, y 5. La Subdirección de Operaciones. Cada uno de estos organismos tiene asignadas funciones análogas a las de Front, Middle y Back Office contempladas para la gestión de la cartera. El siguiente esquema resume las relaciones de autoridad y control de estos organismos, con respecto a las actividades que se desarrollan en la DGCPTN.</w:t>
      </w:r>
    </w:p>
    <w:p w:rsidR="000C0C01" w:rsidRPr="000C0C01" w:rsidRDefault="000C0C01" w:rsidP="000C0C01">
      <w:pPr>
        <w:jc w:val="center"/>
        <w:rPr>
          <w:rFonts w:ascii="Arial Narrow" w:hAnsi="Arial Narrow" w:cs="Arial"/>
          <w:sz w:val="24"/>
          <w:szCs w:val="24"/>
        </w:rPr>
      </w:pPr>
    </w:p>
    <w:p w:rsidR="000C0C01" w:rsidRPr="000C0C01" w:rsidRDefault="00A41B0C" w:rsidP="000C0C01">
      <w:pPr>
        <w:jc w:val="center"/>
        <w:rPr>
          <w:rFonts w:ascii="Arial Narrow" w:hAnsi="Arial Narrow" w:cs="Arial"/>
          <w:sz w:val="24"/>
          <w:szCs w:val="24"/>
        </w:rPr>
      </w:pPr>
      <w:r>
        <w:rPr>
          <w:rFonts w:ascii="Arial Narrow" w:hAnsi="Arial Narrow"/>
          <w:noProof/>
          <w:sz w:val="24"/>
          <w:szCs w:val="24"/>
          <w:lang w:val="en-US" w:eastAsia="en-US"/>
        </w:rPr>
        <mc:AlternateContent>
          <mc:Choice Requires="wps">
            <w:drawing>
              <wp:anchor distT="0" distB="0" distL="114300" distR="114300" simplePos="0" relativeHeight="251656192" behindDoc="0" locked="0" layoutInCell="1" allowOverlap="1">
                <wp:simplePos x="0" y="0"/>
                <wp:positionH relativeFrom="column">
                  <wp:posOffset>3820795</wp:posOffset>
                </wp:positionH>
                <wp:positionV relativeFrom="paragraph">
                  <wp:posOffset>157480</wp:posOffset>
                </wp:positionV>
                <wp:extent cx="1390650" cy="503555"/>
                <wp:effectExtent l="0" t="0" r="19050" b="10795"/>
                <wp:wrapNone/>
                <wp:docPr id="3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03555"/>
                        </a:xfrm>
                        <a:prstGeom prst="rect">
                          <a:avLst/>
                        </a:prstGeom>
                        <a:solidFill>
                          <a:srgbClr val="FFFFFF"/>
                        </a:solidFill>
                        <a:ln w="9525">
                          <a:solidFill>
                            <a:srgbClr val="000000"/>
                          </a:solidFill>
                          <a:miter lim="800000"/>
                          <a:headEnd/>
                          <a:tailEnd/>
                        </a:ln>
                      </wps:spPr>
                      <wps:txbx>
                        <w:txbxContent>
                          <w:p w:rsidR="00E92761" w:rsidRPr="000C0C01" w:rsidRDefault="00E92761" w:rsidP="000C0C01">
                            <w:pPr>
                              <w:jc w:val="center"/>
                              <w:rPr>
                                <w:rFonts w:ascii="Arial Narrow" w:hAnsi="Arial Narrow"/>
                                <w:sz w:val="26"/>
                                <w:szCs w:val="26"/>
                              </w:rPr>
                            </w:pPr>
                            <w:r w:rsidRPr="000C0C01">
                              <w:rPr>
                                <w:rFonts w:ascii="Arial Narrow" w:hAnsi="Arial Narrow"/>
                                <w:sz w:val="26"/>
                                <w:szCs w:val="26"/>
                              </w:rPr>
                              <w:t>Reunión de Admón. de Riesgos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300.85pt;margin-top:12.4pt;width:109.5pt;height:3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">
                <v:textbox>
                  <w:txbxContent>
                    <w:p w:rsidR="00E92761" w:rsidRPr="000C0C01" w:rsidRDefault="00E92761" w:rsidP="000C0C01">
                      <w:pPr>
                        <w:jc w:val="center"/>
                        <w:rPr>
                          <w:rFonts w:ascii="Arial Narrow" w:hAnsi="Arial Narrow"/>
                          <w:sz w:val="26"/>
                          <w:szCs w:val="26"/>
                        </w:rPr>
                      </w:pPr>
                      <w:r w:rsidRPr="000C0C01">
                        <w:rPr>
                          <w:rFonts w:ascii="Arial Narrow" w:hAnsi="Arial Narrow"/>
                          <w:sz w:val="26"/>
                          <w:szCs w:val="26"/>
                        </w:rPr>
                        <w:t>Reunión de Admón. de Riesgos</w:t>
                      </w:r>
                    </w:p>
                  </w:txbxContent>
                </v:textbox>
              </v:shape>
            </w:pict>
          </mc:Fallback>
        </mc:AlternateContent>
      </w:r>
      <w:r>
        <w:rPr>
          <w:rFonts w:ascii="Arial Narrow" w:hAnsi="Arial Narrow"/>
          <w:noProof/>
          <w:sz w:val="24"/>
          <w:szCs w:val="24"/>
          <w:lang w:val="en-US" w:eastAsia="en-US"/>
        </w:rPr>
        <mc:AlternateContent>
          <mc:Choice Requires="wps">
            <w:drawing>
              <wp:anchor distT="0" distB="0" distL="114300" distR="114300" simplePos="0" relativeHeight="251660288" behindDoc="0" locked="0" layoutInCell="1" allowOverlap="1">
                <wp:simplePos x="0" y="0"/>
                <wp:positionH relativeFrom="column">
                  <wp:posOffset>1535430</wp:posOffset>
                </wp:positionH>
                <wp:positionV relativeFrom="paragraph">
                  <wp:posOffset>146050</wp:posOffset>
                </wp:positionV>
                <wp:extent cx="1984375" cy="516890"/>
                <wp:effectExtent l="0" t="0" r="15875" b="16510"/>
                <wp:wrapNone/>
                <wp:docPr id="3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4375" cy="516890"/>
                        </a:xfrm>
                        <a:prstGeom prst="rect">
                          <a:avLst/>
                        </a:prstGeom>
                        <a:solidFill>
                          <a:srgbClr val="FFFFFF"/>
                        </a:solidFill>
                        <a:ln w="9525">
                          <a:solidFill>
                            <a:srgbClr val="000000"/>
                          </a:solidFill>
                          <a:miter lim="800000"/>
                          <a:headEnd/>
                          <a:tailEnd/>
                        </a:ln>
                      </wps:spPr>
                      <wps:txbx>
                        <w:txbxContent>
                          <w:p w:rsidR="00E92761" w:rsidRPr="000C0C01" w:rsidRDefault="00E92761" w:rsidP="000C0C01">
                            <w:pPr>
                              <w:jc w:val="center"/>
                              <w:rPr>
                                <w:rFonts w:ascii="Arial Narrow" w:hAnsi="Arial Narrow"/>
                                <w:b/>
                                <w:sz w:val="26"/>
                                <w:szCs w:val="26"/>
                              </w:rPr>
                            </w:pPr>
                            <w:r w:rsidRPr="000C0C01">
                              <w:rPr>
                                <w:rFonts w:ascii="Arial Narrow" w:hAnsi="Arial Narrow"/>
                                <w:b/>
                                <w:sz w:val="26"/>
                                <w:szCs w:val="26"/>
                              </w:rPr>
                              <w:t>Director de Crédito Público y Tesoro Nacional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27" type="#_x0000_t202" style="position:absolute;left:0;text-align:left;margin-left:120.9pt;margin-top:11.5pt;width:156.25pt;height: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">
                <v:textbox>
                  <w:txbxContent>
                    <w:p w:rsidR="00E92761" w:rsidRPr="000C0C01" w:rsidRDefault="00E92761" w:rsidP="000C0C01">
                      <w:pPr>
                        <w:jc w:val="center"/>
                        <w:rPr>
                          <w:rFonts w:ascii="Arial Narrow" w:hAnsi="Arial Narrow"/>
                          <w:b/>
                          <w:sz w:val="26"/>
                          <w:szCs w:val="26"/>
                        </w:rPr>
                      </w:pPr>
                      <w:r w:rsidRPr="000C0C01">
                        <w:rPr>
                          <w:rFonts w:ascii="Arial Narrow" w:hAnsi="Arial Narrow"/>
                          <w:b/>
                          <w:sz w:val="26"/>
                          <w:szCs w:val="26"/>
                        </w:rPr>
                        <w:t>Director de Crédito Público y Tesoro Nacional</w:t>
                      </w:r>
                    </w:p>
                  </w:txbxContent>
                </v:textbox>
              </v:shape>
            </w:pict>
          </mc:Fallback>
        </mc:AlternateContent>
      </w:r>
    </w:p>
    <w:p w:rsidR="000C0C01" w:rsidRPr="000C0C01" w:rsidRDefault="000C0C01" w:rsidP="000C0C01">
      <w:pPr>
        <w:jc w:val="center"/>
        <w:rPr>
          <w:rFonts w:ascii="Arial Narrow" w:hAnsi="Arial Narrow" w:cs="Arial"/>
          <w:sz w:val="24"/>
          <w:szCs w:val="24"/>
        </w:rPr>
      </w:pPr>
    </w:p>
    <w:p w:rsidR="000C0C01" w:rsidRPr="000C0C01" w:rsidRDefault="000C0C01" w:rsidP="000C0C01">
      <w:pPr>
        <w:jc w:val="center"/>
        <w:rPr>
          <w:rFonts w:ascii="Arial Narrow" w:hAnsi="Arial Narrow" w:cs="Arial"/>
          <w:sz w:val="24"/>
          <w:szCs w:val="24"/>
        </w:rPr>
      </w:pPr>
    </w:p>
    <w:p w:rsidR="000C0C01" w:rsidRPr="000C0C01" w:rsidRDefault="00A41B0C" w:rsidP="000C0C01">
      <w:pPr>
        <w:jc w:val="center"/>
        <w:rPr>
          <w:rFonts w:ascii="Arial Narrow" w:hAnsi="Arial Narrow" w:cs="Arial"/>
          <w:sz w:val="24"/>
          <w:szCs w:val="24"/>
        </w:rPr>
      </w:pPr>
      <w:r>
        <w:rPr>
          <w:rFonts w:ascii="Arial Narrow" w:hAnsi="Arial Narrow"/>
          <w:noProof/>
          <w:sz w:val="24"/>
          <w:szCs w:val="24"/>
          <w:lang w:val="en-US" w:eastAsia="en-US"/>
        </w:rPr>
        <mc:AlternateContent>
          <mc:Choice Requires="wps">
            <w:drawing>
              <wp:anchor distT="0" distB="0" distL="114300" distR="114300" simplePos="0" relativeHeight="251664384" behindDoc="0" locked="0" layoutInCell="1" allowOverlap="1">
                <wp:simplePos x="0" y="0"/>
                <wp:positionH relativeFrom="column">
                  <wp:posOffset>2529840</wp:posOffset>
                </wp:positionH>
                <wp:positionV relativeFrom="paragraph">
                  <wp:posOffset>137160</wp:posOffset>
                </wp:positionV>
                <wp:extent cx="2028825" cy="187325"/>
                <wp:effectExtent l="38100" t="0" r="47625" b="98425"/>
                <wp:wrapNone/>
                <wp:docPr id="27"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028825" cy="187325"/>
                        </a:xfrm>
                        <a:prstGeom prst="bentConnector3">
                          <a:avLst>
                            <a:gd name="adj1" fmla="val -597"/>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BBCBCB"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3" o:spid="_x0000_s1026" type="#_x0000_t34" style="position:absolute;margin-left:199.2pt;margin-top:10.8pt;width:159.75pt;height:14.75pt;rotation:18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" adj="-129" strokeweight="2pt">
                <v:stroke dashstyle="1 1" endarrow="block"/>
              </v:shape>
            </w:pict>
          </mc:Fallback>
        </mc:AlternateContent>
      </w:r>
      <w:r>
        <w:rPr>
          <w:rFonts w:ascii="Arial Narrow" w:hAnsi="Arial Narrow"/>
          <w:noProof/>
          <w:sz w:val="24"/>
          <w:szCs w:val="24"/>
          <w:lang w:val="en-US" w:eastAsia="en-US"/>
        </w:rPr>
        <mc:AlternateContent>
          <mc:Choice Requires="wps">
            <w:drawing>
              <wp:anchor distT="0" distB="0" distL="114300" distR="114300" simplePos="0" relativeHeight="251670528" behindDoc="0" locked="0" layoutInCell="1" allowOverlap="1">
                <wp:simplePos x="0" y="0"/>
                <wp:positionH relativeFrom="column">
                  <wp:posOffset>2520315</wp:posOffset>
                </wp:positionH>
                <wp:positionV relativeFrom="paragraph">
                  <wp:posOffset>135255</wp:posOffset>
                </wp:positionV>
                <wp:extent cx="8890" cy="587375"/>
                <wp:effectExtent l="38100" t="0" r="67310" b="60325"/>
                <wp:wrapNone/>
                <wp:docPr id="4"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58737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282F28EF" id="_x0000_t32" coordsize="21600,21600" o:spt="32" o:oned="t" path="m,l21600,21600e" filled="f">
                <v:path arrowok="t" fillok="f" o:connecttype="none"/>
                <o:lock v:ext="edit" shapetype="t"/>
              </v:shapetype>
              <v:shape id="Conector recto de flecha 4" o:spid="_x0000_s1026" type="#_x0000_t32" style="position:absolute;margin-left:198.45pt;margin-top:10.65pt;width:.7pt;height:4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" strokeweight="2pt">
                <v:stroke endarrow="block"/>
                <o:lock v:ext="edit" shapetype="f"/>
              </v:shape>
            </w:pict>
          </mc:Fallback>
        </mc:AlternateContent>
      </w:r>
    </w:p>
    <w:p w:rsidR="000C0C01" w:rsidRPr="000C0C01" w:rsidRDefault="000C0C01" w:rsidP="000C0C01">
      <w:pPr>
        <w:jc w:val="center"/>
        <w:rPr>
          <w:rFonts w:ascii="Arial Narrow" w:hAnsi="Arial Narrow" w:cs="Arial"/>
          <w:sz w:val="24"/>
          <w:szCs w:val="24"/>
        </w:rPr>
      </w:pPr>
    </w:p>
    <w:p w:rsidR="000C0C01" w:rsidRPr="000C0C01" w:rsidRDefault="00A41B0C" w:rsidP="000C0C01">
      <w:pPr>
        <w:jc w:val="center"/>
        <w:rPr>
          <w:rFonts w:ascii="Arial Narrow" w:hAnsi="Arial Narrow" w:cs="Arial"/>
          <w:sz w:val="24"/>
          <w:szCs w:val="24"/>
        </w:rPr>
      </w:pPr>
      <w:r>
        <w:rPr>
          <w:rFonts w:ascii="Arial Narrow" w:hAnsi="Arial Narrow"/>
          <w:noProof/>
          <w:sz w:val="24"/>
          <w:szCs w:val="24"/>
          <w:lang w:val="en-US" w:eastAsia="en-US"/>
        </w:rPr>
        <mc:AlternateContent>
          <mc:Choice Requires="wps">
            <w:drawing>
              <wp:anchor distT="0" distB="0" distL="114300" distR="114300" simplePos="0" relativeHeight="251666432" behindDoc="0" locked="0" layoutInCell="1" allowOverlap="1">
                <wp:simplePos x="0" y="0"/>
                <wp:positionH relativeFrom="column">
                  <wp:posOffset>2525395</wp:posOffset>
                </wp:positionH>
                <wp:positionV relativeFrom="paragraph">
                  <wp:posOffset>161925</wp:posOffset>
                </wp:positionV>
                <wp:extent cx="2260600" cy="204470"/>
                <wp:effectExtent l="0" t="0" r="63500" b="62230"/>
                <wp:wrapNone/>
                <wp:docPr id="25"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0" cy="204470"/>
                        </a:xfrm>
                        <a:prstGeom prst="bentConnector3">
                          <a:avLst>
                            <a:gd name="adj1" fmla="val 99606"/>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27CE7" id="AutoShape 44" o:spid="_x0000_s1026" type="#_x0000_t34" style="position:absolute;margin-left:198.85pt;margin-top:12.75pt;width:178pt;height:1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" adj="21515" strokeweight="2pt">
                <v:stroke endarrow="block"/>
              </v:shape>
            </w:pict>
          </mc:Fallback>
        </mc:AlternateContent>
      </w:r>
      <w:r>
        <w:rPr>
          <w:rFonts w:ascii="Arial Narrow" w:hAnsi="Arial Narrow"/>
          <w:noProof/>
          <w:sz w:val="24"/>
          <w:szCs w:val="24"/>
          <w:lang w:val="en-US" w:eastAsia="en-US"/>
        </w:rPr>
        <mc:AlternateContent>
          <mc:Choice Requires="wps">
            <w:drawing>
              <wp:anchor distT="0" distB="0" distL="114300" distR="114300" simplePos="0" relativeHeight="251668480" behindDoc="0" locked="0" layoutInCell="1" allowOverlap="1">
                <wp:simplePos x="0" y="0"/>
                <wp:positionH relativeFrom="column">
                  <wp:posOffset>567690</wp:posOffset>
                </wp:positionH>
                <wp:positionV relativeFrom="paragraph">
                  <wp:posOffset>161925</wp:posOffset>
                </wp:positionV>
                <wp:extent cx="1958975" cy="204470"/>
                <wp:effectExtent l="76200" t="0" r="22225" b="62230"/>
                <wp:wrapNone/>
                <wp:docPr id="2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958975" cy="204470"/>
                        </a:xfrm>
                        <a:prstGeom prst="bentConnector3">
                          <a:avLst>
                            <a:gd name="adj1" fmla="val 100130"/>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3AC8B" id="AutoShape 45" o:spid="_x0000_s1026" type="#_x0000_t34" style="position:absolute;margin-left:44.7pt;margin-top:12.75pt;width:154.25pt;height:16.1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" adj="21628" strokeweight="2pt">
                <v:stroke endarrow="block"/>
              </v:shape>
            </w:pict>
          </mc:Fallback>
        </mc:AlternateContent>
      </w:r>
    </w:p>
    <w:p w:rsidR="000C0C01" w:rsidRPr="000C0C01" w:rsidRDefault="000C0C01" w:rsidP="000C0C01">
      <w:pPr>
        <w:jc w:val="center"/>
        <w:rPr>
          <w:rFonts w:ascii="Arial Narrow" w:hAnsi="Arial Narrow" w:cs="Arial"/>
          <w:sz w:val="24"/>
          <w:szCs w:val="24"/>
        </w:rPr>
      </w:pPr>
    </w:p>
    <w:p w:rsidR="000C0C01" w:rsidRPr="000C0C01" w:rsidRDefault="00A41B0C" w:rsidP="000C0C01">
      <w:pPr>
        <w:jc w:val="center"/>
        <w:rPr>
          <w:rFonts w:ascii="Arial Narrow" w:hAnsi="Arial Narrow" w:cs="Arial"/>
          <w:sz w:val="24"/>
          <w:szCs w:val="24"/>
        </w:rPr>
      </w:pPr>
      <w:r>
        <w:rPr>
          <w:rFonts w:ascii="Arial Narrow" w:hAnsi="Arial Narrow"/>
          <w:noProof/>
          <w:sz w:val="24"/>
          <w:szCs w:val="24"/>
          <w:lang w:val="en-US" w:eastAsia="en-US"/>
        </w:rPr>
        <mc:AlternateContent>
          <mc:Choice Requires="wps">
            <w:drawing>
              <wp:anchor distT="0" distB="0" distL="114300" distR="114300" simplePos="0" relativeHeight="251645952" behindDoc="0" locked="0" layoutInCell="1" allowOverlap="1">
                <wp:simplePos x="0" y="0"/>
                <wp:positionH relativeFrom="column">
                  <wp:posOffset>3834130</wp:posOffset>
                </wp:positionH>
                <wp:positionV relativeFrom="paragraph">
                  <wp:posOffset>18415</wp:posOffset>
                </wp:positionV>
                <wp:extent cx="1326515" cy="586740"/>
                <wp:effectExtent l="0" t="0" r="26035" b="22860"/>
                <wp:wrapNone/>
                <wp:docPr id="2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586740"/>
                        </a:xfrm>
                        <a:prstGeom prst="rect">
                          <a:avLst/>
                        </a:prstGeom>
                        <a:solidFill>
                          <a:srgbClr val="FFFFFF"/>
                        </a:solidFill>
                        <a:ln w="9525">
                          <a:solidFill>
                            <a:srgbClr val="000000"/>
                          </a:solidFill>
                          <a:miter lim="800000"/>
                          <a:headEnd/>
                          <a:tailEnd/>
                        </a:ln>
                      </wps:spPr>
                      <wps:txbx>
                        <w:txbxContent>
                          <w:p w:rsidR="00E92761" w:rsidRPr="000C0C01" w:rsidRDefault="00E92761" w:rsidP="000C0C01">
                            <w:pPr>
                              <w:jc w:val="center"/>
                              <w:rPr>
                                <w:rFonts w:ascii="Arial Narrow" w:hAnsi="Arial Narrow"/>
                              </w:rPr>
                            </w:pPr>
                            <w:r w:rsidRPr="000C0C01">
                              <w:rPr>
                                <w:rFonts w:ascii="Arial Narrow" w:hAnsi="Arial Narrow"/>
                              </w:rPr>
                              <w:t>SFOE* - ST**</w:t>
                            </w:r>
                          </w:p>
                          <w:p w:rsidR="00E92761" w:rsidRPr="000C0C01" w:rsidRDefault="00E92761" w:rsidP="000C0C01">
                            <w:pPr>
                              <w:jc w:val="center"/>
                              <w:rPr>
                                <w:rFonts w:ascii="Arial Narrow" w:hAnsi="Arial Narrow"/>
                                <w:b/>
                              </w:rPr>
                            </w:pPr>
                            <w:r w:rsidRPr="000C0C01">
                              <w:rPr>
                                <w:rFonts w:ascii="Arial Narrow" w:hAnsi="Arial Narrow"/>
                                <w:b/>
                              </w:rPr>
                              <w:t>Front Office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28" type="#_x0000_t202" style="position:absolute;left:0;text-align:left;margin-left:301.9pt;margin-top:1.45pt;width:104.45pt;height:46.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">
                <v:textbox>
                  <w:txbxContent>
                    <w:p w:rsidR="00E92761" w:rsidRPr="000C0C01" w:rsidRDefault="00E92761" w:rsidP="000C0C01">
                      <w:pPr>
                        <w:jc w:val="center"/>
                        <w:rPr>
                          <w:rFonts w:ascii="Arial Narrow" w:hAnsi="Arial Narrow"/>
                        </w:rPr>
                      </w:pPr>
                      <w:r w:rsidRPr="000C0C01">
                        <w:rPr>
                          <w:rFonts w:ascii="Arial Narrow" w:hAnsi="Arial Narrow"/>
                        </w:rPr>
                        <w:t>SFOE* - ST**</w:t>
                      </w:r>
                    </w:p>
                    <w:p w:rsidR="00E92761" w:rsidRPr="000C0C01" w:rsidRDefault="00E92761" w:rsidP="000C0C01">
                      <w:pPr>
                        <w:jc w:val="center"/>
                        <w:rPr>
                          <w:rFonts w:ascii="Arial Narrow" w:hAnsi="Arial Narrow"/>
                          <w:b/>
                        </w:rPr>
                      </w:pPr>
                      <w:r w:rsidRPr="000C0C01">
                        <w:rPr>
                          <w:rFonts w:ascii="Arial Narrow" w:hAnsi="Arial Narrow"/>
                          <w:b/>
                        </w:rPr>
                        <w:t>Front Office</w:t>
                      </w:r>
                    </w:p>
                  </w:txbxContent>
                </v:textbox>
              </v:shape>
            </w:pict>
          </mc:Fallback>
        </mc:AlternateContent>
      </w:r>
      <w:r>
        <w:rPr>
          <w:rFonts w:ascii="Arial Narrow" w:hAnsi="Arial Narrow"/>
          <w:noProof/>
          <w:sz w:val="24"/>
          <w:szCs w:val="24"/>
          <w:lang w:val="en-US" w:eastAsia="en-US"/>
        </w:rPr>
        <mc:AlternateContent>
          <mc:Choice Requires="wps">
            <w:drawing>
              <wp:anchor distT="0" distB="0" distL="114300" distR="114300" simplePos="0" relativeHeight="251658240" behindDoc="0" locked="0" layoutInCell="1" allowOverlap="1">
                <wp:simplePos x="0" y="0"/>
                <wp:positionH relativeFrom="column">
                  <wp:posOffset>1903730</wp:posOffset>
                </wp:positionH>
                <wp:positionV relativeFrom="paragraph">
                  <wp:posOffset>24765</wp:posOffset>
                </wp:positionV>
                <wp:extent cx="1326515" cy="543560"/>
                <wp:effectExtent l="0" t="0" r="26035" b="27940"/>
                <wp:wrapNone/>
                <wp:docPr id="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543560"/>
                        </a:xfrm>
                        <a:prstGeom prst="rect">
                          <a:avLst/>
                        </a:prstGeom>
                        <a:solidFill>
                          <a:srgbClr val="FFFFFF"/>
                        </a:solidFill>
                        <a:ln w="9525">
                          <a:solidFill>
                            <a:srgbClr val="000000"/>
                          </a:solidFill>
                          <a:miter lim="800000"/>
                          <a:headEnd/>
                          <a:tailEnd/>
                        </a:ln>
                      </wps:spPr>
                      <wps:txbx>
                        <w:txbxContent>
                          <w:p w:rsidR="00E92761" w:rsidRPr="000C0C01" w:rsidRDefault="00E92761" w:rsidP="000C0C01">
                            <w:pPr>
                              <w:jc w:val="center"/>
                              <w:rPr>
                                <w:rFonts w:ascii="Arial Narrow" w:hAnsi="Arial Narrow"/>
                              </w:rPr>
                            </w:pPr>
                            <w:r w:rsidRPr="000C0C01">
                              <w:rPr>
                                <w:rFonts w:ascii="Arial Narrow" w:hAnsi="Arial Narrow"/>
                              </w:rPr>
                              <w:t>Subdirección de Riesgo</w:t>
                            </w:r>
                          </w:p>
                          <w:p w:rsidR="00E92761" w:rsidRPr="000C0C01" w:rsidRDefault="00E92761" w:rsidP="000C0C01">
                            <w:pPr>
                              <w:jc w:val="center"/>
                              <w:rPr>
                                <w:rFonts w:ascii="Arial Narrow" w:hAnsi="Arial Narrow"/>
                                <w:b/>
                              </w:rPr>
                            </w:pPr>
                            <w:r w:rsidRPr="000C0C01">
                              <w:rPr>
                                <w:rFonts w:ascii="Arial Narrow" w:hAnsi="Arial Narrow"/>
                                <w:b/>
                              </w:rPr>
                              <w:t>Middle Office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9" type="#_x0000_t202" style="position:absolute;left:0;text-align:left;margin-left:149.9pt;margin-top:1.95pt;width:104.45pt;height:4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">
                <v:textbox>
                  <w:txbxContent>
                    <w:p w:rsidR="00E92761" w:rsidRPr="000C0C01" w:rsidRDefault="00E92761" w:rsidP="000C0C01">
                      <w:pPr>
                        <w:jc w:val="center"/>
                        <w:rPr>
                          <w:rFonts w:ascii="Arial Narrow" w:hAnsi="Arial Narrow"/>
                        </w:rPr>
                      </w:pPr>
                      <w:r w:rsidRPr="000C0C01">
                        <w:rPr>
                          <w:rFonts w:ascii="Arial Narrow" w:hAnsi="Arial Narrow"/>
                        </w:rPr>
                        <w:t>Subdirección de Riesgo</w:t>
                      </w:r>
                    </w:p>
                    <w:p w:rsidR="00E92761" w:rsidRPr="000C0C01" w:rsidRDefault="00E92761" w:rsidP="000C0C01">
                      <w:pPr>
                        <w:jc w:val="center"/>
                        <w:rPr>
                          <w:rFonts w:ascii="Arial Narrow" w:hAnsi="Arial Narrow"/>
                          <w:b/>
                        </w:rPr>
                      </w:pPr>
                      <w:r w:rsidRPr="000C0C01">
                        <w:rPr>
                          <w:rFonts w:ascii="Arial Narrow" w:hAnsi="Arial Narrow"/>
                          <w:b/>
                        </w:rPr>
                        <w:t>Middle Office</w:t>
                      </w:r>
                    </w:p>
                  </w:txbxContent>
                </v:textbox>
              </v:shape>
            </w:pict>
          </mc:Fallback>
        </mc:AlternateContent>
      </w:r>
      <w:r>
        <w:rPr>
          <w:rFonts w:ascii="Arial Narrow" w:hAnsi="Arial Narrow"/>
          <w:noProof/>
          <w:sz w:val="24"/>
          <w:szCs w:val="24"/>
          <w:lang w:val="en-US" w:eastAsia="en-US"/>
        </w:rPr>
        <mc:AlternateContent>
          <mc:Choice Requires="wps">
            <w:drawing>
              <wp:anchor distT="0" distB="0" distL="114300" distR="114300" simplePos="0" relativeHeight="251662336" behindDoc="0" locked="0" layoutInCell="1" allowOverlap="1">
                <wp:simplePos x="0" y="0"/>
                <wp:positionH relativeFrom="column">
                  <wp:posOffset>2540</wp:posOffset>
                </wp:positionH>
                <wp:positionV relativeFrom="paragraph">
                  <wp:posOffset>26035</wp:posOffset>
                </wp:positionV>
                <wp:extent cx="1326515" cy="552450"/>
                <wp:effectExtent l="0" t="0" r="26035" b="19050"/>
                <wp:wrapNone/>
                <wp:docPr id="2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552450"/>
                        </a:xfrm>
                        <a:prstGeom prst="rect">
                          <a:avLst/>
                        </a:prstGeom>
                        <a:solidFill>
                          <a:srgbClr val="FFFFFF"/>
                        </a:solidFill>
                        <a:ln w="9525">
                          <a:solidFill>
                            <a:srgbClr val="000000"/>
                          </a:solidFill>
                          <a:miter lim="800000"/>
                          <a:headEnd/>
                          <a:tailEnd/>
                        </a:ln>
                      </wps:spPr>
                      <wps:txbx>
                        <w:txbxContent>
                          <w:p w:rsidR="00E92761" w:rsidRPr="000C0C01" w:rsidRDefault="00E92761" w:rsidP="000C0C01">
                            <w:pPr>
                              <w:jc w:val="center"/>
                              <w:rPr>
                                <w:rFonts w:ascii="Arial Narrow" w:hAnsi="Arial Narrow"/>
                              </w:rPr>
                            </w:pPr>
                            <w:r w:rsidRPr="000C0C01">
                              <w:rPr>
                                <w:rFonts w:ascii="Arial Narrow" w:hAnsi="Arial Narrow"/>
                              </w:rPr>
                              <w:t>Subdirección de Operaciones</w:t>
                            </w:r>
                          </w:p>
                          <w:p w:rsidR="00E92761" w:rsidRPr="000C0C01" w:rsidRDefault="00E92761" w:rsidP="000C0C01">
                            <w:pPr>
                              <w:jc w:val="center"/>
                              <w:rPr>
                                <w:rFonts w:ascii="Arial Narrow" w:hAnsi="Arial Narrow"/>
                                <w:b/>
                              </w:rPr>
                            </w:pPr>
                            <w:r w:rsidRPr="000C0C01">
                              <w:rPr>
                                <w:rFonts w:ascii="Arial Narrow" w:hAnsi="Arial Narrow"/>
                                <w:b/>
                              </w:rPr>
                              <w:t>Back Office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0" type="#_x0000_t202" style="position:absolute;left:0;text-align:left;margin-left:.2pt;margin-top:2.05pt;width:104.4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">
                <v:textbox>
                  <w:txbxContent>
                    <w:p w:rsidR="00E92761" w:rsidRPr="000C0C01" w:rsidRDefault="00E92761" w:rsidP="000C0C01">
                      <w:pPr>
                        <w:jc w:val="center"/>
                        <w:rPr>
                          <w:rFonts w:ascii="Arial Narrow" w:hAnsi="Arial Narrow"/>
                        </w:rPr>
                      </w:pPr>
                      <w:r w:rsidRPr="000C0C01">
                        <w:rPr>
                          <w:rFonts w:ascii="Arial Narrow" w:hAnsi="Arial Narrow"/>
                        </w:rPr>
                        <w:t>Subdirección de Operaciones</w:t>
                      </w:r>
                    </w:p>
                    <w:p w:rsidR="00E92761" w:rsidRPr="000C0C01" w:rsidRDefault="00E92761" w:rsidP="000C0C01">
                      <w:pPr>
                        <w:jc w:val="center"/>
                        <w:rPr>
                          <w:rFonts w:ascii="Arial Narrow" w:hAnsi="Arial Narrow"/>
                          <w:b/>
                        </w:rPr>
                      </w:pPr>
                      <w:r w:rsidRPr="000C0C01">
                        <w:rPr>
                          <w:rFonts w:ascii="Arial Narrow" w:hAnsi="Arial Narrow"/>
                          <w:b/>
                        </w:rPr>
                        <w:t>Back Office</w:t>
                      </w:r>
                    </w:p>
                  </w:txbxContent>
                </v:textbox>
              </v:shape>
            </w:pict>
          </mc:Fallback>
        </mc:AlternateContent>
      </w:r>
    </w:p>
    <w:p w:rsidR="000C0C01" w:rsidRPr="000C0C01" w:rsidRDefault="000C0C01" w:rsidP="000C0C01">
      <w:pPr>
        <w:jc w:val="center"/>
        <w:rPr>
          <w:rFonts w:ascii="Arial Narrow" w:hAnsi="Arial Narrow" w:cs="Arial"/>
          <w:sz w:val="24"/>
          <w:szCs w:val="24"/>
        </w:rPr>
      </w:pPr>
    </w:p>
    <w:p w:rsidR="000C0C01" w:rsidRPr="000C0C01" w:rsidRDefault="00A41B0C" w:rsidP="000C0C01">
      <w:pPr>
        <w:jc w:val="center"/>
        <w:rPr>
          <w:rFonts w:ascii="Arial Narrow" w:hAnsi="Arial Narrow" w:cs="Arial"/>
          <w:sz w:val="24"/>
          <w:szCs w:val="24"/>
        </w:rPr>
      </w:pPr>
      <w:r>
        <w:rPr>
          <w:rFonts w:ascii="Arial Narrow" w:hAnsi="Arial Narrow"/>
          <w:noProof/>
          <w:sz w:val="24"/>
          <w:szCs w:val="24"/>
          <w:lang w:val="en-US" w:eastAsia="en-US"/>
        </w:rPr>
        <mc:AlternateContent>
          <mc:Choice Requires="wps">
            <w:drawing>
              <wp:anchor distT="0" distB="0" distL="114300" distR="114300" simplePos="0" relativeHeight="251650048" behindDoc="0" locked="0" layoutInCell="1" allowOverlap="1">
                <wp:simplePos x="0" y="0"/>
                <wp:positionH relativeFrom="column">
                  <wp:posOffset>3209925</wp:posOffset>
                </wp:positionH>
                <wp:positionV relativeFrom="paragraph">
                  <wp:posOffset>10160</wp:posOffset>
                </wp:positionV>
                <wp:extent cx="614680" cy="635"/>
                <wp:effectExtent l="0" t="76200" r="13970" b="94615"/>
                <wp:wrapNone/>
                <wp:docPr id="18"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635"/>
                        </a:xfrm>
                        <a:prstGeom prst="bentConnector3">
                          <a:avLst>
                            <a:gd name="adj1" fmla="val 50000"/>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16DDA8" id="AutoShape 39" o:spid="_x0000_s1026" type="#_x0000_t34" style="position:absolute;margin-left:252.75pt;margin-top:.8pt;width:48.4pt;height:.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" strokeweight="2pt">
                <v:stroke dashstyle="1 1" endarrow="block"/>
              </v:shape>
            </w:pict>
          </mc:Fallback>
        </mc:AlternateContent>
      </w:r>
      <w:r>
        <w:rPr>
          <w:rFonts w:ascii="Arial Narrow" w:hAnsi="Arial Narrow"/>
          <w:noProof/>
          <w:sz w:val="24"/>
          <w:szCs w:val="24"/>
          <w:lang w:val="en-US" w:eastAsia="en-US"/>
        </w:rPr>
        <mc:AlternateContent>
          <mc:Choice Requires="wps">
            <w:drawing>
              <wp:anchor distT="0" distB="0" distL="114300" distR="114300" simplePos="0" relativeHeight="251648000" behindDoc="0" locked="0" layoutInCell="1" allowOverlap="1">
                <wp:simplePos x="0" y="0"/>
                <wp:positionH relativeFrom="column">
                  <wp:posOffset>1327785</wp:posOffset>
                </wp:positionH>
                <wp:positionV relativeFrom="paragraph">
                  <wp:posOffset>9525</wp:posOffset>
                </wp:positionV>
                <wp:extent cx="549275" cy="635"/>
                <wp:effectExtent l="38100" t="76200" r="0" b="94615"/>
                <wp:wrapNone/>
                <wp:docPr id="19"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549275" cy="635"/>
                        </a:xfrm>
                        <a:prstGeom prst="bentConnector3">
                          <a:avLst>
                            <a:gd name="adj1" fmla="val 49944"/>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86B5C" id="AutoShape 38" o:spid="_x0000_s1026" type="#_x0000_t34" style="position:absolute;margin-left:104.55pt;margin-top:.75pt;width:43.25pt;height:.05pt;rotation:18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" adj="10788" strokeweight="2pt">
                <v:stroke dashstyle="1 1" endarrow="block"/>
              </v:shape>
            </w:pict>
          </mc:Fallback>
        </mc:AlternateContent>
      </w:r>
    </w:p>
    <w:p w:rsidR="000C0C01" w:rsidRPr="000C0C01" w:rsidRDefault="000C0C01" w:rsidP="000C0C01">
      <w:pPr>
        <w:jc w:val="center"/>
        <w:rPr>
          <w:rFonts w:ascii="Arial Narrow" w:hAnsi="Arial Narrow" w:cs="Arial"/>
          <w:sz w:val="24"/>
          <w:szCs w:val="24"/>
        </w:rPr>
      </w:pPr>
    </w:p>
    <w:p w:rsidR="000C0C01" w:rsidRPr="000C0C01" w:rsidRDefault="00A41B0C" w:rsidP="000C0C01">
      <w:pPr>
        <w:ind w:left="4245" w:hanging="4245"/>
        <w:rPr>
          <w:rFonts w:ascii="Arial Narrow" w:hAnsi="Arial Narrow" w:cs="Arial"/>
          <w:sz w:val="24"/>
          <w:szCs w:val="24"/>
        </w:rPr>
      </w:pPr>
      <w:r>
        <w:rPr>
          <w:rFonts w:ascii="Arial Narrow" w:hAnsi="Arial Narrow"/>
          <w:noProof/>
          <w:sz w:val="24"/>
          <w:szCs w:val="24"/>
          <w:lang w:val="en-US" w:eastAsia="en-US"/>
        </w:rPr>
        <mc:AlternateContent>
          <mc:Choice Requires="wps">
            <w:drawing>
              <wp:anchor distT="4294967293" distB="4294967293" distL="114300" distR="114300" simplePos="0" relativeHeight="251652096" behindDoc="0" locked="0" layoutInCell="1" allowOverlap="1">
                <wp:simplePos x="0" y="0"/>
                <wp:positionH relativeFrom="column">
                  <wp:posOffset>1450975</wp:posOffset>
                </wp:positionH>
                <wp:positionV relativeFrom="paragraph">
                  <wp:posOffset>90169</wp:posOffset>
                </wp:positionV>
                <wp:extent cx="528320" cy="0"/>
                <wp:effectExtent l="0" t="76200" r="24130" b="95250"/>
                <wp:wrapNone/>
                <wp:docPr id="1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320" cy="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BBEEE6" id="AutoShape 30" o:spid="_x0000_s1026" type="#_x0000_t32" style="position:absolute;margin-left:114.25pt;margin-top:7.1pt;width:41.6pt;height:0;z-index:2516520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" strokeweight="2pt">
                <v:stroke endarrow="block"/>
              </v:shape>
            </w:pict>
          </mc:Fallback>
        </mc:AlternateContent>
      </w:r>
      <w:r w:rsidR="000C0C01" w:rsidRPr="000C0C01">
        <w:rPr>
          <w:rFonts w:ascii="Arial Narrow" w:hAnsi="Arial Narrow" w:cs="Arial"/>
          <w:sz w:val="24"/>
          <w:szCs w:val="24"/>
        </w:rPr>
        <w:t>Línea de autoridad:                           *Subdirección de Financiamiento a Otras Entidades</w:t>
      </w:r>
    </w:p>
    <w:p w:rsidR="000C0C01" w:rsidRPr="000C0C01" w:rsidRDefault="00A41B0C" w:rsidP="000C0C01">
      <w:pPr>
        <w:rPr>
          <w:rFonts w:ascii="Arial Narrow" w:hAnsi="Arial Narrow" w:cs="Arial"/>
          <w:sz w:val="24"/>
          <w:szCs w:val="24"/>
        </w:rPr>
      </w:pPr>
      <w:r>
        <w:rPr>
          <w:rFonts w:ascii="Arial Narrow" w:hAnsi="Arial Narrow"/>
          <w:noProof/>
          <w:sz w:val="24"/>
          <w:szCs w:val="24"/>
          <w:lang w:val="en-US" w:eastAsia="en-US"/>
        </w:rPr>
        <mc:AlternateContent>
          <mc:Choice Requires="wps">
            <w:drawing>
              <wp:anchor distT="0" distB="0" distL="114300" distR="114300" simplePos="0" relativeHeight="251654144" behindDoc="0" locked="0" layoutInCell="1" allowOverlap="1">
                <wp:simplePos x="0" y="0"/>
                <wp:positionH relativeFrom="column">
                  <wp:posOffset>1450975</wp:posOffset>
                </wp:positionH>
                <wp:positionV relativeFrom="paragraph">
                  <wp:posOffset>92075</wp:posOffset>
                </wp:positionV>
                <wp:extent cx="539115" cy="635"/>
                <wp:effectExtent l="0" t="76200" r="13335" b="94615"/>
                <wp:wrapNone/>
                <wp:docPr id="1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 cy="635"/>
                        </a:xfrm>
                        <a:prstGeom prst="bentConnector3">
                          <a:avLst>
                            <a:gd name="adj1" fmla="val 49940"/>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2F18BD" id="AutoShape 31" o:spid="_x0000_s1026" type="#_x0000_t34" style="position:absolute;margin-left:114.25pt;margin-top:7.25pt;width:42.45pt;height:.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" adj="10787" strokeweight="2pt">
                <v:stroke dashstyle="1 1" endarrow="block"/>
              </v:shape>
            </w:pict>
          </mc:Fallback>
        </mc:AlternateContent>
      </w:r>
      <w:r w:rsidR="000C0C01" w:rsidRPr="000C0C01">
        <w:rPr>
          <w:rFonts w:ascii="Arial Narrow" w:hAnsi="Arial Narrow" w:cs="Arial"/>
          <w:sz w:val="24"/>
          <w:szCs w:val="24"/>
        </w:rPr>
        <w:t xml:space="preserve">Línea de control:  </w:t>
      </w:r>
      <w:r w:rsidR="000C0C01" w:rsidRPr="000C0C01">
        <w:rPr>
          <w:rFonts w:ascii="Arial Narrow" w:hAnsi="Arial Narrow" w:cs="Arial"/>
          <w:sz w:val="24"/>
          <w:szCs w:val="24"/>
        </w:rPr>
        <w:tab/>
      </w:r>
      <w:r w:rsidR="000C0C01" w:rsidRPr="000C0C01">
        <w:rPr>
          <w:rFonts w:ascii="Arial Narrow" w:hAnsi="Arial Narrow" w:cs="Arial"/>
          <w:sz w:val="24"/>
          <w:szCs w:val="24"/>
        </w:rPr>
        <w:tab/>
        <w:t xml:space="preserve">            **Subdirección de Tesorería</w:t>
      </w:r>
    </w:p>
    <w:p w:rsidR="000C0C01" w:rsidRPr="000C0C01" w:rsidRDefault="000C0C01" w:rsidP="000C0C01">
      <w:pPr>
        <w:rPr>
          <w:rFonts w:ascii="Arial Narrow" w:hAnsi="Arial Narrow" w:cs="Arial"/>
          <w:sz w:val="24"/>
          <w:szCs w:val="24"/>
        </w:rPr>
      </w:pPr>
    </w:p>
    <w:p w:rsidR="000C0C01" w:rsidRDefault="000C0C01" w:rsidP="000C0C01">
      <w:pPr>
        <w:jc w:val="both"/>
        <w:rPr>
          <w:rFonts w:ascii="Arial Narrow" w:hAnsi="Arial Narrow" w:cs="Arial"/>
          <w:sz w:val="24"/>
          <w:szCs w:val="24"/>
        </w:rPr>
      </w:pPr>
      <w:r w:rsidRPr="000C0C01">
        <w:rPr>
          <w:rFonts w:ascii="Arial Narrow" w:hAnsi="Arial Narrow" w:cs="Arial"/>
          <w:sz w:val="24"/>
          <w:szCs w:val="24"/>
        </w:rPr>
        <w:t xml:space="preserve">La Subdirección de Riesgo propone y administra las directrices del SARC, la Subdirección de Operaciones es la encargada del registro, cumplimiento y contabilidad de las operaciones de crédito, la Subdirección de Financiamiento de Otras Entidades tiene como objetivo el cumplimiento de las políticas y directrices en materia de administración del seguimiento y saneamiento de la cartera y la Subdirección de Tesorería es quien realiza el otorgamiento de créditos de tesorería bajo las directrices del SARC. </w:t>
      </w: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454E0D" w:rsidRDefault="00454E0D" w:rsidP="000C0C01">
      <w:pPr>
        <w:jc w:val="both"/>
        <w:rPr>
          <w:rFonts w:ascii="Arial Narrow" w:hAnsi="Arial Narrow" w:cs="Arial"/>
          <w:sz w:val="24"/>
          <w:szCs w:val="24"/>
        </w:rPr>
      </w:pPr>
    </w:p>
    <w:p w:rsidR="00594B42" w:rsidRPr="000C0C01" w:rsidRDefault="00594B42" w:rsidP="00454E0D">
      <w:pPr>
        <w:pStyle w:val="Ttulo1"/>
        <w:numPr>
          <w:ilvl w:val="0"/>
          <w:numId w:val="42"/>
        </w:numPr>
        <w:jc w:val="left"/>
        <w:rPr>
          <w:rFonts w:ascii="Arial Narrow" w:hAnsi="Arial Narrow"/>
          <w:sz w:val="24"/>
          <w:szCs w:val="24"/>
        </w:rPr>
      </w:pPr>
      <w:bookmarkStart w:id="21" w:name="_Toc528669642"/>
      <w:bookmarkEnd w:id="17"/>
      <w:r>
        <w:rPr>
          <w:rFonts w:ascii="Arial Narrow" w:hAnsi="Arial Narrow"/>
          <w:sz w:val="24"/>
          <w:szCs w:val="24"/>
        </w:rPr>
        <w:lastRenderedPageBreak/>
        <w:t>POLÍTICAS DE RIESGO</w:t>
      </w:r>
      <w:bookmarkEnd w:id="21"/>
    </w:p>
    <w:p w:rsidR="000C0C01" w:rsidRPr="000C0C01" w:rsidRDefault="000C0C01" w:rsidP="000C0C01">
      <w:pPr>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Este capítulo presenta las políticas de riesgo de crédito de las operaciones de crédito autorizadas, otorgadas y garantizadas por la Nación. Se define el alcance del SARC y las directrices de políticas.</w:t>
      </w:r>
    </w:p>
    <w:p w:rsidR="000C0C01" w:rsidRPr="000C0C01" w:rsidRDefault="000C0C01" w:rsidP="000C0C01">
      <w:pPr>
        <w:rPr>
          <w:rFonts w:ascii="Arial Narrow" w:hAnsi="Arial Narrow" w:cs="Arial"/>
          <w:b/>
          <w:bCs/>
          <w:sz w:val="24"/>
          <w:szCs w:val="24"/>
        </w:rPr>
      </w:pPr>
    </w:p>
    <w:p w:rsidR="000C0C01" w:rsidRPr="000C0C01" w:rsidRDefault="000C0C01" w:rsidP="008C2C73">
      <w:pPr>
        <w:pStyle w:val="Prrafodelista"/>
        <w:numPr>
          <w:ilvl w:val="1"/>
          <w:numId w:val="42"/>
        </w:numPr>
        <w:jc w:val="both"/>
        <w:outlineLvl w:val="1"/>
        <w:rPr>
          <w:rFonts w:ascii="Arial Narrow" w:hAnsi="Arial Narrow" w:cs="Arial"/>
          <w:b/>
          <w:bCs/>
          <w:sz w:val="24"/>
          <w:szCs w:val="24"/>
          <w:lang w:val="es-CO" w:eastAsia="es-CO"/>
        </w:rPr>
      </w:pPr>
      <w:bookmarkStart w:id="22" w:name="_Toc528669643"/>
      <w:r w:rsidRPr="000C0C01">
        <w:rPr>
          <w:rFonts w:ascii="Arial Narrow" w:hAnsi="Arial Narrow" w:cs="Arial"/>
          <w:b/>
          <w:sz w:val="24"/>
          <w:szCs w:val="24"/>
        </w:rPr>
        <w:t>Alcance del Sistema de Administración de Riesgo de Crédito</w:t>
      </w:r>
      <w:bookmarkEnd w:id="22"/>
    </w:p>
    <w:p w:rsidR="000C0C01" w:rsidRPr="000C0C01" w:rsidRDefault="000C0C01" w:rsidP="000C0C01">
      <w:pPr>
        <w:pStyle w:val="Prrafodelista"/>
        <w:ind w:left="0"/>
        <w:jc w:val="both"/>
        <w:rPr>
          <w:rFonts w:ascii="Arial Narrow" w:hAnsi="Arial Narrow" w:cs="Arial"/>
          <w:b/>
          <w:bCs/>
          <w:sz w:val="24"/>
          <w:szCs w:val="24"/>
          <w:lang w:val="es-CO" w:eastAsia="es-CO"/>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La DGCPTN tiene entre sus funciones, de acuerdo con el Decreto 4712 de 2008:</w:t>
      </w:r>
    </w:p>
    <w:p w:rsidR="000C0C01" w:rsidRPr="000C0C01" w:rsidRDefault="000C0C01" w:rsidP="000C0C01">
      <w:pPr>
        <w:jc w:val="both"/>
        <w:rPr>
          <w:rFonts w:ascii="Arial Narrow" w:hAnsi="Arial Narrow" w:cs="Arial"/>
          <w:sz w:val="24"/>
          <w:szCs w:val="24"/>
        </w:rPr>
      </w:pPr>
    </w:p>
    <w:p w:rsidR="000C0C01" w:rsidRPr="000C0C01" w:rsidRDefault="000C0C01" w:rsidP="000C0C01">
      <w:pPr>
        <w:pStyle w:val="Prrafodelista"/>
        <w:numPr>
          <w:ilvl w:val="0"/>
          <w:numId w:val="30"/>
        </w:numPr>
        <w:jc w:val="both"/>
        <w:rPr>
          <w:rFonts w:ascii="Arial Narrow" w:hAnsi="Arial Narrow" w:cs="Arial"/>
          <w:sz w:val="24"/>
          <w:szCs w:val="24"/>
        </w:rPr>
      </w:pPr>
      <w:r w:rsidRPr="000C0C01">
        <w:rPr>
          <w:rFonts w:ascii="Arial Narrow" w:hAnsi="Arial Narrow" w:cs="Arial"/>
          <w:sz w:val="24"/>
          <w:szCs w:val="24"/>
        </w:rPr>
        <w:t>Dirigir y administrar el diseño, la ejecución, coordinación, vigilancia y políticas de riesgo del financiamiento público, del otorgamiento de la garantía de la Nación y las operaciones de la Nación.</w:t>
      </w:r>
    </w:p>
    <w:p w:rsidR="000C0C01" w:rsidRPr="000C0C01" w:rsidRDefault="000C0C01" w:rsidP="000C0C01">
      <w:pPr>
        <w:pStyle w:val="Prrafodelista"/>
        <w:numPr>
          <w:ilvl w:val="0"/>
          <w:numId w:val="30"/>
        </w:numPr>
        <w:jc w:val="both"/>
        <w:rPr>
          <w:rFonts w:ascii="Arial Narrow" w:hAnsi="Arial Narrow" w:cs="Arial"/>
          <w:sz w:val="24"/>
          <w:szCs w:val="24"/>
        </w:rPr>
      </w:pPr>
      <w:r w:rsidRPr="000C0C01">
        <w:rPr>
          <w:rFonts w:ascii="Arial Narrow" w:hAnsi="Arial Narrow" w:cs="Arial"/>
          <w:sz w:val="24"/>
          <w:szCs w:val="24"/>
        </w:rPr>
        <w:t>Negociar los contratos, garantías y contragarantías que las entidades estatales deban constituir a favor de la Nación.</w:t>
      </w:r>
    </w:p>
    <w:p w:rsidR="000C0C01" w:rsidRPr="000C0C01" w:rsidRDefault="000C0C01" w:rsidP="000C0C01">
      <w:pPr>
        <w:pStyle w:val="Prrafodelista"/>
        <w:numPr>
          <w:ilvl w:val="0"/>
          <w:numId w:val="30"/>
        </w:numPr>
        <w:jc w:val="both"/>
        <w:rPr>
          <w:rFonts w:ascii="Arial Narrow" w:hAnsi="Arial Narrow" w:cs="Arial"/>
          <w:sz w:val="24"/>
          <w:szCs w:val="24"/>
        </w:rPr>
      </w:pPr>
      <w:r w:rsidRPr="000C0C01">
        <w:rPr>
          <w:rFonts w:ascii="Arial Narrow" w:hAnsi="Arial Narrow" w:cs="Arial"/>
          <w:sz w:val="24"/>
          <w:szCs w:val="24"/>
        </w:rPr>
        <w:t>Preparar y aprobar los textos de las minutas y documentos correspondientes para la autorización y otorgamiento del financiamiento público y velar por el cumplimiento de su trámite y realizar su seguimiento.</w:t>
      </w:r>
    </w:p>
    <w:p w:rsidR="000C0C01" w:rsidRPr="000C0C01" w:rsidRDefault="000C0C01" w:rsidP="000C0C01">
      <w:pPr>
        <w:rPr>
          <w:rFonts w:ascii="Arial Narrow" w:hAnsi="Arial Narrow" w:cs="Arial"/>
          <w:sz w:val="24"/>
          <w:szCs w:val="24"/>
        </w:rPr>
      </w:pPr>
    </w:p>
    <w:p w:rsidR="000C0C01" w:rsidRPr="000C0C01" w:rsidRDefault="000C0C01" w:rsidP="008C2C73">
      <w:pPr>
        <w:pStyle w:val="Prrafodelista"/>
        <w:numPr>
          <w:ilvl w:val="1"/>
          <w:numId w:val="42"/>
        </w:numPr>
        <w:jc w:val="both"/>
        <w:outlineLvl w:val="1"/>
        <w:rPr>
          <w:rFonts w:ascii="Arial Narrow" w:hAnsi="Arial Narrow" w:cs="Arial"/>
          <w:b/>
          <w:bCs/>
          <w:sz w:val="24"/>
          <w:szCs w:val="24"/>
          <w:lang w:val="es-CO" w:eastAsia="es-CO"/>
        </w:rPr>
      </w:pPr>
      <w:bookmarkStart w:id="23" w:name="_Toc528669644"/>
      <w:r w:rsidRPr="000C0C01">
        <w:rPr>
          <w:rFonts w:ascii="Arial Narrow" w:hAnsi="Arial Narrow" w:cs="Arial"/>
          <w:b/>
          <w:bCs/>
          <w:sz w:val="24"/>
          <w:szCs w:val="24"/>
          <w:lang w:val="es-CO" w:eastAsia="es-CO"/>
        </w:rPr>
        <w:t>Directrices</w:t>
      </w:r>
      <w:bookmarkEnd w:id="23"/>
    </w:p>
    <w:p w:rsidR="000C0C01" w:rsidRPr="000C0C01" w:rsidRDefault="000C0C01" w:rsidP="000C0C01">
      <w:pPr>
        <w:jc w:val="both"/>
        <w:rPr>
          <w:rFonts w:ascii="Arial Narrow" w:hAnsi="Arial Narrow" w:cs="Arial"/>
          <w:b/>
          <w:bCs/>
          <w:sz w:val="24"/>
          <w:szCs w:val="24"/>
        </w:rPr>
      </w:pPr>
    </w:p>
    <w:p w:rsidR="000C0C01" w:rsidRPr="000C0C01" w:rsidRDefault="000C0C01" w:rsidP="000C0C01">
      <w:pPr>
        <w:tabs>
          <w:tab w:val="center" w:pos="4773"/>
        </w:tabs>
        <w:jc w:val="both"/>
        <w:rPr>
          <w:rFonts w:ascii="Arial Narrow" w:hAnsi="Arial Narrow" w:cs="Arial"/>
          <w:bCs/>
          <w:sz w:val="24"/>
          <w:szCs w:val="24"/>
          <w:lang w:val="es-ES_tradnl"/>
        </w:rPr>
      </w:pPr>
      <w:r w:rsidRPr="000C0C01">
        <w:rPr>
          <w:rFonts w:ascii="Arial Narrow" w:hAnsi="Arial Narrow" w:cs="Arial"/>
          <w:bCs/>
          <w:sz w:val="24"/>
          <w:szCs w:val="24"/>
        </w:rPr>
        <w:t>La Superintendencia Financiera de Colombia define e</w:t>
      </w:r>
      <w:r w:rsidRPr="000C0C01">
        <w:rPr>
          <w:rFonts w:ascii="Arial Narrow" w:hAnsi="Arial Narrow" w:cs="Arial"/>
          <w:bCs/>
          <w:sz w:val="24"/>
          <w:szCs w:val="24"/>
          <w:lang w:val="es-ES_tradnl"/>
        </w:rPr>
        <w:t>l riesgo de crédito como la posibilidad de que una entidad incurra en pérdidas y se disminuya el valor de sus activos como consecuencia de que un deudor o contraparte incumpla sus obligaciones.</w:t>
      </w:r>
    </w:p>
    <w:p w:rsidR="000C0C01" w:rsidRPr="000C0C01" w:rsidRDefault="000C0C01" w:rsidP="000C0C01">
      <w:pPr>
        <w:tabs>
          <w:tab w:val="center" w:pos="4773"/>
        </w:tabs>
        <w:jc w:val="both"/>
        <w:rPr>
          <w:rFonts w:ascii="Arial Narrow" w:hAnsi="Arial Narrow" w:cs="Arial"/>
          <w:bCs/>
          <w:sz w:val="24"/>
          <w:szCs w:val="24"/>
          <w:lang w:val="es-ES_tradnl"/>
        </w:rPr>
      </w:pPr>
    </w:p>
    <w:p w:rsidR="000C0C01" w:rsidRDefault="000C0C01" w:rsidP="00594B42">
      <w:pPr>
        <w:tabs>
          <w:tab w:val="center" w:pos="4773"/>
        </w:tabs>
        <w:jc w:val="both"/>
        <w:rPr>
          <w:rFonts w:ascii="Arial Narrow" w:hAnsi="Arial Narrow" w:cs="Arial"/>
          <w:bCs/>
          <w:sz w:val="24"/>
          <w:szCs w:val="24"/>
          <w:lang w:val="es-ES_tradnl"/>
        </w:rPr>
      </w:pPr>
      <w:r w:rsidRPr="000C0C01">
        <w:rPr>
          <w:rFonts w:ascii="Arial Narrow" w:hAnsi="Arial Narrow" w:cs="Arial"/>
          <w:bCs/>
          <w:sz w:val="24"/>
          <w:szCs w:val="24"/>
          <w:lang w:val="es-ES_tradnl"/>
        </w:rPr>
        <w:t>En este sentido y bajo la estructura de la DGCPTN se establecen 3 etapas que hacen parte integral de la administración del riesgo crediticio: originación, seguimiento y recuperación, para las cuales se exponen los lineamientos que se deben llevar a cabo en una correcta administración del riesgo.</w:t>
      </w:r>
    </w:p>
    <w:p w:rsidR="00594B42" w:rsidRPr="00594B42" w:rsidRDefault="00594B42" w:rsidP="00594B42">
      <w:pPr>
        <w:pStyle w:val="Prrafodelista"/>
        <w:ind w:left="0"/>
        <w:jc w:val="both"/>
        <w:rPr>
          <w:rFonts w:ascii="Arial Narrow" w:hAnsi="Arial Narrow" w:cs="Arial"/>
          <w:b/>
          <w:sz w:val="24"/>
          <w:szCs w:val="24"/>
        </w:rPr>
      </w:pPr>
    </w:p>
    <w:p w:rsidR="000C0C01" w:rsidRPr="00594B42" w:rsidRDefault="000C0C01" w:rsidP="008C2C73">
      <w:pPr>
        <w:pStyle w:val="Prrafodelista"/>
        <w:numPr>
          <w:ilvl w:val="2"/>
          <w:numId w:val="42"/>
        </w:numPr>
        <w:jc w:val="both"/>
        <w:outlineLvl w:val="2"/>
        <w:rPr>
          <w:rFonts w:ascii="Arial Narrow" w:hAnsi="Arial Narrow" w:cs="Arial"/>
          <w:b/>
          <w:sz w:val="24"/>
          <w:szCs w:val="24"/>
        </w:rPr>
      </w:pPr>
      <w:bookmarkStart w:id="24" w:name="_Toc528669645"/>
      <w:r w:rsidRPr="00594B42">
        <w:rPr>
          <w:rFonts w:ascii="Arial Narrow" w:hAnsi="Arial Narrow" w:cs="Arial"/>
          <w:b/>
          <w:sz w:val="24"/>
          <w:szCs w:val="24"/>
        </w:rPr>
        <w:t>Directrices en Materia de Originación</w:t>
      </w:r>
      <w:bookmarkEnd w:id="24"/>
      <w:r w:rsidRPr="00594B42">
        <w:rPr>
          <w:rFonts w:ascii="Arial Narrow" w:hAnsi="Arial Narrow" w:cs="Arial"/>
          <w:b/>
          <w:sz w:val="24"/>
          <w:szCs w:val="24"/>
        </w:rPr>
        <w:t xml:space="preserve"> </w:t>
      </w:r>
    </w:p>
    <w:p w:rsidR="000C0C01" w:rsidRPr="000C0C01" w:rsidRDefault="000C0C01" w:rsidP="000C0C01">
      <w:pPr>
        <w:pStyle w:val="Prrafodelista"/>
        <w:ind w:left="567"/>
        <w:jc w:val="both"/>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 xml:space="preserve">Dentro del proceso de originación de las operaciones derivadas de la colocación de cartera, que son administradas por la DGCPTN, se atienden distintas solicitudes que son clasificadas en 3 grandes grupos: </w:t>
      </w:r>
    </w:p>
    <w:p w:rsidR="000C0C01" w:rsidRPr="000C0C01" w:rsidRDefault="000C0C01" w:rsidP="000C0C01">
      <w:pPr>
        <w:jc w:val="both"/>
        <w:rPr>
          <w:rFonts w:ascii="Arial Narrow" w:hAnsi="Arial Narrow" w:cs="Arial"/>
          <w:sz w:val="24"/>
          <w:szCs w:val="24"/>
        </w:rPr>
      </w:pPr>
    </w:p>
    <w:p w:rsidR="000C0C01" w:rsidRPr="000C0C01" w:rsidRDefault="000C0C01" w:rsidP="008C2C73">
      <w:pPr>
        <w:pStyle w:val="Prrafodelista"/>
        <w:numPr>
          <w:ilvl w:val="3"/>
          <w:numId w:val="42"/>
        </w:numPr>
        <w:jc w:val="both"/>
        <w:outlineLvl w:val="3"/>
        <w:rPr>
          <w:rFonts w:ascii="Arial Narrow" w:hAnsi="Arial Narrow" w:cs="Arial"/>
          <w:b/>
          <w:sz w:val="24"/>
          <w:szCs w:val="24"/>
        </w:rPr>
      </w:pPr>
      <w:bookmarkStart w:id="25" w:name="_Toc528669646"/>
      <w:r w:rsidRPr="000C0C01">
        <w:rPr>
          <w:rFonts w:ascii="Arial Narrow" w:hAnsi="Arial Narrow" w:cs="Arial"/>
          <w:b/>
          <w:sz w:val="24"/>
          <w:szCs w:val="24"/>
        </w:rPr>
        <w:t>Autorización</w:t>
      </w:r>
      <w:bookmarkEnd w:id="25"/>
    </w:p>
    <w:p w:rsidR="000C0C01" w:rsidRPr="000C0C01" w:rsidRDefault="000C0C01" w:rsidP="000C0C01">
      <w:pPr>
        <w:pStyle w:val="Prrafodelista"/>
        <w:ind w:left="1080"/>
        <w:jc w:val="both"/>
        <w:rPr>
          <w:rFonts w:ascii="Arial Narrow" w:hAnsi="Arial Narrow" w:cs="Arial"/>
          <w:b/>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 xml:space="preserve">A continuación, se relacionan </w:t>
      </w:r>
      <w:r w:rsidR="00594B42">
        <w:rPr>
          <w:rFonts w:ascii="Arial Narrow" w:hAnsi="Arial Narrow" w:cs="Arial"/>
          <w:sz w:val="24"/>
          <w:szCs w:val="24"/>
        </w:rPr>
        <w:t>los tipos de operaciones</w:t>
      </w:r>
      <w:r w:rsidRPr="000C0C01">
        <w:rPr>
          <w:rFonts w:ascii="Arial Narrow" w:hAnsi="Arial Narrow" w:cs="Arial"/>
          <w:sz w:val="24"/>
          <w:szCs w:val="24"/>
        </w:rPr>
        <w:t xml:space="preserve"> donde la Nación emite autorización para su celebración, y los cuales se encuentran reglamentados en el Decreto 1068 de 2015:</w:t>
      </w:r>
    </w:p>
    <w:p w:rsidR="000C0C01" w:rsidRPr="000C0C01" w:rsidRDefault="000C0C01" w:rsidP="000C0C01">
      <w:pPr>
        <w:ind w:left="360"/>
        <w:jc w:val="both"/>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b/>
          <w:bCs/>
          <w:sz w:val="24"/>
          <w:szCs w:val="24"/>
        </w:rPr>
        <w:t>Créditos de Tesorería:</w:t>
      </w:r>
      <w:r w:rsidRPr="000C0C01">
        <w:rPr>
          <w:rFonts w:ascii="Arial Narrow" w:hAnsi="Arial Narrow" w:cs="Arial"/>
          <w:sz w:val="24"/>
          <w:szCs w:val="24"/>
        </w:rPr>
        <w:t xml:space="preserve"> De acuerdo con el artículo 2.2.1.2.1.9, son créditos de corto plazo con plazo igual o inferior a un año, los cuales deben ser pagados con recursos diferentes del crédito y no pueden convertirse en fuente para financiar adiciones en el presupuesto de gastos.</w:t>
      </w:r>
    </w:p>
    <w:p w:rsidR="000C0C01" w:rsidRPr="000C0C01" w:rsidRDefault="000C0C01" w:rsidP="000C0C01">
      <w:pPr>
        <w:ind w:left="360"/>
        <w:jc w:val="both"/>
        <w:rPr>
          <w:rFonts w:ascii="Arial Narrow" w:hAnsi="Arial Narrow" w:cs="Arial"/>
          <w:sz w:val="24"/>
          <w:szCs w:val="24"/>
        </w:rPr>
      </w:pPr>
    </w:p>
    <w:p w:rsidR="00454E0D" w:rsidRDefault="00454E0D" w:rsidP="000C0C01">
      <w:pPr>
        <w:ind w:left="360"/>
        <w:jc w:val="both"/>
        <w:rPr>
          <w:rFonts w:ascii="Arial Narrow" w:hAnsi="Arial Narrow" w:cs="Arial"/>
          <w:b/>
          <w:bCs/>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b/>
          <w:bCs/>
          <w:sz w:val="24"/>
          <w:szCs w:val="24"/>
        </w:rPr>
        <w:lastRenderedPageBreak/>
        <w:t>Créditos Transitorios:</w:t>
      </w:r>
      <w:r w:rsidRPr="000C0C01">
        <w:rPr>
          <w:rFonts w:ascii="Arial Narrow" w:hAnsi="Arial Narrow" w:cs="Arial"/>
          <w:sz w:val="24"/>
          <w:szCs w:val="24"/>
        </w:rPr>
        <w:t xml:space="preserve"> Según el artículo 2.2.1.2.1.9, son créditos de corto plazo de carácter transitorio que van a ser pagados con créditos de plazo mayor a un año, respecto de los cuales existe oferta en firme del negocio. </w:t>
      </w:r>
    </w:p>
    <w:p w:rsidR="000C0C01" w:rsidRPr="000C0C01" w:rsidRDefault="000C0C01" w:rsidP="000C0C01">
      <w:pPr>
        <w:ind w:left="360"/>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Las entidades objeto de créditos de tesorería y créditos transitorios son: Entidades descentralizadas del orden nacional, Entidades con participación estatal superior al 50% e inferior al 90% de su capital social, Entes Universitarios Autónomos, Corporaciones Autónomas Regionales, Comisión Nacional de Televisión (hoy Autoridad Nacional de Televisión), Empresas de servicios públicos domiciliarios oficiales y mixtas, así como de aquellas con participación directa o indirecta del Estado superior al 50% de su capital social, dependiendo del orden administrativo al cual pertenezcan.</w:t>
      </w:r>
    </w:p>
    <w:p w:rsidR="000C0C01" w:rsidRPr="000C0C01" w:rsidRDefault="000C0C01" w:rsidP="000C0C01">
      <w:pPr>
        <w:ind w:left="360"/>
        <w:jc w:val="both"/>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b/>
          <w:bCs/>
          <w:sz w:val="24"/>
          <w:szCs w:val="24"/>
        </w:rPr>
        <w:t>Créditos de Presupuesto:</w:t>
      </w:r>
      <w:r w:rsidRPr="000C0C01">
        <w:rPr>
          <w:rFonts w:ascii="Arial Narrow" w:hAnsi="Arial Narrow" w:cs="Arial"/>
          <w:sz w:val="24"/>
          <w:szCs w:val="24"/>
        </w:rPr>
        <w:t xml:space="preserve"> De acuerdo con el artículo 2.2.1.2.1.8, son empréstitos que celebran las entidades con la Nación con cargo a apropiaciones presupuestales en los términos del Estatuto Orgánico del Presupuesto General de la Nación.</w:t>
      </w:r>
    </w:p>
    <w:p w:rsidR="000C0C01" w:rsidRPr="000C0C01" w:rsidRDefault="000C0C01" w:rsidP="000C0C01">
      <w:pPr>
        <w:ind w:left="360"/>
        <w:jc w:val="both"/>
        <w:rPr>
          <w:rFonts w:ascii="Arial Narrow" w:hAnsi="Arial Narrow" w:cs="Arial"/>
          <w:color w:val="1F497D"/>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Las entidades objeto de créditos de presupuesto son: Entidades territoriales y descentralizadas de cualquier orden que requieran el apoyo de la Nación de acuerdo con las políticas del Gobierno Nacional y/o Leyes vigentes, siempre que se tenga apropiación presupuestal en el Presupuesto General de la Nación en la vigencia respectiva.</w:t>
      </w:r>
    </w:p>
    <w:p w:rsidR="000C0C01" w:rsidRDefault="000C0C01" w:rsidP="000C0C01">
      <w:pPr>
        <w:spacing w:line="276" w:lineRule="auto"/>
        <w:ind w:left="360"/>
        <w:jc w:val="both"/>
        <w:rPr>
          <w:rFonts w:ascii="Arial Narrow" w:hAnsi="Arial Narrow" w:cs="Arial"/>
          <w:b/>
          <w:sz w:val="24"/>
          <w:szCs w:val="24"/>
        </w:rPr>
      </w:pPr>
    </w:p>
    <w:p w:rsidR="000C0C01" w:rsidRPr="000C0C01" w:rsidRDefault="000C0C01" w:rsidP="000C0C01">
      <w:pPr>
        <w:spacing w:line="276" w:lineRule="auto"/>
        <w:ind w:left="360"/>
        <w:jc w:val="both"/>
        <w:rPr>
          <w:rFonts w:ascii="Arial Narrow" w:hAnsi="Arial Narrow" w:cs="Arial"/>
          <w:sz w:val="24"/>
          <w:szCs w:val="24"/>
        </w:rPr>
      </w:pPr>
      <w:r w:rsidRPr="000C0C01">
        <w:rPr>
          <w:rFonts w:ascii="Arial Narrow" w:hAnsi="Arial Narrow" w:cs="Arial"/>
          <w:b/>
          <w:sz w:val="24"/>
          <w:szCs w:val="24"/>
        </w:rPr>
        <w:t>Cuentas por Cobrar:</w:t>
      </w:r>
      <w:r w:rsidRPr="000C0C01">
        <w:rPr>
          <w:rFonts w:ascii="Arial Narrow" w:hAnsi="Arial Narrow" w:cs="Arial"/>
          <w:sz w:val="24"/>
          <w:szCs w:val="24"/>
        </w:rPr>
        <w:t xml:space="preserve"> Para los casos donde se realice una emisión de deuda pública a nombre de una entidad específica, la Nación deberá constituir la respectiva cuenta por cobrar.  </w:t>
      </w:r>
    </w:p>
    <w:p w:rsidR="000C0C01" w:rsidRPr="000C0C01" w:rsidRDefault="000C0C01" w:rsidP="000C0C01">
      <w:pPr>
        <w:spacing w:line="276" w:lineRule="auto"/>
        <w:ind w:firstLine="360"/>
        <w:rPr>
          <w:rFonts w:ascii="Arial Narrow" w:hAnsi="Arial Narrow" w:cs="Arial"/>
          <w:sz w:val="24"/>
          <w:szCs w:val="24"/>
        </w:rPr>
      </w:pPr>
    </w:p>
    <w:p w:rsidR="000C0C01" w:rsidRPr="000C0C01" w:rsidRDefault="000C0C01" w:rsidP="008C2C73">
      <w:pPr>
        <w:pStyle w:val="Prrafodelista"/>
        <w:numPr>
          <w:ilvl w:val="3"/>
          <w:numId w:val="42"/>
        </w:numPr>
        <w:jc w:val="both"/>
        <w:outlineLvl w:val="3"/>
        <w:rPr>
          <w:rFonts w:ascii="Arial Narrow" w:hAnsi="Arial Narrow" w:cs="Arial"/>
          <w:b/>
          <w:sz w:val="24"/>
          <w:szCs w:val="24"/>
        </w:rPr>
      </w:pPr>
      <w:bookmarkStart w:id="26" w:name="_Toc528669647"/>
      <w:r w:rsidRPr="000C0C01">
        <w:rPr>
          <w:rFonts w:ascii="Arial Narrow" w:hAnsi="Arial Narrow" w:cs="Arial"/>
          <w:b/>
          <w:sz w:val="24"/>
          <w:szCs w:val="24"/>
        </w:rPr>
        <w:t>Otorgamiento</w:t>
      </w:r>
      <w:bookmarkEnd w:id="26"/>
    </w:p>
    <w:p w:rsidR="000C0C01" w:rsidRPr="000C0C01" w:rsidRDefault="000C0C01" w:rsidP="000C0C01">
      <w:pPr>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En la sección de otorgamiento se ubican los créditos de tesorería que se definen como créditos de corto plazo, con plazo hasta de un año, que no excederán la vigencia fiscal, y que podrán concederse a las entidades descentralizadas y a las entidades territoriales y sus descentralizadas. La Nación podrá otorgar créditos de tesorería a entidades externas y/o créditos extraordinarios de tesorería a Fondos Administrados de acuerdo con las autorizaciones de Ley.</w:t>
      </w:r>
    </w:p>
    <w:p w:rsidR="000C0C01" w:rsidRPr="000C0C01" w:rsidRDefault="000C0C01" w:rsidP="000C0C01">
      <w:pPr>
        <w:ind w:left="360"/>
        <w:jc w:val="both"/>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Las entidades que pueden llegar a acceder a un crédito de tesorería otorgado por la Nación son: Entidades descentralizadas del orden nacional, entidades territoriales y sus descentralizadas, sociedades de economía mixta que se rijan por las normas previstas para las empresas industriales y comerciales del Estado y los fondos administrados por el tesoro nacional.</w:t>
      </w:r>
    </w:p>
    <w:p w:rsidR="000C0C01" w:rsidRPr="000C0C01" w:rsidRDefault="000C0C01" w:rsidP="000C0C01">
      <w:pPr>
        <w:ind w:left="360"/>
        <w:rPr>
          <w:rFonts w:ascii="Arial Narrow" w:hAnsi="Arial Narrow" w:cs="Arial"/>
          <w:sz w:val="24"/>
          <w:szCs w:val="24"/>
        </w:rPr>
      </w:pPr>
    </w:p>
    <w:p w:rsidR="000C0C01" w:rsidRPr="000C0C01" w:rsidRDefault="000C0C01" w:rsidP="008C2C73">
      <w:pPr>
        <w:pStyle w:val="Prrafodelista"/>
        <w:numPr>
          <w:ilvl w:val="3"/>
          <w:numId w:val="42"/>
        </w:numPr>
        <w:jc w:val="both"/>
        <w:outlineLvl w:val="3"/>
        <w:rPr>
          <w:rFonts w:ascii="Arial Narrow" w:hAnsi="Arial Narrow" w:cs="Arial"/>
          <w:b/>
          <w:sz w:val="24"/>
          <w:szCs w:val="24"/>
        </w:rPr>
      </w:pPr>
      <w:bookmarkStart w:id="27" w:name="_Toc528669648"/>
      <w:r w:rsidRPr="000C0C01">
        <w:rPr>
          <w:rFonts w:ascii="Arial Narrow" w:hAnsi="Arial Narrow" w:cs="Arial"/>
          <w:b/>
          <w:sz w:val="24"/>
          <w:szCs w:val="24"/>
        </w:rPr>
        <w:t>Adjudicación de Garantías</w:t>
      </w:r>
      <w:bookmarkEnd w:id="27"/>
    </w:p>
    <w:p w:rsidR="000C0C01" w:rsidRPr="000C0C01" w:rsidRDefault="000C0C01" w:rsidP="000C0C01">
      <w:pPr>
        <w:ind w:left="360"/>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Generalmente, el Estado emite una garantía con el fin de promover proyectos de interés público, es decir, proyectos sociales o estratégicos que serían muy costosos o riesgosos sin apoyo del gobierno. Además, algunos proyectos de gran envergadura (infraestructura) donde el riesgo es muy difícil de valorar necesitan el soporte del gobierno para incentivar los mercados de capitales a financiar el proyecto.</w:t>
      </w:r>
    </w:p>
    <w:p w:rsidR="000C0C01" w:rsidRPr="000C0C01" w:rsidRDefault="000C0C01" w:rsidP="000C0C01">
      <w:pPr>
        <w:ind w:left="360"/>
        <w:jc w:val="both"/>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La garantía de la Nación permite también a las entidades estatales acceder a fuentes de financiamiento adicionales. De hecho, los gobiernos extranjeros o los organismos multilaterales piden expresamente una garantía de la Nación para prestar a entes públicas. (Banco Mundial. Diagnóstico Garantías 2014).</w:t>
      </w:r>
    </w:p>
    <w:p w:rsidR="000C0C01" w:rsidRPr="000C0C01" w:rsidRDefault="000C0C01" w:rsidP="000C0C01">
      <w:pPr>
        <w:ind w:left="360"/>
        <w:jc w:val="both"/>
        <w:rPr>
          <w:rFonts w:ascii="Arial Narrow" w:hAnsi="Arial Narrow" w:cs="Arial"/>
          <w:sz w:val="24"/>
          <w:szCs w:val="24"/>
        </w:rPr>
      </w:pPr>
    </w:p>
    <w:p w:rsidR="000C0C01" w:rsidRPr="000C0C01" w:rsidRDefault="000C0C01" w:rsidP="000C0C01">
      <w:pPr>
        <w:ind w:left="360"/>
        <w:jc w:val="both"/>
        <w:rPr>
          <w:rFonts w:ascii="Arial Narrow" w:hAnsi="Arial Narrow" w:cs="Arial"/>
          <w:sz w:val="24"/>
          <w:szCs w:val="24"/>
        </w:rPr>
      </w:pPr>
      <w:r w:rsidRPr="000C0C01">
        <w:rPr>
          <w:rFonts w:ascii="Arial Narrow" w:hAnsi="Arial Narrow" w:cs="Arial"/>
          <w:sz w:val="24"/>
          <w:szCs w:val="24"/>
        </w:rPr>
        <w:t>Para la correcta evaluación de una garantía se debe seguir la Guía General para el Otorgamiento de Garantías.</w:t>
      </w:r>
    </w:p>
    <w:p w:rsidR="000C0C01" w:rsidRPr="000C0C01" w:rsidRDefault="000C0C01" w:rsidP="000C0C01">
      <w:pPr>
        <w:ind w:firstLine="360"/>
        <w:rPr>
          <w:rFonts w:ascii="Arial Narrow" w:hAnsi="Arial Narrow" w:cs="Arial"/>
          <w:sz w:val="24"/>
          <w:szCs w:val="24"/>
        </w:rPr>
      </w:pPr>
    </w:p>
    <w:p w:rsidR="000C0C01" w:rsidRPr="000C0C01" w:rsidRDefault="000C0C01" w:rsidP="000C0C01">
      <w:pPr>
        <w:ind w:firstLine="360"/>
        <w:rPr>
          <w:rFonts w:ascii="Arial Narrow" w:hAnsi="Arial Narrow" w:cs="Arial"/>
          <w:sz w:val="24"/>
          <w:szCs w:val="24"/>
        </w:rPr>
      </w:pPr>
      <w:r w:rsidRPr="000C0C01">
        <w:rPr>
          <w:rFonts w:ascii="Arial Narrow" w:hAnsi="Arial Narrow" w:cs="Arial"/>
          <w:sz w:val="24"/>
          <w:szCs w:val="24"/>
        </w:rPr>
        <w:t xml:space="preserve">Para los 3 grupos relacionados, se tienen como directrices: </w:t>
      </w:r>
    </w:p>
    <w:p w:rsidR="000C0C01" w:rsidRPr="000C0C01" w:rsidRDefault="000C0C01" w:rsidP="000C0C01">
      <w:pPr>
        <w:jc w:val="both"/>
        <w:rPr>
          <w:rFonts w:ascii="Arial Narrow" w:hAnsi="Arial Narrow" w:cs="Arial"/>
          <w:sz w:val="24"/>
          <w:szCs w:val="24"/>
        </w:rPr>
      </w:pP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Cumplir con el requisito de documentación para la respectiva autori- zación, así como con el procedimiento general registrado en la Guía General de Crédito y Cartera.</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Hacer una evaluación sobre el estado actual de la entidad solicitante, así como de su comportamiento crediticio.</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Evaluar la capacidad de pago de la entidad.</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Adoptar metodologías y técnicas analíticas que permitan medir el riesgo de crédito de cada una de las entidades solicitantes.</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Clasificar las entidades de acuerdo a la evaluación previamente realizada.</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 xml:space="preserve">Analizar la suficiencia de las garantías otorgadas por la entidad. </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Tener aprobación del área jurídica (Grupo de Asuntos Legales y Secretaría General) sobre contenido de los documentos a suscribir.</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Determinar las condiciones financieras que se ajustan a la capacidad que tiene la entidad para responder por sus obligaciones.</w:t>
      </w:r>
    </w:p>
    <w:p w:rsidR="000C0C01" w:rsidRPr="000C0C01" w:rsidRDefault="000C0C01" w:rsidP="000C0C01">
      <w:pPr>
        <w:pStyle w:val="Prrafodelista"/>
        <w:numPr>
          <w:ilvl w:val="0"/>
          <w:numId w:val="31"/>
        </w:numPr>
        <w:jc w:val="both"/>
        <w:rPr>
          <w:rFonts w:ascii="Arial Narrow" w:hAnsi="Arial Narrow" w:cs="Arial"/>
          <w:sz w:val="24"/>
          <w:szCs w:val="24"/>
        </w:rPr>
      </w:pPr>
      <w:r w:rsidRPr="000C0C01">
        <w:rPr>
          <w:rFonts w:ascii="Arial Narrow" w:hAnsi="Arial Narrow" w:cs="Arial"/>
          <w:sz w:val="24"/>
          <w:szCs w:val="24"/>
        </w:rPr>
        <w:t>Inclusión del nuevo crédito en el sistema de deuda para su posterior seguimiento.</w:t>
      </w:r>
    </w:p>
    <w:p w:rsidR="000C0C01" w:rsidRPr="000C0C01" w:rsidRDefault="000C0C01" w:rsidP="000C0C01">
      <w:pPr>
        <w:rPr>
          <w:rFonts w:ascii="Arial Narrow" w:hAnsi="Arial Narrow" w:cs="Arial"/>
          <w:sz w:val="24"/>
          <w:szCs w:val="24"/>
        </w:rPr>
      </w:pPr>
    </w:p>
    <w:p w:rsidR="000C0C01" w:rsidRPr="000C0C01" w:rsidRDefault="000C0C01" w:rsidP="008C2C73">
      <w:pPr>
        <w:pStyle w:val="Prrafodelista"/>
        <w:numPr>
          <w:ilvl w:val="2"/>
          <w:numId w:val="42"/>
        </w:numPr>
        <w:jc w:val="both"/>
        <w:outlineLvl w:val="2"/>
        <w:rPr>
          <w:rFonts w:ascii="Arial Narrow" w:hAnsi="Arial Narrow" w:cs="Arial"/>
          <w:b/>
          <w:sz w:val="24"/>
          <w:szCs w:val="24"/>
        </w:rPr>
      </w:pPr>
      <w:bookmarkStart w:id="28" w:name="_Toc528669649"/>
      <w:r w:rsidRPr="000C0C01">
        <w:rPr>
          <w:rFonts w:ascii="Arial Narrow" w:hAnsi="Arial Narrow" w:cs="Arial"/>
          <w:b/>
          <w:sz w:val="24"/>
          <w:szCs w:val="24"/>
        </w:rPr>
        <w:t>Directrices en Materia de Seguimiento de la Cartera</w:t>
      </w:r>
      <w:bookmarkEnd w:id="28"/>
    </w:p>
    <w:p w:rsidR="000C0C01" w:rsidRPr="000C0C01" w:rsidRDefault="000C0C01" w:rsidP="000C0C01">
      <w:pPr>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El seguimiento y control de la colocación de cartera de operaciones autorizadas, otorgadas y garantizadas requiere de una adecuada administración para mitigar el impacto del riesgo de crédito y su disciplina depende en gran medida de una efectiva gestión de cobro y de la verificación de cumplimiento de las obligaciones contraídas por las entidades públicas.</w:t>
      </w:r>
    </w:p>
    <w:p w:rsidR="000C0C01" w:rsidRPr="000C0C01" w:rsidRDefault="000C0C01" w:rsidP="000C0C01">
      <w:pPr>
        <w:rPr>
          <w:rFonts w:ascii="Arial Narrow" w:hAnsi="Arial Narrow" w:cs="Arial"/>
          <w:sz w:val="24"/>
          <w:szCs w:val="24"/>
        </w:rPr>
      </w:pPr>
    </w:p>
    <w:p w:rsidR="000C0C01" w:rsidRPr="000C0C01" w:rsidRDefault="000C0C01" w:rsidP="008C2C73">
      <w:pPr>
        <w:pStyle w:val="Prrafodelista"/>
        <w:numPr>
          <w:ilvl w:val="3"/>
          <w:numId w:val="42"/>
        </w:numPr>
        <w:jc w:val="both"/>
        <w:outlineLvl w:val="3"/>
        <w:rPr>
          <w:rFonts w:ascii="Arial Narrow" w:hAnsi="Arial Narrow" w:cs="Arial"/>
          <w:b/>
          <w:sz w:val="24"/>
          <w:szCs w:val="24"/>
        </w:rPr>
      </w:pPr>
      <w:bookmarkStart w:id="29" w:name="_Toc528669650"/>
      <w:r w:rsidRPr="000C0C01">
        <w:rPr>
          <w:rFonts w:ascii="Arial Narrow" w:hAnsi="Arial Narrow" w:cs="Arial"/>
          <w:b/>
          <w:sz w:val="24"/>
          <w:szCs w:val="24"/>
        </w:rPr>
        <w:t>Seguimiento de la Cartera</w:t>
      </w:r>
      <w:bookmarkEnd w:id="29"/>
    </w:p>
    <w:p w:rsidR="000C0C01" w:rsidRPr="000C0C01" w:rsidRDefault="000C0C01" w:rsidP="000C0C01">
      <w:pPr>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El seguimiento de la cartera es realizado por el Grupo de Seguimiento y Cartera de la SFOE de la DGCPTN, el cual se basa en la revisión del comportamiento de las entidades frente al cumplimiento de sus obligaciones crediticias.</w:t>
      </w:r>
    </w:p>
    <w:p w:rsidR="000C0C01" w:rsidRPr="000C0C01" w:rsidRDefault="000C0C01" w:rsidP="000C0C01">
      <w:pPr>
        <w:jc w:val="both"/>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Dentro de los procedimientos de la SFOE, el Grupo de Seguimiento y Cartera se encarga de hacer una revisión y validación detallada de los créditos que se relacionan a continuación:</w:t>
      </w:r>
    </w:p>
    <w:p w:rsidR="000C0C01" w:rsidRPr="000C0C01" w:rsidRDefault="000C0C01" w:rsidP="000C0C01">
      <w:pPr>
        <w:rPr>
          <w:rFonts w:ascii="Arial Narrow" w:hAnsi="Arial Narrow" w:cs="Arial"/>
          <w:sz w:val="24"/>
          <w:szCs w:val="24"/>
        </w:rPr>
      </w:pPr>
    </w:p>
    <w:p w:rsidR="000C0C01" w:rsidRPr="008C2C73" w:rsidRDefault="000C0C01" w:rsidP="008C2C73">
      <w:pPr>
        <w:pStyle w:val="Ttulo5"/>
        <w:numPr>
          <w:ilvl w:val="4"/>
          <w:numId w:val="42"/>
        </w:numPr>
        <w:jc w:val="left"/>
        <w:rPr>
          <w:rFonts w:cs="Arial"/>
          <w:szCs w:val="24"/>
        </w:rPr>
      </w:pPr>
      <w:bookmarkStart w:id="30" w:name="_Toc528669651"/>
      <w:r w:rsidRPr="008C2C73">
        <w:rPr>
          <w:rFonts w:cs="Arial"/>
          <w:szCs w:val="24"/>
        </w:rPr>
        <w:lastRenderedPageBreak/>
        <w:t>Créditos Internos y Externos Garantizados por la Nación</w:t>
      </w:r>
      <w:bookmarkEnd w:id="30"/>
    </w:p>
    <w:p w:rsidR="000C0C01" w:rsidRPr="000C0C01" w:rsidRDefault="000C0C01" w:rsidP="008C2C73">
      <w:pPr>
        <w:pStyle w:val="Ttulo5"/>
        <w:rPr>
          <w:rFonts w:cs="Arial"/>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Para este tipo de créditos se verifica y valida el cumplimiento de lo establecido en los contratos de contragarantías.  Para verificar esta información, previo al pago, se solicitan la siguiente documentación:</w:t>
      </w:r>
    </w:p>
    <w:p w:rsidR="000C0C01" w:rsidRPr="000C0C01" w:rsidRDefault="000C0C01" w:rsidP="000C0C01">
      <w:pPr>
        <w:rPr>
          <w:rFonts w:ascii="Arial Narrow" w:hAnsi="Arial Narrow" w:cs="Arial"/>
          <w:sz w:val="24"/>
          <w:szCs w:val="24"/>
        </w:rPr>
      </w:pPr>
    </w:p>
    <w:p w:rsidR="000C0C01" w:rsidRPr="000C0C01" w:rsidRDefault="000C0C01" w:rsidP="000C0C01">
      <w:pPr>
        <w:pStyle w:val="Prrafodelista"/>
        <w:numPr>
          <w:ilvl w:val="0"/>
          <w:numId w:val="34"/>
        </w:numPr>
        <w:jc w:val="both"/>
        <w:rPr>
          <w:rFonts w:ascii="Arial Narrow" w:hAnsi="Arial Narrow" w:cs="Arial"/>
          <w:sz w:val="24"/>
          <w:szCs w:val="24"/>
        </w:rPr>
      </w:pPr>
      <w:r w:rsidRPr="000C0C01">
        <w:rPr>
          <w:rFonts w:ascii="Arial Narrow" w:hAnsi="Arial Narrow" w:cs="Arial"/>
          <w:sz w:val="24"/>
          <w:szCs w:val="24"/>
        </w:rPr>
        <w:t>Reporte de las apropiaciones;</w:t>
      </w:r>
    </w:p>
    <w:p w:rsidR="000C0C01" w:rsidRPr="000C0C01" w:rsidRDefault="000C0C01" w:rsidP="000C0C01">
      <w:pPr>
        <w:pStyle w:val="Prrafodelista"/>
        <w:numPr>
          <w:ilvl w:val="0"/>
          <w:numId w:val="34"/>
        </w:numPr>
        <w:jc w:val="both"/>
        <w:rPr>
          <w:rFonts w:ascii="Arial Narrow" w:hAnsi="Arial Narrow" w:cs="Arial"/>
          <w:sz w:val="24"/>
          <w:szCs w:val="24"/>
        </w:rPr>
      </w:pPr>
      <w:r w:rsidRPr="000C0C01">
        <w:rPr>
          <w:rFonts w:ascii="Arial Narrow" w:hAnsi="Arial Narrow" w:cs="Arial"/>
          <w:sz w:val="24"/>
          <w:szCs w:val="24"/>
        </w:rPr>
        <w:t>Saldos de cuentas pignoradas;</w:t>
      </w:r>
    </w:p>
    <w:p w:rsidR="000C0C01" w:rsidRPr="000C0C01" w:rsidRDefault="000C0C01" w:rsidP="000C0C01">
      <w:pPr>
        <w:pStyle w:val="Prrafodelista"/>
        <w:numPr>
          <w:ilvl w:val="0"/>
          <w:numId w:val="34"/>
        </w:numPr>
        <w:jc w:val="both"/>
        <w:rPr>
          <w:rFonts w:ascii="Arial Narrow" w:hAnsi="Arial Narrow" w:cs="Arial"/>
          <w:sz w:val="24"/>
          <w:szCs w:val="24"/>
        </w:rPr>
      </w:pPr>
      <w:r w:rsidRPr="000C0C01">
        <w:rPr>
          <w:rFonts w:ascii="Arial Narrow" w:hAnsi="Arial Narrow" w:cs="Arial"/>
          <w:sz w:val="24"/>
          <w:szCs w:val="24"/>
        </w:rPr>
        <w:t>Rentas (impuestos en prenda);</w:t>
      </w:r>
    </w:p>
    <w:p w:rsidR="000C0C01" w:rsidRPr="000C0C01" w:rsidRDefault="000C0C01" w:rsidP="000C0C01">
      <w:pPr>
        <w:pStyle w:val="Prrafodelista"/>
        <w:numPr>
          <w:ilvl w:val="0"/>
          <w:numId w:val="34"/>
        </w:numPr>
        <w:jc w:val="both"/>
        <w:rPr>
          <w:rFonts w:ascii="Arial Narrow" w:hAnsi="Arial Narrow" w:cs="Arial"/>
          <w:sz w:val="24"/>
          <w:szCs w:val="24"/>
        </w:rPr>
      </w:pPr>
      <w:r w:rsidRPr="000C0C01">
        <w:rPr>
          <w:rFonts w:ascii="Arial Narrow" w:hAnsi="Arial Narrow" w:cs="Arial"/>
          <w:sz w:val="24"/>
          <w:szCs w:val="24"/>
        </w:rPr>
        <w:t xml:space="preserve">Acciones, </w:t>
      </w:r>
    </w:p>
    <w:p w:rsidR="000C0C01" w:rsidRPr="000C0C01" w:rsidRDefault="000C0C01" w:rsidP="000C0C01">
      <w:pPr>
        <w:pStyle w:val="Prrafodelista"/>
        <w:numPr>
          <w:ilvl w:val="0"/>
          <w:numId w:val="34"/>
        </w:numPr>
        <w:jc w:val="both"/>
        <w:rPr>
          <w:rFonts w:ascii="Arial Narrow" w:hAnsi="Arial Narrow" w:cs="Arial"/>
          <w:sz w:val="24"/>
          <w:szCs w:val="24"/>
        </w:rPr>
      </w:pPr>
      <w:r w:rsidRPr="000C0C01">
        <w:rPr>
          <w:rFonts w:ascii="Arial Narrow" w:hAnsi="Arial Narrow" w:cs="Arial"/>
          <w:sz w:val="24"/>
          <w:szCs w:val="24"/>
        </w:rPr>
        <w:t xml:space="preserve">Otra información requerida por la SFOE. </w:t>
      </w:r>
    </w:p>
    <w:p w:rsidR="000C0C01" w:rsidRPr="000C0C01" w:rsidRDefault="000C0C01" w:rsidP="000C0C01">
      <w:pPr>
        <w:jc w:val="both"/>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Con esta información se procede a realizar la validación previa al cumplimiento de las obligaciones, de las condiciones con las que cuenta la entidad deudora para el pago de sus obligaciones garantizadas.</w:t>
      </w:r>
    </w:p>
    <w:p w:rsidR="000C0C01" w:rsidRPr="000C0C01" w:rsidRDefault="000C0C01" w:rsidP="000C0C01">
      <w:pPr>
        <w:jc w:val="both"/>
        <w:rPr>
          <w:rFonts w:ascii="Arial Narrow" w:hAnsi="Arial Narrow" w:cs="Arial"/>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Adicionalmente, el área cuenta con una base de datos interna, donde se realiza el seguimiento a la programación de los pagos y se hacen llamadas o se remiten comunicaciones para recordar el pago a las entidades. Con posterioridad al pago, se revisa la hoja de vida del crédito en el Sistema de Deuda donde se valida la actualización de los datos de pago.</w:t>
      </w:r>
    </w:p>
    <w:p w:rsidR="000C0C01" w:rsidRPr="000C0C01" w:rsidRDefault="000C0C01" w:rsidP="000C0C01">
      <w:pPr>
        <w:jc w:val="both"/>
        <w:rPr>
          <w:rFonts w:ascii="Arial Narrow" w:hAnsi="Arial Narrow" w:cs="Arial"/>
          <w:sz w:val="24"/>
          <w:szCs w:val="24"/>
        </w:rPr>
      </w:pPr>
    </w:p>
    <w:p w:rsidR="000C0C01" w:rsidRPr="000C0C01" w:rsidRDefault="000C0C01" w:rsidP="000C0C01">
      <w:pPr>
        <w:jc w:val="both"/>
        <w:rPr>
          <w:rFonts w:ascii="Arial Narrow" w:eastAsia="Batang" w:hAnsi="Arial Narrow" w:cs="Arial"/>
          <w:b/>
          <w:sz w:val="24"/>
          <w:szCs w:val="24"/>
          <w:lang w:eastAsia="en-US"/>
        </w:rPr>
      </w:pPr>
      <w:r w:rsidRPr="000C0C01">
        <w:rPr>
          <w:rFonts w:ascii="Arial Narrow" w:hAnsi="Arial Narrow" w:cs="Arial"/>
          <w:sz w:val="24"/>
          <w:szCs w:val="24"/>
        </w:rPr>
        <w:t>De manera mensual, el Grupo de Seguimiento realiza un reporte donde se resume los movimientos del mes.</w:t>
      </w:r>
    </w:p>
    <w:p w:rsidR="000C0C01" w:rsidRPr="000C0C01" w:rsidRDefault="000C0C01" w:rsidP="000C0C01">
      <w:pPr>
        <w:rPr>
          <w:rFonts w:ascii="Arial Narrow" w:eastAsia="Batang" w:hAnsi="Arial Narrow" w:cs="Arial"/>
          <w:b/>
          <w:sz w:val="24"/>
          <w:szCs w:val="24"/>
          <w:lang w:eastAsia="en-US"/>
        </w:rPr>
      </w:pPr>
    </w:p>
    <w:p w:rsidR="000C0C01" w:rsidRPr="006A097D" w:rsidRDefault="000C0C01" w:rsidP="006A097D">
      <w:pPr>
        <w:pStyle w:val="Ttulo5"/>
        <w:numPr>
          <w:ilvl w:val="4"/>
          <w:numId w:val="42"/>
        </w:numPr>
        <w:jc w:val="left"/>
        <w:rPr>
          <w:rFonts w:cs="Arial"/>
          <w:szCs w:val="24"/>
        </w:rPr>
      </w:pPr>
      <w:bookmarkStart w:id="31" w:name="_Toc528669652"/>
      <w:r w:rsidRPr="006A097D">
        <w:rPr>
          <w:rFonts w:cs="Arial"/>
          <w:szCs w:val="24"/>
        </w:rPr>
        <w:t>Créditos de Presupuesto y Seguimiento a Acuerdos de Pago</w:t>
      </w:r>
      <w:bookmarkEnd w:id="31"/>
    </w:p>
    <w:p w:rsidR="000C0C01" w:rsidRPr="006A097D" w:rsidRDefault="000C0C01" w:rsidP="000C0C01">
      <w:pPr>
        <w:rPr>
          <w:rFonts w:ascii="Arial Narrow" w:hAnsi="Arial Narrow" w:cs="Arial"/>
          <w:b/>
          <w:sz w:val="24"/>
          <w:szCs w:val="24"/>
        </w:rPr>
      </w:pPr>
    </w:p>
    <w:p w:rsidR="000C0C01" w:rsidRPr="000C0C01" w:rsidRDefault="000C0C01" w:rsidP="000C0C01">
      <w:pPr>
        <w:jc w:val="both"/>
        <w:rPr>
          <w:rFonts w:ascii="Arial Narrow" w:hAnsi="Arial Narrow" w:cs="Arial"/>
          <w:sz w:val="24"/>
          <w:szCs w:val="24"/>
        </w:rPr>
      </w:pPr>
      <w:r w:rsidRPr="000C0C01">
        <w:rPr>
          <w:rFonts w:ascii="Arial Narrow" w:hAnsi="Arial Narrow" w:cs="Arial"/>
          <w:sz w:val="24"/>
          <w:szCs w:val="24"/>
        </w:rPr>
        <w:t>Los créditos de presupuesto son créditos autorizados por la Nación con cargo a apropiaciones presupuestales para los municipios, departamentos y entidades descentralizadas.  Para los créditos de presupuesto y los acuerdos de pago, el Grupo de Seguimiento hace una revisión sobre la programación de pagos que tiene registrada en su base de datos. Adicionalmente, registra los pagos al Sistema de Deuda y al Sistema Integrado de Información Financiera - SIIF Nación.</w:t>
      </w:r>
    </w:p>
    <w:p w:rsidR="000C0C01" w:rsidRPr="000C0C01" w:rsidRDefault="000C0C01" w:rsidP="000C0C01">
      <w:pPr>
        <w:rPr>
          <w:rFonts w:ascii="Arial Narrow" w:hAnsi="Arial Narrow" w:cs="Arial"/>
          <w:sz w:val="24"/>
          <w:szCs w:val="24"/>
        </w:rPr>
      </w:pPr>
    </w:p>
    <w:p w:rsidR="000C0C01" w:rsidRPr="000C0C01" w:rsidRDefault="000C0C01" w:rsidP="00594B42">
      <w:pPr>
        <w:jc w:val="both"/>
        <w:rPr>
          <w:rFonts w:ascii="Arial Narrow" w:hAnsi="Arial Narrow" w:cs="Arial"/>
          <w:sz w:val="24"/>
          <w:szCs w:val="24"/>
        </w:rPr>
      </w:pPr>
      <w:r w:rsidRPr="000C0C01">
        <w:rPr>
          <w:rFonts w:ascii="Arial Narrow" w:hAnsi="Arial Narrow" w:cs="Arial"/>
          <w:sz w:val="24"/>
          <w:szCs w:val="24"/>
        </w:rPr>
        <w:t xml:space="preserve">La SFOE hace un reporte a la Subdirección de Operaciones donde notifica las entidades que se encuentran en situación de mora, que son aquellas que cumplen las siguientes condiciones: </w:t>
      </w:r>
    </w:p>
    <w:p w:rsidR="000C0C01" w:rsidRPr="000C0C01" w:rsidRDefault="000C0C01" w:rsidP="000C0C01">
      <w:pPr>
        <w:rPr>
          <w:rFonts w:ascii="Arial Narrow" w:hAnsi="Arial Narrow" w:cs="Arial"/>
          <w:sz w:val="24"/>
          <w:szCs w:val="24"/>
        </w:rPr>
      </w:pPr>
    </w:p>
    <w:p w:rsidR="000C0C01" w:rsidRPr="000C0C01" w:rsidRDefault="000C0C01" w:rsidP="000C0C01">
      <w:pPr>
        <w:pStyle w:val="Prrafodelista"/>
        <w:numPr>
          <w:ilvl w:val="0"/>
          <w:numId w:val="35"/>
        </w:numPr>
        <w:jc w:val="both"/>
        <w:rPr>
          <w:rFonts w:ascii="Arial Narrow" w:hAnsi="Arial Narrow" w:cs="Arial"/>
          <w:sz w:val="24"/>
          <w:szCs w:val="24"/>
        </w:rPr>
      </w:pPr>
      <w:r w:rsidRPr="000C0C01">
        <w:rPr>
          <w:rFonts w:ascii="Arial Narrow" w:hAnsi="Arial Narrow" w:cs="Arial"/>
          <w:sz w:val="24"/>
          <w:szCs w:val="24"/>
        </w:rPr>
        <w:t>Tener un periodo de mora mayor a 180 días; (para todos los casos)</w:t>
      </w:r>
    </w:p>
    <w:p w:rsidR="000C0C01" w:rsidRPr="000C0C01" w:rsidRDefault="000C0C01" w:rsidP="00594B42">
      <w:pPr>
        <w:pStyle w:val="Prrafodelista"/>
        <w:numPr>
          <w:ilvl w:val="0"/>
          <w:numId w:val="35"/>
        </w:numPr>
        <w:jc w:val="both"/>
        <w:rPr>
          <w:rFonts w:ascii="Arial Narrow" w:hAnsi="Arial Narrow" w:cs="Arial"/>
          <w:sz w:val="24"/>
          <w:szCs w:val="24"/>
        </w:rPr>
      </w:pPr>
      <w:r w:rsidRPr="000C0C01">
        <w:rPr>
          <w:rFonts w:ascii="Arial Narrow" w:hAnsi="Arial Narrow" w:cs="Arial"/>
          <w:sz w:val="24"/>
          <w:szCs w:val="24"/>
        </w:rPr>
        <w:t xml:space="preserve">Tener un saldo pendiente de pago (capital + intereses) superior a 5 SMMLV. (para reportar a la Contaduría General de la Nación) </w:t>
      </w:r>
    </w:p>
    <w:p w:rsidR="000C0C01" w:rsidRPr="000C0C01" w:rsidRDefault="000C0C01" w:rsidP="000C0C01">
      <w:pPr>
        <w:rPr>
          <w:rFonts w:ascii="Arial Narrow" w:hAnsi="Arial Narrow" w:cs="Arial"/>
          <w:sz w:val="24"/>
          <w:szCs w:val="24"/>
        </w:rPr>
      </w:pPr>
    </w:p>
    <w:p w:rsidR="000C0C01" w:rsidRPr="000C0C01" w:rsidRDefault="000C0C01" w:rsidP="00594B42">
      <w:pPr>
        <w:jc w:val="both"/>
        <w:rPr>
          <w:rFonts w:ascii="Arial Narrow" w:hAnsi="Arial Narrow" w:cs="Arial"/>
          <w:sz w:val="24"/>
          <w:szCs w:val="24"/>
        </w:rPr>
      </w:pPr>
      <w:r w:rsidRPr="000C0C01">
        <w:rPr>
          <w:rFonts w:ascii="Arial Narrow" w:hAnsi="Arial Narrow" w:cs="Arial"/>
          <w:sz w:val="24"/>
          <w:szCs w:val="24"/>
        </w:rPr>
        <w:t>Dentro de la Subdirección de Operaciones, el Grupo de Contabilidad notifica estas entidades ante el Boletín de Deudores Morosos (Contaduría) y el Grupo de Estadística (SFOE) se abstiene de realizar el registro de un nuevo crédito en el Sistema de Deuda, si la entidad solicitante se encuentra en la base de datos de morosos.</w:t>
      </w:r>
    </w:p>
    <w:p w:rsidR="000C0C01" w:rsidRPr="000C0C01" w:rsidRDefault="000C0C01" w:rsidP="000C0C01">
      <w:pPr>
        <w:rPr>
          <w:rFonts w:ascii="Arial Narrow" w:hAnsi="Arial Narrow" w:cs="Arial"/>
          <w:sz w:val="24"/>
          <w:szCs w:val="24"/>
        </w:rPr>
      </w:pPr>
    </w:p>
    <w:p w:rsidR="000C0C01" w:rsidRPr="000C0C01" w:rsidRDefault="000C0C01" w:rsidP="006A097D">
      <w:pPr>
        <w:pStyle w:val="Prrafodelista"/>
        <w:numPr>
          <w:ilvl w:val="3"/>
          <w:numId w:val="42"/>
        </w:numPr>
        <w:jc w:val="both"/>
        <w:outlineLvl w:val="3"/>
        <w:rPr>
          <w:rFonts w:ascii="Arial Narrow" w:hAnsi="Arial Narrow" w:cs="Arial"/>
          <w:b/>
          <w:sz w:val="24"/>
          <w:szCs w:val="24"/>
        </w:rPr>
      </w:pPr>
      <w:bookmarkStart w:id="32" w:name="_Toc528669653"/>
      <w:r w:rsidRPr="000C0C01">
        <w:rPr>
          <w:rFonts w:ascii="Arial Narrow" w:hAnsi="Arial Narrow" w:cs="Arial"/>
          <w:b/>
          <w:sz w:val="24"/>
          <w:szCs w:val="24"/>
        </w:rPr>
        <w:lastRenderedPageBreak/>
        <w:t>Mecanismos de Control y Monitoreo del Riesgo de Crédito</w:t>
      </w:r>
      <w:bookmarkEnd w:id="32"/>
    </w:p>
    <w:p w:rsidR="000C0C01" w:rsidRPr="000C0C01" w:rsidRDefault="000C0C01" w:rsidP="000C0C01">
      <w:pPr>
        <w:rPr>
          <w:rFonts w:ascii="Arial Narrow" w:hAnsi="Arial Narrow" w:cs="Arial"/>
          <w:sz w:val="24"/>
          <w:szCs w:val="24"/>
        </w:rPr>
      </w:pPr>
    </w:p>
    <w:p w:rsidR="000C0C01" w:rsidRPr="000C0C01" w:rsidRDefault="000C0C01" w:rsidP="00594B42">
      <w:pPr>
        <w:jc w:val="both"/>
        <w:rPr>
          <w:rFonts w:ascii="Arial Narrow" w:hAnsi="Arial Narrow" w:cs="Arial"/>
          <w:sz w:val="24"/>
          <w:szCs w:val="24"/>
        </w:rPr>
      </w:pPr>
      <w:r w:rsidRPr="000C0C01">
        <w:rPr>
          <w:rFonts w:ascii="Arial Narrow" w:hAnsi="Arial Narrow" w:cs="Arial"/>
          <w:sz w:val="24"/>
          <w:szCs w:val="24"/>
        </w:rPr>
        <w:t>La Subdirección de Riesgo se encarga del diseño e implementación de metodologías que permitan medir el riesgo de crédito inherente de las operaciones y establece mecanismos de control para analizar los futuros cambios potenciales en las condiciones del servicio de la misma.  Las metodologías deben tener en cuenta la relación entre el comportamiento de cumplimiento de la entidad deudora y las características particulares de los deudores, sus créditos y las garantías que los respalden, esto con el fin de establecer una escala de calificación.</w:t>
      </w:r>
    </w:p>
    <w:p w:rsidR="000C0C01" w:rsidRPr="000C0C01" w:rsidRDefault="000C0C01" w:rsidP="000C0C01">
      <w:pPr>
        <w:rPr>
          <w:rFonts w:ascii="Arial Narrow" w:hAnsi="Arial Narrow" w:cs="Arial"/>
          <w:sz w:val="24"/>
          <w:szCs w:val="24"/>
        </w:rPr>
      </w:pPr>
    </w:p>
    <w:p w:rsidR="000C0C01" w:rsidRPr="000C0C01" w:rsidRDefault="000C0C01" w:rsidP="00594B42">
      <w:pPr>
        <w:jc w:val="both"/>
        <w:rPr>
          <w:rFonts w:ascii="Arial Narrow" w:hAnsi="Arial Narrow" w:cs="Arial"/>
          <w:sz w:val="24"/>
          <w:szCs w:val="24"/>
        </w:rPr>
      </w:pPr>
      <w:r w:rsidRPr="000C0C01">
        <w:rPr>
          <w:rFonts w:ascii="Arial Narrow" w:hAnsi="Arial Narrow" w:cs="Arial"/>
          <w:sz w:val="24"/>
          <w:szCs w:val="24"/>
        </w:rPr>
        <w:t xml:space="preserve">Para la evaluación de las pérdidas potenciales de la cartera, se determina un nivel de Pérdida Esperada (PE) de acuerdo a la exposición de riesgo de crédito, bajo la metodología definida para tal fin.  Se debe hacer una medición periódica para retroalimentar la base histórica de los cálculos de la PE.  </w:t>
      </w:r>
    </w:p>
    <w:p w:rsidR="000C0C01" w:rsidRPr="000C0C01" w:rsidRDefault="000C0C01" w:rsidP="00594B42">
      <w:pPr>
        <w:jc w:val="both"/>
        <w:rPr>
          <w:rFonts w:ascii="Arial Narrow" w:hAnsi="Arial Narrow" w:cs="Arial"/>
          <w:sz w:val="24"/>
          <w:szCs w:val="24"/>
        </w:rPr>
      </w:pPr>
    </w:p>
    <w:p w:rsidR="000C0C01" w:rsidRPr="000C0C01" w:rsidRDefault="000C0C01" w:rsidP="00594B42">
      <w:pPr>
        <w:jc w:val="both"/>
        <w:rPr>
          <w:rFonts w:ascii="Arial Narrow" w:hAnsi="Arial Narrow" w:cs="Arial"/>
          <w:sz w:val="24"/>
          <w:szCs w:val="24"/>
        </w:rPr>
      </w:pPr>
      <w:r w:rsidRPr="000C0C01">
        <w:rPr>
          <w:rFonts w:ascii="Arial Narrow" w:hAnsi="Arial Narrow" w:cs="Arial"/>
          <w:sz w:val="24"/>
          <w:szCs w:val="24"/>
        </w:rPr>
        <w:t>Para efectos de mitigación de riesgo de crédito ante los ciclos económicos, el SARC debe contar con un sistema de provisiones, las cuales deben calcularse en función de la PE.  Este sistema de provisiones determinará un nivel de reserva contingente para mitigar el riesgo de incumplimiento de una entidad, en particular para el caso de las entidades que no realicen aportes al Fondo de Contingencias.</w:t>
      </w:r>
    </w:p>
    <w:p w:rsidR="000C0C01" w:rsidRPr="000C0C01" w:rsidRDefault="000C0C01" w:rsidP="000C0C01">
      <w:pPr>
        <w:rPr>
          <w:rFonts w:ascii="Arial Narrow" w:hAnsi="Arial Narrow" w:cs="Arial"/>
          <w:sz w:val="24"/>
          <w:szCs w:val="24"/>
        </w:rPr>
      </w:pPr>
    </w:p>
    <w:p w:rsidR="000C0C01" w:rsidRPr="000C0C01" w:rsidRDefault="000C0C01" w:rsidP="000C0C01">
      <w:pPr>
        <w:rPr>
          <w:rFonts w:ascii="Arial Narrow" w:hAnsi="Arial Narrow" w:cs="Arial"/>
          <w:sz w:val="24"/>
          <w:szCs w:val="24"/>
        </w:rPr>
      </w:pPr>
      <w:r w:rsidRPr="000C0C01">
        <w:rPr>
          <w:rFonts w:ascii="Arial Narrow" w:hAnsi="Arial Narrow" w:cs="Arial"/>
          <w:sz w:val="24"/>
          <w:szCs w:val="24"/>
        </w:rPr>
        <w:t>El nivel de provisiones será la suma de los siguientes componentes:</w:t>
      </w:r>
    </w:p>
    <w:p w:rsidR="000C0C01" w:rsidRPr="000C0C01" w:rsidRDefault="000C0C01" w:rsidP="000C0C01">
      <w:pPr>
        <w:rPr>
          <w:rFonts w:ascii="Arial Narrow" w:hAnsi="Arial Narrow" w:cs="Arial"/>
          <w:sz w:val="24"/>
          <w:szCs w:val="24"/>
        </w:rPr>
      </w:pPr>
    </w:p>
    <w:p w:rsidR="000C0C01" w:rsidRPr="000C0C01" w:rsidRDefault="000C0C01" w:rsidP="00594B42">
      <w:pPr>
        <w:pStyle w:val="Prrafodelista"/>
        <w:numPr>
          <w:ilvl w:val="0"/>
          <w:numId w:val="36"/>
        </w:numPr>
        <w:jc w:val="both"/>
        <w:rPr>
          <w:rFonts w:ascii="Arial Narrow" w:hAnsi="Arial Narrow" w:cs="Arial"/>
          <w:sz w:val="24"/>
          <w:szCs w:val="24"/>
        </w:rPr>
      </w:pPr>
      <w:r w:rsidRPr="000C0C01">
        <w:rPr>
          <w:rFonts w:ascii="Arial Narrow" w:hAnsi="Arial Narrow" w:cs="Arial"/>
          <w:sz w:val="24"/>
          <w:szCs w:val="24"/>
        </w:rPr>
        <w:t>Provisión General, estimada como el cálculo del PE del portafolio de créditos;</w:t>
      </w:r>
    </w:p>
    <w:p w:rsidR="000C0C01" w:rsidRPr="000C0C01" w:rsidRDefault="000C0C01" w:rsidP="00594B42">
      <w:pPr>
        <w:pStyle w:val="Prrafodelista"/>
        <w:numPr>
          <w:ilvl w:val="0"/>
          <w:numId w:val="36"/>
        </w:numPr>
        <w:jc w:val="both"/>
        <w:rPr>
          <w:rFonts w:ascii="Arial Narrow" w:hAnsi="Arial Narrow" w:cs="Arial"/>
          <w:sz w:val="24"/>
          <w:szCs w:val="24"/>
        </w:rPr>
      </w:pPr>
      <w:r w:rsidRPr="000C0C01">
        <w:rPr>
          <w:rFonts w:ascii="Arial Narrow" w:hAnsi="Arial Narrow" w:cs="Arial"/>
          <w:sz w:val="24"/>
          <w:szCs w:val="24"/>
        </w:rPr>
        <w:t>Provisión Individual, estimada a partir de la evaluación del nivel de morosidad de la cartera.</w:t>
      </w:r>
    </w:p>
    <w:p w:rsidR="000C0C01" w:rsidRPr="000C0C01" w:rsidRDefault="000C0C01" w:rsidP="000C0C01">
      <w:pPr>
        <w:rPr>
          <w:rFonts w:ascii="Arial Narrow" w:hAnsi="Arial Narrow" w:cs="Arial"/>
          <w:sz w:val="24"/>
          <w:szCs w:val="24"/>
        </w:rPr>
      </w:pPr>
    </w:p>
    <w:p w:rsidR="000C0C01" w:rsidRPr="000C0C01" w:rsidRDefault="000C0C01" w:rsidP="00594B42">
      <w:pPr>
        <w:jc w:val="both"/>
        <w:rPr>
          <w:rFonts w:ascii="Arial Narrow" w:hAnsi="Arial Narrow" w:cs="Arial"/>
          <w:sz w:val="24"/>
          <w:szCs w:val="24"/>
        </w:rPr>
      </w:pPr>
      <w:r w:rsidRPr="000C0C01">
        <w:rPr>
          <w:rFonts w:ascii="Arial Narrow" w:hAnsi="Arial Narrow" w:cs="Arial"/>
          <w:sz w:val="24"/>
          <w:szCs w:val="24"/>
        </w:rPr>
        <w:t>Para establecer la evaluación del nivel de morosidad, se describe a continuación las reglas generales para definir una metodología de calificación de riesgo de crédito de la cartera.</w:t>
      </w:r>
    </w:p>
    <w:p w:rsidR="000C0C01" w:rsidRPr="000C0C01" w:rsidRDefault="000C0C01" w:rsidP="000C0C01">
      <w:pPr>
        <w:rPr>
          <w:rFonts w:ascii="Arial Narrow" w:hAnsi="Arial Narrow" w:cs="Arial"/>
          <w:sz w:val="24"/>
          <w:szCs w:val="24"/>
        </w:rPr>
      </w:pPr>
    </w:p>
    <w:p w:rsidR="000C0C01" w:rsidRPr="000C0C01" w:rsidRDefault="000C0C01" w:rsidP="006A097D">
      <w:pPr>
        <w:pStyle w:val="Prrafodelista"/>
        <w:numPr>
          <w:ilvl w:val="4"/>
          <w:numId w:val="42"/>
        </w:numPr>
        <w:jc w:val="both"/>
        <w:outlineLvl w:val="4"/>
        <w:rPr>
          <w:rFonts w:ascii="Arial Narrow" w:hAnsi="Arial Narrow" w:cs="Arial"/>
          <w:b/>
          <w:sz w:val="24"/>
          <w:szCs w:val="24"/>
        </w:rPr>
      </w:pPr>
      <w:bookmarkStart w:id="33" w:name="_Toc528669654"/>
      <w:r w:rsidRPr="000C0C01">
        <w:rPr>
          <w:rFonts w:ascii="Arial Narrow" w:hAnsi="Arial Narrow" w:cs="Arial"/>
          <w:b/>
          <w:sz w:val="24"/>
          <w:szCs w:val="24"/>
        </w:rPr>
        <w:t>Reglas Generales sobre Calificación de Riesgo de Crédito</w:t>
      </w:r>
      <w:bookmarkEnd w:id="33"/>
    </w:p>
    <w:p w:rsidR="000C0C01" w:rsidRPr="000C0C01" w:rsidRDefault="000C0C01" w:rsidP="00594B42">
      <w:pPr>
        <w:jc w:val="both"/>
        <w:rPr>
          <w:rFonts w:ascii="Arial Narrow" w:hAnsi="Arial Narrow" w:cs="Arial"/>
          <w:sz w:val="24"/>
          <w:szCs w:val="24"/>
        </w:rPr>
      </w:pPr>
    </w:p>
    <w:p w:rsidR="000C0C01" w:rsidRPr="000C0C01" w:rsidRDefault="000C0C01" w:rsidP="00594B42">
      <w:pPr>
        <w:ind w:left="360"/>
        <w:jc w:val="both"/>
        <w:rPr>
          <w:rFonts w:ascii="Arial Narrow" w:hAnsi="Arial Narrow" w:cs="Arial"/>
          <w:sz w:val="24"/>
          <w:szCs w:val="24"/>
        </w:rPr>
      </w:pPr>
      <w:r w:rsidRPr="000C0C01">
        <w:rPr>
          <w:rFonts w:ascii="Arial Narrow" w:hAnsi="Arial Narrow" w:cs="Arial"/>
          <w:sz w:val="24"/>
          <w:szCs w:val="24"/>
        </w:rPr>
        <w:t>De acuerdo con el Anexo 2 del capítulo II de la Circular 100/1995 (Circular Básica Financiera y Contable – CBFC) Los créditos deben clasificarse en una de las siguientes categorías de riesgo crediticio:</w:t>
      </w:r>
    </w:p>
    <w:p w:rsidR="000C0C01" w:rsidRPr="000C0C01" w:rsidRDefault="000C0C01" w:rsidP="000C0C01">
      <w:pPr>
        <w:rPr>
          <w:rFonts w:ascii="Arial Narrow" w:hAnsi="Arial Narrow" w:cs="Arial"/>
          <w:sz w:val="24"/>
          <w:szCs w:val="24"/>
        </w:rPr>
      </w:pPr>
    </w:p>
    <w:p w:rsidR="000C0C01" w:rsidRPr="000C0C01" w:rsidRDefault="000C0C01" w:rsidP="000C0C01">
      <w:pPr>
        <w:numPr>
          <w:ilvl w:val="0"/>
          <w:numId w:val="37"/>
        </w:numPr>
        <w:rPr>
          <w:rFonts w:ascii="Arial Narrow" w:hAnsi="Arial Narrow" w:cs="Arial"/>
          <w:sz w:val="24"/>
          <w:szCs w:val="24"/>
        </w:rPr>
      </w:pPr>
      <w:r w:rsidRPr="000C0C01">
        <w:rPr>
          <w:rFonts w:ascii="Arial Narrow" w:hAnsi="Arial Narrow" w:cs="Arial"/>
          <w:sz w:val="24"/>
          <w:szCs w:val="24"/>
        </w:rPr>
        <w:t>Categoría A o “Riesgo Normal”</w:t>
      </w:r>
    </w:p>
    <w:p w:rsidR="000C0C01" w:rsidRPr="000C0C01" w:rsidRDefault="000C0C01" w:rsidP="000C0C01">
      <w:pPr>
        <w:numPr>
          <w:ilvl w:val="0"/>
          <w:numId w:val="37"/>
        </w:numPr>
        <w:rPr>
          <w:rFonts w:ascii="Arial Narrow" w:hAnsi="Arial Narrow" w:cs="Arial"/>
          <w:sz w:val="24"/>
          <w:szCs w:val="24"/>
        </w:rPr>
      </w:pPr>
      <w:r w:rsidRPr="000C0C01">
        <w:rPr>
          <w:rFonts w:ascii="Arial Narrow" w:hAnsi="Arial Narrow" w:cs="Arial"/>
          <w:sz w:val="24"/>
          <w:szCs w:val="24"/>
        </w:rPr>
        <w:t>Categoría B o “Riesgo Aceptable, superior al normal”</w:t>
      </w:r>
    </w:p>
    <w:p w:rsidR="000C0C01" w:rsidRPr="000C0C01" w:rsidRDefault="000C0C01" w:rsidP="000C0C01">
      <w:pPr>
        <w:numPr>
          <w:ilvl w:val="0"/>
          <w:numId w:val="37"/>
        </w:numPr>
        <w:rPr>
          <w:rFonts w:ascii="Arial Narrow" w:hAnsi="Arial Narrow" w:cs="Arial"/>
          <w:sz w:val="24"/>
          <w:szCs w:val="24"/>
        </w:rPr>
      </w:pPr>
      <w:r w:rsidRPr="000C0C01">
        <w:rPr>
          <w:rFonts w:ascii="Arial Narrow" w:hAnsi="Arial Narrow" w:cs="Arial"/>
          <w:sz w:val="24"/>
          <w:szCs w:val="24"/>
        </w:rPr>
        <w:t>Categoría C o “Riesgo Apreciable”</w:t>
      </w:r>
    </w:p>
    <w:p w:rsidR="000C0C01" w:rsidRPr="000C0C01" w:rsidRDefault="000C0C01" w:rsidP="000C0C01">
      <w:pPr>
        <w:numPr>
          <w:ilvl w:val="0"/>
          <w:numId w:val="37"/>
        </w:numPr>
        <w:rPr>
          <w:rFonts w:ascii="Arial Narrow" w:hAnsi="Arial Narrow" w:cs="Arial"/>
          <w:sz w:val="24"/>
          <w:szCs w:val="24"/>
        </w:rPr>
      </w:pPr>
      <w:r w:rsidRPr="000C0C01">
        <w:rPr>
          <w:rFonts w:ascii="Arial Narrow" w:hAnsi="Arial Narrow" w:cs="Arial"/>
          <w:sz w:val="24"/>
          <w:szCs w:val="24"/>
        </w:rPr>
        <w:t>Categoría D o “Riesgo Significativo”</w:t>
      </w:r>
    </w:p>
    <w:p w:rsidR="000C0C01" w:rsidRPr="000C0C01" w:rsidRDefault="000C0C01" w:rsidP="000C0C01">
      <w:pPr>
        <w:numPr>
          <w:ilvl w:val="0"/>
          <w:numId w:val="37"/>
        </w:numPr>
        <w:rPr>
          <w:rFonts w:ascii="Arial Narrow" w:hAnsi="Arial Narrow" w:cs="Arial"/>
          <w:sz w:val="24"/>
          <w:szCs w:val="24"/>
        </w:rPr>
      </w:pPr>
      <w:r w:rsidRPr="000C0C01">
        <w:rPr>
          <w:rFonts w:ascii="Arial Narrow" w:hAnsi="Arial Narrow" w:cs="Arial"/>
          <w:sz w:val="24"/>
          <w:szCs w:val="24"/>
        </w:rPr>
        <w:t>Categoría E o “Riesgo de Incobrabilidad”</w:t>
      </w:r>
    </w:p>
    <w:p w:rsidR="000C0C01" w:rsidRPr="000C0C01" w:rsidRDefault="000C0C01" w:rsidP="000C0C01">
      <w:pPr>
        <w:tabs>
          <w:tab w:val="left" w:pos="709"/>
        </w:tabs>
        <w:rPr>
          <w:rFonts w:ascii="Arial Narrow" w:hAnsi="Arial Narrow" w:cs="Arial"/>
          <w:sz w:val="24"/>
          <w:szCs w:val="24"/>
        </w:rPr>
      </w:pPr>
    </w:p>
    <w:p w:rsidR="000C0C01" w:rsidRPr="000C0C01" w:rsidRDefault="000C0C01" w:rsidP="00DC4155">
      <w:pPr>
        <w:tabs>
          <w:tab w:val="left" w:pos="284"/>
        </w:tabs>
        <w:ind w:left="284"/>
        <w:jc w:val="both"/>
        <w:rPr>
          <w:rFonts w:ascii="Arial Narrow" w:hAnsi="Arial Narrow" w:cs="Arial"/>
          <w:sz w:val="24"/>
          <w:szCs w:val="24"/>
        </w:rPr>
      </w:pPr>
      <w:r w:rsidRPr="000C0C01">
        <w:rPr>
          <w:rFonts w:ascii="Arial Narrow" w:hAnsi="Arial Narrow" w:cs="Arial"/>
          <w:sz w:val="24"/>
          <w:szCs w:val="24"/>
        </w:rPr>
        <w:t xml:space="preserve">Categoría "A": Crédito con riesgo crediticio NORMAL.  Los créditos calificados en esta categoría reflejan una estructuración y atención apropiadas.  Los estados financieros de los deudores o los flujos de caja del proyecto, así como la demás información crediticia, indican una capacidad de </w:t>
      </w:r>
      <w:r w:rsidRPr="000C0C01">
        <w:rPr>
          <w:rFonts w:ascii="Arial Narrow" w:hAnsi="Arial Narrow" w:cs="Arial"/>
          <w:sz w:val="24"/>
          <w:szCs w:val="24"/>
        </w:rPr>
        <w:lastRenderedPageBreak/>
        <w:t>pago adecuada, en términos del monto y origen de los ingresos con que cuentan los deudores para atender los pagos requeridos.</w:t>
      </w:r>
    </w:p>
    <w:p w:rsidR="000C0C01" w:rsidRPr="000C0C01" w:rsidRDefault="000C0C01" w:rsidP="000C0C01">
      <w:pPr>
        <w:rPr>
          <w:rFonts w:ascii="Arial Narrow" w:hAnsi="Arial Narrow" w:cs="Arial"/>
          <w:sz w:val="24"/>
          <w:szCs w:val="24"/>
        </w:rPr>
      </w:pPr>
    </w:p>
    <w:p w:rsidR="000C0C01" w:rsidRPr="000C0C01" w:rsidRDefault="000C0C01" w:rsidP="00DC4155">
      <w:pPr>
        <w:ind w:left="284"/>
        <w:jc w:val="both"/>
        <w:rPr>
          <w:rFonts w:ascii="Arial Narrow" w:hAnsi="Arial Narrow" w:cs="Arial"/>
          <w:sz w:val="24"/>
          <w:szCs w:val="24"/>
        </w:rPr>
      </w:pPr>
      <w:r w:rsidRPr="000C0C01">
        <w:rPr>
          <w:rFonts w:ascii="Arial Narrow" w:hAnsi="Arial Narrow" w:cs="Arial"/>
          <w:sz w:val="24"/>
          <w:szCs w:val="24"/>
        </w:rPr>
        <w:t>Categoría "B": Crédito con riesgo ACEPTABLE. Los créditos calificados en esta categoría están aceptablemente atendidos y protegidos, pero existen debilidades que potencialmente pueden afectar, transitoria o permanentemente, la capacidad de pago del deudor o los flujos de caja del proyecto, en forma tal que, de no ser corregidas oportunamente, llegarían a afectar el normal recaudo del crédito o contrato.</w:t>
      </w:r>
    </w:p>
    <w:p w:rsidR="000C0C01" w:rsidRPr="000C0C01" w:rsidRDefault="000C0C01" w:rsidP="00DC4155">
      <w:pPr>
        <w:tabs>
          <w:tab w:val="left" w:pos="709"/>
        </w:tabs>
        <w:jc w:val="both"/>
        <w:rPr>
          <w:rFonts w:ascii="Arial Narrow" w:hAnsi="Arial Narrow" w:cs="Arial"/>
          <w:sz w:val="24"/>
          <w:szCs w:val="24"/>
        </w:rPr>
      </w:pPr>
    </w:p>
    <w:p w:rsidR="000C0C01" w:rsidRPr="000C0C01" w:rsidRDefault="000C0C01" w:rsidP="00DC4155">
      <w:pPr>
        <w:ind w:left="284"/>
        <w:jc w:val="both"/>
        <w:rPr>
          <w:rFonts w:ascii="Arial Narrow" w:hAnsi="Arial Narrow" w:cs="Arial"/>
          <w:sz w:val="24"/>
          <w:szCs w:val="24"/>
        </w:rPr>
      </w:pPr>
      <w:r w:rsidRPr="000C0C01">
        <w:rPr>
          <w:rFonts w:ascii="Arial Narrow" w:hAnsi="Arial Narrow" w:cs="Arial"/>
          <w:sz w:val="24"/>
          <w:szCs w:val="24"/>
        </w:rPr>
        <w:t>Categoría "C": Crédito deficiente, con riesgo APRECIABLE. Se califican en esta categoría los créditos o contratos que presentan insuficiencias en la capacidad de pago del deudor o en los flujos de caja del proyecto, que comprometan el normal recaudo de la obligación en los términos convenidos.</w:t>
      </w:r>
    </w:p>
    <w:p w:rsidR="000C0C01" w:rsidRPr="000C0C01" w:rsidRDefault="000C0C01" w:rsidP="00DC4155">
      <w:pPr>
        <w:jc w:val="both"/>
        <w:rPr>
          <w:rFonts w:ascii="Arial Narrow" w:hAnsi="Arial Narrow" w:cs="Arial"/>
          <w:sz w:val="24"/>
          <w:szCs w:val="24"/>
        </w:rPr>
      </w:pPr>
    </w:p>
    <w:p w:rsidR="000C0C01" w:rsidRPr="000C0C01" w:rsidRDefault="000C0C01" w:rsidP="00DC4155">
      <w:pPr>
        <w:ind w:left="284"/>
        <w:jc w:val="both"/>
        <w:rPr>
          <w:rFonts w:ascii="Arial Narrow" w:hAnsi="Arial Narrow" w:cs="Arial"/>
          <w:sz w:val="24"/>
          <w:szCs w:val="24"/>
        </w:rPr>
      </w:pPr>
      <w:r w:rsidRPr="000C0C01">
        <w:rPr>
          <w:rFonts w:ascii="Arial Narrow" w:hAnsi="Arial Narrow" w:cs="Arial"/>
          <w:sz w:val="24"/>
          <w:szCs w:val="24"/>
        </w:rPr>
        <w:t>Categoría "D": Crédito de difícil cobro, con riesgo SIGNIFICATIVO. Es aquél que tiene cualquiera de las características del deficiente, pero en mayor grado, de tal suerte que la probabilidad de recaudo es altamente dudosa.</w:t>
      </w:r>
    </w:p>
    <w:p w:rsidR="000C0C01" w:rsidRPr="000C0C01" w:rsidRDefault="000C0C01" w:rsidP="00DC4155">
      <w:pPr>
        <w:jc w:val="both"/>
        <w:rPr>
          <w:rFonts w:ascii="Arial Narrow" w:hAnsi="Arial Narrow" w:cs="Arial"/>
          <w:sz w:val="24"/>
          <w:szCs w:val="24"/>
        </w:rPr>
      </w:pPr>
    </w:p>
    <w:p w:rsidR="000C0C01" w:rsidRPr="000C0C01" w:rsidRDefault="000C0C01" w:rsidP="00DC4155">
      <w:pPr>
        <w:ind w:firstLine="284"/>
        <w:jc w:val="both"/>
        <w:rPr>
          <w:rFonts w:ascii="Arial Narrow" w:hAnsi="Arial Narrow" w:cs="Arial"/>
          <w:sz w:val="24"/>
          <w:szCs w:val="24"/>
        </w:rPr>
      </w:pPr>
      <w:r w:rsidRPr="000C0C01">
        <w:rPr>
          <w:rFonts w:ascii="Arial Narrow" w:hAnsi="Arial Narrow" w:cs="Arial"/>
          <w:sz w:val="24"/>
          <w:szCs w:val="24"/>
        </w:rPr>
        <w:t>Categoría "E": Crédito IRRECUPERABLE. Es aquél que se estima incobrable.</w:t>
      </w:r>
    </w:p>
    <w:p w:rsidR="000C0C01" w:rsidRPr="000C0C01" w:rsidRDefault="000C0C01" w:rsidP="000C0C01">
      <w:pPr>
        <w:rPr>
          <w:rFonts w:ascii="Arial Narrow" w:hAnsi="Arial Narrow" w:cs="Arial"/>
          <w:sz w:val="24"/>
          <w:szCs w:val="24"/>
        </w:rPr>
      </w:pPr>
    </w:p>
    <w:p w:rsidR="000C0C01" w:rsidRPr="000C0C01" w:rsidRDefault="000C0C01" w:rsidP="006A097D">
      <w:pPr>
        <w:pStyle w:val="Prrafodelista"/>
        <w:numPr>
          <w:ilvl w:val="4"/>
          <w:numId w:val="42"/>
        </w:numPr>
        <w:jc w:val="both"/>
        <w:outlineLvl w:val="4"/>
        <w:rPr>
          <w:rFonts w:ascii="Arial Narrow" w:hAnsi="Arial Narrow" w:cs="Arial"/>
          <w:b/>
          <w:sz w:val="24"/>
          <w:szCs w:val="24"/>
        </w:rPr>
      </w:pPr>
      <w:bookmarkStart w:id="34" w:name="_Toc528669655"/>
      <w:r w:rsidRPr="000C0C01">
        <w:rPr>
          <w:rFonts w:ascii="Arial Narrow" w:hAnsi="Arial Narrow" w:cs="Arial"/>
          <w:b/>
          <w:sz w:val="24"/>
          <w:szCs w:val="24"/>
        </w:rPr>
        <w:t>Monitoreo del riesgo de Crédito</w:t>
      </w:r>
      <w:bookmarkEnd w:id="34"/>
    </w:p>
    <w:p w:rsidR="000C0C01" w:rsidRPr="000C0C01" w:rsidRDefault="000C0C01" w:rsidP="00DC4155">
      <w:pPr>
        <w:jc w:val="both"/>
        <w:rPr>
          <w:rFonts w:ascii="Arial Narrow" w:hAnsi="Arial Narrow" w:cs="Arial"/>
          <w:sz w:val="24"/>
          <w:szCs w:val="24"/>
        </w:rPr>
      </w:pPr>
    </w:p>
    <w:p w:rsidR="000C0C01" w:rsidRPr="000C0C01" w:rsidRDefault="000C0C01" w:rsidP="00DC4155">
      <w:pPr>
        <w:ind w:left="360"/>
        <w:jc w:val="both"/>
        <w:rPr>
          <w:rFonts w:ascii="Arial Narrow" w:hAnsi="Arial Narrow" w:cs="Arial"/>
          <w:sz w:val="24"/>
          <w:szCs w:val="24"/>
        </w:rPr>
      </w:pPr>
      <w:r w:rsidRPr="000C0C01">
        <w:rPr>
          <w:rFonts w:ascii="Arial Narrow" w:hAnsi="Arial Narrow" w:cs="Arial"/>
          <w:sz w:val="24"/>
          <w:szCs w:val="24"/>
        </w:rPr>
        <w:t>Para el adecuado monitoreo del riesgo de crédito de la cartera, la Subdirección de Riesgo deberá realizar informes que reflejen la situación actual de la misma.</w:t>
      </w:r>
    </w:p>
    <w:p w:rsidR="000C0C01" w:rsidRPr="000C0C01" w:rsidRDefault="000C0C01" w:rsidP="000C0C01">
      <w:pPr>
        <w:rPr>
          <w:rFonts w:ascii="Arial Narrow" w:hAnsi="Arial Narrow" w:cs="Arial"/>
          <w:sz w:val="24"/>
          <w:szCs w:val="24"/>
        </w:rPr>
      </w:pPr>
    </w:p>
    <w:p w:rsidR="000C0C01" w:rsidRPr="000C0C01" w:rsidRDefault="000C0C01" w:rsidP="006A097D">
      <w:pPr>
        <w:pStyle w:val="Prrafodelista"/>
        <w:numPr>
          <w:ilvl w:val="2"/>
          <w:numId w:val="42"/>
        </w:numPr>
        <w:jc w:val="both"/>
        <w:outlineLvl w:val="2"/>
        <w:rPr>
          <w:rFonts w:ascii="Arial Narrow" w:hAnsi="Arial Narrow" w:cs="Arial"/>
          <w:b/>
          <w:sz w:val="24"/>
          <w:szCs w:val="24"/>
        </w:rPr>
      </w:pPr>
      <w:bookmarkStart w:id="35" w:name="_Toc528669656"/>
      <w:r w:rsidRPr="000C0C01">
        <w:rPr>
          <w:rFonts w:ascii="Arial Narrow" w:hAnsi="Arial Narrow" w:cs="Arial"/>
          <w:b/>
          <w:sz w:val="24"/>
          <w:szCs w:val="24"/>
        </w:rPr>
        <w:t>Directrices en Materia de Recuperación de la Cartera</w:t>
      </w:r>
      <w:bookmarkEnd w:id="35"/>
    </w:p>
    <w:p w:rsidR="000C0C01" w:rsidRPr="000C0C01" w:rsidRDefault="000C0C01" w:rsidP="000C0C01">
      <w:pPr>
        <w:pStyle w:val="Ttulo1"/>
        <w:rPr>
          <w:rFonts w:ascii="Arial Narrow" w:hAnsi="Arial Narrow"/>
          <w:sz w:val="24"/>
          <w:szCs w:val="24"/>
        </w:rPr>
      </w:pPr>
    </w:p>
    <w:p w:rsidR="000C0C01" w:rsidRPr="000C0C01" w:rsidRDefault="000C0C01" w:rsidP="00DC4155">
      <w:pPr>
        <w:jc w:val="both"/>
        <w:rPr>
          <w:rFonts w:ascii="Arial Narrow" w:hAnsi="Arial Narrow" w:cs="Arial"/>
          <w:sz w:val="24"/>
          <w:szCs w:val="24"/>
        </w:rPr>
      </w:pPr>
      <w:r w:rsidRPr="000C0C01">
        <w:rPr>
          <w:rFonts w:ascii="Arial Narrow" w:hAnsi="Arial Narrow" w:cs="Arial"/>
          <w:sz w:val="24"/>
          <w:szCs w:val="24"/>
        </w:rPr>
        <w:t>Los acuerdos de pago y los de reestructuración, son las herramientas que tiene la DGCPTN para realizar la recuperación de cartera dentro de la administración del riesgo de crédito, estos acuerdos hacen parte integral de las operaciones de manejo de la deuda pública, que se derivan de una deuda garantizada por la Nación o de deudas provenientes de créditos de presupuesto no condonados o reestructurados.</w:t>
      </w:r>
    </w:p>
    <w:p w:rsidR="000C0C01" w:rsidRPr="000C0C01" w:rsidRDefault="000C0C01" w:rsidP="000C0C01">
      <w:pPr>
        <w:rPr>
          <w:rFonts w:ascii="Arial Narrow" w:hAnsi="Arial Narrow" w:cs="Arial"/>
          <w:sz w:val="24"/>
          <w:szCs w:val="24"/>
        </w:rPr>
      </w:pPr>
    </w:p>
    <w:p w:rsidR="000C0C01" w:rsidRPr="000C0C01" w:rsidRDefault="000C0C01" w:rsidP="00DC4155">
      <w:pPr>
        <w:jc w:val="both"/>
        <w:rPr>
          <w:rFonts w:ascii="Arial Narrow" w:hAnsi="Arial Narrow" w:cs="Arial"/>
          <w:sz w:val="24"/>
          <w:szCs w:val="24"/>
        </w:rPr>
      </w:pPr>
      <w:r w:rsidRPr="000C0C01">
        <w:rPr>
          <w:rFonts w:ascii="Arial Narrow" w:hAnsi="Arial Narrow" w:cs="Arial"/>
          <w:sz w:val="24"/>
          <w:szCs w:val="24"/>
        </w:rPr>
        <w:t>Los acuerdos de pago podrán tener, entre otras, las siguientes características:</w:t>
      </w:r>
    </w:p>
    <w:p w:rsidR="000C0C01" w:rsidRPr="000C0C01" w:rsidRDefault="000C0C01" w:rsidP="00DC4155">
      <w:pPr>
        <w:jc w:val="both"/>
        <w:rPr>
          <w:rFonts w:ascii="Arial Narrow" w:hAnsi="Arial Narrow" w:cs="Arial"/>
          <w:sz w:val="24"/>
          <w:szCs w:val="24"/>
        </w:rPr>
      </w:pPr>
    </w:p>
    <w:p w:rsidR="000C0C01" w:rsidRPr="000C0C01" w:rsidRDefault="000C0C01" w:rsidP="00DC4155">
      <w:pPr>
        <w:ind w:left="705"/>
        <w:jc w:val="both"/>
        <w:rPr>
          <w:rFonts w:ascii="Arial Narrow" w:hAnsi="Arial Narrow" w:cs="Arial"/>
          <w:sz w:val="24"/>
          <w:szCs w:val="24"/>
        </w:rPr>
      </w:pPr>
      <w:r w:rsidRPr="000C0C01">
        <w:rPr>
          <w:rFonts w:ascii="Arial Narrow" w:hAnsi="Arial Narrow" w:cs="Arial"/>
          <w:sz w:val="24"/>
          <w:szCs w:val="24"/>
        </w:rPr>
        <w:t>a. Sistemas de amortización y períodos de gracia, según la capacidad de pago de la entidad deudora.</w:t>
      </w:r>
    </w:p>
    <w:p w:rsidR="000C0C01" w:rsidRPr="000C0C01" w:rsidRDefault="000C0C01" w:rsidP="00DC4155">
      <w:pPr>
        <w:ind w:left="705"/>
        <w:jc w:val="both"/>
        <w:rPr>
          <w:rFonts w:ascii="Arial Narrow" w:hAnsi="Arial Narrow" w:cs="Arial"/>
          <w:sz w:val="24"/>
          <w:szCs w:val="24"/>
        </w:rPr>
      </w:pPr>
      <w:r w:rsidRPr="000C0C01">
        <w:rPr>
          <w:rFonts w:ascii="Arial Narrow" w:hAnsi="Arial Narrow" w:cs="Arial"/>
          <w:sz w:val="24"/>
          <w:szCs w:val="24"/>
        </w:rPr>
        <w:t>b. Mecanismos de capitalización de intereses u otros sistemas especiales para la cancelación de intereses causados.</w:t>
      </w:r>
    </w:p>
    <w:p w:rsidR="000C0C01" w:rsidRPr="000C0C01" w:rsidRDefault="000C0C01" w:rsidP="00DC4155">
      <w:pPr>
        <w:ind w:firstLine="705"/>
        <w:jc w:val="both"/>
        <w:rPr>
          <w:rFonts w:ascii="Arial Narrow" w:hAnsi="Arial Narrow" w:cs="Arial"/>
          <w:sz w:val="24"/>
          <w:szCs w:val="24"/>
        </w:rPr>
      </w:pPr>
      <w:r w:rsidRPr="000C0C01">
        <w:rPr>
          <w:rFonts w:ascii="Arial Narrow" w:hAnsi="Arial Narrow" w:cs="Arial"/>
          <w:sz w:val="24"/>
          <w:szCs w:val="24"/>
        </w:rPr>
        <w:t>c. Mecanismos y causales de refinanciación.</w:t>
      </w:r>
    </w:p>
    <w:p w:rsidR="000C0C01" w:rsidRPr="000C0C01" w:rsidRDefault="000C0C01" w:rsidP="00DC4155">
      <w:pPr>
        <w:ind w:firstLine="705"/>
        <w:jc w:val="both"/>
        <w:rPr>
          <w:rFonts w:ascii="Arial Narrow" w:hAnsi="Arial Narrow" w:cs="Arial"/>
          <w:sz w:val="24"/>
          <w:szCs w:val="24"/>
        </w:rPr>
      </w:pPr>
      <w:r w:rsidRPr="000C0C01">
        <w:rPr>
          <w:rFonts w:ascii="Arial Narrow" w:hAnsi="Arial Narrow" w:cs="Arial"/>
          <w:sz w:val="24"/>
          <w:szCs w:val="24"/>
        </w:rPr>
        <w:t>d. Cláusula de vencimiento anticipado.</w:t>
      </w:r>
    </w:p>
    <w:p w:rsidR="000C0C01" w:rsidRPr="000C0C01" w:rsidRDefault="000C0C01" w:rsidP="00DC4155">
      <w:pPr>
        <w:jc w:val="both"/>
        <w:rPr>
          <w:rFonts w:ascii="Arial Narrow" w:hAnsi="Arial Narrow" w:cs="Arial"/>
          <w:sz w:val="24"/>
          <w:szCs w:val="24"/>
        </w:rPr>
      </w:pPr>
    </w:p>
    <w:p w:rsidR="000C0C01" w:rsidRPr="000C0C01" w:rsidRDefault="000C0C01" w:rsidP="00DC4155">
      <w:pPr>
        <w:jc w:val="both"/>
        <w:rPr>
          <w:rFonts w:ascii="Arial Narrow" w:hAnsi="Arial Narrow" w:cs="Arial"/>
          <w:sz w:val="24"/>
          <w:szCs w:val="24"/>
        </w:rPr>
      </w:pPr>
      <w:r w:rsidRPr="000C0C01">
        <w:rPr>
          <w:rFonts w:ascii="Arial Narrow" w:hAnsi="Arial Narrow" w:cs="Arial"/>
          <w:sz w:val="24"/>
          <w:szCs w:val="24"/>
        </w:rPr>
        <w:t>Para garantizar un efectivo proceso de recuperación es importante seguir directrices como:</w:t>
      </w:r>
    </w:p>
    <w:p w:rsidR="000C0C01" w:rsidRPr="000C0C01" w:rsidRDefault="000C0C01" w:rsidP="000C0C01">
      <w:pPr>
        <w:rPr>
          <w:rFonts w:ascii="Arial Narrow" w:hAnsi="Arial Narrow" w:cs="Arial"/>
          <w:sz w:val="24"/>
          <w:szCs w:val="24"/>
        </w:rPr>
      </w:pPr>
    </w:p>
    <w:p w:rsidR="000C0C01" w:rsidRPr="000C0C01" w:rsidRDefault="000C0C01" w:rsidP="00DC4155">
      <w:pPr>
        <w:pStyle w:val="Prrafodelista"/>
        <w:numPr>
          <w:ilvl w:val="0"/>
          <w:numId w:val="33"/>
        </w:numPr>
        <w:jc w:val="both"/>
        <w:rPr>
          <w:rFonts w:ascii="Arial Narrow" w:hAnsi="Arial Narrow" w:cs="Arial"/>
          <w:sz w:val="24"/>
          <w:szCs w:val="24"/>
        </w:rPr>
      </w:pPr>
      <w:r w:rsidRPr="000C0C01">
        <w:rPr>
          <w:rFonts w:ascii="Arial Narrow" w:hAnsi="Arial Narrow" w:cs="Arial"/>
          <w:sz w:val="24"/>
          <w:szCs w:val="24"/>
        </w:rPr>
        <w:lastRenderedPageBreak/>
        <w:t>Cumplir con el requisito de documentación para la respectiva firma del acuerdo de pago, así como con el procedimiento general registrado en la Guía General de Crédito y Cartera.</w:t>
      </w:r>
    </w:p>
    <w:p w:rsidR="000C0C01" w:rsidRPr="000C0C01" w:rsidRDefault="000C0C01" w:rsidP="00DC4155">
      <w:pPr>
        <w:pStyle w:val="Prrafodelista"/>
        <w:numPr>
          <w:ilvl w:val="0"/>
          <w:numId w:val="33"/>
        </w:numPr>
        <w:jc w:val="both"/>
        <w:rPr>
          <w:rFonts w:ascii="Arial Narrow" w:hAnsi="Arial Narrow" w:cs="Arial"/>
          <w:sz w:val="24"/>
          <w:szCs w:val="24"/>
        </w:rPr>
      </w:pPr>
      <w:r w:rsidRPr="000C0C01">
        <w:rPr>
          <w:rFonts w:ascii="Arial Narrow" w:hAnsi="Arial Narrow" w:cs="Arial"/>
          <w:sz w:val="24"/>
          <w:szCs w:val="24"/>
        </w:rPr>
        <w:t>Hacer una evaluación sobre el estado actual de la entidad solicitante.</w:t>
      </w:r>
    </w:p>
    <w:p w:rsidR="000C0C01" w:rsidRPr="000C0C01" w:rsidRDefault="000C0C01" w:rsidP="00DC4155">
      <w:pPr>
        <w:pStyle w:val="Prrafodelista"/>
        <w:numPr>
          <w:ilvl w:val="0"/>
          <w:numId w:val="33"/>
        </w:numPr>
        <w:jc w:val="both"/>
        <w:rPr>
          <w:rFonts w:ascii="Arial Narrow" w:hAnsi="Arial Narrow" w:cs="Arial"/>
          <w:sz w:val="24"/>
          <w:szCs w:val="24"/>
        </w:rPr>
      </w:pPr>
      <w:r w:rsidRPr="000C0C01">
        <w:rPr>
          <w:rFonts w:ascii="Arial Narrow" w:hAnsi="Arial Narrow" w:cs="Arial"/>
          <w:sz w:val="24"/>
          <w:szCs w:val="24"/>
        </w:rPr>
        <w:t>Determinar las condiciones financieras del acuerdo de pago, las cuales se fundamentan en el costo de financiamiento de la Nación, las condiciones iniciales y las políticas en la materia (Código de Comercio).</w:t>
      </w:r>
    </w:p>
    <w:p w:rsidR="000C0C01" w:rsidRPr="000C0C01" w:rsidRDefault="000C0C01" w:rsidP="00DC4155">
      <w:pPr>
        <w:pStyle w:val="Prrafodelista"/>
        <w:numPr>
          <w:ilvl w:val="0"/>
          <w:numId w:val="32"/>
        </w:numPr>
        <w:jc w:val="both"/>
        <w:rPr>
          <w:rFonts w:ascii="Arial Narrow" w:hAnsi="Arial Narrow" w:cs="Arial"/>
          <w:sz w:val="24"/>
          <w:szCs w:val="24"/>
        </w:rPr>
      </w:pPr>
      <w:r w:rsidRPr="000C0C01">
        <w:rPr>
          <w:rFonts w:ascii="Arial Narrow" w:hAnsi="Arial Narrow" w:cs="Arial"/>
          <w:sz w:val="24"/>
          <w:szCs w:val="24"/>
        </w:rPr>
        <w:t>Establecer posición institucional para después exponer ante la entidad.</w:t>
      </w:r>
    </w:p>
    <w:p w:rsidR="000C0C01" w:rsidRPr="000C0C01" w:rsidRDefault="000C0C01" w:rsidP="00DC4155">
      <w:pPr>
        <w:pStyle w:val="Prrafodelista"/>
        <w:numPr>
          <w:ilvl w:val="0"/>
          <w:numId w:val="32"/>
        </w:numPr>
        <w:jc w:val="both"/>
        <w:rPr>
          <w:rFonts w:ascii="Arial Narrow" w:hAnsi="Arial Narrow" w:cs="Arial"/>
          <w:sz w:val="24"/>
          <w:szCs w:val="24"/>
        </w:rPr>
      </w:pPr>
      <w:r w:rsidRPr="000C0C01">
        <w:rPr>
          <w:rFonts w:ascii="Arial Narrow" w:hAnsi="Arial Narrow" w:cs="Arial"/>
          <w:sz w:val="24"/>
          <w:szCs w:val="24"/>
        </w:rPr>
        <w:t>El plazo del acuerdo de pago no debe superar el periodo de la administración local y/o la disponibilidad de caja.</w:t>
      </w:r>
    </w:p>
    <w:p w:rsidR="000C0C01" w:rsidRPr="000C0C01" w:rsidRDefault="000C0C01" w:rsidP="000C0C01">
      <w:pPr>
        <w:rPr>
          <w:rFonts w:ascii="Arial Narrow" w:hAnsi="Arial Narrow" w:cs="Arial"/>
          <w:sz w:val="24"/>
          <w:szCs w:val="24"/>
        </w:rPr>
      </w:pPr>
    </w:p>
    <w:p w:rsidR="000C0C01" w:rsidRPr="000C0C01" w:rsidRDefault="000C0C01" w:rsidP="006A097D">
      <w:pPr>
        <w:pStyle w:val="Prrafodelista"/>
        <w:numPr>
          <w:ilvl w:val="2"/>
          <w:numId w:val="42"/>
        </w:numPr>
        <w:jc w:val="both"/>
        <w:outlineLvl w:val="2"/>
        <w:rPr>
          <w:rFonts w:ascii="Arial Narrow" w:hAnsi="Arial Narrow" w:cs="Arial"/>
          <w:b/>
          <w:sz w:val="24"/>
          <w:szCs w:val="24"/>
        </w:rPr>
      </w:pPr>
      <w:bookmarkStart w:id="36" w:name="_Toc528669657"/>
      <w:r w:rsidRPr="000C0C01">
        <w:rPr>
          <w:rFonts w:ascii="Arial Narrow" w:hAnsi="Arial Narrow" w:cs="Arial"/>
          <w:b/>
          <w:sz w:val="24"/>
          <w:szCs w:val="24"/>
        </w:rPr>
        <w:t>Límites de Riesgo</w:t>
      </w:r>
      <w:bookmarkEnd w:id="36"/>
    </w:p>
    <w:p w:rsidR="000C0C01" w:rsidRPr="000C0C01" w:rsidRDefault="000C0C01" w:rsidP="000C0C01">
      <w:pPr>
        <w:rPr>
          <w:rFonts w:ascii="Arial Narrow" w:hAnsi="Arial Narrow" w:cs="Arial"/>
          <w:sz w:val="24"/>
          <w:szCs w:val="24"/>
        </w:rPr>
      </w:pPr>
    </w:p>
    <w:p w:rsidR="000C0C01" w:rsidRPr="000C0C01" w:rsidRDefault="000C0C01" w:rsidP="00DC4155">
      <w:pPr>
        <w:jc w:val="both"/>
        <w:rPr>
          <w:rFonts w:ascii="Arial Narrow" w:hAnsi="Arial Narrow" w:cs="Arial"/>
          <w:sz w:val="24"/>
          <w:szCs w:val="24"/>
        </w:rPr>
      </w:pPr>
      <w:r w:rsidRPr="000C0C01">
        <w:rPr>
          <w:rFonts w:ascii="Arial Narrow" w:hAnsi="Arial Narrow" w:cs="Arial"/>
          <w:sz w:val="24"/>
          <w:szCs w:val="24"/>
        </w:rPr>
        <w:t>El SARC tendrá como componente evaluador el establecimiento de límites de exposición por composición de portafolio y por calificación, que le permitirá determinar la concentración que pueda llegar a presentarse en su cartera, la cual servirá como alerta y como determinante en el proceso de originación en línea con el objetivo de mitigar el impacto en las finanzas de la Nación.</w:t>
      </w:r>
    </w:p>
    <w:p w:rsidR="000C0C01" w:rsidRPr="000C0C01" w:rsidRDefault="000C0C01" w:rsidP="00DC4155">
      <w:pPr>
        <w:jc w:val="both"/>
        <w:rPr>
          <w:rFonts w:ascii="Arial Narrow" w:hAnsi="Arial Narrow" w:cs="Arial"/>
          <w:sz w:val="24"/>
          <w:szCs w:val="24"/>
        </w:rPr>
      </w:pPr>
    </w:p>
    <w:p w:rsidR="000C0C01" w:rsidRPr="000C0C01" w:rsidRDefault="000C0C01" w:rsidP="00DC4155">
      <w:pPr>
        <w:jc w:val="both"/>
        <w:rPr>
          <w:rFonts w:ascii="Arial Narrow" w:eastAsia="Batang" w:hAnsi="Arial Narrow"/>
          <w:sz w:val="24"/>
          <w:szCs w:val="24"/>
          <w:lang w:eastAsia="en-US"/>
        </w:rPr>
      </w:pPr>
      <w:r w:rsidRPr="000C0C01">
        <w:rPr>
          <w:rFonts w:ascii="Arial Narrow" w:hAnsi="Arial Narrow" w:cs="Arial"/>
          <w:sz w:val="24"/>
          <w:szCs w:val="24"/>
        </w:rPr>
        <w:t>Adicionalmente, el SARC deberá establecer un sistema de los límites acorde con la normativa colombiana.</w:t>
      </w:r>
    </w:p>
    <w:p w:rsidR="000C0C01" w:rsidRPr="000C0C01" w:rsidRDefault="000C0C01" w:rsidP="000C0C01">
      <w:pPr>
        <w:pStyle w:val="Ttulo"/>
        <w:jc w:val="both"/>
        <w:rPr>
          <w:rFonts w:eastAsia="Batang"/>
          <w:szCs w:val="24"/>
          <w:lang w:val="es-ES" w:eastAsia="en-US"/>
        </w:rPr>
      </w:pPr>
    </w:p>
    <w:p w:rsidR="000C0C01" w:rsidRPr="000C0C01" w:rsidRDefault="000C0C01" w:rsidP="006A097D">
      <w:pPr>
        <w:pStyle w:val="Prrafodelista"/>
        <w:numPr>
          <w:ilvl w:val="2"/>
          <w:numId w:val="42"/>
        </w:numPr>
        <w:jc w:val="both"/>
        <w:outlineLvl w:val="2"/>
        <w:rPr>
          <w:rFonts w:ascii="Arial Narrow" w:hAnsi="Arial Narrow" w:cs="Arial"/>
          <w:b/>
          <w:sz w:val="24"/>
          <w:szCs w:val="24"/>
        </w:rPr>
      </w:pPr>
      <w:bookmarkStart w:id="37" w:name="_Toc528669658"/>
      <w:r w:rsidRPr="000C0C01">
        <w:rPr>
          <w:rFonts w:ascii="Arial Narrow" w:hAnsi="Arial Narrow" w:cs="Arial"/>
          <w:b/>
          <w:sz w:val="24"/>
          <w:szCs w:val="24"/>
        </w:rPr>
        <w:t>Autorizaciones Especiales</w:t>
      </w:r>
      <w:bookmarkEnd w:id="37"/>
    </w:p>
    <w:p w:rsidR="000C0C01" w:rsidRPr="006A097D" w:rsidRDefault="000C0C01" w:rsidP="000C0C01">
      <w:pPr>
        <w:pStyle w:val="Ttulo"/>
        <w:jc w:val="both"/>
        <w:rPr>
          <w:rFonts w:eastAsia="Batang"/>
          <w:b w:val="0"/>
          <w:szCs w:val="24"/>
          <w:lang w:val="es-ES" w:eastAsia="en-US"/>
        </w:rPr>
      </w:pPr>
    </w:p>
    <w:p w:rsidR="00974849" w:rsidRPr="006A097D" w:rsidRDefault="000C0C01" w:rsidP="00DC4155">
      <w:pPr>
        <w:pStyle w:val="Ttulo"/>
        <w:jc w:val="both"/>
        <w:rPr>
          <w:b w:val="0"/>
          <w:szCs w:val="24"/>
        </w:rPr>
      </w:pPr>
      <w:r w:rsidRPr="006A097D">
        <w:rPr>
          <w:rFonts w:eastAsia="Batang"/>
          <w:b w:val="0"/>
          <w:szCs w:val="24"/>
          <w:lang w:val="es-ES" w:eastAsia="en-US"/>
        </w:rPr>
        <w:t>Las entidades solicitantes de crédito o aquellas beneficiarias de créditos de presupuesto que no presenten una situación financiera idónea para el otorgamiento de crédito deberán tramitar autorización de endeudamiento vía decreto.</w:t>
      </w: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74849" w:rsidRPr="000C0C01" w:rsidRDefault="00974849" w:rsidP="003C686A">
      <w:pPr>
        <w:rPr>
          <w:rFonts w:ascii="Arial Narrow" w:hAnsi="Arial Narrow"/>
          <w:sz w:val="24"/>
          <w:szCs w:val="24"/>
        </w:rPr>
      </w:pPr>
    </w:p>
    <w:p w:rsidR="0094407F" w:rsidRPr="000C0C01" w:rsidRDefault="0094407F" w:rsidP="003C686A">
      <w:pPr>
        <w:rPr>
          <w:rFonts w:ascii="Arial Narrow" w:hAnsi="Arial Narrow"/>
          <w:sz w:val="24"/>
          <w:szCs w:val="24"/>
        </w:rPr>
      </w:pPr>
    </w:p>
    <w:p w:rsidR="0094407F" w:rsidRPr="000C0C01" w:rsidRDefault="0094407F" w:rsidP="003C686A">
      <w:pPr>
        <w:rPr>
          <w:rFonts w:ascii="Arial Narrow" w:hAnsi="Arial Narrow"/>
          <w:sz w:val="24"/>
          <w:szCs w:val="24"/>
        </w:rPr>
      </w:pPr>
    </w:p>
    <w:p w:rsidR="00000AF7" w:rsidRPr="000C0C01" w:rsidRDefault="004A361C" w:rsidP="008C2C73">
      <w:pPr>
        <w:pStyle w:val="Ttulo1"/>
        <w:numPr>
          <w:ilvl w:val="0"/>
          <w:numId w:val="42"/>
        </w:numPr>
        <w:rPr>
          <w:rFonts w:ascii="Arial Narrow" w:hAnsi="Arial Narrow"/>
          <w:sz w:val="24"/>
          <w:szCs w:val="24"/>
        </w:rPr>
      </w:pPr>
      <w:bookmarkStart w:id="38" w:name="_Toc528669659"/>
      <w:bookmarkEnd w:id="11"/>
      <w:bookmarkEnd w:id="12"/>
      <w:bookmarkEnd w:id="13"/>
      <w:bookmarkEnd w:id="14"/>
      <w:bookmarkEnd w:id="15"/>
      <w:bookmarkEnd w:id="16"/>
      <w:r w:rsidRPr="000C0C01">
        <w:rPr>
          <w:rFonts w:ascii="Arial Narrow" w:hAnsi="Arial Narrow"/>
          <w:sz w:val="24"/>
          <w:szCs w:val="24"/>
        </w:rPr>
        <w:t>H</w:t>
      </w:r>
      <w:r w:rsidR="00000AF7" w:rsidRPr="000C0C01">
        <w:rPr>
          <w:rFonts w:ascii="Arial Narrow" w:hAnsi="Arial Narrow"/>
          <w:sz w:val="24"/>
          <w:szCs w:val="24"/>
        </w:rPr>
        <w:t>ISTORIAL DE CAMBIOS</w:t>
      </w:r>
      <w:bookmarkEnd w:id="38"/>
    </w:p>
    <w:p w:rsidR="00000AF7" w:rsidRPr="000C0C01" w:rsidRDefault="00000AF7" w:rsidP="00CB26AD">
      <w:pPr>
        <w:jc w:val="both"/>
        <w:rPr>
          <w:rFonts w:ascii="Arial Narrow" w:hAnsi="Arial Narrow" w:cs="Arial"/>
          <w:b/>
          <w:sz w:val="24"/>
          <w:szCs w:val="24"/>
        </w:rPr>
      </w:pPr>
    </w:p>
    <w:tbl>
      <w:tblPr>
        <w:tblW w:w="877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560"/>
        <w:gridCol w:w="3260"/>
        <w:gridCol w:w="2253"/>
      </w:tblGrid>
      <w:tr w:rsidR="00000AF7" w:rsidRPr="000C0C01" w:rsidTr="008B4895">
        <w:trPr>
          <w:trHeight w:val="359"/>
          <w:tblHeader/>
        </w:trPr>
        <w:tc>
          <w:tcPr>
            <w:tcW w:w="1701" w:type="dxa"/>
            <w:shd w:val="clear" w:color="auto" w:fill="D9D9D9"/>
            <w:tcMar>
              <w:top w:w="57" w:type="dxa"/>
              <w:left w:w="113" w:type="dxa"/>
              <w:bottom w:w="57" w:type="dxa"/>
            </w:tcMar>
            <w:vAlign w:val="center"/>
          </w:tcPr>
          <w:p w:rsidR="00000AF7" w:rsidRPr="000C0C01" w:rsidRDefault="00000AF7" w:rsidP="00C53565">
            <w:pPr>
              <w:jc w:val="center"/>
              <w:rPr>
                <w:rFonts w:ascii="Arial Narrow" w:hAnsi="Arial Narrow" w:cs="Arial"/>
                <w:b/>
                <w:sz w:val="24"/>
                <w:szCs w:val="24"/>
              </w:rPr>
            </w:pPr>
            <w:r w:rsidRPr="000C0C01">
              <w:rPr>
                <w:rFonts w:ascii="Arial Narrow" w:hAnsi="Arial Narrow" w:cs="Arial"/>
                <w:b/>
                <w:sz w:val="24"/>
                <w:szCs w:val="24"/>
              </w:rPr>
              <w:t>FECHA</w:t>
            </w:r>
          </w:p>
        </w:tc>
        <w:tc>
          <w:tcPr>
            <w:tcW w:w="1560" w:type="dxa"/>
            <w:shd w:val="clear" w:color="auto" w:fill="D9D9D9"/>
            <w:tcMar>
              <w:top w:w="57" w:type="dxa"/>
              <w:left w:w="113" w:type="dxa"/>
              <w:bottom w:w="57" w:type="dxa"/>
            </w:tcMar>
            <w:vAlign w:val="center"/>
          </w:tcPr>
          <w:p w:rsidR="00000AF7" w:rsidRPr="000C0C01" w:rsidRDefault="00000AF7" w:rsidP="00C53565">
            <w:pPr>
              <w:jc w:val="center"/>
              <w:rPr>
                <w:rFonts w:ascii="Arial Narrow" w:hAnsi="Arial Narrow" w:cs="Arial"/>
                <w:b/>
                <w:sz w:val="24"/>
                <w:szCs w:val="24"/>
              </w:rPr>
            </w:pPr>
            <w:r w:rsidRPr="000C0C01">
              <w:rPr>
                <w:rFonts w:ascii="Arial Narrow" w:hAnsi="Arial Narrow" w:cs="Arial"/>
                <w:b/>
                <w:sz w:val="24"/>
                <w:szCs w:val="24"/>
              </w:rPr>
              <w:t>VERSIÓN</w:t>
            </w:r>
          </w:p>
        </w:tc>
        <w:tc>
          <w:tcPr>
            <w:tcW w:w="3260" w:type="dxa"/>
            <w:shd w:val="clear" w:color="auto" w:fill="D9D9D9"/>
            <w:tcMar>
              <w:top w:w="57" w:type="dxa"/>
              <w:left w:w="113" w:type="dxa"/>
              <w:bottom w:w="57" w:type="dxa"/>
            </w:tcMar>
            <w:vAlign w:val="center"/>
          </w:tcPr>
          <w:p w:rsidR="00000AF7" w:rsidRPr="000C0C01" w:rsidRDefault="00000AF7" w:rsidP="00C53565">
            <w:pPr>
              <w:jc w:val="center"/>
              <w:rPr>
                <w:rFonts w:ascii="Arial Narrow" w:hAnsi="Arial Narrow" w:cs="Arial"/>
                <w:b/>
                <w:sz w:val="24"/>
                <w:szCs w:val="24"/>
              </w:rPr>
            </w:pPr>
            <w:r w:rsidRPr="000C0C01">
              <w:rPr>
                <w:rFonts w:ascii="Arial Narrow" w:hAnsi="Arial Narrow" w:cs="Arial"/>
                <w:b/>
                <w:sz w:val="24"/>
                <w:szCs w:val="24"/>
              </w:rPr>
              <w:t>DESCRIPCIÓN DEL CAMBIO</w:t>
            </w:r>
          </w:p>
        </w:tc>
        <w:tc>
          <w:tcPr>
            <w:tcW w:w="2253" w:type="dxa"/>
            <w:shd w:val="clear" w:color="auto" w:fill="D9D9D9"/>
            <w:tcMar>
              <w:top w:w="57" w:type="dxa"/>
              <w:left w:w="113" w:type="dxa"/>
              <w:bottom w:w="57" w:type="dxa"/>
            </w:tcMar>
            <w:vAlign w:val="center"/>
          </w:tcPr>
          <w:p w:rsidR="00000AF7" w:rsidRPr="000C0C01" w:rsidRDefault="00000AF7" w:rsidP="00C53565">
            <w:pPr>
              <w:jc w:val="center"/>
              <w:rPr>
                <w:rFonts w:ascii="Arial Narrow" w:hAnsi="Arial Narrow" w:cs="Arial"/>
                <w:b/>
                <w:sz w:val="24"/>
                <w:szCs w:val="24"/>
              </w:rPr>
            </w:pPr>
            <w:r w:rsidRPr="000C0C01">
              <w:rPr>
                <w:rFonts w:ascii="Arial Narrow" w:hAnsi="Arial Narrow" w:cs="Arial"/>
                <w:b/>
                <w:sz w:val="24"/>
                <w:szCs w:val="24"/>
              </w:rPr>
              <w:t>ASESOR SUG</w:t>
            </w:r>
          </w:p>
        </w:tc>
      </w:tr>
      <w:tr w:rsidR="00000AF7" w:rsidRPr="00A41B0C" w:rsidTr="00454E0D">
        <w:trPr>
          <w:trHeight w:val="794"/>
        </w:trPr>
        <w:tc>
          <w:tcPr>
            <w:tcW w:w="1701" w:type="dxa"/>
            <w:shd w:val="clear" w:color="auto" w:fill="auto"/>
            <w:tcMar>
              <w:top w:w="57" w:type="dxa"/>
              <w:left w:w="113" w:type="dxa"/>
              <w:bottom w:w="57" w:type="dxa"/>
            </w:tcMar>
            <w:vAlign w:val="center"/>
          </w:tcPr>
          <w:p w:rsidR="00000AF7" w:rsidRPr="00A41B0C" w:rsidRDefault="00A41B0C" w:rsidP="00454E0D">
            <w:pPr>
              <w:jc w:val="center"/>
              <w:rPr>
                <w:rFonts w:ascii="Arial Narrow" w:hAnsi="Arial Narrow" w:cs="Arial"/>
                <w:sz w:val="24"/>
                <w:szCs w:val="24"/>
              </w:rPr>
            </w:pPr>
            <w:r>
              <w:rPr>
                <w:rFonts w:ascii="Arial Narrow" w:hAnsi="Arial Narrow" w:cs="Arial"/>
                <w:sz w:val="24"/>
                <w:szCs w:val="24"/>
              </w:rPr>
              <w:t>28/09/2018</w:t>
            </w:r>
          </w:p>
        </w:tc>
        <w:tc>
          <w:tcPr>
            <w:tcW w:w="1560" w:type="dxa"/>
            <w:shd w:val="clear" w:color="auto" w:fill="auto"/>
            <w:tcMar>
              <w:top w:w="57" w:type="dxa"/>
              <w:left w:w="113" w:type="dxa"/>
              <w:bottom w:w="57" w:type="dxa"/>
            </w:tcMar>
            <w:vAlign w:val="center"/>
          </w:tcPr>
          <w:p w:rsidR="00000AF7" w:rsidRPr="00A41B0C" w:rsidRDefault="00A41B0C" w:rsidP="00454E0D">
            <w:pPr>
              <w:jc w:val="center"/>
              <w:rPr>
                <w:rFonts w:ascii="Arial Narrow" w:hAnsi="Arial Narrow" w:cs="Arial"/>
                <w:sz w:val="24"/>
                <w:szCs w:val="24"/>
              </w:rPr>
            </w:pPr>
            <w:r>
              <w:rPr>
                <w:rFonts w:ascii="Arial Narrow" w:hAnsi="Arial Narrow" w:cs="Arial"/>
                <w:sz w:val="24"/>
                <w:szCs w:val="24"/>
              </w:rPr>
              <w:t>1</w:t>
            </w:r>
          </w:p>
        </w:tc>
        <w:tc>
          <w:tcPr>
            <w:tcW w:w="3260" w:type="dxa"/>
            <w:tcMar>
              <w:top w:w="57" w:type="dxa"/>
              <w:left w:w="113" w:type="dxa"/>
              <w:bottom w:w="57" w:type="dxa"/>
            </w:tcMar>
            <w:vAlign w:val="center"/>
          </w:tcPr>
          <w:p w:rsidR="00000AF7" w:rsidRPr="00A41B0C" w:rsidRDefault="00454E0D" w:rsidP="00454E0D">
            <w:pPr>
              <w:jc w:val="center"/>
              <w:rPr>
                <w:rFonts w:ascii="Arial Narrow" w:hAnsi="Arial Narrow" w:cs="Arial"/>
                <w:sz w:val="24"/>
                <w:szCs w:val="24"/>
              </w:rPr>
            </w:pPr>
            <w:r>
              <w:rPr>
                <w:rFonts w:ascii="Arial Narrow" w:hAnsi="Arial Narrow" w:cs="Arial"/>
                <w:sz w:val="24"/>
                <w:szCs w:val="24"/>
              </w:rPr>
              <w:t>Creación del documento</w:t>
            </w:r>
          </w:p>
        </w:tc>
        <w:tc>
          <w:tcPr>
            <w:tcW w:w="2253" w:type="dxa"/>
            <w:tcMar>
              <w:top w:w="57" w:type="dxa"/>
              <w:left w:w="113" w:type="dxa"/>
              <w:bottom w:w="57" w:type="dxa"/>
            </w:tcMar>
            <w:vAlign w:val="center"/>
          </w:tcPr>
          <w:p w:rsidR="00000AF7" w:rsidRPr="00A41B0C" w:rsidRDefault="00454E0D" w:rsidP="00454E0D">
            <w:pPr>
              <w:jc w:val="center"/>
              <w:rPr>
                <w:rFonts w:ascii="Arial Narrow" w:hAnsi="Arial Narrow" w:cs="Arial"/>
                <w:sz w:val="24"/>
                <w:szCs w:val="24"/>
              </w:rPr>
            </w:pPr>
            <w:r>
              <w:rPr>
                <w:rFonts w:ascii="Arial Narrow" w:hAnsi="Arial Narrow" w:cs="Arial"/>
                <w:sz w:val="24"/>
                <w:szCs w:val="24"/>
              </w:rPr>
              <w:t>Tatiana Santos Yate</w:t>
            </w:r>
          </w:p>
        </w:tc>
      </w:tr>
    </w:tbl>
    <w:p w:rsidR="004E7BF0" w:rsidRPr="000C0C01" w:rsidRDefault="004E7BF0" w:rsidP="00CB26AD">
      <w:pPr>
        <w:jc w:val="both"/>
        <w:rPr>
          <w:rFonts w:ascii="Arial Narrow" w:hAnsi="Arial Narrow" w:cs="Arial"/>
          <w:b/>
          <w:sz w:val="24"/>
          <w:szCs w:val="24"/>
        </w:rPr>
      </w:pPr>
    </w:p>
    <w:p w:rsidR="0078679A" w:rsidRPr="000C0C01" w:rsidRDefault="0078679A" w:rsidP="008C2C73">
      <w:pPr>
        <w:pStyle w:val="Ttulo1"/>
        <w:numPr>
          <w:ilvl w:val="0"/>
          <w:numId w:val="42"/>
        </w:numPr>
        <w:rPr>
          <w:rFonts w:ascii="Arial Narrow" w:hAnsi="Arial Narrow"/>
          <w:sz w:val="24"/>
          <w:szCs w:val="24"/>
        </w:rPr>
      </w:pPr>
      <w:bookmarkStart w:id="39" w:name="_Toc528669660"/>
      <w:r w:rsidRPr="000C0C01">
        <w:rPr>
          <w:rFonts w:ascii="Arial Narrow" w:hAnsi="Arial Narrow"/>
          <w:sz w:val="24"/>
          <w:szCs w:val="24"/>
        </w:rPr>
        <w:t>APROBACIÓN</w:t>
      </w:r>
      <w:bookmarkEnd w:id="39"/>
    </w:p>
    <w:p w:rsidR="0078679A" w:rsidRPr="000C0C01" w:rsidRDefault="0078679A" w:rsidP="00CB26AD">
      <w:pPr>
        <w:jc w:val="both"/>
        <w:rPr>
          <w:rFonts w:ascii="Arial Narrow" w:hAnsi="Arial Narrow" w:cs="Arial"/>
          <w:b/>
          <w:sz w:val="24"/>
          <w:szCs w:val="24"/>
        </w:rPr>
      </w:pPr>
    </w:p>
    <w:tbl>
      <w:tblPr>
        <w:tblW w:w="879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5957"/>
      </w:tblGrid>
      <w:tr w:rsidR="004206A1" w:rsidRPr="000C0C01" w:rsidTr="008B4895">
        <w:trPr>
          <w:trHeight w:val="878"/>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4206A1" w:rsidRPr="000C0C01" w:rsidRDefault="004206A1" w:rsidP="004206A1">
            <w:pPr>
              <w:pStyle w:val="Piedepgina"/>
              <w:ind w:right="360"/>
              <w:jc w:val="both"/>
              <w:rPr>
                <w:rFonts w:ascii="Arial Narrow" w:hAnsi="Arial Narrow" w:cs="Arial"/>
                <w:b/>
                <w:sz w:val="24"/>
                <w:szCs w:val="24"/>
              </w:rPr>
            </w:pPr>
            <w:r w:rsidRPr="000C0C01">
              <w:rPr>
                <w:rFonts w:ascii="Arial Narrow" w:hAnsi="Arial Narrow" w:cs="Arial"/>
                <w:b/>
                <w:sz w:val="24"/>
                <w:szCs w:val="24"/>
              </w:rPr>
              <w:t xml:space="preserve">ELABORADO POR: </w:t>
            </w:r>
          </w:p>
        </w:tc>
        <w:tc>
          <w:tcPr>
            <w:tcW w:w="5957" w:type="dxa"/>
            <w:tcBorders>
              <w:top w:val="single" w:sz="6" w:space="0" w:color="auto"/>
              <w:left w:val="single" w:sz="6" w:space="0" w:color="auto"/>
              <w:bottom w:val="single" w:sz="6" w:space="0" w:color="auto"/>
              <w:right w:val="single" w:sz="6" w:space="0" w:color="auto"/>
            </w:tcBorders>
            <w:shd w:val="clear" w:color="auto" w:fill="FFFFFF"/>
            <w:vAlign w:val="center"/>
          </w:tcPr>
          <w:p w:rsidR="004206A1" w:rsidRPr="000E64EF" w:rsidRDefault="004206A1" w:rsidP="004206A1">
            <w:pPr>
              <w:pStyle w:val="Piedepgina"/>
              <w:ind w:right="360"/>
              <w:jc w:val="both"/>
              <w:rPr>
                <w:rFonts w:ascii="Arial Narrow" w:hAnsi="Arial Narrow" w:cs="Arial"/>
                <w:b/>
                <w:sz w:val="24"/>
                <w:szCs w:val="24"/>
              </w:rPr>
            </w:pPr>
            <w:r w:rsidRPr="000E64EF">
              <w:rPr>
                <w:rFonts w:ascii="Arial Narrow" w:hAnsi="Arial Narrow" w:cs="Arial"/>
                <w:b/>
                <w:sz w:val="24"/>
                <w:szCs w:val="24"/>
              </w:rPr>
              <w:t xml:space="preserve">Nombre: </w:t>
            </w:r>
            <w:r w:rsidR="002307A2" w:rsidRPr="000E64EF">
              <w:rPr>
                <w:rFonts w:ascii="Arial Narrow" w:hAnsi="Arial Narrow" w:cs="Arial"/>
                <w:sz w:val="24"/>
                <w:szCs w:val="24"/>
              </w:rPr>
              <w:t>Cindy Zulima Alzate Román</w:t>
            </w:r>
            <w:r w:rsidR="00A41B0C" w:rsidRPr="000E64EF">
              <w:rPr>
                <w:rFonts w:ascii="Arial Narrow" w:hAnsi="Arial Narrow" w:cs="Arial"/>
                <w:sz w:val="24"/>
                <w:szCs w:val="24"/>
              </w:rPr>
              <w:t xml:space="preserve"> / Jesús David Rincón</w:t>
            </w:r>
          </w:p>
          <w:p w:rsidR="004206A1" w:rsidRPr="000E64EF" w:rsidRDefault="004206A1" w:rsidP="004206A1">
            <w:pPr>
              <w:pStyle w:val="Piedepgina"/>
              <w:tabs>
                <w:tab w:val="clear" w:pos="4252"/>
                <w:tab w:val="left" w:pos="4536"/>
              </w:tabs>
              <w:ind w:right="71"/>
              <w:jc w:val="both"/>
              <w:rPr>
                <w:rFonts w:ascii="Arial Narrow" w:hAnsi="Arial Narrow" w:cs="Arial"/>
                <w:b/>
                <w:sz w:val="24"/>
                <w:szCs w:val="24"/>
              </w:rPr>
            </w:pPr>
            <w:r w:rsidRPr="000E64EF">
              <w:rPr>
                <w:rFonts w:ascii="Arial Narrow" w:hAnsi="Arial Narrow" w:cs="Arial"/>
                <w:b/>
                <w:sz w:val="24"/>
                <w:szCs w:val="24"/>
              </w:rPr>
              <w:t xml:space="preserve">Cargo:    </w:t>
            </w:r>
            <w:r w:rsidR="002307A2" w:rsidRPr="000E64EF">
              <w:rPr>
                <w:rFonts w:ascii="Arial Narrow" w:hAnsi="Arial Narrow" w:cs="Arial"/>
                <w:sz w:val="24"/>
                <w:szCs w:val="24"/>
              </w:rPr>
              <w:t>Profesional Especializado</w:t>
            </w:r>
            <w:r w:rsidR="00A41B0C" w:rsidRPr="000E64EF">
              <w:rPr>
                <w:rFonts w:ascii="Arial Narrow" w:hAnsi="Arial Narrow" w:cs="Arial"/>
                <w:sz w:val="24"/>
                <w:szCs w:val="24"/>
              </w:rPr>
              <w:t xml:space="preserve"> / Profesional Especializado</w:t>
            </w:r>
          </w:p>
          <w:p w:rsidR="004206A1" w:rsidRPr="000E64EF" w:rsidRDefault="004206A1" w:rsidP="00A41B0C">
            <w:pPr>
              <w:pStyle w:val="Piedepgina"/>
              <w:ind w:right="360"/>
              <w:jc w:val="both"/>
              <w:rPr>
                <w:rFonts w:ascii="Arial Narrow" w:hAnsi="Arial Narrow" w:cs="Arial"/>
                <w:b/>
                <w:sz w:val="24"/>
                <w:szCs w:val="24"/>
              </w:rPr>
            </w:pPr>
            <w:r w:rsidRPr="000E64EF">
              <w:rPr>
                <w:rFonts w:ascii="Arial Narrow" w:hAnsi="Arial Narrow" w:cs="Arial"/>
                <w:b/>
                <w:sz w:val="24"/>
                <w:szCs w:val="24"/>
              </w:rPr>
              <w:t xml:space="preserve">Fecha:    </w:t>
            </w:r>
            <w:r w:rsidR="00A41B0C" w:rsidRPr="000E64EF">
              <w:rPr>
                <w:rFonts w:ascii="Arial Narrow" w:hAnsi="Arial Narrow" w:cs="Arial"/>
                <w:sz w:val="24"/>
                <w:szCs w:val="24"/>
              </w:rPr>
              <w:t>28-09-18</w:t>
            </w:r>
          </w:p>
        </w:tc>
      </w:tr>
      <w:tr w:rsidR="004206A1" w:rsidRPr="000C0C01" w:rsidTr="008B4895">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0C0C01" w:rsidRDefault="004206A1" w:rsidP="004206A1">
            <w:pPr>
              <w:pStyle w:val="Piedepgina"/>
              <w:ind w:right="360"/>
              <w:jc w:val="both"/>
              <w:rPr>
                <w:rFonts w:ascii="Arial Narrow" w:hAnsi="Arial Narrow" w:cs="Arial"/>
                <w:b/>
                <w:sz w:val="24"/>
                <w:szCs w:val="24"/>
              </w:rPr>
            </w:pPr>
            <w:r w:rsidRPr="000C0C01">
              <w:rPr>
                <w:rFonts w:ascii="Arial Narrow" w:hAnsi="Arial Narrow" w:cs="Arial"/>
                <w:b/>
                <w:sz w:val="24"/>
                <w:szCs w:val="24"/>
              </w:rPr>
              <w:t>REVISADO POR:</w:t>
            </w:r>
          </w:p>
        </w:tc>
        <w:tc>
          <w:tcPr>
            <w:tcW w:w="5957" w:type="dxa"/>
            <w:tcBorders>
              <w:top w:val="single" w:sz="6" w:space="0" w:color="auto"/>
              <w:left w:val="single" w:sz="6" w:space="0" w:color="auto"/>
              <w:bottom w:val="single" w:sz="6" w:space="0" w:color="auto"/>
              <w:right w:val="single" w:sz="6" w:space="0" w:color="auto"/>
            </w:tcBorders>
            <w:vAlign w:val="center"/>
          </w:tcPr>
          <w:p w:rsidR="004206A1" w:rsidRPr="000E64EF" w:rsidRDefault="004206A1" w:rsidP="004206A1">
            <w:pPr>
              <w:pStyle w:val="Piedepgina"/>
              <w:ind w:right="360"/>
              <w:jc w:val="both"/>
              <w:rPr>
                <w:rFonts w:ascii="Arial Narrow" w:hAnsi="Arial Narrow" w:cs="Arial"/>
                <w:b/>
                <w:sz w:val="24"/>
                <w:szCs w:val="24"/>
              </w:rPr>
            </w:pPr>
            <w:r w:rsidRPr="000E64EF">
              <w:rPr>
                <w:rFonts w:ascii="Arial Narrow" w:hAnsi="Arial Narrow" w:cs="Arial"/>
                <w:b/>
                <w:sz w:val="24"/>
                <w:szCs w:val="24"/>
              </w:rPr>
              <w:t xml:space="preserve">Nombre: </w:t>
            </w:r>
            <w:r w:rsidR="00A41B0C" w:rsidRPr="000E64EF">
              <w:rPr>
                <w:rFonts w:ascii="Arial Narrow" w:hAnsi="Arial Narrow" w:cs="Arial"/>
                <w:sz w:val="24"/>
                <w:szCs w:val="24"/>
              </w:rPr>
              <w:t>Javier Andrés Cuellar Sánchez</w:t>
            </w:r>
          </w:p>
          <w:p w:rsidR="004206A1" w:rsidRPr="000E64EF" w:rsidRDefault="004206A1" w:rsidP="004206A1">
            <w:pPr>
              <w:pStyle w:val="Piedepgina"/>
              <w:tabs>
                <w:tab w:val="clear" w:pos="4252"/>
                <w:tab w:val="left" w:pos="4536"/>
              </w:tabs>
              <w:ind w:right="71"/>
              <w:jc w:val="both"/>
              <w:rPr>
                <w:rFonts w:ascii="Arial Narrow" w:hAnsi="Arial Narrow" w:cs="Arial"/>
                <w:b/>
                <w:sz w:val="24"/>
                <w:szCs w:val="24"/>
              </w:rPr>
            </w:pPr>
            <w:r w:rsidRPr="000E64EF">
              <w:rPr>
                <w:rFonts w:ascii="Arial Narrow" w:hAnsi="Arial Narrow" w:cs="Arial"/>
                <w:b/>
                <w:sz w:val="24"/>
                <w:szCs w:val="24"/>
              </w:rPr>
              <w:t xml:space="preserve">Cargo: </w:t>
            </w:r>
            <w:r w:rsidR="00A41B0C" w:rsidRPr="000E64EF">
              <w:rPr>
                <w:rFonts w:ascii="Arial Narrow" w:hAnsi="Arial Narrow" w:cs="Arial"/>
                <w:sz w:val="24"/>
                <w:szCs w:val="24"/>
              </w:rPr>
              <w:t>Subdirector de Riesgo</w:t>
            </w:r>
          </w:p>
          <w:p w:rsidR="004206A1" w:rsidRPr="000E64EF" w:rsidRDefault="004206A1" w:rsidP="00A41B0C">
            <w:pPr>
              <w:pStyle w:val="Piedepgina"/>
              <w:ind w:right="360"/>
              <w:jc w:val="both"/>
              <w:rPr>
                <w:rFonts w:ascii="Arial Narrow" w:hAnsi="Arial Narrow" w:cs="Arial"/>
                <w:b/>
                <w:sz w:val="24"/>
                <w:szCs w:val="24"/>
              </w:rPr>
            </w:pPr>
            <w:r w:rsidRPr="000E64EF">
              <w:rPr>
                <w:rFonts w:ascii="Arial Narrow" w:hAnsi="Arial Narrow" w:cs="Arial"/>
                <w:b/>
                <w:sz w:val="24"/>
                <w:szCs w:val="24"/>
              </w:rPr>
              <w:t xml:space="preserve">Fecha: </w:t>
            </w:r>
            <w:r w:rsidR="00A41B0C" w:rsidRPr="000E64EF">
              <w:rPr>
                <w:rFonts w:ascii="Arial Narrow" w:hAnsi="Arial Narrow" w:cs="Arial"/>
                <w:sz w:val="24"/>
                <w:szCs w:val="24"/>
              </w:rPr>
              <w:t>28-09-18</w:t>
            </w:r>
            <w:r w:rsidRPr="000E64EF">
              <w:rPr>
                <w:rFonts w:ascii="Arial Narrow" w:hAnsi="Arial Narrow" w:cs="Arial"/>
                <w:b/>
                <w:sz w:val="24"/>
                <w:szCs w:val="24"/>
              </w:rPr>
              <w:t xml:space="preserve">  </w:t>
            </w:r>
          </w:p>
        </w:tc>
      </w:tr>
      <w:tr w:rsidR="004206A1" w:rsidRPr="000C0C01" w:rsidTr="008B4895">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0C0C01" w:rsidRDefault="004206A1" w:rsidP="004206A1">
            <w:pPr>
              <w:pStyle w:val="Piedepgina"/>
              <w:ind w:right="360"/>
              <w:jc w:val="both"/>
              <w:rPr>
                <w:rFonts w:ascii="Arial Narrow" w:hAnsi="Arial Narrow" w:cs="Arial"/>
                <w:b/>
                <w:sz w:val="24"/>
                <w:szCs w:val="24"/>
              </w:rPr>
            </w:pPr>
            <w:r w:rsidRPr="000C0C01">
              <w:rPr>
                <w:rFonts w:ascii="Arial Narrow" w:hAnsi="Arial Narrow" w:cs="Arial"/>
                <w:b/>
                <w:sz w:val="24"/>
                <w:szCs w:val="24"/>
              </w:rPr>
              <w:t>APROBADO POR:</w:t>
            </w:r>
          </w:p>
        </w:tc>
        <w:tc>
          <w:tcPr>
            <w:tcW w:w="5957" w:type="dxa"/>
            <w:tcBorders>
              <w:top w:val="single" w:sz="6" w:space="0" w:color="auto"/>
              <w:left w:val="single" w:sz="6" w:space="0" w:color="auto"/>
              <w:bottom w:val="single" w:sz="6" w:space="0" w:color="auto"/>
              <w:right w:val="single" w:sz="6" w:space="0" w:color="auto"/>
            </w:tcBorders>
            <w:vAlign w:val="center"/>
          </w:tcPr>
          <w:p w:rsidR="004206A1" w:rsidRPr="000E64EF" w:rsidRDefault="004206A1" w:rsidP="004206A1">
            <w:pPr>
              <w:pStyle w:val="Piedepgina"/>
              <w:ind w:right="360"/>
              <w:jc w:val="both"/>
              <w:rPr>
                <w:rFonts w:ascii="Arial Narrow" w:hAnsi="Arial Narrow" w:cs="Arial"/>
                <w:b/>
                <w:sz w:val="24"/>
                <w:szCs w:val="24"/>
              </w:rPr>
            </w:pPr>
            <w:r w:rsidRPr="000E64EF">
              <w:rPr>
                <w:rFonts w:ascii="Arial Narrow" w:hAnsi="Arial Narrow" w:cs="Arial"/>
                <w:b/>
                <w:sz w:val="24"/>
                <w:szCs w:val="24"/>
              </w:rPr>
              <w:t xml:space="preserve">Nombre: </w:t>
            </w:r>
            <w:r w:rsidR="002307A2" w:rsidRPr="000E64EF">
              <w:rPr>
                <w:rFonts w:ascii="Arial Narrow" w:hAnsi="Arial Narrow" w:cs="Arial"/>
                <w:sz w:val="24"/>
                <w:szCs w:val="24"/>
              </w:rPr>
              <w:t>Francisco Manuel Lucero Campaña</w:t>
            </w:r>
          </w:p>
          <w:p w:rsidR="004206A1" w:rsidRPr="000E64EF" w:rsidRDefault="004206A1" w:rsidP="004206A1">
            <w:pPr>
              <w:pStyle w:val="Piedepgina"/>
              <w:tabs>
                <w:tab w:val="clear" w:pos="4252"/>
                <w:tab w:val="center" w:pos="4325"/>
              </w:tabs>
              <w:ind w:right="-70"/>
              <w:jc w:val="both"/>
              <w:rPr>
                <w:rFonts w:ascii="Arial Narrow" w:hAnsi="Arial Narrow" w:cs="Arial"/>
                <w:b/>
                <w:sz w:val="24"/>
                <w:szCs w:val="24"/>
              </w:rPr>
            </w:pPr>
            <w:r w:rsidRPr="000E64EF">
              <w:rPr>
                <w:rFonts w:ascii="Arial Narrow" w:hAnsi="Arial Narrow" w:cs="Arial"/>
                <w:b/>
                <w:sz w:val="24"/>
                <w:szCs w:val="24"/>
              </w:rPr>
              <w:t xml:space="preserve">Cargo: </w:t>
            </w:r>
            <w:r w:rsidR="002307A2" w:rsidRPr="000E64EF">
              <w:rPr>
                <w:rFonts w:ascii="Arial Narrow" w:hAnsi="Arial Narrow" w:cs="Arial"/>
                <w:sz w:val="24"/>
                <w:szCs w:val="24"/>
              </w:rPr>
              <w:t>Director General de Crédito Público y Tesoro Nacional (e)</w:t>
            </w:r>
          </w:p>
          <w:p w:rsidR="004206A1" w:rsidRPr="000E64EF" w:rsidRDefault="004206A1" w:rsidP="000E64EF">
            <w:pPr>
              <w:pStyle w:val="Piedepgina"/>
              <w:ind w:right="360"/>
              <w:jc w:val="both"/>
              <w:rPr>
                <w:rFonts w:ascii="Arial Narrow" w:hAnsi="Arial Narrow" w:cs="Arial"/>
                <w:b/>
                <w:sz w:val="24"/>
                <w:szCs w:val="24"/>
              </w:rPr>
            </w:pPr>
            <w:r w:rsidRPr="000E64EF">
              <w:rPr>
                <w:rFonts w:ascii="Arial Narrow" w:hAnsi="Arial Narrow" w:cs="Arial"/>
                <w:b/>
                <w:sz w:val="24"/>
                <w:szCs w:val="24"/>
              </w:rPr>
              <w:t xml:space="preserve">Fecha: </w:t>
            </w:r>
            <w:r w:rsidR="000E64EF" w:rsidRPr="000E64EF">
              <w:rPr>
                <w:rFonts w:ascii="Arial Narrow" w:hAnsi="Arial Narrow" w:cs="Arial"/>
                <w:sz w:val="24"/>
                <w:szCs w:val="24"/>
              </w:rPr>
              <w:t>12-10</w:t>
            </w:r>
            <w:r w:rsidR="00A41B0C" w:rsidRPr="000E64EF">
              <w:rPr>
                <w:rFonts w:ascii="Arial Narrow" w:hAnsi="Arial Narrow" w:cs="Arial"/>
                <w:sz w:val="24"/>
                <w:szCs w:val="24"/>
              </w:rPr>
              <w:t>-18</w:t>
            </w:r>
          </w:p>
        </w:tc>
      </w:tr>
    </w:tbl>
    <w:p w:rsidR="00EE7950" w:rsidRPr="000C0C01" w:rsidRDefault="00EE7950" w:rsidP="00CB26AD">
      <w:pPr>
        <w:jc w:val="both"/>
        <w:rPr>
          <w:rFonts w:ascii="Arial Narrow" w:hAnsi="Arial Narrow" w:cs="Arial"/>
          <w:b/>
          <w:sz w:val="24"/>
          <w:szCs w:val="24"/>
        </w:rPr>
      </w:pPr>
    </w:p>
    <w:sectPr w:rsidR="00EE7950" w:rsidRPr="000C0C01" w:rsidSect="005E1CB4">
      <w:headerReference w:type="even" r:id="rId12"/>
      <w:headerReference w:type="default" r:id="rId13"/>
      <w:footerReference w:type="even" r:id="rId14"/>
      <w:footerReference w:type="default" r:id="rId15"/>
      <w:headerReference w:type="first" r:id="rId16"/>
      <w:footerReference w:type="first" r:id="rId17"/>
      <w:pgSz w:w="12242" w:h="15842"/>
      <w:pgMar w:top="1235" w:right="1701" w:bottom="1418"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1C7" w:rsidRDefault="001161C7">
      <w:r>
        <w:separator/>
      </w:r>
    </w:p>
  </w:endnote>
  <w:endnote w:type="continuationSeparator" w:id="0">
    <w:p w:rsidR="001161C7" w:rsidRDefault="0011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F10" w:rsidRDefault="00947F1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761" w:rsidRDefault="00E92761" w:rsidP="004A0461">
    <w:pPr>
      <w:pStyle w:val="Piedepgina"/>
      <w:rPr>
        <w:rFonts w:ascii="Arial Narrow" w:hAnsi="Arial Narrow"/>
        <w:sz w:val="16"/>
        <w:szCs w:val="16"/>
        <w:lang w:val="es-CO"/>
      </w:rPr>
    </w:pPr>
  </w:p>
  <w:p w:rsidR="00E92761" w:rsidRDefault="00E92761" w:rsidP="004A0461">
    <w:pPr>
      <w:pStyle w:val="Piedepgina"/>
      <w:rPr>
        <w:rFonts w:ascii="Arial Narrow" w:hAnsi="Arial Narrow"/>
        <w:sz w:val="16"/>
        <w:szCs w:val="16"/>
        <w:lang w:val="es-CO"/>
      </w:rPr>
    </w:pPr>
  </w:p>
  <w:p w:rsidR="00E92761" w:rsidRPr="00C54EEF" w:rsidRDefault="00E92761">
    <w:pPr>
      <w:pStyle w:val="Piedepgina"/>
      <w:rPr>
        <w:lang w:val="en-US"/>
      </w:rPr>
    </w:pPr>
    <w:r w:rsidRPr="00C54EEF">
      <w:rPr>
        <w:rFonts w:ascii="Arial Narrow" w:hAnsi="Arial Narrow"/>
        <w:sz w:val="16"/>
        <w:szCs w:val="16"/>
        <w:lang w:val="en-US"/>
      </w:rPr>
      <w:t>Est.1.4.Ins.1.Fr.13 Plantilla Manual_V.1</w:t>
    </w:r>
  </w:p>
  <w:p w:rsidR="00E92761" w:rsidRPr="00C54EEF" w:rsidRDefault="00E92761">
    <w:pPr>
      <w:pStyle w:val="Piedep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761" w:rsidRDefault="00E92761" w:rsidP="00063D1A">
    <w:pPr>
      <w:pStyle w:val="Piedepgina"/>
      <w:rPr>
        <w:rFonts w:ascii="Arial Narrow" w:hAnsi="Arial Narrow"/>
        <w:sz w:val="16"/>
        <w:szCs w:val="16"/>
        <w:lang w:val="es-CO"/>
      </w:rPr>
    </w:pPr>
  </w:p>
  <w:p w:rsidR="00E92761" w:rsidRPr="00C54EEF" w:rsidRDefault="00E92761" w:rsidP="00063D1A">
    <w:pPr>
      <w:pStyle w:val="Piedepgina"/>
      <w:rPr>
        <w:lang w:val="en-US"/>
      </w:rPr>
    </w:pPr>
    <w:r w:rsidRPr="00C54EEF">
      <w:rPr>
        <w:rFonts w:ascii="Arial Narrow" w:hAnsi="Arial Narrow"/>
        <w:sz w:val="16"/>
        <w:szCs w:val="16"/>
        <w:lang w:val="en-US"/>
      </w:rPr>
      <w:t>Est.1.4.Ins.1.Fr.13 Plantilla Manual_V.1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1C7" w:rsidRDefault="001161C7">
      <w:r>
        <w:separator/>
      </w:r>
    </w:p>
  </w:footnote>
  <w:footnote w:type="continuationSeparator" w:id="0">
    <w:p w:rsidR="001161C7" w:rsidRDefault="00116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F10" w:rsidRDefault="00947F1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578"/>
      <w:gridCol w:w="993"/>
      <w:gridCol w:w="1709"/>
    </w:tblGrid>
    <w:tr w:rsidR="00E92761" w:rsidTr="00B77799">
      <w:trPr>
        <w:cantSplit/>
        <w:trHeight w:val="276"/>
        <w:jc w:val="center"/>
      </w:trPr>
      <w:tc>
        <w:tcPr>
          <w:tcW w:w="2785" w:type="dxa"/>
          <w:vMerge w:val="restart"/>
          <w:vAlign w:val="center"/>
        </w:tcPr>
        <w:p w:rsidR="00E92761" w:rsidRDefault="00A41B0C" w:rsidP="009371D7">
          <w:pPr>
            <w:pStyle w:val="Encabezado"/>
            <w:jc w:val="center"/>
            <w:rPr>
              <w:rFonts w:ascii="Arial" w:hAnsi="Arial"/>
            </w:rPr>
          </w:pPr>
          <w:r>
            <w:rPr>
              <w:rFonts w:ascii="Arial" w:hAnsi="Arial" w:cs="Arial"/>
              <w:b/>
              <w:caps/>
              <w:noProof/>
              <w:sz w:val="14"/>
              <w:szCs w:val="14"/>
              <w:lang w:val="en-US" w:eastAsia="en-US"/>
            </w:rPr>
            <w:drawing>
              <wp:inline distT="0" distB="0" distL="0" distR="0">
                <wp:extent cx="1699260" cy="396875"/>
                <wp:effectExtent l="0" t="0" r="0" b="3175"/>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9260" cy="396875"/>
                        </a:xfrm>
                        <a:prstGeom prst="rect">
                          <a:avLst/>
                        </a:prstGeom>
                        <a:noFill/>
                        <a:ln>
                          <a:noFill/>
                        </a:ln>
                      </pic:spPr>
                    </pic:pic>
                  </a:graphicData>
                </a:graphic>
              </wp:inline>
            </w:drawing>
          </w:r>
        </w:p>
      </w:tc>
      <w:tc>
        <w:tcPr>
          <w:tcW w:w="4578" w:type="dxa"/>
          <w:vMerge w:val="restart"/>
          <w:vAlign w:val="center"/>
        </w:tcPr>
        <w:p w:rsidR="00E92761" w:rsidRDefault="00E92761" w:rsidP="008410A5">
          <w:pPr>
            <w:jc w:val="center"/>
            <w:rPr>
              <w:rFonts w:ascii="Arial" w:hAnsi="Arial" w:cs="Arial"/>
              <w:b/>
              <w:sz w:val="24"/>
              <w:szCs w:val="24"/>
            </w:rPr>
          </w:pPr>
          <w:r>
            <w:rPr>
              <w:rFonts w:ascii="Arial" w:hAnsi="Arial" w:cs="Arial"/>
              <w:b/>
              <w:sz w:val="24"/>
              <w:szCs w:val="24"/>
            </w:rPr>
            <w:t xml:space="preserve">Manual de Políticas de </w:t>
          </w:r>
        </w:p>
        <w:p w:rsidR="00E92761" w:rsidRPr="009A37A7" w:rsidRDefault="00E92761" w:rsidP="008410A5">
          <w:pPr>
            <w:jc w:val="center"/>
            <w:rPr>
              <w:rFonts w:ascii="Arial" w:hAnsi="Arial" w:cs="Arial"/>
              <w:b/>
              <w:sz w:val="24"/>
              <w:szCs w:val="24"/>
            </w:rPr>
          </w:pPr>
          <w:r>
            <w:rPr>
              <w:rFonts w:ascii="Arial" w:hAnsi="Arial" w:cs="Arial"/>
              <w:b/>
              <w:sz w:val="24"/>
              <w:szCs w:val="24"/>
            </w:rPr>
            <w:t>Riesgo de Crédito</w:t>
          </w:r>
        </w:p>
      </w:tc>
      <w:tc>
        <w:tcPr>
          <w:tcW w:w="993" w:type="dxa"/>
          <w:vAlign w:val="center"/>
        </w:tcPr>
        <w:p w:rsidR="00E92761" w:rsidRDefault="00E92761" w:rsidP="009371D7">
          <w:pPr>
            <w:pStyle w:val="Encabezado"/>
            <w:rPr>
              <w:rFonts w:ascii="Arial" w:hAnsi="Arial" w:cs="Arial"/>
              <w:b/>
            </w:rPr>
          </w:pPr>
          <w:r>
            <w:rPr>
              <w:rFonts w:ascii="Arial" w:hAnsi="Arial"/>
              <w:b/>
            </w:rPr>
            <w:t>Código:</w:t>
          </w:r>
          <w:r>
            <w:t xml:space="preserve"> </w:t>
          </w:r>
        </w:p>
      </w:tc>
      <w:tc>
        <w:tcPr>
          <w:tcW w:w="1709" w:type="dxa"/>
          <w:vAlign w:val="center"/>
        </w:tcPr>
        <w:p w:rsidR="00E92761" w:rsidRPr="00B77799" w:rsidRDefault="00B77799" w:rsidP="00B77799">
          <w:pPr>
            <w:pStyle w:val="Encabezado"/>
            <w:jc w:val="center"/>
            <w:rPr>
              <w:rFonts w:ascii="Arial" w:hAnsi="Arial" w:cs="Arial"/>
            </w:rPr>
          </w:pPr>
          <w:r w:rsidRPr="00B77799">
            <w:rPr>
              <w:rFonts w:ascii="Arial" w:hAnsi="Arial" w:cs="Arial"/>
            </w:rPr>
            <w:t>Mis.3.10 Man1</w:t>
          </w:r>
        </w:p>
      </w:tc>
    </w:tr>
    <w:tr w:rsidR="00E92761" w:rsidTr="00B77799">
      <w:trPr>
        <w:cantSplit/>
        <w:trHeight w:val="147"/>
        <w:jc w:val="center"/>
      </w:trPr>
      <w:tc>
        <w:tcPr>
          <w:tcW w:w="2785" w:type="dxa"/>
          <w:vMerge/>
        </w:tcPr>
        <w:p w:rsidR="00E92761" w:rsidRDefault="00E92761" w:rsidP="009371D7">
          <w:pPr>
            <w:pStyle w:val="Encabezado"/>
            <w:jc w:val="center"/>
            <w:rPr>
              <w:rFonts w:ascii="Arial" w:hAnsi="Arial"/>
            </w:rPr>
          </w:pPr>
        </w:p>
      </w:tc>
      <w:tc>
        <w:tcPr>
          <w:tcW w:w="4578" w:type="dxa"/>
          <w:vMerge/>
        </w:tcPr>
        <w:p w:rsidR="00E92761" w:rsidRDefault="00E92761" w:rsidP="009371D7">
          <w:pPr>
            <w:pStyle w:val="Encabezado"/>
            <w:jc w:val="center"/>
            <w:rPr>
              <w:rFonts w:ascii="Arial" w:hAnsi="Arial"/>
              <w:b/>
            </w:rPr>
          </w:pPr>
        </w:p>
      </w:tc>
      <w:tc>
        <w:tcPr>
          <w:tcW w:w="993" w:type="dxa"/>
          <w:vAlign w:val="center"/>
        </w:tcPr>
        <w:p w:rsidR="00E92761" w:rsidRDefault="00E92761" w:rsidP="009371D7">
          <w:pPr>
            <w:pStyle w:val="Encabezado"/>
            <w:rPr>
              <w:rFonts w:ascii="Arial" w:hAnsi="Arial"/>
              <w:b/>
            </w:rPr>
          </w:pPr>
          <w:r>
            <w:rPr>
              <w:rFonts w:ascii="Arial" w:hAnsi="Arial"/>
              <w:b/>
            </w:rPr>
            <w:t>Fecha:</w:t>
          </w:r>
        </w:p>
      </w:tc>
      <w:tc>
        <w:tcPr>
          <w:tcW w:w="1709" w:type="dxa"/>
          <w:vAlign w:val="center"/>
        </w:tcPr>
        <w:p w:rsidR="00E92761" w:rsidRPr="00B77799" w:rsidRDefault="00B77799" w:rsidP="00B77799">
          <w:pPr>
            <w:pStyle w:val="Encabezado"/>
            <w:jc w:val="center"/>
            <w:rPr>
              <w:rFonts w:ascii="Arial" w:hAnsi="Arial"/>
            </w:rPr>
          </w:pPr>
          <w:r>
            <w:rPr>
              <w:rFonts w:ascii="Arial" w:hAnsi="Arial"/>
            </w:rPr>
            <w:t>12-10-2018</w:t>
          </w:r>
        </w:p>
      </w:tc>
    </w:tr>
    <w:tr w:rsidR="00E92761" w:rsidTr="00B77799">
      <w:trPr>
        <w:cantSplit/>
        <w:trHeight w:val="147"/>
        <w:jc w:val="center"/>
      </w:trPr>
      <w:tc>
        <w:tcPr>
          <w:tcW w:w="2785" w:type="dxa"/>
          <w:vMerge/>
        </w:tcPr>
        <w:p w:rsidR="00E92761" w:rsidRDefault="00E92761" w:rsidP="009371D7">
          <w:pPr>
            <w:pStyle w:val="Encabezado"/>
            <w:jc w:val="center"/>
            <w:rPr>
              <w:rFonts w:ascii="Arial" w:hAnsi="Arial"/>
            </w:rPr>
          </w:pPr>
        </w:p>
      </w:tc>
      <w:tc>
        <w:tcPr>
          <w:tcW w:w="4578" w:type="dxa"/>
          <w:vMerge/>
        </w:tcPr>
        <w:p w:rsidR="00E92761" w:rsidRDefault="00E92761" w:rsidP="009371D7">
          <w:pPr>
            <w:pStyle w:val="Encabezado"/>
            <w:jc w:val="center"/>
            <w:rPr>
              <w:rFonts w:ascii="Arial" w:hAnsi="Arial"/>
              <w:b/>
            </w:rPr>
          </w:pPr>
        </w:p>
      </w:tc>
      <w:tc>
        <w:tcPr>
          <w:tcW w:w="993" w:type="dxa"/>
          <w:vAlign w:val="center"/>
        </w:tcPr>
        <w:p w:rsidR="00E92761" w:rsidRDefault="00E92761" w:rsidP="009371D7">
          <w:pPr>
            <w:pStyle w:val="Encabezado"/>
            <w:rPr>
              <w:rFonts w:ascii="Arial" w:hAnsi="Arial"/>
              <w:b/>
            </w:rPr>
          </w:pPr>
          <w:r>
            <w:rPr>
              <w:rFonts w:ascii="Arial" w:hAnsi="Arial"/>
              <w:b/>
            </w:rPr>
            <w:t xml:space="preserve">Versión: </w:t>
          </w:r>
        </w:p>
      </w:tc>
      <w:tc>
        <w:tcPr>
          <w:tcW w:w="1709" w:type="dxa"/>
          <w:vAlign w:val="center"/>
        </w:tcPr>
        <w:p w:rsidR="00E92761" w:rsidRPr="00B77799" w:rsidRDefault="00B77799" w:rsidP="00B77799">
          <w:pPr>
            <w:pStyle w:val="Encabezado"/>
            <w:jc w:val="center"/>
            <w:rPr>
              <w:rFonts w:ascii="Arial" w:hAnsi="Arial"/>
            </w:rPr>
          </w:pPr>
          <w:r>
            <w:rPr>
              <w:rFonts w:ascii="Arial" w:hAnsi="Arial"/>
            </w:rPr>
            <w:t>1</w:t>
          </w:r>
        </w:p>
      </w:tc>
    </w:tr>
    <w:tr w:rsidR="00E92761" w:rsidTr="00B77799">
      <w:trPr>
        <w:cantSplit/>
        <w:trHeight w:val="148"/>
        <w:jc w:val="center"/>
      </w:trPr>
      <w:tc>
        <w:tcPr>
          <w:tcW w:w="2785" w:type="dxa"/>
          <w:vMerge/>
          <w:tcBorders>
            <w:bottom w:val="single" w:sz="4" w:space="0" w:color="auto"/>
          </w:tcBorders>
        </w:tcPr>
        <w:p w:rsidR="00E92761" w:rsidRDefault="00E92761" w:rsidP="009371D7">
          <w:pPr>
            <w:pStyle w:val="Encabezado"/>
            <w:jc w:val="center"/>
            <w:rPr>
              <w:rFonts w:ascii="Arial" w:hAnsi="Arial"/>
              <w:b/>
            </w:rPr>
          </w:pPr>
        </w:p>
      </w:tc>
      <w:tc>
        <w:tcPr>
          <w:tcW w:w="4578" w:type="dxa"/>
          <w:vMerge/>
          <w:tcBorders>
            <w:bottom w:val="single" w:sz="4" w:space="0" w:color="auto"/>
          </w:tcBorders>
        </w:tcPr>
        <w:p w:rsidR="00E92761" w:rsidRDefault="00E92761" w:rsidP="009371D7">
          <w:pPr>
            <w:pStyle w:val="Encabezado"/>
            <w:jc w:val="center"/>
            <w:rPr>
              <w:rFonts w:ascii="Arial" w:hAnsi="Arial"/>
              <w:b/>
            </w:rPr>
          </w:pPr>
        </w:p>
      </w:tc>
      <w:tc>
        <w:tcPr>
          <w:tcW w:w="993" w:type="dxa"/>
          <w:vAlign w:val="center"/>
        </w:tcPr>
        <w:p w:rsidR="00E92761" w:rsidRDefault="00E92761" w:rsidP="009371D7">
          <w:pPr>
            <w:pStyle w:val="Encabezado"/>
            <w:rPr>
              <w:rFonts w:ascii="Arial" w:hAnsi="Arial"/>
              <w:b/>
            </w:rPr>
          </w:pPr>
          <w:r>
            <w:rPr>
              <w:rFonts w:ascii="Arial" w:hAnsi="Arial"/>
              <w:b/>
            </w:rPr>
            <w:t xml:space="preserve">Página: </w:t>
          </w:r>
        </w:p>
      </w:tc>
      <w:tc>
        <w:tcPr>
          <w:tcW w:w="1709" w:type="dxa"/>
          <w:vAlign w:val="center"/>
        </w:tcPr>
        <w:p w:rsidR="00E92761" w:rsidRPr="00B77799" w:rsidRDefault="00E92761" w:rsidP="00B77799">
          <w:pPr>
            <w:pStyle w:val="Encabezado"/>
            <w:jc w:val="center"/>
            <w:rPr>
              <w:rFonts w:ascii="Arial" w:hAnsi="Arial"/>
            </w:rPr>
          </w:pPr>
          <w:r w:rsidRPr="00B77799">
            <w:rPr>
              <w:rFonts w:ascii="Arial" w:hAnsi="Arial" w:cs="Arial"/>
            </w:rPr>
            <w:fldChar w:fldCharType="begin"/>
          </w:r>
          <w:r w:rsidRPr="00B77799">
            <w:rPr>
              <w:rFonts w:ascii="Arial" w:hAnsi="Arial" w:cs="Arial"/>
            </w:rPr>
            <w:instrText>PAGE  \* Arabic  \* MERGEFORMAT</w:instrText>
          </w:r>
          <w:r w:rsidRPr="00B77799">
            <w:rPr>
              <w:rFonts w:ascii="Arial" w:hAnsi="Arial" w:cs="Arial"/>
            </w:rPr>
            <w:fldChar w:fldCharType="separate"/>
          </w:r>
          <w:r w:rsidR="00947F10">
            <w:rPr>
              <w:rFonts w:ascii="Arial" w:hAnsi="Arial" w:cs="Arial"/>
              <w:noProof/>
            </w:rPr>
            <w:t>2</w:t>
          </w:r>
          <w:r w:rsidRPr="00B77799">
            <w:rPr>
              <w:rFonts w:ascii="Arial" w:hAnsi="Arial" w:cs="Arial"/>
            </w:rPr>
            <w:fldChar w:fldCharType="end"/>
          </w:r>
          <w:r w:rsidRPr="00B77799">
            <w:rPr>
              <w:rFonts w:ascii="Arial" w:hAnsi="Arial" w:cs="Arial"/>
            </w:rPr>
            <w:t xml:space="preserve"> de </w:t>
          </w:r>
          <w:r w:rsidRPr="00B77799">
            <w:rPr>
              <w:rFonts w:ascii="Arial" w:hAnsi="Arial" w:cs="Arial"/>
            </w:rPr>
            <w:fldChar w:fldCharType="begin"/>
          </w:r>
          <w:r w:rsidRPr="00B77799">
            <w:rPr>
              <w:rFonts w:ascii="Arial" w:hAnsi="Arial" w:cs="Arial"/>
            </w:rPr>
            <w:instrText>NUMPAGES  \* Arabic  \* MERGEFORMAT</w:instrText>
          </w:r>
          <w:r w:rsidRPr="00B77799">
            <w:rPr>
              <w:rFonts w:ascii="Arial" w:hAnsi="Arial" w:cs="Arial"/>
            </w:rPr>
            <w:fldChar w:fldCharType="separate"/>
          </w:r>
          <w:r w:rsidR="00947F10">
            <w:rPr>
              <w:rFonts w:ascii="Arial" w:hAnsi="Arial" w:cs="Arial"/>
              <w:noProof/>
            </w:rPr>
            <w:t>13</w:t>
          </w:r>
          <w:r w:rsidRPr="00B77799">
            <w:rPr>
              <w:rFonts w:ascii="Arial" w:hAnsi="Arial" w:cs="Arial"/>
            </w:rPr>
            <w:fldChar w:fldCharType="end"/>
          </w:r>
        </w:p>
      </w:tc>
    </w:tr>
  </w:tbl>
  <w:p w:rsidR="00E92761" w:rsidRDefault="00E92761" w:rsidP="003A6EE4">
    <w:pPr>
      <w:pStyle w:val="Encabezado"/>
      <w:rPr>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720"/>
      <w:gridCol w:w="992"/>
      <w:gridCol w:w="1568"/>
    </w:tblGrid>
    <w:tr w:rsidR="00E92761" w:rsidTr="00790985">
      <w:trPr>
        <w:cantSplit/>
        <w:trHeight w:val="276"/>
        <w:jc w:val="center"/>
      </w:trPr>
      <w:tc>
        <w:tcPr>
          <w:tcW w:w="2785" w:type="dxa"/>
          <w:vMerge w:val="restart"/>
          <w:vAlign w:val="center"/>
        </w:tcPr>
        <w:p w:rsidR="00E92761" w:rsidRDefault="00A41B0C" w:rsidP="00715C69">
          <w:pPr>
            <w:pStyle w:val="Encabezado"/>
            <w:jc w:val="center"/>
            <w:rPr>
              <w:rFonts w:ascii="Arial" w:hAnsi="Arial"/>
            </w:rPr>
          </w:pPr>
          <w:bookmarkStart w:id="40" w:name="_GoBack" w:colFirst="3" w:colLast="3"/>
          <w:r>
            <w:rPr>
              <w:rFonts w:ascii="Arial" w:hAnsi="Arial" w:cs="Arial"/>
              <w:b/>
              <w:caps/>
              <w:noProof/>
              <w:sz w:val="14"/>
              <w:szCs w:val="14"/>
              <w:lang w:val="en-US" w:eastAsia="en-US"/>
            </w:rPr>
            <w:drawing>
              <wp:inline distT="0" distB="0" distL="0" distR="0">
                <wp:extent cx="1699260" cy="396875"/>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9260" cy="396875"/>
                        </a:xfrm>
                        <a:prstGeom prst="rect">
                          <a:avLst/>
                        </a:prstGeom>
                        <a:noFill/>
                        <a:ln>
                          <a:noFill/>
                        </a:ln>
                      </pic:spPr>
                    </pic:pic>
                  </a:graphicData>
                </a:graphic>
              </wp:inline>
            </w:drawing>
          </w:r>
        </w:p>
      </w:tc>
      <w:tc>
        <w:tcPr>
          <w:tcW w:w="4720" w:type="dxa"/>
          <w:vMerge w:val="restart"/>
          <w:vAlign w:val="center"/>
        </w:tcPr>
        <w:p w:rsidR="00E92761" w:rsidRDefault="00E92761" w:rsidP="004A361C">
          <w:pPr>
            <w:jc w:val="center"/>
            <w:rPr>
              <w:rFonts w:ascii="Arial" w:hAnsi="Arial" w:cs="Arial"/>
              <w:b/>
              <w:sz w:val="24"/>
              <w:szCs w:val="24"/>
            </w:rPr>
          </w:pPr>
          <w:r>
            <w:rPr>
              <w:rFonts w:ascii="Arial" w:hAnsi="Arial" w:cs="Arial"/>
              <w:b/>
              <w:sz w:val="24"/>
              <w:szCs w:val="24"/>
            </w:rPr>
            <w:t xml:space="preserve">Manual de Políticas de </w:t>
          </w:r>
        </w:p>
        <w:p w:rsidR="00E92761" w:rsidRPr="009A37A7" w:rsidRDefault="00E92761" w:rsidP="004A361C">
          <w:pPr>
            <w:jc w:val="center"/>
            <w:rPr>
              <w:rFonts w:ascii="Arial" w:hAnsi="Arial" w:cs="Arial"/>
              <w:b/>
              <w:sz w:val="24"/>
              <w:szCs w:val="24"/>
            </w:rPr>
          </w:pPr>
          <w:r>
            <w:rPr>
              <w:rFonts w:ascii="Arial" w:hAnsi="Arial" w:cs="Arial"/>
              <w:b/>
              <w:sz w:val="24"/>
              <w:szCs w:val="24"/>
            </w:rPr>
            <w:t xml:space="preserve">Riesgo de Crédito </w:t>
          </w:r>
        </w:p>
      </w:tc>
      <w:tc>
        <w:tcPr>
          <w:tcW w:w="992" w:type="dxa"/>
          <w:vAlign w:val="center"/>
        </w:tcPr>
        <w:p w:rsidR="00E92761" w:rsidRDefault="00E92761" w:rsidP="00715C69">
          <w:pPr>
            <w:pStyle w:val="Encabezado"/>
            <w:rPr>
              <w:rFonts w:ascii="Arial" w:hAnsi="Arial" w:cs="Arial"/>
              <w:b/>
            </w:rPr>
          </w:pPr>
          <w:r>
            <w:rPr>
              <w:rFonts w:ascii="Arial" w:hAnsi="Arial"/>
              <w:b/>
            </w:rPr>
            <w:t>Código:</w:t>
          </w:r>
          <w:r>
            <w:t xml:space="preserve"> </w:t>
          </w:r>
        </w:p>
      </w:tc>
      <w:tc>
        <w:tcPr>
          <w:tcW w:w="1568" w:type="dxa"/>
          <w:vAlign w:val="center"/>
        </w:tcPr>
        <w:p w:rsidR="00E92761" w:rsidRPr="00790985" w:rsidRDefault="00790985" w:rsidP="00715C69">
          <w:pPr>
            <w:pStyle w:val="Encabezado"/>
            <w:jc w:val="center"/>
            <w:rPr>
              <w:rFonts w:ascii="Arial" w:hAnsi="Arial" w:cs="Arial"/>
            </w:rPr>
          </w:pPr>
          <w:r w:rsidRPr="00790985">
            <w:rPr>
              <w:rFonts w:ascii="Arial" w:hAnsi="Arial" w:cs="Arial"/>
            </w:rPr>
            <w:t>Mis.3.10 Man1</w:t>
          </w:r>
        </w:p>
      </w:tc>
    </w:tr>
    <w:bookmarkEnd w:id="40"/>
    <w:tr w:rsidR="00E92761" w:rsidTr="00790985">
      <w:trPr>
        <w:cantSplit/>
        <w:trHeight w:val="147"/>
        <w:jc w:val="center"/>
      </w:trPr>
      <w:tc>
        <w:tcPr>
          <w:tcW w:w="2785" w:type="dxa"/>
          <w:vMerge/>
        </w:tcPr>
        <w:p w:rsidR="00E92761" w:rsidRDefault="00E92761" w:rsidP="00715C69">
          <w:pPr>
            <w:pStyle w:val="Encabezado"/>
            <w:jc w:val="center"/>
            <w:rPr>
              <w:rFonts w:ascii="Arial" w:hAnsi="Arial"/>
            </w:rPr>
          </w:pPr>
        </w:p>
      </w:tc>
      <w:tc>
        <w:tcPr>
          <w:tcW w:w="4720" w:type="dxa"/>
          <w:vMerge/>
        </w:tcPr>
        <w:p w:rsidR="00E92761" w:rsidRDefault="00E92761" w:rsidP="00715C69">
          <w:pPr>
            <w:pStyle w:val="Encabezado"/>
            <w:jc w:val="center"/>
            <w:rPr>
              <w:rFonts w:ascii="Arial" w:hAnsi="Arial"/>
              <w:b/>
            </w:rPr>
          </w:pPr>
        </w:p>
      </w:tc>
      <w:tc>
        <w:tcPr>
          <w:tcW w:w="992" w:type="dxa"/>
          <w:vAlign w:val="center"/>
        </w:tcPr>
        <w:p w:rsidR="00E92761" w:rsidRDefault="00E92761" w:rsidP="00715C69">
          <w:pPr>
            <w:pStyle w:val="Encabezado"/>
            <w:rPr>
              <w:rFonts w:ascii="Arial" w:hAnsi="Arial"/>
              <w:b/>
            </w:rPr>
          </w:pPr>
          <w:r>
            <w:rPr>
              <w:rFonts w:ascii="Arial" w:hAnsi="Arial"/>
              <w:b/>
            </w:rPr>
            <w:t>Fecha:</w:t>
          </w:r>
        </w:p>
      </w:tc>
      <w:tc>
        <w:tcPr>
          <w:tcW w:w="1568" w:type="dxa"/>
          <w:vAlign w:val="center"/>
        </w:tcPr>
        <w:p w:rsidR="00E92761" w:rsidRPr="00790985" w:rsidRDefault="00790985" w:rsidP="00472A79">
          <w:pPr>
            <w:pStyle w:val="Encabezado"/>
            <w:jc w:val="center"/>
            <w:rPr>
              <w:rFonts w:ascii="Arial" w:hAnsi="Arial"/>
            </w:rPr>
          </w:pPr>
          <w:r>
            <w:rPr>
              <w:rFonts w:ascii="Arial" w:hAnsi="Arial"/>
            </w:rPr>
            <w:t>12-10-2018</w:t>
          </w:r>
        </w:p>
      </w:tc>
    </w:tr>
    <w:tr w:rsidR="00E92761" w:rsidTr="00790985">
      <w:trPr>
        <w:cantSplit/>
        <w:trHeight w:val="147"/>
        <w:jc w:val="center"/>
      </w:trPr>
      <w:tc>
        <w:tcPr>
          <w:tcW w:w="2785" w:type="dxa"/>
          <w:vMerge/>
        </w:tcPr>
        <w:p w:rsidR="00E92761" w:rsidRDefault="00E92761" w:rsidP="00715C69">
          <w:pPr>
            <w:pStyle w:val="Encabezado"/>
            <w:jc w:val="center"/>
            <w:rPr>
              <w:rFonts w:ascii="Arial" w:hAnsi="Arial"/>
            </w:rPr>
          </w:pPr>
        </w:p>
      </w:tc>
      <w:tc>
        <w:tcPr>
          <w:tcW w:w="4720" w:type="dxa"/>
          <w:vMerge/>
        </w:tcPr>
        <w:p w:rsidR="00E92761" w:rsidRDefault="00E92761" w:rsidP="00715C69">
          <w:pPr>
            <w:pStyle w:val="Encabezado"/>
            <w:jc w:val="center"/>
            <w:rPr>
              <w:rFonts w:ascii="Arial" w:hAnsi="Arial"/>
              <w:b/>
            </w:rPr>
          </w:pPr>
        </w:p>
      </w:tc>
      <w:tc>
        <w:tcPr>
          <w:tcW w:w="992" w:type="dxa"/>
          <w:vAlign w:val="center"/>
        </w:tcPr>
        <w:p w:rsidR="00E92761" w:rsidRDefault="00E92761" w:rsidP="00715C69">
          <w:pPr>
            <w:pStyle w:val="Encabezado"/>
            <w:rPr>
              <w:rFonts w:ascii="Arial" w:hAnsi="Arial"/>
              <w:b/>
            </w:rPr>
          </w:pPr>
          <w:r>
            <w:rPr>
              <w:rFonts w:ascii="Arial" w:hAnsi="Arial"/>
              <w:b/>
            </w:rPr>
            <w:t xml:space="preserve">Versión: </w:t>
          </w:r>
        </w:p>
      </w:tc>
      <w:tc>
        <w:tcPr>
          <w:tcW w:w="1568" w:type="dxa"/>
          <w:vAlign w:val="center"/>
        </w:tcPr>
        <w:p w:rsidR="00E92761" w:rsidRPr="00790985" w:rsidRDefault="00790985" w:rsidP="00715C69">
          <w:pPr>
            <w:pStyle w:val="Encabezado"/>
            <w:jc w:val="center"/>
            <w:rPr>
              <w:rFonts w:ascii="Arial" w:hAnsi="Arial"/>
            </w:rPr>
          </w:pPr>
          <w:r>
            <w:rPr>
              <w:rFonts w:ascii="Arial" w:hAnsi="Arial"/>
            </w:rPr>
            <w:t>1</w:t>
          </w:r>
        </w:p>
      </w:tc>
    </w:tr>
    <w:tr w:rsidR="00E92761" w:rsidTr="00790985">
      <w:trPr>
        <w:cantSplit/>
        <w:trHeight w:val="148"/>
        <w:jc w:val="center"/>
      </w:trPr>
      <w:tc>
        <w:tcPr>
          <w:tcW w:w="2785" w:type="dxa"/>
          <w:vMerge/>
          <w:tcBorders>
            <w:bottom w:val="single" w:sz="4" w:space="0" w:color="auto"/>
          </w:tcBorders>
        </w:tcPr>
        <w:p w:rsidR="00E92761" w:rsidRDefault="00E92761" w:rsidP="00715C69">
          <w:pPr>
            <w:pStyle w:val="Encabezado"/>
            <w:jc w:val="center"/>
            <w:rPr>
              <w:rFonts w:ascii="Arial" w:hAnsi="Arial"/>
              <w:b/>
            </w:rPr>
          </w:pPr>
        </w:p>
      </w:tc>
      <w:tc>
        <w:tcPr>
          <w:tcW w:w="4720" w:type="dxa"/>
          <w:vMerge/>
          <w:tcBorders>
            <w:bottom w:val="single" w:sz="4" w:space="0" w:color="auto"/>
          </w:tcBorders>
        </w:tcPr>
        <w:p w:rsidR="00E92761" w:rsidRDefault="00E92761" w:rsidP="00715C69">
          <w:pPr>
            <w:pStyle w:val="Encabezado"/>
            <w:jc w:val="center"/>
            <w:rPr>
              <w:rFonts w:ascii="Arial" w:hAnsi="Arial"/>
              <w:b/>
            </w:rPr>
          </w:pPr>
        </w:p>
      </w:tc>
      <w:tc>
        <w:tcPr>
          <w:tcW w:w="992" w:type="dxa"/>
          <w:vAlign w:val="center"/>
        </w:tcPr>
        <w:p w:rsidR="00E92761" w:rsidRDefault="00E92761" w:rsidP="00715C69">
          <w:pPr>
            <w:pStyle w:val="Encabezado"/>
            <w:rPr>
              <w:rFonts w:ascii="Arial" w:hAnsi="Arial"/>
              <w:b/>
            </w:rPr>
          </w:pPr>
          <w:r>
            <w:rPr>
              <w:rFonts w:ascii="Arial" w:hAnsi="Arial"/>
              <w:b/>
            </w:rPr>
            <w:t xml:space="preserve">Página: </w:t>
          </w:r>
        </w:p>
      </w:tc>
      <w:tc>
        <w:tcPr>
          <w:tcW w:w="1568" w:type="dxa"/>
          <w:vAlign w:val="center"/>
        </w:tcPr>
        <w:p w:rsidR="00E92761" w:rsidRPr="00790985" w:rsidRDefault="00E92761" w:rsidP="00472A79">
          <w:pPr>
            <w:pStyle w:val="Encabezado"/>
            <w:jc w:val="center"/>
            <w:rPr>
              <w:rFonts w:ascii="Arial" w:hAnsi="Arial"/>
            </w:rPr>
          </w:pPr>
          <w:r w:rsidRPr="00790985">
            <w:rPr>
              <w:rFonts w:ascii="Arial" w:hAnsi="Arial"/>
            </w:rPr>
            <w:t xml:space="preserve">  </w:t>
          </w:r>
          <w:r w:rsidRPr="00790985">
            <w:rPr>
              <w:rFonts w:ascii="Arial" w:hAnsi="Arial" w:cs="Arial"/>
            </w:rPr>
            <w:fldChar w:fldCharType="begin"/>
          </w:r>
          <w:r w:rsidRPr="00790985">
            <w:rPr>
              <w:rFonts w:ascii="Arial" w:hAnsi="Arial" w:cs="Arial"/>
            </w:rPr>
            <w:instrText>PAGE  \* Arabic  \* MERGEFORMAT</w:instrText>
          </w:r>
          <w:r w:rsidRPr="00790985">
            <w:rPr>
              <w:rFonts w:ascii="Arial" w:hAnsi="Arial" w:cs="Arial"/>
            </w:rPr>
            <w:fldChar w:fldCharType="separate"/>
          </w:r>
          <w:r w:rsidR="00947F10">
            <w:rPr>
              <w:rFonts w:ascii="Arial" w:hAnsi="Arial" w:cs="Arial"/>
              <w:noProof/>
            </w:rPr>
            <w:t>1</w:t>
          </w:r>
          <w:r w:rsidRPr="00790985">
            <w:rPr>
              <w:rFonts w:ascii="Arial" w:hAnsi="Arial" w:cs="Arial"/>
            </w:rPr>
            <w:fldChar w:fldCharType="end"/>
          </w:r>
          <w:r w:rsidRPr="00790985">
            <w:rPr>
              <w:rFonts w:ascii="Arial" w:hAnsi="Arial" w:cs="Arial"/>
            </w:rPr>
            <w:t xml:space="preserve"> de </w:t>
          </w:r>
          <w:r w:rsidRPr="00790985">
            <w:rPr>
              <w:rFonts w:ascii="Arial" w:hAnsi="Arial" w:cs="Arial"/>
            </w:rPr>
            <w:fldChar w:fldCharType="begin"/>
          </w:r>
          <w:r w:rsidRPr="00790985">
            <w:rPr>
              <w:rFonts w:ascii="Arial" w:hAnsi="Arial" w:cs="Arial"/>
            </w:rPr>
            <w:instrText>NUMPAGES  \* Arabic  \* MERGEFORMAT</w:instrText>
          </w:r>
          <w:r w:rsidRPr="00790985">
            <w:rPr>
              <w:rFonts w:ascii="Arial" w:hAnsi="Arial" w:cs="Arial"/>
            </w:rPr>
            <w:fldChar w:fldCharType="separate"/>
          </w:r>
          <w:r w:rsidR="00947F10">
            <w:rPr>
              <w:rFonts w:ascii="Arial" w:hAnsi="Arial" w:cs="Arial"/>
              <w:noProof/>
            </w:rPr>
            <w:t>13</w:t>
          </w:r>
          <w:r w:rsidRPr="00790985">
            <w:rPr>
              <w:rFonts w:ascii="Arial" w:hAnsi="Arial" w:cs="Arial"/>
            </w:rPr>
            <w:fldChar w:fldCharType="end"/>
          </w:r>
        </w:p>
      </w:tc>
    </w:tr>
  </w:tbl>
  <w:p w:rsidR="00E92761" w:rsidRDefault="00E9276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46A5"/>
    <w:multiLevelType w:val="hybridMultilevel"/>
    <w:tmpl w:val="FA3EA7E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16937EB"/>
    <w:multiLevelType w:val="hybridMultilevel"/>
    <w:tmpl w:val="FF0C1E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4A4CA0"/>
    <w:multiLevelType w:val="hybridMultilevel"/>
    <w:tmpl w:val="9714477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4DF1BA4"/>
    <w:multiLevelType w:val="hybridMultilevel"/>
    <w:tmpl w:val="A7B680C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8F42E70"/>
    <w:multiLevelType w:val="hybridMultilevel"/>
    <w:tmpl w:val="7CD6AFB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0A713D63"/>
    <w:multiLevelType w:val="hybridMultilevel"/>
    <w:tmpl w:val="6BB21E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C45608"/>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C25B9A"/>
    <w:multiLevelType w:val="hybridMultilevel"/>
    <w:tmpl w:val="DF86D8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F026BC1"/>
    <w:multiLevelType w:val="hybridMultilevel"/>
    <w:tmpl w:val="2D14D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F970D2"/>
    <w:multiLevelType w:val="hybridMultilevel"/>
    <w:tmpl w:val="E286CADC"/>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1A51073"/>
    <w:multiLevelType w:val="hybridMultilevel"/>
    <w:tmpl w:val="9998D520"/>
    <w:lvl w:ilvl="0" w:tplc="240A0001">
      <w:start w:val="1"/>
      <w:numFmt w:val="bullet"/>
      <w:lvlText w:val=""/>
      <w:lvlJc w:val="left"/>
      <w:pPr>
        <w:tabs>
          <w:tab w:val="num" w:pos="720"/>
        </w:tabs>
        <w:ind w:left="720" w:hanging="360"/>
      </w:pPr>
      <w:rPr>
        <w:rFonts w:ascii="Symbol" w:hAnsi="Symbol" w:hint="default"/>
      </w:rPr>
    </w:lvl>
    <w:lvl w:ilvl="1" w:tplc="240A0003" w:tentative="1">
      <w:start w:val="1"/>
      <w:numFmt w:val="bullet"/>
      <w:lvlText w:val="o"/>
      <w:lvlJc w:val="left"/>
      <w:pPr>
        <w:tabs>
          <w:tab w:val="num" w:pos="1440"/>
        </w:tabs>
        <w:ind w:left="1440" w:hanging="360"/>
      </w:pPr>
      <w:rPr>
        <w:rFonts w:ascii="Courier New" w:hAnsi="Courier New" w:cs="Courier New" w:hint="default"/>
      </w:rPr>
    </w:lvl>
    <w:lvl w:ilvl="2" w:tplc="240A0005" w:tentative="1">
      <w:start w:val="1"/>
      <w:numFmt w:val="bullet"/>
      <w:lvlText w:val=""/>
      <w:lvlJc w:val="left"/>
      <w:pPr>
        <w:tabs>
          <w:tab w:val="num" w:pos="2160"/>
        </w:tabs>
        <w:ind w:left="2160" w:hanging="360"/>
      </w:pPr>
      <w:rPr>
        <w:rFonts w:ascii="Wingdings" w:hAnsi="Wingdings" w:hint="default"/>
      </w:rPr>
    </w:lvl>
    <w:lvl w:ilvl="3" w:tplc="240A0001" w:tentative="1">
      <w:start w:val="1"/>
      <w:numFmt w:val="bullet"/>
      <w:lvlText w:val=""/>
      <w:lvlJc w:val="left"/>
      <w:pPr>
        <w:tabs>
          <w:tab w:val="num" w:pos="2880"/>
        </w:tabs>
        <w:ind w:left="2880" w:hanging="360"/>
      </w:pPr>
      <w:rPr>
        <w:rFonts w:ascii="Symbol" w:hAnsi="Symbol" w:hint="default"/>
      </w:rPr>
    </w:lvl>
    <w:lvl w:ilvl="4" w:tplc="240A0003" w:tentative="1">
      <w:start w:val="1"/>
      <w:numFmt w:val="bullet"/>
      <w:lvlText w:val="o"/>
      <w:lvlJc w:val="left"/>
      <w:pPr>
        <w:tabs>
          <w:tab w:val="num" w:pos="3600"/>
        </w:tabs>
        <w:ind w:left="3600" w:hanging="360"/>
      </w:pPr>
      <w:rPr>
        <w:rFonts w:ascii="Courier New" w:hAnsi="Courier New" w:cs="Courier New" w:hint="default"/>
      </w:rPr>
    </w:lvl>
    <w:lvl w:ilvl="5" w:tplc="240A0005" w:tentative="1">
      <w:start w:val="1"/>
      <w:numFmt w:val="bullet"/>
      <w:lvlText w:val=""/>
      <w:lvlJc w:val="left"/>
      <w:pPr>
        <w:tabs>
          <w:tab w:val="num" w:pos="4320"/>
        </w:tabs>
        <w:ind w:left="4320" w:hanging="360"/>
      </w:pPr>
      <w:rPr>
        <w:rFonts w:ascii="Wingdings" w:hAnsi="Wingdings" w:hint="default"/>
      </w:rPr>
    </w:lvl>
    <w:lvl w:ilvl="6" w:tplc="240A0001" w:tentative="1">
      <w:start w:val="1"/>
      <w:numFmt w:val="bullet"/>
      <w:lvlText w:val=""/>
      <w:lvlJc w:val="left"/>
      <w:pPr>
        <w:tabs>
          <w:tab w:val="num" w:pos="5040"/>
        </w:tabs>
        <w:ind w:left="5040" w:hanging="360"/>
      </w:pPr>
      <w:rPr>
        <w:rFonts w:ascii="Symbol" w:hAnsi="Symbol" w:hint="default"/>
      </w:rPr>
    </w:lvl>
    <w:lvl w:ilvl="7" w:tplc="240A0003" w:tentative="1">
      <w:start w:val="1"/>
      <w:numFmt w:val="bullet"/>
      <w:lvlText w:val="o"/>
      <w:lvlJc w:val="left"/>
      <w:pPr>
        <w:tabs>
          <w:tab w:val="num" w:pos="5760"/>
        </w:tabs>
        <w:ind w:left="5760" w:hanging="360"/>
      </w:pPr>
      <w:rPr>
        <w:rFonts w:ascii="Courier New" w:hAnsi="Courier New" w:cs="Courier New" w:hint="default"/>
      </w:rPr>
    </w:lvl>
    <w:lvl w:ilvl="8" w:tplc="24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1A0363"/>
    <w:multiLevelType w:val="hybridMultilevel"/>
    <w:tmpl w:val="2386505A"/>
    <w:lvl w:ilvl="0" w:tplc="07F82E50">
      <w:start w:val="1"/>
      <w:numFmt w:val="upperLetter"/>
      <w:lvlText w:val="%1."/>
      <w:lvlJc w:val="left"/>
      <w:pPr>
        <w:ind w:left="360" w:hanging="360"/>
      </w:pPr>
      <w:rPr>
        <w:rFonts w:ascii="Arial" w:hAnsi="Arial" w:hint="default"/>
        <w:b/>
        <w:sz w:val="2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1BBC395E"/>
    <w:multiLevelType w:val="hybridMultilevel"/>
    <w:tmpl w:val="158632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C21661B"/>
    <w:multiLevelType w:val="multilevel"/>
    <w:tmpl w:val="D3B8BD70"/>
    <w:lvl w:ilvl="0">
      <w:start w:val="7"/>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14F48"/>
    <w:multiLevelType w:val="hybridMultilevel"/>
    <w:tmpl w:val="A7EA253C"/>
    <w:lvl w:ilvl="0" w:tplc="CA4C6AC0">
      <w:start w:val="1"/>
      <w:numFmt w:val="bullet"/>
      <w:lvlText w:val="•"/>
      <w:lvlJc w:val="left"/>
      <w:pPr>
        <w:ind w:left="360" w:hanging="360"/>
      </w:pPr>
      <w:rPr>
        <w:rFonts w:ascii="Arial" w:hAnsi="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222C21E4"/>
    <w:multiLevelType w:val="hybridMultilevel"/>
    <w:tmpl w:val="3D2E7C8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23B05E32"/>
    <w:multiLevelType w:val="hybridMultilevel"/>
    <w:tmpl w:val="FA02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0445A"/>
    <w:multiLevelType w:val="multilevel"/>
    <w:tmpl w:val="EED6156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A083651"/>
    <w:multiLevelType w:val="hybridMultilevel"/>
    <w:tmpl w:val="081EB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FA7AB8"/>
    <w:multiLevelType w:val="hybridMultilevel"/>
    <w:tmpl w:val="6080A6E2"/>
    <w:lvl w:ilvl="0" w:tplc="CA4C6AC0">
      <w:start w:val="1"/>
      <w:numFmt w:val="bullet"/>
      <w:lvlText w:val="•"/>
      <w:lvlJc w:val="left"/>
      <w:pPr>
        <w:ind w:left="720" w:hanging="360"/>
      </w:pPr>
      <w:rPr>
        <w:rFonts w:ascii="Arial" w:hAnsi="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5890624"/>
    <w:multiLevelType w:val="hybridMultilevel"/>
    <w:tmpl w:val="8B8AA4E4"/>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5FE077E"/>
    <w:multiLevelType w:val="hybridMultilevel"/>
    <w:tmpl w:val="2346B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9F5C60"/>
    <w:multiLevelType w:val="hybridMultilevel"/>
    <w:tmpl w:val="50346C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E185200"/>
    <w:multiLevelType w:val="multilevel"/>
    <w:tmpl w:val="C6068C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3F5B471B"/>
    <w:multiLevelType w:val="hybridMultilevel"/>
    <w:tmpl w:val="AAF0506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5964576"/>
    <w:multiLevelType w:val="multilevel"/>
    <w:tmpl w:val="E6A003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67F2CAC"/>
    <w:multiLevelType w:val="hybridMultilevel"/>
    <w:tmpl w:val="0F5CA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3D35B6"/>
    <w:multiLevelType w:val="hybridMultilevel"/>
    <w:tmpl w:val="B9C2EB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0297C62"/>
    <w:multiLevelType w:val="hybridMultilevel"/>
    <w:tmpl w:val="1BA2824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15:restartNumberingAfterBreak="0">
    <w:nsid w:val="52501227"/>
    <w:multiLevelType w:val="hybridMultilevel"/>
    <w:tmpl w:val="262CB6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5EE5F41"/>
    <w:multiLevelType w:val="hybridMultilevel"/>
    <w:tmpl w:val="37484256"/>
    <w:lvl w:ilvl="0" w:tplc="0C0A000F">
      <w:start w:val="1"/>
      <w:numFmt w:val="decimal"/>
      <w:lvlText w:val="%1."/>
      <w:lvlJc w:val="left"/>
      <w:pPr>
        <w:ind w:left="578" w:hanging="360"/>
      </w:pPr>
    </w:lvl>
    <w:lvl w:ilvl="1" w:tplc="240A0019">
      <w:start w:val="1"/>
      <w:numFmt w:val="lowerLetter"/>
      <w:lvlText w:val="%2."/>
      <w:lvlJc w:val="left"/>
      <w:pPr>
        <w:ind w:left="1298" w:hanging="360"/>
      </w:pPr>
    </w:lvl>
    <w:lvl w:ilvl="2" w:tplc="240A001B">
      <w:start w:val="1"/>
      <w:numFmt w:val="lowerRoman"/>
      <w:lvlText w:val="%3."/>
      <w:lvlJc w:val="right"/>
      <w:pPr>
        <w:ind w:left="2018" w:hanging="180"/>
      </w:pPr>
    </w:lvl>
    <w:lvl w:ilvl="3" w:tplc="240A000F">
      <w:start w:val="1"/>
      <w:numFmt w:val="decimal"/>
      <w:lvlText w:val="%4."/>
      <w:lvlJc w:val="left"/>
      <w:pPr>
        <w:ind w:left="2738" w:hanging="360"/>
      </w:pPr>
    </w:lvl>
    <w:lvl w:ilvl="4" w:tplc="240A0019">
      <w:start w:val="1"/>
      <w:numFmt w:val="lowerLetter"/>
      <w:lvlText w:val="%5."/>
      <w:lvlJc w:val="left"/>
      <w:pPr>
        <w:ind w:left="3458" w:hanging="360"/>
      </w:pPr>
    </w:lvl>
    <w:lvl w:ilvl="5" w:tplc="240A001B">
      <w:start w:val="1"/>
      <w:numFmt w:val="lowerRoman"/>
      <w:lvlText w:val="%6."/>
      <w:lvlJc w:val="right"/>
      <w:pPr>
        <w:ind w:left="4178" w:hanging="180"/>
      </w:pPr>
    </w:lvl>
    <w:lvl w:ilvl="6" w:tplc="240A000F">
      <w:start w:val="1"/>
      <w:numFmt w:val="decimal"/>
      <w:lvlText w:val="%7."/>
      <w:lvlJc w:val="left"/>
      <w:pPr>
        <w:ind w:left="4898" w:hanging="360"/>
      </w:pPr>
    </w:lvl>
    <w:lvl w:ilvl="7" w:tplc="240A0019">
      <w:start w:val="1"/>
      <w:numFmt w:val="lowerLetter"/>
      <w:lvlText w:val="%8."/>
      <w:lvlJc w:val="left"/>
      <w:pPr>
        <w:ind w:left="5618" w:hanging="360"/>
      </w:pPr>
    </w:lvl>
    <w:lvl w:ilvl="8" w:tplc="240A001B">
      <w:start w:val="1"/>
      <w:numFmt w:val="lowerRoman"/>
      <w:lvlText w:val="%9."/>
      <w:lvlJc w:val="right"/>
      <w:pPr>
        <w:ind w:left="6338" w:hanging="180"/>
      </w:pPr>
    </w:lvl>
  </w:abstractNum>
  <w:abstractNum w:abstractNumId="31" w15:restartNumberingAfterBreak="0">
    <w:nsid w:val="5C672546"/>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CD06153"/>
    <w:multiLevelType w:val="hybridMultilevel"/>
    <w:tmpl w:val="FE1866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F2F5D7E"/>
    <w:multiLevelType w:val="hybridMultilevel"/>
    <w:tmpl w:val="8452E27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15:restartNumberingAfterBreak="0">
    <w:nsid w:val="623D0498"/>
    <w:multiLevelType w:val="hybridMultilevel"/>
    <w:tmpl w:val="E7D2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643674"/>
    <w:multiLevelType w:val="hybridMultilevel"/>
    <w:tmpl w:val="6236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7C7D63"/>
    <w:multiLevelType w:val="multilevel"/>
    <w:tmpl w:val="CE60DD4A"/>
    <w:lvl w:ilvl="0">
      <w:start w:val="1"/>
      <w:numFmt w:val="decimal"/>
      <w:lvlText w:val="%1."/>
      <w:lvlJc w:val="left"/>
      <w:pPr>
        <w:ind w:left="6456" w:hanging="360"/>
      </w:pPr>
      <w:rPr>
        <w:rFonts w:hint="default"/>
        <w:sz w:val="24"/>
        <w:szCs w:val="24"/>
        <w:lang w:val="es-E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sz w:val="24"/>
        <w:szCs w:val="26"/>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28120FC"/>
    <w:multiLevelType w:val="hybridMultilevel"/>
    <w:tmpl w:val="5734CD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76777965"/>
    <w:multiLevelType w:val="hybridMultilevel"/>
    <w:tmpl w:val="E78214EC"/>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79A334EC"/>
    <w:multiLevelType w:val="hybridMultilevel"/>
    <w:tmpl w:val="C3505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BF077CC"/>
    <w:multiLevelType w:val="hybridMultilevel"/>
    <w:tmpl w:val="3F84FE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EC817F9"/>
    <w:multiLevelType w:val="multilevel"/>
    <w:tmpl w:val="BFCEE97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8F649C"/>
    <w:multiLevelType w:val="hybridMultilevel"/>
    <w:tmpl w:val="E6E6CC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37"/>
  </w:num>
  <w:num w:numId="2">
    <w:abstractNumId w:val="19"/>
  </w:num>
  <w:num w:numId="3">
    <w:abstractNumId w:val="31"/>
  </w:num>
  <w:num w:numId="4">
    <w:abstractNumId w:val="6"/>
  </w:num>
  <w:num w:numId="5">
    <w:abstractNumId w:val="14"/>
  </w:num>
  <w:num w:numId="6">
    <w:abstractNumId w:val="11"/>
  </w:num>
  <w:num w:numId="7">
    <w:abstractNumId w:val="9"/>
  </w:num>
  <w:num w:numId="8">
    <w:abstractNumId w:val="24"/>
  </w:num>
  <w:num w:numId="9">
    <w:abstractNumId w:val="3"/>
  </w:num>
  <w:num w:numId="10">
    <w:abstractNumId w:val="38"/>
  </w:num>
  <w:num w:numId="11">
    <w:abstractNumId w:val="0"/>
  </w:num>
  <w:num w:numId="12">
    <w:abstractNumId w:val="42"/>
  </w:num>
  <w:num w:numId="13">
    <w:abstractNumId w:val="12"/>
  </w:num>
  <w:num w:numId="14">
    <w:abstractNumId w:val="28"/>
  </w:num>
  <w:num w:numId="15">
    <w:abstractNumId w:val="33"/>
  </w:num>
  <w:num w:numId="16">
    <w:abstractNumId w:val="4"/>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5"/>
  </w:num>
  <w:num w:numId="20">
    <w:abstractNumId w:val="23"/>
  </w:num>
  <w:num w:numId="21">
    <w:abstractNumId w:val="16"/>
  </w:num>
  <w:num w:numId="22">
    <w:abstractNumId w:val="21"/>
  </w:num>
  <w:num w:numId="23">
    <w:abstractNumId w:val="8"/>
  </w:num>
  <w:num w:numId="24">
    <w:abstractNumId w:val="18"/>
  </w:num>
  <w:num w:numId="25">
    <w:abstractNumId w:val="35"/>
  </w:num>
  <w:num w:numId="26">
    <w:abstractNumId w:val="2"/>
  </w:num>
  <w:num w:numId="27">
    <w:abstractNumId w:val="36"/>
  </w:num>
  <w:num w:numId="28">
    <w:abstractNumId w:val="1"/>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num>
  <w:num w:numId="31">
    <w:abstractNumId w:val="15"/>
  </w:num>
  <w:num w:numId="32">
    <w:abstractNumId w:val="27"/>
  </w:num>
  <w:num w:numId="33">
    <w:abstractNumId w:val="39"/>
  </w:num>
  <w:num w:numId="34">
    <w:abstractNumId w:val="29"/>
  </w:num>
  <w:num w:numId="35">
    <w:abstractNumId w:val="32"/>
  </w:num>
  <w:num w:numId="36">
    <w:abstractNumId w:val="7"/>
  </w:num>
  <w:num w:numId="37">
    <w:abstractNumId w:val="10"/>
  </w:num>
  <w:num w:numId="38">
    <w:abstractNumId w:val="13"/>
  </w:num>
  <w:num w:numId="39">
    <w:abstractNumId w:val="20"/>
  </w:num>
  <w:num w:numId="40">
    <w:abstractNumId w:val="17"/>
  </w:num>
  <w:num w:numId="41">
    <w:abstractNumId w:val="41"/>
  </w:num>
  <w:num w:numId="42">
    <w:abstractNumId w:val="25"/>
  </w:num>
  <w:num w:numId="43">
    <w:abstractNumId w:val="26"/>
  </w:num>
  <w:num w:numId="44">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3938"/>
    <w:rsid w:val="000063D5"/>
    <w:rsid w:val="00021888"/>
    <w:rsid w:val="00022B38"/>
    <w:rsid w:val="00022C54"/>
    <w:rsid w:val="00022FEC"/>
    <w:rsid w:val="00035405"/>
    <w:rsid w:val="000363FA"/>
    <w:rsid w:val="00037657"/>
    <w:rsid w:val="00045B39"/>
    <w:rsid w:val="00047A24"/>
    <w:rsid w:val="00051BB2"/>
    <w:rsid w:val="00063D1A"/>
    <w:rsid w:val="00072085"/>
    <w:rsid w:val="00072C48"/>
    <w:rsid w:val="000778CC"/>
    <w:rsid w:val="00085C57"/>
    <w:rsid w:val="000915CA"/>
    <w:rsid w:val="000956E7"/>
    <w:rsid w:val="00095A8F"/>
    <w:rsid w:val="000977F7"/>
    <w:rsid w:val="000A42B1"/>
    <w:rsid w:val="000B092A"/>
    <w:rsid w:val="000B16C1"/>
    <w:rsid w:val="000B4F7D"/>
    <w:rsid w:val="000C09D3"/>
    <w:rsid w:val="000C0C01"/>
    <w:rsid w:val="000C1928"/>
    <w:rsid w:val="000E4554"/>
    <w:rsid w:val="000E64EF"/>
    <w:rsid w:val="000F585F"/>
    <w:rsid w:val="00101B24"/>
    <w:rsid w:val="00102614"/>
    <w:rsid w:val="001161C7"/>
    <w:rsid w:val="00120071"/>
    <w:rsid w:val="00131653"/>
    <w:rsid w:val="00137531"/>
    <w:rsid w:val="00143357"/>
    <w:rsid w:val="00147335"/>
    <w:rsid w:val="0015312C"/>
    <w:rsid w:val="00155B8C"/>
    <w:rsid w:val="00175F87"/>
    <w:rsid w:val="00183D82"/>
    <w:rsid w:val="00184FE0"/>
    <w:rsid w:val="001869CF"/>
    <w:rsid w:val="00193A4D"/>
    <w:rsid w:val="00196DC6"/>
    <w:rsid w:val="0019712C"/>
    <w:rsid w:val="001A1C63"/>
    <w:rsid w:val="001A4C39"/>
    <w:rsid w:val="001A7EDF"/>
    <w:rsid w:val="001C136F"/>
    <w:rsid w:val="001C3D92"/>
    <w:rsid w:val="001D0C57"/>
    <w:rsid w:val="001D6664"/>
    <w:rsid w:val="001E756F"/>
    <w:rsid w:val="001E7A62"/>
    <w:rsid w:val="001F0483"/>
    <w:rsid w:val="001F289E"/>
    <w:rsid w:val="001F416E"/>
    <w:rsid w:val="001F67F1"/>
    <w:rsid w:val="001F779D"/>
    <w:rsid w:val="002007F5"/>
    <w:rsid w:val="00205A68"/>
    <w:rsid w:val="00210C94"/>
    <w:rsid w:val="00214097"/>
    <w:rsid w:val="002239D8"/>
    <w:rsid w:val="002277F8"/>
    <w:rsid w:val="002307A2"/>
    <w:rsid w:val="00236220"/>
    <w:rsid w:val="002400D9"/>
    <w:rsid w:val="002409BB"/>
    <w:rsid w:val="00241A86"/>
    <w:rsid w:val="002457C1"/>
    <w:rsid w:val="0025351E"/>
    <w:rsid w:val="002648FF"/>
    <w:rsid w:val="00264F65"/>
    <w:rsid w:val="002724A4"/>
    <w:rsid w:val="002830EC"/>
    <w:rsid w:val="00292688"/>
    <w:rsid w:val="00293AFA"/>
    <w:rsid w:val="00295E82"/>
    <w:rsid w:val="002972B9"/>
    <w:rsid w:val="002A62EE"/>
    <w:rsid w:val="002A7C4C"/>
    <w:rsid w:val="002E041D"/>
    <w:rsid w:val="002E2C76"/>
    <w:rsid w:val="002E556A"/>
    <w:rsid w:val="002F02AA"/>
    <w:rsid w:val="002F271F"/>
    <w:rsid w:val="00314C44"/>
    <w:rsid w:val="00326A7F"/>
    <w:rsid w:val="00326F30"/>
    <w:rsid w:val="003278E5"/>
    <w:rsid w:val="00327910"/>
    <w:rsid w:val="00331F46"/>
    <w:rsid w:val="003327D5"/>
    <w:rsid w:val="00333204"/>
    <w:rsid w:val="003375DF"/>
    <w:rsid w:val="00337E5D"/>
    <w:rsid w:val="00342616"/>
    <w:rsid w:val="003434BD"/>
    <w:rsid w:val="00353A16"/>
    <w:rsid w:val="00360C32"/>
    <w:rsid w:val="00363BAD"/>
    <w:rsid w:val="00370F38"/>
    <w:rsid w:val="00372BE9"/>
    <w:rsid w:val="00375012"/>
    <w:rsid w:val="00377878"/>
    <w:rsid w:val="003823CD"/>
    <w:rsid w:val="00385B09"/>
    <w:rsid w:val="00386147"/>
    <w:rsid w:val="0038616B"/>
    <w:rsid w:val="00386542"/>
    <w:rsid w:val="00387816"/>
    <w:rsid w:val="0039287A"/>
    <w:rsid w:val="00397FC2"/>
    <w:rsid w:val="003A1535"/>
    <w:rsid w:val="003A2C33"/>
    <w:rsid w:val="003A6EE4"/>
    <w:rsid w:val="003B2C01"/>
    <w:rsid w:val="003B4BFB"/>
    <w:rsid w:val="003B729A"/>
    <w:rsid w:val="003B778A"/>
    <w:rsid w:val="003C066E"/>
    <w:rsid w:val="003C686A"/>
    <w:rsid w:val="003D278C"/>
    <w:rsid w:val="003D347E"/>
    <w:rsid w:val="003E28E6"/>
    <w:rsid w:val="003F1038"/>
    <w:rsid w:val="003F5745"/>
    <w:rsid w:val="003F5C7B"/>
    <w:rsid w:val="00400CB0"/>
    <w:rsid w:val="00401E07"/>
    <w:rsid w:val="00405B5B"/>
    <w:rsid w:val="00410BD2"/>
    <w:rsid w:val="00414A58"/>
    <w:rsid w:val="004206A1"/>
    <w:rsid w:val="00425472"/>
    <w:rsid w:val="00436166"/>
    <w:rsid w:val="00436E0B"/>
    <w:rsid w:val="00452029"/>
    <w:rsid w:val="00454E0D"/>
    <w:rsid w:val="00456CA7"/>
    <w:rsid w:val="004667EF"/>
    <w:rsid w:val="00471453"/>
    <w:rsid w:val="00472365"/>
    <w:rsid w:val="00472A45"/>
    <w:rsid w:val="00472A79"/>
    <w:rsid w:val="00475231"/>
    <w:rsid w:val="00476611"/>
    <w:rsid w:val="004857F2"/>
    <w:rsid w:val="00493006"/>
    <w:rsid w:val="004A02FE"/>
    <w:rsid w:val="004A0461"/>
    <w:rsid w:val="004A361C"/>
    <w:rsid w:val="004A4FCE"/>
    <w:rsid w:val="004B79F3"/>
    <w:rsid w:val="004C5997"/>
    <w:rsid w:val="004D4ED1"/>
    <w:rsid w:val="004E14DA"/>
    <w:rsid w:val="004E5AE1"/>
    <w:rsid w:val="004E7BF0"/>
    <w:rsid w:val="004F44EB"/>
    <w:rsid w:val="00500030"/>
    <w:rsid w:val="0050564C"/>
    <w:rsid w:val="0050701C"/>
    <w:rsid w:val="00510729"/>
    <w:rsid w:val="00510FCF"/>
    <w:rsid w:val="00513A23"/>
    <w:rsid w:val="00514D7B"/>
    <w:rsid w:val="00520CE6"/>
    <w:rsid w:val="00524CD7"/>
    <w:rsid w:val="00525A90"/>
    <w:rsid w:val="00533CDB"/>
    <w:rsid w:val="00535A29"/>
    <w:rsid w:val="0054571A"/>
    <w:rsid w:val="00547CF9"/>
    <w:rsid w:val="0055158A"/>
    <w:rsid w:val="005519C8"/>
    <w:rsid w:val="005565B2"/>
    <w:rsid w:val="00556D0A"/>
    <w:rsid w:val="00557E98"/>
    <w:rsid w:val="00560C71"/>
    <w:rsid w:val="00561EE6"/>
    <w:rsid w:val="00566D2D"/>
    <w:rsid w:val="00574783"/>
    <w:rsid w:val="005755D6"/>
    <w:rsid w:val="005761C3"/>
    <w:rsid w:val="00577909"/>
    <w:rsid w:val="00594B42"/>
    <w:rsid w:val="00594C8D"/>
    <w:rsid w:val="005A7608"/>
    <w:rsid w:val="005B0F9C"/>
    <w:rsid w:val="005D15D1"/>
    <w:rsid w:val="005D2C18"/>
    <w:rsid w:val="005D725E"/>
    <w:rsid w:val="005E1CB4"/>
    <w:rsid w:val="005E4121"/>
    <w:rsid w:val="005E4533"/>
    <w:rsid w:val="005E669E"/>
    <w:rsid w:val="00600BC9"/>
    <w:rsid w:val="006032C5"/>
    <w:rsid w:val="00604D3C"/>
    <w:rsid w:val="00607015"/>
    <w:rsid w:val="00611C5F"/>
    <w:rsid w:val="00615496"/>
    <w:rsid w:val="00615BD6"/>
    <w:rsid w:val="00620D0C"/>
    <w:rsid w:val="006222AA"/>
    <w:rsid w:val="00622AE5"/>
    <w:rsid w:val="00626373"/>
    <w:rsid w:val="00630D8A"/>
    <w:rsid w:val="00652842"/>
    <w:rsid w:val="0065350D"/>
    <w:rsid w:val="00653694"/>
    <w:rsid w:val="00655C8F"/>
    <w:rsid w:val="006564E6"/>
    <w:rsid w:val="00656CE8"/>
    <w:rsid w:val="006576A0"/>
    <w:rsid w:val="006579B0"/>
    <w:rsid w:val="00670D20"/>
    <w:rsid w:val="0067548E"/>
    <w:rsid w:val="00675582"/>
    <w:rsid w:val="006761A3"/>
    <w:rsid w:val="00676EFE"/>
    <w:rsid w:val="006771ED"/>
    <w:rsid w:val="006865B0"/>
    <w:rsid w:val="00690FF1"/>
    <w:rsid w:val="00692BC0"/>
    <w:rsid w:val="006A097D"/>
    <w:rsid w:val="006A09EA"/>
    <w:rsid w:val="006A1555"/>
    <w:rsid w:val="006B056D"/>
    <w:rsid w:val="006B15F1"/>
    <w:rsid w:val="006B198A"/>
    <w:rsid w:val="006B5B82"/>
    <w:rsid w:val="006C06DA"/>
    <w:rsid w:val="006C5D5F"/>
    <w:rsid w:val="006C63CF"/>
    <w:rsid w:val="006D3997"/>
    <w:rsid w:val="006E3ACC"/>
    <w:rsid w:val="006E3F80"/>
    <w:rsid w:val="006F4C6D"/>
    <w:rsid w:val="006F6E91"/>
    <w:rsid w:val="007007D9"/>
    <w:rsid w:val="007017D6"/>
    <w:rsid w:val="007036E3"/>
    <w:rsid w:val="00703C9C"/>
    <w:rsid w:val="00704835"/>
    <w:rsid w:val="00704BAC"/>
    <w:rsid w:val="007056EA"/>
    <w:rsid w:val="007115E6"/>
    <w:rsid w:val="0071376A"/>
    <w:rsid w:val="00715C69"/>
    <w:rsid w:val="00725B97"/>
    <w:rsid w:val="0072727E"/>
    <w:rsid w:val="00733C7F"/>
    <w:rsid w:val="00740B48"/>
    <w:rsid w:val="00745947"/>
    <w:rsid w:val="00755DA2"/>
    <w:rsid w:val="0075716D"/>
    <w:rsid w:val="00773094"/>
    <w:rsid w:val="00780A33"/>
    <w:rsid w:val="00780D87"/>
    <w:rsid w:val="00781E3A"/>
    <w:rsid w:val="0078679A"/>
    <w:rsid w:val="00790985"/>
    <w:rsid w:val="007920F8"/>
    <w:rsid w:val="007A17A0"/>
    <w:rsid w:val="007A4604"/>
    <w:rsid w:val="007A47A0"/>
    <w:rsid w:val="007A4A9B"/>
    <w:rsid w:val="007A7E06"/>
    <w:rsid w:val="007C5522"/>
    <w:rsid w:val="007C5ADC"/>
    <w:rsid w:val="007C65AF"/>
    <w:rsid w:val="007C71EE"/>
    <w:rsid w:val="007C74E6"/>
    <w:rsid w:val="007D5B30"/>
    <w:rsid w:val="007E0751"/>
    <w:rsid w:val="007F1B74"/>
    <w:rsid w:val="007F39A4"/>
    <w:rsid w:val="0080382D"/>
    <w:rsid w:val="00804F18"/>
    <w:rsid w:val="008122B1"/>
    <w:rsid w:val="00812745"/>
    <w:rsid w:val="0081339E"/>
    <w:rsid w:val="0081362B"/>
    <w:rsid w:val="0081583A"/>
    <w:rsid w:val="00821D43"/>
    <w:rsid w:val="00826516"/>
    <w:rsid w:val="008410A5"/>
    <w:rsid w:val="00844A95"/>
    <w:rsid w:val="00854CDF"/>
    <w:rsid w:val="00857116"/>
    <w:rsid w:val="008636B6"/>
    <w:rsid w:val="008653EE"/>
    <w:rsid w:val="00865A16"/>
    <w:rsid w:val="00867753"/>
    <w:rsid w:val="00870964"/>
    <w:rsid w:val="00871018"/>
    <w:rsid w:val="0087418B"/>
    <w:rsid w:val="008809E7"/>
    <w:rsid w:val="00882366"/>
    <w:rsid w:val="00883C2A"/>
    <w:rsid w:val="008B4895"/>
    <w:rsid w:val="008B58C2"/>
    <w:rsid w:val="008B660F"/>
    <w:rsid w:val="008C2C73"/>
    <w:rsid w:val="008E38B4"/>
    <w:rsid w:val="008E44CA"/>
    <w:rsid w:val="008E6E7A"/>
    <w:rsid w:val="008F0E72"/>
    <w:rsid w:val="008F55CA"/>
    <w:rsid w:val="0090151D"/>
    <w:rsid w:val="0091158D"/>
    <w:rsid w:val="00914CC9"/>
    <w:rsid w:val="00917268"/>
    <w:rsid w:val="0092547E"/>
    <w:rsid w:val="009264AA"/>
    <w:rsid w:val="009279C2"/>
    <w:rsid w:val="00932B30"/>
    <w:rsid w:val="009371D7"/>
    <w:rsid w:val="0094407F"/>
    <w:rsid w:val="00947F10"/>
    <w:rsid w:val="00974849"/>
    <w:rsid w:val="009750E0"/>
    <w:rsid w:val="00976124"/>
    <w:rsid w:val="00977B45"/>
    <w:rsid w:val="009808D0"/>
    <w:rsid w:val="009A37A7"/>
    <w:rsid w:val="009B349C"/>
    <w:rsid w:val="009C23A7"/>
    <w:rsid w:val="009C420F"/>
    <w:rsid w:val="009C441F"/>
    <w:rsid w:val="009C53A3"/>
    <w:rsid w:val="009D7458"/>
    <w:rsid w:val="009E0FDB"/>
    <w:rsid w:val="00A033F1"/>
    <w:rsid w:val="00A0515B"/>
    <w:rsid w:val="00A10F14"/>
    <w:rsid w:val="00A14ED4"/>
    <w:rsid w:val="00A15198"/>
    <w:rsid w:val="00A21B40"/>
    <w:rsid w:val="00A23D16"/>
    <w:rsid w:val="00A3796D"/>
    <w:rsid w:val="00A41425"/>
    <w:rsid w:val="00A41B0C"/>
    <w:rsid w:val="00A434F6"/>
    <w:rsid w:val="00A51563"/>
    <w:rsid w:val="00A52CBB"/>
    <w:rsid w:val="00A6161F"/>
    <w:rsid w:val="00A65C7E"/>
    <w:rsid w:val="00A668FF"/>
    <w:rsid w:val="00A67D94"/>
    <w:rsid w:val="00A723B1"/>
    <w:rsid w:val="00A848B1"/>
    <w:rsid w:val="00A86001"/>
    <w:rsid w:val="00A86089"/>
    <w:rsid w:val="00A8722D"/>
    <w:rsid w:val="00A95CE9"/>
    <w:rsid w:val="00AB03D9"/>
    <w:rsid w:val="00AB4ECC"/>
    <w:rsid w:val="00AB715C"/>
    <w:rsid w:val="00AB763A"/>
    <w:rsid w:val="00AC74D3"/>
    <w:rsid w:val="00AE5F0A"/>
    <w:rsid w:val="00AE6EF5"/>
    <w:rsid w:val="00AF4B62"/>
    <w:rsid w:val="00B012FC"/>
    <w:rsid w:val="00B07CF2"/>
    <w:rsid w:val="00B10CBA"/>
    <w:rsid w:val="00B1289E"/>
    <w:rsid w:val="00B130ED"/>
    <w:rsid w:val="00B20B34"/>
    <w:rsid w:val="00B30209"/>
    <w:rsid w:val="00B30928"/>
    <w:rsid w:val="00B41296"/>
    <w:rsid w:val="00B41743"/>
    <w:rsid w:val="00B4360D"/>
    <w:rsid w:val="00B53EA8"/>
    <w:rsid w:val="00B56F8B"/>
    <w:rsid w:val="00B614BC"/>
    <w:rsid w:val="00B66D95"/>
    <w:rsid w:val="00B76D25"/>
    <w:rsid w:val="00B77336"/>
    <w:rsid w:val="00B77799"/>
    <w:rsid w:val="00B82F8D"/>
    <w:rsid w:val="00B91C84"/>
    <w:rsid w:val="00B92904"/>
    <w:rsid w:val="00BA388C"/>
    <w:rsid w:val="00BA5D73"/>
    <w:rsid w:val="00BB09A0"/>
    <w:rsid w:val="00BB7D0E"/>
    <w:rsid w:val="00BD60F1"/>
    <w:rsid w:val="00BD67C1"/>
    <w:rsid w:val="00BE6950"/>
    <w:rsid w:val="00BE6ABE"/>
    <w:rsid w:val="00BF02B1"/>
    <w:rsid w:val="00BF28DD"/>
    <w:rsid w:val="00BF3745"/>
    <w:rsid w:val="00BF4EEE"/>
    <w:rsid w:val="00BF7F26"/>
    <w:rsid w:val="00C000E5"/>
    <w:rsid w:val="00C14CF7"/>
    <w:rsid w:val="00C164C6"/>
    <w:rsid w:val="00C221C4"/>
    <w:rsid w:val="00C24C9B"/>
    <w:rsid w:val="00C30CC6"/>
    <w:rsid w:val="00C3411F"/>
    <w:rsid w:val="00C35F84"/>
    <w:rsid w:val="00C37ED3"/>
    <w:rsid w:val="00C41CD3"/>
    <w:rsid w:val="00C424A7"/>
    <w:rsid w:val="00C43516"/>
    <w:rsid w:val="00C45C23"/>
    <w:rsid w:val="00C508E6"/>
    <w:rsid w:val="00C5105C"/>
    <w:rsid w:val="00C51843"/>
    <w:rsid w:val="00C5184B"/>
    <w:rsid w:val="00C53565"/>
    <w:rsid w:val="00C54EEF"/>
    <w:rsid w:val="00C55185"/>
    <w:rsid w:val="00C579F8"/>
    <w:rsid w:val="00C65D11"/>
    <w:rsid w:val="00C66DFA"/>
    <w:rsid w:val="00C72D97"/>
    <w:rsid w:val="00C87D87"/>
    <w:rsid w:val="00C95485"/>
    <w:rsid w:val="00C95CE0"/>
    <w:rsid w:val="00CA27AC"/>
    <w:rsid w:val="00CB26AD"/>
    <w:rsid w:val="00CB4196"/>
    <w:rsid w:val="00CC12BC"/>
    <w:rsid w:val="00CC4DD8"/>
    <w:rsid w:val="00CC6DA2"/>
    <w:rsid w:val="00CD3A73"/>
    <w:rsid w:val="00CD797D"/>
    <w:rsid w:val="00CE1921"/>
    <w:rsid w:val="00CE79BB"/>
    <w:rsid w:val="00CF6C5F"/>
    <w:rsid w:val="00D03ACB"/>
    <w:rsid w:val="00D21C18"/>
    <w:rsid w:val="00D221DD"/>
    <w:rsid w:val="00D255E3"/>
    <w:rsid w:val="00D26192"/>
    <w:rsid w:val="00D33F4D"/>
    <w:rsid w:val="00D347FC"/>
    <w:rsid w:val="00D4131C"/>
    <w:rsid w:val="00D41D63"/>
    <w:rsid w:val="00D672F8"/>
    <w:rsid w:val="00D733D2"/>
    <w:rsid w:val="00D745CE"/>
    <w:rsid w:val="00D74945"/>
    <w:rsid w:val="00D77102"/>
    <w:rsid w:val="00D851BD"/>
    <w:rsid w:val="00D92917"/>
    <w:rsid w:val="00D9330E"/>
    <w:rsid w:val="00D9412B"/>
    <w:rsid w:val="00DA0835"/>
    <w:rsid w:val="00DA13FB"/>
    <w:rsid w:val="00DA72D1"/>
    <w:rsid w:val="00DA7511"/>
    <w:rsid w:val="00DB0A03"/>
    <w:rsid w:val="00DB347D"/>
    <w:rsid w:val="00DC036D"/>
    <w:rsid w:val="00DC3F2C"/>
    <w:rsid w:val="00DC4155"/>
    <w:rsid w:val="00DC5FFC"/>
    <w:rsid w:val="00DE3810"/>
    <w:rsid w:val="00DE4E79"/>
    <w:rsid w:val="00DE505F"/>
    <w:rsid w:val="00DF5FD9"/>
    <w:rsid w:val="00DF643E"/>
    <w:rsid w:val="00E00CE9"/>
    <w:rsid w:val="00E02FE8"/>
    <w:rsid w:val="00E076DE"/>
    <w:rsid w:val="00E07D63"/>
    <w:rsid w:val="00E11FDA"/>
    <w:rsid w:val="00E16904"/>
    <w:rsid w:val="00E16949"/>
    <w:rsid w:val="00E25DA1"/>
    <w:rsid w:val="00E355C8"/>
    <w:rsid w:val="00E37327"/>
    <w:rsid w:val="00E50031"/>
    <w:rsid w:val="00E51E1D"/>
    <w:rsid w:val="00E530EF"/>
    <w:rsid w:val="00E6512B"/>
    <w:rsid w:val="00E66534"/>
    <w:rsid w:val="00E702B9"/>
    <w:rsid w:val="00E7687A"/>
    <w:rsid w:val="00E77DD0"/>
    <w:rsid w:val="00E84233"/>
    <w:rsid w:val="00E923F4"/>
    <w:rsid w:val="00E92761"/>
    <w:rsid w:val="00EA4651"/>
    <w:rsid w:val="00EC1FD5"/>
    <w:rsid w:val="00EC4AA7"/>
    <w:rsid w:val="00EC52C8"/>
    <w:rsid w:val="00ED2BFC"/>
    <w:rsid w:val="00EE1127"/>
    <w:rsid w:val="00EE7950"/>
    <w:rsid w:val="00EF5AA4"/>
    <w:rsid w:val="00F006C1"/>
    <w:rsid w:val="00F00DF9"/>
    <w:rsid w:val="00F13279"/>
    <w:rsid w:val="00F162AF"/>
    <w:rsid w:val="00F20FC3"/>
    <w:rsid w:val="00F25B8A"/>
    <w:rsid w:val="00F368E9"/>
    <w:rsid w:val="00F373F2"/>
    <w:rsid w:val="00F41600"/>
    <w:rsid w:val="00F42314"/>
    <w:rsid w:val="00F46C4E"/>
    <w:rsid w:val="00F5305E"/>
    <w:rsid w:val="00F55465"/>
    <w:rsid w:val="00F62D49"/>
    <w:rsid w:val="00F63578"/>
    <w:rsid w:val="00F6440B"/>
    <w:rsid w:val="00F65272"/>
    <w:rsid w:val="00F76949"/>
    <w:rsid w:val="00F82DEA"/>
    <w:rsid w:val="00F83FB3"/>
    <w:rsid w:val="00F94126"/>
    <w:rsid w:val="00F9741E"/>
    <w:rsid w:val="00FB181C"/>
    <w:rsid w:val="00FB5252"/>
    <w:rsid w:val="00FC0056"/>
    <w:rsid w:val="00FC0F0B"/>
    <w:rsid w:val="00FC21F1"/>
    <w:rsid w:val="00FC6E04"/>
    <w:rsid w:val="00FC7B17"/>
    <w:rsid w:val="00FD7C27"/>
    <w:rsid w:val="00FE32FC"/>
    <w:rsid w:val="00FE4210"/>
    <w:rsid w:val="00FE52EC"/>
    <w:rsid w:val="00FE7839"/>
    <w:rsid w:val="00FF01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6B3DA9"/>
  <w15:docId w15:val="{95E594C4-48C7-45C4-9441-4674E7C31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uiPriority w:val="9"/>
    <w:qFormat/>
    <w:pPr>
      <w:keepNext/>
      <w:widowControl w:val="0"/>
      <w:jc w:val="center"/>
      <w:outlineLvl w:val="0"/>
    </w:pPr>
    <w:rPr>
      <w:b/>
      <w:sz w:val="18"/>
    </w:rPr>
  </w:style>
  <w:style w:type="paragraph" w:styleId="Ttulo2">
    <w:name w:val="heading 2"/>
    <w:basedOn w:val="Normal"/>
    <w:next w:val="Normal"/>
    <w:qFormat/>
    <w:rsid w:val="00E92761"/>
    <w:pPr>
      <w:keepNext/>
      <w:widowControl w:val="0"/>
      <w:jc w:val="both"/>
      <w:outlineLvl w:val="1"/>
    </w:pPr>
    <w:rPr>
      <w:rFonts w:ascii="Arial Narrow" w:hAnsi="Arial Narrow"/>
      <w:b/>
      <w:sz w:val="24"/>
    </w:rPr>
  </w:style>
  <w:style w:type="paragraph" w:styleId="Ttulo3">
    <w:name w:val="heading 3"/>
    <w:basedOn w:val="Normal"/>
    <w:next w:val="Normal"/>
    <w:qFormat/>
    <w:rsid w:val="00E92761"/>
    <w:pPr>
      <w:keepNext/>
      <w:widowControl w:val="0"/>
      <w:outlineLvl w:val="2"/>
    </w:pPr>
    <w:rPr>
      <w:rFonts w:ascii="Arial Narrow" w:hAnsi="Arial Narrow"/>
      <w:b/>
      <w:sz w:val="24"/>
    </w:rPr>
  </w:style>
  <w:style w:type="paragraph" w:styleId="Ttulo4">
    <w:name w:val="heading 4"/>
    <w:basedOn w:val="Normal"/>
    <w:next w:val="Normal"/>
    <w:qFormat/>
    <w:rsid w:val="008C2C73"/>
    <w:pPr>
      <w:keepNext/>
      <w:widowControl w:val="0"/>
      <w:outlineLvl w:val="3"/>
    </w:pPr>
    <w:rPr>
      <w:rFonts w:ascii="Arial Narrow" w:hAnsi="Arial Narrow"/>
      <w:b/>
      <w:sz w:val="24"/>
    </w:rPr>
  </w:style>
  <w:style w:type="paragraph" w:styleId="Ttulo5">
    <w:name w:val="heading 5"/>
    <w:basedOn w:val="Normal"/>
    <w:next w:val="Normal"/>
    <w:qFormat/>
    <w:rsid w:val="008C2C73"/>
    <w:pPr>
      <w:keepNext/>
      <w:jc w:val="center"/>
      <w:outlineLvl w:val="4"/>
    </w:pPr>
    <w:rPr>
      <w:rFonts w:ascii="Arial Narrow" w:hAnsi="Arial Narrow"/>
      <w:b/>
      <w:sz w:val="24"/>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pPr>
      <w:keepNext/>
      <w:widowControl w:val="0"/>
      <w:jc w:val="both"/>
      <w:outlineLvl w:val="6"/>
    </w:pPr>
    <w:rPr>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sid w:val="0039287A"/>
    <w:pPr>
      <w:tabs>
        <w:tab w:val="left" w:pos="440"/>
        <w:tab w:val="right" w:leader="dot" w:pos="8830"/>
      </w:tabs>
    </w:pPr>
    <w:rPr>
      <w:rFonts w:ascii="Arial Narrow" w:hAnsi="Arial Narrow" w:cs="Arial"/>
      <w:b/>
      <w:noProof/>
      <w:sz w:val="24"/>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styleId="Prrafodelista">
    <w:name w:val="List Paragraph"/>
    <w:basedOn w:val="Normal"/>
    <w:uiPriority w:val="99"/>
    <w:qFormat/>
    <w:rsid w:val="004A361C"/>
    <w:pPr>
      <w:ind w:left="708"/>
    </w:pPr>
  </w:style>
  <w:style w:type="paragraph" w:styleId="NormalWeb">
    <w:name w:val="Normal (Web)"/>
    <w:basedOn w:val="Normal"/>
    <w:uiPriority w:val="99"/>
    <w:unhideWhenUsed/>
    <w:rsid w:val="00CB26AD"/>
    <w:pPr>
      <w:spacing w:before="100" w:beforeAutospacing="1" w:after="100" w:afterAutospacing="1"/>
    </w:pPr>
    <w:rPr>
      <w:sz w:val="24"/>
      <w:szCs w:val="24"/>
      <w:lang w:val="en-US" w:eastAsia="en-US"/>
    </w:rPr>
  </w:style>
  <w:style w:type="paragraph" w:styleId="TtuloTDC">
    <w:name w:val="TOC Heading"/>
    <w:basedOn w:val="Ttulo1"/>
    <w:next w:val="Normal"/>
    <w:uiPriority w:val="39"/>
    <w:unhideWhenUsed/>
    <w:qFormat/>
    <w:rsid w:val="0094407F"/>
    <w:pPr>
      <w:keepLines/>
      <w:widowControl/>
      <w:spacing w:before="240" w:line="259" w:lineRule="auto"/>
      <w:jc w:val="left"/>
      <w:outlineLvl w:val="9"/>
    </w:pPr>
    <w:rPr>
      <w:rFonts w:ascii="Calibri Light" w:hAnsi="Calibri Light"/>
      <w:b w:val="0"/>
      <w:color w:val="2E74B5"/>
      <w:sz w:val="32"/>
      <w:szCs w:val="32"/>
      <w:lang w:val="en-US" w:eastAsia="en-US"/>
    </w:rPr>
  </w:style>
  <w:style w:type="paragraph" w:styleId="TDC2">
    <w:name w:val="toc 2"/>
    <w:basedOn w:val="Normal"/>
    <w:next w:val="Normal"/>
    <w:autoRedefine/>
    <w:uiPriority w:val="39"/>
    <w:rsid w:val="0094407F"/>
    <w:pPr>
      <w:tabs>
        <w:tab w:val="left" w:pos="709"/>
        <w:tab w:val="right" w:leader="dot" w:pos="8830"/>
      </w:tabs>
    </w:pPr>
  </w:style>
  <w:style w:type="paragraph" w:styleId="TDC3">
    <w:name w:val="toc 3"/>
    <w:basedOn w:val="Normal"/>
    <w:next w:val="Normal"/>
    <w:autoRedefine/>
    <w:uiPriority w:val="39"/>
    <w:rsid w:val="00740B48"/>
    <w:pPr>
      <w:tabs>
        <w:tab w:val="left" w:pos="1100"/>
        <w:tab w:val="right" w:leader="dot" w:pos="8830"/>
      </w:tabs>
    </w:pPr>
  </w:style>
  <w:style w:type="paragraph" w:styleId="Ttulo">
    <w:name w:val="Title"/>
    <w:basedOn w:val="Normal"/>
    <w:link w:val="TtuloCar"/>
    <w:qFormat/>
    <w:rsid w:val="008C2C73"/>
    <w:pPr>
      <w:jc w:val="center"/>
    </w:pPr>
    <w:rPr>
      <w:rFonts w:ascii="Arial Narrow" w:hAnsi="Arial Narrow" w:cs="Arial"/>
      <w:b/>
      <w:sz w:val="24"/>
      <w:lang w:val="es-MX"/>
    </w:rPr>
  </w:style>
  <w:style w:type="character" w:customStyle="1" w:styleId="TtuloCar">
    <w:name w:val="Título Car"/>
    <w:link w:val="Ttulo"/>
    <w:rsid w:val="008C2C73"/>
    <w:rPr>
      <w:rFonts w:ascii="Arial Narrow" w:hAnsi="Arial Narrow" w:cs="Arial"/>
      <w:b/>
      <w:sz w:val="24"/>
      <w:lang w:val="es-MX" w:eastAsia="es-ES"/>
    </w:rPr>
  </w:style>
  <w:style w:type="character" w:styleId="nfasis">
    <w:name w:val="Emphasis"/>
    <w:qFormat/>
    <w:rsid w:val="00E92761"/>
    <w:rPr>
      <w:rFonts w:ascii="Arial Narrow" w:hAnsi="Arial Narrow"/>
      <w:b/>
      <w:i w:val="0"/>
      <w:iCs/>
      <w:color w:val="auto"/>
      <w:sz w:val="24"/>
    </w:rPr>
  </w:style>
  <w:style w:type="paragraph" w:styleId="TDC4">
    <w:name w:val="toc 4"/>
    <w:basedOn w:val="Normal"/>
    <w:next w:val="Normal"/>
    <w:autoRedefine/>
    <w:uiPriority w:val="39"/>
    <w:rsid w:val="00740B48"/>
    <w:pPr>
      <w:tabs>
        <w:tab w:val="left" w:pos="1540"/>
        <w:tab w:val="right" w:leader="dot" w:pos="8830"/>
      </w:tabs>
    </w:pPr>
  </w:style>
  <w:style w:type="paragraph" w:styleId="TDC5">
    <w:name w:val="toc 5"/>
    <w:basedOn w:val="Normal"/>
    <w:next w:val="Normal"/>
    <w:autoRedefine/>
    <w:uiPriority w:val="39"/>
    <w:rsid w:val="00740B48"/>
    <w:pPr>
      <w:tabs>
        <w:tab w:val="left" w:pos="1935"/>
        <w:tab w:val="right" w:leader="dot" w:pos="883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005400409">
      <w:bodyDiv w:val="1"/>
      <w:marLeft w:val="0"/>
      <w:marRight w:val="0"/>
      <w:marTop w:val="0"/>
      <w:marBottom w:val="0"/>
      <w:divBdr>
        <w:top w:val="none" w:sz="0" w:space="0" w:color="auto"/>
        <w:left w:val="none" w:sz="0" w:space="0" w:color="auto"/>
        <w:bottom w:val="none" w:sz="0" w:space="0" w:color="auto"/>
        <w:right w:val="none" w:sz="0" w:space="0" w:color="auto"/>
      </w:divBdr>
    </w:div>
    <w:div w:id="1029645884">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779906112">
      <w:bodyDiv w:val="1"/>
      <w:marLeft w:val="0"/>
      <w:marRight w:val="0"/>
      <w:marTop w:val="0"/>
      <w:marBottom w:val="0"/>
      <w:divBdr>
        <w:top w:val="none" w:sz="0" w:space="0" w:color="auto"/>
        <w:left w:val="none" w:sz="0" w:space="0" w:color="auto"/>
        <w:bottom w:val="none" w:sz="0" w:space="0" w:color="auto"/>
        <w:right w:val="none" w:sz="0" w:space="0" w:color="auto"/>
      </w:divBdr>
    </w:div>
    <w:div w:id="1806967824">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1045970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c2ac60471bac0c5a8e5ea017ba9b2431">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b07367b0fa94af7ad7845e0e17936045"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enumeration value="Gestión TIC y de la Informa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enumeration value="Mis.5.1 Expedición Normativa y Emisión de Conceptos"/>
          <xsd:enumeration value="Mis.5.2 Coordinación  y Seguimiento a los Asuntos Legislativos"/>
          <xsd:enumeration value="Apo.6.1 Atención al ciudadano e instituciones"/>
          <xsd:enumeration value="Apo.6.2 Atención a Derechos de Petición y Emisión de Conceptos Jurídicos"/>
          <xsd:enumeration value="Eva.1.2 Control Disciplinario Interno"/>
          <xsd:enumeration value="Apo.1.4 Gestión de Información"/>
          <xsd:enumeration value="Est.2.1 Gestión de Comunicaciones"/>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 xmlns="1d121436-e6f9-4fa4-bb3f-81f41704d615">93</Nivel>
    <Idioma_x0020_Documento xmlns="82ecf687-28d5-485b-a37e-d2c94b36a158">Español</Idioma_x0020_Documento>
    <Proceso xmlns="1d121436-e6f9-4fa4-bb3f-81f41704d615">Est. 1.4 Administración, mejoramiento e innovación del SUG</Proceso>
    <Resumen_x0020_del_x0020_Documento xmlns="82ecf687-28d5-485b-a37e-d2c94b36a158" xsi:nil="true"/>
    <Macroproceso xmlns="1d121436-e6f9-4fa4-bb3f-81f41704d615">Direccionamiento Estratégico</Macroproceso>
    <Palabras_x0020_Claves xmlns="82ecf687-28d5-485b-a37e-d2c94b36a158" xsi:nil="true"/>
    <Versión_x0020_Documento xmlns="1d121436-e6f9-4fa4-bb3f-81f41704d615" xsi:nil="true"/>
    <Nivel_x0020_Macroproceso xmlns="1d121436-e6f9-4fa4-bb3f-81f41704d615" xsi:nil="true"/>
    <Fecha_x0020_del_x0020_Documento xmlns="82ecf687-28d5-485b-a37e-d2c94b36a158" xsi:nil="true"/>
    <Autores xmlns="82ecf687-28d5-485b-a37e-d2c94b36a158">
      <UserInfo>
        <DisplayName/>
        <AccountId xsi:nil="true"/>
        <AccountType/>
      </UserInfo>
    </Autores>
    <Formato_x0020_Documento xmlns="82ecf687-28d5-485b-a37e-d2c94b36a158" xsi:nil="true"/>
    <Año xmlns="1d121436-e6f9-4fa4-bb3f-81f41704d615">2010</Año>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3BB7E-2E7B-41EC-8DD7-4F5699C15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FEA86-1122-49C0-8B7D-2710C4551EB2}">
  <ds:schemaRefs>
    <ds:schemaRef ds:uri="http://schemas.microsoft.com/sharepoint/v3/contenttype/forms"/>
  </ds:schemaRefs>
</ds:datastoreItem>
</file>

<file path=customXml/itemProps3.xml><?xml version="1.0" encoding="utf-8"?>
<ds:datastoreItem xmlns:ds="http://schemas.openxmlformats.org/officeDocument/2006/customXml" ds:itemID="{302EE1BC-977D-4A3E-8AFE-405F7ECC8EDB}">
  <ds:schemaRefs>
    <ds:schemaRef ds:uri="http://schemas.microsoft.com/office/2006/metadata/longProperties"/>
  </ds:schemaRefs>
</ds:datastoreItem>
</file>

<file path=customXml/itemProps4.xml><?xml version="1.0" encoding="utf-8"?>
<ds:datastoreItem xmlns:ds="http://schemas.openxmlformats.org/officeDocument/2006/customXml" ds:itemID="{2EEB9051-FA3C-4E78-BFE5-14420C33647C}">
  <ds:schemaRefs>
    <ds:schemaRef ds:uri="82ecf687-28d5-485b-a37e-d2c94b36a158"/>
    <ds:schemaRef ds:uri="http://schemas.microsoft.com/office/2006/documentManagement/types"/>
    <ds:schemaRef ds:uri="http://purl.org/dc/terms/"/>
    <ds:schemaRef ds:uri="http://schemas.openxmlformats.org/package/2006/metadata/core-properties"/>
    <ds:schemaRef ds:uri="aac6e9ca-a293-4c82-8e9f-9055b12d24a8"/>
    <ds:schemaRef ds:uri="http://www.w3.org/XML/1998/namespace"/>
    <ds:schemaRef ds:uri="http://schemas.microsoft.com/office/infopath/2007/PartnerControls"/>
    <ds:schemaRef ds:uri="http://purl.org/dc/elements/1.1/"/>
    <ds:schemaRef ds:uri="1d121436-e6f9-4fa4-bb3f-81f41704d615"/>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7CB9EF7E-0F91-456D-8255-28ED9180F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3902</Words>
  <Characters>23332</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27180</CharactersWithSpaces>
  <SharedDoc>false</SharedDoc>
  <HLinks>
    <vt:vector size="168" baseType="variant">
      <vt:variant>
        <vt:i4>1507385</vt:i4>
      </vt:variant>
      <vt:variant>
        <vt:i4>164</vt:i4>
      </vt:variant>
      <vt:variant>
        <vt:i4>0</vt:i4>
      </vt:variant>
      <vt:variant>
        <vt:i4>5</vt:i4>
      </vt:variant>
      <vt:variant>
        <vt:lpwstr/>
      </vt:variant>
      <vt:variant>
        <vt:lpwstr>_Toc527123904</vt:lpwstr>
      </vt:variant>
      <vt:variant>
        <vt:i4>1507385</vt:i4>
      </vt:variant>
      <vt:variant>
        <vt:i4>158</vt:i4>
      </vt:variant>
      <vt:variant>
        <vt:i4>0</vt:i4>
      </vt:variant>
      <vt:variant>
        <vt:i4>5</vt:i4>
      </vt:variant>
      <vt:variant>
        <vt:lpwstr/>
      </vt:variant>
      <vt:variant>
        <vt:lpwstr>_Toc527123903</vt:lpwstr>
      </vt:variant>
      <vt:variant>
        <vt:i4>1507385</vt:i4>
      </vt:variant>
      <vt:variant>
        <vt:i4>152</vt:i4>
      </vt:variant>
      <vt:variant>
        <vt:i4>0</vt:i4>
      </vt:variant>
      <vt:variant>
        <vt:i4>5</vt:i4>
      </vt:variant>
      <vt:variant>
        <vt:lpwstr/>
      </vt:variant>
      <vt:variant>
        <vt:lpwstr>_Toc527123902</vt:lpwstr>
      </vt:variant>
      <vt:variant>
        <vt:i4>1507385</vt:i4>
      </vt:variant>
      <vt:variant>
        <vt:i4>146</vt:i4>
      </vt:variant>
      <vt:variant>
        <vt:i4>0</vt:i4>
      </vt:variant>
      <vt:variant>
        <vt:i4>5</vt:i4>
      </vt:variant>
      <vt:variant>
        <vt:lpwstr/>
      </vt:variant>
      <vt:variant>
        <vt:lpwstr>_Toc527123901</vt:lpwstr>
      </vt:variant>
      <vt:variant>
        <vt:i4>1507385</vt:i4>
      </vt:variant>
      <vt:variant>
        <vt:i4>140</vt:i4>
      </vt:variant>
      <vt:variant>
        <vt:i4>0</vt:i4>
      </vt:variant>
      <vt:variant>
        <vt:i4>5</vt:i4>
      </vt:variant>
      <vt:variant>
        <vt:lpwstr/>
      </vt:variant>
      <vt:variant>
        <vt:lpwstr>_Toc527123900</vt:lpwstr>
      </vt:variant>
      <vt:variant>
        <vt:i4>1966136</vt:i4>
      </vt:variant>
      <vt:variant>
        <vt:i4>134</vt:i4>
      </vt:variant>
      <vt:variant>
        <vt:i4>0</vt:i4>
      </vt:variant>
      <vt:variant>
        <vt:i4>5</vt:i4>
      </vt:variant>
      <vt:variant>
        <vt:lpwstr/>
      </vt:variant>
      <vt:variant>
        <vt:lpwstr>_Toc527123899</vt:lpwstr>
      </vt:variant>
      <vt:variant>
        <vt:i4>1966136</vt:i4>
      </vt:variant>
      <vt:variant>
        <vt:i4>128</vt:i4>
      </vt:variant>
      <vt:variant>
        <vt:i4>0</vt:i4>
      </vt:variant>
      <vt:variant>
        <vt:i4>5</vt:i4>
      </vt:variant>
      <vt:variant>
        <vt:lpwstr/>
      </vt:variant>
      <vt:variant>
        <vt:lpwstr>_Toc527123898</vt:lpwstr>
      </vt:variant>
      <vt:variant>
        <vt:i4>1966136</vt:i4>
      </vt:variant>
      <vt:variant>
        <vt:i4>122</vt:i4>
      </vt:variant>
      <vt:variant>
        <vt:i4>0</vt:i4>
      </vt:variant>
      <vt:variant>
        <vt:i4>5</vt:i4>
      </vt:variant>
      <vt:variant>
        <vt:lpwstr/>
      </vt:variant>
      <vt:variant>
        <vt:lpwstr>_Toc527123897</vt:lpwstr>
      </vt:variant>
      <vt:variant>
        <vt:i4>1966136</vt:i4>
      </vt:variant>
      <vt:variant>
        <vt:i4>116</vt:i4>
      </vt:variant>
      <vt:variant>
        <vt:i4>0</vt:i4>
      </vt:variant>
      <vt:variant>
        <vt:i4>5</vt:i4>
      </vt:variant>
      <vt:variant>
        <vt:lpwstr/>
      </vt:variant>
      <vt:variant>
        <vt:lpwstr>_Toc527123896</vt:lpwstr>
      </vt:variant>
      <vt:variant>
        <vt:i4>1966136</vt:i4>
      </vt:variant>
      <vt:variant>
        <vt:i4>110</vt:i4>
      </vt:variant>
      <vt:variant>
        <vt:i4>0</vt:i4>
      </vt:variant>
      <vt:variant>
        <vt:i4>5</vt:i4>
      </vt:variant>
      <vt:variant>
        <vt:lpwstr/>
      </vt:variant>
      <vt:variant>
        <vt:lpwstr>_Toc527123895</vt:lpwstr>
      </vt:variant>
      <vt:variant>
        <vt:i4>1966136</vt:i4>
      </vt:variant>
      <vt:variant>
        <vt:i4>104</vt:i4>
      </vt:variant>
      <vt:variant>
        <vt:i4>0</vt:i4>
      </vt:variant>
      <vt:variant>
        <vt:i4>5</vt:i4>
      </vt:variant>
      <vt:variant>
        <vt:lpwstr/>
      </vt:variant>
      <vt:variant>
        <vt:lpwstr>_Toc527123894</vt:lpwstr>
      </vt:variant>
      <vt:variant>
        <vt:i4>1966136</vt:i4>
      </vt:variant>
      <vt:variant>
        <vt:i4>98</vt:i4>
      </vt:variant>
      <vt:variant>
        <vt:i4>0</vt:i4>
      </vt:variant>
      <vt:variant>
        <vt:i4>5</vt:i4>
      </vt:variant>
      <vt:variant>
        <vt:lpwstr/>
      </vt:variant>
      <vt:variant>
        <vt:lpwstr>_Toc527123893</vt:lpwstr>
      </vt:variant>
      <vt:variant>
        <vt:i4>1966136</vt:i4>
      </vt:variant>
      <vt:variant>
        <vt:i4>92</vt:i4>
      </vt:variant>
      <vt:variant>
        <vt:i4>0</vt:i4>
      </vt:variant>
      <vt:variant>
        <vt:i4>5</vt:i4>
      </vt:variant>
      <vt:variant>
        <vt:lpwstr/>
      </vt:variant>
      <vt:variant>
        <vt:lpwstr>_Toc527123892</vt:lpwstr>
      </vt:variant>
      <vt:variant>
        <vt:i4>1966136</vt:i4>
      </vt:variant>
      <vt:variant>
        <vt:i4>86</vt:i4>
      </vt:variant>
      <vt:variant>
        <vt:i4>0</vt:i4>
      </vt:variant>
      <vt:variant>
        <vt:i4>5</vt:i4>
      </vt:variant>
      <vt:variant>
        <vt:lpwstr/>
      </vt:variant>
      <vt:variant>
        <vt:lpwstr>_Toc527123891</vt:lpwstr>
      </vt:variant>
      <vt:variant>
        <vt:i4>1966136</vt:i4>
      </vt:variant>
      <vt:variant>
        <vt:i4>80</vt:i4>
      </vt:variant>
      <vt:variant>
        <vt:i4>0</vt:i4>
      </vt:variant>
      <vt:variant>
        <vt:i4>5</vt:i4>
      </vt:variant>
      <vt:variant>
        <vt:lpwstr/>
      </vt:variant>
      <vt:variant>
        <vt:lpwstr>_Toc527123890</vt:lpwstr>
      </vt:variant>
      <vt:variant>
        <vt:i4>2031672</vt:i4>
      </vt:variant>
      <vt:variant>
        <vt:i4>74</vt:i4>
      </vt:variant>
      <vt:variant>
        <vt:i4>0</vt:i4>
      </vt:variant>
      <vt:variant>
        <vt:i4>5</vt:i4>
      </vt:variant>
      <vt:variant>
        <vt:lpwstr/>
      </vt:variant>
      <vt:variant>
        <vt:lpwstr>_Toc527123889</vt:lpwstr>
      </vt:variant>
      <vt:variant>
        <vt:i4>2031672</vt:i4>
      </vt:variant>
      <vt:variant>
        <vt:i4>68</vt:i4>
      </vt:variant>
      <vt:variant>
        <vt:i4>0</vt:i4>
      </vt:variant>
      <vt:variant>
        <vt:i4>5</vt:i4>
      </vt:variant>
      <vt:variant>
        <vt:lpwstr/>
      </vt:variant>
      <vt:variant>
        <vt:lpwstr>_Toc527123888</vt:lpwstr>
      </vt:variant>
      <vt:variant>
        <vt:i4>2031672</vt:i4>
      </vt:variant>
      <vt:variant>
        <vt:i4>62</vt:i4>
      </vt:variant>
      <vt:variant>
        <vt:i4>0</vt:i4>
      </vt:variant>
      <vt:variant>
        <vt:i4>5</vt:i4>
      </vt:variant>
      <vt:variant>
        <vt:lpwstr/>
      </vt:variant>
      <vt:variant>
        <vt:lpwstr>_Toc527123887</vt:lpwstr>
      </vt:variant>
      <vt:variant>
        <vt:i4>2031672</vt:i4>
      </vt:variant>
      <vt:variant>
        <vt:i4>56</vt:i4>
      </vt:variant>
      <vt:variant>
        <vt:i4>0</vt:i4>
      </vt:variant>
      <vt:variant>
        <vt:i4>5</vt:i4>
      </vt:variant>
      <vt:variant>
        <vt:lpwstr/>
      </vt:variant>
      <vt:variant>
        <vt:lpwstr>_Toc527123886</vt:lpwstr>
      </vt:variant>
      <vt:variant>
        <vt:i4>2031672</vt:i4>
      </vt:variant>
      <vt:variant>
        <vt:i4>50</vt:i4>
      </vt:variant>
      <vt:variant>
        <vt:i4>0</vt:i4>
      </vt:variant>
      <vt:variant>
        <vt:i4>5</vt:i4>
      </vt:variant>
      <vt:variant>
        <vt:lpwstr/>
      </vt:variant>
      <vt:variant>
        <vt:lpwstr>_Toc527123885</vt:lpwstr>
      </vt:variant>
      <vt:variant>
        <vt:i4>2031672</vt:i4>
      </vt:variant>
      <vt:variant>
        <vt:i4>44</vt:i4>
      </vt:variant>
      <vt:variant>
        <vt:i4>0</vt:i4>
      </vt:variant>
      <vt:variant>
        <vt:i4>5</vt:i4>
      </vt:variant>
      <vt:variant>
        <vt:lpwstr/>
      </vt:variant>
      <vt:variant>
        <vt:lpwstr>_Toc527123884</vt:lpwstr>
      </vt:variant>
      <vt:variant>
        <vt:i4>2031672</vt:i4>
      </vt:variant>
      <vt:variant>
        <vt:i4>38</vt:i4>
      </vt:variant>
      <vt:variant>
        <vt:i4>0</vt:i4>
      </vt:variant>
      <vt:variant>
        <vt:i4>5</vt:i4>
      </vt:variant>
      <vt:variant>
        <vt:lpwstr/>
      </vt:variant>
      <vt:variant>
        <vt:lpwstr>_Toc527123883</vt:lpwstr>
      </vt:variant>
      <vt:variant>
        <vt:i4>2031672</vt:i4>
      </vt:variant>
      <vt:variant>
        <vt:i4>32</vt:i4>
      </vt:variant>
      <vt:variant>
        <vt:i4>0</vt:i4>
      </vt:variant>
      <vt:variant>
        <vt:i4>5</vt:i4>
      </vt:variant>
      <vt:variant>
        <vt:lpwstr/>
      </vt:variant>
      <vt:variant>
        <vt:lpwstr>_Toc527123882</vt:lpwstr>
      </vt:variant>
      <vt:variant>
        <vt:i4>2031672</vt:i4>
      </vt:variant>
      <vt:variant>
        <vt:i4>26</vt:i4>
      </vt:variant>
      <vt:variant>
        <vt:i4>0</vt:i4>
      </vt:variant>
      <vt:variant>
        <vt:i4>5</vt:i4>
      </vt:variant>
      <vt:variant>
        <vt:lpwstr/>
      </vt:variant>
      <vt:variant>
        <vt:lpwstr>_Toc527123881</vt:lpwstr>
      </vt:variant>
      <vt:variant>
        <vt:i4>2031672</vt:i4>
      </vt:variant>
      <vt:variant>
        <vt:i4>20</vt:i4>
      </vt:variant>
      <vt:variant>
        <vt:i4>0</vt:i4>
      </vt:variant>
      <vt:variant>
        <vt:i4>5</vt:i4>
      </vt:variant>
      <vt:variant>
        <vt:lpwstr/>
      </vt:variant>
      <vt:variant>
        <vt:lpwstr>_Toc527123880</vt:lpwstr>
      </vt:variant>
      <vt:variant>
        <vt:i4>1048632</vt:i4>
      </vt:variant>
      <vt:variant>
        <vt:i4>14</vt:i4>
      </vt:variant>
      <vt:variant>
        <vt:i4>0</vt:i4>
      </vt:variant>
      <vt:variant>
        <vt:i4>5</vt:i4>
      </vt:variant>
      <vt:variant>
        <vt:lpwstr/>
      </vt:variant>
      <vt:variant>
        <vt:lpwstr>_Toc527123879</vt:lpwstr>
      </vt:variant>
      <vt:variant>
        <vt:i4>1048632</vt:i4>
      </vt:variant>
      <vt:variant>
        <vt:i4>8</vt:i4>
      </vt:variant>
      <vt:variant>
        <vt:i4>0</vt:i4>
      </vt:variant>
      <vt:variant>
        <vt:i4>5</vt:i4>
      </vt:variant>
      <vt:variant>
        <vt:lpwstr/>
      </vt:variant>
      <vt:variant>
        <vt:lpwstr>_Toc527123878</vt:lpwstr>
      </vt:variant>
      <vt:variant>
        <vt:i4>1048632</vt:i4>
      </vt:variant>
      <vt:variant>
        <vt:i4>2</vt:i4>
      </vt:variant>
      <vt:variant>
        <vt:i4>0</vt:i4>
      </vt:variant>
      <vt:variant>
        <vt:i4>5</vt:i4>
      </vt:variant>
      <vt:variant>
        <vt:lpwstr/>
      </vt:variant>
      <vt:variant>
        <vt:lpwstr>_Toc527123877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vane</dc:creator>
  <cp:lastModifiedBy>Daissy Tatiana Santos Yate</cp:lastModifiedBy>
  <cp:revision>2</cp:revision>
  <cp:lastPrinted>2014-02-06T14:11:00Z</cp:lastPrinted>
  <dcterms:created xsi:type="dcterms:W3CDTF">2018-10-30T18:39:00Z</dcterms:created>
  <dcterms:modified xsi:type="dcterms:W3CDTF">2018-10-30T18:39:00Z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ies>
</file>