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52EC" w:rsidRPr="00DA65AA" w:rsidRDefault="00932B30" w:rsidP="00EE6F03">
      <w:pPr>
        <w:jc w:val="center"/>
        <w:rPr>
          <w:rFonts w:ascii="Arial Narrow" w:hAnsi="Arial Narrow" w:cs="Arial"/>
          <w:b/>
          <w:sz w:val="24"/>
          <w:szCs w:val="24"/>
        </w:rPr>
      </w:pPr>
      <w:bookmarkStart w:id="0" w:name="_Toc126147374"/>
      <w:bookmarkStart w:id="1" w:name="_Toc126301040"/>
      <w:r w:rsidRPr="00DA65AA">
        <w:rPr>
          <w:rFonts w:ascii="Arial Narrow" w:hAnsi="Arial Narrow"/>
          <w:b/>
          <w:sz w:val="24"/>
          <w:szCs w:val="24"/>
        </w:rPr>
        <w:t>TA</w:t>
      </w:r>
      <w:r w:rsidR="00FE52EC" w:rsidRPr="00DA65AA">
        <w:rPr>
          <w:rFonts w:ascii="Arial Narrow" w:hAnsi="Arial Narrow"/>
          <w:b/>
          <w:sz w:val="24"/>
          <w:szCs w:val="24"/>
        </w:rPr>
        <w:t>BLA DE CONTENIDO</w:t>
      </w:r>
    </w:p>
    <w:p w:rsidR="008636B6" w:rsidRPr="00DA65AA" w:rsidRDefault="008636B6" w:rsidP="00CB26AD">
      <w:pPr>
        <w:jc w:val="both"/>
        <w:rPr>
          <w:rFonts w:ascii="Arial Narrow" w:hAnsi="Arial Narrow" w:cs="Arial"/>
          <w:sz w:val="24"/>
          <w:szCs w:val="24"/>
        </w:rPr>
      </w:pPr>
    </w:p>
    <w:p w:rsidR="00171A99" w:rsidRPr="00242C43" w:rsidRDefault="00954628">
      <w:pPr>
        <w:pStyle w:val="TDC1"/>
        <w:rPr>
          <w:rFonts w:eastAsiaTheme="minorEastAsia" w:cstheme="minorBidi"/>
          <w:b w:val="0"/>
          <w:szCs w:val="24"/>
          <w:lang w:val="es-CO" w:eastAsia="es-CO"/>
        </w:rPr>
      </w:pPr>
      <w:r w:rsidRPr="00171A99">
        <w:rPr>
          <w:b w:val="0"/>
          <w:szCs w:val="24"/>
        </w:rPr>
        <w:fldChar w:fldCharType="begin"/>
      </w:r>
      <w:r w:rsidRPr="00171A99">
        <w:rPr>
          <w:b w:val="0"/>
          <w:szCs w:val="24"/>
        </w:rPr>
        <w:instrText xml:space="preserve"> TOC \o "1-6" \h \z \u </w:instrText>
      </w:r>
      <w:r w:rsidRPr="00171A99">
        <w:rPr>
          <w:b w:val="0"/>
          <w:szCs w:val="24"/>
        </w:rPr>
        <w:fldChar w:fldCharType="separate"/>
      </w:r>
      <w:hyperlink w:anchor="_Toc4596408" w:history="1">
        <w:r w:rsidR="00171A99" w:rsidRPr="00242C43">
          <w:rPr>
            <w:rStyle w:val="Hipervnculo"/>
            <w:b w:val="0"/>
            <w:szCs w:val="24"/>
          </w:rPr>
          <w:t>1.</w:t>
        </w:r>
        <w:r w:rsidR="00171A99" w:rsidRPr="00242C43">
          <w:rPr>
            <w:rFonts w:eastAsiaTheme="minorEastAsia" w:cstheme="minorBidi"/>
            <w:b w:val="0"/>
            <w:szCs w:val="24"/>
            <w:lang w:val="es-CO" w:eastAsia="es-CO"/>
          </w:rPr>
          <w:tab/>
        </w:r>
        <w:r w:rsidR="00171A99" w:rsidRPr="00242C43">
          <w:rPr>
            <w:rStyle w:val="Hipervnculo"/>
            <w:b w:val="0"/>
            <w:szCs w:val="24"/>
          </w:rPr>
          <w:t>INTRODUCCIÓN</w:t>
        </w:r>
        <w:r w:rsidR="00171A99" w:rsidRPr="00242C43">
          <w:rPr>
            <w:b w:val="0"/>
            <w:webHidden/>
            <w:szCs w:val="24"/>
          </w:rPr>
          <w:tab/>
        </w:r>
        <w:r w:rsidR="00171A99" w:rsidRPr="00242C43">
          <w:rPr>
            <w:b w:val="0"/>
            <w:webHidden/>
            <w:szCs w:val="24"/>
          </w:rPr>
          <w:fldChar w:fldCharType="begin"/>
        </w:r>
        <w:r w:rsidR="00171A99" w:rsidRPr="00242C43">
          <w:rPr>
            <w:b w:val="0"/>
            <w:webHidden/>
            <w:szCs w:val="24"/>
          </w:rPr>
          <w:instrText xml:space="preserve"> PAGEREF _Toc4596408 \h </w:instrText>
        </w:r>
        <w:r w:rsidR="00171A99" w:rsidRPr="00242C43">
          <w:rPr>
            <w:b w:val="0"/>
            <w:webHidden/>
            <w:szCs w:val="24"/>
          </w:rPr>
        </w:r>
        <w:r w:rsidR="00171A99" w:rsidRPr="00242C43">
          <w:rPr>
            <w:b w:val="0"/>
            <w:webHidden/>
            <w:szCs w:val="24"/>
          </w:rPr>
          <w:fldChar w:fldCharType="separate"/>
        </w:r>
        <w:r w:rsidR="00171A99" w:rsidRPr="00242C43">
          <w:rPr>
            <w:b w:val="0"/>
            <w:webHidden/>
            <w:szCs w:val="24"/>
          </w:rPr>
          <w:t>2</w:t>
        </w:r>
        <w:r w:rsidR="00171A99" w:rsidRPr="00242C43">
          <w:rPr>
            <w:b w:val="0"/>
            <w:webHidden/>
            <w:szCs w:val="24"/>
          </w:rPr>
          <w:fldChar w:fldCharType="end"/>
        </w:r>
      </w:hyperlink>
    </w:p>
    <w:p w:rsidR="00171A99" w:rsidRPr="00242C43" w:rsidRDefault="00691AE4">
      <w:pPr>
        <w:pStyle w:val="TDC1"/>
        <w:rPr>
          <w:rFonts w:eastAsiaTheme="minorEastAsia" w:cstheme="minorBidi"/>
          <w:b w:val="0"/>
          <w:szCs w:val="24"/>
          <w:lang w:val="es-CO" w:eastAsia="es-CO"/>
        </w:rPr>
      </w:pPr>
      <w:hyperlink w:anchor="_Toc4596409" w:history="1">
        <w:r w:rsidR="00171A99" w:rsidRPr="00242C43">
          <w:rPr>
            <w:rStyle w:val="Hipervnculo"/>
            <w:b w:val="0"/>
            <w:szCs w:val="24"/>
          </w:rPr>
          <w:t>2.</w:t>
        </w:r>
        <w:r w:rsidR="00171A99" w:rsidRPr="00242C43">
          <w:rPr>
            <w:rFonts w:eastAsiaTheme="minorEastAsia" w:cstheme="minorBidi"/>
            <w:b w:val="0"/>
            <w:szCs w:val="24"/>
            <w:lang w:val="es-CO" w:eastAsia="es-CO"/>
          </w:rPr>
          <w:tab/>
        </w:r>
        <w:r w:rsidR="00171A99" w:rsidRPr="00242C43">
          <w:rPr>
            <w:rStyle w:val="Hipervnculo"/>
            <w:b w:val="0"/>
            <w:szCs w:val="24"/>
          </w:rPr>
          <w:t>Objetivos y Principios Rectores de la Administración de Riesgo de Mercado de los Recursos Administrados por la DGCPTN</w:t>
        </w:r>
        <w:r w:rsidR="00171A99" w:rsidRPr="00242C43">
          <w:rPr>
            <w:b w:val="0"/>
            <w:webHidden/>
            <w:szCs w:val="24"/>
          </w:rPr>
          <w:tab/>
        </w:r>
        <w:r w:rsidR="00171A99" w:rsidRPr="00242C43">
          <w:rPr>
            <w:b w:val="0"/>
            <w:webHidden/>
            <w:szCs w:val="24"/>
          </w:rPr>
          <w:fldChar w:fldCharType="begin"/>
        </w:r>
        <w:r w:rsidR="00171A99" w:rsidRPr="00242C43">
          <w:rPr>
            <w:b w:val="0"/>
            <w:webHidden/>
            <w:szCs w:val="24"/>
          </w:rPr>
          <w:instrText xml:space="preserve"> PAGEREF _Toc4596409 \h </w:instrText>
        </w:r>
        <w:r w:rsidR="00171A99" w:rsidRPr="00242C43">
          <w:rPr>
            <w:b w:val="0"/>
            <w:webHidden/>
            <w:szCs w:val="24"/>
          </w:rPr>
        </w:r>
        <w:r w:rsidR="00171A99" w:rsidRPr="00242C43">
          <w:rPr>
            <w:b w:val="0"/>
            <w:webHidden/>
            <w:szCs w:val="24"/>
          </w:rPr>
          <w:fldChar w:fldCharType="separate"/>
        </w:r>
        <w:r w:rsidR="00171A99" w:rsidRPr="00242C43">
          <w:rPr>
            <w:b w:val="0"/>
            <w:webHidden/>
            <w:szCs w:val="24"/>
          </w:rPr>
          <w:t>2</w:t>
        </w:r>
        <w:r w:rsidR="00171A99" w:rsidRPr="00242C43">
          <w:rPr>
            <w:b w:val="0"/>
            <w:webHidden/>
            <w:szCs w:val="24"/>
          </w:rPr>
          <w:fldChar w:fldCharType="end"/>
        </w:r>
      </w:hyperlink>
    </w:p>
    <w:p w:rsidR="00171A99" w:rsidRPr="00242C43" w:rsidRDefault="00691AE4">
      <w:pPr>
        <w:pStyle w:val="TDC2"/>
        <w:rPr>
          <w:rFonts w:ascii="Arial Narrow" w:eastAsiaTheme="minorEastAsia" w:hAnsi="Arial Narrow" w:cstheme="minorBidi"/>
          <w:noProof/>
          <w:sz w:val="24"/>
          <w:szCs w:val="24"/>
          <w:lang w:val="es-CO" w:eastAsia="es-CO"/>
        </w:rPr>
      </w:pPr>
      <w:hyperlink w:anchor="_Toc4596410" w:history="1">
        <w:r w:rsidR="00171A99" w:rsidRPr="00242C43">
          <w:rPr>
            <w:rStyle w:val="Hipervnculo"/>
            <w:rFonts w:ascii="Arial Narrow" w:hAnsi="Arial Narrow"/>
            <w:noProof/>
            <w:sz w:val="24"/>
            <w:szCs w:val="24"/>
          </w:rPr>
          <w:t>2.1.</w:t>
        </w:r>
        <w:r w:rsidR="00171A99" w:rsidRPr="00242C43">
          <w:rPr>
            <w:rFonts w:ascii="Arial Narrow" w:eastAsiaTheme="minorEastAsia" w:hAnsi="Arial Narrow" w:cstheme="minorBidi"/>
            <w:noProof/>
            <w:sz w:val="24"/>
            <w:szCs w:val="24"/>
            <w:lang w:val="es-CO" w:eastAsia="es-CO"/>
          </w:rPr>
          <w:tab/>
        </w:r>
        <w:r w:rsidR="00171A99" w:rsidRPr="00242C43">
          <w:rPr>
            <w:rStyle w:val="Hipervnculo"/>
            <w:rFonts w:ascii="Arial Narrow" w:hAnsi="Arial Narrow"/>
            <w:noProof/>
            <w:sz w:val="24"/>
            <w:szCs w:val="24"/>
          </w:rPr>
          <w:t>Objetivo General</w:t>
        </w:r>
        <w:r w:rsidR="00171A99" w:rsidRPr="00242C43">
          <w:rPr>
            <w:rFonts w:ascii="Arial Narrow" w:hAnsi="Arial Narrow"/>
            <w:noProof/>
            <w:webHidden/>
            <w:sz w:val="24"/>
            <w:szCs w:val="24"/>
          </w:rPr>
          <w:tab/>
        </w:r>
        <w:r w:rsidR="00171A99" w:rsidRPr="00242C43">
          <w:rPr>
            <w:rFonts w:ascii="Arial Narrow" w:hAnsi="Arial Narrow"/>
            <w:noProof/>
            <w:webHidden/>
            <w:sz w:val="24"/>
            <w:szCs w:val="24"/>
          </w:rPr>
          <w:fldChar w:fldCharType="begin"/>
        </w:r>
        <w:r w:rsidR="00171A99" w:rsidRPr="00242C43">
          <w:rPr>
            <w:rFonts w:ascii="Arial Narrow" w:hAnsi="Arial Narrow"/>
            <w:noProof/>
            <w:webHidden/>
            <w:sz w:val="24"/>
            <w:szCs w:val="24"/>
          </w:rPr>
          <w:instrText xml:space="preserve"> PAGEREF _Toc4596410 \h </w:instrText>
        </w:r>
        <w:r w:rsidR="00171A99" w:rsidRPr="00242C43">
          <w:rPr>
            <w:rFonts w:ascii="Arial Narrow" w:hAnsi="Arial Narrow"/>
            <w:noProof/>
            <w:webHidden/>
            <w:sz w:val="24"/>
            <w:szCs w:val="24"/>
          </w:rPr>
        </w:r>
        <w:r w:rsidR="00171A99" w:rsidRPr="00242C43">
          <w:rPr>
            <w:rFonts w:ascii="Arial Narrow" w:hAnsi="Arial Narrow"/>
            <w:noProof/>
            <w:webHidden/>
            <w:sz w:val="24"/>
            <w:szCs w:val="24"/>
          </w:rPr>
          <w:fldChar w:fldCharType="separate"/>
        </w:r>
        <w:r w:rsidR="00171A99" w:rsidRPr="00242C43">
          <w:rPr>
            <w:rFonts w:ascii="Arial Narrow" w:hAnsi="Arial Narrow"/>
            <w:noProof/>
            <w:webHidden/>
            <w:sz w:val="24"/>
            <w:szCs w:val="24"/>
          </w:rPr>
          <w:t>2</w:t>
        </w:r>
        <w:r w:rsidR="00171A99" w:rsidRPr="00242C43">
          <w:rPr>
            <w:rFonts w:ascii="Arial Narrow" w:hAnsi="Arial Narrow"/>
            <w:noProof/>
            <w:webHidden/>
            <w:sz w:val="24"/>
            <w:szCs w:val="24"/>
          </w:rPr>
          <w:fldChar w:fldCharType="end"/>
        </w:r>
      </w:hyperlink>
    </w:p>
    <w:p w:rsidR="00171A99" w:rsidRPr="00242C43" w:rsidRDefault="00691AE4">
      <w:pPr>
        <w:pStyle w:val="TDC2"/>
        <w:rPr>
          <w:rFonts w:ascii="Arial Narrow" w:eastAsiaTheme="minorEastAsia" w:hAnsi="Arial Narrow" w:cstheme="minorBidi"/>
          <w:noProof/>
          <w:sz w:val="24"/>
          <w:szCs w:val="24"/>
          <w:lang w:val="es-CO" w:eastAsia="es-CO"/>
        </w:rPr>
      </w:pPr>
      <w:hyperlink w:anchor="_Toc4596411" w:history="1">
        <w:r w:rsidR="00171A99" w:rsidRPr="00242C43">
          <w:rPr>
            <w:rStyle w:val="Hipervnculo"/>
            <w:rFonts w:ascii="Arial Narrow" w:hAnsi="Arial Narrow"/>
            <w:noProof/>
            <w:sz w:val="24"/>
            <w:szCs w:val="24"/>
          </w:rPr>
          <w:t>2.2.</w:t>
        </w:r>
        <w:r w:rsidR="00171A99" w:rsidRPr="00242C43">
          <w:rPr>
            <w:rFonts w:ascii="Arial Narrow" w:eastAsiaTheme="minorEastAsia" w:hAnsi="Arial Narrow" w:cstheme="minorBidi"/>
            <w:noProof/>
            <w:sz w:val="24"/>
            <w:szCs w:val="24"/>
            <w:lang w:val="es-CO" w:eastAsia="es-CO"/>
          </w:rPr>
          <w:tab/>
        </w:r>
        <w:r w:rsidR="00171A99" w:rsidRPr="00242C43">
          <w:rPr>
            <w:rStyle w:val="Hipervnculo"/>
            <w:rFonts w:ascii="Arial Narrow" w:hAnsi="Arial Narrow"/>
            <w:noProof/>
            <w:sz w:val="24"/>
            <w:szCs w:val="24"/>
          </w:rPr>
          <w:t>Objetivos Específicos</w:t>
        </w:r>
        <w:r w:rsidR="00171A99" w:rsidRPr="00242C43">
          <w:rPr>
            <w:rFonts w:ascii="Arial Narrow" w:hAnsi="Arial Narrow"/>
            <w:noProof/>
            <w:webHidden/>
            <w:sz w:val="24"/>
            <w:szCs w:val="24"/>
          </w:rPr>
          <w:tab/>
        </w:r>
        <w:r w:rsidR="00171A99" w:rsidRPr="00242C43">
          <w:rPr>
            <w:rFonts w:ascii="Arial Narrow" w:hAnsi="Arial Narrow"/>
            <w:noProof/>
            <w:webHidden/>
            <w:sz w:val="24"/>
            <w:szCs w:val="24"/>
          </w:rPr>
          <w:fldChar w:fldCharType="begin"/>
        </w:r>
        <w:r w:rsidR="00171A99" w:rsidRPr="00242C43">
          <w:rPr>
            <w:rFonts w:ascii="Arial Narrow" w:hAnsi="Arial Narrow"/>
            <w:noProof/>
            <w:webHidden/>
            <w:sz w:val="24"/>
            <w:szCs w:val="24"/>
          </w:rPr>
          <w:instrText xml:space="preserve"> PAGEREF _Toc4596411 \h </w:instrText>
        </w:r>
        <w:r w:rsidR="00171A99" w:rsidRPr="00242C43">
          <w:rPr>
            <w:rFonts w:ascii="Arial Narrow" w:hAnsi="Arial Narrow"/>
            <w:noProof/>
            <w:webHidden/>
            <w:sz w:val="24"/>
            <w:szCs w:val="24"/>
          </w:rPr>
        </w:r>
        <w:r w:rsidR="00171A99" w:rsidRPr="00242C43">
          <w:rPr>
            <w:rFonts w:ascii="Arial Narrow" w:hAnsi="Arial Narrow"/>
            <w:noProof/>
            <w:webHidden/>
            <w:sz w:val="24"/>
            <w:szCs w:val="24"/>
          </w:rPr>
          <w:fldChar w:fldCharType="separate"/>
        </w:r>
        <w:r w:rsidR="00171A99" w:rsidRPr="00242C43">
          <w:rPr>
            <w:rFonts w:ascii="Arial Narrow" w:hAnsi="Arial Narrow"/>
            <w:noProof/>
            <w:webHidden/>
            <w:sz w:val="24"/>
            <w:szCs w:val="24"/>
          </w:rPr>
          <w:t>2</w:t>
        </w:r>
        <w:r w:rsidR="00171A99" w:rsidRPr="00242C43">
          <w:rPr>
            <w:rFonts w:ascii="Arial Narrow" w:hAnsi="Arial Narrow"/>
            <w:noProof/>
            <w:webHidden/>
            <w:sz w:val="24"/>
            <w:szCs w:val="24"/>
          </w:rPr>
          <w:fldChar w:fldCharType="end"/>
        </w:r>
      </w:hyperlink>
    </w:p>
    <w:p w:rsidR="00171A99" w:rsidRPr="00242C43" w:rsidRDefault="00691AE4">
      <w:pPr>
        <w:pStyle w:val="TDC2"/>
        <w:rPr>
          <w:rFonts w:ascii="Arial Narrow" w:eastAsiaTheme="minorEastAsia" w:hAnsi="Arial Narrow" w:cstheme="minorBidi"/>
          <w:noProof/>
          <w:sz w:val="24"/>
          <w:szCs w:val="24"/>
          <w:lang w:val="es-CO" w:eastAsia="es-CO"/>
        </w:rPr>
      </w:pPr>
      <w:hyperlink w:anchor="_Toc4596412" w:history="1">
        <w:r w:rsidR="00171A99" w:rsidRPr="00242C43">
          <w:rPr>
            <w:rStyle w:val="Hipervnculo"/>
            <w:rFonts w:ascii="Arial Narrow" w:hAnsi="Arial Narrow"/>
            <w:noProof/>
            <w:sz w:val="24"/>
            <w:szCs w:val="24"/>
          </w:rPr>
          <w:t>2.3.</w:t>
        </w:r>
        <w:r w:rsidR="00171A99" w:rsidRPr="00242C43">
          <w:rPr>
            <w:rFonts w:ascii="Arial Narrow" w:eastAsiaTheme="minorEastAsia" w:hAnsi="Arial Narrow" w:cstheme="minorBidi"/>
            <w:noProof/>
            <w:sz w:val="24"/>
            <w:szCs w:val="24"/>
            <w:lang w:val="es-CO" w:eastAsia="es-CO"/>
          </w:rPr>
          <w:tab/>
        </w:r>
        <w:r w:rsidR="00171A99" w:rsidRPr="00242C43">
          <w:rPr>
            <w:rStyle w:val="Hipervnculo"/>
            <w:rFonts w:ascii="Arial Narrow" w:hAnsi="Arial Narrow"/>
            <w:noProof/>
            <w:sz w:val="24"/>
            <w:szCs w:val="24"/>
          </w:rPr>
          <w:t>Principios Rectores</w:t>
        </w:r>
        <w:r w:rsidR="00171A99" w:rsidRPr="00242C43">
          <w:rPr>
            <w:rFonts w:ascii="Arial Narrow" w:hAnsi="Arial Narrow"/>
            <w:noProof/>
            <w:webHidden/>
            <w:sz w:val="24"/>
            <w:szCs w:val="24"/>
          </w:rPr>
          <w:tab/>
        </w:r>
        <w:r w:rsidR="00171A99" w:rsidRPr="00242C43">
          <w:rPr>
            <w:rFonts w:ascii="Arial Narrow" w:hAnsi="Arial Narrow"/>
            <w:noProof/>
            <w:webHidden/>
            <w:sz w:val="24"/>
            <w:szCs w:val="24"/>
          </w:rPr>
          <w:fldChar w:fldCharType="begin"/>
        </w:r>
        <w:r w:rsidR="00171A99" w:rsidRPr="00242C43">
          <w:rPr>
            <w:rFonts w:ascii="Arial Narrow" w:hAnsi="Arial Narrow"/>
            <w:noProof/>
            <w:webHidden/>
            <w:sz w:val="24"/>
            <w:szCs w:val="24"/>
          </w:rPr>
          <w:instrText xml:space="preserve"> PAGEREF _Toc4596412 \h </w:instrText>
        </w:r>
        <w:r w:rsidR="00171A99" w:rsidRPr="00242C43">
          <w:rPr>
            <w:rFonts w:ascii="Arial Narrow" w:hAnsi="Arial Narrow"/>
            <w:noProof/>
            <w:webHidden/>
            <w:sz w:val="24"/>
            <w:szCs w:val="24"/>
          </w:rPr>
        </w:r>
        <w:r w:rsidR="00171A99" w:rsidRPr="00242C43">
          <w:rPr>
            <w:rFonts w:ascii="Arial Narrow" w:hAnsi="Arial Narrow"/>
            <w:noProof/>
            <w:webHidden/>
            <w:sz w:val="24"/>
            <w:szCs w:val="24"/>
          </w:rPr>
          <w:fldChar w:fldCharType="separate"/>
        </w:r>
        <w:r w:rsidR="00171A99" w:rsidRPr="00242C43">
          <w:rPr>
            <w:rFonts w:ascii="Arial Narrow" w:hAnsi="Arial Narrow"/>
            <w:noProof/>
            <w:webHidden/>
            <w:sz w:val="24"/>
            <w:szCs w:val="24"/>
          </w:rPr>
          <w:t>3</w:t>
        </w:r>
        <w:r w:rsidR="00171A99" w:rsidRPr="00242C43">
          <w:rPr>
            <w:rFonts w:ascii="Arial Narrow" w:hAnsi="Arial Narrow"/>
            <w:noProof/>
            <w:webHidden/>
            <w:sz w:val="24"/>
            <w:szCs w:val="24"/>
          </w:rPr>
          <w:fldChar w:fldCharType="end"/>
        </w:r>
      </w:hyperlink>
    </w:p>
    <w:p w:rsidR="00171A99" w:rsidRPr="00242C43" w:rsidRDefault="00691AE4">
      <w:pPr>
        <w:pStyle w:val="TDC1"/>
        <w:rPr>
          <w:rFonts w:eastAsiaTheme="minorEastAsia" w:cstheme="minorBidi"/>
          <w:b w:val="0"/>
          <w:szCs w:val="24"/>
          <w:lang w:val="es-CO" w:eastAsia="es-CO"/>
        </w:rPr>
      </w:pPr>
      <w:hyperlink w:anchor="_Toc4596413" w:history="1">
        <w:r w:rsidR="00171A99" w:rsidRPr="00242C43">
          <w:rPr>
            <w:rStyle w:val="Hipervnculo"/>
            <w:b w:val="0"/>
            <w:szCs w:val="24"/>
          </w:rPr>
          <w:t>3.</w:t>
        </w:r>
        <w:r w:rsidR="00171A99" w:rsidRPr="00242C43">
          <w:rPr>
            <w:rFonts w:eastAsiaTheme="minorEastAsia" w:cstheme="minorBidi"/>
            <w:b w:val="0"/>
            <w:szCs w:val="24"/>
            <w:lang w:val="es-CO" w:eastAsia="es-CO"/>
          </w:rPr>
          <w:tab/>
        </w:r>
        <w:r w:rsidR="00171A99" w:rsidRPr="00242C43">
          <w:rPr>
            <w:rStyle w:val="Hipervnculo"/>
            <w:b w:val="0"/>
            <w:szCs w:val="24"/>
          </w:rPr>
          <w:t>ALCANCE</w:t>
        </w:r>
        <w:r w:rsidR="00171A99" w:rsidRPr="00242C43">
          <w:rPr>
            <w:b w:val="0"/>
            <w:webHidden/>
            <w:szCs w:val="24"/>
          </w:rPr>
          <w:tab/>
        </w:r>
        <w:r w:rsidR="00171A99" w:rsidRPr="00242C43">
          <w:rPr>
            <w:b w:val="0"/>
            <w:webHidden/>
            <w:szCs w:val="24"/>
          </w:rPr>
          <w:fldChar w:fldCharType="begin"/>
        </w:r>
        <w:r w:rsidR="00171A99" w:rsidRPr="00242C43">
          <w:rPr>
            <w:b w:val="0"/>
            <w:webHidden/>
            <w:szCs w:val="24"/>
          </w:rPr>
          <w:instrText xml:space="preserve"> PAGEREF _Toc4596413 \h </w:instrText>
        </w:r>
        <w:r w:rsidR="00171A99" w:rsidRPr="00242C43">
          <w:rPr>
            <w:b w:val="0"/>
            <w:webHidden/>
            <w:szCs w:val="24"/>
          </w:rPr>
        </w:r>
        <w:r w:rsidR="00171A99" w:rsidRPr="00242C43">
          <w:rPr>
            <w:b w:val="0"/>
            <w:webHidden/>
            <w:szCs w:val="24"/>
          </w:rPr>
          <w:fldChar w:fldCharType="separate"/>
        </w:r>
        <w:r w:rsidR="00171A99" w:rsidRPr="00242C43">
          <w:rPr>
            <w:b w:val="0"/>
            <w:webHidden/>
            <w:szCs w:val="24"/>
          </w:rPr>
          <w:t>4</w:t>
        </w:r>
        <w:r w:rsidR="00171A99" w:rsidRPr="00242C43">
          <w:rPr>
            <w:b w:val="0"/>
            <w:webHidden/>
            <w:szCs w:val="24"/>
          </w:rPr>
          <w:fldChar w:fldCharType="end"/>
        </w:r>
      </w:hyperlink>
    </w:p>
    <w:p w:rsidR="00171A99" w:rsidRPr="00242C43" w:rsidRDefault="00691AE4">
      <w:pPr>
        <w:pStyle w:val="TDC1"/>
        <w:rPr>
          <w:rFonts w:eastAsiaTheme="minorEastAsia" w:cstheme="minorBidi"/>
          <w:b w:val="0"/>
          <w:szCs w:val="24"/>
          <w:lang w:val="es-CO" w:eastAsia="es-CO"/>
        </w:rPr>
      </w:pPr>
      <w:hyperlink w:anchor="_Toc4596414" w:history="1">
        <w:r w:rsidR="00171A99" w:rsidRPr="00242C43">
          <w:rPr>
            <w:rStyle w:val="Hipervnculo"/>
            <w:b w:val="0"/>
            <w:szCs w:val="24"/>
          </w:rPr>
          <w:t>4.</w:t>
        </w:r>
        <w:r w:rsidR="00171A99" w:rsidRPr="00242C43">
          <w:rPr>
            <w:rFonts w:eastAsiaTheme="minorEastAsia" w:cstheme="minorBidi"/>
            <w:b w:val="0"/>
            <w:szCs w:val="24"/>
            <w:lang w:val="es-CO" w:eastAsia="es-CO"/>
          </w:rPr>
          <w:tab/>
        </w:r>
        <w:r w:rsidR="00171A99" w:rsidRPr="00242C43">
          <w:rPr>
            <w:rStyle w:val="Hipervnculo"/>
            <w:b w:val="0"/>
            <w:szCs w:val="24"/>
          </w:rPr>
          <w:t>PRODUCTOS ESPERADOS</w:t>
        </w:r>
        <w:r w:rsidR="00171A99" w:rsidRPr="00242C43">
          <w:rPr>
            <w:b w:val="0"/>
            <w:webHidden/>
            <w:szCs w:val="24"/>
          </w:rPr>
          <w:tab/>
        </w:r>
        <w:r w:rsidR="00171A99" w:rsidRPr="00242C43">
          <w:rPr>
            <w:b w:val="0"/>
            <w:webHidden/>
            <w:szCs w:val="24"/>
          </w:rPr>
          <w:fldChar w:fldCharType="begin"/>
        </w:r>
        <w:r w:rsidR="00171A99" w:rsidRPr="00242C43">
          <w:rPr>
            <w:b w:val="0"/>
            <w:webHidden/>
            <w:szCs w:val="24"/>
          </w:rPr>
          <w:instrText xml:space="preserve"> PAGEREF _Toc4596414 \h </w:instrText>
        </w:r>
        <w:r w:rsidR="00171A99" w:rsidRPr="00242C43">
          <w:rPr>
            <w:b w:val="0"/>
            <w:webHidden/>
            <w:szCs w:val="24"/>
          </w:rPr>
        </w:r>
        <w:r w:rsidR="00171A99" w:rsidRPr="00242C43">
          <w:rPr>
            <w:b w:val="0"/>
            <w:webHidden/>
            <w:szCs w:val="24"/>
          </w:rPr>
          <w:fldChar w:fldCharType="separate"/>
        </w:r>
        <w:r w:rsidR="00171A99" w:rsidRPr="00242C43">
          <w:rPr>
            <w:b w:val="0"/>
            <w:webHidden/>
            <w:szCs w:val="24"/>
          </w:rPr>
          <w:t>4</w:t>
        </w:r>
        <w:r w:rsidR="00171A99" w:rsidRPr="00242C43">
          <w:rPr>
            <w:b w:val="0"/>
            <w:webHidden/>
            <w:szCs w:val="24"/>
          </w:rPr>
          <w:fldChar w:fldCharType="end"/>
        </w:r>
      </w:hyperlink>
    </w:p>
    <w:p w:rsidR="00171A99" w:rsidRPr="00242C43" w:rsidRDefault="00691AE4">
      <w:pPr>
        <w:pStyle w:val="TDC1"/>
        <w:rPr>
          <w:rFonts w:eastAsiaTheme="minorEastAsia" w:cstheme="minorBidi"/>
          <w:b w:val="0"/>
          <w:szCs w:val="24"/>
          <w:lang w:val="es-CO" w:eastAsia="es-CO"/>
        </w:rPr>
      </w:pPr>
      <w:hyperlink w:anchor="_Toc4596415" w:history="1">
        <w:r w:rsidR="00171A99" w:rsidRPr="00242C43">
          <w:rPr>
            <w:rStyle w:val="Hipervnculo"/>
            <w:b w:val="0"/>
            <w:szCs w:val="24"/>
          </w:rPr>
          <w:t>5.</w:t>
        </w:r>
        <w:r w:rsidR="00171A99" w:rsidRPr="00242C43">
          <w:rPr>
            <w:rFonts w:eastAsiaTheme="minorEastAsia" w:cstheme="minorBidi"/>
            <w:b w:val="0"/>
            <w:szCs w:val="24"/>
            <w:lang w:val="es-CO" w:eastAsia="es-CO"/>
          </w:rPr>
          <w:tab/>
        </w:r>
        <w:r w:rsidR="00171A99" w:rsidRPr="00242C43">
          <w:rPr>
            <w:rStyle w:val="Hipervnculo"/>
            <w:b w:val="0"/>
            <w:szCs w:val="24"/>
          </w:rPr>
          <w:t>TÉRMINOS Y DEFINICIONES</w:t>
        </w:r>
        <w:r w:rsidR="00171A99" w:rsidRPr="00242C43">
          <w:rPr>
            <w:b w:val="0"/>
            <w:webHidden/>
            <w:szCs w:val="24"/>
          </w:rPr>
          <w:tab/>
        </w:r>
        <w:r w:rsidR="00171A99" w:rsidRPr="00242C43">
          <w:rPr>
            <w:b w:val="0"/>
            <w:webHidden/>
            <w:szCs w:val="24"/>
          </w:rPr>
          <w:fldChar w:fldCharType="begin"/>
        </w:r>
        <w:r w:rsidR="00171A99" w:rsidRPr="00242C43">
          <w:rPr>
            <w:b w:val="0"/>
            <w:webHidden/>
            <w:szCs w:val="24"/>
          </w:rPr>
          <w:instrText xml:space="preserve"> PAGEREF _Toc4596415 \h </w:instrText>
        </w:r>
        <w:r w:rsidR="00171A99" w:rsidRPr="00242C43">
          <w:rPr>
            <w:b w:val="0"/>
            <w:webHidden/>
            <w:szCs w:val="24"/>
          </w:rPr>
        </w:r>
        <w:r w:rsidR="00171A99" w:rsidRPr="00242C43">
          <w:rPr>
            <w:b w:val="0"/>
            <w:webHidden/>
            <w:szCs w:val="24"/>
          </w:rPr>
          <w:fldChar w:fldCharType="separate"/>
        </w:r>
        <w:r w:rsidR="00171A99" w:rsidRPr="00242C43">
          <w:rPr>
            <w:b w:val="0"/>
            <w:webHidden/>
            <w:szCs w:val="24"/>
          </w:rPr>
          <w:t>4</w:t>
        </w:r>
        <w:r w:rsidR="00171A99" w:rsidRPr="00242C43">
          <w:rPr>
            <w:b w:val="0"/>
            <w:webHidden/>
            <w:szCs w:val="24"/>
          </w:rPr>
          <w:fldChar w:fldCharType="end"/>
        </w:r>
      </w:hyperlink>
    </w:p>
    <w:p w:rsidR="00171A99" w:rsidRPr="00242C43" w:rsidRDefault="00691AE4">
      <w:pPr>
        <w:pStyle w:val="TDC1"/>
        <w:rPr>
          <w:rFonts w:eastAsiaTheme="minorEastAsia" w:cstheme="minorBidi"/>
          <w:b w:val="0"/>
          <w:szCs w:val="24"/>
          <w:lang w:val="es-CO" w:eastAsia="es-CO"/>
        </w:rPr>
      </w:pPr>
      <w:hyperlink w:anchor="_Toc4596416" w:history="1">
        <w:r w:rsidR="00171A99" w:rsidRPr="00242C43">
          <w:rPr>
            <w:rStyle w:val="Hipervnculo"/>
            <w:b w:val="0"/>
            <w:szCs w:val="24"/>
          </w:rPr>
          <w:t>6.</w:t>
        </w:r>
        <w:r w:rsidR="00171A99" w:rsidRPr="00242C43">
          <w:rPr>
            <w:rFonts w:eastAsiaTheme="minorEastAsia" w:cstheme="minorBidi"/>
            <w:b w:val="0"/>
            <w:szCs w:val="24"/>
            <w:lang w:val="es-CO" w:eastAsia="es-CO"/>
          </w:rPr>
          <w:tab/>
        </w:r>
        <w:r w:rsidR="00171A99" w:rsidRPr="00242C43">
          <w:rPr>
            <w:rStyle w:val="Hipervnculo"/>
            <w:b w:val="0"/>
            <w:szCs w:val="24"/>
          </w:rPr>
          <w:t>POLÍTICAS Y DIRECTRICES PARA LAS OPERACIONES DE LA DGCPTN</w:t>
        </w:r>
        <w:r w:rsidR="00171A99" w:rsidRPr="00242C43">
          <w:rPr>
            <w:b w:val="0"/>
            <w:webHidden/>
            <w:szCs w:val="24"/>
          </w:rPr>
          <w:tab/>
        </w:r>
        <w:r w:rsidR="00171A99" w:rsidRPr="00242C43">
          <w:rPr>
            <w:b w:val="0"/>
            <w:webHidden/>
            <w:szCs w:val="24"/>
          </w:rPr>
          <w:fldChar w:fldCharType="begin"/>
        </w:r>
        <w:r w:rsidR="00171A99" w:rsidRPr="00242C43">
          <w:rPr>
            <w:b w:val="0"/>
            <w:webHidden/>
            <w:szCs w:val="24"/>
          </w:rPr>
          <w:instrText xml:space="preserve"> PAGEREF _Toc4596416 \h </w:instrText>
        </w:r>
        <w:r w:rsidR="00171A99" w:rsidRPr="00242C43">
          <w:rPr>
            <w:b w:val="0"/>
            <w:webHidden/>
            <w:szCs w:val="24"/>
          </w:rPr>
        </w:r>
        <w:r w:rsidR="00171A99" w:rsidRPr="00242C43">
          <w:rPr>
            <w:b w:val="0"/>
            <w:webHidden/>
            <w:szCs w:val="24"/>
          </w:rPr>
          <w:fldChar w:fldCharType="separate"/>
        </w:r>
        <w:r w:rsidR="00171A99" w:rsidRPr="00242C43">
          <w:rPr>
            <w:b w:val="0"/>
            <w:webHidden/>
            <w:szCs w:val="24"/>
          </w:rPr>
          <w:t>5</w:t>
        </w:r>
        <w:r w:rsidR="00171A99" w:rsidRPr="00242C43">
          <w:rPr>
            <w:b w:val="0"/>
            <w:webHidden/>
            <w:szCs w:val="24"/>
          </w:rPr>
          <w:fldChar w:fldCharType="end"/>
        </w:r>
      </w:hyperlink>
    </w:p>
    <w:p w:rsidR="00242C43" w:rsidRPr="00242C43" w:rsidRDefault="00691AE4" w:rsidP="00242C43">
      <w:pPr>
        <w:pStyle w:val="TDC2"/>
        <w:rPr>
          <w:rFonts w:ascii="Arial Narrow" w:hAnsi="Arial Narrow"/>
          <w:noProof/>
          <w:sz w:val="24"/>
          <w:szCs w:val="24"/>
        </w:rPr>
      </w:pPr>
      <w:hyperlink w:anchor="_Toc4596417" w:history="1">
        <w:r w:rsidR="00171A99" w:rsidRPr="00242C43">
          <w:rPr>
            <w:rStyle w:val="Hipervnculo"/>
            <w:rFonts w:ascii="Arial Narrow" w:hAnsi="Arial Narrow"/>
            <w:noProof/>
            <w:sz w:val="24"/>
            <w:szCs w:val="24"/>
          </w:rPr>
          <w:t>6.1.</w:t>
        </w:r>
        <w:r w:rsidR="00171A99" w:rsidRPr="00242C43">
          <w:rPr>
            <w:rFonts w:ascii="Arial Narrow" w:eastAsiaTheme="minorEastAsia" w:hAnsi="Arial Narrow" w:cstheme="minorBidi"/>
            <w:noProof/>
            <w:sz w:val="24"/>
            <w:szCs w:val="24"/>
            <w:lang w:val="es-CO" w:eastAsia="es-CO"/>
          </w:rPr>
          <w:tab/>
        </w:r>
        <w:r w:rsidR="00171A99" w:rsidRPr="00242C43">
          <w:rPr>
            <w:rStyle w:val="Hipervnculo"/>
            <w:rFonts w:ascii="Arial Narrow" w:hAnsi="Arial Narrow"/>
            <w:noProof/>
            <w:sz w:val="24"/>
            <w:szCs w:val="24"/>
          </w:rPr>
          <w:t>Estructura Organizacional</w:t>
        </w:r>
        <w:r w:rsidR="00171A99" w:rsidRPr="00242C43">
          <w:rPr>
            <w:rFonts w:ascii="Arial Narrow" w:hAnsi="Arial Narrow"/>
            <w:noProof/>
            <w:webHidden/>
            <w:sz w:val="24"/>
            <w:szCs w:val="24"/>
          </w:rPr>
          <w:tab/>
        </w:r>
        <w:r w:rsidR="00171A99" w:rsidRPr="00242C43">
          <w:rPr>
            <w:rFonts w:ascii="Arial Narrow" w:hAnsi="Arial Narrow"/>
            <w:noProof/>
            <w:webHidden/>
            <w:sz w:val="24"/>
            <w:szCs w:val="24"/>
          </w:rPr>
          <w:fldChar w:fldCharType="begin"/>
        </w:r>
        <w:r w:rsidR="00171A99" w:rsidRPr="00242C43">
          <w:rPr>
            <w:rFonts w:ascii="Arial Narrow" w:hAnsi="Arial Narrow"/>
            <w:noProof/>
            <w:webHidden/>
            <w:sz w:val="24"/>
            <w:szCs w:val="24"/>
          </w:rPr>
          <w:instrText xml:space="preserve"> PAGEREF _Toc4596417 \h </w:instrText>
        </w:r>
        <w:r w:rsidR="00171A99" w:rsidRPr="00242C43">
          <w:rPr>
            <w:rFonts w:ascii="Arial Narrow" w:hAnsi="Arial Narrow"/>
            <w:noProof/>
            <w:webHidden/>
            <w:sz w:val="24"/>
            <w:szCs w:val="24"/>
          </w:rPr>
        </w:r>
        <w:r w:rsidR="00171A99" w:rsidRPr="00242C43">
          <w:rPr>
            <w:rFonts w:ascii="Arial Narrow" w:hAnsi="Arial Narrow"/>
            <w:noProof/>
            <w:webHidden/>
            <w:sz w:val="24"/>
            <w:szCs w:val="24"/>
          </w:rPr>
          <w:fldChar w:fldCharType="separate"/>
        </w:r>
        <w:r w:rsidR="00171A99" w:rsidRPr="00242C43">
          <w:rPr>
            <w:rFonts w:ascii="Arial Narrow" w:hAnsi="Arial Narrow"/>
            <w:noProof/>
            <w:webHidden/>
            <w:sz w:val="24"/>
            <w:szCs w:val="24"/>
          </w:rPr>
          <w:t>5</w:t>
        </w:r>
        <w:r w:rsidR="00171A99" w:rsidRPr="00242C43">
          <w:rPr>
            <w:rFonts w:ascii="Arial Narrow" w:hAnsi="Arial Narrow"/>
            <w:noProof/>
            <w:webHidden/>
            <w:sz w:val="24"/>
            <w:szCs w:val="24"/>
          </w:rPr>
          <w:fldChar w:fldCharType="end"/>
        </w:r>
      </w:hyperlink>
    </w:p>
    <w:p w:rsidR="00242C43" w:rsidRPr="00242C43" w:rsidRDefault="00691AE4" w:rsidP="00242C43">
      <w:pPr>
        <w:pStyle w:val="TDC2"/>
        <w:rPr>
          <w:rFonts w:ascii="Arial Narrow" w:hAnsi="Arial Narrow"/>
          <w:noProof/>
          <w:sz w:val="24"/>
          <w:szCs w:val="24"/>
        </w:rPr>
      </w:pPr>
      <w:hyperlink w:anchor="_Toc4596418" w:history="1">
        <w:r w:rsidR="00171A99" w:rsidRPr="00242C43">
          <w:rPr>
            <w:rStyle w:val="Hipervnculo"/>
            <w:rFonts w:ascii="Arial Narrow" w:hAnsi="Arial Narrow"/>
            <w:noProof/>
            <w:sz w:val="24"/>
            <w:szCs w:val="24"/>
          </w:rPr>
          <w:t>6.1.1.</w:t>
        </w:r>
        <w:r w:rsidR="00171A99" w:rsidRPr="00242C43">
          <w:rPr>
            <w:rFonts w:ascii="Arial Narrow" w:eastAsiaTheme="minorEastAsia" w:hAnsi="Arial Narrow" w:cstheme="minorBidi"/>
            <w:noProof/>
            <w:sz w:val="24"/>
            <w:szCs w:val="24"/>
            <w:lang w:val="es-CO" w:eastAsia="es-CO"/>
          </w:rPr>
          <w:tab/>
        </w:r>
        <w:r w:rsidR="00171A99" w:rsidRPr="00242C43">
          <w:rPr>
            <w:rStyle w:val="Hipervnculo"/>
            <w:rFonts w:ascii="Arial Narrow" w:hAnsi="Arial Narrow"/>
            <w:noProof/>
            <w:sz w:val="24"/>
            <w:szCs w:val="24"/>
          </w:rPr>
          <w:t>Identificación de los Organismos</w:t>
        </w:r>
        <w:r w:rsidR="00171A99" w:rsidRPr="00242C43">
          <w:rPr>
            <w:rFonts w:ascii="Arial Narrow" w:hAnsi="Arial Narrow"/>
            <w:noProof/>
            <w:webHidden/>
            <w:sz w:val="24"/>
            <w:szCs w:val="24"/>
          </w:rPr>
          <w:tab/>
        </w:r>
        <w:r w:rsidR="00171A99" w:rsidRPr="00242C43">
          <w:rPr>
            <w:rFonts w:ascii="Arial Narrow" w:hAnsi="Arial Narrow"/>
            <w:noProof/>
            <w:webHidden/>
            <w:sz w:val="24"/>
            <w:szCs w:val="24"/>
          </w:rPr>
          <w:fldChar w:fldCharType="begin"/>
        </w:r>
        <w:r w:rsidR="00171A99" w:rsidRPr="00242C43">
          <w:rPr>
            <w:rFonts w:ascii="Arial Narrow" w:hAnsi="Arial Narrow"/>
            <w:noProof/>
            <w:webHidden/>
            <w:sz w:val="24"/>
            <w:szCs w:val="24"/>
          </w:rPr>
          <w:instrText xml:space="preserve"> PAGEREF _Toc4596418 \h </w:instrText>
        </w:r>
        <w:r w:rsidR="00171A99" w:rsidRPr="00242C43">
          <w:rPr>
            <w:rFonts w:ascii="Arial Narrow" w:hAnsi="Arial Narrow"/>
            <w:noProof/>
            <w:webHidden/>
            <w:sz w:val="24"/>
            <w:szCs w:val="24"/>
          </w:rPr>
        </w:r>
        <w:r w:rsidR="00171A99" w:rsidRPr="00242C43">
          <w:rPr>
            <w:rFonts w:ascii="Arial Narrow" w:hAnsi="Arial Narrow"/>
            <w:noProof/>
            <w:webHidden/>
            <w:sz w:val="24"/>
            <w:szCs w:val="24"/>
          </w:rPr>
          <w:fldChar w:fldCharType="separate"/>
        </w:r>
        <w:r w:rsidR="00171A99" w:rsidRPr="00242C43">
          <w:rPr>
            <w:rFonts w:ascii="Arial Narrow" w:hAnsi="Arial Narrow"/>
            <w:noProof/>
            <w:webHidden/>
            <w:sz w:val="24"/>
            <w:szCs w:val="24"/>
          </w:rPr>
          <w:t>5</w:t>
        </w:r>
        <w:r w:rsidR="00171A99" w:rsidRPr="00242C43">
          <w:rPr>
            <w:rFonts w:ascii="Arial Narrow" w:hAnsi="Arial Narrow"/>
            <w:noProof/>
            <w:webHidden/>
            <w:sz w:val="24"/>
            <w:szCs w:val="24"/>
          </w:rPr>
          <w:fldChar w:fldCharType="end"/>
        </w:r>
      </w:hyperlink>
    </w:p>
    <w:p w:rsidR="00242C43" w:rsidRPr="00242C43" w:rsidRDefault="00691AE4" w:rsidP="00242C43">
      <w:pPr>
        <w:pStyle w:val="TDC2"/>
        <w:rPr>
          <w:rFonts w:ascii="Arial Narrow" w:hAnsi="Arial Narrow"/>
          <w:noProof/>
          <w:sz w:val="24"/>
          <w:szCs w:val="24"/>
        </w:rPr>
      </w:pPr>
      <w:hyperlink w:anchor="_Toc4596419" w:history="1">
        <w:r w:rsidR="00171A99" w:rsidRPr="00242C43">
          <w:rPr>
            <w:rStyle w:val="Hipervnculo"/>
            <w:rFonts w:ascii="Arial Narrow" w:hAnsi="Arial Narrow"/>
            <w:noProof/>
            <w:sz w:val="24"/>
            <w:szCs w:val="24"/>
          </w:rPr>
          <w:t>6.1.2.</w:t>
        </w:r>
        <w:r w:rsidR="00171A99" w:rsidRPr="00242C43">
          <w:rPr>
            <w:rFonts w:ascii="Arial Narrow" w:eastAsiaTheme="minorEastAsia" w:hAnsi="Arial Narrow" w:cstheme="minorBidi"/>
            <w:noProof/>
            <w:sz w:val="24"/>
            <w:szCs w:val="24"/>
            <w:lang w:val="es-CO" w:eastAsia="es-CO"/>
          </w:rPr>
          <w:tab/>
        </w:r>
        <w:r w:rsidR="00171A99" w:rsidRPr="00242C43">
          <w:rPr>
            <w:rStyle w:val="Hipervnculo"/>
            <w:rFonts w:ascii="Arial Narrow" w:hAnsi="Arial Narrow"/>
            <w:noProof/>
            <w:sz w:val="24"/>
            <w:szCs w:val="24"/>
          </w:rPr>
          <w:t>Reunión Técnica de Administración de Riesgos</w:t>
        </w:r>
        <w:r w:rsidR="00171A99" w:rsidRPr="00242C43">
          <w:rPr>
            <w:rFonts w:ascii="Arial Narrow" w:hAnsi="Arial Narrow"/>
            <w:noProof/>
            <w:webHidden/>
            <w:sz w:val="24"/>
            <w:szCs w:val="24"/>
          </w:rPr>
          <w:tab/>
        </w:r>
        <w:r w:rsidR="00171A99" w:rsidRPr="00242C43">
          <w:rPr>
            <w:rFonts w:ascii="Arial Narrow" w:hAnsi="Arial Narrow"/>
            <w:noProof/>
            <w:webHidden/>
            <w:sz w:val="24"/>
            <w:szCs w:val="24"/>
          </w:rPr>
          <w:fldChar w:fldCharType="begin"/>
        </w:r>
        <w:r w:rsidR="00171A99" w:rsidRPr="00242C43">
          <w:rPr>
            <w:rFonts w:ascii="Arial Narrow" w:hAnsi="Arial Narrow"/>
            <w:noProof/>
            <w:webHidden/>
            <w:sz w:val="24"/>
            <w:szCs w:val="24"/>
          </w:rPr>
          <w:instrText xml:space="preserve"> PAGEREF _Toc4596419 \h </w:instrText>
        </w:r>
        <w:r w:rsidR="00171A99" w:rsidRPr="00242C43">
          <w:rPr>
            <w:rFonts w:ascii="Arial Narrow" w:hAnsi="Arial Narrow"/>
            <w:noProof/>
            <w:webHidden/>
            <w:sz w:val="24"/>
            <w:szCs w:val="24"/>
          </w:rPr>
        </w:r>
        <w:r w:rsidR="00171A99" w:rsidRPr="00242C43">
          <w:rPr>
            <w:rFonts w:ascii="Arial Narrow" w:hAnsi="Arial Narrow"/>
            <w:noProof/>
            <w:webHidden/>
            <w:sz w:val="24"/>
            <w:szCs w:val="24"/>
          </w:rPr>
          <w:fldChar w:fldCharType="separate"/>
        </w:r>
        <w:r w:rsidR="00171A99" w:rsidRPr="00242C43">
          <w:rPr>
            <w:rFonts w:ascii="Arial Narrow" w:hAnsi="Arial Narrow"/>
            <w:noProof/>
            <w:webHidden/>
            <w:sz w:val="24"/>
            <w:szCs w:val="24"/>
          </w:rPr>
          <w:t>6</w:t>
        </w:r>
        <w:r w:rsidR="00171A99" w:rsidRPr="00242C43">
          <w:rPr>
            <w:rFonts w:ascii="Arial Narrow" w:hAnsi="Arial Narrow"/>
            <w:noProof/>
            <w:webHidden/>
            <w:sz w:val="24"/>
            <w:szCs w:val="24"/>
          </w:rPr>
          <w:fldChar w:fldCharType="end"/>
        </w:r>
      </w:hyperlink>
    </w:p>
    <w:p w:rsidR="00242C43" w:rsidRPr="00242C43" w:rsidRDefault="00691AE4" w:rsidP="00242C43">
      <w:pPr>
        <w:pStyle w:val="TDC2"/>
        <w:rPr>
          <w:rFonts w:ascii="Arial Narrow" w:hAnsi="Arial Narrow"/>
          <w:noProof/>
          <w:sz w:val="24"/>
          <w:szCs w:val="24"/>
        </w:rPr>
      </w:pPr>
      <w:hyperlink w:anchor="_Toc4596420" w:history="1">
        <w:r w:rsidR="00171A99" w:rsidRPr="00242C43">
          <w:rPr>
            <w:rStyle w:val="Hipervnculo"/>
            <w:rFonts w:ascii="Arial Narrow" w:hAnsi="Arial Narrow"/>
            <w:noProof/>
            <w:sz w:val="24"/>
            <w:szCs w:val="24"/>
          </w:rPr>
          <w:t>6.1.2.1.</w:t>
        </w:r>
        <w:r w:rsidR="00171A99" w:rsidRPr="00242C43">
          <w:rPr>
            <w:rFonts w:ascii="Arial Narrow" w:eastAsiaTheme="minorEastAsia" w:hAnsi="Arial Narrow" w:cstheme="minorBidi"/>
            <w:noProof/>
            <w:sz w:val="24"/>
            <w:szCs w:val="24"/>
            <w:lang w:val="es-CO" w:eastAsia="es-CO"/>
          </w:rPr>
          <w:tab/>
        </w:r>
        <w:r w:rsidR="00171A99" w:rsidRPr="00242C43">
          <w:rPr>
            <w:rStyle w:val="Hipervnculo"/>
            <w:rFonts w:ascii="Arial Narrow" w:hAnsi="Arial Narrow"/>
            <w:noProof/>
            <w:sz w:val="24"/>
            <w:szCs w:val="24"/>
          </w:rPr>
          <w:t>Periodicidad</w:t>
        </w:r>
        <w:r w:rsidR="00171A99" w:rsidRPr="00242C43">
          <w:rPr>
            <w:rFonts w:ascii="Arial Narrow" w:hAnsi="Arial Narrow"/>
            <w:noProof/>
            <w:webHidden/>
            <w:sz w:val="24"/>
            <w:szCs w:val="24"/>
          </w:rPr>
          <w:tab/>
        </w:r>
        <w:r w:rsidR="00171A99" w:rsidRPr="00242C43">
          <w:rPr>
            <w:rFonts w:ascii="Arial Narrow" w:hAnsi="Arial Narrow"/>
            <w:noProof/>
            <w:webHidden/>
            <w:sz w:val="24"/>
            <w:szCs w:val="24"/>
          </w:rPr>
          <w:fldChar w:fldCharType="begin"/>
        </w:r>
        <w:r w:rsidR="00171A99" w:rsidRPr="00242C43">
          <w:rPr>
            <w:rFonts w:ascii="Arial Narrow" w:hAnsi="Arial Narrow"/>
            <w:noProof/>
            <w:webHidden/>
            <w:sz w:val="24"/>
            <w:szCs w:val="24"/>
          </w:rPr>
          <w:instrText xml:space="preserve"> PAGEREF _Toc4596420 \h </w:instrText>
        </w:r>
        <w:r w:rsidR="00171A99" w:rsidRPr="00242C43">
          <w:rPr>
            <w:rFonts w:ascii="Arial Narrow" w:hAnsi="Arial Narrow"/>
            <w:noProof/>
            <w:webHidden/>
            <w:sz w:val="24"/>
            <w:szCs w:val="24"/>
          </w:rPr>
        </w:r>
        <w:r w:rsidR="00171A99" w:rsidRPr="00242C43">
          <w:rPr>
            <w:rFonts w:ascii="Arial Narrow" w:hAnsi="Arial Narrow"/>
            <w:noProof/>
            <w:webHidden/>
            <w:sz w:val="24"/>
            <w:szCs w:val="24"/>
          </w:rPr>
          <w:fldChar w:fldCharType="separate"/>
        </w:r>
        <w:r w:rsidR="00171A99" w:rsidRPr="00242C43">
          <w:rPr>
            <w:rFonts w:ascii="Arial Narrow" w:hAnsi="Arial Narrow"/>
            <w:noProof/>
            <w:webHidden/>
            <w:sz w:val="24"/>
            <w:szCs w:val="24"/>
          </w:rPr>
          <w:t>6</w:t>
        </w:r>
        <w:r w:rsidR="00171A99" w:rsidRPr="00242C43">
          <w:rPr>
            <w:rFonts w:ascii="Arial Narrow" w:hAnsi="Arial Narrow"/>
            <w:noProof/>
            <w:webHidden/>
            <w:sz w:val="24"/>
            <w:szCs w:val="24"/>
          </w:rPr>
          <w:fldChar w:fldCharType="end"/>
        </w:r>
      </w:hyperlink>
    </w:p>
    <w:p w:rsidR="00242C43" w:rsidRPr="00242C43" w:rsidRDefault="00691AE4" w:rsidP="00242C43">
      <w:pPr>
        <w:pStyle w:val="TDC2"/>
        <w:rPr>
          <w:rFonts w:ascii="Arial Narrow" w:hAnsi="Arial Narrow"/>
          <w:noProof/>
          <w:sz w:val="24"/>
          <w:szCs w:val="24"/>
        </w:rPr>
      </w:pPr>
      <w:hyperlink w:anchor="_Toc4596421" w:history="1">
        <w:r w:rsidR="00171A99" w:rsidRPr="00242C43">
          <w:rPr>
            <w:rStyle w:val="Hipervnculo"/>
            <w:rFonts w:ascii="Arial Narrow" w:hAnsi="Arial Narrow"/>
            <w:noProof/>
            <w:sz w:val="24"/>
            <w:szCs w:val="24"/>
          </w:rPr>
          <w:t>6.1.2.2.</w:t>
        </w:r>
        <w:r w:rsidR="00171A99" w:rsidRPr="00242C43">
          <w:rPr>
            <w:rFonts w:ascii="Arial Narrow" w:eastAsiaTheme="minorEastAsia" w:hAnsi="Arial Narrow" w:cstheme="minorBidi"/>
            <w:noProof/>
            <w:sz w:val="24"/>
            <w:szCs w:val="24"/>
            <w:lang w:val="es-CO" w:eastAsia="es-CO"/>
          </w:rPr>
          <w:tab/>
        </w:r>
        <w:r w:rsidR="00171A99" w:rsidRPr="00242C43">
          <w:rPr>
            <w:rStyle w:val="Hipervnculo"/>
            <w:rFonts w:ascii="Arial Narrow" w:hAnsi="Arial Narrow"/>
            <w:noProof/>
            <w:sz w:val="24"/>
            <w:szCs w:val="24"/>
          </w:rPr>
          <w:t>Integrantes</w:t>
        </w:r>
        <w:r w:rsidR="00171A99" w:rsidRPr="00242C43">
          <w:rPr>
            <w:rFonts w:ascii="Arial Narrow" w:hAnsi="Arial Narrow"/>
            <w:noProof/>
            <w:webHidden/>
            <w:sz w:val="24"/>
            <w:szCs w:val="24"/>
          </w:rPr>
          <w:tab/>
        </w:r>
        <w:r w:rsidR="00171A99" w:rsidRPr="00242C43">
          <w:rPr>
            <w:rFonts w:ascii="Arial Narrow" w:hAnsi="Arial Narrow"/>
            <w:noProof/>
            <w:webHidden/>
            <w:sz w:val="24"/>
            <w:szCs w:val="24"/>
          </w:rPr>
          <w:fldChar w:fldCharType="begin"/>
        </w:r>
        <w:r w:rsidR="00171A99" w:rsidRPr="00242C43">
          <w:rPr>
            <w:rFonts w:ascii="Arial Narrow" w:hAnsi="Arial Narrow"/>
            <w:noProof/>
            <w:webHidden/>
            <w:sz w:val="24"/>
            <w:szCs w:val="24"/>
          </w:rPr>
          <w:instrText xml:space="preserve"> PAGEREF _Toc4596421 \h </w:instrText>
        </w:r>
        <w:r w:rsidR="00171A99" w:rsidRPr="00242C43">
          <w:rPr>
            <w:rFonts w:ascii="Arial Narrow" w:hAnsi="Arial Narrow"/>
            <w:noProof/>
            <w:webHidden/>
            <w:sz w:val="24"/>
            <w:szCs w:val="24"/>
          </w:rPr>
        </w:r>
        <w:r w:rsidR="00171A99" w:rsidRPr="00242C43">
          <w:rPr>
            <w:rFonts w:ascii="Arial Narrow" w:hAnsi="Arial Narrow"/>
            <w:noProof/>
            <w:webHidden/>
            <w:sz w:val="24"/>
            <w:szCs w:val="24"/>
          </w:rPr>
          <w:fldChar w:fldCharType="separate"/>
        </w:r>
        <w:r w:rsidR="00171A99" w:rsidRPr="00242C43">
          <w:rPr>
            <w:rFonts w:ascii="Arial Narrow" w:hAnsi="Arial Narrow"/>
            <w:noProof/>
            <w:webHidden/>
            <w:sz w:val="24"/>
            <w:szCs w:val="24"/>
          </w:rPr>
          <w:t>6</w:t>
        </w:r>
        <w:r w:rsidR="00171A99" w:rsidRPr="00242C43">
          <w:rPr>
            <w:rFonts w:ascii="Arial Narrow" w:hAnsi="Arial Narrow"/>
            <w:noProof/>
            <w:webHidden/>
            <w:sz w:val="24"/>
            <w:szCs w:val="24"/>
          </w:rPr>
          <w:fldChar w:fldCharType="end"/>
        </w:r>
      </w:hyperlink>
    </w:p>
    <w:p w:rsidR="00171A99" w:rsidRPr="00242C43" w:rsidRDefault="00691AE4" w:rsidP="00242C43">
      <w:pPr>
        <w:pStyle w:val="TDC2"/>
        <w:rPr>
          <w:rFonts w:ascii="Arial Narrow" w:eastAsiaTheme="minorEastAsia" w:hAnsi="Arial Narrow" w:cstheme="minorBidi"/>
          <w:noProof/>
          <w:sz w:val="24"/>
          <w:szCs w:val="24"/>
          <w:lang w:val="es-CO" w:eastAsia="es-CO"/>
        </w:rPr>
      </w:pPr>
      <w:hyperlink w:anchor="_Toc4596422" w:history="1">
        <w:r w:rsidR="00171A99" w:rsidRPr="00242C43">
          <w:rPr>
            <w:rStyle w:val="Hipervnculo"/>
            <w:rFonts w:ascii="Arial Narrow" w:eastAsia="Calibri" w:hAnsi="Arial Narrow"/>
            <w:noProof/>
            <w:sz w:val="24"/>
            <w:szCs w:val="24"/>
            <w:lang w:eastAsia="es-CO"/>
          </w:rPr>
          <w:t>6.1.2.3.</w:t>
        </w:r>
        <w:r w:rsidR="00171A99" w:rsidRPr="00242C43">
          <w:rPr>
            <w:rFonts w:ascii="Arial Narrow" w:eastAsiaTheme="minorEastAsia" w:hAnsi="Arial Narrow" w:cstheme="minorBidi"/>
            <w:noProof/>
            <w:sz w:val="24"/>
            <w:szCs w:val="24"/>
            <w:lang w:val="es-CO" w:eastAsia="es-CO"/>
          </w:rPr>
          <w:tab/>
        </w:r>
        <w:r w:rsidR="00171A99" w:rsidRPr="00242C43">
          <w:rPr>
            <w:rStyle w:val="Hipervnculo"/>
            <w:rFonts w:ascii="Arial Narrow" w:eastAsia="Calibri" w:hAnsi="Arial Narrow"/>
            <w:noProof/>
            <w:sz w:val="24"/>
            <w:szCs w:val="24"/>
            <w:lang w:eastAsia="es-CO"/>
          </w:rPr>
          <w:t>Funciones</w:t>
        </w:r>
        <w:r w:rsidR="00171A99" w:rsidRPr="00242C43">
          <w:rPr>
            <w:rFonts w:ascii="Arial Narrow" w:hAnsi="Arial Narrow"/>
            <w:noProof/>
            <w:webHidden/>
            <w:sz w:val="24"/>
            <w:szCs w:val="24"/>
          </w:rPr>
          <w:tab/>
        </w:r>
        <w:r w:rsidR="00171A99" w:rsidRPr="00242C43">
          <w:rPr>
            <w:rFonts w:ascii="Arial Narrow" w:hAnsi="Arial Narrow"/>
            <w:noProof/>
            <w:webHidden/>
            <w:sz w:val="24"/>
            <w:szCs w:val="24"/>
          </w:rPr>
          <w:fldChar w:fldCharType="begin"/>
        </w:r>
        <w:r w:rsidR="00171A99" w:rsidRPr="00242C43">
          <w:rPr>
            <w:rFonts w:ascii="Arial Narrow" w:hAnsi="Arial Narrow"/>
            <w:noProof/>
            <w:webHidden/>
            <w:sz w:val="24"/>
            <w:szCs w:val="24"/>
          </w:rPr>
          <w:instrText xml:space="preserve"> PAGEREF _Toc4596422 \h </w:instrText>
        </w:r>
        <w:r w:rsidR="00171A99" w:rsidRPr="00242C43">
          <w:rPr>
            <w:rFonts w:ascii="Arial Narrow" w:hAnsi="Arial Narrow"/>
            <w:noProof/>
            <w:webHidden/>
            <w:sz w:val="24"/>
            <w:szCs w:val="24"/>
          </w:rPr>
        </w:r>
        <w:r w:rsidR="00171A99" w:rsidRPr="00242C43">
          <w:rPr>
            <w:rFonts w:ascii="Arial Narrow" w:hAnsi="Arial Narrow"/>
            <w:noProof/>
            <w:webHidden/>
            <w:sz w:val="24"/>
            <w:szCs w:val="24"/>
          </w:rPr>
          <w:fldChar w:fldCharType="separate"/>
        </w:r>
        <w:r w:rsidR="00171A99" w:rsidRPr="00242C43">
          <w:rPr>
            <w:rFonts w:ascii="Arial Narrow" w:hAnsi="Arial Narrow"/>
            <w:noProof/>
            <w:webHidden/>
            <w:sz w:val="24"/>
            <w:szCs w:val="24"/>
          </w:rPr>
          <w:t>6</w:t>
        </w:r>
        <w:r w:rsidR="00171A99" w:rsidRPr="00242C43">
          <w:rPr>
            <w:rFonts w:ascii="Arial Narrow" w:hAnsi="Arial Narrow"/>
            <w:noProof/>
            <w:webHidden/>
            <w:sz w:val="24"/>
            <w:szCs w:val="24"/>
          </w:rPr>
          <w:fldChar w:fldCharType="end"/>
        </w:r>
      </w:hyperlink>
    </w:p>
    <w:p w:rsidR="00242C43" w:rsidRPr="00242C43" w:rsidRDefault="00691AE4" w:rsidP="00242C43">
      <w:pPr>
        <w:pStyle w:val="TDC2"/>
        <w:rPr>
          <w:rFonts w:ascii="Arial Narrow" w:hAnsi="Arial Narrow"/>
          <w:noProof/>
          <w:sz w:val="24"/>
          <w:szCs w:val="24"/>
        </w:rPr>
      </w:pPr>
      <w:hyperlink w:anchor="_Toc4596423" w:history="1">
        <w:r w:rsidR="00171A99" w:rsidRPr="00242C43">
          <w:rPr>
            <w:rStyle w:val="Hipervnculo"/>
            <w:rFonts w:ascii="Arial Narrow" w:hAnsi="Arial Narrow"/>
            <w:noProof/>
            <w:sz w:val="24"/>
            <w:szCs w:val="24"/>
          </w:rPr>
          <w:t>6.2.</w:t>
        </w:r>
        <w:r w:rsidR="00171A99" w:rsidRPr="00242C43">
          <w:rPr>
            <w:rFonts w:ascii="Arial Narrow" w:eastAsiaTheme="minorEastAsia" w:hAnsi="Arial Narrow" w:cstheme="minorBidi"/>
            <w:noProof/>
            <w:sz w:val="24"/>
            <w:szCs w:val="24"/>
            <w:lang w:val="es-CO" w:eastAsia="es-CO"/>
          </w:rPr>
          <w:tab/>
        </w:r>
        <w:r w:rsidR="00171A99" w:rsidRPr="00242C43">
          <w:rPr>
            <w:rStyle w:val="Hipervnculo"/>
            <w:rFonts w:ascii="Arial Narrow" w:hAnsi="Arial Narrow"/>
            <w:noProof/>
            <w:sz w:val="24"/>
            <w:szCs w:val="24"/>
          </w:rPr>
          <w:t>Políticas de Riesgo - MHCPTN</w:t>
        </w:r>
        <w:r w:rsidR="00171A99" w:rsidRPr="00242C43">
          <w:rPr>
            <w:rFonts w:ascii="Arial Narrow" w:hAnsi="Arial Narrow"/>
            <w:noProof/>
            <w:webHidden/>
            <w:sz w:val="24"/>
            <w:szCs w:val="24"/>
          </w:rPr>
          <w:tab/>
        </w:r>
        <w:r w:rsidR="00171A99" w:rsidRPr="00242C43">
          <w:rPr>
            <w:rFonts w:ascii="Arial Narrow" w:hAnsi="Arial Narrow"/>
            <w:noProof/>
            <w:webHidden/>
            <w:sz w:val="24"/>
            <w:szCs w:val="24"/>
          </w:rPr>
          <w:fldChar w:fldCharType="begin"/>
        </w:r>
        <w:r w:rsidR="00171A99" w:rsidRPr="00242C43">
          <w:rPr>
            <w:rFonts w:ascii="Arial Narrow" w:hAnsi="Arial Narrow"/>
            <w:noProof/>
            <w:webHidden/>
            <w:sz w:val="24"/>
            <w:szCs w:val="24"/>
          </w:rPr>
          <w:instrText xml:space="preserve"> PAGEREF _Toc4596423 \h </w:instrText>
        </w:r>
        <w:r w:rsidR="00171A99" w:rsidRPr="00242C43">
          <w:rPr>
            <w:rFonts w:ascii="Arial Narrow" w:hAnsi="Arial Narrow"/>
            <w:noProof/>
            <w:webHidden/>
            <w:sz w:val="24"/>
            <w:szCs w:val="24"/>
          </w:rPr>
        </w:r>
        <w:r w:rsidR="00171A99" w:rsidRPr="00242C43">
          <w:rPr>
            <w:rFonts w:ascii="Arial Narrow" w:hAnsi="Arial Narrow"/>
            <w:noProof/>
            <w:webHidden/>
            <w:sz w:val="24"/>
            <w:szCs w:val="24"/>
          </w:rPr>
          <w:fldChar w:fldCharType="separate"/>
        </w:r>
        <w:r w:rsidR="00171A99" w:rsidRPr="00242C43">
          <w:rPr>
            <w:rFonts w:ascii="Arial Narrow" w:hAnsi="Arial Narrow"/>
            <w:noProof/>
            <w:webHidden/>
            <w:sz w:val="24"/>
            <w:szCs w:val="24"/>
          </w:rPr>
          <w:t>7</w:t>
        </w:r>
        <w:r w:rsidR="00171A99" w:rsidRPr="00242C43">
          <w:rPr>
            <w:rFonts w:ascii="Arial Narrow" w:hAnsi="Arial Narrow"/>
            <w:noProof/>
            <w:webHidden/>
            <w:sz w:val="24"/>
            <w:szCs w:val="24"/>
          </w:rPr>
          <w:fldChar w:fldCharType="end"/>
        </w:r>
      </w:hyperlink>
    </w:p>
    <w:p w:rsidR="00242C43" w:rsidRPr="00242C43" w:rsidRDefault="00691AE4" w:rsidP="00242C43">
      <w:pPr>
        <w:pStyle w:val="TDC2"/>
        <w:rPr>
          <w:rFonts w:ascii="Arial Narrow" w:hAnsi="Arial Narrow"/>
          <w:noProof/>
          <w:sz w:val="24"/>
          <w:szCs w:val="24"/>
        </w:rPr>
      </w:pPr>
      <w:hyperlink w:anchor="_Toc4596424" w:history="1">
        <w:r w:rsidR="00171A99" w:rsidRPr="00242C43">
          <w:rPr>
            <w:rStyle w:val="Hipervnculo"/>
            <w:rFonts w:ascii="Arial Narrow" w:eastAsia="Calibri" w:hAnsi="Arial Narrow" w:cs="Arial"/>
            <w:noProof/>
            <w:sz w:val="24"/>
            <w:szCs w:val="24"/>
            <w:lang w:eastAsia="es-CO"/>
          </w:rPr>
          <w:t>6.2.1.</w:t>
        </w:r>
        <w:r w:rsidR="00171A99" w:rsidRPr="00242C43">
          <w:rPr>
            <w:rFonts w:ascii="Arial Narrow" w:eastAsiaTheme="minorEastAsia" w:hAnsi="Arial Narrow" w:cstheme="minorBidi"/>
            <w:noProof/>
            <w:sz w:val="24"/>
            <w:szCs w:val="24"/>
            <w:lang w:val="es-CO" w:eastAsia="es-CO"/>
          </w:rPr>
          <w:tab/>
        </w:r>
        <w:r w:rsidR="00171A99" w:rsidRPr="00242C43">
          <w:rPr>
            <w:rStyle w:val="Hipervnculo"/>
            <w:rFonts w:ascii="Arial Narrow" w:eastAsia="Calibri" w:hAnsi="Arial Narrow"/>
            <w:noProof/>
            <w:sz w:val="24"/>
            <w:szCs w:val="24"/>
            <w:lang w:eastAsia="es-CO"/>
          </w:rPr>
          <w:t>Perfil de Riesgo Global</w:t>
        </w:r>
        <w:r w:rsidR="00171A99" w:rsidRPr="00242C43">
          <w:rPr>
            <w:rFonts w:ascii="Arial Narrow" w:hAnsi="Arial Narrow"/>
            <w:noProof/>
            <w:webHidden/>
            <w:sz w:val="24"/>
            <w:szCs w:val="24"/>
          </w:rPr>
          <w:tab/>
        </w:r>
        <w:r w:rsidR="00171A99" w:rsidRPr="00242C43">
          <w:rPr>
            <w:rFonts w:ascii="Arial Narrow" w:hAnsi="Arial Narrow"/>
            <w:noProof/>
            <w:webHidden/>
            <w:sz w:val="24"/>
            <w:szCs w:val="24"/>
          </w:rPr>
          <w:fldChar w:fldCharType="begin"/>
        </w:r>
        <w:r w:rsidR="00171A99" w:rsidRPr="00242C43">
          <w:rPr>
            <w:rFonts w:ascii="Arial Narrow" w:hAnsi="Arial Narrow"/>
            <w:noProof/>
            <w:webHidden/>
            <w:sz w:val="24"/>
            <w:szCs w:val="24"/>
          </w:rPr>
          <w:instrText xml:space="preserve"> PAGEREF _Toc4596424 \h </w:instrText>
        </w:r>
        <w:r w:rsidR="00171A99" w:rsidRPr="00242C43">
          <w:rPr>
            <w:rFonts w:ascii="Arial Narrow" w:hAnsi="Arial Narrow"/>
            <w:noProof/>
            <w:webHidden/>
            <w:sz w:val="24"/>
            <w:szCs w:val="24"/>
          </w:rPr>
        </w:r>
        <w:r w:rsidR="00171A99" w:rsidRPr="00242C43">
          <w:rPr>
            <w:rFonts w:ascii="Arial Narrow" w:hAnsi="Arial Narrow"/>
            <w:noProof/>
            <w:webHidden/>
            <w:sz w:val="24"/>
            <w:szCs w:val="24"/>
          </w:rPr>
          <w:fldChar w:fldCharType="separate"/>
        </w:r>
        <w:r w:rsidR="00171A99" w:rsidRPr="00242C43">
          <w:rPr>
            <w:rFonts w:ascii="Arial Narrow" w:hAnsi="Arial Narrow"/>
            <w:noProof/>
            <w:webHidden/>
            <w:sz w:val="24"/>
            <w:szCs w:val="24"/>
          </w:rPr>
          <w:t>7</w:t>
        </w:r>
        <w:r w:rsidR="00171A99" w:rsidRPr="00242C43">
          <w:rPr>
            <w:rFonts w:ascii="Arial Narrow" w:hAnsi="Arial Narrow"/>
            <w:noProof/>
            <w:webHidden/>
            <w:sz w:val="24"/>
            <w:szCs w:val="24"/>
          </w:rPr>
          <w:fldChar w:fldCharType="end"/>
        </w:r>
      </w:hyperlink>
    </w:p>
    <w:p w:rsidR="00242C43" w:rsidRPr="00242C43" w:rsidRDefault="00691AE4" w:rsidP="00242C43">
      <w:pPr>
        <w:pStyle w:val="TDC2"/>
        <w:rPr>
          <w:rFonts w:ascii="Arial Narrow" w:hAnsi="Arial Narrow"/>
          <w:noProof/>
          <w:sz w:val="24"/>
          <w:szCs w:val="24"/>
        </w:rPr>
      </w:pPr>
      <w:hyperlink w:anchor="_Toc4596425" w:history="1">
        <w:r w:rsidR="00171A99" w:rsidRPr="00242C43">
          <w:rPr>
            <w:rStyle w:val="Hipervnculo"/>
            <w:rFonts w:ascii="Arial Narrow" w:hAnsi="Arial Narrow"/>
            <w:noProof/>
            <w:sz w:val="24"/>
            <w:szCs w:val="24"/>
          </w:rPr>
          <w:t>6.2.2.</w:t>
        </w:r>
        <w:r w:rsidR="00171A99" w:rsidRPr="00242C43">
          <w:rPr>
            <w:rFonts w:ascii="Arial Narrow" w:eastAsiaTheme="minorEastAsia" w:hAnsi="Arial Narrow" w:cstheme="minorBidi"/>
            <w:noProof/>
            <w:sz w:val="24"/>
            <w:szCs w:val="24"/>
            <w:lang w:val="es-CO" w:eastAsia="es-CO"/>
          </w:rPr>
          <w:tab/>
        </w:r>
        <w:r w:rsidR="00171A99" w:rsidRPr="00242C43">
          <w:rPr>
            <w:rStyle w:val="Hipervnculo"/>
            <w:rFonts w:ascii="Arial Narrow" w:hAnsi="Arial Narrow"/>
            <w:noProof/>
            <w:sz w:val="24"/>
            <w:szCs w:val="24"/>
          </w:rPr>
          <w:t>Directrices</w:t>
        </w:r>
        <w:r w:rsidR="00171A99" w:rsidRPr="00242C43">
          <w:rPr>
            <w:rFonts w:ascii="Arial Narrow" w:hAnsi="Arial Narrow"/>
            <w:noProof/>
            <w:webHidden/>
            <w:sz w:val="24"/>
            <w:szCs w:val="24"/>
          </w:rPr>
          <w:tab/>
        </w:r>
        <w:r w:rsidR="00171A99" w:rsidRPr="00242C43">
          <w:rPr>
            <w:rFonts w:ascii="Arial Narrow" w:hAnsi="Arial Narrow"/>
            <w:noProof/>
            <w:webHidden/>
            <w:sz w:val="24"/>
            <w:szCs w:val="24"/>
          </w:rPr>
          <w:fldChar w:fldCharType="begin"/>
        </w:r>
        <w:r w:rsidR="00171A99" w:rsidRPr="00242C43">
          <w:rPr>
            <w:rFonts w:ascii="Arial Narrow" w:hAnsi="Arial Narrow"/>
            <w:noProof/>
            <w:webHidden/>
            <w:sz w:val="24"/>
            <w:szCs w:val="24"/>
          </w:rPr>
          <w:instrText xml:space="preserve"> PAGEREF _Toc4596425 \h </w:instrText>
        </w:r>
        <w:r w:rsidR="00171A99" w:rsidRPr="00242C43">
          <w:rPr>
            <w:rFonts w:ascii="Arial Narrow" w:hAnsi="Arial Narrow"/>
            <w:noProof/>
            <w:webHidden/>
            <w:sz w:val="24"/>
            <w:szCs w:val="24"/>
          </w:rPr>
        </w:r>
        <w:r w:rsidR="00171A99" w:rsidRPr="00242C43">
          <w:rPr>
            <w:rFonts w:ascii="Arial Narrow" w:hAnsi="Arial Narrow"/>
            <w:noProof/>
            <w:webHidden/>
            <w:sz w:val="24"/>
            <w:szCs w:val="24"/>
          </w:rPr>
          <w:fldChar w:fldCharType="separate"/>
        </w:r>
        <w:r w:rsidR="00171A99" w:rsidRPr="00242C43">
          <w:rPr>
            <w:rFonts w:ascii="Arial Narrow" w:hAnsi="Arial Narrow"/>
            <w:noProof/>
            <w:webHidden/>
            <w:sz w:val="24"/>
            <w:szCs w:val="24"/>
          </w:rPr>
          <w:t>8</w:t>
        </w:r>
        <w:r w:rsidR="00171A99" w:rsidRPr="00242C43">
          <w:rPr>
            <w:rFonts w:ascii="Arial Narrow" w:hAnsi="Arial Narrow"/>
            <w:noProof/>
            <w:webHidden/>
            <w:sz w:val="24"/>
            <w:szCs w:val="24"/>
          </w:rPr>
          <w:fldChar w:fldCharType="end"/>
        </w:r>
      </w:hyperlink>
    </w:p>
    <w:p w:rsidR="00242C43" w:rsidRPr="00242C43" w:rsidRDefault="00691AE4" w:rsidP="00242C43">
      <w:pPr>
        <w:pStyle w:val="TDC2"/>
        <w:rPr>
          <w:rFonts w:ascii="Arial Narrow" w:hAnsi="Arial Narrow"/>
          <w:noProof/>
          <w:sz w:val="24"/>
          <w:szCs w:val="24"/>
        </w:rPr>
      </w:pPr>
      <w:hyperlink w:anchor="_Toc4596426" w:history="1">
        <w:r w:rsidR="00171A99" w:rsidRPr="00242C43">
          <w:rPr>
            <w:rStyle w:val="Hipervnculo"/>
            <w:rFonts w:ascii="Arial Narrow" w:hAnsi="Arial Narrow"/>
            <w:noProof/>
            <w:sz w:val="24"/>
            <w:szCs w:val="24"/>
          </w:rPr>
          <w:t>6.2.2.1.</w:t>
        </w:r>
        <w:r w:rsidR="00171A99" w:rsidRPr="00242C43">
          <w:rPr>
            <w:rFonts w:ascii="Arial Narrow" w:eastAsiaTheme="minorEastAsia" w:hAnsi="Arial Narrow" w:cstheme="minorBidi"/>
            <w:noProof/>
            <w:sz w:val="24"/>
            <w:szCs w:val="24"/>
            <w:lang w:val="es-CO" w:eastAsia="es-CO"/>
          </w:rPr>
          <w:tab/>
        </w:r>
        <w:r w:rsidR="00171A99" w:rsidRPr="00242C43">
          <w:rPr>
            <w:rStyle w:val="Hipervnculo"/>
            <w:rFonts w:ascii="Arial Narrow" w:hAnsi="Arial Narrow"/>
            <w:noProof/>
            <w:sz w:val="24"/>
            <w:szCs w:val="24"/>
          </w:rPr>
          <w:t>Directrices en Materia de Instancias de Aprobación</w:t>
        </w:r>
        <w:r w:rsidR="00171A99" w:rsidRPr="00242C43">
          <w:rPr>
            <w:rFonts w:ascii="Arial Narrow" w:hAnsi="Arial Narrow"/>
            <w:noProof/>
            <w:webHidden/>
            <w:sz w:val="24"/>
            <w:szCs w:val="24"/>
          </w:rPr>
          <w:tab/>
        </w:r>
        <w:r w:rsidR="00171A99" w:rsidRPr="00242C43">
          <w:rPr>
            <w:rFonts w:ascii="Arial Narrow" w:hAnsi="Arial Narrow"/>
            <w:noProof/>
            <w:webHidden/>
            <w:sz w:val="24"/>
            <w:szCs w:val="24"/>
          </w:rPr>
          <w:fldChar w:fldCharType="begin"/>
        </w:r>
        <w:r w:rsidR="00171A99" w:rsidRPr="00242C43">
          <w:rPr>
            <w:rFonts w:ascii="Arial Narrow" w:hAnsi="Arial Narrow"/>
            <w:noProof/>
            <w:webHidden/>
            <w:sz w:val="24"/>
            <w:szCs w:val="24"/>
          </w:rPr>
          <w:instrText xml:space="preserve"> PAGEREF _Toc4596426 \h </w:instrText>
        </w:r>
        <w:r w:rsidR="00171A99" w:rsidRPr="00242C43">
          <w:rPr>
            <w:rFonts w:ascii="Arial Narrow" w:hAnsi="Arial Narrow"/>
            <w:noProof/>
            <w:webHidden/>
            <w:sz w:val="24"/>
            <w:szCs w:val="24"/>
          </w:rPr>
        </w:r>
        <w:r w:rsidR="00171A99" w:rsidRPr="00242C43">
          <w:rPr>
            <w:rFonts w:ascii="Arial Narrow" w:hAnsi="Arial Narrow"/>
            <w:noProof/>
            <w:webHidden/>
            <w:sz w:val="24"/>
            <w:szCs w:val="24"/>
          </w:rPr>
          <w:fldChar w:fldCharType="separate"/>
        </w:r>
        <w:r w:rsidR="00171A99" w:rsidRPr="00242C43">
          <w:rPr>
            <w:rFonts w:ascii="Arial Narrow" w:hAnsi="Arial Narrow"/>
            <w:noProof/>
            <w:webHidden/>
            <w:sz w:val="24"/>
            <w:szCs w:val="24"/>
          </w:rPr>
          <w:t>8</w:t>
        </w:r>
        <w:r w:rsidR="00171A99" w:rsidRPr="00242C43">
          <w:rPr>
            <w:rFonts w:ascii="Arial Narrow" w:hAnsi="Arial Narrow"/>
            <w:noProof/>
            <w:webHidden/>
            <w:sz w:val="24"/>
            <w:szCs w:val="24"/>
          </w:rPr>
          <w:fldChar w:fldCharType="end"/>
        </w:r>
      </w:hyperlink>
    </w:p>
    <w:p w:rsidR="00242C43" w:rsidRPr="00242C43" w:rsidRDefault="00691AE4" w:rsidP="00242C43">
      <w:pPr>
        <w:pStyle w:val="TDC2"/>
        <w:rPr>
          <w:rFonts w:ascii="Arial Narrow" w:hAnsi="Arial Narrow"/>
          <w:noProof/>
          <w:sz w:val="24"/>
          <w:szCs w:val="24"/>
        </w:rPr>
      </w:pPr>
      <w:hyperlink w:anchor="_Toc4596427" w:history="1">
        <w:r w:rsidR="00171A99" w:rsidRPr="00242C43">
          <w:rPr>
            <w:rStyle w:val="Hipervnculo"/>
            <w:rFonts w:ascii="Arial Narrow" w:hAnsi="Arial Narrow"/>
            <w:noProof/>
            <w:sz w:val="24"/>
            <w:szCs w:val="24"/>
          </w:rPr>
          <w:t>6.2.2.2.</w:t>
        </w:r>
        <w:r w:rsidR="00171A99" w:rsidRPr="00242C43">
          <w:rPr>
            <w:rFonts w:ascii="Arial Narrow" w:eastAsiaTheme="minorEastAsia" w:hAnsi="Arial Narrow" w:cstheme="minorBidi"/>
            <w:noProof/>
            <w:sz w:val="24"/>
            <w:szCs w:val="24"/>
            <w:lang w:val="es-CO" w:eastAsia="es-CO"/>
          </w:rPr>
          <w:tab/>
        </w:r>
        <w:r w:rsidR="00171A99" w:rsidRPr="00242C43">
          <w:rPr>
            <w:rStyle w:val="Hipervnculo"/>
            <w:rFonts w:ascii="Arial Narrow" w:hAnsi="Arial Narrow"/>
            <w:noProof/>
            <w:sz w:val="24"/>
            <w:szCs w:val="24"/>
          </w:rPr>
          <w:t>Directrices en Materia de Exposición al Riesgo de Mercado</w:t>
        </w:r>
        <w:r w:rsidR="00171A99" w:rsidRPr="00242C43">
          <w:rPr>
            <w:rFonts w:ascii="Arial Narrow" w:hAnsi="Arial Narrow"/>
            <w:noProof/>
            <w:webHidden/>
            <w:sz w:val="24"/>
            <w:szCs w:val="24"/>
          </w:rPr>
          <w:tab/>
        </w:r>
        <w:r w:rsidR="00171A99" w:rsidRPr="00242C43">
          <w:rPr>
            <w:rFonts w:ascii="Arial Narrow" w:hAnsi="Arial Narrow"/>
            <w:noProof/>
            <w:webHidden/>
            <w:sz w:val="24"/>
            <w:szCs w:val="24"/>
          </w:rPr>
          <w:fldChar w:fldCharType="begin"/>
        </w:r>
        <w:r w:rsidR="00171A99" w:rsidRPr="00242C43">
          <w:rPr>
            <w:rFonts w:ascii="Arial Narrow" w:hAnsi="Arial Narrow"/>
            <w:noProof/>
            <w:webHidden/>
            <w:sz w:val="24"/>
            <w:szCs w:val="24"/>
          </w:rPr>
          <w:instrText xml:space="preserve"> PAGEREF _Toc4596427 \h </w:instrText>
        </w:r>
        <w:r w:rsidR="00171A99" w:rsidRPr="00242C43">
          <w:rPr>
            <w:rFonts w:ascii="Arial Narrow" w:hAnsi="Arial Narrow"/>
            <w:noProof/>
            <w:webHidden/>
            <w:sz w:val="24"/>
            <w:szCs w:val="24"/>
          </w:rPr>
        </w:r>
        <w:r w:rsidR="00171A99" w:rsidRPr="00242C43">
          <w:rPr>
            <w:rFonts w:ascii="Arial Narrow" w:hAnsi="Arial Narrow"/>
            <w:noProof/>
            <w:webHidden/>
            <w:sz w:val="24"/>
            <w:szCs w:val="24"/>
          </w:rPr>
          <w:fldChar w:fldCharType="separate"/>
        </w:r>
        <w:r w:rsidR="00171A99" w:rsidRPr="00242C43">
          <w:rPr>
            <w:rFonts w:ascii="Arial Narrow" w:hAnsi="Arial Narrow"/>
            <w:noProof/>
            <w:webHidden/>
            <w:sz w:val="24"/>
            <w:szCs w:val="24"/>
          </w:rPr>
          <w:t>9</w:t>
        </w:r>
        <w:r w:rsidR="00171A99" w:rsidRPr="00242C43">
          <w:rPr>
            <w:rFonts w:ascii="Arial Narrow" w:hAnsi="Arial Narrow"/>
            <w:noProof/>
            <w:webHidden/>
            <w:sz w:val="24"/>
            <w:szCs w:val="24"/>
          </w:rPr>
          <w:fldChar w:fldCharType="end"/>
        </w:r>
      </w:hyperlink>
    </w:p>
    <w:p w:rsidR="00242C43" w:rsidRPr="00242C43" w:rsidRDefault="00691AE4" w:rsidP="00242C43">
      <w:pPr>
        <w:pStyle w:val="TDC2"/>
        <w:rPr>
          <w:rFonts w:ascii="Arial Narrow" w:hAnsi="Arial Narrow"/>
          <w:noProof/>
          <w:sz w:val="24"/>
          <w:szCs w:val="24"/>
        </w:rPr>
      </w:pPr>
      <w:hyperlink w:anchor="_Toc4596428" w:history="1">
        <w:r w:rsidR="00171A99" w:rsidRPr="00242C43">
          <w:rPr>
            <w:rStyle w:val="Hipervnculo"/>
            <w:rFonts w:ascii="Arial Narrow" w:hAnsi="Arial Narrow"/>
            <w:noProof/>
            <w:sz w:val="24"/>
            <w:szCs w:val="24"/>
          </w:rPr>
          <w:t>6.2.2.3.</w:t>
        </w:r>
        <w:r w:rsidR="00171A99" w:rsidRPr="00242C43">
          <w:rPr>
            <w:rFonts w:ascii="Arial Narrow" w:eastAsiaTheme="minorEastAsia" w:hAnsi="Arial Narrow" w:cstheme="minorBidi"/>
            <w:noProof/>
            <w:sz w:val="24"/>
            <w:szCs w:val="24"/>
            <w:lang w:val="es-CO" w:eastAsia="es-CO"/>
          </w:rPr>
          <w:tab/>
        </w:r>
        <w:r w:rsidR="00171A99" w:rsidRPr="00242C43">
          <w:rPr>
            <w:rStyle w:val="Hipervnculo"/>
            <w:rFonts w:ascii="Arial Narrow" w:hAnsi="Arial Narrow"/>
            <w:noProof/>
            <w:sz w:val="24"/>
            <w:szCs w:val="24"/>
          </w:rPr>
          <w:t>Directrices en materia de Operaciones Autorizadas</w:t>
        </w:r>
        <w:r w:rsidR="00171A99" w:rsidRPr="00242C43">
          <w:rPr>
            <w:rFonts w:ascii="Arial Narrow" w:hAnsi="Arial Narrow"/>
            <w:noProof/>
            <w:webHidden/>
            <w:sz w:val="24"/>
            <w:szCs w:val="24"/>
          </w:rPr>
          <w:tab/>
        </w:r>
        <w:r w:rsidR="00171A99" w:rsidRPr="00242C43">
          <w:rPr>
            <w:rFonts w:ascii="Arial Narrow" w:hAnsi="Arial Narrow"/>
            <w:noProof/>
            <w:webHidden/>
            <w:sz w:val="24"/>
            <w:szCs w:val="24"/>
          </w:rPr>
          <w:fldChar w:fldCharType="begin"/>
        </w:r>
        <w:r w:rsidR="00171A99" w:rsidRPr="00242C43">
          <w:rPr>
            <w:rFonts w:ascii="Arial Narrow" w:hAnsi="Arial Narrow"/>
            <w:noProof/>
            <w:webHidden/>
            <w:sz w:val="24"/>
            <w:szCs w:val="24"/>
          </w:rPr>
          <w:instrText xml:space="preserve"> PAGEREF _Toc4596428 \h </w:instrText>
        </w:r>
        <w:r w:rsidR="00171A99" w:rsidRPr="00242C43">
          <w:rPr>
            <w:rFonts w:ascii="Arial Narrow" w:hAnsi="Arial Narrow"/>
            <w:noProof/>
            <w:webHidden/>
            <w:sz w:val="24"/>
            <w:szCs w:val="24"/>
          </w:rPr>
        </w:r>
        <w:r w:rsidR="00171A99" w:rsidRPr="00242C43">
          <w:rPr>
            <w:rFonts w:ascii="Arial Narrow" w:hAnsi="Arial Narrow"/>
            <w:noProof/>
            <w:webHidden/>
            <w:sz w:val="24"/>
            <w:szCs w:val="24"/>
          </w:rPr>
          <w:fldChar w:fldCharType="separate"/>
        </w:r>
        <w:r w:rsidR="00171A99" w:rsidRPr="00242C43">
          <w:rPr>
            <w:rFonts w:ascii="Arial Narrow" w:hAnsi="Arial Narrow"/>
            <w:noProof/>
            <w:webHidden/>
            <w:sz w:val="24"/>
            <w:szCs w:val="24"/>
          </w:rPr>
          <w:t>9</w:t>
        </w:r>
        <w:r w:rsidR="00171A99" w:rsidRPr="00242C43">
          <w:rPr>
            <w:rFonts w:ascii="Arial Narrow" w:hAnsi="Arial Narrow"/>
            <w:noProof/>
            <w:webHidden/>
            <w:sz w:val="24"/>
            <w:szCs w:val="24"/>
          </w:rPr>
          <w:fldChar w:fldCharType="end"/>
        </w:r>
      </w:hyperlink>
    </w:p>
    <w:p w:rsidR="00242C43" w:rsidRPr="00242C43" w:rsidRDefault="00691AE4" w:rsidP="00242C43">
      <w:pPr>
        <w:pStyle w:val="TDC2"/>
        <w:rPr>
          <w:rFonts w:ascii="Arial Narrow" w:hAnsi="Arial Narrow"/>
          <w:noProof/>
          <w:sz w:val="24"/>
          <w:szCs w:val="24"/>
        </w:rPr>
      </w:pPr>
      <w:hyperlink w:anchor="_Toc4596429" w:history="1">
        <w:r w:rsidR="00171A99" w:rsidRPr="00242C43">
          <w:rPr>
            <w:rStyle w:val="Hipervnculo"/>
            <w:rFonts w:ascii="Arial Narrow" w:hAnsi="Arial Narrow"/>
            <w:noProof/>
            <w:sz w:val="24"/>
            <w:szCs w:val="24"/>
          </w:rPr>
          <w:t>6.2.2.4.</w:t>
        </w:r>
        <w:r w:rsidR="00171A99" w:rsidRPr="00242C43">
          <w:rPr>
            <w:rFonts w:ascii="Arial Narrow" w:eastAsiaTheme="minorEastAsia" w:hAnsi="Arial Narrow" w:cstheme="minorBidi"/>
            <w:noProof/>
            <w:sz w:val="24"/>
            <w:szCs w:val="24"/>
            <w:lang w:val="es-CO" w:eastAsia="es-CO"/>
          </w:rPr>
          <w:tab/>
        </w:r>
        <w:r w:rsidR="00171A99" w:rsidRPr="00242C43">
          <w:rPr>
            <w:rStyle w:val="Hipervnculo"/>
            <w:rFonts w:ascii="Arial Narrow" w:hAnsi="Arial Narrow"/>
            <w:noProof/>
            <w:sz w:val="24"/>
            <w:szCs w:val="24"/>
          </w:rPr>
          <w:t>Directrices en materia de Composición del Portafolio de Inversiones</w:t>
        </w:r>
        <w:r w:rsidR="00171A99" w:rsidRPr="00242C43">
          <w:rPr>
            <w:rFonts w:ascii="Arial Narrow" w:hAnsi="Arial Narrow"/>
            <w:noProof/>
            <w:webHidden/>
            <w:sz w:val="24"/>
            <w:szCs w:val="24"/>
          </w:rPr>
          <w:tab/>
        </w:r>
        <w:r w:rsidR="00171A99" w:rsidRPr="00242C43">
          <w:rPr>
            <w:rFonts w:ascii="Arial Narrow" w:hAnsi="Arial Narrow"/>
            <w:noProof/>
            <w:webHidden/>
            <w:sz w:val="24"/>
            <w:szCs w:val="24"/>
          </w:rPr>
          <w:fldChar w:fldCharType="begin"/>
        </w:r>
        <w:r w:rsidR="00171A99" w:rsidRPr="00242C43">
          <w:rPr>
            <w:rFonts w:ascii="Arial Narrow" w:hAnsi="Arial Narrow"/>
            <w:noProof/>
            <w:webHidden/>
            <w:sz w:val="24"/>
            <w:szCs w:val="24"/>
          </w:rPr>
          <w:instrText xml:space="preserve"> PAGEREF _Toc4596429 \h </w:instrText>
        </w:r>
        <w:r w:rsidR="00171A99" w:rsidRPr="00242C43">
          <w:rPr>
            <w:rFonts w:ascii="Arial Narrow" w:hAnsi="Arial Narrow"/>
            <w:noProof/>
            <w:webHidden/>
            <w:sz w:val="24"/>
            <w:szCs w:val="24"/>
          </w:rPr>
        </w:r>
        <w:r w:rsidR="00171A99" w:rsidRPr="00242C43">
          <w:rPr>
            <w:rFonts w:ascii="Arial Narrow" w:hAnsi="Arial Narrow"/>
            <w:noProof/>
            <w:webHidden/>
            <w:sz w:val="24"/>
            <w:szCs w:val="24"/>
          </w:rPr>
          <w:fldChar w:fldCharType="separate"/>
        </w:r>
        <w:r w:rsidR="00171A99" w:rsidRPr="00242C43">
          <w:rPr>
            <w:rFonts w:ascii="Arial Narrow" w:hAnsi="Arial Narrow"/>
            <w:noProof/>
            <w:webHidden/>
            <w:sz w:val="24"/>
            <w:szCs w:val="24"/>
          </w:rPr>
          <w:t>10</w:t>
        </w:r>
        <w:r w:rsidR="00171A99" w:rsidRPr="00242C43">
          <w:rPr>
            <w:rFonts w:ascii="Arial Narrow" w:hAnsi="Arial Narrow"/>
            <w:noProof/>
            <w:webHidden/>
            <w:sz w:val="24"/>
            <w:szCs w:val="24"/>
          </w:rPr>
          <w:fldChar w:fldCharType="end"/>
        </w:r>
      </w:hyperlink>
    </w:p>
    <w:p w:rsidR="00242C43" w:rsidRPr="00242C43" w:rsidRDefault="00691AE4" w:rsidP="00242C43">
      <w:pPr>
        <w:pStyle w:val="TDC2"/>
        <w:rPr>
          <w:rFonts w:ascii="Arial Narrow" w:hAnsi="Arial Narrow"/>
          <w:noProof/>
          <w:sz w:val="24"/>
          <w:szCs w:val="24"/>
        </w:rPr>
      </w:pPr>
      <w:hyperlink w:anchor="_Toc4596430" w:history="1">
        <w:r w:rsidR="00171A99" w:rsidRPr="00242C43">
          <w:rPr>
            <w:rStyle w:val="Hipervnculo"/>
            <w:rFonts w:ascii="Arial Narrow" w:hAnsi="Arial Narrow"/>
            <w:noProof/>
            <w:sz w:val="24"/>
            <w:szCs w:val="24"/>
          </w:rPr>
          <w:t>6.2.2.5.</w:t>
        </w:r>
        <w:r w:rsidR="00171A99" w:rsidRPr="00242C43">
          <w:rPr>
            <w:rFonts w:ascii="Arial Narrow" w:eastAsiaTheme="minorEastAsia" w:hAnsi="Arial Narrow" w:cstheme="minorBidi"/>
            <w:noProof/>
            <w:sz w:val="24"/>
            <w:szCs w:val="24"/>
            <w:lang w:val="es-CO" w:eastAsia="es-CO"/>
          </w:rPr>
          <w:tab/>
        </w:r>
        <w:r w:rsidR="00171A99" w:rsidRPr="00242C43">
          <w:rPr>
            <w:rStyle w:val="Hipervnculo"/>
            <w:rFonts w:ascii="Arial Narrow" w:hAnsi="Arial Narrow"/>
            <w:noProof/>
            <w:sz w:val="24"/>
            <w:szCs w:val="24"/>
          </w:rPr>
          <w:t>Directrices en Materia de Cupos</w:t>
        </w:r>
        <w:r w:rsidR="00171A99" w:rsidRPr="00242C43">
          <w:rPr>
            <w:rFonts w:ascii="Arial Narrow" w:hAnsi="Arial Narrow"/>
            <w:noProof/>
            <w:webHidden/>
            <w:sz w:val="24"/>
            <w:szCs w:val="24"/>
          </w:rPr>
          <w:tab/>
        </w:r>
        <w:r w:rsidR="00171A99" w:rsidRPr="00242C43">
          <w:rPr>
            <w:rFonts w:ascii="Arial Narrow" w:hAnsi="Arial Narrow"/>
            <w:noProof/>
            <w:webHidden/>
            <w:sz w:val="24"/>
            <w:szCs w:val="24"/>
          </w:rPr>
          <w:fldChar w:fldCharType="begin"/>
        </w:r>
        <w:r w:rsidR="00171A99" w:rsidRPr="00242C43">
          <w:rPr>
            <w:rFonts w:ascii="Arial Narrow" w:hAnsi="Arial Narrow"/>
            <w:noProof/>
            <w:webHidden/>
            <w:sz w:val="24"/>
            <w:szCs w:val="24"/>
          </w:rPr>
          <w:instrText xml:space="preserve"> PAGEREF _Toc4596430 \h </w:instrText>
        </w:r>
        <w:r w:rsidR="00171A99" w:rsidRPr="00242C43">
          <w:rPr>
            <w:rFonts w:ascii="Arial Narrow" w:hAnsi="Arial Narrow"/>
            <w:noProof/>
            <w:webHidden/>
            <w:sz w:val="24"/>
            <w:szCs w:val="24"/>
          </w:rPr>
        </w:r>
        <w:r w:rsidR="00171A99" w:rsidRPr="00242C43">
          <w:rPr>
            <w:rFonts w:ascii="Arial Narrow" w:hAnsi="Arial Narrow"/>
            <w:noProof/>
            <w:webHidden/>
            <w:sz w:val="24"/>
            <w:szCs w:val="24"/>
          </w:rPr>
          <w:fldChar w:fldCharType="separate"/>
        </w:r>
        <w:r w:rsidR="00171A99" w:rsidRPr="00242C43">
          <w:rPr>
            <w:rFonts w:ascii="Arial Narrow" w:hAnsi="Arial Narrow"/>
            <w:noProof/>
            <w:webHidden/>
            <w:sz w:val="24"/>
            <w:szCs w:val="24"/>
          </w:rPr>
          <w:t>11</w:t>
        </w:r>
        <w:r w:rsidR="00171A99" w:rsidRPr="00242C43">
          <w:rPr>
            <w:rFonts w:ascii="Arial Narrow" w:hAnsi="Arial Narrow"/>
            <w:noProof/>
            <w:webHidden/>
            <w:sz w:val="24"/>
            <w:szCs w:val="24"/>
          </w:rPr>
          <w:fldChar w:fldCharType="end"/>
        </w:r>
      </w:hyperlink>
    </w:p>
    <w:p w:rsidR="00242C43" w:rsidRPr="00242C43" w:rsidRDefault="00691AE4" w:rsidP="00242C43">
      <w:pPr>
        <w:pStyle w:val="TDC2"/>
        <w:rPr>
          <w:rFonts w:ascii="Arial Narrow" w:hAnsi="Arial Narrow"/>
          <w:noProof/>
          <w:sz w:val="24"/>
          <w:szCs w:val="24"/>
        </w:rPr>
      </w:pPr>
      <w:hyperlink w:anchor="_Toc4596431" w:history="1">
        <w:r w:rsidR="00171A99" w:rsidRPr="00242C43">
          <w:rPr>
            <w:rStyle w:val="Hipervnculo"/>
            <w:rFonts w:ascii="Arial Narrow" w:hAnsi="Arial Narrow"/>
            <w:noProof/>
            <w:sz w:val="24"/>
            <w:szCs w:val="24"/>
          </w:rPr>
          <w:t>6.2.2.6.</w:t>
        </w:r>
        <w:r w:rsidR="00171A99" w:rsidRPr="00242C43">
          <w:rPr>
            <w:rFonts w:ascii="Arial Narrow" w:eastAsiaTheme="minorEastAsia" w:hAnsi="Arial Narrow" w:cstheme="minorBidi"/>
            <w:noProof/>
            <w:sz w:val="24"/>
            <w:szCs w:val="24"/>
            <w:lang w:val="es-CO" w:eastAsia="es-CO"/>
          </w:rPr>
          <w:tab/>
        </w:r>
        <w:r w:rsidR="00171A99" w:rsidRPr="00242C43">
          <w:rPr>
            <w:rStyle w:val="Hipervnculo"/>
            <w:rFonts w:ascii="Arial Narrow" w:hAnsi="Arial Narrow"/>
            <w:noProof/>
            <w:sz w:val="24"/>
            <w:szCs w:val="24"/>
          </w:rPr>
          <w:t>Directrices en materia de cumplimiento de límites</w:t>
        </w:r>
        <w:r w:rsidR="00171A99" w:rsidRPr="00242C43">
          <w:rPr>
            <w:rFonts w:ascii="Arial Narrow" w:hAnsi="Arial Narrow"/>
            <w:noProof/>
            <w:webHidden/>
            <w:sz w:val="24"/>
            <w:szCs w:val="24"/>
          </w:rPr>
          <w:tab/>
        </w:r>
        <w:r w:rsidR="00171A99" w:rsidRPr="00242C43">
          <w:rPr>
            <w:rFonts w:ascii="Arial Narrow" w:hAnsi="Arial Narrow"/>
            <w:noProof/>
            <w:webHidden/>
            <w:sz w:val="24"/>
            <w:szCs w:val="24"/>
          </w:rPr>
          <w:fldChar w:fldCharType="begin"/>
        </w:r>
        <w:r w:rsidR="00171A99" w:rsidRPr="00242C43">
          <w:rPr>
            <w:rFonts w:ascii="Arial Narrow" w:hAnsi="Arial Narrow"/>
            <w:noProof/>
            <w:webHidden/>
            <w:sz w:val="24"/>
            <w:szCs w:val="24"/>
          </w:rPr>
          <w:instrText xml:space="preserve"> PAGEREF _Toc4596431 \h </w:instrText>
        </w:r>
        <w:r w:rsidR="00171A99" w:rsidRPr="00242C43">
          <w:rPr>
            <w:rFonts w:ascii="Arial Narrow" w:hAnsi="Arial Narrow"/>
            <w:noProof/>
            <w:webHidden/>
            <w:sz w:val="24"/>
            <w:szCs w:val="24"/>
          </w:rPr>
        </w:r>
        <w:r w:rsidR="00171A99" w:rsidRPr="00242C43">
          <w:rPr>
            <w:rFonts w:ascii="Arial Narrow" w:hAnsi="Arial Narrow"/>
            <w:noProof/>
            <w:webHidden/>
            <w:sz w:val="24"/>
            <w:szCs w:val="24"/>
          </w:rPr>
          <w:fldChar w:fldCharType="separate"/>
        </w:r>
        <w:r w:rsidR="00171A99" w:rsidRPr="00242C43">
          <w:rPr>
            <w:rFonts w:ascii="Arial Narrow" w:hAnsi="Arial Narrow"/>
            <w:noProof/>
            <w:webHidden/>
            <w:sz w:val="24"/>
            <w:szCs w:val="24"/>
          </w:rPr>
          <w:t>15</w:t>
        </w:r>
        <w:r w:rsidR="00171A99" w:rsidRPr="00242C43">
          <w:rPr>
            <w:rFonts w:ascii="Arial Narrow" w:hAnsi="Arial Narrow"/>
            <w:noProof/>
            <w:webHidden/>
            <w:sz w:val="24"/>
            <w:szCs w:val="24"/>
          </w:rPr>
          <w:fldChar w:fldCharType="end"/>
        </w:r>
      </w:hyperlink>
    </w:p>
    <w:p w:rsidR="00171A99" w:rsidRPr="00242C43" w:rsidRDefault="00691AE4" w:rsidP="00242C43">
      <w:pPr>
        <w:pStyle w:val="TDC2"/>
        <w:rPr>
          <w:rFonts w:ascii="Arial Narrow" w:eastAsiaTheme="minorEastAsia" w:hAnsi="Arial Narrow" w:cstheme="minorBidi"/>
          <w:noProof/>
          <w:sz w:val="24"/>
          <w:szCs w:val="24"/>
          <w:lang w:val="es-CO" w:eastAsia="es-CO"/>
        </w:rPr>
      </w:pPr>
      <w:hyperlink w:anchor="_Toc4596432" w:history="1">
        <w:r w:rsidR="00171A99" w:rsidRPr="00242C43">
          <w:rPr>
            <w:rStyle w:val="Hipervnculo"/>
            <w:rFonts w:ascii="Arial Narrow" w:hAnsi="Arial Narrow"/>
            <w:noProof/>
            <w:sz w:val="24"/>
            <w:szCs w:val="24"/>
          </w:rPr>
          <w:t>6.2.2.6.1.Directrices en materia de perfil de funcionarios</w:t>
        </w:r>
        <w:r w:rsidR="00171A99" w:rsidRPr="00242C43">
          <w:rPr>
            <w:rFonts w:ascii="Arial Narrow" w:hAnsi="Arial Narrow"/>
            <w:noProof/>
            <w:webHidden/>
            <w:sz w:val="24"/>
            <w:szCs w:val="24"/>
          </w:rPr>
          <w:tab/>
        </w:r>
        <w:r w:rsidR="00171A99" w:rsidRPr="00242C43">
          <w:rPr>
            <w:rFonts w:ascii="Arial Narrow" w:hAnsi="Arial Narrow"/>
            <w:noProof/>
            <w:webHidden/>
            <w:sz w:val="24"/>
            <w:szCs w:val="24"/>
          </w:rPr>
          <w:fldChar w:fldCharType="begin"/>
        </w:r>
        <w:r w:rsidR="00171A99" w:rsidRPr="00242C43">
          <w:rPr>
            <w:rFonts w:ascii="Arial Narrow" w:hAnsi="Arial Narrow"/>
            <w:noProof/>
            <w:webHidden/>
            <w:sz w:val="24"/>
            <w:szCs w:val="24"/>
          </w:rPr>
          <w:instrText xml:space="preserve"> PAGEREF _Toc4596432 \h </w:instrText>
        </w:r>
        <w:r w:rsidR="00171A99" w:rsidRPr="00242C43">
          <w:rPr>
            <w:rFonts w:ascii="Arial Narrow" w:hAnsi="Arial Narrow"/>
            <w:noProof/>
            <w:webHidden/>
            <w:sz w:val="24"/>
            <w:szCs w:val="24"/>
          </w:rPr>
        </w:r>
        <w:r w:rsidR="00171A99" w:rsidRPr="00242C43">
          <w:rPr>
            <w:rFonts w:ascii="Arial Narrow" w:hAnsi="Arial Narrow"/>
            <w:noProof/>
            <w:webHidden/>
            <w:sz w:val="24"/>
            <w:szCs w:val="24"/>
          </w:rPr>
          <w:fldChar w:fldCharType="separate"/>
        </w:r>
        <w:r w:rsidR="00171A99" w:rsidRPr="00242C43">
          <w:rPr>
            <w:rFonts w:ascii="Arial Narrow" w:hAnsi="Arial Narrow"/>
            <w:noProof/>
            <w:webHidden/>
            <w:sz w:val="24"/>
            <w:szCs w:val="24"/>
          </w:rPr>
          <w:t>15</w:t>
        </w:r>
        <w:r w:rsidR="00171A99" w:rsidRPr="00242C43">
          <w:rPr>
            <w:rFonts w:ascii="Arial Narrow" w:hAnsi="Arial Narrow"/>
            <w:noProof/>
            <w:webHidden/>
            <w:sz w:val="24"/>
            <w:szCs w:val="24"/>
          </w:rPr>
          <w:fldChar w:fldCharType="end"/>
        </w:r>
      </w:hyperlink>
    </w:p>
    <w:p w:rsidR="00242C43" w:rsidRPr="00242C43" w:rsidRDefault="00691AE4" w:rsidP="00242C43">
      <w:pPr>
        <w:pStyle w:val="TDC2"/>
        <w:rPr>
          <w:rFonts w:ascii="Arial Narrow" w:hAnsi="Arial Narrow"/>
          <w:noProof/>
          <w:sz w:val="24"/>
          <w:szCs w:val="24"/>
        </w:rPr>
      </w:pPr>
      <w:hyperlink w:anchor="_Toc4596433" w:history="1">
        <w:r w:rsidR="00171A99" w:rsidRPr="00242C43">
          <w:rPr>
            <w:rStyle w:val="Hipervnculo"/>
            <w:rFonts w:ascii="Arial Narrow" w:hAnsi="Arial Narrow"/>
            <w:noProof/>
            <w:sz w:val="24"/>
            <w:szCs w:val="24"/>
          </w:rPr>
          <w:t>6.3.</w:t>
        </w:r>
        <w:r w:rsidR="00171A99" w:rsidRPr="00242C43">
          <w:rPr>
            <w:rFonts w:ascii="Arial Narrow" w:eastAsiaTheme="minorEastAsia" w:hAnsi="Arial Narrow" w:cstheme="minorBidi"/>
            <w:noProof/>
            <w:sz w:val="24"/>
            <w:szCs w:val="24"/>
            <w:lang w:val="es-CO" w:eastAsia="es-CO"/>
          </w:rPr>
          <w:tab/>
        </w:r>
        <w:r w:rsidR="00171A99" w:rsidRPr="00242C43">
          <w:rPr>
            <w:rStyle w:val="Hipervnculo"/>
            <w:rFonts w:ascii="Arial Narrow" w:hAnsi="Arial Narrow"/>
            <w:noProof/>
            <w:sz w:val="24"/>
            <w:szCs w:val="24"/>
          </w:rPr>
          <w:t>Mecanismos de Seguimiento</w:t>
        </w:r>
        <w:r w:rsidR="00171A99" w:rsidRPr="00242C43">
          <w:rPr>
            <w:rFonts w:ascii="Arial Narrow" w:hAnsi="Arial Narrow"/>
            <w:noProof/>
            <w:webHidden/>
            <w:sz w:val="24"/>
            <w:szCs w:val="24"/>
          </w:rPr>
          <w:tab/>
        </w:r>
        <w:r w:rsidR="00171A99" w:rsidRPr="00242C43">
          <w:rPr>
            <w:rFonts w:ascii="Arial Narrow" w:hAnsi="Arial Narrow"/>
            <w:noProof/>
            <w:webHidden/>
            <w:sz w:val="24"/>
            <w:szCs w:val="24"/>
          </w:rPr>
          <w:fldChar w:fldCharType="begin"/>
        </w:r>
        <w:r w:rsidR="00171A99" w:rsidRPr="00242C43">
          <w:rPr>
            <w:rFonts w:ascii="Arial Narrow" w:hAnsi="Arial Narrow"/>
            <w:noProof/>
            <w:webHidden/>
            <w:sz w:val="24"/>
            <w:szCs w:val="24"/>
          </w:rPr>
          <w:instrText xml:space="preserve"> PAGEREF _Toc4596433 \h </w:instrText>
        </w:r>
        <w:r w:rsidR="00171A99" w:rsidRPr="00242C43">
          <w:rPr>
            <w:rFonts w:ascii="Arial Narrow" w:hAnsi="Arial Narrow"/>
            <w:noProof/>
            <w:webHidden/>
            <w:sz w:val="24"/>
            <w:szCs w:val="24"/>
          </w:rPr>
        </w:r>
        <w:r w:rsidR="00171A99" w:rsidRPr="00242C43">
          <w:rPr>
            <w:rFonts w:ascii="Arial Narrow" w:hAnsi="Arial Narrow"/>
            <w:noProof/>
            <w:webHidden/>
            <w:sz w:val="24"/>
            <w:szCs w:val="24"/>
          </w:rPr>
          <w:fldChar w:fldCharType="separate"/>
        </w:r>
        <w:r w:rsidR="00171A99" w:rsidRPr="00242C43">
          <w:rPr>
            <w:rFonts w:ascii="Arial Narrow" w:hAnsi="Arial Narrow"/>
            <w:noProof/>
            <w:webHidden/>
            <w:sz w:val="24"/>
            <w:szCs w:val="24"/>
          </w:rPr>
          <w:t>15</w:t>
        </w:r>
        <w:r w:rsidR="00171A99" w:rsidRPr="00242C43">
          <w:rPr>
            <w:rFonts w:ascii="Arial Narrow" w:hAnsi="Arial Narrow"/>
            <w:noProof/>
            <w:webHidden/>
            <w:sz w:val="24"/>
            <w:szCs w:val="24"/>
          </w:rPr>
          <w:fldChar w:fldCharType="end"/>
        </w:r>
      </w:hyperlink>
    </w:p>
    <w:p w:rsidR="00242C43" w:rsidRPr="00242C43" w:rsidRDefault="00691AE4" w:rsidP="00242C43">
      <w:pPr>
        <w:pStyle w:val="TDC2"/>
        <w:rPr>
          <w:rFonts w:ascii="Arial Narrow" w:hAnsi="Arial Narrow"/>
          <w:noProof/>
          <w:sz w:val="24"/>
          <w:szCs w:val="24"/>
        </w:rPr>
      </w:pPr>
      <w:hyperlink w:anchor="_Toc4596434" w:history="1">
        <w:r w:rsidR="00171A99" w:rsidRPr="00242C43">
          <w:rPr>
            <w:rStyle w:val="Hipervnculo"/>
            <w:rFonts w:ascii="Arial Narrow" w:hAnsi="Arial Narrow"/>
            <w:noProof/>
            <w:sz w:val="24"/>
            <w:szCs w:val="24"/>
          </w:rPr>
          <w:t>6.3.1.</w:t>
        </w:r>
        <w:r w:rsidR="00171A99" w:rsidRPr="00242C43">
          <w:rPr>
            <w:rFonts w:ascii="Arial Narrow" w:eastAsiaTheme="minorEastAsia" w:hAnsi="Arial Narrow" w:cstheme="minorBidi"/>
            <w:noProof/>
            <w:sz w:val="24"/>
            <w:szCs w:val="24"/>
            <w:lang w:val="es-CO" w:eastAsia="es-CO"/>
          </w:rPr>
          <w:tab/>
        </w:r>
        <w:r w:rsidR="00171A99" w:rsidRPr="00242C43">
          <w:rPr>
            <w:rStyle w:val="Hipervnculo"/>
            <w:rFonts w:ascii="Arial Narrow" w:hAnsi="Arial Narrow"/>
            <w:noProof/>
            <w:sz w:val="24"/>
            <w:szCs w:val="24"/>
          </w:rPr>
          <w:t>Infraestructura Tecnológica</w:t>
        </w:r>
        <w:r w:rsidR="00171A99" w:rsidRPr="00242C43">
          <w:rPr>
            <w:rFonts w:ascii="Arial Narrow" w:hAnsi="Arial Narrow"/>
            <w:noProof/>
            <w:webHidden/>
            <w:sz w:val="24"/>
            <w:szCs w:val="24"/>
          </w:rPr>
          <w:tab/>
        </w:r>
        <w:r w:rsidR="00171A99" w:rsidRPr="00242C43">
          <w:rPr>
            <w:rFonts w:ascii="Arial Narrow" w:hAnsi="Arial Narrow"/>
            <w:noProof/>
            <w:webHidden/>
            <w:sz w:val="24"/>
            <w:szCs w:val="24"/>
          </w:rPr>
          <w:fldChar w:fldCharType="begin"/>
        </w:r>
        <w:r w:rsidR="00171A99" w:rsidRPr="00242C43">
          <w:rPr>
            <w:rFonts w:ascii="Arial Narrow" w:hAnsi="Arial Narrow"/>
            <w:noProof/>
            <w:webHidden/>
            <w:sz w:val="24"/>
            <w:szCs w:val="24"/>
          </w:rPr>
          <w:instrText xml:space="preserve"> PAGEREF _Toc4596434 \h </w:instrText>
        </w:r>
        <w:r w:rsidR="00171A99" w:rsidRPr="00242C43">
          <w:rPr>
            <w:rFonts w:ascii="Arial Narrow" w:hAnsi="Arial Narrow"/>
            <w:noProof/>
            <w:webHidden/>
            <w:sz w:val="24"/>
            <w:szCs w:val="24"/>
          </w:rPr>
        </w:r>
        <w:r w:rsidR="00171A99" w:rsidRPr="00242C43">
          <w:rPr>
            <w:rFonts w:ascii="Arial Narrow" w:hAnsi="Arial Narrow"/>
            <w:noProof/>
            <w:webHidden/>
            <w:sz w:val="24"/>
            <w:szCs w:val="24"/>
          </w:rPr>
          <w:fldChar w:fldCharType="separate"/>
        </w:r>
        <w:r w:rsidR="00171A99" w:rsidRPr="00242C43">
          <w:rPr>
            <w:rFonts w:ascii="Arial Narrow" w:hAnsi="Arial Narrow"/>
            <w:noProof/>
            <w:webHidden/>
            <w:sz w:val="24"/>
            <w:szCs w:val="24"/>
          </w:rPr>
          <w:t>16</w:t>
        </w:r>
        <w:r w:rsidR="00171A99" w:rsidRPr="00242C43">
          <w:rPr>
            <w:rFonts w:ascii="Arial Narrow" w:hAnsi="Arial Narrow"/>
            <w:noProof/>
            <w:webHidden/>
            <w:sz w:val="24"/>
            <w:szCs w:val="24"/>
          </w:rPr>
          <w:fldChar w:fldCharType="end"/>
        </w:r>
      </w:hyperlink>
    </w:p>
    <w:p w:rsidR="00242C43" w:rsidRPr="00242C43" w:rsidRDefault="00691AE4" w:rsidP="00242C43">
      <w:pPr>
        <w:pStyle w:val="TDC2"/>
        <w:rPr>
          <w:rFonts w:ascii="Arial Narrow" w:hAnsi="Arial Narrow"/>
          <w:noProof/>
          <w:sz w:val="24"/>
          <w:szCs w:val="24"/>
        </w:rPr>
      </w:pPr>
      <w:hyperlink w:anchor="_Toc4596435" w:history="1">
        <w:r w:rsidR="00171A99" w:rsidRPr="00242C43">
          <w:rPr>
            <w:rStyle w:val="Hipervnculo"/>
            <w:rFonts w:ascii="Arial Narrow" w:hAnsi="Arial Narrow"/>
            <w:noProof/>
            <w:sz w:val="24"/>
            <w:szCs w:val="24"/>
          </w:rPr>
          <w:t>6.3.2.</w:t>
        </w:r>
        <w:r w:rsidR="00171A99" w:rsidRPr="00242C43">
          <w:rPr>
            <w:rFonts w:ascii="Arial Narrow" w:eastAsiaTheme="minorEastAsia" w:hAnsi="Arial Narrow" w:cstheme="minorBidi"/>
            <w:noProof/>
            <w:sz w:val="24"/>
            <w:szCs w:val="24"/>
            <w:lang w:val="es-CO" w:eastAsia="es-CO"/>
          </w:rPr>
          <w:tab/>
        </w:r>
        <w:r w:rsidR="00171A99" w:rsidRPr="00242C43">
          <w:rPr>
            <w:rStyle w:val="Hipervnculo"/>
            <w:rFonts w:ascii="Arial Narrow" w:hAnsi="Arial Narrow"/>
            <w:noProof/>
            <w:sz w:val="24"/>
            <w:szCs w:val="24"/>
          </w:rPr>
          <w:t>Flujo de Información y Puntos de Control</w:t>
        </w:r>
        <w:r w:rsidR="00171A99" w:rsidRPr="00242C43">
          <w:rPr>
            <w:rFonts w:ascii="Arial Narrow" w:hAnsi="Arial Narrow"/>
            <w:noProof/>
            <w:webHidden/>
            <w:sz w:val="24"/>
            <w:szCs w:val="24"/>
          </w:rPr>
          <w:tab/>
        </w:r>
        <w:r w:rsidR="00171A99" w:rsidRPr="00242C43">
          <w:rPr>
            <w:rFonts w:ascii="Arial Narrow" w:hAnsi="Arial Narrow"/>
            <w:noProof/>
            <w:webHidden/>
            <w:sz w:val="24"/>
            <w:szCs w:val="24"/>
          </w:rPr>
          <w:fldChar w:fldCharType="begin"/>
        </w:r>
        <w:r w:rsidR="00171A99" w:rsidRPr="00242C43">
          <w:rPr>
            <w:rFonts w:ascii="Arial Narrow" w:hAnsi="Arial Narrow"/>
            <w:noProof/>
            <w:webHidden/>
            <w:sz w:val="24"/>
            <w:szCs w:val="24"/>
          </w:rPr>
          <w:instrText xml:space="preserve"> PAGEREF _Toc4596435 \h </w:instrText>
        </w:r>
        <w:r w:rsidR="00171A99" w:rsidRPr="00242C43">
          <w:rPr>
            <w:rFonts w:ascii="Arial Narrow" w:hAnsi="Arial Narrow"/>
            <w:noProof/>
            <w:webHidden/>
            <w:sz w:val="24"/>
            <w:szCs w:val="24"/>
          </w:rPr>
        </w:r>
        <w:r w:rsidR="00171A99" w:rsidRPr="00242C43">
          <w:rPr>
            <w:rFonts w:ascii="Arial Narrow" w:hAnsi="Arial Narrow"/>
            <w:noProof/>
            <w:webHidden/>
            <w:sz w:val="24"/>
            <w:szCs w:val="24"/>
          </w:rPr>
          <w:fldChar w:fldCharType="separate"/>
        </w:r>
        <w:r w:rsidR="00171A99" w:rsidRPr="00242C43">
          <w:rPr>
            <w:rFonts w:ascii="Arial Narrow" w:hAnsi="Arial Narrow"/>
            <w:noProof/>
            <w:webHidden/>
            <w:sz w:val="24"/>
            <w:szCs w:val="24"/>
          </w:rPr>
          <w:t>16</w:t>
        </w:r>
        <w:r w:rsidR="00171A99" w:rsidRPr="00242C43">
          <w:rPr>
            <w:rFonts w:ascii="Arial Narrow" w:hAnsi="Arial Narrow"/>
            <w:noProof/>
            <w:webHidden/>
            <w:sz w:val="24"/>
            <w:szCs w:val="24"/>
          </w:rPr>
          <w:fldChar w:fldCharType="end"/>
        </w:r>
      </w:hyperlink>
    </w:p>
    <w:p w:rsidR="00171A99" w:rsidRPr="00242C43" w:rsidRDefault="00691AE4" w:rsidP="00242C43">
      <w:pPr>
        <w:pStyle w:val="TDC2"/>
        <w:rPr>
          <w:rFonts w:ascii="Arial Narrow" w:eastAsiaTheme="minorEastAsia" w:hAnsi="Arial Narrow" w:cstheme="minorBidi"/>
          <w:noProof/>
          <w:sz w:val="24"/>
          <w:szCs w:val="24"/>
          <w:lang w:val="es-CO" w:eastAsia="es-CO"/>
        </w:rPr>
      </w:pPr>
      <w:hyperlink w:anchor="_Toc4596436" w:history="1">
        <w:r w:rsidR="00171A99" w:rsidRPr="00242C43">
          <w:rPr>
            <w:rStyle w:val="Hipervnculo"/>
            <w:rFonts w:ascii="Arial Narrow" w:hAnsi="Arial Narrow"/>
            <w:noProof/>
            <w:sz w:val="24"/>
            <w:szCs w:val="24"/>
          </w:rPr>
          <w:t>6.3.3.</w:t>
        </w:r>
        <w:r w:rsidR="00171A99" w:rsidRPr="00242C43">
          <w:rPr>
            <w:rFonts w:ascii="Arial Narrow" w:eastAsiaTheme="minorEastAsia" w:hAnsi="Arial Narrow" w:cstheme="minorBidi"/>
            <w:noProof/>
            <w:sz w:val="24"/>
            <w:szCs w:val="24"/>
            <w:lang w:val="es-CO" w:eastAsia="es-CO"/>
          </w:rPr>
          <w:tab/>
        </w:r>
        <w:r w:rsidR="00171A99" w:rsidRPr="00242C43">
          <w:rPr>
            <w:rStyle w:val="Hipervnculo"/>
            <w:rFonts w:ascii="Arial Narrow" w:hAnsi="Arial Narrow"/>
            <w:noProof/>
            <w:sz w:val="24"/>
            <w:szCs w:val="24"/>
          </w:rPr>
          <w:t>Reportes de información sobre las operaciones de Tesorería</w:t>
        </w:r>
        <w:r w:rsidR="00171A99" w:rsidRPr="00242C43">
          <w:rPr>
            <w:rFonts w:ascii="Arial Narrow" w:hAnsi="Arial Narrow"/>
            <w:noProof/>
            <w:webHidden/>
            <w:sz w:val="24"/>
            <w:szCs w:val="24"/>
          </w:rPr>
          <w:tab/>
        </w:r>
        <w:r w:rsidR="00171A99" w:rsidRPr="00242C43">
          <w:rPr>
            <w:rFonts w:ascii="Arial Narrow" w:hAnsi="Arial Narrow"/>
            <w:noProof/>
            <w:webHidden/>
            <w:sz w:val="24"/>
            <w:szCs w:val="24"/>
          </w:rPr>
          <w:fldChar w:fldCharType="begin"/>
        </w:r>
        <w:r w:rsidR="00171A99" w:rsidRPr="00242C43">
          <w:rPr>
            <w:rFonts w:ascii="Arial Narrow" w:hAnsi="Arial Narrow"/>
            <w:noProof/>
            <w:webHidden/>
            <w:sz w:val="24"/>
            <w:szCs w:val="24"/>
          </w:rPr>
          <w:instrText xml:space="preserve"> PAGEREF _Toc4596436 \h </w:instrText>
        </w:r>
        <w:r w:rsidR="00171A99" w:rsidRPr="00242C43">
          <w:rPr>
            <w:rFonts w:ascii="Arial Narrow" w:hAnsi="Arial Narrow"/>
            <w:noProof/>
            <w:webHidden/>
            <w:sz w:val="24"/>
            <w:szCs w:val="24"/>
          </w:rPr>
        </w:r>
        <w:r w:rsidR="00171A99" w:rsidRPr="00242C43">
          <w:rPr>
            <w:rFonts w:ascii="Arial Narrow" w:hAnsi="Arial Narrow"/>
            <w:noProof/>
            <w:webHidden/>
            <w:sz w:val="24"/>
            <w:szCs w:val="24"/>
          </w:rPr>
          <w:fldChar w:fldCharType="separate"/>
        </w:r>
        <w:r w:rsidR="00171A99" w:rsidRPr="00242C43">
          <w:rPr>
            <w:rFonts w:ascii="Arial Narrow" w:hAnsi="Arial Narrow"/>
            <w:noProof/>
            <w:webHidden/>
            <w:sz w:val="24"/>
            <w:szCs w:val="24"/>
          </w:rPr>
          <w:t>18</w:t>
        </w:r>
        <w:r w:rsidR="00171A99" w:rsidRPr="00242C43">
          <w:rPr>
            <w:rFonts w:ascii="Arial Narrow" w:hAnsi="Arial Narrow"/>
            <w:noProof/>
            <w:webHidden/>
            <w:sz w:val="24"/>
            <w:szCs w:val="24"/>
          </w:rPr>
          <w:fldChar w:fldCharType="end"/>
        </w:r>
      </w:hyperlink>
    </w:p>
    <w:p w:rsidR="00171A99" w:rsidRPr="00242C43" w:rsidRDefault="00691AE4">
      <w:pPr>
        <w:pStyle w:val="TDC1"/>
        <w:rPr>
          <w:rFonts w:eastAsiaTheme="minorEastAsia" w:cstheme="minorBidi"/>
          <w:b w:val="0"/>
          <w:szCs w:val="24"/>
          <w:lang w:val="es-CO" w:eastAsia="es-CO"/>
        </w:rPr>
      </w:pPr>
      <w:hyperlink w:anchor="_Toc4596437" w:history="1">
        <w:r w:rsidR="00171A99" w:rsidRPr="00242C43">
          <w:rPr>
            <w:rStyle w:val="Hipervnculo"/>
            <w:b w:val="0"/>
            <w:szCs w:val="24"/>
          </w:rPr>
          <w:t>7.</w:t>
        </w:r>
        <w:r w:rsidR="00171A99" w:rsidRPr="00242C43">
          <w:rPr>
            <w:rFonts w:eastAsiaTheme="minorEastAsia" w:cstheme="minorBidi"/>
            <w:b w:val="0"/>
            <w:szCs w:val="24"/>
            <w:lang w:val="es-CO" w:eastAsia="es-CO"/>
          </w:rPr>
          <w:tab/>
        </w:r>
        <w:r w:rsidR="00171A99" w:rsidRPr="00242C43">
          <w:rPr>
            <w:rStyle w:val="Hipervnculo"/>
            <w:b w:val="0"/>
            <w:szCs w:val="24"/>
          </w:rPr>
          <w:t>DEFINICIÓN DE LÍMITES PARA EL RIESGO DE MERCADO</w:t>
        </w:r>
        <w:r w:rsidR="00171A99" w:rsidRPr="00242C43">
          <w:rPr>
            <w:b w:val="0"/>
            <w:webHidden/>
            <w:szCs w:val="24"/>
          </w:rPr>
          <w:tab/>
        </w:r>
        <w:r w:rsidR="00171A99" w:rsidRPr="00242C43">
          <w:rPr>
            <w:b w:val="0"/>
            <w:webHidden/>
            <w:szCs w:val="24"/>
          </w:rPr>
          <w:fldChar w:fldCharType="begin"/>
        </w:r>
        <w:r w:rsidR="00171A99" w:rsidRPr="00242C43">
          <w:rPr>
            <w:b w:val="0"/>
            <w:webHidden/>
            <w:szCs w:val="24"/>
          </w:rPr>
          <w:instrText xml:space="preserve"> PAGEREF _Toc4596437 \h </w:instrText>
        </w:r>
        <w:r w:rsidR="00171A99" w:rsidRPr="00242C43">
          <w:rPr>
            <w:b w:val="0"/>
            <w:webHidden/>
            <w:szCs w:val="24"/>
          </w:rPr>
        </w:r>
        <w:r w:rsidR="00171A99" w:rsidRPr="00242C43">
          <w:rPr>
            <w:b w:val="0"/>
            <w:webHidden/>
            <w:szCs w:val="24"/>
          </w:rPr>
          <w:fldChar w:fldCharType="separate"/>
        </w:r>
        <w:r w:rsidR="00171A99" w:rsidRPr="00242C43">
          <w:rPr>
            <w:b w:val="0"/>
            <w:webHidden/>
            <w:szCs w:val="24"/>
          </w:rPr>
          <w:t>19</w:t>
        </w:r>
        <w:r w:rsidR="00171A99" w:rsidRPr="00242C43">
          <w:rPr>
            <w:b w:val="0"/>
            <w:webHidden/>
            <w:szCs w:val="24"/>
          </w:rPr>
          <w:fldChar w:fldCharType="end"/>
        </w:r>
      </w:hyperlink>
    </w:p>
    <w:p w:rsidR="00242C43" w:rsidRPr="00242C43" w:rsidRDefault="00691AE4" w:rsidP="00242C43">
      <w:pPr>
        <w:pStyle w:val="TDC2"/>
        <w:rPr>
          <w:rFonts w:ascii="Arial Narrow" w:hAnsi="Arial Narrow"/>
          <w:noProof/>
          <w:sz w:val="24"/>
          <w:szCs w:val="24"/>
        </w:rPr>
      </w:pPr>
      <w:hyperlink w:anchor="_Toc4596438" w:history="1">
        <w:r w:rsidR="00171A99" w:rsidRPr="00242C43">
          <w:rPr>
            <w:rStyle w:val="Hipervnculo"/>
            <w:rFonts w:ascii="Arial Narrow" w:hAnsi="Arial Narrow"/>
            <w:noProof/>
            <w:sz w:val="24"/>
            <w:szCs w:val="24"/>
          </w:rPr>
          <w:t>7.1.</w:t>
        </w:r>
        <w:r w:rsidR="00171A99" w:rsidRPr="00242C43">
          <w:rPr>
            <w:rFonts w:ascii="Arial Narrow" w:eastAsiaTheme="minorEastAsia" w:hAnsi="Arial Narrow" w:cstheme="minorBidi"/>
            <w:noProof/>
            <w:sz w:val="24"/>
            <w:szCs w:val="24"/>
            <w:lang w:val="es-CO" w:eastAsia="es-CO"/>
          </w:rPr>
          <w:tab/>
        </w:r>
        <w:r w:rsidR="00171A99" w:rsidRPr="00242C43">
          <w:rPr>
            <w:rStyle w:val="Hipervnculo"/>
            <w:rFonts w:ascii="Arial Narrow" w:hAnsi="Arial Narrow"/>
            <w:noProof/>
            <w:sz w:val="24"/>
            <w:szCs w:val="24"/>
          </w:rPr>
          <w:t>Límites por composición del portafolio de inversiones</w:t>
        </w:r>
        <w:r w:rsidR="00171A99" w:rsidRPr="00242C43">
          <w:rPr>
            <w:rFonts w:ascii="Arial Narrow" w:hAnsi="Arial Narrow"/>
            <w:noProof/>
            <w:webHidden/>
            <w:sz w:val="24"/>
            <w:szCs w:val="24"/>
          </w:rPr>
          <w:tab/>
        </w:r>
        <w:r w:rsidR="00171A99" w:rsidRPr="00242C43">
          <w:rPr>
            <w:rFonts w:ascii="Arial Narrow" w:hAnsi="Arial Narrow"/>
            <w:noProof/>
            <w:webHidden/>
            <w:sz w:val="24"/>
            <w:szCs w:val="24"/>
          </w:rPr>
          <w:fldChar w:fldCharType="begin"/>
        </w:r>
        <w:r w:rsidR="00171A99" w:rsidRPr="00242C43">
          <w:rPr>
            <w:rFonts w:ascii="Arial Narrow" w:hAnsi="Arial Narrow"/>
            <w:noProof/>
            <w:webHidden/>
            <w:sz w:val="24"/>
            <w:szCs w:val="24"/>
          </w:rPr>
          <w:instrText xml:space="preserve"> PAGEREF _Toc4596438 \h </w:instrText>
        </w:r>
        <w:r w:rsidR="00171A99" w:rsidRPr="00242C43">
          <w:rPr>
            <w:rFonts w:ascii="Arial Narrow" w:hAnsi="Arial Narrow"/>
            <w:noProof/>
            <w:webHidden/>
            <w:sz w:val="24"/>
            <w:szCs w:val="24"/>
          </w:rPr>
        </w:r>
        <w:r w:rsidR="00171A99" w:rsidRPr="00242C43">
          <w:rPr>
            <w:rFonts w:ascii="Arial Narrow" w:hAnsi="Arial Narrow"/>
            <w:noProof/>
            <w:webHidden/>
            <w:sz w:val="24"/>
            <w:szCs w:val="24"/>
          </w:rPr>
          <w:fldChar w:fldCharType="separate"/>
        </w:r>
        <w:r w:rsidR="00171A99" w:rsidRPr="00242C43">
          <w:rPr>
            <w:rFonts w:ascii="Arial Narrow" w:hAnsi="Arial Narrow"/>
            <w:noProof/>
            <w:webHidden/>
            <w:sz w:val="24"/>
            <w:szCs w:val="24"/>
          </w:rPr>
          <w:t>19</w:t>
        </w:r>
        <w:r w:rsidR="00171A99" w:rsidRPr="00242C43">
          <w:rPr>
            <w:rFonts w:ascii="Arial Narrow" w:hAnsi="Arial Narrow"/>
            <w:noProof/>
            <w:webHidden/>
            <w:sz w:val="24"/>
            <w:szCs w:val="24"/>
          </w:rPr>
          <w:fldChar w:fldCharType="end"/>
        </w:r>
      </w:hyperlink>
    </w:p>
    <w:p w:rsidR="00242C43" w:rsidRPr="00242C43" w:rsidRDefault="00691AE4" w:rsidP="00242C43">
      <w:pPr>
        <w:pStyle w:val="TDC2"/>
        <w:rPr>
          <w:rFonts w:ascii="Arial Narrow" w:hAnsi="Arial Narrow"/>
          <w:noProof/>
          <w:sz w:val="24"/>
          <w:szCs w:val="24"/>
        </w:rPr>
      </w:pPr>
      <w:hyperlink w:anchor="_Toc4596439" w:history="1">
        <w:r w:rsidR="00171A99" w:rsidRPr="00242C43">
          <w:rPr>
            <w:rStyle w:val="Hipervnculo"/>
            <w:rFonts w:ascii="Arial Narrow" w:hAnsi="Arial Narrow"/>
            <w:noProof/>
            <w:sz w:val="24"/>
            <w:szCs w:val="24"/>
          </w:rPr>
          <w:t>7.1.1.</w:t>
        </w:r>
        <w:r w:rsidR="00171A99" w:rsidRPr="00242C43">
          <w:rPr>
            <w:rFonts w:ascii="Arial Narrow" w:eastAsiaTheme="minorEastAsia" w:hAnsi="Arial Narrow" w:cstheme="minorBidi"/>
            <w:noProof/>
            <w:sz w:val="24"/>
            <w:szCs w:val="24"/>
            <w:lang w:val="es-CO" w:eastAsia="es-CO"/>
          </w:rPr>
          <w:tab/>
        </w:r>
        <w:r w:rsidR="00171A99" w:rsidRPr="00242C43">
          <w:rPr>
            <w:rStyle w:val="Hipervnculo"/>
            <w:rFonts w:ascii="Arial Narrow" w:hAnsi="Arial Narrow"/>
            <w:noProof/>
            <w:sz w:val="24"/>
            <w:szCs w:val="24"/>
          </w:rPr>
          <w:t>Composición del Portafolio en Moneda Local</w:t>
        </w:r>
        <w:r w:rsidR="00171A99" w:rsidRPr="00242C43">
          <w:rPr>
            <w:rFonts w:ascii="Arial Narrow" w:hAnsi="Arial Narrow"/>
            <w:noProof/>
            <w:webHidden/>
            <w:sz w:val="24"/>
            <w:szCs w:val="24"/>
          </w:rPr>
          <w:tab/>
        </w:r>
        <w:r w:rsidR="00171A99" w:rsidRPr="00242C43">
          <w:rPr>
            <w:rFonts w:ascii="Arial Narrow" w:hAnsi="Arial Narrow"/>
            <w:noProof/>
            <w:webHidden/>
            <w:sz w:val="24"/>
            <w:szCs w:val="24"/>
          </w:rPr>
          <w:fldChar w:fldCharType="begin"/>
        </w:r>
        <w:r w:rsidR="00171A99" w:rsidRPr="00242C43">
          <w:rPr>
            <w:rFonts w:ascii="Arial Narrow" w:hAnsi="Arial Narrow"/>
            <w:noProof/>
            <w:webHidden/>
            <w:sz w:val="24"/>
            <w:szCs w:val="24"/>
          </w:rPr>
          <w:instrText xml:space="preserve"> PAGEREF _Toc4596439 \h </w:instrText>
        </w:r>
        <w:r w:rsidR="00171A99" w:rsidRPr="00242C43">
          <w:rPr>
            <w:rFonts w:ascii="Arial Narrow" w:hAnsi="Arial Narrow"/>
            <w:noProof/>
            <w:webHidden/>
            <w:sz w:val="24"/>
            <w:szCs w:val="24"/>
          </w:rPr>
        </w:r>
        <w:r w:rsidR="00171A99" w:rsidRPr="00242C43">
          <w:rPr>
            <w:rFonts w:ascii="Arial Narrow" w:hAnsi="Arial Narrow"/>
            <w:noProof/>
            <w:webHidden/>
            <w:sz w:val="24"/>
            <w:szCs w:val="24"/>
          </w:rPr>
          <w:fldChar w:fldCharType="separate"/>
        </w:r>
        <w:r w:rsidR="00171A99" w:rsidRPr="00242C43">
          <w:rPr>
            <w:rFonts w:ascii="Arial Narrow" w:hAnsi="Arial Narrow"/>
            <w:noProof/>
            <w:webHidden/>
            <w:sz w:val="24"/>
            <w:szCs w:val="24"/>
          </w:rPr>
          <w:t>19</w:t>
        </w:r>
        <w:r w:rsidR="00171A99" w:rsidRPr="00242C43">
          <w:rPr>
            <w:rFonts w:ascii="Arial Narrow" w:hAnsi="Arial Narrow"/>
            <w:noProof/>
            <w:webHidden/>
            <w:sz w:val="24"/>
            <w:szCs w:val="24"/>
          </w:rPr>
          <w:fldChar w:fldCharType="end"/>
        </w:r>
      </w:hyperlink>
    </w:p>
    <w:p w:rsidR="00171A99" w:rsidRPr="00242C43" w:rsidRDefault="00691AE4" w:rsidP="00242C43">
      <w:pPr>
        <w:pStyle w:val="TDC2"/>
        <w:rPr>
          <w:rFonts w:ascii="Arial Narrow" w:eastAsiaTheme="minorEastAsia" w:hAnsi="Arial Narrow" w:cstheme="minorBidi"/>
          <w:noProof/>
          <w:sz w:val="24"/>
          <w:szCs w:val="24"/>
          <w:lang w:val="es-CO" w:eastAsia="es-CO"/>
        </w:rPr>
      </w:pPr>
      <w:hyperlink w:anchor="_Toc4596440" w:history="1">
        <w:r w:rsidR="00171A99" w:rsidRPr="00242C43">
          <w:rPr>
            <w:rStyle w:val="Hipervnculo"/>
            <w:rFonts w:ascii="Arial Narrow" w:hAnsi="Arial Narrow"/>
            <w:noProof/>
            <w:sz w:val="24"/>
            <w:szCs w:val="24"/>
          </w:rPr>
          <w:t>7.1.2.</w:t>
        </w:r>
        <w:r w:rsidR="00171A99" w:rsidRPr="00242C43">
          <w:rPr>
            <w:rFonts w:ascii="Arial Narrow" w:eastAsiaTheme="minorEastAsia" w:hAnsi="Arial Narrow" w:cstheme="minorBidi"/>
            <w:noProof/>
            <w:sz w:val="24"/>
            <w:szCs w:val="24"/>
            <w:lang w:val="es-CO" w:eastAsia="es-CO"/>
          </w:rPr>
          <w:tab/>
        </w:r>
        <w:r w:rsidR="00171A99" w:rsidRPr="00242C43">
          <w:rPr>
            <w:rStyle w:val="Hipervnculo"/>
            <w:rFonts w:ascii="Arial Narrow" w:hAnsi="Arial Narrow"/>
            <w:noProof/>
            <w:sz w:val="24"/>
            <w:szCs w:val="24"/>
          </w:rPr>
          <w:t>Composición del Portafolio en Moneda Extranjera</w:t>
        </w:r>
        <w:r w:rsidR="00171A99" w:rsidRPr="00242C43">
          <w:rPr>
            <w:rFonts w:ascii="Arial Narrow" w:hAnsi="Arial Narrow"/>
            <w:noProof/>
            <w:webHidden/>
            <w:sz w:val="24"/>
            <w:szCs w:val="24"/>
          </w:rPr>
          <w:tab/>
        </w:r>
        <w:r w:rsidR="00171A99" w:rsidRPr="00242C43">
          <w:rPr>
            <w:rFonts w:ascii="Arial Narrow" w:hAnsi="Arial Narrow"/>
            <w:noProof/>
            <w:webHidden/>
            <w:sz w:val="24"/>
            <w:szCs w:val="24"/>
          </w:rPr>
          <w:fldChar w:fldCharType="begin"/>
        </w:r>
        <w:r w:rsidR="00171A99" w:rsidRPr="00242C43">
          <w:rPr>
            <w:rFonts w:ascii="Arial Narrow" w:hAnsi="Arial Narrow"/>
            <w:noProof/>
            <w:webHidden/>
            <w:sz w:val="24"/>
            <w:szCs w:val="24"/>
          </w:rPr>
          <w:instrText xml:space="preserve"> PAGEREF _Toc4596440 \h </w:instrText>
        </w:r>
        <w:r w:rsidR="00171A99" w:rsidRPr="00242C43">
          <w:rPr>
            <w:rFonts w:ascii="Arial Narrow" w:hAnsi="Arial Narrow"/>
            <w:noProof/>
            <w:webHidden/>
            <w:sz w:val="24"/>
            <w:szCs w:val="24"/>
          </w:rPr>
        </w:r>
        <w:r w:rsidR="00171A99" w:rsidRPr="00242C43">
          <w:rPr>
            <w:rFonts w:ascii="Arial Narrow" w:hAnsi="Arial Narrow"/>
            <w:noProof/>
            <w:webHidden/>
            <w:sz w:val="24"/>
            <w:szCs w:val="24"/>
          </w:rPr>
          <w:fldChar w:fldCharType="separate"/>
        </w:r>
        <w:r w:rsidR="00171A99" w:rsidRPr="00242C43">
          <w:rPr>
            <w:rFonts w:ascii="Arial Narrow" w:hAnsi="Arial Narrow"/>
            <w:noProof/>
            <w:webHidden/>
            <w:sz w:val="24"/>
            <w:szCs w:val="24"/>
          </w:rPr>
          <w:t>19</w:t>
        </w:r>
        <w:r w:rsidR="00171A99" w:rsidRPr="00242C43">
          <w:rPr>
            <w:rFonts w:ascii="Arial Narrow" w:hAnsi="Arial Narrow"/>
            <w:noProof/>
            <w:webHidden/>
            <w:sz w:val="24"/>
            <w:szCs w:val="24"/>
          </w:rPr>
          <w:fldChar w:fldCharType="end"/>
        </w:r>
      </w:hyperlink>
    </w:p>
    <w:p w:rsidR="00242C43" w:rsidRPr="00242C43" w:rsidRDefault="00691AE4" w:rsidP="00242C43">
      <w:pPr>
        <w:pStyle w:val="TDC2"/>
        <w:rPr>
          <w:rFonts w:ascii="Arial Narrow" w:hAnsi="Arial Narrow"/>
          <w:noProof/>
          <w:sz w:val="24"/>
          <w:szCs w:val="24"/>
        </w:rPr>
      </w:pPr>
      <w:hyperlink w:anchor="_Toc4596441" w:history="1">
        <w:r w:rsidR="00171A99" w:rsidRPr="00242C43">
          <w:rPr>
            <w:rStyle w:val="Hipervnculo"/>
            <w:rFonts w:ascii="Arial Narrow" w:hAnsi="Arial Narrow"/>
            <w:noProof/>
            <w:sz w:val="24"/>
            <w:szCs w:val="24"/>
          </w:rPr>
          <w:t>7.2.</w:t>
        </w:r>
        <w:r w:rsidR="00171A99" w:rsidRPr="00242C43">
          <w:rPr>
            <w:rFonts w:ascii="Arial Narrow" w:eastAsiaTheme="minorEastAsia" w:hAnsi="Arial Narrow" w:cstheme="minorBidi"/>
            <w:noProof/>
            <w:sz w:val="24"/>
            <w:szCs w:val="24"/>
            <w:lang w:val="es-CO" w:eastAsia="es-CO"/>
          </w:rPr>
          <w:tab/>
        </w:r>
        <w:r w:rsidR="00171A99" w:rsidRPr="00242C43">
          <w:rPr>
            <w:rStyle w:val="Hipervnculo"/>
            <w:rFonts w:ascii="Arial Narrow" w:hAnsi="Arial Narrow"/>
            <w:noProof/>
            <w:sz w:val="24"/>
            <w:szCs w:val="24"/>
          </w:rPr>
          <w:t>Límites por Calificación Crediticia para la Asignación de Cupos</w:t>
        </w:r>
        <w:r w:rsidR="00171A99" w:rsidRPr="00242C43">
          <w:rPr>
            <w:rFonts w:ascii="Arial Narrow" w:hAnsi="Arial Narrow"/>
            <w:noProof/>
            <w:webHidden/>
            <w:sz w:val="24"/>
            <w:szCs w:val="24"/>
          </w:rPr>
          <w:tab/>
        </w:r>
        <w:r w:rsidR="00171A99" w:rsidRPr="00242C43">
          <w:rPr>
            <w:rFonts w:ascii="Arial Narrow" w:hAnsi="Arial Narrow"/>
            <w:noProof/>
            <w:webHidden/>
            <w:sz w:val="24"/>
            <w:szCs w:val="24"/>
          </w:rPr>
          <w:fldChar w:fldCharType="begin"/>
        </w:r>
        <w:r w:rsidR="00171A99" w:rsidRPr="00242C43">
          <w:rPr>
            <w:rFonts w:ascii="Arial Narrow" w:hAnsi="Arial Narrow"/>
            <w:noProof/>
            <w:webHidden/>
            <w:sz w:val="24"/>
            <w:szCs w:val="24"/>
          </w:rPr>
          <w:instrText xml:space="preserve"> PAGEREF _Toc4596441 \h </w:instrText>
        </w:r>
        <w:r w:rsidR="00171A99" w:rsidRPr="00242C43">
          <w:rPr>
            <w:rFonts w:ascii="Arial Narrow" w:hAnsi="Arial Narrow"/>
            <w:noProof/>
            <w:webHidden/>
            <w:sz w:val="24"/>
            <w:szCs w:val="24"/>
          </w:rPr>
        </w:r>
        <w:r w:rsidR="00171A99" w:rsidRPr="00242C43">
          <w:rPr>
            <w:rFonts w:ascii="Arial Narrow" w:hAnsi="Arial Narrow"/>
            <w:noProof/>
            <w:webHidden/>
            <w:sz w:val="24"/>
            <w:szCs w:val="24"/>
          </w:rPr>
          <w:fldChar w:fldCharType="separate"/>
        </w:r>
        <w:r w:rsidR="00171A99" w:rsidRPr="00242C43">
          <w:rPr>
            <w:rFonts w:ascii="Arial Narrow" w:hAnsi="Arial Narrow"/>
            <w:noProof/>
            <w:webHidden/>
            <w:sz w:val="24"/>
            <w:szCs w:val="24"/>
          </w:rPr>
          <w:t>21</w:t>
        </w:r>
        <w:r w:rsidR="00171A99" w:rsidRPr="00242C43">
          <w:rPr>
            <w:rFonts w:ascii="Arial Narrow" w:hAnsi="Arial Narrow"/>
            <w:noProof/>
            <w:webHidden/>
            <w:sz w:val="24"/>
            <w:szCs w:val="24"/>
          </w:rPr>
          <w:fldChar w:fldCharType="end"/>
        </w:r>
      </w:hyperlink>
    </w:p>
    <w:p w:rsidR="00242C43" w:rsidRPr="00242C43" w:rsidRDefault="00691AE4" w:rsidP="00242C43">
      <w:pPr>
        <w:pStyle w:val="TDC2"/>
        <w:rPr>
          <w:rFonts w:ascii="Arial Narrow" w:hAnsi="Arial Narrow"/>
          <w:noProof/>
          <w:sz w:val="24"/>
          <w:szCs w:val="24"/>
        </w:rPr>
      </w:pPr>
      <w:hyperlink w:anchor="_Toc4596442" w:history="1">
        <w:r w:rsidR="00171A99" w:rsidRPr="00242C43">
          <w:rPr>
            <w:rStyle w:val="Hipervnculo"/>
            <w:rFonts w:ascii="Arial Narrow" w:hAnsi="Arial Narrow"/>
            <w:noProof/>
            <w:sz w:val="24"/>
            <w:szCs w:val="24"/>
            <w:lang w:val="es-CO"/>
          </w:rPr>
          <w:t>7.2.1.</w:t>
        </w:r>
        <w:r w:rsidR="00171A99" w:rsidRPr="00242C43">
          <w:rPr>
            <w:rFonts w:ascii="Arial Narrow" w:eastAsiaTheme="minorEastAsia" w:hAnsi="Arial Narrow" w:cstheme="minorBidi"/>
            <w:noProof/>
            <w:sz w:val="24"/>
            <w:szCs w:val="24"/>
            <w:lang w:val="es-CO" w:eastAsia="es-CO"/>
          </w:rPr>
          <w:tab/>
        </w:r>
        <w:r w:rsidR="00171A99" w:rsidRPr="00242C43">
          <w:rPr>
            <w:rStyle w:val="Hipervnculo"/>
            <w:rFonts w:ascii="Arial Narrow" w:hAnsi="Arial Narrow"/>
            <w:noProof/>
            <w:sz w:val="24"/>
            <w:szCs w:val="24"/>
            <w:lang w:val="es-CO"/>
          </w:rPr>
          <w:t>Calificación admisible para entidades locales</w:t>
        </w:r>
        <w:r w:rsidR="00171A99" w:rsidRPr="00242C43">
          <w:rPr>
            <w:rFonts w:ascii="Arial Narrow" w:hAnsi="Arial Narrow"/>
            <w:noProof/>
            <w:webHidden/>
            <w:sz w:val="24"/>
            <w:szCs w:val="24"/>
          </w:rPr>
          <w:tab/>
        </w:r>
        <w:r w:rsidR="00171A99" w:rsidRPr="00242C43">
          <w:rPr>
            <w:rFonts w:ascii="Arial Narrow" w:hAnsi="Arial Narrow"/>
            <w:noProof/>
            <w:webHidden/>
            <w:sz w:val="24"/>
            <w:szCs w:val="24"/>
          </w:rPr>
          <w:fldChar w:fldCharType="begin"/>
        </w:r>
        <w:r w:rsidR="00171A99" w:rsidRPr="00242C43">
          <w:rPr>
            <w:rFonts w:ascii="Arial Narrow" w:hAnsi="Arial Narrow"/>
            <w:noProof/>
            <w:webHidden/>
            <w:sz w:val="24"/>
            <w:szCs w:val="24"/>
          </w:rPr>
          <w:instrText xml:space="preserve"> PAGEREF _Toc4596442 \h </w:instrText>
        </w:r>
        <w:r w:rsidR="00171A99" w:rsidRPr="00242C43">
          <w:rPr>
            <w:rFonts w:ascii="Arial Narrow" w:hAnsi="Arial Narrow"/>
            <w:noProof/>
            <w:webHidden/>
            <w:sz w:val="24"/>
            <w:szCs w:val="24"/>
          </w:rPr>
        </w:r>
        <w:r w:rsidR="00171A99" w:rsidRPr="00242C43">
          <w:rPr>
            <w:rFonts w:ascii="Arial Narrow" w:hAnsi="Arial Narrow"/>
            <w:noProof/>
            <w:webHidden/>
            <w:sz w:val="24"/>
            <w:szCs w:val="24"/>
          </w:rPr>
          <w:fldChar w:fldCharType="separate"/>
        </w:r>
        <w:r w:rsidR="00171A99" w:rsidRPr="00242C43">
          <w:rPr>
            <w:rFonts w:ascii="Arial Narrow" w:hAnsi="Arial Narrow"/>
            <w:noProof/>
            <w:webHidden/>
            <w:sz w:val="24"/>
            <w:szCs w:val="24"/>
          </w:rPr>
          <w:t>21</w:t>
        </w:r>
        <w:r w:rsidR="00171A99" w:rsidRPr="00242C43">
          <w:rPr>
            <w:rFonts w:ascii="Arial Narrow" w:hAnsi="Arial Narrow"/>
            <w:noProof/>
            <w:webHidden/>
            <w:sz w:val="24"/>
            <w:szCs w:val="24"/>
          </w:rPr>
          <w:fldChar w:fldCharType="end"/>
        </w:r>
      </w:hyperlink>
    </w:p>
    <w:p w:rsidR="00171A99" w:rsidRPr="00242C43" w:rsidRDefault="00691AE4" w:rsidP="00242C43">
      <w:pPr>
        <w:pStyle w:val="TDC2"/>
        <w:rPr>
          <w:rFonts w:ascii="Arial Narrow" w:eastAsiaTheme="minorEastAsia" w:hAnsi="Arial Narrow" w:cstheme="minorBidi"/>
          <w:noProof/>
          <w:sz w:val="24"/>
          <w:szCs w:val="24"/>
          <w:lang w:val="es-CO" w:eastAsia="es-CO"/>
        </w:rPr>
      </w:pPr>
      <w:hyperlink w:anchor="_Toc4596443" w:history="1">
        <w:r w:rsidR="00171A99" w:rsidRPr="00242C43">
          <w:rPr>
            <w:rStyle w:val="Hipervnculo"/>
            <w:rFonts w:ascii="Arial Narrow" w:hAnsi="Arial Narrow"/>
            <w:noProof/>
            <w:sz w:val="24"/>
            <w:szCs w:val="24"/>
            <w:lang w:val="es-CO"/>
          </w:rPr>
          <w:t>7.2.2.</w:t>
        </w:r>
        <w:r w:rsidR="00171A99" w:rsidRPr="00242C43">
          <w:rPr>
            <w:rFonts w:ascii="Arial Narrow" w:eastAsiaTheme="minorEastAsia" w:hAnsi="Arial Narrow" w:cstheme="minorBidi"/>
            <w:noProof/>
            <w:sz w:val="24"/>
            <w:szCs w:val="24"/>
            <w:lang w:val="es-CO" w:eastAsia="es-CO"/>
          </w:rPr>
          <w:tab/>
        </w:r>
        <w:r w:rsidR="00171A99" w:rsidRPr="00242C43">
          <w:rPr>
            <w:rStyle w:val="Hipervnculo"/>
            <w:rFonts w:ascii="Arial Narrow" w:hAnsi="Arial Narrow"/>
            <w:noProof/>
            <w:sz w:val="24"/>
            <w:szCs w:val="24"/>
            <w:lang w:val="es-CO"/>
          </w:rPr>
          <w:t>Calificación admisible para entidades extranjeras</w:t>
        </w:r>
        <w:r w:rsidR="00171A99" w:rsidRPr="00242C43">
          <w:rPr>
            <w:rFonts w:ascii="Arial Narrow" w:hAnsi="Arial Narrow"/>
            <w:noProof/>
            <w:webHidden/>
            <w:sz w:val="24"/>
            <w:szCs w:val="24"/>
          </w:rPr>
          <w:tab/>
        </w:r>
        <w:r w:rsidR="00171A99" w:rsidRPr="00242C43">
          <w:rPr>
            <w:rFonts w:ascii="Arial Narrow" w:hAnsi="Arial Narrow"/>
            <w:noProof/>
            <w:webHidden/>
            <w:sz w:val="24"/>
            <w:szCs w:val="24"/>
          </w:rPr>
          <w:fldChar w:fldCharType="begin"/>
        </w:r>
        <w:r w:rsidR="00171A99" w:rsidRPr="00242C43">
          <w:rPr>
            <w:rFonts w:ascii="Arial Narrow" w:hAnsi="Arial Narrow"/>
            <w:noProof/>
            <w:webHidden/>
            <w:sz w:val="24"/>
            <w:szCs w:val="24"/>
          </w:rPr>
          <w:instrText xml:space="preserve"> PAGEREF _Toc4596443 \h </w:instrText>
        </w:r>
        <w:r w:rsidR="00171A99" w:rsidRPr="00242C43">
          <w:rPr>
            <w:rFonts w:ascii="Arial Narrow" w:hAnsi="Arial Narrow"/>
            <w:noProof/>
            <w:webHidden/>
            <w:sz w:val="24"/>
            <w:szCs w:val="24"/>
          </w:rPr>
        </w:r>
        <w:r w:rsidR="00171A99" w:rsidRPr="00242C43">
          <w:rPr>
            <w:rFonts w:ascii="Arial Narrow" w:hAnsi="Arial Narrow"/>
            <w:noProof/>
            <w:webHidden/>
            <w:sz w:val="24"/>
            <w:szCs w:val="24"/>
          </w:rPr>
          <w:fldChar w:fldCharType="separate"/>
        </w:r>
        <w:r w:rsidR="00171A99" w:rsidRPr="00242C43">
          <w:rPr>
            <w:rFonts w:ascii="Arial Narrow" w:hAnsi="Arial Narrow"/>
            <w:noProof/>
            <w:webHidden/>
            <w:sz w:val="24"/>
            <w:szCs w:val="24"/>
          </w:rPr>
          <w:t>21</w:t>
        </w:r>
        <w:r w:rsidR="00171A99" w:rsidRPr="00242C43">
          <w:rPr>
            <w:rFonts w:ascii="Arial Narrow" w:hAnsi="Arial Narrow"/>
            <w:noProof/>
            <w:webHidden/>
            <w:sz w:val="24"/>
            <w:szCs w:val="24"/>
          </w:rPr>
          <w:fldChar w:fldCharType="end"/>
        </w:r>
      </w:hyperlink>
    </w:p>
    <w:p w:rsidR="00171A99" w:rsidRPr="00242C43" w:rsidRDefault="00691AE4">
      <w:pPr>
        <w:pStyle w:val="TDC2"/>
        <w:rPr>
          <w:rFonts w:ascii="Arial Narrow" w:eastAsiaTheme="minorEastAsia" w:hAnsi="Arial Narrow" w:cstheme="minorBidi"/>
          <w:noProof/>
          <w:sz w:val="24"/>
          <w:szCs w:val="24"/>
          <w:lang w:val="es-CO" w:eastAsia="es-CO"/>
        </w:rPr>
      </w:pPr>
      <w:hyperlink w:anchor="_Toc4596444" w:history="1">
        <w:r w:rsidR="00171A99" w:rsidRPr="00242C43">
          <w:rPr>
            <w:rStyle w:val="Hipervnculo"/>
            <w:rFonts w:ascii="Arial Narrow" w:hAnsi="Arial Narrow"/>
            <w:noProof/>
            <w:sz w:val="24"/>
            <w:szCs w:val="24"/>
          </w:rPr>
          <w:t>7.3.</w:t>
        </w:r>
        <w:r w:rsidR="00171A99" w:rsidRPr="00242C43">
          <w:rPr>
            <w:rFonts w:ascii="Arial Narrow" w:eastAsiaTheme="minorEastAsia" w:hAnsi="Arial Narrow" w:cstheme="minorBidi"/>
            <w:noProof/>
            <w:sz w:val="24"/>
            <w:szCs w:val="24"/>
            <w:lang w:val="es-CO" w:eastAsia="es-CO"/>
          </w:rPr>
          <w:tab/>
        </w:r>
        <w:r w:rsidR="00171A99" w:rsidRPr="00242C43">
          <w:rPr>
            <w:rStyle w:val="Hipervnculo"/>
            <w:rFonts w:ascii="Arial Narrow" w:hAnsi="Arial Narrow"/>
            <w:noProof/>
            <w:sz w:val="24"/>
            <w:szCs w:val="24"/>
          </w:rPr>
          <w:t>Lineamientos Generales del Portafolio de Inversiones</w:t>
        </w:r>
        <w:r w:rsidR="00171A99" w:rsidRPr="00242C43">
          <w:rPr>
            <w:rFonts w:ascii="Arial Narrow" w:hAnsi="Arial Narrow"/>
            <w:noProof/>
            <w:webHidden/>
            <w:sz w:val="24"/>
            <w:szCs w:val="24"/>
          </w:rPr>
          <w:tab/>
        </w:r>
        <w:r w:rsidR="00171A99" w:rsidRPr="00242C43">
          <w:rPr>
            <w:rFonts w:ascii="Arial Narrow" w:hAnsi="Arial Narrow"/>
            <w:noProof/>
            <w:webHidden/>
            <w:sz w:val="24"/>
            <w:szCs w:val="24"/>
          </w:rPr>
          <w:fldChar w:fldCharType="begin"/>
        </w:r>
        <w:r w:rsidR="00171A99" w:rsidRPr="00242C43">
          <w:rPr>
            <w:rFonts w:ascii="Arial Narrow" w:hAnsi="Arial Narrow"/>
            <w:noProof/>
            <w:webHidden/>
            <w:sz w:val="24"/>
            <w:szCs w:val="24"/>
          </w:rPr>
          <w:instrText xml:space="preserve"> PAGEREF _Toc4596444 \h </w:instrText>
        </w:r>
        <w:r w:rsidR="00171A99" w:rsidRPr="00242C43">
          <w:rPr>
            <w:rFonts w:ascii="Arial Narrow" w:hAnsi="Arial Narrow"/>
            <w:noProof/>
            <w:webHidden/>
            <w:sz w:val="24"/>
            <w:szCs w:val="24"/>
          </w:rPr>
        </w:r>
        <w:r w:rsidR="00171A99" w:rsidRPr="00242C43">
          <w:rPr>
            <w:rFonts w:ascii="Arial Narrow" w:hAnsi="Arial Narrow"/>
            <w:noProof/>
            <w:webHidden/>
            <w:sz w:val="24"/>
            <w:szCs w:val="24"/>
          </w:rPr>
          <w:fldChar w:fldCharType="separate"/>
        </w:r>
        <w:r w:rsidR="00171A99" w:rsidRPr="00242C43">
          <w:rPr>
            <w:rFonts w:ascii="Arial Narrow" w:hAnsi="Arial Narrow"/>
            <w:noProof/>
            <w:webHidden/>
            <w:sz w:val="24"/>
            <w:szCs w:val="24"/>
          </w:rPr>
          <w:t>22</w:t>
        </w:r>
        <w:r w:rsidR="00171A99" w:rsidRPr="00242C43">
          <w:rPr>
            <w:rFonts w:ascii="Arial Narrow" w:hAnsi="Arial Narrow"/>
            <w:noProof/>
            <w:webHidden/>
            <w:sz w:val="24"/>
            <w:szCs w:val="24"/>
          </w:rPr>
          <w:fldChar w:fldCharType="end"/>
        </w:r>
      </w:hyperlink>
    </w:p>
    <w:p w:rsidR="00242C43" w:rsidRPr="00242C43" w:rsidRDefault="00691AE4" w:rsidP="00242C43">
      <w:pPr>
        <w:pStyle w:val="TDC2"/>
        <w:rPr>
          <w:rFonts w:ascii="Arial Narrow" w:hAnsi="Arial Narrow"/>
          <w:noProof/>
          <w:sz w:val="24"/>
          <w:szCs w:val="24"/>
        </w:rPr>
      </w:pPr>
      <w:hyperlink w:anchor="_Toc4596445" w:history="1">
        <w:r w:rsidR="00171A99" w:rsidRPr="00242C43">
          <w:rPr>
            <w:rStyle w:val="Hipervnculo"/>
            <w:rFonts w:ascii="Arial Narrow" w:hAnsi="Arial Narrow"/>
            <w:noProof/>
            <w:sz w:val="24"/>
            <w:szCs w:val="24"/>
          </w:rPr>
          <w:t>7.4.</w:t>
        </w:r>
        <w:r w:rsidR="00171A99" w:rsidRPr="00242C43">
          <w:rPr>
            <w:rFonts w:ascii="Arial Narrow" w:eastAsiaTheme="minorEastAsia" w:hAnsi="Arial Narrow" w:cstheme="minorBidi"/>
            <w:noProof/>
            <w:sz w:val="24"/>
            <w:szCs w:val="24"/>
            <w:lang w:val="es-CO" w:eastAsia="es-CO"/>
          </w:rPr>
          <w:tab/>
        </w:r>
        <w:r w:rsidR="00171A99" w:rsidRPr="00242C43">
          <w:rPr>
            <w:rStyle w:val="Hipervnculo"/>
            <w:rFonts w:ascii="Arial Narrow" w:hAnsi="Arial Narrow"/>
            <w:noProof/>
            <w:sz w:val="24"/>
            <w:szCs w:val="24"/>
          </w:rPr>
          <w:t>Lineamientos Específicos</w:t>
        </w:r>
        <w:r w:rsidR="00171A99" w:rsidRPr="00242C43">
          <w:rPr>
            <w:rFonts w:ascii="Arial Narrow" w:hAnsi="Arial Narrow"/>
            <w:noProof/>
            <w:webHidden/>
            <w:sz w:val="24"/>
            <w:szCs w:val="24"/>
          </w:rPr>
          <w:tab/>
        </w:r>
        <w:r w:rsidR="00171A99" w:rsidRPr="00242C43">
          <w:rPr>
            <w:rFonts w:ascii="Arial Narrow" w:hAnsi="Arial Narrow"/>
            <w:noProof/>
            <w:webHidden/>
            <w:sz w:val="24"/>
            <w:szCs w:val="24"/>
          </w:rPr>
          <w:fldChar w:fldCharType="begin"/>
        </w:r>
        <w:r w:rsidR="00171A99" w:rsidRPr="00242C43">
          <w:rPr>
            <w:rFonts w:ascii="Arial Narrow" w:hAnsi="Arial Narrow"/>
            <w:noProof/>
            <w:webHidden/>
            <w:sz w:val="24"/>
            <w:szCs w:val="24"/>
          </w:rPr>
          <w:instrText xml:space="preserve"> PAGEREF _Toc4596445 \h </w:instrText>
        </w:r>
        <w:r w:rsidR="00171A99" w:rsidRPr="00242C43">
          <w:rPr>
            <w:rFonts w:ascii="Arial Narrow" w:hAnsi="Arial Narrow"/>
            <w:noProof/>
            <w:webHidden/>
            <w:sz w:val="24"/>
            <w:szCs w:val="24"/>
          </w:rPr>
        </w:r>
        <w:r w:rsidR="00171A99" w:rsidRPr="00242C43">
          <w:rPr>
            <w:rFonts w:ascii="Arial Narrow" w:hAnsi="Arial Narrow"/>
            <w:noProof/>
            <w:webHidden/>
            <w:sz w:val="24"/>
            <w:szCs w:val="24"/>
          </w:rPr>
          <w:fldChar w:fldCharType="separate"/>
        </w:r>
        <w:r w:rsidR="00171A99" w:rsidRPr="00242C43">
          <w:rPr>
            <w:rFonts w:ascii="Arial Narrow" w:hAnsi="Arial Narrow"/>
            <w:noProof/>
            <w:webHidden/>
            <w:sz w:val="24"/>
            <w:szCs w:val="24"/>
          </w:rPr>
          <w:t>22</w:t>
        </w:r>
        <w:r w:rsidR="00171A99" w:rsidRPr="00242C43">
          <w:rPr>
            <w:rFonts w:ascii="Arial Narrow" w:hAnsi="Arial Narrow"/>
            <w:noProof/>
            <w:webHidden/>
            <w:sz w:val="24"/>
            <w:szCs w:val="24"/>
          </w:rPr>
          <w:fldChar w:fldCharType="end"/>
        </w:r>
      </w:hyperlink>
    </w:p>
    <w:p w:rsidR="00242C43" w:rsidRPr="00242C43" w:rsidRDefault="00691AE4" w:rsidP="00242C43">
      <w:pPr>
        <w:pStyle w:val="TDC2"/>
        <w:rPr>
          <w:rFonts w:ascii="Arial Narrow" w:hAnsi="Arial Narrow"/>
          <w:noProof/>
          <w:sz w:val="24"/>
          <w:szCs w:val="24"/>
        </w:rPr>
      </w:pPr>
      <w:hyperlink w:anchor="_Toc4596446" w:history="1">
        <w:r w:rsidR="00171A99" w:rsidRPr="00242C43">
          <w:rPr>
            <w:rStyle w:val="Hipervnculo"/>
            <w:rFonts w:ascii="Arial Narrow" w:hAnsi="Arial Narrow"/>
            <w:noProof/>
            <w:sz w:val="24"/>
            <w:szCs w:val="24"/>
          </w:rPr>
          <w:t>7.4.1.</w:t>
        </w:r>
        <w:r w:rsidR="00171A99" w:rsidRPr="00242C43">
          <w:rPr>
            <w:rFonts w:ascii="Arial Narrow" w:eastAsiaTheme="minorEastAsia" w:hAnsi="Arial Narrow" w:cstheme="minorBidi"/>
            <w:noProof/>
            <w:sz w:val="24"/>
            <w:szCs w:val="24"/>
            <w:lang w:val="es-CO" w:eastAsia="es-CO"/>
          </w:rPr>
          <w:tab/>
        </w:r>
        <w:r w:rsidR="00171A99" w:rsidRPr="00242C43">
          <w:rPr>
            <w:rStyle w:val="Hipervnculo"/>
            <w:rFonts w:ascii="Arial Narrow" w:hAnsi="Arial Narrow"/>
            <w:noProof/>
            <w:sz w:val="24"/>
            <w:szCs w:val="24"/>
          </w:rPr>
          <w:t>Límites para operaciones en fondos “</w:t>
        </w:r>
        <w:r w:rsidR="00171A99" w:rsidRPr="00242C43">
          <w:rPr>
            <w:rStyle w:val="Hipervnculo"/>
            <w:rFonts w:ascii="Arial Narrow" w:hAnsi="Arial Narrow"/>
            <w:i/>
            <w:noProof/>
            <w:sz w:val="24"/>
            <w:szCs w:val="24"/>
          </w:rPr>
          <w:t>Money Market</w:t>
        </w:r>
        <w:r w:rsidR="00171A99" w:rsidRPr="00242C43">
          <w:rPr>
            <w:rStyle w:val="Hipervnculo"/>
            <w:rFonts w:ascii="Arial Narrow" w:hAnsi="Arial Narrow"/>
            <w:noProof/>
            <w:sz w:val="24"/>
            <w:szCs w:val="24"/>
          </w:rPr>
          <w:t>”</w:t>
        </w:r>
        <w:r w:rsidR="00171A99" w:rsidRPr="00242C43">
          <w:rPr>
            <w:rFonts w:ascii="Arial Narrow" w:hAnsi="Arial Narrow"/>
            <w:noProof/>
            <w:webHidden/>
            <w:sz w:val="24"/>
            <w:szCs w:val="24"/>
          </w:rPr>
          <w:tab/>
        </w:r>
        <w:r w:rsidR="00171A99" w:rsidRPr="00242C43">
          <w:rPr>
            <w:rFonts w:ascii="Arial Narrow" w:hAnsi="Arial Narrow"/>
            <w:noProof/>
            <w:webHidden/>
            <w:sz w:val="24"/>
            <w:szCs w:val="24"/>
          </w:rPr>
          <w:fldChar w:fldCharType="begin"/>
        </w:r>
        <w:r w:rsidR="00171A99" w:rsidRPr="00242C43">
          <w:rPr>
            <w:rFonts w:ascii="Arial Narrow" w:hAnsi="Arial Narrow"/>
            <w:noProof/>
            <w:webHidden/>
            <w:sz w:val="24"/>
            <w:szCs w:val="24"/>
          </w:rPr>
          <w:instrText xml:space="preserve"> PAGEREF _Toc4596446 \h </w:instrText>
        </w:r>
        <w:r w:rsidR="00171A99" w:rsidRPr="00242C43">
          <w:rPr>
            <w:rFonts w:ascii="Arial Narrow" w:hAnsi="Arial Narrow"/>
            <w:noProof/>
            <w:webHidden/>
            <w:sz w:val="24"/>
            <w:szCs w:val="24"/>
          </w:rPr>
        </w:r>
        <w:r w:rsidR="00171A99" w:rsidRPr="00242C43">
          <w:rPr>
            <w:rFonts w:ascii="Arial Narrow" w:hAnsi="Arial Narrow"/>
            <w:noProof/>
            <w:webHidden/>
            <w:sz w:val="24"/>
            <w:szCs w:val="24"/>
          </w:rPr>
          <w:fldChar w:fldCharType="separate"/>
        </w:r>
        <w:r w:rsidR="00171A99" w:rsidRPr="00242C43">
          <w:rPr>
            <w:rFonts w:ascii="Arial Narrow" w:hAnsi="Arial Narrow"/>
            <w:noProof/>
            <w:webHidden/>
            <w:sz w:val="24"/>
            <w:szCs w:val="24"/>
          </w:rPr>
          <w:t>22</w:t>
        </w:r>
        <w:r w:rsidR="00171A99" w:rsidRPr="00242C43">
          <w:rPr>
            <w:rFonts w:ascii="Arial Narrow" w:hAnsi="Arial Narrow"/>
            <w:noProof/>
            <w:webHidden/>
            <w:sz w:val="24"/>
            <w:szCs w:val="24"/>
          </w:rPr>
          <w:fldChar w:fldCharType="end"/>
        </w:r>
      </w:hyperlink>
    </w:p>
    <w:p w:rsidR="00242C43" w:rsidRPr="00242C43" w:rsidRDefault="00691AE4" w:rsidP="00242C43">
      <w:pPr>
        <w:pStyle w:val="TDC2"/>
        <w:rPr>
          <w:rFonts w:ascii="Arial Narrow" w:hAnsi="Arial Narrow"/>
          <w:noProof/>
          <w:sz w:val="24"/>
          <w:szCs w:val="24"/>
        </w:rPr>
      </w:pPr>
      <w:hyperlink w:anchor="_Toc4596447" w:history="1">
        <w:r w:rsidR="00171A99" w:rsidRPr="00242C43">
          <w:rPr>
            <w:rStyle w:val="Hipervnculo"/>
            <w:rFonts w:ascii="Arial Narrow" w:hAnsi="Arial Narrow"/>
            <w:noProof/>
            <w:sz w:val="24"/>
            <w:szCs w:val="24"/>
          </w:rPr>
          <w:t>7.4.2.</w:t>
        </w:r>
        <w:r w:rsidR="00171A99" w:rsidRPr="00242C43">
          <w:rPr>
            <w:rFonts w:ascii="Arial Narrow" w:eastAsiaTheme="minorEastAsia" w:hAnsi="Arial Narrow" w:cstheme="minorBidi"/>
            <w:noProof/>
            <w:sz w:val="24"/>
            <w:szCs w:val="24"/>
            <w:lang w:val="es-CO" w:eastAsia="es-CO"/>
          </w:rPr>
          <w:tab/>
        </w:r>
        <w:r w:rsidR="00171A99" w:rsidRPr="00242C43">
          <w:rPr>
            <w:rStyle w:val="Hipervnculo"/>
            <w:rFonts w:ascii="Arial Narrow" w:hAnsi="Arial Narrow"/>
            <w:noProof/>
            <w:sz w:val="24"/>
            <w:szCs w:val="24"/>
          </w:rPr>
          <w:t>Lineamientos para operaciones Simultáneas</w:t>
        </w:r>
        <w:r w:rsidR="00171A99" w:rsidRPr="00242C43">
          <w:rPr>
            <w:rFonts w:ascii="Arial Narrow" w:hAnsi="Arial Narrow"/>
            <w:noProof/>
            <w:webHidden/>
            <w:sz w:val="24"/>
            <w:szCs w:val="24"/>
          </w:rPr>
          <w:tab/>
        </w:r>
        <w:r w:rsidR="00171A99" w:rsidRPr="00242C43">
          <w:rPr>
            <w:rFonts w:ascii="Arial Narrow" w:hAnsi="Arial Narrow"/>
            <w:noProof/>
            <w:webHidden/>
            <w:sz w:val="24"/>
            <w:szCs w:val="24"/>
          </w:rPr>
          <w:fldChar w:fldCharType="begin"/>
        </w:r>
        <w:r w:rsidR="00171A99" w:rsidRPr="00242C43">
          <w:rPr>
            <w:rFonts w:ascii="Arial Narrow" w:hAnsi="Arial Narrow"/>
            <w:noProof/>
            <w:webHidden/>
            <w:sz w:val="24"/>
            <w:szCs w:val="24"/>
          </w:rPr>
          <w:instrText xml:space="preserve"> PAGEREF _Toc4596447 \h </w:instrText>
        </w:r>
        <w:r w:rsidR="00171A99" w:rsidRPr="00242C43">
          <w:rPr>
            <w:rFonts w:ascii="Arial Narrow" w:hAnsi="Arial Narrow"/>
            <w:noProof/>
            <w:webHidden/>
            <w:sz w:val="24"/>
            <w:szCs w:val="24"/>
          </w:rPr>
        </w:r>
        <w:r w:rsidR="00171A99" w:rsidRPr="00242C43">
          <w:rPr>
            <w:rFonts w:ascii="Arial Narrow" w:hAnsi="Arial Narrow"/>
            <w:noProof/>
            <w:webHidden/>
            <w:sz w:val="24"/>
            <w:szCs w:val="24"/>
          </w:rPr>
          <w:fldChar w:fldCharType="separate"/>
        </w:r>
        <w:r w:rsidR="00171A99" w:rsidRPr="00242C43">
          <w:rPr>
            <w:rFonts w:ascii="Arial Narrow" w:hAnsi="Arial Narrow"/>
            <w:noProof/>
            <w:webHidden/>
            <w:sz w:val="24"/>
            <w:szCs w:val="24"/>
          </w:rPr>
          <w:t>23</w:t>
        </w:r>
        <w:r w:rsidR="00171A99" w:rsidRPr="00242C43">
          <w:rPr>
            <w:rFonts w:ascii="Arial Narrow" w:hAnsi="Arial Narrow"/>
            <w:noProof/>
            <w:webHidden/>
            <w:sz w:val="24"/>
            <w:szCs w:val="24"/>
          </w:rPr>
          <w:fldChar w:fldCharType="end"/>
        </w:r>
      </w:hyperlink>
    </w:p>
    <w:p w:rsidR="00242C43" w:rsidRPr="00242C43" w:rsidRDefault="00691AE4" w:rsidP="00242C43">
      <w:pPr>
        <w:pStyle w:val="TDC2"/>
        <w:rPr>
          <w:rFonts w:ascii="Arial Narrow" w:hAnsi="Arial Narrow"/>
          <w:noProof/>
          <w:sz w:val="24"/>
          <w:szCs w:val="24"/>
        </w:rPr>
      </w:pPr>
      <w:hyperlink w:anchor="_Toc4596448" w:history="1">
        <w:r w:rsidR="00171A99" w:rsidRPr="00242C43">
          <w:rPr>
            <w:rStyle w:val="Hipervnculo"/>
            <w:rFonts w:ascii="Arial Narrow" w:hAnsi="Arial Narrow"/>
            <w:noProof/>
            <w:sz w:val="24"/>
            <w:szCs w:val="24"/>
          </w:rPr>
          <w:t>7.4.3.</w:t>
        </w:r>
        <w:r w:rsidR="00171A99" w:rsidRPr="00242C43">
          <w:rPr>
            <w:rFonts w:ascii="Arial Narrow" w:eastAsiaTheme="minorEastAsia" w:hAnsi="Arial Narrow" w:cstheme="minorBidi"/>
            <w:noProof/>
            <w:sz w:val="24"/>
            <w:szCs w:val="24"/>
            <w:lang w:val="es-CO" w:eastAsia="es-CO"/>
          </w:rPr>
          <w:tab/>
        </w:r>
        <w:r w:rsidR="00171A99" w:rsidRPr="00242C43">
          <w:rPr>
            <w:rStyle w:val="Hipervnculo"/>
            <w:rFonts w:ascii="Arial Narrow" w:hAnsi="Arial Narrow"/>
            <w:noProof/>
            <w:sz w:val="24"/>
            <w:szCs w:val="24"/>
          </w:rPr>
          <w:t>Límite para exposición al Riesgo de Mercado</w:t>
        </w:r>
        <w:r w:rsidR="00171A99" w:rsidRPr="00242C43">
          <w:rPr>
            <w:rFonts w:ascii="Arial Narrow" w:hAnsi="Arial Narrow"/>
            <w:noProof/>
            <w:webHidden/>
            <w:sz w:val="24"/>
            <w:szCs w:val="24"/>
          </w:rPr>
          <w:tab/>
        </w:r>
        <w:r w:rsidR="00171A99" w:rsidRPr="00242C43">
          <w:rPr>
            <w:rFonts w:ascii="Arial Narrow" w:hAnsi="Arial Narrow"/>
            <w:noProof/>
            <w:webHidden/>
            <w:sz w:val="24"/>
            <w:szCs w:val="24"/>
          </w:rPr>
          <w:fldChar w:fldCharType="begin"/>
        </w:r>
        <w:r w:rsidR="00171A99" w:rsidRPr="00242C43">
          <w:rPr>
            <w:rFonts w:ascii="Arial Narrow" w:hAnsi="Arial Narrow"/>
            <w:noProof/>
            <w:webHidden/>
            <w:sz w:val="24"/>
            <w:szCs w:val="24"/>
          </w:rPr>
          <w:instrText xml:space="preserve"> PAGEREF _Toc4596448 \h </w:instrText>
        </w:r>
        <w:r w:rsidR="00171A99" w:rsidRPr="00242C43">
          <w:rPr>
            <w:rFonts w:ascii="Arial Narrow" w:hAnsi="Arial Narrow"/>
            <w:noProof/>
            <w:webHidden/>
            <w:sz w:val="24"/>
            <w:szCs w:val="24"/>
          </w:rPr>
        </w:r>
        <w:r w:rsidR="00171A99" w:rsidRPr="00242C43">
          <w:rPr>
            <w:rFonts w:ascii="Arial Narrow" w:hAnsi="Arial Narrow"/>
            <w:noProof/>
            <w:webHidden/>
            <w:sz w:val="24"/>
            <w:szCs w:val="24"/>
          </w:rPr>
          <w:fldChar w:fldCharType="separate"/>
        </w:r>
        <w:r w:rsidR="00171A99" w:rsidRPr="00242C43">
          <w:rPr>
            <w:rFonts w:ascii="Arial Narrow" w:hAnsi="Arial Narrow"/>
            <w:noProof/>
            <w:webHidden/>
            <w:sz w:val="24"/>
            <w:szCs w:val="24"/>
          </w:rPr>
          <w:t>25</w:t>
        </w:r>
        <w:r w:rsidR="00171A99" w:rsidRPr="00242C43">
          <w:rPr>
            <w:rFonts w:ascii="Arial Narrow" w:hAnsi="Arial Narrow"/>
            <w:noProof/>
            <w:webHidden/>
            <w:sz w:val="24"/>
            <w:szCs w:val="24"/>
          </w:rPr>
          <w:fldChar w:fldCharType="end"/>
        </w:r>
      </w:hyperlink>
    </w:p>
    <w:p w:rsidR="00171A99" w:rsidRPr="00242C43" w:rsidRDefault="00691AE4" w:rsidP="00242C43">
      <w:pPr>
        <w:pStyle w:val="TDC2"/>
        <w:rPr>
          <w:rFonts w:ascii="Arial Narrow" w:eastAsiaTheme="minorEastAsia" w:hAnsi="Arial Narrow" w:cstheme="minorBidi"/>
          <w:noProof/>
          <w:sz w:val="24"/>
          <w:szCs w:val="24"/>
          <w:lang w:val="es-CO" w:eastAsia="es-CO"/>
        </w:rPr>
      </w:pPr>
      <w:hyperlink w:anchor="_Toc4596449" w:history="1">
        <w:r w:rsidR="00171A99" w:rsidRPr="00242C43">
          <w:rPr>
            <w:rStyle w:val="Hipervnculo"/>
            <w:rFonts w:ascii="Arial Narrow" w:hAnsi="Arial Narrow"/>
            <w:noProof/>
            <w:sz w:val="24"/>
            <w:szCs w:val="24"/>
          </w:rPr>
          <w:t>7.4.4.</w:t>
        </w:r>
        <w:r w:rsidR="00171A99" w:rsidRPr="00242C43">
          <w:rPr>
            <w:rFonts w:ascii="Arial Narrow" w:eastAsiaTheme="minorEastAsia" w:hAnsi="Arial Narrow" w:cstheme="minorBidi"/>
            <w:noProof/>
            <w:sz w:val="24"/>
            <w:szCs w:val="24"/>
            <w:lang w:val="es-CO" w:eastAsia="es-CO"/>
          </w:rPr>
          <w:tab/>
        </w:r>
        <w:r w:rsidR="00171A99" w:rsidRPr="00242C43">
          <w:rPr>
            <w:rStyle w:val="Hipervnculo"/>
            <w:rFonts w:ascii="Arial Narrow" w:hAnsi="Arial Narrow"/>
            <w:noProof/>
            <w:sz w:val="24"/>
            <w:szCs w:val="24"/>
          </w:rPr>
          <w:t>Atribuciones</w:t>
        </w:r>
        <w:r w:rsidR="00171A99" w:rsidRPr="00242C43">
          <w:rPr>
            <w:rFonts w:ascii="Arial Narrow" w:hAnsi="Arial Narrow"/>
            <w:noProof/>
            <w:webHidden/>
            <w:sz w:val="24"/>
            <w:szCs w:val="24"/>
          </w:rPr>
          <w:tab/>
        </w:r>
        <w:r w:rsidR="00171A99" w:rsidRPr="00242C43">
          <w:rPr>
            <w:rFonts w:ascii="Arial Narrow" w:hAnsi="Arial Narrow"/>
            <w:noProof/>
            <w:webHidden/>
            <w:sz w:val="24"/>
            <w:szCs w:val="24"/>
          </w:rPr>
          <w:fldChar w:fldCharType="begin"/>
        </w:r>
        <w:r w:rsidR="00171A99" w:rsidRPr="00242C43">
          <w:rPr>
            <w:rFonts w:ascii="Arial Narrow" w:hAnsi="Arial Narrow"/>
            <w:noProof/>
            <w:webHidden/>
            <w:sz w:val="24"/>
            <w:szCs w:val="24"/>
          </w:rPr>
          <w:instrText xml:space="preserve"> PAGEREF _Toc4596449 \h </w:instrText>
        </w:r>
        <w:r w:rsidR="00171A99" w:rsidRPr="00242C43">
          <w:rPr>
            <w:rFonts w:ascii="Arial Narrow" w:hAnsi="Arial Narrow"/>
            <w:noProof/>
            <w:webHidden/>
            <w:sz w:val="24"/>
            <w:szCs w:val="24"/>
          </w:rPr>
        </w:r>
        <w:r w:rsidR="00171A99" w:rsidRPr="00242C43">
          <w:rPr>
            <w:rFonts w:ascii="Arial Narrow" w:hAnsi="Arial Narrow"/>
            <w:noProof/>
            <w:webHidden/>
            <w:sz w:val="24"/>
            <w:szCs w:val="24"/>
          </w:rPr>
          <w:fldChar w:fldCharType="separate"/>
        </w:r>
        <w:r w:rsidR="00171A99" w:rsidRPr="00242C43">
          <w:rPr>
            <w:rFonts w:ascii="Arial Narrow" w:hAnsi="Arial Narrow"/>
            <w:noProof/>
            <w:webHidden/>
            <w:sz w:val="24"/>
            <w:szCs w:val="24"/>
          </w:rPr>
          <w:t>25</w:t>
        </w:r>
        <w:r w:rsidR="00171A99" w:rsidRPr="00242C43">
          <w:rPr>
            <w:rFonts w:ascii="Arial Narrow" w:hAnsi="Arial Narrow"/>
            <w:noProof/>
            <w:webHidden/>
            <w:sz w:val="24"/>
            <w:szCs w:val="24"/>
          </w:rPr>
          <w:fldChar w:fldCharType="end"/>
        </w:r>
      </w:hyperlink>
    </w:p>
    <w:p w:rsidR="00171A99" w:rsidRPr="00242C43" w:rsidRDefault="00691AE4">
      <w:pPr>
        <w:pStyle w:val="TDC1"/>
        <w:rPr>
          <w:rFonts w:eastAsiaTheme="minorEastAsia" w:cstheme="minorBidi"/>
          <w:b w:val="0"/>
          <w:szCs w:val="24"/>
          <w:lang w:val="es-CO" w:eastAsia="es-CO"/>
        </w:rPr>
      </w:pPr>
      <w:hyperlink w:anchor="_Toc4596450" w:history="1">
        <w:r w:rsidR="00171A99" w:rsidRPr="00242C43">
          <w:rPr>
            <w:rStyle w:val="Hipervnculo"/>
            <w:b w:val="0"/>
            <w:szCs w:val="24"/>
          </w:rPr>
          <w:t>8.</w:t>
        </w:r>
        <w:r w:rsidR="00171A99" w:rsidRPr="00242C43">
          <w:rPr>
            <w:rFonts w:eastAsiaTheme="minorEastAsia" w:cstheme="minorBidi"/>
            <w:b w:val="0"/>
            <w:szCs w:val="24"/>
            <w:lang w:val="es-CO" w:eastAsia="es-CO"/>
          </w:rPr>
          <w:tab/>
        </w:r>
        <w:r w:rsidR="00171A99" w:rsidRPr="00242C43">
          <w:rPr>
            <w:rStyle w:val="Hipervnculo"/>
            <w:b w:val="0"/>
            <w:szCs w:val="24"/>
          </w:rPr>
          <w:t>METODOLOGÍAS DE ASIGNACIÓN DE CUPOS</w:t>
        </w:r>
        <w:r w:rsidR="00171A99" w:rsidRPr="00242C43">
          <w:rPr>
            <w:b w:val="0"/>
            <w:webHidden/>
            <w:szCs w:val="24"/>
          </w:rPr>
          <w:tab/>
        </w:r>
        <w:r w:rsidR="00171A99" w:rsidRPr="00242C43">
          <w:rPr>
            <w:b w:val="0"/>
            <w:webHidden/>
            <w:szCs w:val="24"/>
          </w:rPr>
          <w:fldChar w:fldCharType="begin"/>
        </w:r>
        <w:r w:rsidR="00171A99" w:rsidRPr="00242C43">
          <w:rPr>
            <w:b w:val="0"/>
            <w:webHidden/>
            <w:szCs w:val="24"/>
          </w:rPr>
          <w:instrText xml:space="preserve"> PAGEREF _Toc4596450 \h </w:instrText>
        </w:r>
        <w:r w:rsidR="00171A99" w:rsidRPr="00242C43">
          <w:rPr>
            <w:b w:val="0"/>
            <w:webHidden/>
            <w:szCs w:val="24"/>
          </w:rPr>
        </w:r>
        <w:r w:rsidR="00171A99" w:rsidRPr="00242C43">
          <w:rPr>
            <w:b w:val="0"/>
            <w:webHidden/>
            <w:szCs w:val="24"/>
          </w:rPr>
          <w:fldChar w:fldCharType="separate"/>
        </w:r>
        <w:r w:rsidR="00171A99" w:rsidRPr="00242C43">
          <w:rPr>
            <w:b w:val="0"/>
            <w:webHidden/>
            <w:szCs w:val="24"/>
          </w:rPr>
          <w:t>26</w:t>
        </w:r>
        <w:r w:rsidR="00171A99" w:rsidRPr="00242C43">
          <w:rPr>
            <w:b w:val="0"/>
            <w:webHidden/>
            <w:szCs w:val="24"/>
          </w:rPr>
          <w:fldChar w:fldCharType="end"/>
        </w:r>
      </w:hyperlink>
    </w:p>
    <w:p w:rsidR="00242C43" w:rsidRPr="00242C43" w:rsidRDefault="00691AE4" w:rsidP="00242C43">
      <w:pPr>
        <w:pStyle w:val="TDC2"/>
        <w:rPr>
          <w:rFonts w:ascii="Arial Narrow" w:hAnsi="Arial Narrow"/>
          <w:noProof/>
          <w:sz w:val="24"/>
          <w:szCs w:val="24"/>
        </w:rPr>
      </w:pPr>
      <w:hyperlink w:anchor="_Toc4596451" w:history="1">
        <w:r w:rsidR="00171A99" w:rsidRPr="00242C43">
          <w:rPr>
            <w:rStyle w:val="Hipervnculo"/>
            <w:rFonts w:ascii="Arial Narrow" w:hAnsi="Arial Narrow"/>
            <w:noProof/>
            <w:sz w:val="24"/>
            <w:szCs w:val="24"/>
          </w:rPr>
          <w:t>8.1.</w:t>
        </w:r>
        <w:r w:rsidR="00171A99" w:rsidRPr="00242C43">
          <w:rPr>
            <w:rFonts w:ascii="Arial Narrow" w:eastAsiaTheme="minorEastAsia" w:hAnsi="Arial Narrow" w:cstheme="minorBidi"/>
            <w:noProof/>
            <w:sz w:val="24"/>
            <w:szCs w:val="24"/>
            <w:lang w:val="es-CO" w:eastAsia="es-CO"/>
          </w:rPr>
          <w:tab/>
        </w:r>
        <w:r w:rsidR="00171A99" w:rsidRPr="00242C43">
          <w:rPr>
            <w:rStyle w:val="Hipervnculo"/>
            <w:rFonts w:ascii="Arial Narrow" w:hAnsi="Arial Narrow"/>
            <w:noProof/>
            <w:sz w:val="24"/>
            <w:szCs w:val="24"/>
          </w:rPr>
          <w:t>Asignación de Cupos para Entidades Locales</w:t>
        </w:r>
        <w:r w:rsidR="00171A99" w:rsidRPr="00242C43">
          <w:rPr>
            <w:rFonts w:ascii="Arial Narrow" w:hAnsi="Arial Narrow"/>
            <w:noProof/>
            <w:webHidden/>
            <w:sz w:val="24"/>
            <w:szCs w:val="24"/>
          </w:rPr>
          <w:tab/>
        </w:r>
        <w:r w:rsidR="00171A99" w:rsidRPr="00242C43">
          <w:rPr>
            <w:rFonts w:ascii="Arial Narrow" w:hAnsi="Arial Narrow"/>
            <w:noProof/>
            <w:webHidden/>
            <w:sz w:val="24"/>
            <w:szCs w:val="24"/>
          </w:rPr>
          <w:fldChar w:fldCharType="begin"/>
        </w:r>
        <w:r w:rsidR="00171A99" w:rsidRPr="00242C43">
          <w:rPr>
            <w:rFonts w:ascii="Arial Narrow" w:hAnsi="Arial Narrow"/>
            <w:noProof/>
            <w:webHidden/>
            <w:sz w:val="24"/>
            <w:szCs w:val="24"/>
          </w:rPr>
          <w:instrText xml:space="preserve"> PAGEREF _Toc4596451 \h </w:instrText>
        </w:r>
        <w:r w:rsidR="00171A99" w:rsidRPr="00242C43">
          <w:rPr>
            <w:rFonts w:ascii="Arial Narrow" w:hAnsi="Arial Narrow"/>
            <w:noProof/>
            <w:webHidden/>
            <w:sz w:val="24"/>
            <w:szCs w:val="24"/>
          </w:rPr>
        </w:r>
        <w:r w:rsidR="00171A99" w:rsidRPr="00242C43">
          <w:rPr>
            <w:rFonts w:ascii="Arial Narrow" w:hAnsi="Arial Narrow"/>
            <w:noProof/>
            <w:webHidden/>
            <w:sz w:val="24"/>
            <w:szCs w:val="24"/>
          </w:rPr>
          <w:fldChar w:fldCharType="separate"/>
        </w:r>
        <w:r w:rsidR="00171A99" w:rsidRPr="00242C43">
          <w:rPr>
            <w:rFonts w:ascii="Arial Narrow" w:hAnsi="Arial Narrow"/>
            <w:noProof/>
            <w:webHidden/>
            <w:sz w:val="24"/>
            <w:szCs w:val="24"/>
          </w:rPr>
          <w:t>26</w:t>
        </w:r>
        <w:r w:rsidR="00171A99" w:rsidRPr="00242C43">
          <w:rPr>
            <w:rFonts w:ascii="Arial Narrow" w:hAnsi="Arial Narrow"/>
            <w:noProof/>
            <w:webHidden/>
            <w:sz w:val="24"/>
            <w:szCs w:val="24"/>
          </w:rPr>
          <w:fldChar w:fldCharType="end"/>
        </w:r>
      </w:hyperlink>
    </w:p>
    <w:p w:rsidR="00242C43" w:rsidRPr="00242C43" w:rsidRDefault="00691AE4" w:rsidP="00242C43">
      <w:pPr>
        <w:pStyle w:val="TDC2"/>
        <w:rPr>
          <w:rFonts w:ascii="Arial Narrow" w:hAnsi="Arial Narrow"/>
          <w:noProof/>
          <w:sz w:val="24"/>
          <w:szCs w:val="24"/>
        </w:rPr>
      </w:pPr>
      <w:hyperlink w:anchor="_Toc4596452" w:history="1">
        <w:r w:rsidR="00171A99" w:rsidRPr="00242C43">
          <w:rPr>
            <w:rStyle w:val="Hipervnculo"/>
            <w:rFonts w:ascii="Arial Narrow" w:hAnsi="Arial Narrow"/>
            <w:noProof/>
            <w:sz w:val="24"/>
            <w:szCs w:val="24"/>
            <w:lang w:val="es-CO"/>
          </w:rPr>
          <w:t>8.1.1.</w:t>
        </w:r>
        <w:r w:rsidR="00171A99" w:rsidRPr="00242C43">
          <w:rPr>
            <w:rFonts w:ascii="Arial Narrow" w:eastAsiaTheme="minorEastAsia" w:hAnsi="Arial Narrow" w:cstheme="minorBidi"/>
            <w:noProof/>
            <w:sz w:val="24"/>
            <w:szCs w:val="24"/>
            <w:lang w:val="es-CO" w:eastAsia="es-CO"/>
          </w:rPr>
          <w:tab/>
        </w:r>
        <w:r w:rsidR="00171A99" w:rsidRPr="00242C43">
          <w:rPr>
            <w:rStyle w:val="Hipervnculo"/>
            <w:rFonts w:ascii="Arial Narrow" w:hAnsi="Arial Narrow"/>
            <w:noProof/>
            <w:sz w:val="24"/>
            <w:szCs w:val="24"/>
            <w:lang w:val="es-CO"/>
          </w:rPr>
          <w:t>Cupos de Contraparte para operaciones en el mercado SET FX</w:t>
        </w:r>
        <w:r w:rsidR="00171A99" w:rsidRPr="00242C43">
          <w:rPr>
            <w:rFonts w:ascii="Arial Narrow" w:hAnsi="Arial Narrow"/>
            <w:noProof/>
            <w:webHidden/>
            <w:sz w:val="24"/>
            <w:szCs w:val="24"/>
          </w:rPr>
          <w:tab/>
        </w:r>
        <w:r w:rsidR="00171A99" w:rsidRPr="00242C43">
          <w:rPr>
            <w:rFonts w:ascii="Arial Narrow" w:hAnsi="Arial Narrow"/>
            <w:noProof/>
            <w:webHidden/>
            <w:sz w:val="24"/>
            <w:szCs w:val="24"/>
          </w:rPr>
          <w:fldChar w:fldCharType="begin"/>
        </w:r>
        <w:r w:rsidR="00171A99" w:rsidRPr="00242C43">
          <w:rPr>
            <w:rFonts w:ascii="Arial Narrow" w:hAnsi="Arial Narrow"/>
            <w:noProof/>
            <w:webHidden/>
            <w:sz w:val="24"/>
            <w:szCs w:val="24"/>
          </w:rPr>
          <w:instrText xml:space="preserve"> PAGEREF _Toc4596452 \h </w:instrText>
        </w:r>
        <w:r w:rsidR="00171A99" w:rsidRPr="00242C43">
          <w:rPr>
            <w:rFonts w:ascii="Arial Narrow" w:hAnsi="Arial Narrow"/>
            <w:noProof/>
            <w:webHidden/>
            <w:sz w:val="24"/>
            <w:szCs w:val="24"/>
          </w:rPr>
        </w:r>
        <w:r w:rsidR="00171A99" w:rsidRPr="00242C43">
          <w:rPr>
            <w:rFonts w:ascii="Arial Narrow" w:hAnsi="Arial Narrow"/>
            <w:noProof/>
            <w:webHidden/>
            <w:sz w:val="24"/>
            <w:szCs w:val="24"/>
          </w:rPr>
          <w:fldChar w:fldCharType="separate"/>
        </w:r>
        <w:r w:rsidR="00171A99" w:rsidRPr="00242C43">
          <w:rPr>
            <w:rFonts w:ascii="Arial Narrow" w:hAnsi="Arial Narrow"/>
            <w:noProof/>
            <w:webHidden/>
            <w:sz w:val="24"/>
            <w:szCs w:val="24"/>
          </w:rPr>
          <w:t>26</w:t>
        </w:r>
        <w:r w:rsidR="00171A99" w:rsidRPr="00242C43">
          <w:rPr>
            <w:rFonts w:ascii="Arial Narrow" w:hAnsi="Arial Narrow"/>
            <w:noProof/>
            <w:webHidden/>
            <w:sz w:val="24"/>
            <w:szCs w:val="24"/>
          </w:rPr>
          <w:fldChar w:fldCharType="end"/>
        </w:r>
      </w:hyperlink>
    </w:p>
    <w:p w:rsidR="00171A99" w:rsidRPr="00242C43" w:rsidRDefault="00691AE4" w:rsidP="00242C43">
      <w:pPr>
        <w:pStyle w:val="TDC2"/>
        <w:rPr>
          <w:rFonts w:ascii="Arial Narrow" w:eastAsiaTheme="minorEastAsia" w:hAnsi="Arial Narrow" w:cstheme="minorBidi"/>
          <w:noProof/>
          <w:sz w:val="24"/>
          <w:szCs w:val="24"/>
          <w:lang w:val="es-CO" w:eastAsia="es-CO"/>
        </w:rPr>
      </w:pPr>
      <w:hyperlink w:anchor="_Toc4596453" w:history="1">
        <w:r w:rsidR="00171A99" w:rsidRPr="00242C43">
          <w:rPr>
            <w:rStyle w:val="Hipervnculo"/>
            <w:rFonts w:ascii="Arial Narrow" w:hAnsi="Arial Narrow"/>
            <w:noProof/>
            <w:sz w:val="24"/>
            <w:szCs w:val="24"/>
            <w:lang w:val="es-CO"/>
          </w:rPr>
          <w:t>8.1.2.</w:t>
        </w:r>
        <w:r w:rsidR="00171A99" w:rsidRPr="00242C43">
          <w:rPr>
            <w:rFonts w:ascii="Arial Narrow" w:eastAsiaTheme="minorEastAsia" w:hAnsi="Arial Narrow" w:cstheme="minorBidi"/>
            <w:noProof/>
            <w:sz w:val="24"/>
            <w:szCs w:val="24"/>
            <w:lang w:val="es-CO" w:eastAsia="es-CO"/>
          </w:rPr>
          <w:tab/>
        </w:r>
        <w:r w:rsidR="00171A99" w:rsidRPr="00242C43">
          <w:rPr>
            <w:rStyle w:val="Hipervnculo"/>
            <w:rFonts w:ascii="Arial Narrow" w:hAnsi="Arial Narrow"/>
            <w:noProof/>
            <w:sz w:val="24"/>
            <w:szCs w:val="24"/>
            <w:lang w:val="es-CO"/>
          </w:rPr>
          <w:t>Cupos de contraparte para operaciones Spot en el sistema transaccional MEC – Master Trader</w:t>
        </w:r>
        <w:r w:rsidR="00171A99" w:rsidRPr="00242C43">
          <w:rPr>
            <w:rFonts w:ascii="Arial Narrow" w:hAnsi="Arial Narrow"/>
            <w:noProof/>
            <w:webHidden/>
            <w:sz w:val="24"/>
            <w:szCs w:val="24"/>
          </w:rPr>
          <w:tab/>
        </w:r>
        <w:r w:rsidR="00171A99" w:rsidRPr="00242C43">
          <w:rPr>
            <w:rFonts w:ascii="Arial Narrow" w:hAnsi="Arial Narrow"/>
            <w:noProof/>
            <w:webHidden/>
            <w:sz w:val="24"/>
            <w:szCs w:val="24"/>
          </w:rPr>
          <w:tab/>
        </w:r>
        <w:r w:rsidR="00171A99" w:rsidRPr="00242C43">
          <w:rPr>
            <w:rFonts w:ascii="Arial Narrow" w:hAnsi="Arial Narrow"/>
            <w:noProof/>
            <w:webHidden/>
            <w:sz w:val="24"/>
            <w:szCs w:val="24"/>
          </w:rPr>
          <w:fldChar w:fldCharType="begin"/>
        </w:r>
        <w:r w:rsidR="00171A99" w:rsidRPr="00242C43">
          <w:rPr>
            <w:rFonts w:ascii="Arial Narrow" w:hAnsi="Arial Narrow"/>
            <w:noProof/>
            <w:webHidden/>
            <w:sz w:val="24"/>
            <w:szCs w:val="24"/>
          </w:rPr>
          <w:instrText xml:space="preserve"> PAGEREF _Toc4596453 \h </w:instrText>
        </w:r>
        <w:r w:rsidR="00171A99" w:rsidRPr="00242C43">
          <w:rPr>
            <w:rFonts w:ascii="Arial Narrow" w:hAnsi="Arial Narrow"/>
            <w:noProof/>
            <w:webHidden/>
            <w:sz w:val="24"/>
            <w:szCs w:val="24"/>
          </w:rPr>
        </w:r>
        <w:r w:rsidR="00171A99" w:rsidRPr="00242C43">
          <w:rPr>
            <w:rFonts w:ascii="Arial Narrow" w:hAnsi="Arial Narrow"/>
            <w:noProof/>
            <w:webHidden/>
            <w:sz w:val="24"/>
            <w:szCs w:val="24"/>
          </w:rPr>
          <w:fldChar w:fldCharType="separate"/>
        </w:r>
        <w:r w:rsidR="00171A99" w:rsidRPr="00242C43">
          <w:rPr>
            <w:rFonts w:ascii="Arial Narrow" w:hAnsi="Arial Narrow"/>
            <w:noProof/>
            <w:webHidden/>
            <w:sz w:val="24"/>
            <w:szCs w:val="24"/>
          </w:rPr>
          <w:t>26</w:t>
        </w:r>
        <w:r w:rsidR="00171A99" w:rsidRPr="00242C43">
          <w:rPr>
            <w:rFonts w:ascii="Arial Narrow" w:hAnsi="Arial Narrow"/>
            <w:noProof/>
            <w:webHidden/>
            <w:sz w:val="24"/>
            <w:szCs w:val="24"/>
          </w:rPr>
          <w:fldChar w:fldCharType="end"/>
        </w:r>
      </w:hyperlink>
    </w:p>
    <w:p w:rsidR="00171A99" w:rsidRPr="00242C43" w:rsidRDefault="00691AE4">
      <w:pPr>
        <w:pStyle w:val="TDC2"/>
        <w:rPr>
          <w:rFonts w:ascii="Arial Narrow" w:eastAsiaTheme="minorEastAsia" w:hAnsi="Arial Narrow" w:cstheme="minorBidi"/>
          <w:noProof/>
          <w:sz w:val="24"/>
          <w:szCs w:val="24"/>
          <w:lang w:val="es-CO" w:eastAsia="es-CO"/>
        </w:rPr>
      </w:pPr>
      <w:hyperlink w:anchor="_Toc4596454" w:history="1">
        <w:r w:rsidR="00171A99" w:rsidRPr="00242C43">
          <w:rPr>
            <w:rStyle w:val="Hipervnculo"/>
            <w:rFonts w:ascii="Arial Narrow" w:hAnsi="Arial Narrow"/>
            <w:noProof/>
            <w:sz w:val="24"/>
            <w:szCs w:val="24"/>
          </w:rPr>
          <w:t>8.2.</w:t>
        </w:r>
        <w:r w:rsidR="00171A99" w:rsidRPr="00242C43">
          <w:rPr>
            <w:rFonts w:ascii="Arial Narrow" w:eastAsiaTheme="minorEastAsia" w:hAnsi="Arial Narrow" w:cstheme="minorBidi"/>
            <w:noProof/>
            <w:sz w:val="24"/>
            <w:szCs w:val="24"/>
            <w:lang w:val="es-CO" w:eastAsia="es-CO"/>
          </w:rPr>
          <w:tab/>
        </w:r>
        <w:r w:rsidR="00171A99" w:rsidRPr="00242C43">
          <w:rPr>
            <w:rStyle w:val="Hipervnculo"/>
            <w:rFonts w:ascii="Arial Narrow" w:hAnsi="Arial Narrow"/>
            <w:noProof/>
            <w:sz w:val="24"/>
            <w:szCs w:val="24"/>
          </w:rPr>
          <w:t>Asignación de cupos para entidades extranjeras</w:t>
        </w:r>
        <w:r w:rsidR="00171A99" w:rsidRPr="00242C43">
          <w:rPr>
            <w:rFonts w:ascii="Arial Narrow" w:hAnsi="Arial Narrow"/>
            <w:noProof/>
            <w:webHidden/>
            <w:sz w:val="24"/>
            <w:szCs w:val="24"/>
          </w:rPr>
          <w:tab/>
        </w:r>
        <w:r w:rsidR="00171A99" w:rsidRPr="00242C43">
          <w:rPr>
            <w:rFonts w:ascii="Arial Narrow" w:hAnsi="Arial Narrow"/>
            <w:noProof/>
            <w:webHidden/>
            <w:sz w:val="24"/>
            <w:szCs w:val="24"/>
          </w:rPr>
          <w:fldChar w:fldCharType="begin"/>
        </w:r>
        <w:r w:rsidR="00171A99" w:rsidRPr="00242C43">
          <w:rPr>
            <w:rFonts w:ascii="Arial Narrow" w:hAnsi="Arial Narrow"/>
            <w:noProof/>
            <w:webHidden/>
            <w:sz w:val="24"/>
            <w:szCs w:val="24"/>
          </w:rPr>
          <w:instrText xml:space="preserve"> PAGEREF _Toc4596454 \h </w:instrText>
        </w:r>
        <w:r w:rsidR="00171A99" w:rsidRPr="00242C43">
          <w:rPr>
            <w:rFonts w:ascii="Arial Narrow" w:hAnsi="Arial Narrow"/>
            <w:noProof/>
            <w:webHidden/>
            <w:sz w:val="24"/>
            <w:szCs w:val="24"/>
          </w:rPr>
        </w:r>
        <w:r w:rsidR="00171A99" w:rsidRPr="00242C43">
          <w:rPr>
            <w:rFonts w:ascii="Arial Narrow" w:hAnsi="Arial Narrow"/>
            <w:noProof/>
            <w:webHidden/>
            <w:sz w:val="24"/>
            <w:szCs w:val="24"/>
          </w:rPr>
          <w:fldChar w:fldCharType="separate"/>
        </w:r>
        <w:r w:rsidR="00171A99" w:rsidRPr="00242C43">
          <w:rPr>
            <w:rFonts w:ascii="Arial Narrow" w:hAnsi="Arial Narrow"/>
            <w:noProof/>
            <w:webHidden/>
            <w:sz w:val="24"/>
            <w:szCs w:val="24"/>
          </w:rPr>
          <w:t>28</w:t>
        </w:r>
        <w:r w:rsidR="00171A99" w:rsidRPr="00242C43">
          <w:rPr>
            <w:rFonts w:ascii="Arial Narrow" w:hAnsi="Arial Narrow"/>
            <w:noProof/>
            <w:webHidden/>
            <w:sz w:val="24"/>
            <w:szCs w:val="24"/>
          </w:rPr>
          <w:fldChar w:fldCharType="end"/>
        </w:r>
      </w:hyperlink>
    </w:p>
    <w:p w:rsidR="00171A99" w:rsidRPr="00242C43" w:rsidRDefault="00691AE4">
      <w:pPr>
        <w:pStyle w:val="TDC1"/>
        <w:rPr>
          <w:rFonts w:eastAsiaTheme="minorEastAsia" w:cstheme="minorBidi"/>
          <w:b w:val="0"/>
          <w:szCs w:val="24"/>
          <w:lang w:val="es-CO" w:eastAsia="es-CO"/>
        </w:rPr>
      </w:pPr>
      <w:hyperlink w:anchor="_Toc4596455" w:history="1">
        <w:r w:rsidR="00171A99" w:rsidRPr="00242C43">
          <w:rPr>
            <w:rStyle w:val="Hipervnculo"/>
            <w:b w:val="0"/>
            <w:szCs w:val="24"/>
          </w:rPr>
          <w:t>9.</w:t>
        </w:r>
        <w:r w:rsidR="00171A99" w:rsidRPr="00242C43">
          <w:rPr>
            <w:rFonts w:eastAsiaTheme="minorEastAsia" w:cstheme="minorBidi"/>
            <w:b w:val="0"/>
            <w:szCs w:val="24"/>
            <w:lang w:val="es-CO" w:eastAsia="es-CO"/>
          </w:rPr>
          <w:tab/>
        </w:r>
        <w:r w:rsidR="00171A99" w:rsidRPr="00242C43">
          <w:rPr>
            <w:rStyle w:val="Hipervnculo"/>
            <w:b w:val="0"/>
            <w:szCs w:val="24"/>
          </w:rPr>
          <w:t>EXCEPCIONES</w:t>
        </w:r>
        <w:r w:rsidR="00171A99" w:rsidRPr="00242C43">
          <w:rPr>
            <w:b w:val="0"/>
            <w:webHidden/>
            <w:szCs w:val="24"/>
          </w:rPr>
          <w:tab/>
        </w:r>
        <w:r w:rsidR="00171A99" w:rsidRPr="00242C43">
          <w:rPr>
            <w:b w:val="0"/>
            <w:webHidden/>
            <w:szCs w:val="24"/>
          </w:rPr>
          <w:fldChar w:fldCharType="begin"/>
        </w:r>
        <w:r w:rsidR="00171A99" w:rsidRPr="00242C43">
          <w:rPr>
            <w:b w:val="0"/>
            <w:webHidden/>
            <w:szCs w:val="24"/>
          </w:rPr>
          <w:instrText xml:space="preserve"> PAGEREF _Toc4596455 \h </w:instrText>
        </w:r>
        <w:r w:rsidR="00171A99" w:rsidRPr="00242C43">
          <w:rPr>
            <w:b w:val="0"/>
            <w:webHidden/>
            <w:szCs w:val="24"/>
          </w:rPr>
        </w:r>
        <w:r w:rsidR="00171A99" w:rsidRPr="00242C43">
          <w:rPr>
            <w:b w:val="0"/>
            <w:webHidden/>
            <w:szCs w:val="24"/>
          </w:rPr>
          <w:fldChar w:fldCharType="separate"/>
        </w:r>
        <w:r w:rsidR="00171A99" w:rsidRPr="00242C43">
          <w:rPr>
            <w:b w:val="0"/>
            <w:webHidden/>
            <w:szCs w:val="24"/>
          </w:rPr>
          <w:t>29</w:t>
        </w:r>
        <w:r w:rsidR="00171A99" w:rsidRPr="00242C43">
          <w:rPr>
            <w:b w:val="0"/>
            <w:webHidden/>
            <w:szCs w:val="24"/>
          </w:rPr>
          <w:fldChar w:fldCharType="end"/>
        </w:r>
      </w:hyperlink>
    </w:p>
    <w:p w:rsidR="00171A99" w:rsidRPr="00242C43" w:rsidRDefault="00691AE4">
      <w:pPr>
        <w:pStyle w:val="TDC1"/>
        <w:rPr>
          <w:rFonts w:eastAsiaTheme="minorEastAsia" w:cstheme="minorBidi"/>
          <w:b w:val="0"/>
          <w:szCs w:val="24"/>
          <w:lang w:val="es-CO" w:eastAsia="es-CO"/>
        </w:rPr>
      </w:pPr>
      <w:hyperlink w:anchor="_Toc4596456" w:history="1">
        <w:r w:rsidR="00171A99" w:rsidRPr="00242C43">
          <w:rPr>
            <w:rStyle w:val="Hipervnculo"/>
            <w:b w:val="0"/>
            <w:szCs w:val="24"/>
          </w:rPr>
          <w:t>10.</w:t>
        </w:r>
        <w:r w:rsidR="00171A99" w:rsidRPr="00242C43">
          <w:rPr>
            <w:rFonts w:eastAsiaTheme="minorEastAsia" w:cstheme="minorBidi"/>
            <w:b w:val="0"/>
            <w:szCs w:val="24"/>
            <w:lang w:val="es-CO" w:eastAsia="es-CO"/>
          </w:rPr>
          <w:tab/>
        </w:r>
        <w:r w:rsidR="00171A99" w:rsidRPr="00242C43">
          <w:rPr>
            <w:rStyle w:val="Hipervnculo"/>
            <w:b w:val="0"/>
            <w:szCs w:val="24"/>
          </w:rPr>
          <w:t>BIBLIOGRAFÍA</w:t>
        </w:r>
        <w:r w:rsidR="00171A99" w:rsidRPr="00242C43">
          <w:rPr>
            <w:b w:val="0"/>
            <w:webHidden/>
            <w:szCs w:val="24"/>
          </w:rPr>
          <w:tab/>
        </w:r>
        <w:r w:rsidR="00171A99" w:rsidRPr="00242C43">
          <w:rPr>
            <w:b w:val="0"/>
            <w:webHidden/>
            <w:szCs w:val="24"/>
          </w:rPr>
          <w:fldChar w:fldCharType="begin"/>
        </w:r>
        <w:r w:rsidR="00171A99" w:rsidRPr="00242C43">
          <w:rPr>
            <w:b w:val="0"/>
            <w:webHidden/>
            <w:szCs w:val="24"/>
          </w:rPr>
          <w:instrText xml:space="preserve"> PAGEREF _Toc4596456 \h </w:instrText>
        </w:r>
        <w:r w:rsidR="00171A99" w:rsidRPr="00242C43">
          <w:rPr>
            <w:b w:val="0"/>
            <w:webHidden/>
            <w:szCs w:val="24"/>
          </w:rPr>
        </w:r>
        <w:r w:rsidR="00171A99" w:rsidRPr="00242C43">
          <w:rPr>
            <w:b w:val="0"/>
            <w:webHidden/>
            <w:szCs w:val="24"/>
          </w:rPr>
          <w:fldChar w:fldCharType="separate"/>
        </w:r>
        <w:r w:rsidR="00171A99" w:rsidRPr="00242C43">
          <w:rPr>
            <w:b w:val="0"/>
            <w:webHidden/>
            <w:szCs w:val="24"/>
          </w:rPr>
          <w:t>29</w:t>
        </w:r>
        <w:r w:rsidR="00171A99" w:rsidRPr="00242C43">
          <w:rPr>
            <w:b w:val="0"/>
            <w:webHidden/>
            <w:szCs w:val="24"/>
          </w:rPr>
          <w:fldChar w:fldCharType="end"/>
        </w:r>
      </w:hyperlink>
    </w:p>
    <w:p w:rsidR="00171A99" w:rsidRPr="00242C43" w:rsidRDefault="00691AE4">
      <w:pPr>
        <w:pStyle w:val="TDC1"/>
        <w:rPr>
          <w:rFonts w:eastAsiaTheme="minorEastAsia" w:cstheme="minorBidi"/>
          <w:b w:val="0"/>
          <w:szCs w:val="24"/>
          <w:lang w:val="es-CO" w:eastAsia="es-CO"/>
        </w:rPr>
      </w:pPr>
      <w:hyperlink w:anchor="_Toc4596457" w:history="1">
        <w:r w:rsidR="00171A99" w:rsidRPr="00242C43">
          <w:rPr>
            <w:rStyle w:val="Hipervnculo"/>
            <w:b w:val="0"/>
            <w:szCs w:val="24"/>
          </w:rPr>
          <w:t>11.</w:t>
        </w:r>
        <w:r w:rsidR="00171A99" w:rsidRPr="00242C43">
          <w:rPr>
            <w:rFonts w:eastAsiaTheme="minorEastAsia" w:cstheme="minorBidi"/>
            <w:b w:val="0"/>
            <w:szCs w:val="24"/>
            <w:lang w:val="es-CO" w:eastAsia="es-CO"/>
          </w:rPr>
          <w:tab/>
        </w:r>
        <w:r w:rsidR="00171A99" w:rsidRPr="00242C43">
          <w:rPr>
            <w:rStyle w:val="Hipervnculo"/>
            <w:b w:val="0"/>
            <w:szCs w:val="24"/>
          </w:rPr>
          <w:t>HISTORIAL DE CAMBIOS</w:t>
        </w:r>
        <w:r w:rsidR="00171A99" w:rsidRPr="00242C43">
          <w:rPr>
            <w:b w:val="0"/>
            <w:webHidden/>
            <w:szCs w:val="24"/>
          </w:rPr>
          <w:tab/>
        </w:r>
        <w:r w:rsidR="00171A99" w:rsidRPr="00242C43">
          <w:rPr>
            <w:b w:val="0"/>
            <w:webHidden/>
            <w:szCs w:val="24"/>
          </w:rPr>
          <w:fldChar w:fldCharType="begin"/>
        </w:r>
        <w:r w:rsidR="00171A99" w:rsidRPr="00242C43">
          <w:rPr>
            <w:b w:val="0"/>
            <w:webHidden/>
            <w:szCs w:val="24"/>
          </w:rPr>
          <w:instrText xml:space="preserve"> PAGEREF _Toc4596457 \h </w:instrText>
        </w:r>
        <w:r w:rsidR="00171A99" w:rsidRPr="00242C43">
          <w:rPr>
            <w:b w:val="0"/>
            <w:webHidden/>
            <w:szCs w:val="24"/>
          </w:rPr>
        </w:r>
        <w:r w:rsidR="00171A99" w:rsidRPr="00242C43">
          <w:rPr>
            <w:b w:val="0"/>
            <w:webHidden/>
            <w:szCs w:val="24"/>
          </w:rPr>
          <w:fldChar w:fldCharType="separate"/>
        </w:r>
        <w:r w:rsidR="00171A99" w:rsidRPr="00242C43">
          <w:rPr>
            <w:b w:val="0"/>
            <w:webHidden/>
            <w:szCs w:val="24"/>
          </w:rPr>
          <w:t>30</w:t>
        </w:r>
        <w:r w:rsidR="00171A99" w:rsidRPr="00242C43">
          <w:rPr>
            <w:b w:val="0"/>
            <w:webHidden/>
            <w:szCs w:val="24"/>
          </w:rPr>
          <w:fldChar w:fldCharType="end"/>
        </w:r>
      </w:hyperlink>
    </w:p>
    <w:p w:rsidR="00171A99" w:rsidRPr="00171A99" w:rsidRDefault="00691AE4">
      <w:pPr>
        <w:pStyle w:val="TDC1"/>
        <w:rPr>
          <w:rFonts w:eastAsiaTheme="minorEastAsia" w:cstheme="minorBidi"/>
          <w:b w:val="0"/>
          <w:szCs w:val="24"/>
          <w:lang w:val="es-CO" w:eastAsia="es-CO"/>
        </w:rPr>
      </w:pPr>
      <w:hyperlink w:anchor="_Toc4596458" w:history="1">
        <w:r w:rsidR="00171A99" w:rsidRPr="00242C43">
          <w:rPr>
            <w:rStyle w:val="Hipervnculo"/>
            <w:b w:val="0"/>
            <w:szCs w:val="24"/>
          </w:rPr>
          <w:t>12.</w:t>
        </w:r>
        <w:r w:rsidR="00171A99" w:rsidRPr="00242C43">
          <w:rPr>
            <w:rFonts w:eastAsiaTheme="minorEastAsia" w:cstheme="minorBidi"/>
            <w:b w:val="0"/>
            <w:szCs w:val="24"/>
            <w:lang w:val="es-CO" w:eastAsia="es-CO"/>
          </w:rPr>
          <w:tab/>
        </w:r>
        <w:r w:rsidR="00171A99" w:rsidRPr="00242C43">
          <w:rPr>
            <w:rStyle w:val="Hipervnculo"/>
            <w:b w:val="0"/>
            <w:szCs w:val="24"/>
          </w:rPr>
          <w:t>APROBACIÓN</w:t>
        </w:r>
        <w:r w:rsidR="00171A99" w:rsidRPr="00242C43">
          <w:rPr>
            <w:b w:val="0"/>
            <w:webHidden/>
            <w:szCs w:val="24"/>
          </w:rPr>
          <w:tab/>
        </w:r>
        <w:r w:rsidR="00171A99" w:rsidRPr="00242C43">
          <w:rPr>
            <w:b w:val="0"/>
            <w:webHidden/>
            <w:szCs w:val="24"/>
          </w:rPr>
          <w:fldChar w:fldCharType="begin"/>
        </w:r>
        <w:r w:rsidR="00171A99" w:rsidRPr="00242C43">
          <w:rPr>
            <w:b w:val="0"/>
            <w:webHidden/>
            <w:szCs w:val="24"/>
          </w:rPr>
          <w:instrText xml:space="preserve"> PAGEREF _Toc4596458 \h </w:instrText>
        </w:r>
        <w:r w:rsidR="00171A99" w:rsidRPr="00242C43">
          <w:rPr>
            <w:b w:val="0"/>
            <w:webHidden/>
            <w:szCs w:val="24"/>
          </w:rPr>
        </w:r>
        <w:r w:rsidR="00171A99" w:rsidRPr="00242C43">
          <w:rPr>
            <w:b w:val="0"/>
            <w:webHidden/>
            <w:szCs w:val="24"/>
          </w:rPr>
          <w:fldChar w:fldCharType="separate"/>
        </w:r>
        <w:r w:rsidR="00171A99" w:rsidRPr="00242C43">
          <w:rPr>
            <w:b w:val="0"/>
            <w:webHidden/>
            <w:szCs w:val="24"/>
          </w:rPr>
          <w:t>30</w:t>
        </w:r>
        <w:r w:rsidR="00171A99" w:rsidRPr="00242C43">
          <w:rPr>
            <w:b w:val="0"/>
            <w:webHidden/>
            <w:szCs w:val="24"/>
          </w:rPr>
          <w:fldChar w:fldCharType="end"/>
        </w:r>
      </w:hyperlink>
    </w:p>
    <w:p w:rsidR="0094407F" w:rsidRPr="00171A99" w:rsidRDefault="00954628">
      <w:pPr>
        <w:rPr>
          <w:rFonts w:ascii="Arial Narrow" w:hAnsi="Arial Narrow"/>
          <w:sz w:val="24"/>
          <w:szCs w:val="24"/>
        </w:rPr>
      </w:pPr>
      <w:r w:rsidRPr="00171A99">
        <w:rPr>
          <w:rFonts w:ascii="Arial Narrow" w:hAnsi="Arial Narrow" w:cs="Arial"/>
          <w:b/>
          <w:noProof/>
          <w:sz w:val="24"/>
          <w:szCs w:val="24"/>
          <w:lang w:val="es-MX" w:eastAsia="en-US"/>
        </w:rPr>
        <w:fldChar w:fldCharType="end"/>
      </w:r>
    </w:p>
    <w:p w:rsidR="00CC12BC" w:rsidRPr="00DA65AA" w:rsidRDefault="00CC12BC" w:rsidP="00CB26AD">
      <w:pPr>
        <w:jc w:val="both"/>
        <w:rPr>
          <w:rFonts w:ascii="Arial Narrow" w:hAnsi="Arial Narrow" w:cs="Arial"/>
          <w:sz w:val="24"/>
          <w:szCs w:val="24"/>
        </w:rPr>
      </w:pPr>
      <w:bookmarkStart w:id="2" w:name="_GoBack"/>
      <w:bookmarkEnd w:id="2"/>
    </w:p>
    <w:p w:rsidR="00EE6F03" w:rsidRDefault="00EE6F03" w:rsidP="00CB26AD">
      <w:pPr>
        <w:jc w:val="both"/>
        <w:rPr>
          <w:rFonts w:ascii="Arial Narrow" w:hAnsi="Arial Narrow" w:cs="Arial"/>
          <w:sz w:val="24"/>
          <w:szCs w:val="24"/>
        </w:rPr>
      </w:pPr>
    </w:p>
    <w:p w:rsidR="00171A99" w:rsidRDefault="00171A99" w:rsidP="00CB26AD">
      <w:pPr>
        <w:jc w:val="both"/>
        <w:rPr>
          <w:rFonts w:ascii="Arial Narrow" w:hAnsi="Arial Narrow" w:cs="Arial"/>
          <w:sz w:val="24"/>
          <w:szCs w:val="24"/>
        </w:rPr>
      </w:pPr>
    </w:p>
    <w:p w:rsidR="00171A99" w:rsidRDefault="00171A99" w:rsidP="00CB26AD">
      <w:pPr>
        <w:jc w:val="both"/>
        <w:rPr>
          <w:rFonts w:ascii="Arial Narrow" w:hAnsi="Arial Narrow" w:cs="Arial"/>
          <w:sz w:val="24"/>
          <w:szCs w:val="24"/>
        </w:rPr>
      </w:pPr>
    </w:p>
    <w:p w:rsidR="00171A99" w:rsidRDefault="00171A99" w:rsidP="00CB26AD">
      <w:pPr>
        <w:jc w:val="both"/>
        <w:rPr>
          <w:rFonts w:ascii="Arial Narrow" w:hAnsi="Arial Narrow" w:cs="Arial"/>
          <w:sz w:val="24"/>
          <w:szCs w:val="24"/>
        </w:rPr>
      </w:pPr>
    </w:p>
    <w:p w:rsidR="00171A99" w:rsidRDefault="00171A99" w:rsidP="00CB26AD">
      <w:pPr>
        <w:jc w:val="both"/>
        <w:rPr>
          <w:rFonts w:ascii="Arial Narrow" w:hAnsi="Arial Narrow" w:cs="Arial"/>
          <w:sz w:val="24"/>
          <w:szCs w:val="24"/>
        </w:rPr>
      </w:pPr>
    </w:p>
    <w:p w:rsidR="00171A99" w:rsidRDefault="00171A99" w:rsidP="00CB26AD">
      <w:pPr>
        <w:jc w:val="both"/>
        <w:rPr>
          <w:rFonts w:ascii="Arial Narrow" w:hAnsi="Arial Narrow" w:cs="Arial"/>
          <w:sz w:val="24"/>
          <w:szCs w:val="24"/>
        </w:rPr>
      </w:pPr>
    </w:p>
    <w:p w:rsidR="00171A99" w:rsidRDefault="00171A99" w:rsidP="00CB26AD">
      <w:pPr>
        <w:jc w:val="both"/>
        <w:rPr>
          <w:rFonts w:ascii="Arial Narrow" w:hAnsi="Arial Narrow" w:cs="Arial"/>
          <w:sz w:val="24"/>
          <w:szCs w:val="24"/>
        </w:rPr>
      </w:pPr>
    </w:p>
    <w:p w:rsidR="00171A99" w:rsidRDefault="00171A99" w:rsidP="00CB26AD">
      <w:pPr>
        <w:jc w:val="both"/>
        <w:rPr>
          <w:rFonts w:ascii="Arial Narrow" w:hAnsi="Arial Narrow" w:cs="Arial"/>
          <w:sz w:val="24"/>
          <w:szCs w:val="24"/>
        </w:rPr>
      </w:pPr>
    </w:p>
    <w:p w:rsidR="00171A99" w:rsidRDefault="00171A99">
      <w:pPr>
        <w:rPr>
          <w:rFonts w:ascii="Arial Narrow" w:hAnsi="Arial Narrow" w:cs="Arial"/>
          <w:sz w:val="24"/>
          <w:szCs w:val="24"/>
        </w:rPr>
      </w:pPr>
      <w:r>
        <w:rPr>
          <w:rFonts w:ascii="Arial Narrow" w:hAnsi="Arial Narrow" w:cs="Arial"/>
          <w:sz w:val="24"/>
          <w:szCs w:val="24"/>
        </w:rPr>
        <w:br w:type="page"/>
      </w:r>
    </w:p>
    <w:p w:rsidR="00386147" w:rsidRPr="00DA65AA" w:rsidRDefault="00E00CE9" w:rsidP="00C408EF">
      <w:pPr>
        <w:pStyle w:val="Ttulo1"/>
        <w:numPr>
          <w:ilvl w:val="0"/>
          <w:numId w:val="1"/>
        </w:numPr>
        <w:rPr>
          <w:rFonts w:ascii="Arial Narrow" w:hAnsi="Arial Narrow"/>
        </w:rPr>
      </w:pPr>
      <w:r w:rsidRPr="00DA65AA">
        <w:rPr>
          <w:rFonts w:ascii="Arial Narrow" w:hAnsi="Arial Narrow"/>
          <w:sz w:val="24"/>
          <w:szCs w:val="24"/>
        </w:rPr>
        <w:lastRenderedPageBreak/>
        <w:t xml:space="preserve"> </w:t>
      </w:r>
      <w:bookmarkStart w:id="3" w:name="_Toc4596408"/>
      <w:bookmarkStart w:id="4" w:name="_Toc181004292"/>
      <w:r w:rsidR="00A23D16" w:rsidRPr="00DA65AA">
        <w:rPr>
          <w:rFonts w:ascii="Arial Narrow" w:hAnsi="Arial Narrow"/>
          <w:sz w:val="24"/>
          <w:szCs w:val="24"/>
        </w:rPr>
        <w:t>INTRODUCCIÓN</w:t>
      </w:r>
      <w:bookmarkEnd w:id="3"/>
      <w:r w:rsidR="00CB26AD" w:rsidRPr="00DA65AA">
        <w:rPr>
          <w:rFonts w:ascii="Arial Narrow" w:hAnsi="Arial Narrow"/>
          <w:sz w:val="24"/>
          <w:szCs w:val="24"/>
        </w:rPr>
        <w:t xml:space="preserve"> </w:t>
      </w:r>
    </w:p>
    <w:p w:rsidR="00FE52EC" w:rsidRPr="00DA65AA" w:rsidRDefault="00FE52EC" w:rsidP="00CB26AD">
      <w:pPr>
        <w:jc w:val="both"/>
        <w:rPr>
          <w:rFonts w:ascii="Arial Narrow" w:hAnsi="Arial Narrow" w:cs="Arial"/>
          <w:b/>
          <w:sz w:val="24"/>
          <w:szCs w:val="24"/>
        </w:rPr>
      </w:pPr>
    </w:p>
    <w:p w:rsidR="009F41A3" w:rsidRPr="00DA65AA" w:rsidRDefault="009F41A3" w:rsidP="009F41A3">
      <w:pPr>
        <w:jc w:val="both"/>
        <w:rPr>
          <w:rFonts w:ascii="Arial Narrow" w:hAnsi="Arial Narrow" w:cs="Arial"/>
          <w:sz w:val="24"/>
        </w:rPr>
      </w:pPr>
      <w:r w:rsidRPr="00DA65AA">
        <w:rPr>
          <w:rFonts w:ascii="Arial Narrow" w:hAnsi="Arial Narrow" w:cs="Arial"/>
          <w:sz w:val="24"/>
        </w:rPr>
        <w:t xml:space="preserve">El Ministerio de Hacienda y Crédito Público (MHCP), a través de la Subdirección de Tesorería de la Dirección General de Crédito Público y Tesoro Nacional (DGCPTN), está encargado de la administración de los excedentes de liquidez de la Nación y de aquellos recursos cuya administración le sea jurídicamente asignada o delegada, siguiendo los criterios de eficiencia y prudencia. </w:t>
      </w:r>
    </w:p>
    <w:p w:rsidR="009F41A3" w:rsidRPr="00DA65AA" w:rsidRDefault="009F41A3" w:rsidP="009F41A3">
      <w:pPr>
        <w:jc w:val="both"/>
        <w:rPr>
          <w:rFonts w:ascii="Arial Narrow" w:hAnsi="Arial Narrow" w:cs="Arial"/>
          <w:sz w:val="24"/>
        </w:rPr>
      </w:pPr>
    </w:p>
    <w:p w:rsidR="009F41A3" w:rsidRPr="00DA65AA" w:rsidRDefault="009F41A3" w:rsidP="009F41A3">
      <w:pPr>
        <w:jc w:val="both"/>
        <w:rPr>
          <w:rFonts w:ascii="Arial Narrow" w:hAnsi="Arial Narrow" w:cs="Arial"/>
          <w:sz w:val="24"/>
        </w:rPr>
      </w:pPr>
      <w:r w:rsidRPr="00DA65AA">
        <w:rPr>
          <w:rFonts w:ascii="Arial Narrow" w:hAnsi="Arial Narrow" w:cs="Arial"/>
          <w:sz w:val="24"/>
        </w:rPr>
        <w:t>El presente Manual pretende definir una adecuada administración de recurs</w:t>
      </w:r>
      <w:r w:rsidR="00DA65AA">
        <w:rPr>
          <w:rFonts w:ascii="Arial Narrow" w:hAnsi="Arial Narrow" w:cs="Arial"/>
          <w:sz w:val="24"/>
        </w:rPr>
        <w:t>o</w:t>
      </w:r>
      <w:r w:rsidRPr="00DA65AA">
        <w:rPr>
          <w:rFonts w:ascii="Arial Narrow" w:hAnsi="Arial Narrow" w:cs="Arial"/>
          <w:sz w:val="24"/>
        </w:rPr>
        <w:t>s que permita garantizar la estabilidad del valor de los mismos en el tiempo, de igual forma se busca que la composición de las inversiones corresponda con los objetivos de política gubernamental en materia monetaria, fiscal y cambiaria. De acuerdo con esto, para el MHCP es necesario establecer políticas y directrices en materia de administración de portafolio y de gestión de riesgo, que apunten a mitigar los riesgos inherentes a la actividad financiera en el mercado de valores.</w:t>
      </w:r>
    </w:p>
    <w:p w:rsidR="009F41A3" w:rsidRPr="00DA65AA" w:rsidRDefault="009F41A3" w:rsidP="009F41A3">
      <w:pPr>
        <w:jc w:val="both"/>
        <w:rPr>
          <w:rFonts w:ascii="Arial Narrow" w:hAnsi="Arial Narrow" w:cs="Arial"/>
          <w:sz w:val="24"/>
        </w:rPr>
      </w:pPr>
    </w:p>
    <w:p w:rsidR="00C93704" w:rsidRPr="00DA65AA" w:rsidRDefault="009F41A3" w:rsidP="009F41A3">
      <w:pPr>
        <w:jc w:val="both"/>
        <w:rPr>
          <w:rFonts w:ascii="Arial Narrow" w:hAnsi="Arial Narrow" w:cs="Arial"/>
          <w:sz w:val="24"/>
        </w:rPr>
      </w:pPr>
      <w:r w:rsidRPr="00DA65AA">
        <w:rPr>
          <w:rFonts w:ascii="Arial Narrow" w:hAnsi="Arial Narrow" w:cs="Arial"/>
          <w:sz w:val="24"/>
        </w:rPr>
        <w:t>Uno de los principales factores de riesgo en la actividad financiera lo constituye el riesgo de mercado, definido como la posibilidad de incurrir en pérdidas asociadas a la disminución del valor de los portafolios o recursos de terceros, por efecto de cambios en el precio de los instrumentos financieros en los que se mantienen posiciones. Atendiendo a esto, la Subdirección de Riesgo de la DGCPTN elaboró el presente Manual de Políticas de Administración de Riesgo de Mercado, que establece el conjunto de políticas, procedimientos, metodologías de medición y mecanismos de seguimiento y de control que deben seguir todos los procesos involucrados en la administración de los portafolios que involucren los excedentes de liquidez de la Nación.</w:t>
      </w:r>
    </w:p>
    <w:p w:rsidR="00CB26AD" w:rsidRPr="00DA65AA" w:rsidRDefault="00CB26AD" w:rsidP="00CB26AD">
      <w:pPr>
        <w:jc w:val="both"/>
        <w:rPr>
          <w:rFonts w:ascii="Arial Narrow" w:hAnsi="Arial Narrow" w:cs="Arial"/>
          <w:sz w:val="24"/>
          <w:szCs w:val="24"/>
          <w:lang w:val="es-CO"/>
        </w:rPr>
      </w:pPr>
    </w:p>
    <w:p w:rsidR="00FE52EC" w:rsidRPr="00DA65AA" w:rsidRDefault="00087A0A" w:rsidP="00C408EF">
      <w:pPr>
        <w:pStyle w:val="Ttulo1"/>
        <w:numPr>
          <w:ilvl w:val="0"/>
          <w:numId w:val="1"/>
        </w:numPr>
        <w:rPr>
          <w:rFonts w:ascii="Arial Narrow" w:hAnsi="Arial Narrow"/>
          <w:sz w:val="24"/>
          <w:szCs w:val="24"/>
        </w:rPr>
      </w:pPr>
      <w:bookmarkStart w:id="5" w:name="_Toc479249100"/>
      <w:bookmarkStart w:id="6" w:name="_Toc4596409"/>
      <w:bookmarkEnd w:id="0"/>
      <w:bookmarkEnd w:id="1"/>
      <w:bookmarkEnd w:id="4"/>
      <w:r w:rsidRPr="00DA65AA">
        <w:rPr>
          <w:rFonts w:ascii="Arial Narrow" w:hAnsi="Arial Narrow"/>
          <w:sz w:val="24"/>
          <w:szCs w:val="24"/>
        </w:rPr>
        <w:t xml:space="preserve">Objetivos y Principios Rectores de la Administración de Riesgo de Mercado de los Recursos Administrados por </w:t>
      </w:r>
      <w:bookmarkEnd w:id="5"/>
      <w:r w:rsidRPr="00DA65AA">
        <w:rPr>
          <w:rFonts w:ascii="Arial Narrow" w:hAnsi="Arial Narrow"/>
          <w:sz w:val="24"/>
          <w:szCs w:val="24"/>
        </w:rPr>
        <w:t>la DGCPTN</w:t>
      </w:r>
      <w:bookmarkEnd w:id="6"/>
    </w:p>
    <w:p w:rsidR="00FE52EC" w:rsidRPr="00DA65AA" w:rsidRDefault="00FE52EC" w:rsidP="00CB26AD">
      <w:pPr>
        <w:ind w:left="360"/>
        <w:jc w:val="both"/>
        <w:rPr>
          <w:rFonts w:ascii="Arial Narrow" w:hAnsi="Arial Narrow" w:cs="Arial"/>
          <w:b/>
          <w:sz w:val="24"/>
          <w:szCs w:val="24"/>
        </w:rPr>
      </w:pPr>
    </w:p>
    <w:p w:rsidR="00087A0A" w:rsidRPr="00DA65AA" w:rsidRDefault="00087A0A" w:rsidP="0014258C">
      <w:pPr>
        <w:pStyle w:val="Ttulo2"/>
      </w:pPr>
      <w:bookmarkStart w:id="7" w:name="_Toc4596410"/>
      <w:r w:rsidRPr="00DA65AA">
        <w:t>Objetivo General</w:t>
      </w:r>
      <w:bookmarkEnd w:id="7"/>
    </w:p>
    <w:p w:rsidR="00087A0A" w:rsidRPr="00DA65AA" w:rsidRDefault="00087A0A" w:rsidP="009F41A3">
      <w:pPr>
        <w:pStyle w:val="Prrafodelista"/>
        <w:ind w:left="0"/>
        <w:jc w:val="both"/>
        <w:rPr>
          <w:rFonts w:ascii="Arial Narrow" w:hAnsi="Arial Narrow" w:cs="Arial"/>
          <w:sz w:val="24"/>
          <w:szCs w:val="24"/>
        </w:rPr>
      </w:pPr>
    </w:p>
    <w:p w:rsidR="00CC12BC" w:rsidRPr="00DA65AA" w:rsidRDefault="009F41A3" w:rsidP="009F41A3">
      <w:pPr>
        <w:pStyle w:val="Prrafodelista"/>
        <w:ind w:left="0"/>
        <w:jc w:val="both"/>
        <w:rPr>
          <w:rFonts w:ascii="Arial Narrow" w:hAnsi="Arial Narrow" w:cs="Arial"/>
          <w:sz w:val="24"/>
          <w:szCs w:val="24"/>
        </w:rPr>
      </w:pPr>
      <w:r w:rsidRPr="00DA65AA">
        <w:rPr>
          <w:rFonts w:ascii="Arial Narrow" w:hAnsi="Arial Narrow" w:cs="Arial"/>
          <w:sz w:val="24"/>
          <w:szCs w:val="24"/>
        </w:rPr>
        <w:t xml:space="preserve">Administrar el riesgo de mercado de la DGCPTN, </w:t>
      </w:r>
      <w:r w:rsidR="00F312B9" w:rsidRPr="00DA65AA">
        <w:rPr>
          <w:rFonts w:ascii="Arial Narrow" w:hAnsi="Arial Narrow" w:cs="Arial"/>
          <w:sz w:val="24"/>
          <w:szCs w:val="24"/>
        </w:rPr>
        <w:t xml:space="preserve">por medio de </w:t>
      </w:r>
      <w:r w:rsidRPr="00DA65AA">
        <w:rPr>
          <w:rFonts w:ascii="Arial Narrow" w:hAnsi="Arial Narrow" w:cs="Arial"/>
          <w:sz w:val="24"/>
          <w:szCs w:val="24"/>
        </w:rPr>
        <w:t xml:space="preserve">la identificación, la medición, el control y el monitoreo de los </w:t>
      </w:r>
      <w:r w:rsidR="00F312B9" w:rsidRPr="00DA65AA">
        <w:rPr>
          <w:rFonts w:ascii="Arial Narrow" w:hAnsi="Arial Narrow" w:cs="Arial"/>
          <w:sz w:val="24"/>
          <w:szCs w:val="24"/>
        </w:rPr>
        <w:t>riesgos</w:t>
      </w:r>
      <w:r w:rsidRPr="00DA65AA">
        <w:rPr>
          <w:rFonts w:ascii="Arial Narrow" w:hAnsi="Arial Narrow" w:cs="Arial"/>
          <w:sz w:val="24"/>
          <w:szCs w:val="24"/>
        </w:rPr>
        <w:t xml:space="preserve"> a los que se encuentran expuestos los recursos administrados por</w:t>
      </w:r>
      <w:r w:rsidR="00F312B9" w:rsidRPr="00DA65AA">
        <w:rPr>
          <w:rFonts w:ascii="Arial Narrow" w:hAnsi="Arial Narrow" w:cs="Arial"/>
          <w:sz w:val="24"/>
          <w:szCs w:val="24"/>
        </w:rPr>
        <w:t xml:space="preserve"> </w:t>
      </w:r>
      <w:r w:rsidRPr="00DA65AA">
        <w:rPr>
          <w:rFonts w:ascii="Arial Narrow" w:hAnsi="Arial Narrow" w:cs="Arial"/>
          <w:sz w:val="24"/>
          <w:szCs w:val="24"/>
        </w:rPr>
        <w:t>la Tesorería de la Nación.</w:t>
      </w:r>
    </w:p>
    <w:p w:rsidR="009F41A3" w:rsidRPr="00DA65AA" w:rsidRDefault="009F41A3" w:rsidP="009F41A3">
      <w:pPr>
        <w:pStyle w:val="Prrafodelista"/>
        <w:ind w:left="0"/>
        <w:jc w:val="both"/>
        <w:rPr>
          <w:rFonts w:ascii="Arial Narrow" w:hAnsi="Arial Narrow" w:cs="Arial"/>
          <w:sz w:val="24"/>
          <w:szCs w:val="24"/>
        </w:rPr>
      </w:pPr>
    </w:p>
    <w:p w:rsidR="00CC12BC" w:rsidRPr="00DA65AA" w:rsidRDefault="00CC12BC" w:rsidP="0014258C">
      <w:pPr>
        <w:pStyle w:val="Ttulo2"/>
      </w:pPr>
      <w:bookmarkStart w:id="8" w:name="_Toc4596411"/>
      <w:r w:rsidRPr="00DA65AA">
        <w:t>Objetivos Específicos</w:t>
      </w:r>
      <w:bookmarkEnd w:id="8"/>
      <w:r w:rsidRPr="00DA65AA">
        <w:t xml:space="preserve"> </w:t>
      </w:r>
    </w:p>
    <w:p w:rsidR="00CC12BC" w:rsidRPr="00DA65AA" w:rsidRDefault="00CC12BC" w:rsidP="00CC12BC">
      <w:pPr>
        <w:rPr>
          <w:rFonts w:ascii="Arial Narrow" w:hAnsi="Arial Narrow"/>
        </w:rPr>
      </w:pPr>
    </w:p>
    <w:p w:rsidR="007B32F3" w:rsidRPr="00DA65AA" w:rsidRDefault="007B32F3" w:rsidP="007B32F3">
      <w:pPr>
        <w:jc w:val="both"/>
        <w:rPr>
          <w:rFonts w:ascii="Arial Narrow" w:hAnsi="Arial Narrow" w:cs="Arial"/>
          <w:sz w:val="24"/>
          <w:szCs w:val="24"/>
        </w:rPr>
      </w:pPr>
      <w:r w:rsidRPr="00DA65AA">
        <w:rPr>
          <w:rFonts w:ascii="Arial Narrow" w:hAnsi="Arial Narrow" w:cs="Arial"/>
          <w:sz w:val="24"/>
          <w:szCs w:val="24"/>
        </w:rPr>
        <w:t>Se presentan a continuación los objetivos específicos que permiten a la DGCPTN lograr la adecuada Administración del Riesgo de Mercado:</w:t>
      </w:r>
    </w:p>
    <w:p w:rsidR="007B32F3" w:rsidRPr="00DA65AA" w:rsidRDefault="007B32F3" w:rsidP="007B32F3">
      <w:pPr>
        <w:jc w:val="both"/>
        <w:rPr>
          <w:rFonts w:ascii="Arial Narrow" w:hAnsi="Arial Narrow" w:cs="Arial"/>
          <w:sz w:val="24"/>
          <w:szCs w:val="24"/>
        </w:rPr>
      </w:pPr>
    </w:p>
    <w:p w:rsidR="007B32F3" w:rsidRPr="00DA65AA" w:rsidRDefault="007B32F3" w:rsidP="00C408EF">
      <w:pPr>
        <w:numPr>
          <w:ilvl w:val="0"/>
          <w:numId w:val="2"/>
        </w:numPr>
        <w:jc w:val="both"/>
        <w:rPr>
          <w:rFonts w:ascii="Arial Narrow" w:hAnsi="Arial Narrow" w:cs="Arial"/>
          <w:sz w:val="24"/>
          <w:szCs w:val="24"/>
        </w:rPr>
      </w:pPr>
      <w:r w:rsidRPr="00DA65AA">
        <w:rPr>
          <w:rFonts w:ascii="Arial Narrow" w:hAnsi="Arial Narrow" w:cs="Arial"/>
          <w:sz w:val="24"/>
          <w:szCs w:val="24"/>
        </w:rPr>
        <w:t>Definir políticas claras y específicas para el adecuado funcionamiento de la Administración del Riesgo de Mercado, acorde con la normatividad que le aplica a la DGCPTN;</w:t>
      </w:r>
    </w:p>
    <w:p w:rsidR="007B32F3" w:rsidRPr="00DA65AA" w:rsidRDefault="007B32F3" w:rsidP="00C408EF">
      <w:pPr>
        <w:numPr>
          <w:ilvl w:val="0"/>
          <w:numId w:val="2"/>
        </w:numPr>
        <w:jc w:val="both"/>
        <w:rPr>
          <w:rFonts w:ascii="Arial Narrow" w:hAnsi="Arial Narrow" w:cs="Arial"/>
          <w:sz w:val="24"/>
          <w:szCs w:val="24"/>
        </w:rPr>
      </w:pPr>
      <w:r w:rsidRPr="00DA65AA">
        <w:rPr>
          <w:rFonts w:ascii="Arial Narrow" w:hAnsi="Arial Narrow" w:cs="Arial"/>
          <w:sz w:val="24"/>
          <w:szCs w:val="24"/>
        </w:rPr>
        <w:t>Determinar límites apropiados que mitiguen el riesgo de mercado asociado a la gestión del portafolio;</w:t>
      </w:r>
    </w:p>
    <w:p w:rsidR="007B32F3" w:rsidRPr="00DA65AA" w:rsidRDefault="007B32F3" w:rsidP="00C408EF">
      <w:pPr>
        <w:numPr>
          <w:ilvl w:val="0"/>
          <w:numId w:val="2"/>
        </w:numPr>
        <w:jc w:val="both"/>
        <w:rPr>
          <w:rFonts w:ascii="Arial Narrow" w:hAnsi="Arial Narrow" w:cs="Arial"/>
          <w:sz w:val="24"/>
          <w:szCs w:val="24"/>
        </w:rPr>
      </w:pPr>
      <w:r w:rsidRPr="00DA65AA">
        <w:rPr>
          <w:rFonts w:ascii="Arial Narrow" w:hAnsi="Arial Narrow" w:cs="Arial"/>
          <w:sz w:val="24"/>
          <w:szCs w:val="24"/>
        </w:rPr>
        <w:t>Cuantificar la exposición al riesgo;</w:t>
      </w:r>
    </w:p>
    <w:p w:rsidR="007B32F3" w:rsidRPr="00DA65AA" w:rsidRDefault="007B32F3" w:rsidP="00C408EF">
      <w:pPr>
        <w:numPr>
          <w:ilvl w:val="0"/>
          <w:numId w:val="2"/>
        </w:numPr>
        <w:jc w:val="both"/>
        <w:rPr>
          <w:rFonts w:ascii="Arial Narrow" w:hAnsi="Arial Narrow" w:cs="Arial"/>
          <w:sz w:val="24"/>
          <w:szCs w:val="24"/>
        </w:rPr>
      </w:pPr>
      <w:r w:rsidRPr="00DA65AA">
        <w:rPr>
          <w:rFonts w:ascii="Arial Narrow" w:hAnsi="Arial Narrow" w:cs="Arial"/>
          <w:sz w:val="24"/>
          <w:szCs w:val="24"/>
        </w:rPr>
        <w:t>Realizar el adecuado monitoreo del riesgo;</w:t>
      </w:r>
    </w:p>
    <w:p w:rsidR="00087A0A" w:rsidRDefault="007B32F3" w:rsidP="00087A0A">
      <w:pPr>
        <w:numPr>
          <w:ilvl w:val="0"/>
          <w:numId w:val="2"/>
        </w:numPr>
        <w:jc w:val="both"/>
        <w:rPr>
          <w:rFonts w:ascii="Arial Narrow" w:hAnsi="Arial Narrow" w:cs="Arial"/>
          <w:sz w:val="24"/>
          <w:szCs w:val="24"/>
        </w:rPr>
      </w:pPr>
      <w:r w:rsidRPr="00DA65AA">
        <w:rPr>
          <w:rFonts w:ascii="Arial Narrow" w:hAnsi="Arial Narrow" w:cs="Arial"/>
          <w:sz w:val="24"/>
          <w:szCs w:val="24"/>
        </w:rPr>
        <w:lastRenderedPageBreak/>
        <w:t>Asegurar que las áreas involucradas acaten las políticas, los principios y los límites establecidos en el presente Manual.</w:t>
      </w:r>
    </w:p>
    <w:p w:rsidR="00242C43" w:rsidRPr="00171A99" w:rsidRDefault="00242C43" w:rsidP="00242C43">
      <w:pPr>
        <w:ind w:left="720"/>
        <w:jc w:val="both"/>
        <w:rPr>
          <w:rFonts w:ascii="Arial Narrow" w:hAnsi="Arial Narrow" w:cs="Arial"/>
          <w:sz w:val="24"/>
          <w:szCs w:val="24"/>
        </w:rPr>
      </w:pPr>
    </w:p>
    <w:p w:rsidR="00087A0A" w:rsidRPr="00DA65AA" w:rsidRDefault="00087A0A" w:rsidP="0014258C">
      <w:pPr>
        <w:pStyle w:val="Ttulo2"/>
      </w:pPr>
      <w:bookmarkStart w:id="9" w:name="_Toc4596412"/>
      <w:r w:rsidRPr="00DA65AA">
        <w:t>Principios Rectores</w:t>
      </w:r>
      <w:bookmarkEnd w:id="9"/>
    </w:p>
    <w:p w:rsidR="00087A0A" w:rsidRPr="00DA65AA" w:rsidRDefault="00087A0A" w:rsidP="00087A0A">
      <w:pPr>
        <w:rPr>
          <w:rFonts w:ascii="Arial Narrow" w:hAnsi="Arial Narrow"/>
          <w:lang w:val="es-CO"/>
        </w:rPr>
      </w:pPr>
    </w:p>
    <w:p w:rsidR="00087A0A" w:rsidRPr="00DA65AA" w:rsidRDefault="00087A0A" w:rsidP="00087A0A">
      <w:pPr>
        <w:jc w:val="both"/>
        <w:rPr>
          <w:rFonts w:ascii="Arial Narrow" w:hAnsi="Arial Narrow"/>
          <w:sz w:val="24"/>
          <w:szCs w:val="24"/>
          <w:lang w:val="es-CO"/>
        </w:rPr>
      </w:pPr>
      <w:r w:rsidRPr="00DA65AA">
        <w:rPr>
          <w:rFonts w:ascii="Arial Narrow" w:hAnsi="Arial Narrow"/>
          <w:sz w:val="24"/>
          <w:szCs w:val="24"/>
          <w:lang w:val="es-CO"/>
        </w:rPr>
        <w:t>Para la adecuada administración del riesgo de mercado, se deben aplicar los siguientes principios que permiten la gestión eficiente de los recursos administrados por el Tesoro Nacional.</w:t>
      </w:r>
    </w:p>
    <w:p w:rsidR="00087A0A" w:rsidRPr="00DA65AA" w:rsidRDefault="00087A0A" w:rsidP="00087A0A">
      <w:pPr>
        <w:jc w:val="both"/>
        <w:rPr>
          <w:rFonts w:ascii="Arial Narrow" w:hAnsi="Arial Narrow"/>
          <w:sz w:val="24"/>
          <w:szCs w:val="24"/>
          <w:lang w:val="es-CO"/>
        </w:rPr>
      </w:pPr>
    </w:p>
    <w:p w:rsidR="00087A0A" w:rsidRPr="00DA65AA" w:rsidRDefault="00087A0A" w:rsidP="00087A0A">
      <w:pPr>
        <w:jc w:val="both"/>
        <w:rPr>
          <w:rFonts w:ascii="Arial Narrow" w:hAnsi="Arial Narrow"/>
          <w:sz w:val="24"/>
          <w:szCs w:val="24"/>
          <w:lang w:val="es-CO"/>
        </w:rPr>
      </w:pPr>
      <w:r w:rsidRPr="00DA65AA">
        <w:rPr>
          <w:rFonts w:ascii="Arial Narrow" w:hAnsi="Arial Narrow"/>
          <w:b/>
          <w:sz w:val="24"/>
          <w:szCs w:val="24"/>
          <w:u w:val="single"/>
          <w:lang w:val="es-CO"/>
        </w:rPr>
        <w:t>Principio de Liquidez:</w:t>
      </w:r>
      <w:r w:rsidR="00DA65AA">
        <w:rPr>
          <w:rFonts w:ascii="Arial Narrow" w:hAnsi="Arial Narrow"/>
          <w:sz w:val="24"/>
          <w:szCs w:val="24"/>
          <w:lang w:val="es-CO"/>
        </w:rPr>
        <w:t xml:space="preserve"> L</w:t>
      </w:r>
      <w:r w:rsidRPr="00DA65AA">
        <w:rPr>
          <w:rFonts w:ascii="Arial Narrow" w:hAnsi="Arial Narrow"/>
          <w:sz w:val="24"/>
          <w:szCs w:val="24"/>
          <w:lang w:val="es-CO"/>
        </w:rPr>
        <w:t>a DGCPTN debe velar porque las inversiones que realice puedan ser fácilmente liquidadas a precios de mercado, con el fin de dar cumplimiento a los compromisos de la Nación y a los flujos o necesidades de liquidez de los portafolios administrados.</w:t>
      </w:r>
    </w:p>
    <w:p w:rsidR="00087A0A" w:rsidRPr="00DA65AA" w:rsidRDefault="00087A0A" w:rsidP="00087A0A">
      <w:pPr>
        <w:jc w:val="both"/>
        <w:rPr>
          <w:rFonts w:ascii="Arial Narrow" w:hAnsi="Arial Narrow"/>
          <w:sz w:val="24"/>
          <w:szCs w:val="24"/>
          <w:lang w:val="es-CO"/>
        </w:rPr>
      </w:pPr>
    </w:p>
    <w:p w:rsidR="00087A0A" w:rsidRPr="00DA65AA" w:rsidRDefault="00087A0A" w:rsidP="00087A0A">
      <w:pPr>
        <w:jc w:val="both"/>
        <w:rPr>
          <w:rFonts w:ascii="Arial Narrow" w:hAnsi="Arial Narrow"/>
          <w:sz w:val="24"/>
          <w:szCs w:val="24"/>
          <w:lang w:val="es-CO"/>
        </w:rPr>
      </w:pPr>
      <w:r w:rsidRPr="00DA65AA">
        <w:rPr>
          <w:rFonts w:ascii="Arial Narrow" w:hAnsi="Arial Narrow"/>
          <w:b/>
          <w:sz w:val="24"/>
          <w:szCs w:val="24"/>
          <w:u w:val="single"/>
          <w:lang w:val="es-CO"/>
        </w:rPr>
        <w:t>Principio de Independencia:</w:t>
      </w:r>
      <w:r w:rsidR="00DA65AA">
        <w:rPr>
          <w:rFonts w:ascii="Arial Narrow" w:hAnsi="Arial Narrow"/>
          <w:sz w:val="24"/>
          <w:szCs w:val="24"/>
          <w:lang w:val="es-CO"/>
        </w:rPr>
        <w:t xml:space="preserve"> S</w:t>
      </w:r>
      <w:r w:rsidRPr="00DA65AA">
        <w:rPr>
          <w:rFonts w:ascii="Arial Narrow" w:hAnsi="Arial Narrow"/>
          <w:sz w:val="24"/>
          <w:szCs w:val="24"/>
          <w:lang w:val="es-CO"/>
        </w:rPr>
        <w:t xml:space="preserve">e definen las responsabilidades que las áreas de </w:t>
      </w:r>
      <w:r w:rsidRPr="00DA65AA">
        <w:rPr>
          <w:rFonts w:ascii="Arial Narrow" w:hAnsi="Arial Narrow"/>
          <w:i/>
          <w:sz w:val="24"/>
          <w:szCs w:val="24"/>
          <w:lang w:val="es-CO"/>
        </w:rPr>
        <w:t>Front, Middle y Back</w:t>
      </w:r>
      <w:r w:rsidRPr="00DA65AA">
        <w:rPr>
          <w:rFonts w:ascii="Arial Narrow" w:hAnsi="Arial Narrow"/>
          <w:sz w:val="24"/>
          <w:szCs w:val="24"/>
          <w:lang w:val="es-CO"/>
        </w:rPr>
        <w:t xml:space="preserve"> Office deben realizar para mantener independencia tanto funcional como organizacional, de la siguiente manera:</w:t>
      </w:r>
    </w:p>
    <w:p w:rsidR="00087A0A" w:rsidRPr="00DA65AA" w:rsidRDefault="00087A0A" w:rsidP="00087A0A">
      <w:pPr>
        <w:jc w:val="both"/>
        <w:rPr>
          <w:rFonts w:ascii="Arial Narrow" w:hAnsi="Arial Narrow"/>
          <w:sz w:val="24"/>
          <w:szCs w:val="24"/>
          <w:lang w:val="es-CO"/>
        </w:rPr>
      </w:pPr>
    </w:p>
    <w:p w:rsidR="00087A0A" w:rsidRPr="00DA65AA" w:rsidRDefault="00087A0A" w:rsidP="00C408EF">
      <w:pPr>
        <w:numPr>
          <w:ilvl w:val="0"/>
          <w:numId w:val="3"/>
        </w:numPr>
        <w:jc w:val="both"/>
        <w:rPr>
          <w:rFonts w:ascii="Arial Narrow" w:hAnsi="Arial Narrow"/>
          <w:sz w:val="24"/>
          <w:szCs w:val="24"/>
          <w:lang w:val="es-CO"/>
        </w:rPr>
      </w:pPr>
      <w:r w:rsidRPr="00DA65AA">
        <w:rPr>
          <w:rFonts w:ascii="Arial Narrow" w:hAnsi="Arial Narrow"/>
          <w:i/>
          <w:sz w:val="24"/>
          <w:szCs w:val="24"/>
          <w:lang w:val="es-CO"/>
        </w:rPr>
        <w:t>Front Office</w:t>
      </w:r>
      <w:r w:rsidRPr="00DA65AA">
        <w:rPr>
          <w:rFonts w:ascii="Arial Narrow" w:hAnsi="Arial Narrow"/>
          <w:sz w:val="24"/>
          <w:szCs w:val="24"/>
          <w:lang w:val="es-CO"/>
        </w:rPr>
        <w:t>: Área donde se realiza la colocación directa o a través de intermediarios especializados de los excedentes de liquidez y de los portafolios administrados. Las funciones de administración de los recursos son desarrolladas por la Subdirección de Tesorería de la DGCPTN.</w:t>
      </w:r>
    </w:p>
    <w:p w:rsidR="00087A0A" w:rsidRPr="00DA65AA" w:rsidRDefault="00087A0A" w:rsidP="00087A0A">
      <w:pPr>
        <w:jc w:val="both"/>
        <w:rPr>
          <w:rFonts w:ascii="Arial Narrow" w:hAnsi="Arial Narrow"/>
          <w:sz w:val="24"/>
          <w:szCs w:val="24"/>
          <w:lang w:val="es-CO"/>
        </w:rPr>
      </w:pPr>
    </w:p>
    <w:p w:rsidR="00087A0A" w:rsidRPr="00DA65AA" w:rsidRDefault="00087A0A" w:rsidP="00C408EF">
      <w:pPr>
        <w:numPr>
          <w:ilvl w:val="0"/>
          <w:numId w:val="3"/>
        </w:numPr>
        <w:jc w:val="both"/>
        <w:rPr>
          <w:rFonts w:ascii="Arial Narrow" w:hAnsi="Arial Narrow"/>
          <w:sz w:val="24"/>
          <w:szCs w:val="24"/>
          <w:lang w:val="es-CO"/>
        </w:rPr>
      </w:pPr>
      <w:r w:rsidRPr="00DA65AA">
        <w:rPr>
          <w:rFonts w:ascii="Arial Narrow" w:hAnsi="Arial Narrow"/>
          <w:i/>
          <w:sz w:val="24"/>
          <w:szCs w:val="24"/>
          <w:lang w:val="es-CO"/>
        </w:rPr>
        <w:t>Middle Office</w:t>
      </w:r>
      <w:r w:rsidRPr="00DA65AA">
        <w:rPr>
          <w:rFonts w:ascii="Arial Narrow" w:hAnsi="Arial Narrow"/>
          <w:sz w:val="24"/>
          <w:szCs w:val="24"/>
          <w:lang w:val="es-CO"/>
        </w:rPr>
        <w:t>: Área encargada del control y monitoreo, así como de definir las directrices, políticas y estrategias de riesgo, relacionadas con las operaciones de Tesorería. Dichas funciones son ejercidas por la Subdirección de Riesgo de la DGCPTN.</w:t>
      </w:r>
    </w:p>
    <w:p w:rsidR="00087A0A" w:rsidRPr="00DA65AA" w:rsidRDefault="00087A0A" w:rsidP="00087A0A">
      <w:pPr>
        <w:jc w:val="both"/>
        <w:rPr>
          <w:rFonts w:ascii="Arial Narrow" w:hAnsi="Arial Narrow"/>
          <w:sz w:val="24"/>
          <w:szCs w:val="24"/>
          <w:lang w:val="es-CO"/>
        </w:rPr>
      </w:pPr>
    </w:p>
    <w:p w:rsidR="00087A0A" w:rsidRPr="00DA65AA" w:rsidRDefault="00087A0A" w:rsidP="00C408EF">
      <w:pPr>
        <w:numPr>
          <w:ilvl w:val="0"/>
          <w:numId w:val="3"/>
        </w:numPr>
        <w:jc w:val="both"/>
        <w:rPr>
          <w:rFonts w:ascii="Arial Narrow" w:hAnsi="Arial Narrow"/>
          <w:sz w:val="24"/>
          <w:szCs w:val="24"/>
          <w:lang w:val="es-CO"/>
        </w:rPr>
      </w:pPr>
      <w:r w:rsidRPr="00DA65AA">
        <w:rPr>
          <w:rFonts w:ascii="Arial Narrow" w:hAnsi="Arial Narrow"/>
          <w:i/>
          <w:sz w:val="24"/>
          <w:szCs w:val="24"/>
          <w:lang w:val="es-CO"/>
        </w:rPr>
        <w:t>Back Office</w:t>
      </w:r>
      <w:r w:rsidRPr="00DA65AA">
        <w:rPr>
          <w:rFonts w:ascii="Arial Narrow" w:hAnsi="Arial Narrow"/>
          <w:sz w:val="24"/>
          <w:szCs w:val="24"/>
          <w:lang w:val="es-CO"/>
        </w:rPr>
        <w:t>: Área encargada del procesamiento y ejecución de las operaciones de Tesorería, en cuanto al control y ejecución de los pagos y el debido registro y cumplimiento de todas las operaciones de la Dirección, así como de su debido cierre y registro contable. Dichas funciones son ejercidas por la Subdirección de Operaciones de la DGCPTN.</w:t>
      </w:r>
    </w:p>
    <w:p w:rsidR="00087A0A" w:rsidRPr="00DA65AA" w:rsidRDefault="00087A0A" w:rsidP="00087A0A">
      <w:pPr>
        <w:jc w:val="both"/>
        <w:rPr>
          <w:rFonts w:ascii="Arial Narrow" w:hAnsi="Arial Narrow"/>
          <w:sz w:val="24"/>
          <w:szCs w:val="24"/>
          <w:lang w:val="es-CO"/>
        </w:rPr>
      </w:pPr>
    </w:p>
    <w:p w:rsidR="00087A0A" w:rsidRPr="00DA65AA" w:rsidRDefault="00087A0A" w:rsidP="00087A0A">
      <w:pPr>
        <w:jc w:val="both"/>
        <w:rPr>
          <w:rFonts w:ascii="Arial Narrow" w:hAnsi="Arial Narrow"/>
          <w:sz w:val="24"/>
          <w:szCs w:val="24"/>
          <w:lang w:val="es-CO"/>
        </w:rPr>
      </w:pPr>
      <w:r w:rsidRPr="00DA65AA">
        <w:rPr>
          <w:rFonts w:ascii="Arial Narrow" w:hAnsi="Arial Narrow"/>
          <w:b/>
          <w:sz w:val="24"/>
          <w:szCs w:val="24"/>
          <w:u w:val="single"/>
          <w:lang w:val="es-CO"/>
        </w:rPr>
        <w:t>Principio de Seguridad:</w:t>
      </w:r>
      <w:r w:rsidRPr="00DA65AA">
        <w:rPr>
          <w:rFonts w:ascii="Arial Narrow" w:hAnsi="Arial Narrow"/>
          <w:sz w:val="24"/>
          <w:szCs w:val="24"/>
          <w:lang w:val="es-CO"/>
        </w:rPr>
        <w:t xml:space="preserve"> Las contrapartes e inversiones que realice la DGCPTN deberán estar respaldadas por los mejores perfiles crediticios, que garanticen el cumplimiento de los compromisos adquiridos con recursos públicos.</w:t>
      </w:r>
    </w:p>
    <w:p w:rsidR="00087A0A" w:rsidRPr="00DA65AA" w:rsidRDefault="00087A0A" w:rsidP="00087A0A">
      <w:pPr>
        <w:jc w:val="both"/>
        <w:rPr>
          <w:rFonts w:ascii="Arial Narrow" w:hAnsi="Arial Narrow"/>
          <w:sz w:val="24"/>
          <w:szCs w:val="24"/>
          <w:lang w:val="es-CO"/>
        </w:rPr>
      </w:pPr>
    </w:p>
    <w:p w:rsidR="00087A0A" w:rsidRPr="00DA65AA" w:rsidRDefault="00087A0A" w:rsidP="00087A0A">
      <w:pPr>
        <w:jc w:val="both"/>
        <w:rPr>
          <w:rFonts w:ascii="Arial Narrow" w:hAnsi="Arial Narrow"/>
          <w:sz w:val="24"/>
          <w:szCs w:val="24"/>
          <w:lang w:val="es-CO"/>
        </w:rPr>
      </w:pPr>
      <w:r w:rsidRPr="00DA65AA">
        <w:rPr>
          <w:rFonts w:ascii="Arial Narrow" w:hAnsi="Arial Narrow"/>
          <w:b/>
          <w:sz w:val="24"/>
          <w:szCs w:val="24"/>
          <w:u w:val="single"/>
          <w:lang w:val="es-CO"/>
        </w:rPr>
        <w:t>Principio de Transparencia:</w:t>
      </w:r>
      <w:r w:rsidRPr="00DA65AA">
        <w:rPr>
          <w:rFonts w:ascii="Arial Narrow" w:hAnsi="Arial Narrow"/>
          <w:sz w:val="24"/>
          <w:szCs w:val="24"/>
          <w:lang w:val="es-CO"/>
        </w:rPr>
        <w:t xml:space="preserve"> Las áreas de </w:t>
      </w:r>
      <w:r w:rsidRPr="00DA65AA">
        <w:rPr>
          <w:rFonts w:ascii="Arial Narrow" w:hAnsi="Arial Narrow"/>
          <w:i/>
          <w:sz w:val="24"/>
          <w:szCs w:val="24"/>
          <w:lang w:val="es-CO"/>
        </w:rPr>
        <w:t>Front, Middle</w:t>
      </w:r>
      <w:r w:rsidRPr="00DA65AA">
        <w:rPr>
          <w:rFonts w:ascii="Arial Narrow" w:hAnsi="Arial Narrow"/>
          <w:sz w:val="24"/>
          <w:szCs w:val="24"/>
          <w:lang w:val="es-CO"/>
        </w:rPr>
        <w:t xml:space="preserve"> y </w:t>
      </w:r>
      <w:r w:rsidRPr="00DA65AA">
        <w:rPr>
          <w:rFonts w:ascii="Arial Narrow" w:hAnsi="Arial Narrow"/>
          <w:i/>
          <w:sz w:val="24"/>
          <w:szCs w:val="24"/>
          <w:lang w:val="es-CO"/>
        </w:rPr>
        <w:t>Back Office</w:t>
      </w:r>
      <w:r w:rsidRPr="00DA65AA">
        <w:rPr>
          <w:rFonts w:ascii="Arial Narrow" w:hAnsi="Arial Narrow"/>
          <w:sz w:val="24"/>
          <w:szCs w:val="24"/>
          <w:lang w:val="es-CO"/>
        </w:rPr>
        <w:t xml:space="preserve"> deben acatar las políticas y procedimientos contemplados en el presente Manual, así como las directrices impartidas por el Director General de Crédito Público y Tesoro Nacional y por el Ministro de Hacienda y Crédito Público. Así mismo, los informes de seguimiento del área de riesgos deben ser conocidos por el Director General de Crédito Público y Tesoro Nacional y por el Comité de Tesorería.</w:t>
      </w:r>
    </w:p>
    <w:p w:rsidR="00087A0A" w:rsidRPr="00DA65AA" w:rsidRDefault="00087A0A" w:rsidP="00087A0A">
      <w:pPr>
        <w:jc w:val="both"/>
        <w:rPr>
          <w:rFonts w:ascii="Arial Narrow" w:hAnsi="Arial Narrow"/>
          <w:sz w:val="24"/>
          <w:szCs w:val="24"/>
          <w:lang w:val="es-CO"/>
        </w:rPr>
      </w:pPr>
    </w:p>
    <w:p w:rsidR="00087A0A" w:rsidRPr="00DA65AA" w:rsidRDefault="00087A0A" w:rsidP="00087A0A">
      <w:pPr>
        <w:jc w:val="both"/>
        <w:rPr>
          <w:rFonts w:ascii="Arial Narrow" w:hAnsi="Arial Narrow"/>
          <w:sz w:val="24"/>
          <w:szCs w:val="24"/>
          <w:lang w:val="es-CO"/>
        </w:rPr>
      </w:pPr>
      <w:r w:rsidRPr="00DA65AA">
        <w:rPr>
          <w:rFonts w:ascii="Arial Narrow" w:hAnsi="Arial Narrow"/>
          <w:b/>
          <w:sz w:val="24"/>
          <w:szCs w:val="24"/>
          <w:u w:val="single"/>
          <w:lang w:val="es-CO"/>
        </w:rPr>
        <w:t>Principio de Rentabilidad:</w:t>
      </w:r>
      <w:r w:rsidRPr="00DA65AA">
        <w:rPr>
          <w:rFonts w:ascii="Arial Narrow" w:hAnsi="Arial Narrow"/>
          <w:sz w:val="24"/>
          <w:szCs w:val="24"/>
          <w:lang w:val="es-CO"/>
        </w:rPr>
        <w:t xml:space="preserve"> Las inversiones que realice la DGCPTN deberán generar una rentabilidad acorde con el perfil de riesgo del emisor, el plazo, el tipo de instrumento o el mercado seleccionado. </w:t>
      </w:r>
    </w:p>
    <w:p w:rsidR="00087A0A" w:rsidRPr="00DA65AA" w:rsidRDefault="00087A0A" w:rsidP="00087A0A">
      <w:pPr>
        <w:jc w:val="both"/>
        <w:rPr>
          <w:rFonts w:ascii="Arial Narrow" w:hAnsi="Arial Narrow"/>
          <w:sz w:val="24"/>
          <w:szCs w:val="24"/>
          <w:lang w:val="es-CO"/>
        </w:rPr>
      </w:pPr>
    </w:p>
    <w:p w:rsidR="00087A0A" w:rsidRPr="00DA65AA" w:rsidRDefault="00087A0A" w:rsidP="00087A0A">
      <w:pPr>
        <w:jc w:val="both"/>
        <w:rPr>
          <w:rFonts w:ascii="Arial Narrow" w:hAnsi="Arial Narrow"/>
          <w:sz w:val="24"/>
          <w:szCs w:val="24"/>
          <w:lang w:val="es-CO"/>
        </w:rPr>
      </w:pPr>
      <w:r w:rsidRPr="00DA65AA">
        <w:rPr>
          <w:rFonts w:ascii="Arial Narrow" w:hAnsi="Arial Narrow"/>
          <w:b/>
          <w:sz w:val="24"/>
          <w:szCs w:val="24"/>
          <w:u w:val="single"/>
          <w:lang w:val="es-CO"/>
        </w:rPr>
        <w:lastRenderedPageBreak/>
        <w:t>Principio de Diligencia:</w:t>
      </w:r>
      <w:r w:rsidRPr="00DA65AA">
        <w:rPr>
          <w:rFonts w:ascii="Arial Narrow" w:hAnsi="Arial Narrow"/>
          <w:sz w:val="24"/>
          <w:szCs w:val="24"/>
          <w:lang w:val="es-CO"/>
        </w:rPr>
        <w:t xml:space="preserve"> Todos los recursos deberán ser invertidos en condiciones que aseguren que el riesgo de mercado sea gestionable y que se encuentre dentro de los parámetros de la política establecida.</w:t>
      </w:r>
    </w:p>
    <w:p w:rsidR="00087A0A" w:rsidRPr="00DA65AA" w:rsidRDefault="00087A0A" w:rsidP="00087A0A">
      <w:pPr>
        <w:jc w:val="both"/>
        <w:rPr>
          <w:rFonts w:ascii="Arial Narrow" w:hAnsi="Arial Narrow"/>
          <w:sz w:val="24"/>
          <w:szCs w:val="24"/>
          <w:lang w:val="es-CO"/>
        </w:rPr>
      </w:pPr>
    </w:p>
    <w:p w:rsidR="00087A0A" w:rsidRPr="00DA65AA" w:rsidRDefault="00087A0A" w:rsidP="00087A0A">
      <w:pPr>
        <w:jc w:val="both"/>
        <w:rPr>
          <w:rFonts w:ascii="Arial Narrow" w:hAnsi="Arial Narrow"/>
          <w:sz w:val="24"/>
          <w:szCs w:val="24"/>
          <w:lang w:val="es-CO"/>
        </w:rPr>
      </w:pPr>
      <w:r w:rsidRPr="00DA65AA">
        <w:rPr>
          <w:rFonts w:ascii="Arial Narrow" w:hAnsi="Arial Narrow"/>
          <w:b/>
          <w:sz w:val="24"/>
          <w:szCs w:val="24"/>
          <w:u w:val="single"/>
          <w:lang w:val="es-CO"/>
        </w:rPr>
        <w:t>Principio de Autocontrol:</w:t>
      </w:r>
      <w:r w:rsidRPr="00DA65AA">
        <w:rPr>
          <w:rFonts w:ascii="Arial Narrow" w:hAnsi="Arial Narrow"/>
          <w:sz w:val="24"/>
          <w:szCs w:val="24"/>
          <w:lang w:val="es-CO"/>
        </w:rPr>
        <w:t xml:space="preserve"> La DGCPTN debe promover la conciencia de dar cumplimiento estricto de la legislación relacionada e impulsar la adopción de la autodisciplina, la cual permite la elevación de estándares que conllevan a un mejoramiento continuo.</w:t>
      </w:r>
    </w:p>
    <w:p w:rsidR="0094407F" w:rsidRPr="00DA65AA" w:rsidRDefault="0094407F" w:rsidP="00CC12BC">
      <w:pPr>
        <w:jc w:val="both"/>
        <w:rPr>
          <w:rFonts w:ascii="Arial Narrow" w:hAnsi="Arial Narrow"/>
          <w:sz w:val="24"/>
        </w:rPr>
      </w:pPr>
    </w:p>
    <w:p w:rsidR="0078679A" w:rsidRPr="00DA65AA" w:rsidRDefault="0078679A" w:rsidP="00242C43">
      <w:pPr>
        <w:pStyle w:val="Ttulo1"/>
        <w:numPr>
          <w:ilvl w:val="0"/>
          <w:numId w:val="1"/>
        </w:numPr>
        <w:jc w:val="left"/>
        <w:rPr>
          <w:rFonts w:ascii="Arial Narrow" w:hAnsi="Arial Narrow"/>
          <w:sz w:val="24"/>
          <w:szCs w:val="24"/>
        </w:rPr>
      </w:pPr>
      <w:bookmarkStart w:id="10" w:name="_Toc4596413"/>
      <w:r w:rsidRPr="00DA65AA">
        <w:rPr>
          <w:rFonts w:ascii="Arial Narrow" w:hAnsi="Arial Narrow"/>
          <w:sz w:val="24"/>
          <w:szCs w:val="24"/>
        </w:rPr>
        <w:t>ALCANCE</w:t>
      </w:r>
      <w:bookmarkEnd w:id="10"/>
    </w:p>
    <w:p w:rsidR="00FE52EC" w:rsidRPr="00DA65AA" w:rsidRDefault="00FE52EC" w:rsidP="00CB26AD">
      <w:pPr>
        <w:jc w:val="both"/>
        <w:rPr>
          <w:rFonts w:ascii="Arial Narrow" w:hAnsi="Arial Narrow" w:cs="Arial"/>
          <w:b/>
          <w:sz w:val="24"/>
          <w:szCs w:val="24"/>
        </w:rPr>
      </w:pPr>
    </w:p>
    <w:p w:rsidR="00386147" w:rsidRPr="00DA65AA" w:rsidRDefault="00B65552" w:rsidP="00CC12BC">
      <w:pPr>
        <w:jc w:val="both"/>
        <w:rPr>
          <w:rFonts w:ascii="Arial Narrow" w:hAnsi="Arial Narrow" w:cs="Arial"/>
          <w:sz w:val="24"/>
          <w:szCs w:val="24"/>
        </w:rPr>
      </w:pPr>
      <w:r w:rsidRPr="00DA65AA">
        <w:rPr>
          <w:rFonts w:ascii="Arial Narrow" w:hAnsi="Arial Narrow" w:cs="Arial"/>
          <w:sz w:val="24"/>
          <w:szCs w:val="24"/>
        </w:rPr>
        <w:t xml:space="preserve">Desde la definición de políticas </w:t>
      </w:r>
      <w:r w:rsidR="00892F0B" w:rsidRPr="00DA65AA">
        <w:rPr>
          <w:rFonts w:ascii="Arial Narrow" w:hAnsi="Arial Narrow" w:cs="Arial"/>
          <w:sz w:val="24"/>
          <w:szCs w:val="24"/>
        </w:rPr>
        <w:t>a implementar a las operaciones de inversión de la Tesorería de la Nación</w:t>
      </w:r>
      <w:r w:rsidR="00C6353D" w:rsidRPr="00DA65AA">
        <w:rPr>
          <w:rFonts w:ascii="Arial Narrow" w:hAnsi="Arial Narrow" w:cs="Arial"/>
          <w:sz w:val="24"/>
          <w:szCs w:val="24"/>
        </w:rPr>
        <w:t>, hasta la definición de lineamientos de riesgo y los mecanismos de seguimiento a los controles establecidos en el presente manual para dichas operaciones.</w:t>
      </w:r>
    </w:p>
    <w:p w:rsidR="00B65552" w:rsidRPr="00DA65AA" w:rsidRDefault="00B65552" w:rsidP="00CC12BC">
      <w:pPr>
        <w:jc w:val="both"/>
        <w:rPr>
          <w:rFonts w:ascii="Arial Narrow" w:hAnsi="Arial Narrow" w:cs="Arial"/>
          <w:sz w:val="24"/>
          <w:szCs w:val="24"/>
        </w:rPr>
      </w:pPr>
    </w:p>
    <w:p w:rsidR="00CC12BC" w:rsidRPr="00DA65AA" w:rsidRDefault="00CC12BC" w:rsidP="00242C43">
      <w:pPr>
        <w:pStyle w:val="Ttulo1"/>
        <w:numPr>
          <w:ilvl w:val="0"/>
          <w:numId w:val="1"/>
        </w:numPr>
        <w:jc w:val="left"/>
        <w:rPr>
          <w:rFonts w:ascii="Arial Narrow" w:hAnsi="Arial Narrow"/>
          <w:sz w:val="24"/>
          <w:szCs w:val="24"/>
        </w:rPr>
      </w:pPr>
      <w:bookmarkStart w:id="11" w:name="_Toc4596414"/>
      <w:r w:rsidRPr="00DA65AA">
        <w:rPr>
          <w:rFonts w:ascii="Arial Narrow" w:hAnsi="Arial Narrow"/>
          <w:sz w:val="24"/>
          <w:szCs w:val="24"/>
        </w:rPr>
        <w:t>PRODUCTOS ESPERADOS</w:t>
      </w:r>
      <w:bookmarkEnd w:id="11"/>
      <w:r w:rsidRPr="00DA65AA">
        <w:rPr>
          <w:rFonts w:ascii="Arial Narrow" w:hAnsi="Arial Narrow"/>
          <w:sz w:val="24"/>
          <w:szCs w:val="24"/>
        </w:rPr>
        <w:t xml:space="preserve"> </w:t>
      </w:r>
    </w:p>
    <w:p w:rsidR="00CC12BC" w:rsidRPr="00DA65AA" w:rsidRDefault="00CC12BC" w:rsidP="00CC12BC">
      <w:pPr>
        <w:rPr>
          <w:rFonts w:ascii="Arial Narrow" w:hAnsi="Arial Narrow"/>
        </w:rPr>
      </w:pPr>
    </w:p>
    <w:p w:rsidR="00991636" w:rsidRPr="00DA65AA" w:rsidRDefault="00991636" w:rsidP="00991636">
      <w:pPr>
        <w:jc w:val="both"/>
        <w:rPr>
          <w:rFonts w:ascii="Arial Narrow" w:hAnsi="Arial Narrow"/>
          <w:sz w:val="24"/>
          <w:szCs w:val="24"/>
          <w:lang w:val="es-CO" w:eastAsia="en-US"/>
        </w:rPr>
      </w:pPr>
      <w:r w:rsidRPr="00DA65AA">
        <w:rPr>
          <w:rFonts w:ascii="Arial Narrow" w:hAnsi="Arial Narrow"/>
          <w:sz w:val="24"/>
          <w:szCs w:val="24"/>
        </w:rPr>
        <w:t xml:space="preserve">Con la aplicación adecuada de las políticas y directrices descritas en este documento, se espera obtener el siguiente producto: </w:t>
      </w:r>
    </w:p>
    <w:p w:rsidR="00991636" w:rsidRPr="00DA65AA" w:rsidRDefault="00991636" w:rsidP="00991636">
      <w:pPr>
        <w:rPr>
          <w:rFonts w:ascii="Arial Narrow" w:hAnsi="Arial Narrow"/>
        </w:rPr>
      </w:pPr>
    </w:p>
    <w:p w:rsidR="00991636" w:rsidRPr="00171A99" w:rsidRDefault="00991636" w:rsidP="00E50FFE">
      <w:pPr>
        <w:pStyle w:val="Prrafodelista"/>
        <w:numPr>
          <w:ilvl w:val="0"/>
          <w:numId w:val="29"/>
        </w:numPr>
        <w:jc w:val="both"/>
        <w:rPr>
          <w:rFonts w:ascii="Arial Narrow" w:hAnsi="Arial Narrow"/>
          <w:sz w:val="24"/>
          <w:szCs w:val="24"/>
        </w:rPr>
      </w:pPr>
      <w:r w:rsidRPr="00171A99">
        <w:rPr>
          <w:rFonts w:ascii="Arial Narrow" w:hAnsi="Arial Narrow"/>
          <w:sz w:val="24"/>
          <w:szCs w:val="24"/>
        </w:rPr>
        <w:t>Cumplimiento de las políticas de riesgo</w:t>
      </w:r>
      <w:r w:rsidR="009529B4" w:rsidRPr="00171A99">
        <w:rPr>
          <w:rFonts w:ascii="Arial Narrow" w:hAnsi="Arial Narrow"/>
          <w:sz w:val="24"/>
          <w:szCs w:val="24"/>
        </w:rPr>
        <w:t xml:space="preserve"> de mercado</w:t>
      </w:r>
      <w:r w:rsidRPr="00171A99">
        <w:rPr>
          <w:rFonts w:ascii="Arial Narrow" w:hAnsi="Arial Narrow"/>
          <w:sz w:val="24"/>
          <w:szCs w:val="24"/>
        </w:rPr>
        <w:t xml:space="preserve"> por parte de las áreas que interactúan en el proceso de </w:t>
      </w:r>
      <w:r w:rsidR="009529B4" w:rsidRPr="00171A99">
        <w:rPr>
          <w:rFonts w:ascii="Arial Narrow" w:hAnsi="Arial Narrow"/>
          <w:sz w:val="24"/>
          <w:szCs w:val="24"/>
        </w:rPr>
        <w:t xml:space="preserve">administración de los recursos </w:t>
      </w:r>
      <w:r w:rsidR="00A57890" w:rsidRPr="00171A99">
        <w:rPr>
          <w:rFonts w:ascii="Arial Narrow" w:hAnsi="Arial Narrow"/>
          <w:sz w:val="24"/>
          <w:szCs w:val="24"/>
        </w:rPr>
        <w:t xml:space="preserve">de </w:t>
      </w:r>
      <w:r w:rsidR="009529B4" w:rsidRPr="00171A99">
        <w:rPr>
          <w:rFonts w:ascii="Arial Narrow" w:hAnsi="Arial Narrow"/>
          <w:sz w:val="24"/>
          <w:szCs w:val="24"/>
        </w:rPr>
        <w:t>la Dirección General de Crédito Público y Tesoro Nacional.</w:t>
      </w:r>
    </w:p>
    <w:p w:rsidR="00386147" w:rsidRPr="00DA65AA" w:rsidRDefault="00386147" w:rsidP="00242C43">
      <w:pPr>
        <w:pStyle w:val="Ttulo1"/>
        <w:numPr>
          <w:ilvl w:val="0"/>
          <w:numId w:val="1"/>
        </w:numPr>
        <w:jc w:val="left"/>
        <w:rPr>
          <w:rFonts w:ascii="Arial Narrow" w:hAnsi="Arial Narrow"/>
          <w:sz w:val="24"/>
          <w:szCs w:val="24"/>
        </w:rPr>
      </w:pPr>
      <w:bookmarkStart w:id="12" w:name="_Toc4596415"/>
      <w:r w:rsidRPr="00DA65AA">
        <w:rPr>
          <w:rFonts w:ascii="Arial Narrow" w:hAnsi="Arial Narrow"/>
          <w:sz w:val="24"/>
          <w:szCs w:val="24"/>
        </w:rPr>
        <w:t>TÉRMINOS Y DEFINICIONES</w:t>
      </w:r>
      <w:bookmarkEnd w:id="12"/>
    </w:p>
    <w:p w:rsidR="00534C2C" w:rsidRPr="00DA65AA" w:rsidRDefault="00534C2C" w:rsidP="00534C2C">
      <w:pPr>
        <w:rPr>
          <w:rFonts w:ascii="Arial Narrow" w:hAnsi="Arial Narrow"/>
        </w:rPr>
      </w:pPr>
    </w:p>
    <w:p w:rsidR="00C93704" w:rsidRDefault="00C93704" w:rsidP="00242C43">
      <w:pPr>
        <w:pStyle w:val="Prrafodelista"/>
        <w:numPr>
          <w:ilvl w:val="0"/>
          <w:numId w:val="29"/>
        </w:numPr>
        <w:jc w:val="both"/>
        <w:rPr>
          <w:rFonts w:ascii="Arial Narrow" w:hAnsi="Arial Narrow" w:cs="Arial"/>
          <w:sz w:val="24"/>
          <w:szCs w:val="24"/>
        </w:rPr>
      </w:pPr>
      <w:r w:rsidRPr="00242C43">
        <w:rPr>
          <w:rFonts w:ascii="Arial Narrow" w:hAnsi="Arial Narrow" w:cs="Arial"/>
          <w:b/>
          <w:sz w:val="24"/>
          <w:szCs w:val="24"/>
        </w:rPr>
        <w:t>ASCR:</w:t>
      </w:r>
      <w:r w:rsidRPr="00242C43">
        <w:rPr>
          <w:rFonts w:ascii="Arial Narrow" w:hAnsi="Arial Narrow" w:cs="Arial"/>
          <w:sz w:val="24"/>
          <w:szCs w:val="24"/>
        </w:rPr>
        <w:t xml:space="preserve"> Rueda de simultáneas a través de la Cámara de Riesgo Central de Contraparte.</w:t>
      </w:r>
    </w:p>
    <w:p w:rsidR="00242C43" w:rsidRPr="00242C43" w:rsidRDefault="00242C43" w:rsidP="00242C43">
      <w:pPr>
        <w:pStyle w:val="Prrafodelista"/>
        <w:ind w:left="720"/>
        <w:jc w:val="both"/>
        <w:rPr>
          <w:rFonts w:ascii="Arial Narrow" w:hAnsi="Arial Narrow" w:cs="Arial"/>
          <w:sz w:val="24"/>
          <w:szCs w:val="24"/>
        </w:rPr>
      </w:pPr>
    </w:p>
    <w:p w:rsidR="00C93704" w:rsidRPr="00242C43" w:rsidRDefault="00C93704" w:rsidP="00242C43">
      <w:pPr>
        <w:pStyle w:val="Prrafodelista"/>
        <w:numPr>
          <w:ilvl w:val="0"/>
          <w:numId w:val="29"/>
        </w:numPr>
        <w:jc w:val="both"/>
        <w:rPr>
          <w:rFonts w:ascii="Arial Narrow" w:hAnsi="Arial Narrow" w:cs="Arial"/>
          <w:sz w:val="24"/>
          <w:szCs w:val="24"/>
        </w:rPr>
      </w:pPr>
      <w:r w:rsidRPr="00242C43">
        <w:rPr>
          <w:rFonts w:ascii="Arial Narrow" w:hAnsi="Arial Narrow" w:cs="Arial"/>
          <w:b/>
          <w:sz w:val="24"/>
          <w:szCs w:val="24"/>
        </w:rPr>
        <w:t>Master Trader:</w:t>
      </w:r>
      <w:r w:rsidRPr="00242C43">
        <w:rPr>
          <w:rFonts w:ascii="Arial Narrow" w:hAnsi="Arial Narrow" w:cs="Arial"/>
          <w:sz w:val="24"/>
          <w:szCs w:val="24"/>
        </w:rPr>
        <w:t xml:space="preserve"> Sistema transaccional de la Bolsa de Valores de Colombia.</w:t>
      </w:r>
    </w:p>
    <w:p w:rsidR="00242C43" w:rsidRPr="00242C43" w:rsidRDefault="00242C43" w:rsidP="00242C43">
      <w:pPr>
        <w:pStyle w:val="Prrafodelista"/>
        <w:ind w:left="720"/>
        <w:jc w:val="both"/>
        <w:rPr>
          <w:rFonts w:ascii="Arial Narrow" w:hAnsi="Arial Narrow" w:cs="Arial"/>
          <w:sz w:val="24"/>
          <w:szCs w:val="24"/>
        </w:rPr>
      </w:pPr>
    </w:p>
    <w:p w:rsidR="00C93704" w:rsidRPr="00242C43" w:rsidRDefault="00C93704" w:rsidP="00242C43">
      <w:pPr>
        <w:pStyle w:val="Prrafodelista"/>
        <w:numPr>
          <w:ilvl w:val="0"/>
          <w:numId w:val="29"/>
        </w:numPr>
        <w:jc w:val="both"/>
        <w:rPr>
          <w:rFonts w:ascii="Arial Narrow" w:hAnsi="Arial Narrow" w:cs="Arial"/>
          <w:sz w:val="24"/>
          <w:szCs w:val="24"/>
        </w:rPr>
      </w:pPr>
      <w:r w:rsidRPr="00242C43">
        <w:rPr>
          <w:rFonts w:ascii="Arial Narrow" w:hAnsi="Arial Narrow" w:cs="Arial"/>
          <w:b/>
          <w:sz w:val="24"/>
          <w:szCs w:val="24"/>
        </w:rPr>
        <w:t>Riesgo de Mercado:</w:t>
      </w:r>
      <w:r w:rsidRPr="00242C43">
        <w:rPr>
          <w:rFonts w:ascii="Arial Narrow" w:hAnsi="Arial Narrow" w:cs="Arial"/>
          <w:sz w:val="24"/>
          <w:szCs w:val="24"/>
        </w:rPr>
        <w:t xml:space="preserve"> Riesgo que existe a que se den pérdidas de valor de un activo asociado a la fluctuación de su precio en el mercado. O lo que es lo mismo, el riesgo de mercado es el riesgo a que el valor de un activo disminuya debido a las fluctuaciones en las condiciones del mercado como por ejemplo la variación del precio de los valores, del tipo de interés o del tipo de cambio, así como las fluctuaciones en los precios de las materias primas.</w:t>
      </w:r>
    </w:p>
    <w:p w:rsidR="00242C43" w:rsidRPr="00242C43" w:rsidRDefault="00242C43" w:rsidP="00242C43">
      <w:pPr>
        <w:pStyle w:val="Prrafodelista"/>
        <w:ind w:left="720"/>
        <w:jc w:val="both"/>
        <w:rPr>
          <w:rFonts w:ascii="Arial Narrow" w:hAnsi="Arial Narrow" w:cs="Arial"/>
          <w:sz w:val="24"/>
          <w:szCs w:val="24"/>
        </w:rPr>
      </w:pPr>
    </w:p>
    <w:p w:rsidR="00C93704" w:rsidRPr="00242C43" w:rsidRDefault="00C93704" w:rsidP="00242C43">
      <w:pPr>
        <w:pStyle w:val="Prrafodelista"/>
        <w:numPr>
          <w:ilvl w:val="0"/>
          <w:numId w:val="29"/>
        </w:numPr>
        <w:jc w:val="both"/>
        <w:rPr>
          <w:rFonts w:ascii="Arial Narrow" w:hAnsi="Arial Narrow" w:cs="Arial"/>
          <w:sz w:val="24"/>
          <w:szCs w:val="24"/>
        </w:rPr>
      </w:pPr>
      <w:r w:rsidRPr="00242C43">
        <w:rPr>
          <w:rFonts w:ascii="Arial Narrow" w:hAnsi="Arial Narrow" w:cs="Arial"/>
          <w:b/>
          <w:sz w:val="24"/>
          <w:szCs w:val="24"/>
        </w:rPr>
        <w:t>SEN:</w:t>
      </w:r>
      <w:r w:rsidRPr="00242C43">
        <w:rPr>
          <w:rFonts w:ascii="Arial Narrow" w:hAnsi="Arial Narrow" w:cs="Arial"/>
          <w:sz w:val="24"/>
          <w:szCs w:val="24"/>
        </w:rPr>
        <w:t xml:space="preserve"> Sistema electrónico de negociación del Banco de la República</w:t>
      </w:r>
    </w:p>
    <w:p w:rsidR="00242C43" w:rsidRPr="00242C43" w:rsidRDefault="00242C43" w:rsidP="00242C43">
      <w:pPr>
        <w:pStyle w:val="Prrafodelista"/>
        <w:ind w:left="720"/>
        <w:jc w:val="both"/>
        <w:rPr>
          <w:rFonts w:ascii="Arial Narrow" w:hAnsi="Arial Narrow" w:cs="Arial"/>
          <w:sz w:val="24"/>
          <w:szCs w:val="24"/>
        </w:rPr>
      </w:pPr>
    </w:p>
    <w:p w:rsidR="00C93704" w:rsidRPr="00242C43" w:rsidRDefault="00C93704" w:rsidP="00242C43">
      <w:pPr>
        <w:pStyle w:val="Prrafodelista"/>
        <w:numPr>
          <w:ilvl w:val="0"/>
          <w:numId w:val="29"/>
        </w:numPr>
        <w:jc w:val="both"/>
        <w:rPr>
          <w:rFonts w:ascii="Arial Narrow" w:hAnsi="Arial Narrow" w:cs="Arial"/>
          <w:sz w:val="24"/>
          <w:szCs w:val="24"/>
        </w:rPr>
      </w:pPr>
      <w:r w:rsidRPr="00242C43">
        <w:rPr>
          <w:rFonts w:ascii="Arial Narrow" w:hAnsi="Arial Narrow" w:cs="Arial"/>
          <w:b/>
          <w:sz w:val="24"/>
          <w:szCs w:val="24"/>
        </w:rPr>
        <w:t>SET-FX:</w:t>
      </w:r>
      <w:r w:rsidRPr="00242C43">
        <w:rPr>
          <w:rFonts w:ascii="Arial Narrow" w:hAnsi="Arial Narrow" w:cs="Arial"/>
          <w:sz w:val="24"/>
          <w:szCs w:val="24"/>
        </w:rPr>
        <w:t xml:space="preserve"> Sistema transaccional de divisas</w:t>
      </w:r>
    </w:p>
    <w:p w:rsidR="00242C43" w:rsidRPr="00242C43" w:rsidRDefault="00242C43" w:rsidP="00242C43">
      <w:pPr>
        <w:pStyle w:val="Prrafodelista"/>
        <w:ind w:left="720"/>
        <w:jc w:val="both"/>
        <w:rPr>
          <w:rFonts w:ascii="Arial Narrow" w:hAnsi="Arial Narrow"/>
        </w:rPr>
      </w:pPr>
    </w:p>
    <w:p w:rsidR="00386147" w:rsidRPr="00242C43" w:rsidRDefault="00C93704" w:rsidP="00242C43">
      <w:pPr>
        <w:pStyle w:val="Prrafodelista"/>
        <w:numPr>
          <w:ilvl w:val="0"/>
          <w:numId w:val="29"/>
        </w:numPr>
        <w:jc w:val="both"/>
        <w:rPr>
          <w:rFonts w:ascii="Arial Narrow" w:hAnsi="Arial Narrow"/>
        </w:rPr>
      </w:pPr>
      <w:r w:rsidRPr="00242C43">
        <w:rPr>
          <w:rFonts w:ascii="Arial Narrow" w:hAnsi="Arial Narrow" w:cs="Arial"/>
          <w:b/>
          <w:sz w:val="24"/>
          <w:szCs w:val="24"/>
        </w:rPr>
        <w:t>VaR:</w:t>
      </w:r>
      <w:r w:rsidRPr="00242C43">
        <w:rPr>
          <w:rFonts w:ascii="Arial Narrow" w:hAnsi="Arial Narrow" w:cs="Arial"/>
          <w:sz w:val="24"/>
          <w:szCs w:val="24"/>
        </w:rPr>
        <w:t xml:space="preserve"> Valor en Riesgo. Metodología de medición del riesgo de mercado.</w:t>
      </w:r>
    </w:p>
    <w:p w:rsidR="0094407F" w:rsidRDefault="0094407F" w:rsidP="00CC12BC">
      <w:pPr>
        <w:jc w:val="both"/>
        <w:rPr>
          <w:rFonts w:ascii="Arial Narrow" w:hAnsi="Arial Narrow" w:cs="Arial"/>
          <w:sz w:val="24"/>
          <w:szCs w:val="24"/>
        </w:rPr>
      </w:pPr>
    </w:p>
    <w:p w:rsidR="00242C43" w:rsidRDefault="00242C43" w:rsidP="00CC12BC">
      <w:pPr>
        <w:jc w:val="both"/>
        <w:rPr>
          <w:rFonts w:ascii="Arial Narrow" w:hAnsi="Arial Narrow" w:cs="Arial"/>
          <w:sz w:val="24"/>
          <w:szCs w:val="24"/>
        </w:rPr>
      </w:pPr>
    </w:p>
    <w:p w:rsidR="00242C43" w:rsidRDefault="00242C43" w:rsidP="00CC12BC">
      <w:pPr>
        <w:jc w:val="both"/>
        <w:rPr>
          <w:rFonts w:ascii="Arial Narrow" w:hAnsi="Arial Narrow" w:cs="Arial"/>
          <w:sz w:val="24"/>
          <w:szCs w:val="24"/>
        </w:rPr>
      </w:pPr>
    </w:p>
    <w:p w:rsidR="00242C43" w:rsidRPr="00DA65AA" w:rsidRDefault="00242C43" w:rsidP="00CC12BC">
      <w:pPr>
        <w:jc w:val="both"/>
        <w:rPr>
          <w:rFonts w:ascii="Arial Narrow" w:hAnsi="Arial Narrow" w:cs="Arial"/>
          <w:sz w:val="24"/>
          <w:szCs w:val="24"/>
        </w:rPr>
      </w:pPr>
    </w:p>
    <w:p w:rsidR="00064D60" w:rsidRPr="00DA65AA" w:rsidRDefault="00064D60" w:rsidP="00C408EF">
      <w:pPr>
        <w:pStyle w:val="Ttulo1"/>
        <w:numPr>
          <w:ilvl w:val="0"/>
          <w:numId w:val="1"/>
        </w:numPr>
        <w:rPr>
          <w:rFonts w:ascii="Arial Narrow" w:hAnsi="Arial Narrow"/>
          <w:sz w:val="24"/>
          <w:szCs w:val="24"/>
        </w:rPr>
      </w:pPr>
      <w:bookmarkStart w:id="13" w:name="_Toc4596416"/>
      <w:bookmarkStart w:id="14" w:name="_Toc126143692"/>
      <w:bookmarkStart w:id="15" w:name="_Toc126144694"/>
      <w:bookmarkStart w:id="16" w:name="_Toc126144876"/>
      <w:bookmarkStart w:id="17" w:name="_Toc126144946"/>
      <w:bookmarkStart w:id="18" w:name="_Toc126147376"/>
      <w:bookmarkStart w:id="19" w:name="_Toc126301042"/>
      <w:r w:rsidRPr="00DA65AA">
        <w:rPr>
          <w:rFonts w:ascii="Arial Narrow" w:hAnsi="Arial Narrow"/>
          <w:sz w:val="24"/>
          <w:szCs w:val="24"/>
        </w:rPr>
        <w:lastRenderedPageBreak/>
        <w:t>POLÍTICAS Y DIRECTRICES</w:t>
      </w:r>
      <w:r w:rsidR="003E1FF1" w:rsidRPr="00DA65AA">
        <w:rPr>
          <w:rFonts w:ascii="Arial Narrow" w:hAnsi="Arial Narrow"/>
          <w:sz w:val="24"/>
          <w:szCs w:val="24"/>
        </w:rPr>
        <w:t xml:space="preserve"> PARA LAS OPERACIONES DE LA DGCPTN</w:t>
      </w:r>
      <w:bookmarkEnd w:id="13"/>
    </w:p>
    <w:p w:rsidR="004A361C" w:rsidRPr="00DA65AA" w:rsidRDefault="004A361C" w:rsidP="00CB26AD">
      <w:pPr>
        <w:ind w:left="360"/>
        <w:jc w:val="both"/>
        <w:rPr>
          <w:rFonts w:ascii="Arial Narrow" w:hAnsi="Arial Narrow" w:cs="Arial"/>
          <w:b/>
          <w:sz w:val="24"/>
          <w:szCs w:val="24"/>
        </w:rPr>
      </w:pPr>
    </w:p>
    <w:p w:rsidR="008636B6" w:rsidRPr="00DA65AA" w:rsidRDefault="00EA3232" w:rsidP="0014258C">
      <w:pPr>
        <w:pStyle w:val="Ttulo2"/>
      </w:pPr>
      <w:bookmarkStart w:id="20" w:name="_Toc479249101"/>
      <w:bookmarkStart w:id="21" w:name="_Toc4596417"/>
      <w:r w:rsidRPr="00DA65AA">
        <w:t>Estructura Organizacional</w:t>
      </w:r>
      <w:bookmarkEnd w:id="20"/>
      <w:bookmarkEnd w:id="21"/>
    </w:p>
    <w:p w:rsidR="00EA3232" w:rsidRPr="00DA65AA" w:rsidRDefault="00EA3232" w:rsidP="00EA3232">
      <w:pPr>
        <w:rPr>
          <w:rFonts w:ascii="Arial Narrow" w:hAnsi="Arial Narrow"/>
          <w:lang w:val="es-CO"/>
        </w:rPr>
      </w:pPr>
    </w:p>
    <w:p w:rsidR="008636B6" w:rsidRDefault="00EA3232" w:rsidP="00171A99">
      <w:pPr>
        <w:jc w:val="both"/>
        <w:rPr>
          <w:rFonts w:ascii="Arial Narrow" w:hAnsi="Arial Narrow" w:cs="Arial"/>
          <w:sz w:val="24"/>
        </w:rPr>
      </w:pPr>
      <w:r w:rsidRPr="00DA65AA">
        <w:rPr>
          <w:rFonts w:ascii="Arial Narrow" w:hAnsi="Arial Narrow" w:cs="Arial"/>
          <w:sz w:val="24"/>
        </w:rPr>
        <w:t>Esta sección describe las funciones de los diferentes organismos involucrados en la gestión de los recursos a cargo de la DGCPTN. Se presenta la estructura organizacional, las líneas de autoridad y de control y las responsabilidades asociadas a cada uno de los organismos del MHCP involucrados en los procesos de direccionamiento, de gestión y/o de control de las actividades de la Tesorería. Se dedicará una sección del capítulo para enumerar las responsabilidades y funciones de cada uno de ellos dentro del Sistema de Administración de Riesgo de Mercado (SARM) diseñado para esta Tesorería.</w:t>
      </w:r>
    </w:p>
    <w:p w:rsidR="00171A99" w:rsidRDefault="00171A99" w:rsidP="00171A99">
      <w:pPr>
        <w:jc w:val="both"/>
        <w:rPr>
          <w:rFonts w:ascii="Arial Narrow" w:hAnsi="Arial Narrow" w:cs="Arial"/>
          <w:sz w:val="24"/>
        </w:rPr>
      </w:pPr>
    </w:p>
    <w:p w:rsidR="00171A99" w:rsidRPr="00DA65AA" w:rsidRDefault="00171A99" w:rsidP="00171A99">
      <w:pPr>
        <w:jc w:val="both"/>
        <w:rPr>
          <w:rFonts w:ascii="Arial Narrow" w:hAnsi="Arial Narrow"/>
        </w:rPr>
      </w:pPr>
    </w:p>
    <w:p w:rsidR="00EA3232" w:rsidRPr="00DA65AA" w:rsidRDefault="00EA3232" w:rsidP="00BC5018">
      <w:pPr>
        <w:pStyle w:val="Ttulo3"/>
      </w:pPr>
      <w:bookmarkStart w:id="22" w:name="_Toc4596418"/>
      <w:r w:rsidRPr="00DA65AA">
        <w:t>Identificación de los Organismos</w:t>
      </w:r>
      <w:bookmarkEnd w:id="22"/>
    </w:p>
    <w:p w:rsidR="00EA3232" w:rsidRPr="00DA65AA" w:rsidRDefault="00EA3232" w:rsidP="00EA3232">
      <w:pPr>
        <w:rPr>
          <w:rFonts w:ascii="Arial Narrow" w:hAnsi="Arial Narrow"/>
        </w:rPr>
      </w:pPr>
    </w:p>
    <w:p w:rsidR="00EA3232" w:rsidRPr="00DA65AA" w:rsidRDefault="00EA3232" w:rsidP="00C93704">
      <w:pPr>
        <w:jc w:val="both"/>
        <w:rPr>
          <w:rFonts w:ascii="Arial Narrow" w:hAnsi="Arial Narrow" w:cs="Arial"/>
        </w:rPr>
      </w:pPr>
      <w:r w:rsidRPr="00DA65AA">
        <w:rPr>
          <w:rFonts w:ascii="Arial Narrow" w:hAnsi="Arial Narrow" w:cs="Arial"/>
          <w:sz w:val="24"/>
        </w:rPr>
        <w:t xml:space="preserve">Los principales agentes u organismos identificados en el proceso de gestión de tesorería que adelanta la DGCPTN son: 1. Reunión de Administración de Riesgos, 2. El Director General de Crédito Público y Tesoro Nacional, 3. La Subdirección de Tesorería, 4. La Subdirección de Riesgo, y 5. La Subdirección de Operaciones. Cada uno de estos organismos tiene asignadas funciones análogas a las de </w:t>
      </w:r>
      <w:r w:rsidRPr="00DA65AA">
        <w:rPr>
          <w:rFonts w:ascii="Arial Narrow" w:hAnsi="Arial Narrow" w:cs="Arial"/>
          <w:i/>
          <w:sz w:val="24"/>
        </w:rPr>
        <w:t>Front, Middle</w:t>
      </w:r>
      <w:r w:rsidRPr="00DA65AA">
        <w:rPr>
          <w:rFonts w:ascii="Arial Narrow" w:hAnsi="Arial Narrow" w:cs="Arial"/>
          <w:sz w:val="24"/>
        </w:rPr>
        <w:t xml:space="preserve"> y </w:t>
      </w:r>
      <w:r w:rsidRPr="00DA65AA">
        <w:rPr>
          <w:rFonts w:ascii="Arial Narrow" w:hAnsi="Arial Narrow" w:cs="Arial"/>
          <w:i/>
          <w:sz w:val="24"/>
        </w:rPr>
        <w:t>Back Office</w:t>
      </w:r>
      <w:r w:rsidRPr="00DA65AA">
        <w:rPr>
          <w:rFonts w:ascii="Arial Narrow" w:hAnsi="Arial Narrow" w:cs="Arial"/>
          <w:sz w:val="24"/>
        </w:rPr>
        <w:t xml:space="preserve"> contempladas para la Tesorería. El siguiente esquema resume las relaciones de autoridad y control de estos organismos, con respecto a las actividades que se desarrollan en la Tesorería.</w:t>
      </w:r>
    </w:p>
    <w:p w:rsidR="00EA3232" w:rsidRPr="00DA65AA" w:rsidRDefault="00282A5C" w:rsidP="00EA3232">
      <w:pPr>
        <w:jc w:val="center"/>
        <w:rPr>
          <w:rFonts w:ascii="Arial Narrow" w:hAnsi="Arial Narrow" w:cs="Arial"/>
        </w:rPr>
      </w:pPr>
      <w:r w:rsidRPr="00DA65AA">
        <w:rPr>
          <w:rFonts w:ascii="Arial Narrow" w:hAnsi="Arial Narrow"/>
          <w:noProof/>
          <w:lang w:val="en-US" w:eastAsia="en-US"/>
        </w:rPr>
        <mc:AlternateContent>
          <mc:Choice Requires="wps">
            <w:drawing>
              <wp:anchor distT="0" distB="0" distL="114300" distR="114300" simplePos="0" relativeHeight="251664384" behindDoc="0" locked="0" layoutInCell="1" allowOverlap="1">
                <wp:simplePos x="0" y="0"/>
                <wp:positionH relativeFrom="column">
                  <wp:posOffset>3820795</wp:posOffset>
                </wp:positionH>
                <wp:positionV relativeFrom="paragraph">
                  <wp:posOffset>157480</wp:posOffset>
                </wp:positionV>
                <wp:extent cx="1390650" cy="503555"/>
                <wp:effectExtent l="0" t="0" r="0" b="0"/>
                <wp:wrapNone/>
                <wp:docPr id="54"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503555"/>
                        </a:xfrm>
                        <a:prstGeom prst="rect">
                          <a:avLst/>
                        </a:prstGeom>
                        <a:solidFill>
                          <a:srgbClr val="FFFFFF"/>
                        </a:solidFill>
                        <a:ln w="9525" cap="flat" cmpd="sng" algn="ctr">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54628" w:rsidRPr="009B3218" w:rsidRDefault="00954628" w:rsidP="00EA3232">
                            <w:pPr>
                              <w:jc w:val="center"/>
                              <w:rPr>
                                <w:rFonts w:ascii="Arial Narrow" w:hAnsi="Arial Narrow"/>
                                <w:sz w:val="24"/>
                                <w:szCs w:val="26"/>
                              </w:rPr>
                            </w:pPr>
                            <w:r w:rsidRPr="009B3218">
                              <w:rPr>
                                <w:rFonts w:ascii="Arial Narrow" w:hAnsi="Arial Narrow"/>
                                <w:sz w:val="24"/>
                                <w:szCs w:val="26"/>
                              </w:rPr>
                              <w:t>Reunión</w:t>
                            </w:r>
                            <w:r>
                              <w:rPr>
                                <w:rFonts w:ascii="Arial Narrow" w:hAnsi="Arial Narrow"/>
                                <w:sz w:val="24"/>
                                <w:szCs w:val="26"/>
                              </w:rPr>
                              <w:t xml:space="preserve"> Técnica</w:t>
                            </w:r>
                            <w:r w:rsidRPr="009B3218">
                              <w:rPr>
                                <w:rFonts w:ascii="Arial Narrow" w:hAnsi="Arial Narrow"/>
                                <w:sz w:val="24"/>
                                <w:szCs w:val="26"/>
                              </w:rPr>
                              <w:t xml:space="preserve"> de Admón. de Riesgos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2" o:spid="_x0000_s1026" type="#_x0000_t202" style="position:absolute;left:0;text-align:left;margin-left:300.85pt;margin-top:12.4pt;width:109.5pt;height:39.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">
                <v:textbox>
                  <w:txbxContent>
                    <w:p w:rsidR="00954628" w:rsidRPr="009B3218" w:rsidRDefault="00954628" w:rsidP="00EA3232">
                      <w:pPr>
                        <w:jc w:val="center"/>
                        <w:rPr>
                          <w:rFonts w:ascii="Arial Narrow" w:hAnsi="Arial Narrow"/>
                          <w:sz w:val="24"/>
                          <w:szCs w:val="26"/>
                        </w:rPr>
                      </w:pPr>
                      <w:r w:rsidRPr="009B3218">
                        <w:rPr>
                          <w:rFonts w:ascii="Arial Narrow" w:hAnsi="Arial Narrow"/>
                          <w:sz w:val="24"/>
                          <w:szCs w:val="26"/>
                        </w:rPr>
                        <w:t>Reunión</w:t>
                      </w:r>
                      <w:r>
                        <w:rPr>
                          <w:rFonts w:ascii="Arial Narrow" w:hAnsi="Arial Narrow"/>
                          <w:sz w:val="24"/>
                          <w:szCs w:val="26"/>
                        </w:rPr>
                        <w:t xml:space="preserve"> Técnica</w:t>
                      </w:r>
                      <w:r w:rsidRPr="009B3218">
                        <w:rPr>
                          <w:rFonts w:ascii="Arial Narrow" w:hAnsi="Arial Narrow"/>
                          <w:sz w:val="24"/>
                          <w:szCs w:val="26"/>
                        </w:rPr>
                        <w:t xml:space="preserve"> de Admón. de Riesgos</w:t>
                      </w:r>
                    </w:p>
                  </w:txbxContent>
                </v:textbox>
              </v:shape>
            </w:pict>
          </mc:Fallback>
        </mc:AlternateContent>
      </w:r>
      <w:r w:rsidRPr="00DA65AA">
        <w:rPr>
          <w:rFonts w:ascii="Arial Narrow" w:hAnsi="Arial Narrow"/>
          <w:noProof/>
          <w:lang w:val="en-US" w:eastAsia="en-US"/>
        </w:rPr>
        <mc:AlternateContent>
          <mc:Choice Requires="wps">
            <w:drawing>
              <wp:anchor distT="0" distB="0" distL="114300" distR="114300" simplePos="0" relativeHeight="251666432" behindDoc="0" locked="0" layoutInCell="1" allowOverlap="1">
                <wp:simplePos x="0" y="0"/>
                <wp:positionH relativeFrom="column">
                  <wp:posOffset>1535430</wp:posOffset>
                </wp:positionH>
                <wp:positionV relativeFrom="paragraph">
                  <wp:posOffset>146050</wp:posOffset>
                </wp:positionV>
                <wp:extent cx="1984375" cy="516890"/>
                <wp:effectExtent l="0" t="0" r="15875" b="16510"/>
                <wp:wrapNone/>
                <wp:docPr id="53"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4375" cy="516890"/>
                        </a:xfrm>
                        <a:prstGeom prst="rect">
                          <a:avLst/>
                        </a:prstGeom>
                        <a:solidFill>
                          <a:srgbClr val="FFFFFF"/>
                        </a:solidFill>
                        <a:ln w="9525">
                          <a:solidFill>
                            <a:srgbClr val="000000"/>
                          </a:solidFill>
                          <a:miter lim="800000"/>
                          <a:headEnd/>
                          <a:tailEnd/>
                        </a:ln>
                      </wps:spPr>
                      <wps:txbx>
                        <w:txbxContent>
                          <w:p w:rsidR="00954628" w:rsidRPr="009B3218" w:rsidRDefault="00954628" w:rsidP="00EA3232">
                            <w:pPr>
                              <w:jc w:val="center"/>
                              <w:rPr>
                                <w:rFonts w:ascii="Arial Narrow" w:hAnsi="Arial Narrow"/>
                                <w:b/>
                                <w:sz w:val="24"/>
                                <w:szCs w:val="26"/>
                              </w:rPr>
                            </w:pPr>
                            <w:r w:rsidRPr="009B3218">
                              <w:rPr>
                                <w:rFonts w:ascii="Arial Narrow" w:hAnsi="Arial Narrow"/>
                                <w:b/>
                                <w:sz w:val="24"/>
                                <w:szCs w:val="26"/>
                              </w:rPr>
                              <w:t>Director General de Crédito Público y Tesoro Nacional</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Text Box 35" o:spid="_x0000_s1027" type="#_x0000_t202" style="position:absolute;left:0;text-align:left;margin-left:120.9pt;margin-top:11.5pt;width:156.25pt;height:40.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">
                <v:textbox>
                  <w:txbxContent>
                    <w:p w:rsidR="00954628" w:rsidRPr="009B3218" w:rsidRDefault="00954628" w:rsidP="00EA3232">
                      <w:pPr>
                        <w:jc w:val="center"/>
                        <w:rPr>
                          <w:rFonts w:ascii="Arial Narrow" w:hAnsi="Arial Narrow"/>
                          <w:b/>
                          <w:sz w:val="24"/>
                          <w:szCs w:val="26"/>
                        </w:rPr>
                      </w:pPr>
                      <w:r w:rsidRPr="009B3218">
                        <w:rPr>
                          <w:rFonts w:ascii="Arial Narrow" w:hAnsi="Arial Narrow"/>
                          <w:b/>
                          <w:sz w:val="24"/>
                          <w:szCs w:val="26"/>
                        </w:rPr>
                        <w:t>Director General de Crédito Público y Tesoro Nacional</w:t>
                      </w:r>
                    </w:p>
                  </w:txbxContent>
                </v:textbox>
              </v:shape>
            </w:pict>
          </mc:Fallback>
        </mc:AlternateContent>
      </w:r>
    </w:p>
    <w:p w:rsidR="00EA3232" w:rsidRPr="00DA65AA" w:rsidRDefault="00EA3232" w:rsidP="00EA3232">
      <w:pPr>
        <w:jc w:val="center"/>
        <w:rPr>
          <w:rFonts w:ascii="Arial Narrow" w:hAnsi="Arial Narrow" w:cs="Arial"/>
        </w:rPr>
      </w:pPr>
    </w:p>
    <w:p w:rsidR="00EA3232" w:rsidRPr="00DA65AA" w:rsidRDefault="00EA3232" w:rsidP="00EA3232">
      <w:pPr>
        <w:jc w:val="center"/>
        <w:rPr>
          <w:rFonts w:ascii="Arial Narrow" w:hAnsi="Arial Narrow" w:cs="Arial"/>
        </w:rPr>
      </w:pPr>
    </w:p>
    <w:p w:rsidR="00EA3232" w:rsidRPr="00DA65AA" w:rsidRDefault="00282A5C" w:rsidP="00EA3232">
      <w:pPr>
        <w:jc w:val="center"/>
        <w:rPr>
          <w:rFonts w:ascii="Arial Narrow" w:hAnsi="Arial Narrow" w:cs="Arial"/>
        </w:rPr>
      </w:pPr>
      <w:r w:rsidRPr="00DA65AA">
        <w:rPr>
          <w:rFonts w:ascii="Arial Narrow" w:hAnsi="Arial Narrow"/>
          <w:noProof/>
          <w:lang w:val="en-US" w:eastAsia="en-US"/>
        </w:rPr>
        <mc:AlternateContent>
          <mc:Choice Requires="wps">
            <w:drawing>
              <wp:anchor distT="0" distB="0" distL="114300" distR="114300" simplePos="0" relativeHeight="251668480" behindDoc="0" locked="0" layoutInCell="1" allowOverlap="1">
                <wp:simplePos x="0" y="0"/>
                <wp:positionH relativeFrom="column">
                  <wp:posOffset>2529840</wp:posOffset>
                </wp:positionH>
                <wp:positionV relativeFrom="paragraph">
                  <wp:posOffset>137160</wp:posOffset>
                </wp:positionV>
                <wp:extent cx="2028825" cy="187325"/>
                <wp:effectExtent l="38100" t="0" r="47625" b="98425"/>
                <wp:wrapNone/>
                <wp:docPr id="52"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V="1">
                          <a:off x="0" y="0"/>
                          <a:ext cx="2028825" cy="187325"/>
                        </a:xfrm>
                        <a:prstGeom prst="bentConnector3">
                          <a:avLst>
                            <a:gd name="adj1" fmla="val -597"/>
                          </a:avLst>
                        </a:prstGeom>
                        <a:noFill/>
                        <a:ln w="25400">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3A41B36" id="_x0000_t34" coordsize="21600,21600" o:spt="34" o:oned="t" adj="10800" path="m,l@0,0@0,21600,21600,21600e" filled="f">
                <v:stroke joinstyle="miter"/>
                <v:formulas>
                  <v:f eqn="val #0"/>
                </v:formulas>
                <v:path arrowok="t" fillok="f" o:connecttype="none"/>
                <v:handles>
                  <v:h position="#0,center"/>
                </v:handles>
                <o:lock v:ext="edit" shapetype="t"/>
              </v:shapetype>
              <v:shape id="AutoShape 43" o:spid="_x0000_s1026" type="#_x0000_t34" style="position:absolute;margin-left:199.2pt;margin-top:10.8pt;width:159.75pt;height:14.75pt;rotation:180;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" adj="-129" strokeweight="2pt">
                <v:stroke dashstyle="1 1" endarrow="block"/>
              </v:shape>
            </w:pict>
          </mc:Fallback>
        </mc:AlternateContent>
      </w:r>
    </w:p>
    <w:p w:rsidR="00EA3232" w:rsidRPr="00DA65AA" w:rsidRDefault="00282A5C" w:rsidP="00EA3232">
      <w:pPr>
        <w:jc w:val="center"/>
        <w:rPr>
          <w:rFonts w:ascii="Arial Narrow" w:hAnsi="Arial Narrow" w:cs="Arial"/>
        </w:rPr>
      </w:pPr>
      <w:r w:rsidRPr="00DA65AA">
        <w:rPr>
          <w:rFonts w:ascii="Arial Narrow" w:hAnsi="Arial Narrow"/>
          <w:noProof/>
          <w:lang w:val="en-US" w:eastAsia="en-US"/>
        </w:rPr>
        <mc:AlternateContent>
          <mc:Choice Requires="wps">
            <w:drawing>
              <wp:anchor distT="0" distB="0" distL="114300" distR="114300" simplePos="0" relativeHeight="251671552" behindDoc="0" locked="0" layoutInCell="1" allowOverlap="1">
                <wp:simplePos x="0" y="0"/>
                <wp:positionH relativeFrom="column">
                  <wp:posOffset>2529840</wp:posOffset>
                </wp:positionH>
                <wp:positionV relativeFrom="paragraph">
                  <wp:posOffset>92075</wp:posOffset>
                </wp:positionV>
                <wp:extent cx="8890" cy="587375"/>
                <wp:effectExtent l="38100" t="0" r="67310" b="60325"/>
                <wp:wrapNone/>
                <wp:docPr id="51" name="Conector recto de flecha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890" cy="587375"/>
                        </a:xfrm>
                        <a:prstGeom prst="straightConnector1">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type w14:anchorId="587EB27A" id="_x0000_t32" coordsize="21600,21600" o:spt="32" o:oned="t" path="m,l21600,21600e" filled="f">
                <v:path arrowok="t" fillok="f" o:connecttype="none"/>
                <o:lock v:ext="edit" shapetype="t"/>
              </v:shapetype>
              <v:shape id="Conector recto de flecha 4" o:spid="_x0000_s1026" type="#_x0000_t32" style="position:absolute;margin-left:199.2pt;margin-top:7.25pt;width:.7pt;height:46.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" strokeweight="2pt">
                <v:stroke endarrow="block"/>
                <o:lock v:ext="edit" shapetype="f"/>
              </v:shape>
            </w:pict>
          </mc:Fallback>
        </mc:AlternateContent>
      </w:r>
    </w:p>
    <w:p w:rsidR="00EA3232" w:rsidRPr="00DA65AA" w:rsidRDefault="00282A5C" w:rsidP="00EA3232">
      <w:pPr>
        <w:jc w:val="center"/>
        <w:rPr>
          <w:rFonts w:ascii="Arial Narrow" w:hAnsi="Arial Narrow" w:cs="Arial"/>
        </w:rPr>
      </w:pPr>
      <w:r w:rsidRPr="00DA65AA">
        <w:rPr>
          <w:rFonts w:ascii="Arial Narrow" w:hAnsi="Arial Narrow"/>
          <w:noProof/>
          <w:lang w:val="en-US" w:eastAsia="en-US"/>
        </w:rPr>
        <mc:AlternateContent>
          <mc:Choice Requires="wps">
            <w:drawing>
              <wp:anchor distT="0" distB="0" distL="114300" distR="114300" simplePos="0" relativeHeight="251669504" behindDoc="0" locked="0" layoutInCell="1" allowOverlap="1">
                <wp:simplePos x="0" y="0"/>
                <wp:positionH relativeFrom="column">
                  <wp:posOffset>2525395</wp:posOffset>
                </wp:positionH>
                <wp:positionV relativeFrom="paragraph">
                  <wp:posOffset>161925</wp:posOffset>
                </wp:positionV>
                <wp:extent cx="2260600" cy="204470"/>
                <wp:effectExtent l="0" t="0" r="63500" b="62230"/>
                <wp:wrapNone/>
                <wp:docPr id="50"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60600" cy="204470"/>
                        </a:xfrm>
                        <a:prstGeom prst="bentConnector3">
                          <a:avLst>
                            <a:gd name="adj1" fmla="val 99606"/>
                          </a:avLst>
                        </a:prstGeom>
                        <a:noFill/>
                        <a:ln w="2540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44E876" id="AutoShape 44" o:spid="_x0000_s1026" type="#_x0000_t34" style="position:absolute;margin-left:198.85pt;margin-top:12.75pt;width:178pt;height:16.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" adj="21515" strokeweight="2pt">
                <v:stroke endarrow="block"/>
              </v:shape>
            </w:pict>
          </mc:Fallback>
        </mc:AlternateContent>
      </w:r>
      <w:r w:rsidRPr="00DA65AA">
        <w:rPr>
          <w:rFonts w:ascii="Arial Narrow" w:hAnsi="Arial Narrow"/>
          <w:noProof/>
          <w:lang w:val="en-US" w:eastAsia="en-US"/>
        </w:rPr>
        <mc:AlternateContent>
          <mc:Choice Requires="wps">
            <w:drawing>
              <wp:anchor distT="0" distB="0" distL="114300" distR="114300" simplePos="0" relativeHeight="251670528" behindDoc="0" locked="0" layoutInCell="1" allowOverlap="1">
                <wp:simplePos x="0" y="0"/>
                <wp:positionH relativeFrom="column">
                  <wp:posOffset>567690</wp:posOffset>
                </wp:positionH>
                <wp:positionV relativeFrom="paragraph">
                  <wp:posOffset>161925</wp:posOffset>
                </wp:positionV>
                <wp:extent cx="1958975" cy="204470"/>
                <wp:effectExtent l="76200" t="0" r="22225" b="62230"/>
                <wp:wrapNone/>
                <wp:docPr id="49"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V="1">
                          <a:off x="0" y="0"/>
                          <a:ext cx="1958975" cy="204470"/>
                        </a:xfrm>
                        <a:prstGeom prst="bentConnector3">
                          <a:avLst>
                            <a:gd name="adj1" fmla="val 100130"/>
                          </a:avLst>
                        </a:prstGeom>
                        <a:noFill/>
                        <a:ln w="2540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23473C" id="AutoShape 45" o:spid="_x0000_s1026" type="#_x0000_t34" style="position:absolute;margin-left:44.7pt;margin-top:12.75pt;width:154.25pt;height:16.1pt;rotation:180;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" adj="21628" strokeweight="2pt">
                <v:stroke endarrow="block"/>
              </v:shape>
            </w:pict>
          </mc:Fallback>
        </mc:AlternateContent>
      </w:r>
    </w:p>
    <w:p w:rsidR="00EA3232" w:rsidRPr="00DA65AA" w:rsidRDefault="00EA3232" w:rsidP="00EA3232">
      <w:pPr>
        <w:jc w:val="center"/>
        <w:rPr>
          <w:rFonts w:ascii="Arial Narrow" w:hAnsi="Arial Narrow" w:cs="Arial"/>
        </w:rPr>
      </w:pPr>
    </w:p>
    <w:p w:rsidR="00EA3232" w:rsidRPr="00DA65AA" w:rsidRDefault="00EA3232" w:rsidP="00EA3232">
      <w:pPr>
        <w:jc w:val="center"/>
        <w:rPr>
          <w:rFonts w:ascii="Arial Narrow" w:hAnsi="Arial Narrow" w:cs="Arial"/>
        </w:rPr>
      </w:pPr>
    </w:p>
    <w:p w:rsidR="00EA3232" w:rsidRPr="00DA65AA" w:rsidRDefault="00282A5C" w:rsidP="00EA3232">
      <w:pPr>
        <w:jc w:val="center"/>
        <w:rPr>
          <w:rFonts w:ascii="Arial Narrow" w:hAnsi="Arial Narrow" w:cs="Arial"/>
        </w:rPr>
      </w:pPr>
      <w:r w:rsidRPr="00DA65AA">
        <w:rPr>
          <w:rFonts w:ascii="Arial Narrow" w:hAnsi="Arial Narrow"/>
          <w:noProof/>
          <w:lang w:val="en-US" w:eastAsia="en-US"/>
        </w:rPr>
        <mc:AlternateContent>
          <mc:Choice Requires="wps">
            <w:drawing>
              <wp:anchor distT="0" distB="0" distL="114300" distR="114300" simplePos="0" relativeHeight="251667456" behindDoc="0" locked="0" layoutInCell="1" allowOverlap="1">
                <wp:simplePos x="0" y="0"/>
                <wp:positionH relativeFrom="column">
                  <wp:posOffset>1270</wp:posOffset>
                </wp:positionH>
                <wp:positionV relativeFrom="paragraph">
                  <wp:posOffset>85090</wp:posOffset>
                </wp:positionV>
                <wp:extent cx="1326515" cy="603250"/>
                <wp:effectExtent l="0" t="0" r="26035" b="25400"/>
                <wp:wrapNone/>
                <wp:docPr id="48"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6515" cy="603250"/>
                        </a:xfrm>
                        <a:prstGeom prst="rect">
                          <a:avLst/>
                        </a:prstGeom>
                        <a:solidFill>
                          <a:srgbClr val="FFFFFF"/>
                        </a:solidFill>
                        <a:ln w="9525">
                          <a:solidFill>
                            <a:srgbClr val="000000"/>
                          </a:solidFill>
                          <a:miter lim="800000"/>
                          <a:headEnd/>
                          <a:tailEnd/>
                        </a:ln>
                      </wps:spPr>
                      <wps:txbx>
                        <w:txbxContent>
                          <w:p w:rsidR="00954628" w:rsidRPr="009B3218" w:rsidRDefault="00954628" w:rsidP="00EA3232">
                            <w:pPr>
                              <w:jc w:val="center"/>
                              <w:rPr>
                                <w:rFonts w:ascii="Arial Narrow" w:hAnsi="Arial Narrow"/>
                                <w:sz w:val="24"/>
                              </w:rPr>
                            </w:pPr>
                            <w:r w:rsidRPr="009B3218">
                              <w:rPr>
                                <w:rFonts w:ascii="Arial Narrow" w:hAnsi="Arial Narrow"/>
                                <w:sz w:val="24"/>
                              </w:rPr>
                              <w:t>Subdirección de Operaciones</w:t>
                            </w:r>
                          </w:p>
                          <w:p w:rsidR="00954628" w:rsidRPr="00DA65AA" w:rsidRDefault="00954628" w:rsidP="00EA3232">
                            <w:pPr>
                              <w:jc w:val="center"/>
                              <w:rPr>
                                <w:rFonts w:ascii="Arial Narrow" w:hAnsi="Arial Narrow"/>
                                <w:b/>
                                <w:i/>
                                <w:sz w:val="24"/>
                              </w:rPr>
                            </w:pPr>
                            <w:r w:rsidRPr="00DA65AA">
                              <w:rPr>
                                <w:rFonts w:ascii="Arial Narrow" w:hAnsi="Arial Narrow"/>
                                <w:b/>
                                <w:i/>
                                <w:sz w:val="24"/>
                              </w:rPr>
                              <w:t>Back Office</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Text Box 36" o:spid="_x0000_s1028" type="#_x0000_t202" style="position:absolute;left:0;text-align:left;margin-left:.1pt;margin-top:6.7pt;width:104.45pt;height:4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">
                <v:textbox>
                  <w:txbxContent>
                    <w:p w:rsidR="00954628" w:rsidRPr="009B3218" w:rsidRDefault="00954628" w:rsidP="00EA3232">
                      <w:pPr>
                        <w:jc w:val="center"/>
                        <w:rPr>
                          <w:rFonts w:ascii="Arial Narrow" w:hAnsi="Arial Narrow"/>
                          <w:sz w:val="24"/>
                        </w:rPr>
                      </w:pPr>
                      <w:r w:rsidRPr="009B3218">
                        <w:rPr>
                          <w:rFonts w:ascii="Arial Narrow" w:hAnsi="Arial Narrow"/>
                          <w:sz w:val="24"/>
                        </w:rPr>
                        <w:t>Subdirección de Operaciones</w:t>
                      </w:r>
                    </w:p>
                    <w:p w:rsidR="00954628" w:rsidRPr="00DA65AA" w:rsidRDefault="00954628" w:rsidP="00EA3232">
                      <w:pPr>
                        <w:jc w:val="center"/>
                        <w:rPr>
                          <w:rFonts w:ascii="Arial Narrow" w:hAnsi="Arial Narrow"/>
                          <w:b/>
                          <w:i/>
                          <w:sz w:val="24"/>
                        </w:rPr>
                      </w:pPr>
                      <w:r w:rsidRPr="00DA65AA">
                        <w:rPr>
                          <w:rFonts w:ascii="Arial Narrow" w:hAnsi="Arial Narrow"/>
                          <w:b/>
                          <w:i/>
                          <w:sz w:val="24"/>
                        </w:rPr>
                        <w:t>Back Office</w:t>
                      </w:r>
                    </w:p>
                  </w:txbxContent>
                </v:textbox>
              </v:shape>
            </w:pict>
          </mc:Fallback>
        </mc:AlternateContent>
      </w:r>
      <w:r w:rsidRPr="00DA65AA">
        <w:rPr>
          <w:rFonts w:ascii="Arial Narrow" w:hAnsi="Arial Narrow"/>
          <w:noProof/>
          <w:lang w:val="en-US" w:eastAsia="en-US"/>
        </w:rPr>
        <mc:AlternateContent>
          <mc:Choice Requires="wps">
            <w:drawing>
              <wp:anchor distT="0" distB="0" distL="114300" distR="114300" simplePos="0" relativeHeight="251659264" behindDoc="0" locked="0" layoutInCell="1" allowOverlap="1">
                <wp:simplePos x="0" y="0"/>
                <wp:positionH relativeFrom="column">
                  <wp:posOffset>3872865</wp:posOffset>
                </wp:positionH>
                <wp:positionV relativeFrom="paragraph">
                  <wp:posOffset>87630</wp:posOffset>
                </wp:positionV>
                <wp:extent cx="1327150" cy="683895"/>
                <wp:effectExtent l="0" t="0" r="25400" b="20955"/>
                <wp:wrapNone/>
                <wp:docPr id="4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7150" cy="683895"/>
                        </a:xfrm>
                        <a:prstGeom prst="rect">
                          <a:avLst/>
                        </a:prstGeom>
                        <a:solidFill>
                          <a:srgbClr val="FFFFFF"/>
                        </a:solidFill>
                        <a:ln w="9525">
                          <a:solidFill>
                            <a:srgbClr val="000000"/>
                          </a:solidFill>
                          <a:miter lim="800000"/>
                          <a:headEnd/>
                          <a:tailEnd/>
                        </a:ln>
                      </wps:spPr>
                      <wps:txbx>
                        <w:txbxContent>
                          <w:p w:rsidR="00954628" w:rsidRPr="009B3218" w:rsidRDefault="00954628" w:rsidP="00EA3232">
                            <w:pPr>
                              <w:jc w:val="center"/>
                              <w:rPr>
                                <w:rFonts w:ascii="Arial Narrow" w:hAnsi="Arial Narrow"/>
                                <w:sz w:val="24"/>
                              </w:rPr>
                            </w:pPr>
                            <w:r w:rsidRPr="009B3218">
                              <w:rPr>
                                <w:rFonts w:ascii="Arial Narrow" w:hAnsi="Arial Narrow"/>
                                <w:sz w:val="24"/>
                              </w:rPr>
                              <w:t xml:space="preserve">Subdirecciones de </w:t>
                            </w:r>
                          </w:p>
                          <w:p w:rsidR="00954628" w:rsidRPr="009B3218" w:rsidRDefault="00954628" w:rsidP="00EA3232">
                            <w:pPr>
                              <w:jc w:val="center"/>
                              <w:rPr>
                                <w:rFonts w:ascii="Arial Narrow" w:hAnsi="Arial Narrow"/>
                                <w:sz w:val="24"/>
                              </w:rPr>
                            </w:pPr>
                            <w:r w:rsidRPr="009B3218">
                              <w:rPr>
                                <w:rFonts w:ascii="Arial Narrow" w:hAnsi="Arial Narrow"/>
                                <w:sz w:val="24"/>
                              </w:rPr>
                              <w:t>Tesorería</w:t>
                            </w:r>
                          </w:p>
                          <w:p w:rsidR="00954628" w:rsidRPr="00DA65AA" w:rsidRDefault="00954628" w:rsidP="00EA3232">
                            <w:pPr>
                              <w:jc w:val="center"/>
                              <w:rPr>
                                <w:rFonts w:ascii="Arial Narrow" w:hAnsi="Arial Narrow"/>
                                <w:b/>
                                <w:i/>
                                <w:sz w:val="24"/>
                              </w:rPr>
                            </w:pPr>
                            <w:r w:rsidRPr="00DA65AA">
                              <w:rPr>
                                <w:rFonts w:ascii="Arial Narrow" w:hAnsi="Arial Narrow"/>
                                <w:b/>
                                <w:i/>
                                <w:sz w:val="24"/>
                              </w:rPr>
                              <w:t>Front Office</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Text Box 37" o:spid="_x0000_s1029" type="#_x0000_t202" style="position:absolute;left:0;text-align:left;margin-left:304.95pt;margin-top:6.9pt;width:104.5pt;height:53.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">
                <v:textbox>
                  <w:txbxContent>
                    <w:p w:rsidR="00954628" w:rsidRPr="009B3218" w:rsidRDefault="00954628" w:rsidP="00EA3232">
                      <w:pPr>
                        <w:jc w:val="center"/>
                        <w:rPr>
                          <w:rFonts w:ascii="Arial Narrow" w:hAnsi="Arial Narrow"/>
                          <w:sz w:val="24"/>
                        </w:rPr>
                      </w:pPr>
                      <w:r w:rsidRPr="009B3218">
                        <w:rPr>
                          <w:rFonts w:ascii="Arial Narrow" w:hAnsi="Arial Narrow"/>
                          <w:sz w:val="24"/>
                        </w:rPr>
                        <w:t xml:space="preserve">Subdirecciones de </w:t>
                      </w:r>
                    </w:p>
                    <w:p w:rsidR="00954628" w:rsidRPr="009B3218" w:rsidRDefault="00954628" w:rsidP="00EA3232">
                      <w:pPr>
                        <w:jc w:val="center"/>
                        <w:rPr>
                          <w:rFonts w:ascii="Arial Narrow" w:hAnsi="Arial Narrow"/>
                          <w:sz w:val="24"/>
                        </w:rPr>
                      </w:pPr>
                      <w:r w:rsidRPr="009B3218">
                        <w:rPr>
                          <w:rFonts w:ascii="Arial Narrow" w:hAnsi="Arial Narrow"/>
                          <w:sz w:val="24"/>
                        </w:rPr>
                        <w:t>Tesorería</w:t>
                      </w:r>
                    </w:p>
                    <w:p w:rsidR="00954628" w:rsidRPr="00DA65AA" w:rsidRDefault="00954628" w:rsidP="00EA3232">
                      <w:pPr>
                        <w:jc w:val="center"/>
                        <w:rPr>
                          <w:rFonts w:ascii="Arial Narrow" w:hAnsi="Arial Narrow"/>
                          <w:b/>
                          <w:i/>
                          <w:sz w:val="24"/>
                        </w:rPr>
                      </w:pPr>
                      <w:r w:rsidRPr="00DA65AA">
                        <w:rPr>
                          <w:rFonts w:ascii="Arial Narrow" w:hAnsi="Arial Narrow"/>
                          <w:b/>
                          <w:i/>
                          <w:sz w:val="24"/>
                        </w:rPr>
                        <w:t>Front Office</w:t>
                      </w:r>
                    </w:p>
                  </w:txbxContent>
                </v:textbox>
              </v:shape>
            </w:pict>
          </mc:Fallback>
        </mc:AlternateContent>
      </w:r>
      <w:r w:rsidRPr="00DA65AA">
        <w:rPr>
          <w:rFonts w:ascii="Arial Narrow" w:hAnsi="Arial Narrow"/>
          <w:noProof/>
          <w:lang w:val="en-US" w:eastAsia="en-US"/>
        </w:rPr>
        <mc:AlternateContent>
          <mc:Choice Requires="wps">
            <w:drawing>
              <wp:anchor distT="0" distB="0" distL="114300" distR="114300" simplePos="0" relativeHeight="251665408" behindDoc="0" locked="0" layoutInCell="1" allowOverlap="1">
                <wp:simplePos x="0" y="0"/>
                <wp:positionH relativeFrom="column">
                  <wp:posOffset>1877060</wp:posOffset>
                </wp:positionH>
                <wp:positionV relativeFrom="paragraph">
                  <wp:posOffset>85090</wp:posOffset>
                </wp:positionV>
                <wp:extent cx="1326515" cy="683895"/>
                <wp:effectExtent l="0" t="0" r="0" b="0"/>
                <wp:wrapNone/>
                <wp:docPr id="46"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6515" cy="683895"/>
                        </a:xfrm>
                        <a:prstGeom prst="rect">
                          <a:avLst/>
                        </a:prstGeom>
                        <a:solidFill>
                          <a:srgbClr val="FFFFFF"/>
                        </a:solidFill>
                        <a:ln w="9525" cap="flat" cmpd="sng" algn="ctr">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54628" w:rsidRPr="009B3218" w:rsidRDefault="00954628" w:rsidP="00EA3232">
                            <w:pPr>
                              <w:jc w:val="center"/>
                              <w:rPr>
                                <w:rFonts w:ascii="Arial Narrow" w:hAnsi="Arial Narrow"/>
                                <w:sz w:val="24"/>
                              </w:rPr>
                            </w:pPr>
                            <w:r w:rsidRPr="009B3218">
                              <w:rPr>
                                <w:rFonts w:ascii="Arial Narrow" w:hAnsi="Arial Narrow"/>
                                <w:sz w:val="24"/>
                              </w:rPr>
                              <w:t>Subdirección de Riesgo</w:t>
                            </w:r>
                          </w:p>
                          <w:p w:rsidR="00954628" w:rsidRPr="00DA65AA" w:rsidRDefault="00954628" w:rsidP="00EA3232">
                            <w:pPr>
                              <w:jc w:val="center"/>
                              <w:rPr>
                                <w:rFonts w:ascii="Arial Narrow" w:hAnsi="Arial Narrow"/>
                                <w:b/>
                                <w:i/>
                                <w:sz w:val="24"/>
                              </w:rPr>
                            </w:pPr>
                            <w:r w:rsidRPr="00DA65AA">
                              <w:rPr>
                                <w:rFonts w:ascii="Arial Narrow" w:hAnsi="Arial Narrow"/>
                                <w:b/>
                                <w:i/>
                                <w:sz w:val="24"/>
                              </w:rPr>
                              <w:t>Middle Office</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Text Box 34" o:spid="_x0000_s1030" type="#_x0000_t202" style="position:absolute;left:0;text-align:left;margin-left:147.8pt;margin-top:6.7pt;width:104.45pt;height:53.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">
                <v:textbox>
                  <w:txbxContent>
                    <w:p w:rsidR="00954628" w:rsidRPr="009B3218" w:rsidRDefault="00954628" w:rsidP="00EA3232">
                      <w:pPr>
                        <w:jc w:val="center"/>
                        <w:rPr>
                          <w:rFonts w:ascii="Arial Narrow" w:hAnsi="Arial Narrow"/>
                          <w:sz w:val="24"/>
                        </w:rPr>
                      </w:pPr>
                      <w:r w:rsidRPr="009B3218">
                        <w:rPr>
                          <w:rFonts w:ascii="Arial Narrow" w:hAnsi="Arial Narrow"/>
                          <w:sz w:val="24"/>
                        </w:rPr>
                        <w:t>Subdirección de Riesgo</w:t>
                      </w:r>
                    </w:p>
                    <w:p w:rsidR="00954628" w:rsidRPr="00DA65AA" w:rsidRDefault="00954628" w:rsidP="00EA3232">
                      <w:pPr>
                        <w:jc w:val="center"/>
                        <w:rPr>
                          <w:rFonts w:ascii="Arial Narrow" w:hAnsi="Arial Narrow"/>
                          <w:b/>
                          <w:i/>
                          <w:sz w:val="24"/>
                        </w:rPr>
                      </w:pPr>
                      <w:r w:rsidRPr="00DA65AA">
                        <w:rPr>
                          <w:rFonts w:ascii="Arial Narrow" w:hAnsi="Arial Narrow"/>
                          <w:b/>
                          <w:i/>
                          <w:sz w:val="24"/>
                        </w:rPr>
                        <w:t>Middle Office</w:t>
                      </w:r>
                    </w:p>
                  </w:txbxContent>
                </v:textbox>
              </v:shape>
            </w:pict>
          </mc:Fallback>
        </mc:AlternateContent>
      </w:r>
      <w:r w:rsidRPr="00DA65AA">
        <w:rPr>
          <w:rFonts w:ascii="Arial Narrow" w:hAnsi="Arial Narrow"/>
          <w:noProof/>
          <w:lang w:val="en-US" w:eastAsia="en-US"/>
        </w:rPr>
        <mc:AlternateContent>
          <mc:Choice Requires="wps">
            <w:drawing>
              <wp:anchor distT="0" distB="0" distL="114300" distR="114300" simplePos="0" relativeHeight="251661312" behindDoc="0" locked="0" layoutInCell="1" allowOverlap="1">
                <wp:simplePos x="0" y="0"/>
                <wp:positionH relativeFrom="column">
                  <wp:posOffset>3209925</wp:posOffset>
                </wp:positionH>
                <wp:positionV relativeFrom="paragraph">
                  <wp:posOffset>370205</wp:posOffset>
                </wp:positionV>
                <wp:extent cx="614680" cy="635"/>
                <wp:effectExtent l="0" t="76200" r="13970" b="94615"/>
                <wp:wrapNone/>
                <wp:docPr id="45"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680" cy="635"/>
                        </a:xfrm>
                        <a:prstGeom prst="bentConnector3">
                          <a:avLst>
                            <a:gd name="adj1" fmla="val 50000"/>
                          </a:avLst>
                        </a:prstGeom>
                        <a:noFill/>
                        <a:ln w="25400">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9230A6" id="AutoShape 39" o:spid="_x0000_s1026" type="#_x0000_t34" style="position:absolute;margin-left:252.75pt;margin-top:29.15pt;width:48.4pt;height:.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" strokeweight="2pt">
                <v:stroke dashstyle="1 1" endarrow="block"/>
              </v:shape>
            </w:pict>
          </mc:Fallback>
        </mc:AlternateContent>
      </w:r>
      <w:r w:rsidRPr="00DA65AA">
        <w:rPr>
          <w:rFonts w:ascii="Arial Narrow" w:hAnsi="Arial Narrow"/>
          <w:noProof/>
          <w:lang w:val="en-US" w:eastAsia="en-US"/>
        </w:rPr>
        <mc:AlternateContent>
          <mc:Choice Requires="wps">
            <w:drawing>
              <wp:anchor distT="0" distB="0" distL="114300" distR="114300" simplePos="0" relativeHeight="251660288" behindDoc="0" locked="0" layoutInCell="1" allowOverlap="1">
                <wp:simplePos x="0" y="0"/>
                <wp:positionH relativeFrom="column">
                  <wp:posOffset>1327785</wp:posOffset>
                </wp:positionH>
                <wp:positionV relativeFrom="paragraph">
                  <wp:posOffset>369570</wp:posOffset>
                </wp:positionV>
                <wp:extent cx="549275" cy="635"/>
                <wp:effectExtent l="38100" t="76200" r="0" b="94615"/>
                <wp:wrapNone/>
                <wp:docPr id="44"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a:off x="0" y="0"/>
                          <a:ext cx="549275" cy="635"/>
                        </a:xfrm>
                        <a:prstGeom prst="bentConnector3">
                          <a:avLst>
                            <a:gd name="adj1" fmla="val 49944"/>
                          </a:avLst>
                        </a:prstGeom>
                        <a:noFill/>
                        <a:ln w="25400">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D7C8E4" id="AutoShape 38" o:spid="_x0000_s1026" type="#_x0000_t34" style="position:absolute;margin-left:104.55pt;margin-top:29.1pt;width:43.25pt;height:.05pt;rotation:18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" adj="10788" strokeweight="2pt">
                <v:stroke dashstyle="1 1" endarrow="block"/>
              </v:shape>
            </w:pict>
          </mc:Fallback>
        </mc:AlternateContent>
      </w:r>
    </w:p>
    <w:p w:rsidR="00EA3232" w:rsidRPr="00DA65AA" w:rsidRDefault="00EA3232" w:rsidP="00EA3232">
      <w:pPr>
        <w:jc w:val="center"/>
        <w:rPr>
          <w:rFonts w:ascii="Arial Narrow" w:hAnsi="Arial Narrow" w:cs="Arial"/>
        </w:rPr>
      </w:pPr>
    </w:p>
    <w:p w:rsidR="00EA3232" w:rsidRPr="00DA65AA" w:rsidRDefault="00EA3232" w:rsidP="00EA3232">
      <w:pPr>
        <w:jc w:val="center"/>
        <w:rPr>
          <w:rFonts w:ascii="Arial Narrow" w:hAnsi="Arial Narrow" w:cs="Arial"/>
        </w:rPr>
      </w:pPr>
    </w:p>
    <w:p w:rsidR="00EA3232" w:rsidRPr="00DA65AA" w:rsidRDefault="00EA3232" w:rsidP="00EA3232">
      <w:pPr>
        <w:rPr>
          <w:rFonts w:ascii="Arial Narrow" w:hAnsi="Arial Narrow" w:cs="Arial"/>
        </w:rPr>
      </w:pPr>
    </w:p>
    <w:p w:rsidR="00EA3232" w:rsidRPr="00DA65AA" w:rsidRDefault="00EA3232" w:rsidP="00EA3232">
      <w:pPr>
        <w:rPr>
          <w:rFonts w:ascii="Arial Narrow" w:hAnsi="Arial Narrow" w:cs="Arial"/>
        </w:rPr>
      </w:pPr>
    </w:p>
    <w:p w:rsidR="00EA3232" w:rsidRPr="00DA65AA" w:rsidRDefault="00EA3232" w:rsidP="00EA3232">
      <w:pPr>
        <w:rPr>
          <w:rFonts w:ascii="Arial Narrow" w:hAnsi="Arial Narrow" w:cs="Arial"/>
        </w:rPr>
      </w:pPr>
    </w:p>
    <w:p w:rsidR="00EA3232" w:rsidRPr="00DA65AA" w:rsidRDefault="00EA3232" w:rsidP="00EA3232">
      <w:pPr>
        <w:rPr>
          <w:rFonts w:ascii="Arial Narrow" w:hAnsi="Arial Narrow" w:cs="Arial"/>
        </w:rPr>
      </w:pPr>
    </w:p>
    <w:p w:rsidR="00EA3232" w:rsidRPr="00DA65AA" w:rsidRDefault="00282A5C" w:rsidP="00EA3232">
      <w:pPr>
        <w:rPr>
          <w:rFonts w:ascii="Arial Narrow" w:hAnsi="Arial Narrow" w:cs="Arial"/>
          <w:sz w:val="24"/>
        </w:rPr>
      </w:pPr>
      <w:r w:rsidRPr="00DA65AA">
        <w:rPr>
          <w:rFonts w:ascii="Arial Narrow" w:hAnsi="Arial Narrow" w:cs="Arial"/>
          <w:noProof/>
          <w:sz w:val="24"/>
          <w:lang w:val="en-US" w:eastAsia="en-US"/>
        </w:rPr>
        <mc:AlternateContent>
          <mc:Choice Requires="wps">
            <w:drawing>
              <wp:anchor distT="4294967293" distB="4294967293" distL="114300" distR="114300" simplePos="0" relativeHeight="251662336" behindDoc="0" locked="0" layoutInCell="1" allowOverlap="1">
                <wp:simplePos x="0" y="0"/>
                <wp:positionH relativeFrom="column">
                  <wp:posOffset>1450975</wp:posOffset>
                </wp:positionH>
                <wp:positionV relativeFrom="paragraph">
                  <wp:posOffset>90169</wp:posOffset>
                </wp:positionV>
                <wp:extent cx="528320" cy="0"/>
                <wp:effectExtent l="0" t="76200" r="24130" b="95250"/>
                <wp:wrapNone/>
                <wp:docPr id="43"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8320" cy="0"/>
                        </a:xfrm>
                        <a:prstGeom prst="straightConnector1">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BD6981" id="AutoShape 30" o:spid="_x0000_s1026" type="#_x0000_t32" style="position:absolute;margin-left:114.25pt;margin-top:7.1pt;width:41.6pt;height:0;z-index:25166233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" strokeweight="2pt">
                <v:stroke endarrow="block"/>
              </v:shape>
            </w:pict>
          </mc:Fallback>
        </mc:AlternateContent>
      </w:r>
      <w:r w:rsidR="00EA3232" w:rsidRPr="00DA65AA">
        <w:rPr>
          <w:rFonts w:ascii="Arial Narrow" w:hAnsi="Arial Narrow" w:cs="Arial"/>
          <w:sz w:val="24"/>
        </w:rPr>
        <w:t xml:space="preserve">Línea de autoridad: </w:t>
      </w:r>
    </w:p>
    <w:p w:rsidR="00EA3232" w:rsidRPr="00DA65AA" w:rsidRDefault="00282A5C" w:rsidP="00EA3232">
      <w:pPr>
        <w:rPr>
          <w:rFonts w:ascii="Arial Narrow" w:hAnsi="Arial Narrow" w:cs="Arial"/>
          <w:sz w:val="24"/>
        </w:rPr>
      </w:pPr>
      <w:r w:rsidRPr="00DA65AA">
        <w:rPr>
          <w:rFonts w:ascii="Arial Narrow" w:hAnsi="Arial Narrow" w:cs="Arial"/>
          <w:noProof/>
          <w:sz w:val="24"/>
          <w:lang w:val="en-US" w:eastAsia="en-US"/>
        </w:rPr>
        <mc:AlternateContent>
          <mc:Choice Requires="wps">
            <w:drawing>
              <wp:anchor distT="0" distB="0" distL="114300" distR="114300" simplePos="0" relativeHeight="251663360" behindDoc="0" locked="0" layoutInCell="1" allowOverlap="1">
                <wp:simplePos x="0" y="0"/>
                <wp:positionH relativeFrom="column">
                  <wp:posOffset>1450975</wp:posOffset>
                </wp:positionH>
                <wp:positionV relativeFrom="paragraph">
                  <wp:posOffset>92075</wp:posOffset>
                </wp:positionV>
                <wp:extent cx="539115" cy="635"/>
                <wp:effectExtent l="0" t="76200" r="13335" b="94615"/>
                <wp:wrapNone/>
                <wp:docPr id="42"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9115" cy="635"/>
                        </a:xfrm>
                        <a:prstGeom prst="bentConnector3">
                          <a:avLst>
                            <a:gd name="adj1" fmla="val 49940"/>
                          </a:avLst>
                        </a:prstGeom>
                        <a:noFill/>
                        <a:ln w="25400">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199223" id="AutoShape 31" o:spid="_x0000_s1026" type="#_x0000_t34" style="position:absolute;margin-left:114.25pt;margin-top:7.25pt;width:42.45pt;height:.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" adj="10787" strokeweight="2pt">
                <v:stroke dashstyle="1 1" endarrow="block"/>
              </v:shape>
            </w:pict>
          </mc:Fallback>
        </mc:AlternateContent>
      </w:r>
      <w:r w:rsidR="00EA3232" w:rsidRPr="00DA65AA">
        <w:rPr>
          <w:rFonts w:ascii="Arial Narrow" w:hAnsi="Arial Narrow" w:cs="Arial"/>
          <w:sz w:val="24"/>
        </w:rPr>
        <w:t xml:space="preserve">Línea de control:   </w:t>
      </w:r>
    </w:p>
    <w:p w:rsidR="00EA3232" w:rsidRPr="00DA65AA" w:rsidRDefault="00EA3232" w:rsidP="007322C8">
      <w:pPr>
        <w:jc w:val="both"/>
        <w:rPr>
          <w:rFonts w:ascii="Arial Narrow" w:hAnsi="Arial Narrow" w:cs="Arial"/>
          <w:sz w:val="24"/>
        </w:rPr>
      </w:pPr>
    </w:p>
    <w:p w:rsidR="00EA3232" w:rsidRPr="00DA65AA" w:rsidRDefault="007322C8" w:rsidP="00C93704">
      <w:pPr>
        <w:jc w:val="both"/>
        <w:rPr>
          <w:rFonts w:ascii="Arial Narrow" w:hAnsi="Arial Narrow"/>
        </w:rPr>
      </w:pPr>
      <w:r w:rsidRPr="00DA65AA">
        <w:rPr>
          <w:rFonts w:ascii="Arial Narrow" w:hAnsi="Arial Narrow" w:cs="Arial"/>
          <w:sz w:val="24"/>
        </w:rPr>
        <w:t>La Subdirección de Riesgo ejerce funciones de control a las actividades de la Subdirección de Operaciones (en el registro, cumplimiento y contabilidad de las operaciones ejecutadas por la Subdirección de Tesorería) y a la Subdirección de Tesorería (en cuanto al cumplimiento de las políticas y directrices en materia de administración de portafolio y gestión de riesgo decretadas por este manual y por el Comité de Tesorería). Por tanto, puede afirmarse que la Subdirección de Riesgo tiene funciones de Middle Office</w:t>
      </w:r>
      <w:r w:rsidRPr="00DA65AA">
        <w:rPr>
          <w:rFonts w:ascii="Arial Narrow" w:hAnsi="Arial Narrow" w:cs="Arial"/>
          <w:i/>
          <w:sz w:val="24"/>
        </w:rPr>
        <w:t>.</w:t>
      </w:r>
    </w:p>
    <w:p w:rsidR="00EA3232" w:rsidRPr="00DA65AA" w:rsidRDefault="00EA3232" w:rsidP="00EA3232">
      <w:pPr>
        <w:rPr>
          <w:rFonts w:ascii="Arial Narrow" w:hAnsi="Arial Narrow"/>
        </w:rPr>
      </w:pPr>
    </w:p>
    <w:p w:rsidR="0014258C" w:rsidRPr="00DA65AA" w:rsidRDefault="0014258C" w:rsidP="00BC5018">
      <w:pPr>
        <w:pStyle w:val="Ttulo3"/>
      </w:pPr>
      <w:bookmarkStart w:id="23" w:name="_Toc4596419"/>
      <w:r w:rsidRPr="00DA65AA">
        <w:lastRenderedPageBreak/>
        <w:t>Reunión Técnica de Administración de Riesgos</w:t>
      </w:r>
      <w:bookmarkEnd w:id="23"/>
    </w:p>
    <w:p w:rsidR="0014258C" w:rsidRPr="00DA65AA" w:rsidRDefault="0014258C" w:rsidP="0014258C">
      <w:pPr>
        <w:pStyle w:val="Ttulo2"/>
        <w:numPr>
          <w:ilvl w:val="0"/>
          <w:numId w:val="0"/>
        </w:numPr>
        <w:ind w:left="426"/>
      </w:pPr>
    </w:p>
    <w:p w:rsidR="0014258C" w:rsidRPr="00DA65AA" w:rsidRDefault="0014258C" w:rsidP="0014258C">
      <w:pPr>
        <w:jc w:val="both"/>
        <w:rPr>
          <w:rFonts w:ascii="Arial Narrow" w:hAnsi="Arial Narrow" w:cs="Arial"/>
          <w:sz w:val="24"/>
        </w:rPr>
      </w:pPr>
      <w:r w:rsidRPr="00DA65AA">
        <w:rPr>
          <w:rFonts w:ascii="Arial Narrow" w:hAnsi="Arial Narrow" w:cs="Arial"/>
          <w:sz w:val="24"/>
        </w:rPr>
        <w:t>Con el fin de hacer seguimiento y control de los riesgos asociados a las actividades realizadas en la DGCPTN, se establece la Reunión Técnica de Administración de Riesgos.</w:t>
      </w:r>
    </w:p>
    <w:p w:rsidR="0014258C" w:rsidRPr="00DA65AA" w:rsidRDefault="0014258C" w:rsidP="0014258C">
      <w:pPr>
        <w:jc w:val="both"/>
        <w:rPr>
          <w:rFonts w:ascii="Arial Narrow" w:hAnsi="Arial Narrow" w:cs="Arial"/>
          <w:sz w:val="24"/>
        </w:rPr>
      </w:pPr>
    </w:p>
    <w:p w:rsidR="0014258C" w:rsidRPr="00DA65AA" w:rsidRDefault="0014258C" w:rsidP="0014258C">
      <w:pPr>
        <w:jc w:val="both"/>
        <w:rPr>
          <w:rFonts w:ascii="Arial Narrow" w:hAnsi="Arial Narrow" w:cs="Arial"/>
          <w:sz w:val="24"/>
        </w:rPr>
      </w:pPr>
      <w:r w:rsidRPr="00DA65AA">
        <w:rPr>
          <w:rFonts w:ascii="Arial Narrow" w:hAnsi="Arial Narrow" w:cs="Arial"/>
          <w:sz w:val="24"/>
        </w:rPr>
        <w:t>El área responsable de esta reunión será la Subdirección de Riesgo, quien se encargará de citar y coordinar lo relacionado con la agenda y la logística de cada reunión, para lo cual se dejará como memoria el documento objeto de análisis del día.</w:t>
      </w:r>
    </w:p>
    <w:p w:rsidR="0014258C" w:rsidRPr="00DA65AA" w:rsidRDefault="0014258C" w:rsidP="0014258C">
      <w:pPr>
        <w:jc w:val="both"/>
        <w:rPr>
          <w:rFonts w:ascii="Arial Narrow" w:hAnsi="Arial Narrow" w:cs="Arial"/>
          <w:sz w:val="24"/>
        </w:rPr>
      </w:pPr>
    </w:p>
    <w:p w:rsidR="0014258C" w:rsidRPr="00475830" w:rsidRDefault="0014258C" w:rsidP="00475830">
      <w:pPr>
        <w:pStyle w:val="Ttulo4"/>
      </w:pPr>
      <w:bookmarkStart w:id="24" w:name="_Toc4596420"/>
      <w:r w:rsidRPr="00475830">
        <w:t>Periodicidad</w:t>
      </w:r>
      <w:bookmarkEnd w:id="24"/>
    </w:p>
    <w:p w:rsidR="0014258C" w:rsidRPr="00DA65AA" w:rsidRDefault="0014258C" w:rsidP="0014258C">
      <w:pPr>
        <w:jc w:val="both"/>
        <w:rPr>
          <w:rFonts w:ascii="Arial Narrow" w:hAnsi="Arial Narrow" w:cs="Arial"/>
          <w:sz w:val="24"/>
        </w:rPr>
      </w:pPr>
    </w:p>
    <w:p w:rsidR="0014258C" w:rsidRPr="00DA65AA" w:rsidRDefault="0014258C" w:rsidP="0014258C">
      <w:pPr>
        <w:rPr>
          <w:rFonts w:ascii="Arial Narrow" w:hAnsi="Arial Narrow" w:cs="Arial"/>
          <w:sz w:val="24"/>
        </w:rPr>
      </w:pPr>
      <w:r w:rsidRPr="00DA65AA">
        <w:rPr>
          <w:rFonts w:ascii="Arial Narrow" w:hAnsi="Arial Narrow" w:cs="Arial"/>
          <w:sz w:val="24"/>
        </w:rPr>
        <w:t xml:space="preserve">La Reunión tendrá una periodicidad trimestral. </w:t>
      </w:r>
    </w:p>
    <w:p w:rsidR="0014258C" w:rsidRPr="00DA65AA" w:rsidRDefault="0014258C" w:rsidP="0014258C">
      <w:pPr>
        <w:jc w:val="both"/>
        <w:rPr>
          <w:rFonts w:ascii="Arial Narrow" w:hAnsi="Arial Narrow" w:cs="Arial"/>
          <w:sz w:val="24"/>
        </w:rPr>
      </w:pPr>
    </w:p>
    <w:p w:rsidR="0014258C" w:rsidRPr="00DA65AA" w:rsidRDefault="0014258C" w:rsidP="00475830">
      <w:pPr>
        <w:pStyle w:val="Ttulo4"/>
      </w:pPr>
      <w:bookmarkStart w:id="25" w:name="_Toc4596421"/>
      <w:r w:rsidRPr="00DA65AA">
        <w:t>Integrantes</w:t>
      </w:r>
      <w:bookmarkEnd w:id="25"/>
    </w:p>
    <w:p w:rsidR="0014258C" w:rsidRPr="00DA65AA" w:rsidRDefault="0014258C" w:rsidP="0014258C">
      <w:pPr>
        <w:jc w:val="both"/>
        <w:rPr>
          <w:rFonts w:ascii="Arial Narrow" w:hAnsi="Arial Narrow" w:cs="Arial"/>
          <w:sz w:val="24"/>
        </w:rPr>
      </w:pPr>
    </w:p>
    <w:p w:rsidR="0014258C" w:rsidRPr="00DA65AA" w:rsidRDefault="0014258C" w:rsidP="0014258C">
      <w:pPr>
        <w:rPr>
          <w:rFonts w:ascii="Arial Narrow" w:hAnsi="Arial Narrow" w:cs="Arial"/>
          <w:sz w:val="24"/>
          <w:szCs w:val="24"/>
        </w:rPr>
      </w:pPr>
      <w:r w:rsidRPr="00DA65AA">
        <w:rPr>
          <w:rFonts w:ascii="Arial Narrow" w:hAnsi="Arial Narrow" w:cs="Arial"/>
          <w:sz w:val="24"/>
          <w:szCs w:val="24"/>
        </w:rPr>
        <w:t>La Reunión estará conformada por:</w:t>
      </w:r>
    </w:p>
    <w:p w:rsidR="0014258C" w:rsidRPr="00DA65AA" w:rsidRDefault="0014258C" w:rsidP="0014258C">
      <w:pPr>
        <w:rPr>
          <w:rFonts w:ascii="Arial Narrow" w:hAnsi="Arial Narrow" w:cs="Arial"/>
          <w:b/>
          <w:sz w:val="24"/>
          <w:szCs w:val="24"/>
        </w:rPr>
      </w:pPr>
    </w:p>
    <w:p w:rsidR="0014258C" w:rsidRPr="00DA65AA" w:rsidRDefault="0014258C" w:rsidP="00C408EF">
      <w:pPr>
        <w:pStyle w:val="Default"/>
        <w:numPr>
          <w:ilvl w:val="0"/>
          <w:numId w:val="4"/>
        </w:numPr>
        <w:ind w:left="567" w:hanging="283"/>
        <w:rPr>
          <w:rFonts w:ascii="Arial Narrow" w:hAnsi="Arial Narrow"/>
          <w:color w:val="auto"/>
        </w:rPr>
      </w:pPr>
      <w:r w:rsidRPr="00DA65AA">
        <w:rPr>
          <w:rFonts w:ascii="Arial Narrow" w:hAnsi="Arial Narrow"/>
          <w:color w:val="auto"/>
        </w:rPr>
        <w:t>El Director de Crédito Público y Tesoro Nacional, quien la presidirá.</w:t>
      </w:r>
    </w:p>
    <w:p w:rsidR="0014258C" w:rsidRPr="00DA65AA" w:rsidRDefault="0014258C" w:rsidP="00C408EF">
      <w:pPr>
        <w:pStyle w:val="Default"/>
        <w:numPr>
          <w:ilvl w:val="0"/>
          <w:numId w:val="4"/>
        </w:numPr>
        <w:ind w:left="567" w:hanging="283"/>
        <w:rPr>
          <w:rFonts w:ascii="Arial Narrow" w:hAnsi="Arial Narrow"/>
          <w:color w:val="auto"/>
        </w:rPr>
      </w:pPr>
      <w:r w:rsidRPr="00DA65AA">
        <w:rPr>
          <w:rFonts w:ascii="Arial Narrow" w:hAnsi="Arial Narrow"/>
          <w:color w:val="auto"/>
        </w:rPr>
        <w:t>El Subdirector de Riesgo.</w:t>
      </w:r>
    </w:p>
    <w:p w:rsidR="0014258C" w:rsidRPr="00DA65AA" w:rsidRDefault="0014258C" w:rsidP="00C408EF">
      <w:pPr>
        <w:pStyle w:val="Default"/>
        <w:numPr>
          <w:ilvl w:val="0"/>
          <w:numId w:val="4"/>
        </w:numPr>
        <w:ind w:left="567" w:hanging="283"/>
        <w:rPr>
          <w:rFonts w:ascii="Arial Narrow" w:hAnsi="Arial Narrow"/>
          <w:color w:val="auto"/>
        </w:rPr>
      </w:pPr>
      <w:r w:rsidRPr="00DA65AA">
        <w:rPr>
          <w:rFonts w:ascii="Arial Narrow" w:hAnsi="Arial Narrow"/>
          <w:color w:val="auto"/>
        </w:rPr>
        <w:t>El Subdirector de Tesorería.</w:t>
      </w:r>
    </w:p>
    <w:p w:rsidR="0014258C" w:rsidRPr="00DA65AA" w:rsidRDefault="0014258C" w:rsidP="00C408EF">
      <w:pPr>
        <w:pStyle w:val="Default"/>
        <w:numPr>
          <w:ilvl w:val="0"/>
          <w:numId w:val="4"/>
        </w:numPr>
        <w:ind w:left="567" w:hanging="283"/>
        <w:rPr>
          <w:rFonts w:ascii="Arial Narrow" w:hAnsi="Arial Narrow"/>
          <w:color w:val="auto"/>
        </w:rPr>
      </w:pPr>
      <w:r w:rsidRPr="00DA65AA">
        <w:rPr>
          <w:rFonts w:ascii="Arial Narrow" w:hAnsi="Arial Narrow"/>
          <w:color w:val="auto"/>
        </w:rPr>
        <w:t>El Subdirector de Operaciones.</w:t>
      </w:r>
    </w:p>
    <w:p w:rsidR="0014258C" w:rsidRPr="00DA65AA" w:rsidRDefault="0014258C" w:rsidP="0014258C">
      <w:pPr>
        <w:pStyle w:val="Default"/>
        <w:jc w:val="both"/>
        <w:rPr>
          <w:rFonts w:ascii="Arial Narrow" w:hAnsi="Arial Narrow"/>
          <w:color w:val="auto"/>
        </w:rPr>
      </w:pPr>
    </w:p>
    <w:p w:rsidR="0014258C" w:rsidRPr="00DA65AA" w:rsidRDefault="0014258C" w:rsidP="0014258C">
      <w:pPr>
        <w:pStyle w:val="Default"/>
        <w:jc w:val="both"/>
        <w:rPr>
          <w:rFonts w:ascii="Arial Narrow" w:eastAsia="Calibri" w:hAnsi="Arial Narrow"/>
          <w:color w:val="auto"/>
          <w:lang w:eastAsia="es-CO"/>
        </w:rPr>
      </w:pPr>
      <w:r w:rsidRPr="00DA65AA">
        <w:rPr>
          <w:rFonts w:ascii="Arial Narrow" w:eastAsia="Calibri" w:hAnsi="Arial Narrow"/>
          <w:color w:val="auto"/>
          <w:lang w:eastAsia="es-CO"/>
        </w:rPr>
        <w:t>Podrán asistir como invitados, funcionarios o particulares que puedan hacer aportes en los asuntos tratados en la Reunión Técnica de Administración de Riesgos.</w:t>
      </w:r>
    </w:p>
    <w:p w:rsidR="0014258C" w:rsidRPr="00DA65AA" w:rsidRDefault="0014258C" w:rsidP="0014258C">
      <w:pPr>
        <w:pStyle w:val="Default"/>
        <w:jc w:val="both"/>
        <w:rPr>
          <w:rFonts w:ascii="Arial Narrow" w:eastAsia="Calibri" w:hAnsi="Arial Narrow"/>
          <w:color w:val="auto"/>
          <w:lang w:eastAsia="es-CO"/>
        </w:rPr>
      </w:pPr>
    </w:p>
    <w:p w:rsidR="0014258C" w:rsidRPr="00DA65AA" w:rsidRDefault="0014258C" w:rsidP="00475830">
      <w:pPr>
        <w:pStyle w:val="Ttulo4"/>
        <w:rPr>
          <w:rFonts w:eastAsia="Calibri"/>
          <w:lang w:eastAsia="es-CO"/>
        </w:rPr>
      </w:pPr>
      <w:bookmarkStart w:id="26" w:name="_Toc4596422"/>
      <w:r w:rsidRPr="00DA65AA">
        <w:rPr>
          <w:rFonts w:eastAsia="Calibri"/>
          <w:lang w:eastAsia="es-CO"/>
        </w:rPr>
        <w:t>Funciones</w:t>
      </w:r>
      <w:bookmarkEnd w:id="26"/>
    </w:p>
    <w:p w:rsidR="0014258C" w:rsidRPr="00DA65AA" w:rsidRDefault="0014258C" w:rsidP="0014258C">
      <w:pPr>
        <w:pStyle w:val="Default"/>
        <w:jc w:val="both"/>
        <w:rPr>
          <w:rFonts w:ascii="Arial Narrow" w:eastAsia="Calibri" w:hAnsi="Arial Narrow"/>
          <w:color w:val="auto"/>
          <w:lang w:eastAsia="es-CO"/>
        </w:rPr>
      </w:pPr>
    </w:p>
    <w:p w:rsidR="0014258C" w:rsidRPr="00DA65AA" w:rsidRDefault="0014258C" w:rsidP="0014258C">
      <w:pPr>
        <w:pStyle w:val="Default"/>
        <w:jc w:val="both"/>
        <w:rPr>
          <w:rFonts w:ascii="Arial Narrow" w:hAnsi="Arial Narrow"/>
        </w:rPr>
      </w:pPr>
      <w:r w:rsidRPr="00DA65AA">
        <w:rPr>
          <w:rFonts w:ascii="Arial Narrow" w:hAnsi="Arial Narrow"/>
        </w:rPr>
        <w:t>Entre las funciones asignadas a esta Reunión, se destacan las siguientes:</w:t>
      </w:r>
    </w:p>
    <w:p w:rsidR="0014258C" w:rsidRPr="00DA65AA" w:rsidRDefault="0014258C" w:rsidP="0014258C">
      <w:pPr>
        <w:pStyle w:val="Default"/>
        <w:ind w:left="720"/>
        <w:jc w:val="both"/>
        <w:rPr>
          <w:rFonts w:ascii="Arial Narrow" w:hAnsi="Arial Narrow"/>
        </w:rPr>
      </w:pPr>
    </w:p>
    <w:p w:rsidR="0014258C" w:rsidRPr="00DA65AA" w:rsidRDefault="0014258C" w:rsidP="00C408EF">
      <w:pPr>
        <w:pStyle w:val="Default"/>
        <w:numPr>
          <w:ilvl w:val="0"/>
          <w:numId w:val="5"/>
        </w:numPr>
        <w:ind w:left="567" w:hanging="283"/>
        <w:jc w:val="both"/>
        <w:rPr>
          <w:rFonts w:ascii="Arial Narrow" w:hAnsi="Arial Narrow"/>
        </w:rPr>
      </w:pPr>
      <w:r w:rsidRPr="00DA65AA">
        <w:rPr>
          <w:rFonts w:ascii="Arial Narrow" w:hAnsi="Arial Narrow"/>
        </w:rPr>
        <w:t>Servir como instancia de apoyo para la adecuada administración del riesgo de mercado, liquidez, emisor y contraparte, operativo, jurídico y demás que se consideren relevantes en relación con las actividades que realice la Dirección General de Crédito Público y Tesoro Nacional.</w:t>
      </w:r>
    </w:p>
    <w:p w:rsidR="0014258C" w:rsidRPr="00DA65AA" w:rsidRDefault="0014258C" w:rsidP="0014258C">
      <w:pPr>
        <w:pStyle w:val="Default"/>
        <w:ind w:left="567" w:hanging="283"/>
        <w:jc w:val="both"/>
        <w:rPr>
          <w:rFonts w:ascii="Arial Narrow" w:hAnsi="Arial Narrow"/>
        </w:rPr>
      </w:pPr>
    </w:p>
    <w:p w:rsidR="0014258C" w:rsidRPr="00DA65AA" w:rsidRDefault="0014258C" w:rsidP="00C408EF">
      <w:pPr>
        <w:pStyle w:val="Prrafodelista"/>
        <w:numPr>
          <w:ilvl w:val="0"/>
          <w:numId w:val="5"/>
        </w:numPr>
        <w:ind w:left="567" w:hanging="283"/>
        <w:jc w:val="both"/>
        <w:rPr>
          <w:rFonts w:ascii="Arial Narrow" w:hAnsi="Arial Narrow" w:cs="Arial"/>
          <w:sz w:val="24"/>
          <w:szCs w:val="24"/>
        </w:rPr>
      </w:pPr>
      <w:r w:rsidRPr="00DA65AA">
        <w:rPr>
          <w:rFonts w:ascii="Arial Narrow" w:hAnsi="Arial Narrow" w:cs="Arial"/>
          <w:sz w:val="24"/>
          <w:szCs w:val="24"/>
        </w:rPr>
        <w:t xml:space="preserve">Evaluar y dar concepto para la posterior aprobación del Director General de Crédito Público y Tesoro Nacional acerca del Manual de Políticas de la Dirección en materia de la administración de riesgos, así como los cambios que requiera, en donde se deberá reflejar el nivel de tolerancia frente a dichos riesgos. </w:t>
      </w:r>
    </w:p>
    <w:p w:rsidR="0014258C" w:rsidRPr="00DA65AA" w:rsidRDefault="0014258C" w:rsidP="0014258C">
      <w:pPr>
        <w:ind w:left="567" w:hanging="283"/>
        <w:jc w:val="both"/>
        <w:rPr>
          <w:rFonts w:ascii="Arial Narrow" w:hAnsi="Arial Narrow" w:cs="Arial"/>
          <w:sz w:val="24"/>
          <w:szCs w:val="24"/>
        </w:rPr>
      </w:pPr>
    </w:p>
    <w:p w:rsidR="0014258C" w:rsidRPr="00DA65AA" w:rsidRDefault="0014258C" w:rsidP="00C408EF">
      <w:pPr>
        <w:pStyle w:val="Prrafodelista"/>
        <w:numPr>
          <w:ilvl w:val="0"/>
          <w:numId w:val="5"/>
        </w:numPr>
        <w:ind w:left="567" w:hanging="283"/>
        <w:jc w:val="both"/>
        <w:rPr>
          <w:rFonts w:ascii="Arial Narrow" w:hAnsi="Arial Narrow" w:cs="Arial"/>
          <w:sz w:val="24"/>
          <w:szCs w:val="24"/>
        </w:rPr>
      </w:pPr>
      <w:r w:rsidRPr="00DA65AA">
        <w:rPr>
          <w:rFonts w:ascii="Arial Narrow" w:hAnsi="Arial Narrow" w:cs="Arial"/>
          <w:sz w:val="24"/>
          <w:szCs w:val="24"/>
        </w:rPr>
        <w:t>Evaluar propuestas de nuevos límites o modificación de los aprobados y documentados en el Manual de Políticas de Riesgo, evaluar los cupos de crédito y de contraparte de las entidades aprobadas por el Comité de Tesorería.  En caso que se requiera, se evaluarán nuevas entidades para ser presentadas al Comité de Tesorería para su aprobación.</w:t>
      </w:r>
    </w:p>
    <w:p w:rsidR="0014258C" w:rsidRPr="00DA65AA" w:rsidRDefault="0014258C" w:rsidP="0014258C">
      <w:pPr>
        <w:pStyle w:val="Prrafodelista"/>
        <w:ind w:left="567" w:hanging="283"/>
        <w:jc w:val="both"/>
        <w:rPr>
          <w:rFonts w:ascii="Arial Narrow" w:hAnsi="Arial Narrow" w:cs="Arial"/>
          <w:sz w:val="24"/>
          <w:szCs w:val="24"/>
        </w:rPr>
      </w:pPr>
    </w:p>
    <w:p w:rsidR="0014258C" w:rsidRPr="00DA65AA" w:rsidRDefault="0014258C" w:rsidP="00C408EF">
      <w:pPr>
        <w:pStyle w:val="Prrafodelista"/>
        <w:numPr>
          <w:ilvl w:val="0"/>
          <w:numId w:val="5"/>
        </w:numPr>
        <w:ind w:left="567" w:hanging="283"/>
        <w:jc w:val="both"/>
        <w:rPr>
          <w:rFonts w:ascii="Arial Narrow" w:hAnsi="Arial Narrow" w:cs="Arial"/>
          <w:sz w:val="24"/>
          <w:szCs w:val="24"/>
        </w:rPr>
      </w:pPr>
      <w:r w:rsidRPr="00DA65AA">
        <w:rPr>
          <w:rFonts w:ascii="Arial Narrow" w:hAnsi="Arial Narrow" w:cs="Arial"/>
          <w:sz w:val="24"/>
          <w:szCs w:val="24"/>
        </w:rPr>
        <w:lastRenderedPageBreak/>
        <w:t>Aprobar las metodologías de valoración y de medición de riesgo que debe elaborar la Subdirección de Riesgo. Así mismo, deberá aprobar los procedimientos y mecanismos de seguimiento al riesgo de mercado que proponga dicha Subdirección.</w:t>
      </w:r>
    </w:p>
    <w:p w:rsidR="0014258C" w:rsidRPr="00DA65AA" w:rsidRDefault="0014258C" w:rsidP="0014258C">
      <w:pPr>
        <w:pStyle w:val="Prrafodelista"/>
        <w:rPr>
          <w:rFonts w:ascii="Arial Narrow" w:hAnsi="Arial Narrow" w:cs="Arial"/>
          <w:sz w:val="24"/>
          <w:szCs w:val="24"/>
        </w:rPr>
      </w:pPr>
    </w:p>
    <w:p w:rsidR="0014258C" w:rsidRPr="00DA65AA" w:rsidRDefault="0014258C" w:rsidP="00C408EF">
      <w:pPr>
        <w:pStyle w:val="Prrafodelista"/>
        <w:numPr>
          <w:ilvl w:val="0"/>
          <w:numId w:val="5"/>
        </w:numPr>
        <w:ind w:left="567" w:hanging="283"/>
        <w:jc w:val="both"/>
        <w:rPr>
          <w:rFonts w:ascii="Arial Narrow" w:hAnsi="Arial Narrow" w:cs="Arial"/>
          <w:sz w:val="24"/>
          <w:szCs w:val="24"/>
        </w:rPr>
      </w:pPr>
      <w:r w:rsidRPr="00DA65AA">
        <w:rPr>
          <w:rFonts w:ascii="Arial Narrow" w:hAnsi="Arial Narrow" w:cs="Arial"/>
          <w:sz w:val="24"/>
          <w:szCs w:val="24"/>
        </w:rPr>
        <w:t>Analizar los resultados en materia de niveles de riesgo de mercado presentados por la Subdirección de Riesgo y proponer cursos de acción y estrategias relevantes para su mitigación y/o adecuada gestión.</w:t>
      </w:r>
    </w:p>
    <w:p w:rsidR="0014258C" w:rsidRPr="00DA65AA" w:rsidRDefault="0014258C" w:rsidP="0014258C">
      <w:pPr>
        <w:pStyle w:val="Prrafodelista"/>
        <w:ind w:left="567" w:hanging="283"/>
        <w:jc w:val="both"/>
        <w:rPr>
          <w:rFonts w:ascii="Arial Narrow" w:hAnsi="Arial Narrow" w:cs="Arial"/>
          <w:sz w:val="24"/>
          <w:szCs w:val="24"/>
        </w:rPr>
      </w:pPr>
    </w:p>
    <w:p w:rsidR="0014258C" w:rsidRPr="00DA65AA" w:rsidRDefault="0014258C" w:rsidP="00C408EF">
      <w:pPr>
        <w:pStyle w:val="Prrafodelista"/>
        <w:numPr>
          <w:ilvl w:val="0"/>
          <w:numId w:val="5"/>
        </w:numPr>
        <w:ind w:left="567" w:hanging="283"/>
        <w:jc w:val="both"/>
        <w:rPr>
          <w:rFonts w:ascii="Arial Narrow" w:hAnsi="Arial Narrow" w:cs="Arial"/>
          <w:sz w:val="24"/>
          <w:szCs w:val="24"/>
        </w:rPr>
      </w:pPr>
      <w:r w:rsidRPr="00DA65AA">
        <w:rPr>
          <w:rFonts w:ascii="Arial Narrow" w:hAnsi="Arial Narrow" w:cs="Arial"/>
          <w:sz w:val="24"/>
          <w:szCs w:val="24"/>
        </w:rPr>
        <w:t>Analizar las propuestas sobre incursión en nuevos mercados, instrumentos o negocios en los cuales la Dirección de Crédito Público y Tesoro Nacional se encuentre interesada en participar con el objeto de formular las recomendaciones que se consideren pertinentes al Director General de Crédito Público y Tesoro Nacional para ser aprobados posteriormente por el Comité de Tesorería.</w:t>
      </w:r>
    </w:p>
    <w:p w:rsidR="0014258C" w:rsidRPr="00DA65AA" w:rsidRDefault="0014258C" w:rsidP="0014258C">
      <w:pPr>
        <w:pStyle w:val="Prrafodelista"/>
        <w:jc w:val="both"/>
        <w:rPr>
          <w:rFonts w:ascii="Arial Narrow" w:hAnsi="Arial Narrow" w:cs="Arial"/>
          <w:sz w:val="24"/>
          <w:szCs w:val="24"/>
        </w:rPr>
      </w:pPr>
    </w:p>
    <w:p w:rsidR="0014258C" w:rsidRPr="00DA65AA" w:rsidRDefault="0014258C" w:rsidP="00C408EF">
      <w:pPr>
        <w:pStyle w:val="Prrafodelista"/>
        <w:numPr>
          <w:ilvl w:val="0"/>
          <w:numId w:val="5"/>
        </w:numPr>
        <w:ind w:left="567" w:hanging="283"/>
        <w:jc w:val="both"/>
        <w:rPr>
          <w:rFonts w:ascii="Arial Narrow" w:hAnsi="Arial Narrow" w:cs="Arial"/>
          <w:sz w:val="24"/>
          <w:szCs w:val="24"/>
        </w:rPr>
      </w:pPr>
      <w:r w:rsidRPr="00DA65AA">
        <w:rPr>
          <w:rFonts w:ascii="Arial Narrow" w:hAnsi="Arial Narrow" w:cs="Arial"/>
          <w:sz w:val="24"/>
          <w:szCs w:val="24"/>
        </w:rPr>
        <w:t>Analizar cualquier sobrepaso a los límites establecidos y determinar el tratamiento que se les debe dar al mismo.</w:t>
      </w:r>
    </w:p>
    <w:p w:rsidR="0014258C" w:rsidRPr="00DA65AA" w:rsidRDefault="0014258C" w:rsidP="0014258C">
      <w:pPr>
        <w:pStyle w:val="Prrafodelista"/>
        <w:ind w:left="567" w:hanging="283"/>
        <w:jc w:val="both"/>
        <w:rPr>
          <w:rFonts w:ascii="Arial Narrow" w:hAnsi="Arial Narrow" w:cs="Arial"/>
          <w:sz w:val="24"/>
          <w:szCs w:val="24"/>
        </w:rPr>
      </w:pPr>
    </w:p>
    <w:p w:rsidR="0014258C" w:rsidRPr="00DA65AA" w:rsidRDefault="0014258C" w:rsidP="00C93704">
      <w:pPr>
        <w:pStyle w:val="Prrafodelista"/>
        <w:numPr>
          <w:ilvl w:val="0"/>
          <w:numId w:val="5"/>
        </w:numPr>
        <w:ind w:left="567" w:hanging="283"/>
        <w:jc w:val="both"/>
        <w:rPr>
          <w:rFonts w:ascii="Arial Narrow" w:hAnsi="Arial Narrow" w:cs="Arial"/>
          <w:sz w:val="24"/>
          <w:szCs w:val="24"/>
        </w:rPr>
      </w:pPr>
      <w:r w:rsidRPr="00DA65AA">
        <w:rPr>
          <w:rFonts w:ascii="Arial Narrow" w:hAnsi="Arial Narrow" w:cs="Arial"/>
          <w:sz w:val="24"/>
          <w:szCs w:val="24"/>
        </w:rPr>
        <w:t>Las demás que considere la Reunión Técnica de Administración de Riesgos.</w:t>
      </w:r>
    </w:p>
    <w:p w:rsidR="0014258C" w:rsidRPr="00DA65AA" w:rsidRDefault="0014258C" w:rsidP="0014258C">
      <w:pPr>
        <w:pStyle w:val="Prrafodelista"/>
        <w:ind w:left="0"/>
        <w:jc w:val="both"/>
        <w:rPr>
          <w:rFonts w:ascii="Arial Narrow" w:hAnsi="Arial Narrow" w:cs="Arial"/>
          <w:sz w:val="24"/>
          <w:szCs w:val="24"/>
        </w:rPr>
      </w:pPr>
    </w:p>
    <w:p w:rsidR="0014258C" w:rsidRPr="00DA65AA" w:rsidRDefault="0014258C" w:rsidP="0014258C">
      <w:pPr>
        <w:pStyle w:val="Ttulo2"/>
      </w:pPr>
      <w:bookmarkStart w:id="27" w:name="_Toc4596423"/>
      <w:r w:rsidRPr="00DA65AA">
        <w:t>Políticas de Riesgo - MHCPTN</w:t>
      </w:r>
      <w:bookmarkEnd w:id="27"/>
    </w:p>
    <w:p w:rsidR="0014258C" w:rsidRPr="00DA65AA" w:rsidRDefault="0014258C" w:rsidP="0014258C">
      <w:pPr>
        <w:pStyle w:val="Default"/>
        <w:jc w:val="both"/>
        <w:rPr>
          <w:rFonts w:ascii="Arial Narrow" w:eastAsia="Calibri" w:hAnsi="Arial Narrow"/>
          <w:color w:val="auto"/>
          <w:lang w:eastAsia="es-CO"/>
        </w:rPr>
      </w:pPr>
    </w:p>
    <w:p w:rsidR="0014258C" w:rsidRPr="00DA65AA" w:rsidRDefault="0014258C" w:rsidP="0014258C">
      <w:pPr>
        <w:jc w:val="both"/>
        <w:rPr>
          <w:rFonts w:ascii="Arial Narrow" w:hAnsi="Arial Narrow" w:cs="Arial"/>
          <w:sz w:val="24"/>
          <w:szCs w:val="24"/>
        </w:rPr>
      </w:pPr>
      <w:r w:rsidRPr="00DA65AA">
        <w:rPr>
          <w:rFonts w:ascii="Arial Narrow" w:hAnsi="Arial Narrow" w:cs="Arial"/>
          <w:sz w:val="24"/>
          <w:szCs w:val="24"/>
        </w:rPr>
        <w:t xml:space="preserve">En esta sección se presentan las políticas en materia de prácticas de inversión y de financiamiento permitidas dentro de las operaciones realizadas por Subdirección de Tesorería.  Se define el perfil de riesgo global y las directrices de políticas y tipos de operaciones permitidas. </w:t>
      </w:r>
    </w:p>
    <w:p w:rsidR="0014258C" w:rsidRPr="00DA65AA" w:rsidRDefault="0014258C" w:rsidP="0014258C">
      <w:pPr>
        <w:pStyle w:val="Default"/>
        <w:jc w:val="both"/>
        <w:rPr>
          <w:rFonts w:ascii="Arial Narrow" w:eastAsia="Calibri" w:hAnsi="Arial Narrow"/>
          <w:color w:val="auto"/>
          <w:lang w:eastAsia="es-CO"/>
        </w:rPr>
      </w:pPr>
    </w:p>
    <w:p w:rsidR="0014258C" w:rsidRPr="00DA65AA" w:rsidRDefault="0014258C" w:rsidP="00BC5018">
      <w:pPr>
        <w:pStyle w:val="Ttulo3"/>
        <w:rPr>
          <w:rFonts w:eastAsia="Calibri" w:cs="Arial"/>
          <w:lang w:eastAsia="es-CO"/>
        </w:rPr>
      </w:pPr>
      <w:bookmarkStart w:id="28" w:name="_Toc4596424"/>
      <w:r w:rsidRPr="00DA65AA">
        <w:rPr>
          <w:rFonts w:eastAsia="Calibri"/>
          <w:lang w:eastAsia="es-CO"/>
        </w:rPr>
        <w:t>Perfil de Riesgo Global</w:t>
      </w:r>
      <w:bookmarkEnd w:id="28"/>
    </w:p>
    <w:p w:rsidR="0014258C" w:rsidRPr="00DA65AA" w:rsidRDefault="0014258C" w:rsidP="0014258C">
      <w:pPr>
        <w:jc w:val="both"/>
        <w:rPr>
          <w:rFonts w:ascii="Arial Narrow" w:hAnsi="Arial Narrow" w:cs="Arial"/>
          <w:sz w:val="24"/>
        </w:rPr>
      </w:pPr>
    </w:p>
    <w:p w:rsidR="0014258C" w:rsidRPr="00DA65AA" w:rsidRDefault="0014258C" w:rsidP="0014258C">
      <w:pPr>
        <w:jc w:val="both"/>
        <w:rPr>
          <w:rFonts w:ascii="Arial Narrow" w:hAnsi="Arial Narrow" w:cs="Arial"/>
          <w:sz w:val="24"/>
          <w:szCs w:val="24"/>
        </w:rPr>
      </w:pPr>
      <w:r w:rsidRPr="00DA65AA">
        <w:rPr>
          <w:rFonts w:ascii="Arial Narrow" w:hAnsi="Arial Narrow" w:cs="Arial"/>
          <w:sz w:val="24"/>
          <w:szCs w:val="24"/>
        </w:rPr>
        <w:t>Se destacan entre los objetivos de la Subdirección de Tesorería, los siguientes: 1. Coordinación con las políticas gubernamentales en materia fiscal, monetaria y cambiaria, y 2. Administración de los recursos en orden de asegurar el cumplimiento de las obligaciones de pago y de mantener la liquidez de la Nación.</w:t>
      </w:r>
    </w:p>
    <w:p w:rsidR="0014258C" w:rsidRPr="00DA65AA" w:rsidRDefault="0014258C" w:rsidP="0014258C">
      <w:pPr>
        <w:jc w:val="both"/>
        <w:rPr>
          <w:rFonts w:ascii="Arial Narrow" w:hAnsi="Arial Narrow" w:cs="Arial"/>
          <w:sz w:val="24"/>
          <w:szCs w:val="24"/>
        </w:rPr>
      </w:pPr>
    </w:p>
    <w:p w:rsidR="0014258C" w:rsidRPr="00DA65AA" w:rsidRDefault="0014258C" w:rsidP="0014258C">
      <w:pPr>
        <w:jc w:val="both"/>
        <w:rPr>
          <w:rFonts w:ascii="Arial Narrow" w:hAnsi="Arial Narrow" w:cs="Arial"/>
          <w:sz w:val="24"/>
          <w:szCs w:val="24"/>
        </w:rPr>
      </w:pPr>
      <w:r w:rsidRPr="00DA65AA">
        <w:rPr>
          <w:rFonts w:ascii="Arial Narrow" w:hAnsi="Arial Narrow" w:cs="Arial"/>
          <w:sz w:val="24"/>
          <w:szCs w:val="24"/>
        </w:rPr>
        <w:t>El perfil de riesgo de mercado de la DGCPTN es conservador.  Por tanto, la gestión de los productos, instrumentos financieros y los mercados en que la DGCPTN invierta serán escogidos con criterios de prudencia, seguridad y amplio reconocimiento de las contrapartes.  En resumen, para la DGCPTN prevalecerá una gestión que alcance bajos niveles de exposición a riesgo de mercado más allá que la obtención de beneficios económicos.  De acuerdo con esto, la Subdirección de Riesgo ha identificado dos pilares básicos a partir de los cuales se deben definir el conjunto de operaciones permitidas y los límites de exposición.</w:t>
      </w:r>
    </w:p>
    <w:p w:rsidR="0014258C" w:rsidRPr="00DA65AA" w:rsidRDefault="0014258C" w:rsidP="0014258C">
      <w:pPr>
        <w:jc w:val="both"/>
        <w:rPr>
          <w:rFonts w:ascii="Arial Narrow" w:hAnsi="Arial Narrow" w:cs="Arial"/>
          <w:sz w:val="24"/>
          <w:szCs w:val="24"/>
        </w:rPr>
      </w:pPr>
    </w:p>
    <w:p w:rsidR="0014258C" w:rsidRPr="00DA65AA" w:rsidRDefault="0014258C" w:rsidP="00C408EF">
      <w:pPr>
        <w:pStyle w:val="Prrafodelista"/>
        <w:numPr>
          <w:ilvl w:val="0"/>
          <w:numId w:val="6"/>
        </w:numPr>
        <w:ind w:left="567" w:hanging="283"/>
        <w:jc w:val="both"/>
        <w:rPr>
          <w:rFonts w:ascii="Arial Narrow" w:hAnsi="Arial Narrow" w:cs="Arial"/>
          <w:sz w:val="24"/>
          <w:szCs w:val="24"/>
        </w:rPr>
      </w:pPr>
      <w:r w:rsidRPr="00DA65AA">
        <w:rPr>
          <w:rFonts w:ascii="Arial Narrow" w:hAnsi="Arial Narrow" w:cs="Arial"/>
          <w:sz w:val="24"/>
          <w:szCs w:val="24"/>
        </w:rPr>
        <w:t xml:space="preserve">Correspondencia con el perfil de riesgo (conservador) definido para la gestión de los recursos. De acuerdo con esto, se debe considerar el riesgo según el tipo de activos subyacentes en las posiciones, las contrapartes y los mercados nacionales, entre otros.  </w:t>
      </w:r>
    </w:p>
    <w:p w:rsidR="0014258C" w:rsidRPr="00DA65AA" w:rsidRDefault="0014258C" w:rsidP="0014258C">
      <w:pPr>
        <w:pStyle w:val="Prrafodelista"/>
        <w:ind w:left="567"/>
        <w:jc w:val="both"/>
        <w:rPr>
          <w:rFonts w:ascii="Arial Narrow" w:hAnsi="Arial Narrow" w:cs="Arial"/>
          <w:sz w:val="24"/>
          <w:szCs w:val="24"/>
        </w:rPr>
      </w:pPr>
    </w:p>
    <w:p w:rsidR="0014258C" w:rsidRPr="00DA65AA" w:rsidRDefault="0014258C" w:rsidP="00C408EF">
      <w:pPr>
        <w:pStyle w:val="Prrafodelista"/>
        <w:numPr>
          <w:ilvl w:val="0"/>
          <w:numId w:val="6"/>
        </w:numPr>
        <w:ind w:left="567" w:hanging="283"/>
        <w:jc w:val="both"/>
        <w:rPr>
          <w:rFonts w:ascii="Arial Narrow" w:hAnsi="Arial Narrow" w:cs="Arial"/>
          <w:sz w:val="24"/>
          <w:szCs w:val="24"/>
        </w:rPr>
      </w:pPr>
      <w:r w:rsidRPr="00DA65AA">
        <w:rPr>
          <w:rFonts w:ascii="Arial Narrow" w:hAnsi="Arial Narrow" w:cs="Arial"/>
          <w:sz w:val="24"/>
          <w:szCs w:val="24"/>
        </w:rPr>
        <w:lastRenderedPageBreak/>
        <w:t>Consistencia en el tiempo. Los límites deben determinarse considerando escenarios potenciales de f</w:t>
      </w:r>
      <w:r w:rsidR="00A57890">
        <w:rPr>
          <w:rFonts w:ascii="Arial Narrow" w:hAnsi="Arial Narrow" w:cs="Arial"/>
          <w:sz w:val="24"/>
          <w:szCs w:val="24"/>
        </w:rPr>
        <w:t>lujo de recursos, de forma que e</w:t>
      </w:r>
      <w:r w:rsidRPr="00DA65AA">
        <w:rPr>
          <w:rFonts w:ascii="Arial Narrow" w:hAnsi="Arial Narrow" w:cs="Arial"/>
          <w:sz w:val="24"/>
          <w:szCs w:val="24"/>
        </w:rPr>
        <w:t>stos no dependan estrictamente del tamaño del portafolio.</w:t>
      </w:r>
    </w:p>
    <w:p w:rsidR="003C686A" w:rsidRPr="00DA65AA" w:rsidRDefault="003C686A" w:rsidP="00BC5018">
      <w:pPr>
        <w:pStyle w:val="Ttulo3"/>
        <w:numPr>
          <w:ilvl w:val="0"/>
          <w:numId w:val="0"/>
        </w:numPr>
      </w:pPr>
    </w:p>
    <w:p w:rsidR="003C686A" w:rsidRPr="00DA65AA" w:rsidRDefault="00BC5018" w:rsidP="00BC5018">
      <w:pPr>
        <w:pStyle w:val="Ttulo3"/>
      </w:pPr>
      <w:bookmarkStart w:id="29" w:name="_Toc4596425"/>
      <w:r w:rsidRPr="00DA65AA">
        <w:t>Directrices</w:t>
      </w:r>
      <w:bookmarkEnd w:id="29"/>
    </w:p>
    <w:p w:rsidR="00BC5018" w:rsidRPr="00DA65AA" w:rsidRDefault="00BC5018" w:rsidP="00BC5018">
      <w:pPr>
        <w:rPr>
          <w:rFonts w:ascii="Arial Narrow" w:hAnsi="Arial Narrow"/>
        </w:rPr>
      </w:pPr>
    </w:p>
    <w:p w:rsidR="00BC5018" w:rsidRPr="00DA65AA" w:rsidRDefault="00BC5018" w:rsidP="006D1283">
      <w:pPr>
        <w:pStyle w:val="Ttulo4"/>
      </w:pPr>
      <w:bookmarkStart w:id="30" w:name="_Toc4596426"/>
      <w:r w:rsidRPr="00DA65AA">
        <w:t>Directrices en Materia de Instancias de Aprobación</w:t>
      </w:r>
      <w:bookmarkEnd w:id="30"/>
    </w:p>
    <w:p w:rsidR="00BC5018" w:rsidRPr="00DA65AA" w:rsidRDefault="00BC5018" w:rsidP="00BC5018">
      <w:pPr>
        <w:jc w:val="both"/>
        <w:rPr>
          <w:rFonts w:ascii="Arial Narrow" w:hAnsi="Arial Narrow" w:cs="Arial"/>
          <w:sz w:val="24"/>
        </w:rPr>
      </w:pPr>
    </w:p>
    <w:p w:rsidR="00BC5018" w:rsidRPr="00DA65AA" w:rsidRDefault="00BC5018" w:rsidP="00BC5018">
      <w:pPr>
        <w:pStyle w:val="Prrafodelista"/>
        <w:ind w:left="0"/>
        <w:jc w:val="both"/>
        <w:rPr>
          <w:rFonts w:ascii="Arial Narrow" w:hAnsi="Arial Narrow" w:cs="Arial"/>
          <w:sz w:val="24"/>
          <w:szCs w:val="24"/>
        </w:rPr>
      </w:pPr>
      <w:r w:rsidRPr="00DA65AA">
        <w:rPr>
          <w:rFonts w:ascii="Arial Narrow" w:hAnsi="Arial Narrow" w:cs="Arial"/>
          <w:sz w:val="24"/>
          <w:szCs w:val="24"/>
        </w:rPr>
        <w:t xml:space="preserve">Para la implementación de las políticas de riesgo, junto con las directrices y límites establecidos, la Dirección General de Crédito Público y Tesoro Nacional – DGCPTN debe contar con instancias de aprobación que permitan de manera diligente la adecuada gestión del sistema de administración de riesgo.  </w:t>
      </w:r>
    </w:p>
    <w:p w:rsidR="00BC5018" w:rsidRPr="00DA65AA" w:rsidRDefault="00BC5018" w:rsidP="00BC5018">
      <w:pPr>
        <w:pStyle w:val="Prrafodelista"/>
        <w:ind w:left="0"/>
        <w:jc w:val="both"/>
        <w:rPr>
          <w:rFonts w:ascii="Arial Narrow" w:hAnsi="Arial Narrow" w:cs="Arial"/>
          <w:sz w:val="24"/>
          <w:szCs w:val="24"/>
        </w:rPr>
      </w:pPr>
    </w:p>
    <w:p w:rsidR="00BC5018" w:rsidRPr="00DA65AA" w:rsidRDefault="00BC5018" w:rsidP="00BC5018">
      <w:pPr>
        <w:pStyle w:val="Prrafodelista"/>
        <w:ind w:left="0"/>
        <w:jc w:val="both"/>
        <w:rPr>
          <w:rFonts w:ascii="Arial Narrow" w:hAnsi="Arial Narrow" w:cs="Arial"/>
          <w:sz w:val="24"/>
          <w:szCs w:val="24"/>
        </w:rPr>
      </w:pPr>
      <w:r w:rsidRPr="00DA65AA">
        <w:rPr>
          <w:rFonts w:ascii="Arial Narrow" w:hAnsi="Arial Narrow" w:cs="Arial"/>
          <w:sz w:val="24"/>
          <w:szCs w:val="24"/>
        </w:rPr>
        <w:t>Estas instancias constituyen la interacción desde el Comité de Tesorería hacia la DGCPTN, y esta a su vez con la gestión del manejo de los excedentes de liquidez a través de las operaciones de la tesorería y la administración de riesgo de mercado. Estas interacciones se definen de la siguiente manera:</w:t>
      </w:r>
    </w:p>
    <w:p w:rsidR="00BC5018" w:rsidRPr="00DA65AA" w:rsidRDefault="00BC5018" w:rsidP="00BC5018">
      <w:pPr>
        <w:pStyle w:val="Prrafodelista"/>
        <w:ind w:left="0"/>
        <w:jc w:val="both"/>
        <w:rPr>
          <w:rFonts w:ascii="Arial Narrow" w:hAnsi="Arial Narrow" w:cs="Arial"/>
          <w:sz w:val="24"/>
          <w:szCs w:val="24"/>
        </w:rPr>
      </w:pPr>
    </w:p>
    <w:p w:rsidR="00BC5018" w:rsidRPr="00DA65AA" w:rsidRDefault="00BC5018" w:rsidP="00C408EF">
      <w:pPr>
        <w:pStyle w:val="Prrafodelista"/>
        <w:numPr>
          <w:ilvl w:val="0"/>
          <w:numId w:val="7"/>
        </w:numPr>
        <w:jc w:val="both"/>
        <w:rPr>
          <w:rFonts w:ascii="Arial Narrow" w:hAnsi="Arial Narrow" w:cs="Arial"/>
          <w:b/>
          <w:sz w:val="24"/>
          <w:szCs w:val="24"/>
        </w:rPr>
      </w:pPr>
      <w:r w:rsidRPr="00DA65AA">
        <w:rPr>
          <w:rFonts w:ascii="Arial Narrow" w:hAnsi="Arial Narrow" w:cs="Arial"/>
          <w:b/>
          <w:sz w:val="24"/>
          <w:szCs w:val="24"/>
        </w:rPr>
        <w:t xml:space="preserve">Consejo Superior de Política Fiscal - CONFIS: </w:t>
      </w:r>
      <w:r w:rsidRPr="00DA65AA">
        <w:rPr>
          <w:rFonts w:ascii="Arial Narrow" w:eastAsia="Batang" w:hAnsi="Arial Narrow" w:cs="Arial"/>
          <w:sz w:val="24"/>
          <w:lang w:eastAsia="en-US"/>
        </w:rPr>
        <w:t>El CONFIS, mediante Resolución 002 de 2006 delega en el Comité de Tesorería del MHCP el seguimiento de las operaciones de crédito público de manejo y asunción de deuda y prefinanciamiento y se pronuncie con el fin de establecer que el gasto en intereses, comisiones y gastos de deuda que estas generan se encuentra ajustado al Marco Fiscal de Mediano Plazo.</w:t>
      </w:r>
    </w:p>
    <w:p w:rsidR="00BC5018" w:rsidRPr="00DA65AA" w:rsidRDefault="00BC5018" w:rsidP="00BC5018">
      <w:pPr>
        <w:jc w:val="both"/>
        <w:rPr>
          <w:rFonts w:ascii="Arial Narrow" w:hAnsi="Arial Narrow" w:cs="Arial"/>
          <w:b/>
          <w:sz w:val="24"/>
        </w:rPr>
      </w:pPr>
    </w:p>
    <w:p w:rsidR="00BC5018" w:rsidRPr="00DA65AA" w:rsidRDefault="00BC5018" w:rsidP="00C408EF">
      <w:pPr>
        <w:pStyle w:val="Prrafodelista"/>
        <w:numPr>
          <w:ilvl w:val="0"/>
          <w:numId w:val="7"/>
        </w:numPr>
        <w:jc w:val="both"/>
        <w:rPr>
          <w:rFonts w:ascii="Arial Narrow" w:hAnsi="Arial Narrow" w:cs="Arial"/>
          <w:b/>
          <w:sz w:val="24"/>
          <w:szCs w:val="24"/>
        </w:rPr>
      </w:pPr>
      <w:r w:rsidRPr="00DA65AA">
        <w:rPr>
          <w:rFonts w:ascii="Arial Narrow" w:hAnsi="Arial Narrow" w:cs="Arial"/>
          <w:b/>
          <w:sz w:val="24"/>
          <w:szCs w:val="24"/>
        </w:rPr>
        <w:t xml:space="preserve">Comité de Tesorería: </w:t>
      </w:r>
      <w:r w:rsidRPr="00DA65AA">
        <w:rPr>
          <w:rFonts w:ascii="Arial Narrow" w:eastAsia="Batang" w:hAnsi="Arial Narrow" w:cs="Arial"/>
          <w:sz w:val="24"/>
          <w:lang w:eastAsia="en-US"/>
        </w:rPr>
        <w:t>Mediante la resolución 143 de 2010 el Comité de Tesorería tiene como función, entre otras, la de proponer las políticas para que las operaciones de tesorería estén coordinadas con las políticas gubernamentales en materia fiscal</w:t>
      </w:r>
      <w:r w:rsidR="00A57890">
        <w:rPr>
          <w:rFonts w:ascii="Arial Narrow" w:eastAsia="Batang" w:hAnsi="Arial Narrow" w:cs="Arial"/>
          <w:sz w:val="24"/>
          <w:lang w:eastAsia="en-US"/>
        </w:rPr>
        <w:t>,</w:t>
      </w:r>
      <w:r w:rsidRPr="00DA65AA">
        <w:rPr>
          <w:rFonts w:ascii="Arial Narrow" w:eastAsia="Batang" w:hAnsi="Arial Narrow" w:cs="Arial"/>
          <w:sz w:val="24"/>
          <w:lang w:eastAsia="en-US"/>
        </w:rPr>
        <w:t xml:space="preserve"> monetaria y cambiaria. </w:t>
      </w:r>
    </w:p>
    <w:p w:rsidR="00BC5018" w:rsidRPr="00DA65AA" w:rsidRDefault="00BC5018" w:rsidP="00BC5018">
      <w:pPr>
        <w:pStyle w:val="Prrafodelista"/>
        <w:ind w:left="0"/>
        <w:jc w:val="both"/>
        <w:rPr>
          <w:rFonts w:ascii="Arial Narrow" w:hAnsi="Arial Narrow" w:cs="Arial"/>
          <w:sz w:val="24"/>
          <w:szCs w:val="24"/>
        </w:rPr>
      </w:pPr>
    </w:p>
    <w:p w:rsidR="00BC5018" w:rsidRPr="00DA65AA" w:rsidRDefault="00BC5018" w:rsidP="00C408EF">
      <w:pPr>
        <w:pStyle w:val="Prrafodelista"/>
        <w:numPr>
          <w:ilvl w:val="0"/>
          <w:numId w:val="7"/>
        </w:numPr>
        <w:jc w:val="both"/>
        <w:rPr>
          <w:rFonts w:ascii="Arial Narrow" w:hAnsi="Arial Narrow" w:cs="Arial"/>
          <w:b/>
          <w:sz w:val="24"/>
          <w:szCs w:val="24"/>
        </w:rPr>
      </w:pPr>
      <w:r w:rsidRPr="00DA65AA">
        <w:rPr>
          <w:rFonts w:ascii="Arial Narrow" w:hAnsi="Arial Narrow" w:cs="Arial"/>
          <w:b/>
          <w:sz w:val="24"/>
          <w:szCs w:val="24"/>
        </w:rPr>
        <w:t xml:space="preserve">Director DGCPTN: </w:t>
      </w:r>
      <w:r w:rsidRPr="00DA65AA">
        <w:rPr>
          <w:rFonts w:ascii="Arial Narrow" w:hAnsi="Arial Narrow" w:cs="Arial"/>
          <w:sz w:val="24"/>
        </w:rPr>
        <w:t>Dirige y administra el diseño, la ejecución, coordinación, vigilancia y políticas de riesgo de las operaciones de la Subdirección de Tesorería.</w:t>
      </w:r>
    </w:p>
    <w:p w:rsidR="00BC5018" w:rsidRPr="00DA65AA" w:rsidRDefault="00BC5018" w:rsidP="00BC5018">
      <w:pPr>
        <w:jc w:val="both"/>
        <w:rPr>
          <w:rFonts w:ascii="Arial Narrow" w:hAnsi="Arial Narrow" w:cs="Arial"/>
          <w:b/>
          <w:sz w:val="24"/>
        </w:rPr>
      </w:pPr>
    </w:p>
    <w:p w:rsidR="00BC5018" w:rsidRPr="00DA65AA" w:rsidRDefault="00BC5018" w:rsidP="00C408EF">
      <w:pPr>
        <w:pStyle w:val="Prrafodelista"/>
        <w:numPr>
          <w:ilvl w:val="0"/>
          <w:numId w:val="7"/>
        </w:numPr>
        <w:jc w:val="both"/>
        <w:rPr>
          <w:rFonts w:ascii="Arial Narrow" w:hAnsi="Arial Narrow" w:cs="Arial"/>
          <w:b/>
          <w:sz w:val="24"/>
          <w:szCs w:val="24"/>
        </w:rPr>
      </w:pPr>
      <w:r w:rsidRPr="00DA65AA">
        <w:rPr>
          <w:rFonts w:ascii="Arial Narrow" w:hAnsi="Arial Narrow" w:cs="Arial"/>
          <w:b/>
          <w:sz w:val="24"/>
          <w:szCs w:val="24"/>
        </w:rPr>
        <w:t xml:space="preserve">Subdirector de Tesorería: </w:t>
      </w:r>
      <w:r w:rsidRPr="00DA65AA">
        <w:rPr>
          <w:rFonts w:ascii="Arial Narrow" w:hAnsi="Arial Narrow" w:cs="Arial"/>
          <w:sz w:val="24"/>
        </w:rPr>
        <w:t>Dirige, administra y realiza las operaciones de tesorería a que está facultada la DGCPTN, tendientes a la consecución de recursos, a la colocación directa o a través de intermediarios especializados de los excedentes de liquidez y de los portafolios administrados, entre otros aspectos, de conformidad con las disposiciones legales y de las políticas de riesgo definidas en el presente manual.</w:t>
      </w:r>
      <w:r w:rsidRPr="00DA65AA">
        <w:rPr>
          <w:rFonts w:ascii="Arial Narrow" w:hAnsi="Arial Narrow" w:cs="Arial"/>
          <w:sz w:val="24"/>
        </w:rPr>
        <w:cr/>
      </w:r>
    </w:p>
    <w:p w:rsidR="00BC5018" w:rsidRPr="00DA65AA" w:rsidRDefault="00BC5018" w:rsidP="00C408EF">
      <w:pPr>
        <w:pStyle w:val="Prrafodelista"/>
        <w:numPr>
          <w:ilvl w:val="0"/>
          <w:numId w:val="7"/>
        </w:numPr>
        <w:jc w:val="both"/>
        <w:rPr>
          <w:rFonts w:ascii="Arial Narrow" w:hAnsi="Arial Narrow" w:cs="Arial"/>
          <w:b/>
          <w:sz w:val="24"/>
          <w:szCs w:val="24"/>
        </w:rPr>
      </w:pPr>
      <w:r w:rsidRPr="00DA65AA">
        <w:rPr>
          <w:rFonts w:ascii="Arial Narrow" w:hAnsi="Arial Narrow" w:cs="Arial"/>
          <w:b/>
          <w:sz w:val="24"/>
          <w:szCs w:val="24"/>
        </w:rPr>
        <w:t xml:space="preserve">Subdirector de Riesgo: </w:t>
      </w:r>
      <w:r w:rsidRPr="00DA65AA">
        <w:rPr>
          <w:rFonts w:ascii="Arial Narrow" w:eastAsia="Calibri" w:hAnsi="Arial Narrow" w:cs="Arial"/>
          <w:sz w:val="24"/>
          <w:szCs w:val="24"/>
          <w:lang w:val="es-CO" w:eastAsia="es-CO"/>
        </w:rPr>
        <w:t>Diseña las políticas, directrices y estrategias de administración del riesgo de las operaciones de tesorería, además diseña, propone y controla los límites de riesgo de contraparte y riesgo de mercado en las operaciones de la DGCPTN, realiza su seguimiento y recomienda los ajustes pertinentes. También propone los lineamientos de riesgos aplicables en las negociaciones de contratos relacionados con operaciones de tesorería y verifica su cumplimiento.</w:t>
      </w:r>
    </w:p>
    <w:p w:rsidR="00BC5018" w:rsidRPr="00DA65AA" w:rsidRDefault="00BC5018" w:rsidP="00BC5018">
      <w:pPr>
        <w:pStyle w:val="Prrafodelista"/>
        <w:ind w:left="0"/>
        <w:jc w:val="both"/>
        <w:rPr>
          <w:rFonts w:ascii="Arial Narrow" w:hAnsi="Arial Narrow" w:cs="Arial"/>
          <w:b/>
          <w:sz w:val="24"/>
          <w:szCs w:val="24"/>
        </w:rPr>
      </w:pPr>
    </w:p>
    <w:p w:rsidR="00BC5018" w:rsidRPr="00DA65AA" w:rsidRDefault="00BC5018" w:rsidP="00C408EF">
      <w:pPr>
        <w:pStyle w:val="Prrafodelista"/>
        <w:numPr>
          <w:ilvl w:val="0"/>
          <w:numId w:val="7"/>
        </w:numPr>
        <w:jc w:val="both"/>
        <w:rPr>
          <w:rFonts w:ascii="Arial Narrow" w:hAnsi="Arial Narrow" w:cs="Arial"/>
          <w:b/>
          <w:sz w:val="24"/>
          <w:szCs w:val="24"/>
        </w:rPr>
      </w:pPr>
      <w:r w:rsidRPr="00DA65AA">
        <w:rPr>
          <w:rFonts w:ascii="Arial Narrow" w:hAnsi="Arial Narrow" w:cs="Arial"/>
          <w:b/>
          <w:sz w:val="24"/>
          <w:szCs w:val="24"/>
        </w:rPr>
        <w:lastRenderedPageBreak/>
        <w:t xml:space="preserve">Reunión Técnica de Riesgos: </w:t>
      </w:r>
      <w:r w:rsidRPr="00DA65AA">
        <w:rPr>
          <w:rFonts w:ascii="Arial Narrow" w:hAnsi="Arial Narrow" w:cs="Arial"/>
          <w:sz w:val="24"/>
          <w:szCs w:val="24"/>
        </w:rPr>
        <w:t>Evalúa las propuestas y recomendaciones para incorporar o modificar directrices, lineamientos, límites de riesgo, metodologías y procedimientos de los riesgos asociados a las operaciones de tesorería, para su posterior aprobación por las instancias mencionadas anteriormente.</w:t>
      </w:r>
    </w:p>
    <w:p w:rsidR="00BC5018" w:rsidRPr="00DA65AA" w:rsidRDefault="00BC5018" w:rsidP="00BC5018">
      <w:pPr>
        <w:jc w:val="both"/>
        <w:rPr>
          <w:rFonts w:ascii="Arial Narrow" w:hAnsi="Arial Narrow" w:cs="Arial"/>
          <w:sz w:val="24"/>
        </w:rPr>
      </w:pPr>
    </w:p>
    <w:p w:rsidR="003C686A" w:rsidRPr="00DA65AA" w:rsidRDefault="00BC5018" w:rsidP="006D1283">
      <w:pPr>
        <w:pStyle w:val="Ttulo4"/>
      </w:pPr>
      <w:bookmarkStart w:id="31" w:name="_Toc4596427"/>
      <w:r w:rsidRPr="00DA65AA">
        <w:t>Directrices en Materia de Exposición al Riesgo de Mercado</w:t>
      </w:r>
      <w:bookmarkEnd w:id="31"/>
    </w:p>
    <w:p w:rsidR="00BC5018" w:rsidRPr="00DA65AA" w:rsidRDefault="00BC5018" w:rsidP="00BC5018">
      <w:pPr>
        <w:rPr>
          <w:rFonts w:ascii="Arial Narrow" w:hAnsi="Arial Narrow"/>
        </w:rPr>
      </w:pPr>
    </w:p>
    <w:p w:rsidR="009B3CFC" w:rsidRPr="00DA65AA" w:rsidRDefault="009B3CFC" w:rsidP="009B3CFC">
      <w:pPr>
        <w:jc w:val="both"/>
        <w:rPr>
          <w:rFonts w:ascii="Arial Narrow" w:hAnsi="Arial Narrow" w:cs="Arial"/>
          <w:sz w:val="24"/>
        </w:rPr>
      </w:pPr>
      <w:r w:rsidRPr="00DA65AA">
        <w:rPr>
          <w:rFonts w:ascii="Arial Narrow" w:hAnsi="Arial Narrow" w:cs="Arial"/>
          <w:sz w:val="24"/>
        </w:rPr>
        <w:t>El riesgo de mercado está relacionado con la posibilidad que la DGCPTN incurra en pérdidas asociadas a la disminución significativa del valor de los portafolios que administra, por efecto de cambios en el precio de los instrumentos financieros.</w:t>
      </w:r>
    </w:p>
    <w:p w:rsidR="009B3CFC" w:rsidRPr="00DA65AA" w:rsidRDefault="009B3CFC" w:rsidP="009B3CFC">
      <w:pPr>
        <w:jc w:val="both"/>
        <w:rPr>
          <w:rFonts w:ascii="Arial Narrow" w:hAnsi="Arial Narrow" w:cs="Arial"/>
          <w:sz w:val="24"/>
        </w:rPr>
      </w:pPr>
    </w:p>
    <w:p w:rsidR="009B3CFC" w:rsidRPr="00DA65AA" w:rsidRDefault="009B3CFC" w:rsidP="009B3CFC">
      <w:pPr>
        <w:jc w:val="both"/>
        <w:rPr>
          <w:rFonts w:ascii="Arial Narrow" w:hAnsi="Arial Narrow" w:cs="Arial"/>
          <w:sz w:val="24"/>
        </w:rPr>
      </w:pPr>
      <w:r w:rsidRPr="00DA65AA">
        <w:rPr>
          <w:rFonts w:ascii="Arial Narrow" w:hAnsi="Arial Narrow" w:cs="Arial"/>
          <w:sz w:val="24"/>
        </w:rPr>
        <w:t>Por esta razón, la DGCPTN debe aprobar el nivel máximo de exposición al riesgo (pérdida potencial por valoración), el cual podrá ser modificado de acuerdo con la estrategia de deuda y en general las políticas de la Dirección.</w:t>
      </w:r>
    </w:p>
    <w:p w:rsidR="009B3CFC" w:rsidRPr="00DA65AA" w:rsidRDefault="009B3CFC" w:rsidP="009B3CFC">
      <w:pPr>
        <w:jc w:val="both"/>
        <w:rPr>
          <w:rFonts w:ascii="Arial Narrow" w:hAnsi="Arial Narrow" w:cs="Arial"/>
          <w:sz w:val="24"/>
          <w:u w:val="single"/>
        </w:rPr>
      </w:pPr>
    </w:p>
    <w:p w:rsidR="009B3CFC" w:rsidRPr="00DA65AA" w:rsidRDefault="002811CE" w:rsidP="009B3CFC">
      <w:pPr>
        <w:jc w:val="both"/>
        <w:rPr>
          <w:rFonts w:ascii="Arial Narrow" w:hAnsi="Arial Narrow" w:cs="Arial"/>
          <w:sz w:val="24"/>
        </w:rPr>
      </w:pPr>
      <w:r>
        <w:rPr>
          <w:rFonts w:ascii="Arial Narrow" w:hAnsi="Arial Narrow" w:cs="Arial"/>
          <w:sz w:val="24"/>
        </w:rPr>
        <w:t>El D</w:t>
      </w:r>
      <w:r w:rsidR="009B3CFC" w:rsidRPr="00DA65AA">
        <w:rPr>
          <w:rFonts w:ascii="Arial Narrow" w:hAnsi="Arial Narrow" w:cs="Arial"/>
          <w:sz w:val="24"/>
        </w:rPr>
        <w:t xml:space="preserve">ecreto 1068 de 2015 define la manera en que la Subdirección de Tesorería realiza el manejo de los excedentes de liquidez obtenidos de los recursos públicos del Sistema de Cuenta Única Nacional (SCUN), de los fondos administrados y del </w:t>
      </w:r>
      <w:r>
        <w:rPr>
          <w:rFonts w:ascii="Arial Narrow" w:hAnsi="Arial Narrow" w:cs="Arial"/>
          <w:sz w:val="24"/>
        </w:rPr>
        <w:t>S</w:t>
      </w:r>
      <w:r w:rsidR="009B3CFC" w:rsidRPr="00DA65AA">
        <w:rPr>
          <w:rFonts w:ascii="Arial Narrow" w:hAnsi="Arial Narrow" w:cs="Arial"/>
          <w:sz w:val="24"/>
        </w:rPr>
        <w:t xml:space="preserve">istema General de Regalías (SGR), entre otros.  Estos recursos son invertidos en diferentes instrumentos de inversión para obtener una rentabilidad.  No obstante, están expuestos a los cambios en los factores de riesgo de mercado, como tasas de interés, tasas de cambio, índices de precios, entre otros, que pueden afectar significativamente el estado de resultados. </w:t>
      </w:r>
    </w:p>
    <w:p w:rsidR="009B3CFC" w:rsidRPr="00DA65AA" w:rsidRDefault="009B3CFC" w:rsidP="009B3CFC">
      <w:pPr>
        <w:jc w:val="both"/>
        <w:rPr>
          <w:rFonts w:ascii="Arial Narrow" w:hAnsi="Arial Narrow" w:cs="Arial"/>
          <w:sz w:val="24"/>
        </w:rPr>
      </w:pPr>
    </w:p>
    <w:p w:rsidR="009B3CFC" w:rsidRPr="00DA65AA" w:rsidRDefault="009B3CFC" w:rsidP="009B3CFC">
      <w:pPr>
        <w:jc w:val="both"/>
        <w:rPr>
          <w:rFonts w:ascii="Arial Narrow" w:hAnsi="Arial Narrow" w:cs="Arial"/>
          <w:sz w:val="24"/>
        </w:rPr>
      </w:pPr>
      <w:r w:rsidRPr="00DA65AA">
        <w:rPr>
          <w:rFonts w:ascii="Arial Narrow" w:hAnsi="Arial Narrow" w:cs="Arial"/>
          <w:sz w:val="24"/>
        </w:rPr>
        <w:t>En consecuencia, se establecerán controles de riesgo al portafolio administrado y se realizará un seguimiento permanente de los mismos.</w:t>
      </w:r>
    </w:p>
    <w:p w:rsidR="009B3CFC" w:rsidRPr="00DA65AA" w:rsidRDefault="009B3CFC" w:rsidP="009B3CFC">
      <w:pPr>
        <w:jc w:val="both"/>
        <w:rPr>
          <w:rFonts w:ascii="Arial Narrow" w:hAnsi="Arial Narrow" w:cs="Arial"/>
          <w:sz w:val="24"/>
        </w:rPr>
      </w:pPr>
    </w:p>
    <w:p w:rsidR="009B3CFC" w:rsidRPr="00DA65AA" w:rsidRDefault="009B3CFC" w:rsidP="009B3CFC">
      <w:pPr>
        <w:jc w:val="both"/>
        <w:rPr>
          <w:rFonts w:ascii="Arial Narrow" w:hAnsi="Arial Narrow" w:cs="Arial"/>
          <w:sz w:val="24"/>
        </w:rPr>
      </w:pPr>
      <w:r w:rsidRPr="00DA65AA">
        <w:rPr>
          <w:rFonts w:ascii="Arial Narrow" w:hAnsi="Arial Narrow" w:cs="Arial"/>
          <w:sz w:val="24"/>
        </w:rPr>
        <w:t>En concordancia con el perfil de riesgo, se deben establecer las siguientes actividades por parte de la Subdirección de Riesgo:</w:t>
      </w:r>
    </w:p>
    <w:p w:rsidR="009B3CFC" w:rsidRPr="00DA65AA" w:rsidRDefault="009B3CFC" w:rsidP="009B3CFC">
      <w:pPr>
        <w:jc w:val="both"/>
        <w:rPr>
          <w:rFonts w:ascii="Arial Narrow" w:hAnsi="Arial Narrow" w:cs="Arial"/>
          <w:sz w:val="24"/>
        </w:rPr>
      </w:pPr>
    </w:p>
    <w:p w:rsidR="009B3CFC" w:rsidRPr="00DA65AA" w:rsidRDefault="009B3CFC" w:rsidP="00C408EF">
      <w:pPr>
        <w:pStyle w:val="Prrafodelista"/>
        <w:numPr>
          <w:ilvl w:val="0"/>
          <w:numId w:val="8"/>
        </w:numPr>
        <w:ind w:left="567" w:hanging="283"/>
        <w:jc w:val="both"/>
        <w:rPr>
          <w:rFonts w:ascii="Arial Narrow" w:hAnsi="Arial Narrow" w:cs="Arial"/>
          <w:sz w:val="24"/>
          <w:szCs w:val="24"/>
        </w:rPr>
      </w:pPr>
      <w:r w:rsidRPr="00DA65AA">
        <w:rPr>
          <w:rFonts w:ascii="Arial Narrow" w:hAnsi="Arial Narrow" w:cs="Arial"/>
          <w:sz w:val="24"/>
          <w:szCs w:val="24"/>
        </w:rPr>
        <w:t>Revisar diariamente la valoración de los instrumentos que se encuentran en el portafolio</w:t>
      </w:r>
    </w:p>
    <w:p w:rsidR="009B3CFC" w:rsidRPr="00DA65AA" w:rsidRDefault="009B3CFC" w:rsidP="00C408EF">
      <w:pPr>
        <w:pStyle w:val="Prrafodelista"/>
        <w:numPr>
          <w:ilvl w:val="0"/>
          <w:numId w:val="8"/>
        </w:numPr>
        <w:ind w:left="567" w:hanging="283"/>
        <w:jc w:val="both"/>
        <w:rPr>
          <w:rFonts w:ascii="Arial Narrow" w:hAnsi="Arial Narrow" w:cs="Arial"/>
          <w:sz w:val="24"/>
          <w:szCs w:val="24"/>
        </w:rPr>
      </w:pPr>
      <w:r w:rsidRPr="00DA65AA">
        <w:rPr>
          <w:rFonts w:ascii="Arial Narrow" w:hAnsi="Arial Narrow" w:cs="Arial"/>
          <w:sz w:val="24"/>
          <w:szCs w:val="24"/>
        </w:rPr>
        <w:t xml:space="preserve">Realizar seguimiento al procedimiento de arqueo de las inversiones realizadas y conciliaciones bancarias </w:t>
      </w:r>
    </w:p>
    <w:p w:rsidR="009B3CFC" w:rsidRPr="00DA65AA" w:rsidRDefault="009B3CFC" w:rsidP="00C408EF">
      <w:pPr>
        <w:pStyle w:val="Prrafodelista"/>
        <w:numPr>
          <w:ilvl w:val="0"/>
          <w:numId w:val="8"/>
        </w:numPr>
        <w:ind w:left="567" w:hanging="283"/>
        <w:jc w:val="both"/>
        <w:rPr>
          <w:rFonts w:ascii="Arial Narrow" w:hAnsi="Arial Narrow" w:cs="Arial"/>
          <w:sz w:val="24"/>
          <w:szCs w:val="24"/>
        </w:rPr>
      </w:pPr>
      <w:r w:rsidRPr="00DA65AA">
        <w:rPr>
          <w:rFonts w:ascii="Arial Narrow" w:hAnsi="Arial Narrow" w:cs="Arial"/>
          <w:sz w:val="24"/>
          <w:szCs w:val="24"/>
        </w:rPr>
        <w:t>Realizar una permanente medición del riesgo al portafolio de la DGCPTN a partir de modelos internos que cuantifiquen las pérdidas potenciales, los cuales son desarrollados, debidamente documentados y cal</w:t>
      </w:r>
      <w:r w:rsidR="002811CE">
        <w:rPr>
          <w:rFonts w:ascii="Arial Narrow" w:hAnsi="Arial Narrow" w:cs="Arial"/>
          <w:sz w:val="24"/>
          <w:szCs w:val="24"/>
        </w:rPr>
        <w:t>ibrados por la Subdirección de R</w:t>
      </w:r>
      <w:r w:rsidRPr="00DA65AA">
        <w:rPr>
          <w:rFonts w:ascii="Arial Narrow" w:hAnsi="Arial Narrow" w:cs="Arial"/>
          <w:sz w:val="24"/>
          <w:szCs w:val="24"/>
        </w:rPr>
        <w:t xml:space="preserve">iesgo con el fin de realizar el respectivo control de los </w:t>
      </w:r>
      <w:r w:rsidR="00C9489C">
        <w:rPr>
          <w:rFonts w:ascii="Arial Narrow" w:hAnsi="Arial Narrow" w:cs="Arial"/>
          <w:sz w:val="24"/>
          <w:szCs w:val="24"/>
        </w:rPr>
        <w:t>riesgos asociados al portafolio</w:t>
      </w:r>
    </w:p>
    <w:p w:rsidR="009B3CFC" w:rsidRPr="00DA65AA" w:rsidRDefault="009B3CFC" w:rsidP="00C408EF">
      <w:pPr>
        <w:pStyle w:val="Prrafodelista"/>
        <w:numPr>
          <w:ilvl w:val="0"/>
          <w:numId w:val="8"/>
        </w:numPr>
        <w:ind w:left="567" w:hanging="283"/>
        <w:jc w:val="both"/>
        <w:rPr>
          <w:rFonts w:ascii="Arial Narrow" w:hAnsi="Arial Narrow" w:cs="Arial"/>
          <w:sz w:val="24"/>
          <w:szCs w:val="24"/>
        </w:rPr>
      </w:pPr>
      <w:r w:rsidRPr="00DA65AA">
        <w:rPr>
          <w:rFonts w:ascii="Arial Narrow" w:hAnsi="Arial Narrow" w:cs="Arial"/>
          <w:sz w:val="24"/>
          <w:szCs w:val="24"/>
        </w:rPr>
        <w:t>Hacer seguimiento al estado de resultados del portafolio administrado por la Tesorería de la DGCPTN</w:t>
      </w:r>
    </w:p>
    <w:p w:rsidR="009B3CFC" w:rsidRPr="00DA65AA" w:rsidRDefault="009B3CFC" w:rsidP="00C408EF">
      <w:pPr>
        <w:pStyle w:val="Prrafodelista"/>
        <w:numPr>
          <w:ilvl w:val="0"/>
          <w:numId w:val="8"/>
        </w:numPr>
        <w:ind w:left="567" w:hanging="283"/>
        <w:jc w:val="both"/>
        <w:rPr>
          <w:rFonts w:ascii="Arial Narrow" w:hAnsi="Arial Narrow" w:cs="Arial"/>
          <w:sz w:val="24"/>
          <w:szCs w:val="24"/>
        </w:rPr>
      </w:pPr>
      <w:r w:rsidRPr="00DA65AA">
        <w:rPr>
          <w:rFonts w:ascii="Arial Narrow" w:hAnsi="Arial Narrow" w:cs="Arial"/>
          <w:sz w:val="24"/>
          <w:szCs w:val="24"/>
        </w:rPr>
        <w:t xml:space="preserve">Realizar pruebas de desempeño a los </w:t>
      </w:r>
      <w:r w:rsidR="00C9489C">
        <w:rPr>
          <w:rFonts w:ascii="Arial Narrow" w:hAnsi="Arial Narrow" w:cs="Arial"/>
          <w:sz w:val="24"/>
          <w:szCs w:val="24"/>
        </w:rPr>
        <w:t>modelos internos (Back Testing)</w:t>
      </w:r>
    </w:p>
    <w:p w:rsidR="009B3CFC" w:rsidRPr="00DA65AA" w:rsidRDefault="009B3CFC" w:rsidP="00C408EF">
      <w:pPr>
        <w:pStyle w:val="Prrafodelista"/>
        <w:numPr>
          <w:ilvl w:val="0"/>
          <w:numId w:val="8"/>
        </w:numPr>
        <w:ind w:left="567" w:hanging="283"/>
        <w:jc w:val="both"/>
        <w:rPr>
          <w:rFonts w:ascii="Arial Narrow" w:hAnsi="Arial Narrow" w:cs="Arial"/>
          <w:sz w:val="24"/>
          <w:szCs w:val="24"/>
        </w:rPr>
      </w:pPr>
      <w:r w:rsidRPr="00DA65AA">
        <w:rPr>
          <w:rFonts w:ascii="Arial Narrow" w:hAnsi="Arial Narrow" w:cs="Arial"/>
          <w:sz w:val="24"/>
          <w:szCs w:val="24"/>
        </w:rPr>
        <w:t>Realizar escenarios de estrés sobre condiciones adversas al valor del portafolio</w:t>
      </w:r>
    </w:p>
    <w:p w:rsidR="009B3CFC" w:rsidRDefault="009B3CFC" w:rsidP="00C408EF">
      <w:pPr>
        <w:pStyle w:val="Prrafodelista"/>
        <w:numPr>
          <w:ilvl w:val="0"/>
          <w:numId w:val="8"/>
        </w:numPr>
        <w:ind w:left="567" w:hanging="283"/>
        <w:jc w:val="both"/>
        <w:rPr>
          <w:rFonts w:ascii="Arial Narrow" w:hAnsi="Arial Narrow" w:cs="Arial"/>
          <w:sz w:val="24"/>
          <w:szCs w:val="24"/>
        </w:rPr>
      </w:pPr>
      <w:r w:rsidRPr="00DA65AA">
        <w:rPr>
          <w:rFonts w:ascii="Arial Narrow" w:hAnsi="Arial Narrow" w:cs="Arial"/>
          <w:sz w:val="24"/>
          <w:szCs w:val="24"/>
        </w:rPr>
        <w:t>M</w:t>
      </w:r>
      <w:r w:rsidR="00C9489C">
        <w:rPr>
          <w:rFonts w:ascii="Arial Narrow" w:hAnsi="Arial Narrow" w:cs="Arial"/>
          <w:sz w:val="24"/>
          <w:szCs w:val="24"/>
        </w:rPr>
        <w:t>onitorear límites al portafolio</w:t>
      </w:r>
    </w:p>
    <w:p w:rsidR="00242C43" w:rsidRDefault="00242C43" w:rsidP="00242C43">
      <w:pPr>
        <w:jc w:val="both"/>
        <w:rPr>
          <w:rFonts w:ascii="Arial Narrow" w:hAnsi="Arial Narrow" w:cs="Arial"/>
          <w:sz w:val="24"/>
          <w:szCs w:val="24"/>
        </w:rPr>
      </w:pPr>
    </w:p>
    <w:p w:rsidR="00242C43" w:rsidRPr="00242C43" w:rsidRDefault="00242C43" w:rsidP="00242C43">
      <w:pPr>
        <w:jc w:val="both"/>
        <w:rPr>
          <w:rFonts w:ascii="Arial Narrow" w:hAnsi="Arial Narrow" w:cs="Arial"/>
          <w:sz w:val="24"/>
          <w:szCs w:val="24"/>
        </w:rPr>
      </w:pPr>
    </w:p>
    <w:p w:rsidR="00BC5018" w:rsidRPr="00DA65AA" w:rsidRDefault="00BC5018" w:rsidP="00BC5018">
      <w:pPr>
        <w:rPr>
          <w:rFonts w:ascii="Arial Narrow" w:hAnsi="Arial Narrow"/>
        </w:rPr>
      </w:pPr>
    </w:p>
    <w:p w:rsidR="009B3CFC" w:rsidRPr="00DA65AA" w:rsidRDefault="009B3CFC" w:rsidP="006D1283">
      <w:pPr>
        <w:pStyle w:val="Ttulo4"/>
      </w:pPr>
      <w:bookmarkStart w:id="32" w:name="_Toc4596428"/>
      <w:r w:rsidRPr="00DA65AA">
        <w:lastRenderedPageBreak/>
        <w:t>Directrices en materia de Operaciones Autorizadas</w:t>
      </w:r>
      <w:bookmarkEnd w:id="32"/>
    </w:p>
    <w:p w:rsidR="009B3CFC" w:rsidRPr="00DA65AA" w:rsidRDefault="009B3CFC" w:rsidP="009B3CFC">
      <w:pPr>
        <w:rPr>
          <w:rFonts w:ascii="Arial Narrow" w:hAnsi="Arial Narrow"/>
        </w:rPr>
      </w:pPr>
    </w:p>
    <w:p w:rsidR="009B3CFC" w:rsidRPr="00DA65AA" w:rsidRDefault="009B3CFC" w:rsidP="009B3CFC">
      <w:pPr>
        <w:jc w:val="both"/>
        <w:rPr>
          <w:rFonts w:ascii="Arial Narrow" w:hAnsi="Arial Narrow" w:cs="Arial"/>
          <w:sz w:val="24"/>
        </w:rPr>
      </w:pPr>
      <w:r w:rsidRPr="00DA65AA">
        <w:rPr>
          <w:rFonts w:ascii="Arial Narrow" w:hAnsi="Arial Narrow" w:cs="Arial"/>
          <w:sz w:val="24"/>
        </w:rPr>
        <w:t>A continuación, se describe el conjunto de instrumentos financieros en los cuales, con previa aprobación por la normatividad vigente, le será permitido a la Tesorería tomar posiciones:</w:t>
      </w:r>
    </w:p>
    <w:p w:rsidR="009B3CFC" w:rsidRPr="00DA65AA" w:rsidRDefault="009B3CFC" w:rsidP="009B3CFC">
      <w:pPr>
        <w:jc w:val="both"/>
        <w:rPr>
          <w:rFonts w:ascii="Arial Narrow" w:hAnsi="Arial Narrow" w:cs="Arial"/>
          <w:sz w:val="24"/>
        </w:rPr>
      </w:pPr>
    </w:p>
    <w:p w:rsidR="009B3CFC" w:rsidRPr="00DA65AA" w:rsidRDefault="009B3CFC" w:rsidP="00C408EF">
      <w:pPr>
        <w:pStyle w:val="Prrafodelista"/>
        <w:numPr>
          <w:ilvl w:val="0"/>
          <w:numId w:val="9"/>
        </w:numPr>
        <w:tabs>
          <w:tab w:val="clear" w:pos="777"/>
          <w:tab w:val="num" w:pos="567"/>
        </w:tabs>
        <w:ind w:left="567" w:hanging="283"/>
        <w:jc w:val="both"/>
        <w:rPr>
          <w:rFonts w:ascii="Arial Narrow" w:hAnsi="Arial Narrow" w:cs="Arial"/>
          <w:sz w:val="24"/>
          <w:szCs w:val="24"/>
        </w:rPr>
      </w:pPr>
      <w:r w:rsidRPr="00DA65AA">
        <w:rPr>
          <w:rFonts w:ascii="Arial Narrow" w:hAnsi="Arial Narrow" w:cs="Arial"/>
          <w:sz w:val="24"/>
          <w:szCs w:val="24"/>
        </w:rPr>
        <w:t>Depósitos a término en moneda extranjera con entidades financieras del exterior.</w:t>
      </w:r>
    </w:p>
    <w:p w:rsidR="009B3CFC" w:rsidRPr="00DA65AA" w:rsidRDefault="009B3CFC" w:rsidP="00C408EF">
      <w:pPr>
        <w:pStyle w:val="Prrafodelista"/>
        <w:numPr>
          <w:ilvl w:val="0"/>
          <w:numId w:val="9"/>
        </w:numPr>
        <w:tabs>
          <w:tab w:val="clear" w:pos="777"/>
          <w:tab w:val="num" w:pos="567"/>
        </w:tabs>
        <w:ind w:left="567" w:hanging="283"/>
        <w:jc w:val="both"/>
        <w:rPr>
          <w:rFonts w:ascii="Arial Narrow" w:hAnsi="Arial Narrow" w:cs="Arial"/>
          <w:sz w:val="24"/>
          <w:szCs w:val="24"/>
        </w:rPr>
      </w:pPr>
      <w:r w:rsidRPr="00DA65AA">
        <w:rPr>
          <w:rFonts w:ascii="Arial Narrow" w:hAnsi="Arial Narrow" w:cs="Arial"/>
          <w:sz w:val="24"/>
          <w:szCs w:val="24"/>
        </w:rPr>
        <w:t>Cuentas remuneradas en bancos extranjeros.</w:t>
      </w:r>
    </w:p>
    <w:p w:rsidR="009B3CFC" w:rsidRPr="00DA65AA" w:rsidRDefault="009B3CFC" w:rsidP="00C408EF">
      <w:pPr>
        <w:pStyle w:val="Prrafodelista"/>
        <w:numPr>
          <w:ilvl w:val="0"/>
          <w:numId w:val="9"/>
        </w:numPr>
        <w:tabs>
          <w:tab w:val="clear" w:pos="777"/>
          <w:tab w:val="num" w:pos="567"/>
        </w:tabs>
        <w:ind w:left="567" w:hanging="283"/>
        <w:jc w:val="both"/>
        <w:rPr>
          <w:rFonts w:ascii="Arial Narrow" w:hAnsi="Arial Narrow" w:cs="Arial"/>
          <w:sz w:val="24"/>
        </w:rPr>
      </w:pPr>
      <w:r w:rsidRPr="00DA65AA">
        <w:rPr>
          <w:rFonts w:ascii="Arial Narrow" w:hAnsi="Arial Narrow" w:cs="Arial"/>
          <w:sz w:val="24"/>
        </w:rPr>
        <w:t>Inversiones en instrumentos del mercado monetario administrados por entidades financieras del exterior.</w:t>
      </w:r>
    </w:p>
    <w:p w:rsidR="009B3CFC" w:rsidRPr="00DA65AA" w:rsidRDefault="009B3CFC" w:rsidP="00C408EF">
      <w:pPr>
        <w:pStyle w:val="Prrafodelista"/>
        <w:numPr>
          <w:ilvl w:val="0"/>
          <w:numId w:val="9"/>
        </w:numPr>
        <w:tabs>
          <w:tab w:val="clear" w:pos="777"/>
          <w:tab w:val="num" w:pos="567"/>
        </w:tabs>
        <w:ind w:left="567" w:hanging="283"/>
        <w:jc w:val="both"/>
        <w:rPr>
          <w:rFonts w:ascii="Arial Narrow" w:hAnsi="Arial Narrow" w:cs="Arial"/>
          <w:sz w:val="24"/>
          <w:szCs w:val="24"/>
        </w:rPr>
      </w:pPr>
      <w:r w:rsidRPr="00DA65AA">
        <w:rPr>
          <w:rFonts w:ascii="Arial Narrow" w:hAnsi="Arial Narrow" w:cs="Arial"/>
          <w:sz w:val="24"/>
          <w:szCs w:val="24"/>
        </w:rPr>
        <w:t xml:space="preserve">Operaciones de compra y venta de divisas. </w:t>
      </w:r>
    </w:p>
    <w:p w:rsidR="009B3CFC" w:rsidRPr="00DA65AA" w:rsidRDefault="009B3CFC" w:rsidP="00C408EF">
      <w:pPr>
        <w:pStyle w:val="Prrafodelista"/>
        <w:numPr>
          <w:ilvl w:val="0"/>
          <w:numId w:val="9"/>
        </w:numPr>
        <w:tabs>
          <w:tab w:val="clear" w:pos="777"/>
          <w:tab w:val="num" w:pos="567"/>
        </w:tabs>
        <w:ind w:left="567" w:hanging="283"/>
        <w:jc w:val="both"/>
        <w:rPr>
          <w:rFonts w:ascii="Arial Narrow" w:hAnsi="Arial Narrow" w:cs="Arial"/>
          <w:sz w:val="24"/>
          <w:szCs w:val="24"/>
        </w:rPr>
      </w:pPr>
      <w:r w:rsidRPr="00DA65AA">
        <w:rPr>
          <w:rFonts w:ascii="Arial Narrow" w:hAnsi="Arial Narrow" w:cs="Arial"/>
          <w:sz w:val="24"/>
          <w:szCs w:val="24"/>
        </w:rPr>
        <w:t>Operaciones de reporto y simultáneas.</w:t>
      </w:r>
    </w:p>
    <w:p w:rsidR="009B3CFC" w:rsidRPr="00DA65AA" w:rsidRDefault="009B3CFC" w:rsidP="00C408EF">
      <w:pPr>
        <w:pStyle w:val="Prrafodelista"/>
        <w:numPr>
          <w:ilvl w:val="0"/>
          <w:numId w:val="9"/>
        </w:numPr>
        <w:tabs>
          <w:tab w:val="clear" w:pos="777"/>
          <w:tab w:val="num" w:pos="567"/>
        </w:tabs>
        <w:ind w:hanging="490"/>
        <w:jc w:val="both"/>
        <w:rPr>
          <w:rFonts w:ascii="Arial Narrow" w:hAnsi="Arial Narrow" w:cs="Arial"/>
          <w:sz w:val="24"/>
          <w:szCs w:val="24"/>
        </w:rPr>
      </w:pPr>
      <w:r w:rsidRPr="00DA65AA">
        <w:rPr>
          <w:rFonts w:ascii="Arial Narrow" w:hAnsi="Arial Narrow" w:cs="Arial"/>
          <w:sz w:val="24"/>
          <w:szCs w:val="24"/>
        </w:rPr>
        <w:t>Operaciones de cubrimiento de riesgos.</w:t>
      </w:r>
    </w:p>
    <w:p w:rsidR="009B3CFC" w:rsidRPr="00DA65AA" w:rsidRDefault="009B3CFC" w:rsidP="00C408EF">
      <w:pPr>
        <w:pStyle w:val="Prrafodelista"/>
        <w:numPr>
          <w:ilvl w:val="0"/>
          <w:numId w:val="9"/>
        </w:numPr>
        <w:tabs>
          <w:tab w:val="clear" w:pos="777"/>
          <w:tab w:val="num" w:pos="567"/>
        </w:tabs>
        <w:ind w:left="567" w:hanging="283"/>
        <w:jc w:val="both"/>
        <w:rPr>
          <w:rFonts w:ascii="Arial Narrow" w:hAnsi="Arial Narrow" w:cs="Arial"/>
          <w:sz w:val="24"/>
          <w:szCs w:val="24"/>
        </w:rPr>
      </w:pPr>
      <w:r w:rsidRPr="00DA65AA">
        <w:rPr>
          <w:rFonts w:ascii="Arial Narrow" w:hAnsi="Arial Narrow" w:cs="Arial"/>
          <w:sz w:val="24"/>
          <w:szCs w:val="24"/>
        </w:rPr>
        <w:t>Operaciones de compra y venta al contado de títulos de deuda emitidos por el gobierno nacional o por gobiernos extranjeros.</w:t>
      </w:r>
    </w:p>
    <w:p w:rsidR="009B3CFC" w:rsidRPr="00DA65AA" w:rsidRDefault="009B3CFC" w:rsidP="00C408EF">
      <w:pPr>
        <w:pStyle w:val="Prrafodelista"/>
        <w:numPr>
          <w:ilvl w:val="0"/>
          <w:numId w:val="9"/>
        </w:numPr>
        <w:tabs>
          <w:tab w:val="clear" w:pos="777"/>
          <w:tab w:val="num" w:pos="567"/>
        </w:tabs>
        <w:ind w:left="567" w:hanging="283"/>
        <w:jc w:val="both"/>
        <w:rPr>
          <w:rFonts w:ascii="Arial Narrow" w:hAnsi="Arial Narrow" w:cs="Arial"/>
          <w:sz w:val="24"/>
          <w:szCs w:val="24"/>
        </w:rPr>
      </w:pPr>
      <w:r w:rsidRPr="00DA65AA">
        <w:rPr>
          <w:rFonts w:ascii="Arial Narrow" w:hAnsi="Arial Narrow" w:cs="Arial"/>
          <w:sz w:val="24"/>
          <w:szCs w:val="24"/>
        </w:rPr>
        <w:t xml:space="preserve">Préstamos activos y/o pasivos que tengan como contraparte a alguno de los Fondos Administrados por la Tesorería. </w:t>
      </w:r>
    </w:p>
    <w:p w:rsidR="009B3CFC" w:rsidRPr="00DA65AA" w:rsidRDefault="009B3CFC" w:rsidP="009B3CFC">
      <w:pPr>
        <w:rPr>
          <w:rFonts w:ascii="Arial Narrow" w:hAnsi="Arial Narrow"/>
        </w:rPr>
      </w:pPr>
    </w:p>
    <w:p w:rsidR="009B3CFC" w:rsidRPr="00DA65AA" w:rsidRDefault="009B3CFC" w:rsidP="006D1283">
      <w:pPr>
        <w:pStyle w:val="Ttulo4"/>
      </w:pPr>
      <w:bookmarkStart w:id="33" w:name="_Toc4596429"/>
      <w:r w:rsidRPr="00DA65AA">
        <w:t>Directrices en materia de Composición del Portafolio de Inversiones</w:t>
      </w:r>
      <w:bookmarkEnd w:id="33"/>
    </w:p>
    <w:p w:rsidR="009B3CFC" w:rsidRPr="00DA65AA" w:rsidRDefault="009B3CFC" w:rsidP="006D1283">
      <w:pPr>
        <w:pStyle w:val="Ttulo4"/>
        <w:ind w:left="0" w:firstLine="0"/>
      </w:pPr>
    </w:p>
    <w:p w:rsidR="009B3CFC" w:rsidRPr="00DA65AA" w:rsidRDefault="009B3CFC" w:rsidP="009B3CFC">
      <w:pPr>
        <w:pStyle w:val="Ttulo"/>
        <w:jc w:val="both"/>
        <w:rPr>
          <w:rFonts w:ascii="Arial Narrow" w:hAnsi="Arial Narrow"/>
          <w:szCs w:val="24"/>
        </w:rPr>
      </w:pPr>
      <w:r w:rsidRPr="00DA65AA">
        <w:rPr>
          <w:rFonts w:ascii="Arial Narrow" w:hAnsi="Arial Narrow"/>
          <w:szCs w:val="24"/>
        </w:rPr>
        <w:t>El portafolio que administrará la Subdirección de Tesorería estará conformado por los instrumentos mencionados a</w:t>
      </w:r>
      <w:r w:rsidR="00A57890">
        <w:rPr>
          <w:rFonts w:ascii="Arial Narrow" w:hAnsi="Arial Narrow"/>
          <w:szCs w:val="24"/>
        </w:rPr>
        <w:t>nteriormente y los emisores de e</w:t>
      </w:r>
      <w:r w:rsidRPr="00DA65AA">
        <w:rPr>
          <w:rFonts w:ascii="Arial Narrow" w:hAnsi="Arial Narrow"/>
          <w:szCs w:val="24"/>
        </w:rPr>
        <w:t xml:space="preserve">stos deberán tener cupo aprobado. </w:t>
      </w:r>
    </w:p>
    <w:p w:rsidR="009B3CFC" w:rsidRPr="00DA65AA" w:rsidRDefault="009B3CFC" w:rsidP="009B3CFC">
      <w:pPr>
        <w:pStyle w:val="Prrafodelista"/>
        <w:ind w:left="567"/>
        <w:rPr>
          <w:rFonts w:ascii="Arial Narrow" w:hAnsi="Arial Narrow" w:cs="Arial"/>
          <w:szCs w:val="24"/>
        </w:rPr>
      </w:pPr>
    </w:p>
    <w:p w:rsidR="009B3CFC" w:rsidRPr="00DA65AA" w:rsidRDefault="009B3CFC" w:rsidP="009B3CFC">
      <w:pPr>
        <w:jc w:val="both"/>
        <w:rPr>
          <w:rFonts w:ascii="Arial Narrow" w:hAnsi="Arial Narrow" w:cs="Arial"/>
          <w:sz w:val="24"/>
        </w:rPr>
      </w:pPr>
      <w:r w:rsidRPr="00DA65AA">
        <w:rPr>
          <w:rFonts w:ascii="Arial Narrow" w:hAnsi="Arial Narrow" w:cs="Arial"/>
          <w:sz w:val="24"/>
        </w:rPr>
        <w:t>Los excedentes de liquidez son administrados por la Subdirección de Tesorería a través del portafolio de inversiones</w:t>
      </w:r>
      <w:r w:rsidR="00F62A68" w:rsidRPr="00DA65AA">
        <w:rPr>
          <w:rFonts w:ascii="Arial Narrow" w:hAnsi="Arial Narrow" w:cs="Arial"/>
          <w:sz w:val="24"/>
        </w:rPr>
        <w:t xml:space="preserve"> los cuales provienen </w:t>
      </w:r>
      <w:r w:rsidRPr="00DA65AA">
        <w:rPr>
          <w:rFonts w:ascii="Arial Narrow" w:hAnsi="Arial Narrow" w:cs="Arial"/>
          <w:sz w:val="24"/>
        </w:rPr>
        <w:t>de las siguientes fuentes:</w:t>
      </w:r>
    </w:p>
    <w:p w:rsidR="009B3CFC" w:rsidRPr="00DA65AA" w:rsidRDefault="009B3CFC" w:rsidP="009B3CFC">
      <w:pPr>
        <w:pStyle w:val="Prrafodelista"/>
        <w:ind w:left="567"/>
        <w:jc w:val="both"/>
        <w:rPr>
          <w:rFonts w:ascii="Arial Narrow" w:hAnsi="Arial Narrow" w:cs="Arial"/>
          <w:sz w:val="24"/>
          <w:szCs w:val="24"/>
        </w:rPr>
      </w:pPr>
    </w:p>
    <w:p w:rsidR="009B3CFC" w:rsidRPr="00DA65AA" w:rsidRDefault="009B3CFC" w:rsidP="00C408EF">
      <w:pPr>
        <w:pStyle w:val="Prrafodelista"/>
        <w:numPr>
          <w:ilvl w:val="0"/>
          <w:numId w:val="10"/>
        </w:numPr>
        <w:ind w:left="567" w:hanging="283"/>
        <w:jc w:val="both"/>
        <w:rPr>
          <w:rFonts w:ascii="Arial Narrow" w:hAnsi="Arial Narrow" w:cs="Arial"/>
          <w:sz w:val="24"/>
          <w:szCs w:val="24"/>
        </w:rPr>
      </w:pPr>
      <w:r w:rsidRPr="00DA65AA">
        <w:rPr>
          <w:rFonts w:ascii="Arial Narrow" w:hAnsi="Arial Narrow" w:cs="Arial"/>
          <w:sz w:val="24"/>
          <w:szCs w:val="24"/>
        </w:rPr>
        <w:t>Ingresos de la Nación constituidos como recursos de cuenta propia y recursos propios de entidades públicas del orden nacional, los cuales son incluidos dentro del sistema de Cuenta Única Nacional</w:t>
      </w:r>
      <w:r w:rsidR="00C9489C">
        <w:rPr>
          <w:rFonts w:ascii="Arial Narrow" w:hAnsi="Arial Narrow" w:cs="Arial"/>
          <w:sz w:val="24"/>
          <w:szCs w:val="24"/>
        </w:rPr>
        <w:t xml:space="preserve"> (CUN)</w:t>
      </w:r>
      <w:r w:rsidRPr="00DA65AA">
        <w:rPr>
          <w:rFonts w:ascii="Arial Narrow" w:hAnsi="Arial Narrow" w:cs="Arial"/>
          <w:sz w:val="24"/>
          <w:szCs w:val="24"/>
        </w:rPr>
        <w:t>.</w:t>
      </w:r>
    </w:p>
    <w:p w:rsidR="009B3CFC" w:rsidRPr="00DA65AA" w:rsidRDefault="009B3CFC" w:rsidP="009B3CFC">
      <w:pPr>
        <w:jc w:val="both"/>
        <w:rPr>
          <w:rFonts w:ascii="Arial Narrow" w:hAnsi="Arial Narrow" w:cs="Arial"/>
          <w:sz w:val="24"/>
        </w:rPr>
      </w:pPr>
    </w:p>
    <w:p w:rsidR="009B3CFC" w:rsidRPr="00DA65AA" w:rsidRDefault="009B3CFC" w:rsidP="00C408EF">
      <w:pPr>
        <w:pStyle w:val="Prrafodelista"/>
        <w:numPr>
          <w:ilvl w:val="0"/>
          <w:numId w:val="10"/>
        </w:numPr>
        <w:ind w:left="567" w:hanging="283"/>
        <w:jc w:val="both"/>
        <w:rPr>
          <w:rFonts w:ascii="Arial Narrow" w:hAnsi="Arial Narrow" w:cs="Arial"/>
          <w:sz w:val="24"/>
          <w:szCs w:val="24"/>
        </w:rPr>
      </w:pPr>
      <w:r w:rsidRPr="00DA65AA">
        <w:rPr>
          <w:rFonts w:ascii="Arial Narrow" w:hAnsi="Arial Narrow" w:cs="Arial"/>
          <w:sz w:val="24"/>
          <w:szCs w:val="24"/>
        </w:rPr>
        <w:t>Fondos administrados bajo su responsabilidad y fondos de terceros delegados en administración.</w:t>
      </w:r>
    </w:p>
    <w:p w:rsidR="009B3CFC" w:rsidRPr="00DA65AA" w:rsidRDefault="009B3CFC" w:rsidP="009B3CFC">
      <w:pPr>
        <w:jc w:val="both"/>
        <w:rPr>
          <w:rFonts w:ascii="Arial Narrow" w:hAnsi="Arial Narrow" w:cs="Arial"/>
          <w:sz w:val="24"/>
        </w:rPr>
      </w:pPr>
    </w:p>
    <w:p w:rsidR="009B3CFC" w:rsidRPr="00DA65AA" w:rsidRDefault="009B3CFC" w:rsidP="009B3CFC">
      <w:pPr>
        <w:jc w:val="both"/>
        <w:rPr>
          <w:rFonts w:ascii="Arial Narrow" w:hAnsi="Arial Narrow" w:cs="Arial"/>
          <w:sz w:val="24"/>
        </w:rPr>
      </w:pPr>
      <w:r w:rsidRPr="00DA65AA">
        <w:rPr>
          <w:rFonts w:ascii="Arial Narrow" w:hAnsi="Arial Narrow" w:cs="Arial"/>
          <w:sz w:val="24"/>
        </w:rPr>
        <w:t>Para garantizar que la composición de las inversiones esté orientada hacia la coordinación de los objetivos de política gubernamental en materia monetaria, fiscal y cambiaria, el portafolio deberá estar compuesto por instrumentos que permitan la implementación, entre otros, de los siguientes propósitos:</w:t>
      </w:r>
    </w:p>
    <w:p w:rsidR="009B3CFC" w:rsidRPr="00DA65AA" w:rsidRDefault="009B3CFC" w:rsidP="009B3CFC">
      <w:pPr>
        <w:jc w:val="both"/>
        <w:rPr>
          <w:rFonts w:ascii="Arial Narrow" w:hAnsi="Arial Narrow" w:cs="Arial"/>
          <w:sz w:val="24"/>
        </w:rPr>
      </w:pPr>
    </w:p>
    <w:p w:rsidR="009B3CFC" w:rsidRPr="00DA65AA" w:rsidRDefault="009B3CFC" w:rsidP="00C408EF">
      <w:pPr>
        <w:pStyle w:val="Prrafodelista"/>
        <w:numPr>
          <w:ilvl w:val="0"/>
          <w:numId w:val="11"/>
        </w:numPr>
        <w:ind w:left="567" w:hanging="283"/>
        <w:jc w:val="both"/>
        <w:rPr>
          <w:rFonts w:ascii="Arial Narrow" w:hAnsi="Arial Narrow" w:cs="Arial"/>
          <w:sz w:val="24"/>
          <w:szCs w:val="24"/>
        </w:rPr>
      </w:pPr>
      <w:r w:rsidRPr="00DA65AA">
        <w:rPr>
          <w:rFonts w:ascii="Arial Narrow" w:hAnsi="Arial Narrow" w:cs="Arial"/>
          <w:sz w:val="24"/>
          <w:szCs w:val="24"/>
        </w:rPr>
        <w:t>Realizar operaciones temporales de liquidez acordes con las necesidades de caja.</w:t>
      </w:r>
    </w:p>
    <w:p w:rsidR="009B3CFC" w:rsidRPr="00DA65AA" w:rsidRDefault="009B3CFC" w:rsidP="009B3CFC">
      <w:pPr>
        <w:jc w:val="both"/>
        <w:rPr>
          <w:rFonts w:ascii="Arial Narrow" w:hAnsi="Arial Narrow" w:cs="Arial"/>
          <w:sz w:val="24"/>
        </w:rPr>
      </w:pPr>
    </w:p>
    <w:p w:rsidR="009B3CFC" w:rsidRPr="00DA65AA" w:rsidRDefault="009B3CFC" w:rsidP="00C408EF">
      <w:pPr>
        <w:pStyle w:val="Prrafodelista"/>
        <w:numPr>
          <w:ilvl w:val="0"/>
          <w:numId w:val="11"/>
        </w:numPr>
        <w:ind w:left="567" w:hanging="283"/>
        <w:jc w:val="both"/>
        <w:rPr>
          <w:rFonts w:ascii="Arial Narrow" w:hAnsi="Arial Narrow" w:cs="Arial"/>
          <w:sz w:val="24"/>
          <w:szCs w:val="24"/>
        </w:rPr>
      </w:pPr>
      <w:r w:rsidRPr="00DA65AA">
        <w:rPr>
          <w:rFonts w:ascii="Arial Narrow" w:hAnsi="Arial Narrow" w:cs="Arial"/>
          <w:sz w:val="24"/>
          <w:szCs w:val="24"/>
        </w:rPr>
        <w:t>Adquirir deuda de la Nación cuyo propósito sea la gestión activa de la misma.</w:t>
      </w:r>
    </w:p>
    <w:p w:rsidR="009B3CFC" w:rsidRPr="00DA65AA" w:rsidRDefault="009B3CFC" w:rsidP="009B3CFC">
      <w:pPr>
        <w:jc w:val="both"/>
        <w:rPr>
          <w:rFonts w:ascii="Arial Narrow" w:hAnsi="Arial Narrow" w:cs="Arial"/>
          <w:sz w:val="24"/>
        </w:rPr>
      </w:pPr>
    </w:p>
    <w:p w:rsidR="009B3CFC" w:rsidRPr="00DA65AA" w:rsidRDefault="009B3CFC" w:rsidP="009B3CFC">
      <w:pPr>
        <w:jc w:val="both"/>
        <w:rPr>
          <w:rFonts w:ascii="Arial Narrow" w:hAnsi="Arial Narrow" w:cs="Arial"/>
          <w:sz w:val="24"/>
        </w:rPr>
      </w:pPr>
      <w:r w:rsidRPr="00DA65AA">
        <w:rPr>
          <w:rFonts w:ascii="Arial Narrow" w:hAnsi="Arial Narrow" w:cs="Arial"/>
          <w:sz w:val="24"/>
        </w:rPr>
        <w:t xml:space="preserve">Las políticas definidas en el presente manual, sus directrices y límites establecidos se aplicarán tanto para los recursos de cuenta propia como para los recursos provenientes de los fondos administrados bajo su responsabilidad y los fondos de terceros delegados en administración.  </w:t>
      </w:r>
    </w:p>
    <w:p w:rsidR="009B3CFC" w:rsidRPr="00DA65AA" w:rsidRDefault="009B3CFC" w:rsidP="009B3CFC">
      <w:pPr>
        <w:jc w:val="both"/>
        <w:rPr>
          <w:rFonts w:ascii="Arial Narrow" w:hAnsi="Arial Narrow" w:cs="Arial"/>
          <w:sz w:val="24"/>
        </w:rPr>
      </w:pPr>
    </w:p>
    <w:p w:rsidR="009B3CFC" w:rsidRPr="00DA65AA" w:rsidRDefault="009B3CFC" w:rsidP="009B3CFC">
      <w:pPr>
        <w:jc w:val="both"/>
        <w:rPr>
          <w:rFonts w:ascii="Arial Narrow" w:hAnsi="Arial Narrow" w:cs="Arial"/>
          <w:sz w:val="24"/>
        </w:rPr>
      </w:pPr>
      <w:r w:rsidRPr="00DA65AA">
        <w:rPr>
          <w:rFonts w:ascii="Arial Narrow" w:hAnsi="Arial Narrow" w:cs="Arial"/>
          <w:sz w:val="24"/>
        </w:rPr>
        <w:lastRenderedPageBreak/>
        <w:t>No obstante, en caso que exista una normativa, mandato o política de riesgos aplicada para la administración de recursos de terceros, se llevará a cabo el respectivo control y monitoreo aplicable a los recursos pertenecientes al fondo de forma independiente de acuerdo con la normatividad aplicable.</w:t>
      </w:r>
    </w:p>
    <w:p w:rsidR="009B3CFC" w:rsidRPr="00DA65AA" w:rsidRDefault="009B3CFC" w:rsidP="009B3CFC">
      <w:pPr>
        <w:jc w:val="both"/>
        <w:rPr>
          <w:rFonts w:ascii="Arial Narrow" w:hAnsi="Arial Narrow" w:cs="Arial"/>
          <w:sz w:val="24"/>
        </w:rPr>
      </w:pPr>
    </w:p>
    <w:p w:rsidR="009B3CFC" w:rsidRPr="00DA65AA" w:rsidRDefault="009B3CFC" w:rsidP="009B3CFC">
      <w:pPr>
        <w:jc w:val="both"/>
        <w:rPr>
          <w:rFonts w:ascii="Arial Narrow" w:hAnsi="Arial Narrow" w:cs="Arial"/>
          <w:sz w:val="24"/>
        </w:rPr>
      </w:pPr>
      <w:r w:rsidRPr="00DA65AA">
        <w:rPr>
          <w:rFonts w:ascii="Arial Narrow" w:hAnsi="Arial Narrow" w:cs="Arial"/>
          <w:sz w:val="24"/>
        </w:rPr>
        <w:t>Se define además que, para el adecuado uso de los recursos de la Nación, se establecen límites de composición del portafolio, los cuales se describen a continuación:</w:t>
      </w:r>
    </w:p>
    <w:p w:rsidR="009B3CFC" w:rsidRPr="00DA65AA" w:rsidRDefault="009B3CFC" w:rsidP="009B3CFC">
      <w:pPr>
        <w:jc w:val="both"/>
        <w:rPr>
          <w:rFonts w:ascii="Arial Narrow" w:hAnsi="Arial Narrow" w:cs="Arial"/>
          <w:sz w:val="24"/>
        </w:rPr>
      </w:pPr>
    </w:p>
    <w:p w:rsidR="009B3CFC" w:rsidRPr="00DA65AA" w:rsidRDefault="009B3CFC" w:rsidP="009B3CFC">
      <w:pPr>
        <w:jc w:val="both"/>
        <w:rPr>
          <w:rFonts w:ascii="Arial Narrow" w:hAnsi="Arial Narrow" w:cs="Arial"/>
          <w:b/>
          <w:sz w:val="24"/>
        </w:rPr>
      </w:pPr>
      <w:r w:rsidRPr="00DA65AA">
        <w:rPr>
          <w:rFonts w:ascii="Arial Narrow" w:hAnsi="Arial Narrow" w:cs="Arial"/>
          <w:b/>
          <w:sz w:val="24"/>
        </w:rPr>
        <w:t xml:space="preserve">Límites </w:t>
      </w:r>
      <w:r w:rsidR="00F62A68" w:rsidRPr="00DA65AA">
        <w:rPr>
          <w:rFonts w:ascii="Arial Narrow" w:hAnsi="Arial Narrow" w:cs="Arial"/>
          <w:b/>
          <w:sz w:val="24"/>
        </w:rPr>
        <w:t xml:space="preserve">de composición </w:t>
      </w:r>
      <w:r w:rsidR="005F3D9D" w:rsidRPr="00DA65AA">
        <w:rPr>
          <w:rFonts w:ascii="Arial Narrow" w:hAnsi="Arial Narrow" w:cs="Arial"/>
          <w:b/>
          <w:sz w:val="24"/>
        </w:rPr>
        <w:t>para inversiones en pesos</w:t>
      </w:r>
    </w:p>
    <w:p w:rsidR="005F3D9D" w:rsidRPr="00DA65AA" w:rsidRDefault="005F3D9D" w:rsidP="009B3CFC">
      <w:pPr>
        <w:jc w:val="both"/>
        <w:rPr>
          <w:rFonts w:ascii="Arial Narrow" w:hAnsi="Arial Narrow" w:cs="Arial"/>
          <w:b/>
          <w:sz w:val="24"/>
        </w:rPr>
      </w:pPr>
    </w:p>
    <w:p w:rsidR="005F3D9D" w:rsidRPr="00DA65AA" w:rsidRDefault="005F3D9D" w:rsidP="009B3CFC">
      <w:pPr>
        <w:jc w:val="both"/>
        <w:rPr>
          <w:rFonts w:ascii="Arial Narrow" w:hAnsi="Arial Narrow" w:cs="Arial"/>
          <w:sz w:val="24"/>
        </w:rPr>
      </w:pPr>
      <w:r w:rsidRPr="00DA65AA">
        <w:rPr>
          <w:rFonts w:ascii="Arial Narrow" w:hAnsi="Arial Narrow" w:cs="Arial"/>
          <w:sz w:val="24"/>
        </w:rPr>
        <w:t>Para el portafolio en moneda legal se establecerán límites por emisor desagregados de la siguiente manera:</w:t>
      </w:r>
    </w:p>
    <w:p w:rsidR="009B3CFC" w:rsidRPr="00DA65AA" w:rsidRDefault="009B3CFC" w:rsidP="009B3CFC">
      <w:pPr>
        <w:jc w:val="both"/>
        <w:rPr>
          <w:rFonts w:ascii="Arial Narrow" w:hAnsi="Arial Narrow" w:cs="Arial"/>
          <w:sz w:val="24"/>
        </w:rPr>
      </w:pPr>
    </w:p>
    <w:p w:rsidR="009B3CFC" w:rsidRPr="00DA65AA" w:rsidRDefault="009B3CFC" w:rsidP="00C408EF">
      <w:pPr>
        <w:pStyle w:val="Prrafodelista"/>
        <w:numPr>
          <w:ilvl w:val="0"/>
          <w:numId w:val="12"/>
        </w:numPr>
        <w:jc w:val="both"/>
        <w:rPr>
          <w:rFonts w:ascii="Arial Narrow" w:hAnsi="Arial Narrow" w:cs="Arial"/>
          <w:sz w:val="24"/>
        </w:rPr>
      </w:pPr>
      <w:r w:rsidRPr="00DA65AA">
        <w:rPr>
          <w:rFonts w:ascii="Arial Narrow" w:hAnsi="Arial Narrow" w:cs="Arial"/>
          <w:b/>
          <w:sz w:val="24"/>
        </w:rPr>
        <w:t>Para recursos administrados por el Banco de la República o por instrumentos emitidos por la Nación:</w:t>
      </w:r>
      <w:r w:rsidRPr="00DA65AA">
        <w:rPr>
          <w:rFonts w:ascii="Arial Narrow" w:hAnsi="Arial Narrow" w:cs="Arial"/>
          <w:sz w:val="24"/>
        </w:rPr>
        <w:t xml:space="preserve"> </w:t>
      </w:r>
      <w:r w:rsidR="00F62A68" w:rsidRPr="00DA65AA">
        <w:rPr>
          <w:rFonts w:ascii="Arial Narrow" w:hAnsi="Arial Narrow" w:cs="Arial"/>
          <w:sz w:val="24"/>
        </w:rPr>
        <w:t xml:space="preserve">Se </w:t>
      </w:r>
      <w:r w:rsidRPr="00DA65AA">
        <w:rPr>
          <w:rFonts w:ascii="Arial Narrow" w:hAnsi="Arial Narrow" w:cs="Arial"/>
          <w:sz w:val="24"/>
        </w:rPr>
        <w:t>podrá invertir hasta el 100% del disponible de los excedentes de liquidez en pesos.</w:t>
      </w:r>
    </w:p>
    <w:p w:rsidR="009B3CFC" w:rsidRPr="00DA65AA" w:rsidRDefault="009B3CFC" w:rsidP="009B3CFC">
      <w:pPr>
        <w:jc w:val="both"/>
        <w:rPr>
          <w:rFonts w:ascii="Arial Narrow" w:hAnsi="Arial Narrow" w:cs="Arial"/>
          <w:sz w:val="24"/>
        </w:rPr>
      </w:pPr>
    </w:p>
    <w:p w:rsidR="00ED5697" w:rsidRPr="00DA65AA" w:rsidRDefault="009B3CFC" w:rsidP="00C408EF">
      <w:pPr>
        <w:pStyle w:val="Prrafodelista"/>
        <w:numPr>
          <w:ilvl w:val="0"/>
          <w:numId w:val="12"/>
        </w:numPr>
        <w:jc w:val="both"/>
        <w:rPr>
          <w:rFonts w:ascii="Arial Narrow" w:hAnsi="Arial Narrow" w:cs="Arial"/>
          <w:sz w:val="24"/>
        </w:rPr>
      </w:pPr>
      <w:r w:rsidRPr="00DA65AA">
        <w:rPr>
          <w:rFonts w:ascii="Arial Narrow" w:hAnsi="Arial Narrow" w:cs="Arial"/>
          <w:b/>
          <w:sz w:val="24"/>
        </w:rPr>
        <w:t>Para inversiones cuyo emisor sea diferente a Nación o al Banco de la República:</w:t>
      </w:r>
      <w:r w:rsidRPr="00DA65AA">
        <w:rPr>
          <w:rFonts w:ascii="Arial Narrow" w:hAnsi="Arial Narrow" w:cs="Arial"/>
          <w:sz w:val="24"/>
        </w:rPr>
        <w:t xml:space="preserve"> </w:t>
      </w:r>
      <w:r w:rsidR="005F3D9D" w:rsidRPr="00DA65AA">
        <w:rPr>
          <w:rFonts w:ascii="Arial Narrow" w:hAnsi="Arial Narrow" w:cs="Arial"/>
          <w:sz w:val="24"/>
        </w:rPr>
        <w:t xml:space="preserve">Se podrá invertir </w:t>
      </w:r>
      <w:r w:rsidRPr="00DA65AA">
        <w:rPr>
          <w:rFonts w:ascii="Arial Narrow" w:hAnsi="Arial Narrow" w:cs="Arial"/>
          <w:sz w:val="24"/>
        </w:rPr>
        <w:t xml:space="preserve">en este tipo de instrumentos en caso que exista una normativa, mandato o política de CONFIS, Comité de Tesorería o cualquier otra instancia que apruebe la realización de la inversión. </w:t>
      </w:r>
    </w:p>
    <w:p w:rsidR="009B3CFC" w:rsidRPr="00DA65AA" w:rsidRDefault="009B3CFC" w:rsidP="009B3CFC">
      <w:pPr>
        <w:jc w:val="both"/>
        <w:rPr>
          <w:rFonts w:ascii="Arial Narrow" w:hAnsi="Arial Narrow" w:cs="Arial"/>
          <w:sz w:val="24"/>
        </w:rPr>
      </w:pPr>
    </w:p>
    <w:p w:rsidR="009B3CFC" w:rsidRPr="00DA65AA" w:rsidRDefault="009B3CFC" w:rsidP="009B3CFC">
      <w:pPr>
        <w:jc w:val="both"/>
        <w:rPr>
          <w:rFonts w:ascii="Arial Narrow" w:hAnsi="Arial Narrow" w:cs="Arial"/>
          <w:b/>
          <w:sz w:val="24"/>
        </w:rPr>
      </w:pPr>
      <w:r w:rsidRPr="00DA65AA">
        <w:rPr>
          <w:rFonts w:ascii="Arial Narrow" w:hAnsi="Arial Narrow" w:cs="Arial"/>
          <w:b/>
          <w:sz w:val="24"/>
        </w:rPr>
        <w:t>Límites para inversiones en moneda extranjera:</w:t>
      </w:r>
    </w:p>
    <w:p w:rsidR="005F3D9D" w:rsidRPr="00DA65AA" w:rsidRDefault="005F3D9D" w:rsidP="009B3CFC">
      <w:pPr>
        <w:jc w:val="both"/>
        <w:rPr>
          <w:rFonts w:ascii="Arial Narrow" w:hAnsi="Arial Narrow" w:cs="Arial"/>
          <w:b/>
          <w:sz w:val="24"/>
        </w:rPr>
      </w:pPr>
    </w:p>
    <w:p w:rsidR="005F3D9D" w:rsidRPr="00DA65AA" w:rsidRDefault="005F3D9D" w:rsidP="009B3CFC">
      <w:pPr>
        <w:jc w:val="both"/>
        <w:rPr>
          <w:rFonts w:ascii="Arial Narrow" w:hAnsi="Arial Narrow" w:cs="Arial"/>
          <w:b/>
          <w:sz w:val="24"/>
        </w:rPr>
      </w:pPr>
      <w:r w:rsidRPr="00DA65AA">
        <w:rPr>
          <w:rFonts w:ascii="Arial Narrow" w:hAnsi="Arial Narrow" w:cs="Arial"/>
          <w:sz w:val="24"/>
        </w:rPr>
        <w:t>Para el portafolio en moneda extranjera se establecerán límites por tipo de inversión y por calificación crediticia del emisor, adicionalmente</w:t>
      </w:r>
      <w:r w:rsidR="00C9489C">
        <w:rPr>
          <w:rFonts w:ascii="Arial Narrow" w:hAnsi="Arial Narrow" w:cs="Arial"/>
          <w:sz w:val="24"/>
        </w:rPr>
        <w:t>, las inversiones deberán</w:t>
      </w:r>
      <w:r w:rsidRPr="00DA65AA">
        <w:rPr>
          <w:rFonts w:ascii="Arial Narrow" w:hAnsi="Arial Narrow" w:cs="Arial"/>
          <w:sz w:val="24"/>
        </w:rPr>
        <w:t xml:space="preserve"> cumplir con cupos de emisor:</w:t>
      </w:r>
    </w:p>
    <w:p w:rsidR="009B3CFC" w:rsidRPr="00DA65AA" w:rsidRDefault="009B3CFC" w:rsidP="009B3CFC">
      <w:pPr>
        <w:jc w:val="both"/>
        <w:rPr>
          <w:rFonts w:ascii="Arial Narrow" w:hAnsi="Arial Narrow" w:cs="Arial"/>
          <w:sz w:val="24"/>
        </w:rPr>
      </w:pPr>
    </w:p>
    <w:p w:rsidR="009B3CFC" w:rsidRPr="00DA65AA" w:rsidRDefault="009B3CFC" w:rsidP="00C408EF">
      <w:pPr>
        <w:pStyle w:val="Prrafodelista"/>
        <w:numPr>
          <w:ilvl w:val="0"/>
          <w:numId w:val="14"/>
        </w:numPr>
        <w:jc w:val="both"/>
        <w:rPr>
          <w:rFonts w:ascii="Arial Narrow" w:hAnsi="Arial Narrow" w:cs="Arial"/>
          <w:sz w:val="24"/>
        </w:rPr>
      </w:pPr>
      <w:r w:rsidRPr="00DA65AA">
        <w:rPr>
          <w:rFonts w:ascii="Arial Narrow" w:hAnsi="Arial Narrow" w:cs="Arial"/>
          <w:b/>
          <w:sz w:val="24"/>
        </w:rPr>
        <w:t>Límite de Composición por Tipo de Inversión:</w:t>
      </w:r>
      <w:r w:rsidR="00ED5697" w:rsidRPr="00DA65AA">
        <w:rPr>
          <w:rFonts w:ascii="Arial Narrow" w:hAnsi="Arial Narrow" w:cs="Arial"/>
          <w:sz w:val="24"/>
        </w:rPr>
        <w:t xml:space="preserve"> S</w:t>
      </w:r>
      <w:r w:rsidRPr="00DA65AA">
        <w:rPr>
          <w:rFonts w:ascii="Arial Narrow" w:hAnsi="Arial Narrow" w:cs="Arial"/>
          <w:sz w:val="24"/>
        </w:rPr>
        <w:t>e establecerá un monto máximo del total de los recursos en dólares en las inversiones y operaciones permitidas en el presente manual de políticas.</w:t>
      </w:r>
    </w:p>
    <w:p w:rsidR="009B3CFC" w:rsidRPr="00DA65AA" w:rsidRDefault="009B3CFC" w:rsidP="00C408EF">
      <w:pPr>
        <w:pStyle w:val="Prrafodelista"/>
        <w:numPr>
          <w:ilvl w:val="0"/>
          <w:numId w:val="14"/>
        </w:numPr>
        <w:spacing w:before="240"/>
        <w:jc w:val="both"/>
        <w:rPr>
          <w:rFonts w:ascii="Arial Narrow" w:hAnsi="Arial Narrow" w:cs="Arial"/>
          <w:sz w:val="24"/>
        </w:rPr>
      </w:pPr>
      <w:r w:rsidRPr="00DA65AA">
        <w:rPr>
          <w:rFonts w:ascii="Arial Narrow" w:hAnsi="Arial Narrow" w:cs="Arial"/>
          <w:b/>
          <w:sz w:val="24"/>
        </w:rPr>
        <w:t xml:space="preserve">Límite de Composición por Calificación Crediticia: </w:t>
      </w:r>
      <w:r w:rsidRPr="00DA65AA">
        <w:rPr>
          <w:rFonts w:ascii="Arial Narrow" w:hAnsi="Arial Narrow" w:cs="Arial"/>
          <w:sz w:val="24"/>
        </w:rPr>
        <w:t>se establece un porcentaje de participación según la calificación crediticia del emisor de cada instrumento.</w:t>
      </w:r>
    </w:p>
    <w:p w:rsidR="009B3CFC" w:rsidRPr="00DA65AA" w:rsidRDefault="009B3CFC" w:rsidP="009B3CFC">
      <w:pPr>
        <w:ind w:left="993" w:hanging="426"/>
        <w:jc w:val="both"/>
        <w:rPr>
          <w:rFonts w:ascii="Arial Narrow" w:hAnsi="Arial Narrow" w:cs="Arial"/>
          <w:sz w:val="24"/>
        </w:rPr>
      </w:pPr>
    </w:p>
    <w:p w:rsidR="009B3CFC" w:rsidRPr="00DA65AA" w:rsidRDefault="009B3CFC" w:rsidP="00C408EF">
      <w:pPr>
        <w:pStyle w:val="Prrafodelista"/>
        <w:numPr>
          <w:ilvl w:val="0"/>
          <w:numId w:val="14"/>
        </w:numPr>
        <w:jc w:val="both"/>
        <w:rPr>
          <w:rFonts w:ascii="Arial Narrow" w:hAnsi="Arial Narrow" w:cs="Arial"/>
          <w:sz w:val="24"/>
        </w:rPr>
      </w:pPr>
      <w:r w:rsidRPr="00DA65AA">
        <w:rPr>
          <w:rFonts w:ascii="Arial Narrow" w:hAnsi="Arial Narrow" w:cs="Arial"/>
          <w:b/>
          <w:sz w:val="24"/>
        </w:rPr>
        <w:t>Límite de Composición por Emisor:</w:t>
      </w:r>
      <w:r w:rsidRPr="00DA65AA">
        <w:rPr>
          <w:rFonts w:ascii="Arial Narrow" w:hAnsi="Arial Narrow" w:cs="Arial"/>
          <w:sz w:val="24"/>
        </w:rPr>
        <w:t xml:space="preserve"> se establecerá un monto máximo a invertir para las entidades con cupo de emisor aprobado.</w:t>
      </w:r>
    </w:p>
    <w:p w:rsidR="009B3CFC" w:rsidRPr="00DA65AA" w:rsidRDefault="009B3CFC" w:rsidP="009B3CFC">
      <w:pPr>
        <w:pStyle w:val="Prrafodelista"/>
        <w:jc w:val="both"/>
        <w:rPr>
          <w:rFonts w:ascii="Arial Narrow" w:hAnsi="Arial Narrow" w:cs="Arial"/>
          <w:sz w:val="24"/>
        </w:rPr>
      </w:pPr>
    </w:p>
    <w:p w:rsidR="009B3CFC" w:rsidRPr="00DA65AA" w:rsidRDefault="009B3CFC" w:rsidP="00C408EF">
      <w:pPr>
        <w:pStyle w:val="Prrafodelista"/>
        <w:numPr>
          <w:ilvl w:val="0"/>
          <w:numId w:val="14"/>
        </w:numPr>
        <w:jc w:val="both"/>
        <w:rPr>
          <w:rFonts w:ascii="Arial Narrow" w:hAnsi="Arial Narrow" w:cs="Arial"/>
          <w:sz w:val="24"/>
        </w:rPr>
      </w:pPr>
      <w:r w:rsidRPr="00DA65AA">
        <w:rPr>
          <w:rFonts w:ascii="Arial Narrow" w:hAnsi="Arial Narrow" w:cs="Arial"/>
          <w:b/>
          <w:sz w:val="24"/>
        </w:rPr>
        <w:t>Límite de inversiones en</w:t>
      </w:r>
      <w:r w:rsidRPr="00DA65AA">
        <w:rPr>
          <w:rFonts w:ascii="Arial Narrow" w:hAnsi="Arial Narrow" w:cs="Arial"/>
          <w:sz w:val="24"/>
        </w:rPr>
        <w:t xml:space="preserve"> </w:t>
      </w:r>
      <w:r w:rsidRPr="00DA65AA">
        <w:rPr>
          <w:rFonts w:ascii="Arial Narrow" w:hAnsi="Arial Narrow" w:cs="Arial"/>
          <w:b/>
          <w:sz w:val="24"/>
        </w:rPr>
        <w:t xml:space="preserve">Fondos </w:t>
      </w:r>
      <w:r w:rsidRPr="00C9489C">
        <w:rPr>
          <w:rFonts w:ascii="Arial Narrow" w:hAnsi="Arial Narrow" w:cs="Arial"/>
          <w:b/>
          <w:i/>
          <w:sz w:val="24"/>
        </w:rPr>
        <w:t>Money Market</w:t>
      </w:r>
      <w:r w:rsidRPr="00DA65AA">
        <w:rPr>
          <w:rFonts w:ascii="Arial Narrow" w:hAnsi="Arial Narrow" w:cs="Arial"/>
          <w:sz w:val="24"/>
        </w:rPr>
        <w:t>: se establecerá un porcentaje sobre el total de los activos del fondo y de acuerdo con su composición.</w:t>
      </w:r>
    </w:p>
    <w:p w:rsidR="009B3CFC" w:rsidRPr="00DA65AA" w:rsidRDefault="009B3CFC" w:rsidP="009B3CFC">
      <w:pPr>
        <w:pStyle w:val="Prrafodelista"/>
        <w:ind w:left="993"/>
        <w:jc w:val="both"/>
        <w:rPr>
          <w:rFonts w:ascii="Arial Narrow" w:hAnsi="Arial Narrow" w:cs="Arial"/>
          <w:sz w:val="24"/>
        </w:rPr>
      </w:pPr>
    </w:p>
    <w:p w:rsidR="009B3CFC" w:rsidRPr="00DA65AA" w:rsidRDefault="009B3CFC" w:rsidP="009B3CFC">
      <w:pPr>
        <w:jc w:val="both"/>
        <w:rPr>
          <w:rFonts w:ascii="Arial Narrow" w:hAnsi="Arial Narrow" w:cs="Arial"/>
          <w:sz w:val="24"/>
        </w:rPr>
      </w:pPr>
      <w:r w:rsidRPr="00DA65AA">
        <w:rPr>
          <w:rFonts w:ascii="Arial Narrow" w:hAnsi="Arial Narrow" w:cs="Arial"/>
          <w:sz w:val="24"/>
        </w:rPr>
        <w:t>Estos límites tienen como función principal la mitigación del riesgo de concentración de contrapartes y disminución de la exposición crediticia, lo cual propone una política que obedece al principio de diversificación de las inversiones.</w:t>
      </w:r>
    </w:p>
    <w:p w:rsidR="009B3CFC" w:rsidRPr="00DA65AA" w:rsidRDefault="009B3CFC" w:rsidP="009B3CFC">
      <w:pPr>
        <w:jc w:val="both"/>
        <w:rPr>
          <w:rFonts w:ascii="Arial Narrow" w:hAnsi="Arial Narrow" w:cs="Arial"/>
          <w:sz w:val="24"/>
        </w:rPr>
      </w:pPr>
    </w:p>
    <w:p w:rsidR="00384F28" w:rsidRPr="00DA65AA" w:rsidRDefault="009B3CFC" w:rsidP="009B3CFC">
      <w:pPr>
        <w:pStyle w:val="Prrafodelista"/>
        <w:ind w:left="0"/>
        <w:jc w:val="both"/>
        <w:rPr>
          <w:rFonts w:ascii="Arial Narrow" w:hAnsi="Arial Narrow" w:cs="Arial"/>
          <w:sz w:val="24"/>
          <w:szCs w:val="24"/>
        </w:rPr>
      </w:pPr>
      <w:r w:rsidRPr="00DA65AA">
        <w:rPr>
          <w:rFonts w:ascii="Arial Narrow" w:hAnsi="Arial Narrow" w:cs="Arial"/>
          <w:sz w:val="24"/>
          <w:szCs w:val="24"/>
        </w:rPr>
        <w:lastRenderedPageBreak/>
        <w:t xml:space="preserve">Adicionalmente, la Subdirección de Tesorería podrá desarrollar una estrategia de rentabilidad con base en la administración </w:t>
      </w:r>
      <w:r w:rsidR="00C9489C">
        <w:rPr>
          <w:rFonts w:ascii="Arial Narrow" w:hAnsi="Arial Narrow" w:cs="Arial"/>
          <w:sz w:val="24"/>
          <w:szCs w:val="24"/>
        </w:rPr>
        <w:t>de un portafolio estructural en</w:t>
      </w:r>
      <w:r w:rsidRPr="00DA65AA">
        <w:rPr>
          <w:rFonts w:ascii="Arial Narrow" w:hAnsi="Arial Narrow" w:cs="Arial"/>
          <w:sz w:val="24"/>
          <w:szCs w:val="24"/>
        </w:rPr>
        <w:t xml:space="preserve"> un horizonte de tiempo, que no involucre necesidades de caja. Para esto, la Subdirección de Riesgo deberá definir lineamientos de riesgos acordes con la gestión que le aplica a este portafolio, los cuales se </w:t>
      </w:r>
      <w:r w:rsidR="00C9489C">
        <w:rPr>
          <w:rFonts w:ascii="Arial Narrow" w:hAnsi="Arial Narrow" w:cs="Arial"/>
          <w:sz w:val="24"/>
          <w:szCs w:val="24"/>
        </w:rPr>
        <w:t xml:space="preserve">incluyen </w:t>
      </w:r>
      <w:r w:rsidRPr="00DA65AA">
        <w:rPr>
          <w:rFonts w:ascii="Arial Narrow" w:hAnsi="Arial Narrow" w:cs="Arial"/>
          <w:sz w:val="24"/>
          <w:szCs w:val="24"/>
        </w:rPr>
        <w:t>en el presente manual.</w:t>
      </w:r>
    </w:p>
    <w:p w:rsidR="00384F28" w:rsidRPr="00DA65AA" w:rsidRDefault="00384F28" w:rsidP="009B3CFC">
      <w:pPr>
        <w:pStyle w:val="Prrafodelista"/>
        <w:ind w:left="0"/>
        <w:jc w:val="both"/>
        <w:rPr>
          <w:rFonts w:ascii="Arial Narrow" w:hAnsi="Arial Narrow" w:cs="Arial"/>
          <w:sz w:val="24"/>
          <w:szCs w:val="24"/>
        </w:rPr>
      </w:pPr>
    </w:p>
    <w:p w:rsidR="0045365B" w:rsidRPr="00DA65AA" w:rsidRDefault="0045365B" w:rsidP="006D1283">
      <w:pPr>
        <w:pStyle w:val="Ttulo4"/>
      </w:pPr>
      <w:bookmarkStart w:id="34" w:name="_Toc4596430"/>
      <w:r w:rsidRPr="00DA65AA">
        <w:t>Directrices en Materia de Cupos</w:t>
      </w:r>
      <w:bookmarkEnd w:id="34"/>
    </w:p>
    <w:p w:rsidR="0045365B" w:rsidRPr="00DA65AA" w:rsidRDefault="0045365B" w:rsidP="0045365B">
      <w:pPr>
        <w:rPr>
          <w:rFonts w:ascii="Arial Narrow" w:hAnsi="Arial Narrow"/>
        </w:rPr>
      </w:pPr>
    </w:p>
    <w:p w:rsidR="0045365B" w:rsidRPr="00DA65AA" w:rsidRDefault="0045365B" w:rsidP="0045365B">
      <w:pPr>
        <w:jc w:val="both"/>
        <w:rPr>
          <w:rFonts w:ascii="Arial Narrow" w:hAnsi="Arial Narrow" w:cs="Arial"/>
          <w:sz w:val="24"/>
          <w:szCs w:val="24"/>
        </w:rPr>
      </w:pPr>
      <w:r w:rsidRPr="00DA65AA">
        <w:rPr>
          <w:rFonts w:ascii="Arial Narrow" w:hAnsi="Arial Narrow" w:cs="Arial"/>
          <w:sz w:val="24"/>
          <w:szCs w:val="24"/>
        </w:rPr>
        <w:t>La Subdirección de Riesgo definirá las metodologías concernientes a identificar y asignar cupos a las entidades con las cuales se podrán realizar operaciones, así como mantener posiciones en dichos instrumentos en el portafolio administrado por la DGCPTN.</w:t>
      </w:r>
    </w:p>
    <w:p w:rsidR="0045365B" w:rsidRPr="00DA65AA" w:rsidRDefault="0045365B" w:rsidP="0045365B">
      <w:pPr>
        <w:pStyle w:val="Ttulo"/>
        <w:jc w:val="both"/>
        <w:rPr>
          <w:rFonts w:ascii="Arial Narrow" w:eastAsia="Calibri" w:hAnsi="Arial Narrow"/>
          <w:szCs w:val="24"/>
          <w:lang w:val="es-CO" w:eastAsia="es-CO"/>
        </w:rPr>
      </w:pPr>
    </w:p>
    <w:p w:rsidR="0045365B" w:rsidRPr="00DA65AA" w:rsidRDefault="0045365B" w:rsidP="0045365B">
      <w:pPr>
        <w:pStyle w:val="Ttulo"/>
        <w:jc w:val="both"/>
        <w:rPr>
          <w:rFonts w:ascii="Arial Narrow" w:eastAsia="Calibri" w:hAnsi="Arial Narrow"/>
          <w:szCs w:val="24"/>
          <w:lang w:val="es-CO" w:eastAsia="es-CO"/>
        </w:rPr>
      </w:pPr>
      <w:r w:rsidRPr="00DA65AA">
        <w:rPr>
          <w:rFonts w:ascii="Arial Narrow" w:eastAsia="Calibri" w:hAnsi="Arial Narrow"/>
          <w:szCs w:val="24"/>
          <w:lang w:val="es-CO" w:eastAsia="es-CO"/>
        </w:rPr>
        <w:t>Los cupos a asignar y los criterios generales de asignación se definen a continuación:</w:t>
      </w:r>
    </w:p>
    <w:p w:rsidR="0045365B" w:rsidRPr="00DA65AA" w:rsidRDefault="0045365B" w:rsidP="0045365B">
      <w:pPr>
        <w:pStyle w:val="Ttulo"/>
        <w:jc w:val="both"/>
        <w:rPr>
          <w:rFonts w:ascii="Arial Narrow" w:eastAsia="Calibri" w:hAnsi="Arial Narrow"/>
          <w:szCs w:val="24"/>
          <w:lang w:val="es-CO" w:eastAsia="es-CO"/>
        </w:rPr>
      </w:pPr>
    </w:p>
    <w:p w:rsidR="0045365B" w:rsidRPr="00DA65AA" w:rsidRDefault="0045365B" w:rsidP="00C408EF">
      <w:pPr>
        <w:pStyle w:val="Ttulo"/>
        <w:numPr>
          <w:ilvl w:val="0"/>
          <w:numId w:val="15"/>
        </w:numPr>
        <w:jc w:val="both"/>
        <w:rPr>
          <w:rFonts w:ascii="Arial Narrow" w:eastAsia="Calibri" w:hAnsi="Arial Narrow"/>
          <w:b/>
          <w:szCs w:val="24"/>
          <w:lang w:val="es-CO" w:eastAsia="es-CO"/>
        </w:rPr>
      </w:pPr>
      <w:r w:rsidRPr="00DA65AA">
        <w:rPr>
          <w:rFonts w:ascii="Arial Narrow" w:eastAsia="Calibri" w:hAnsi="Arial Narrow"/>
          <w:b/>
          <w:szCs w:val="24"/>
          <w:lang w:val="es-CO" w:eastAsia="es-CO"/>
        </w:rPr>
        <w:t>Criterios Generales para Asignación de Cupos</w:t>
      </w:r>
    </w:p>
    <w:p w:rsidR="0045365B" w:rsidRPr="00DA65AA" w:rsidRDefault="0045365B" w:rsidP="0045365B">
      <w:pPr>
        <w:pStyle w:val="Ttulo"/>
        <w:jc w:val="both"/>
        <w:rPr>
          <w:rFonts w:ascii="Arial Narrow" w:eastAsia="Calibri" w:hAnsi="Arial Narrow"/>
          <w:szCs w:val="24"/>
          <w:lang w:val="es-CO" w:eastAsia="es-CO"/>
        </w:rPr>
      </w:pPr>
    </w:p>
    <w:p w:rsidR="0045365B" w:rsidRPr="00DA65AA" w:rsidRDefault="0045365B" w:rsidP="0045365B">
      <w:pPr>
        <w:pStyle w:val="Ttulo"/>
        <w:ind w:left="360"/>
        <w:jc w:val="both"/>
        <w:rPr>
          <w:rFonts w:ascii="Arial Narrow" w:eastAsia="Calibri" w:hAnsi="Arial Narrow"/>
          <w:szCs w:val="24"/>
          <w:lang w:val="es-CO" w:eastAsia="es-CO"/>
        </w:rPr>
      </w:pPr>
      <w:r w:rsidRPr="00DA65AA">
        <w:rPr>
          <w:rFonts w:ascii="Arial Narrow" w:eastAsia="Calibri" w:hAnsi="Arial Narrow"/>
          <w:szCs w:val="24"/>
          <w:lang w:val="es-CO" w:eastAsia="es-CO"/>
        </w:rPr>
        <w:t>Para la asignación de cupos de emisor y de contraparte se deben tener en cuenta los siguientes criterios generales:</w:t>
      </w:r>
    </w:p>
    <w:p w:rsidR="0045365B" w:rsidRPr="00DA65AA" w:rsidRDefault="0045365B" w:rsidP="0045365B">
      <w:pPr>
        <w:pStyle w:val="Ttulo"/>
        <w:jc w:val="both"/>
        <w:rPr>
          <w:rFonts w:ascii="Arial Narrow" w:eastAsia="Calibri" w:hAnsi="Arial Narrow"/>
          <w:szCs w:val="24"/>
          <w:lang w:val="es-CO" w:eastAsia="es-CO"/>
        </w:rPr>
      </w:pPr>
    </w:p>
    <w:p w:rsidR="0045365B" w:rsidRPr="00DA65AA" w:rsidRDefault="0045365B" w:rsidP="00C408EF">
      <w:pPr>
        <w:pStyle w:val="Ttulo"/>
        <w:numPr>
          <w:ilvl w:val="0"/>
          <w:numId w:val="20"/>
        </w:numPr>
        <w:ind w:left="709" w:hanging="283"/>
        <w:jc w:val="both"/>
        <w:rPr>
          <w:rFonts w:ascii="Arial Narrow" w:eastAsia="Calibri" w:hAnsi="Arial Narrow"/>
          <w:szCs w:val="24"/>
          <w:lang w:val="es-CO" w:eastAsia="es-CO"/>
        </w:rPr>
      </w:pPr>
      <w:r w:rsidRPr="00DA65AA">
        <w:rPr>
          <w:rFonts w:ascii="Arial Narrow" w:eastAsia="Calibri" w:hAnsi="Arial Narrow"/>
          <w:szCs w:val="24"/>
          <w:lang w:val="es-CO" w:eastAsia="es-CO"/>
        </w:rPr>
        <w:t xml:space="preserve">Los cupos deben cumplir con los criterios de calificación mínima definidos en las políticas de riesgo. </w:t>
      </w:r>
    </w:p>
    <w:p w:rsidR="0045365B" w:rsidRPr="00DA65AA" w:rsidRDefault="0045365B" w:rsidP="00C408EF">
      <w:pPr>
        <w:pStyle w:val="Ttulo"/>
        <w:numPr>
          <w:ilvl w:val="0"/>
          <w:numId w:val="20"/>
        </w:numPr>
        <w:ind w:left="709" w:hanging="283"/>
        <w:jc w:val="both"/>
        <w:rPr>
          <w:rFonts w:ascii="Arial Narrow" w:eastAsia="Calibri" w:hAnsi="Arial Narrow"/>
          <w:szCs w:val="24"/>
          <w:lang w:val="es-CO" w:eastAsia="es-CO"/>
        </w:rPr>
      </w:pPr>
      <w:r w:rsidRPr="00DA65AA">
        <w:rPr>
          <w:rFonts w:ascii="Arial Narrow" w:eastAsia="Calibri" w:hAnsi="Arial Narrow"/>
          <w:szCs w:val="24"/>
          <w:lang w:val="es-CO" w:eastAsia="es-CO"/>
        </w:rPr>
        <w:t>La entidad debe cumplir con los criterios del modelo de asignación de cupos aprobado para tal fin por la Subdirección de Riesgo.</w:t>
      </w:r>
    </w:p>
    <w:p w:rsidR="0045365B" w:rsidRPr="00DA65AA" w:rsidRDefault="0045365B" w:rsidP="0045365B">
      <w:pPr>
        <w:pStyle w:val="Ttulo"/>
        <w:jc w:val="both"/>
        <w:rPr>
          <w:rFonts w:ascii="Arial Narrow" w:eastAsia="Calibri" w:hAnsi="Arial Narrow"/>
          <w:b/>
          <w:szCs w:val="24"/>
          <w:lang w:val="es-CO" w:eastAsia="es-CO"/>
        </w:rPr>
      </w:pPr>
    </w:p>
    <w:p w:rsidR="0045365B" w:rsidRPr="00DA65AA" w:rsidRDefault="0045365B" w:rsidP="00C408EF">
      <w:pPr>
        <w:pStyle w:val="Ttulo"/>
        <w:numPr>
          <w:ilvl w:val="0"/>
          <w:numId w:val="15"/>
        </w:numPr>
        <w:jc w:val="both"/>
        <w:rPr>
          <w:rFonts w:ascii="Arial Narrow" w:eastAsia="Calibri" w:hAnsi="Arial Narrow"/>
          <w:b/>
          <w:szCs w:val="24"/>
          <w:lang w:val="es-CO" w:eastAsia="es-CO"/>
        </w:rPr>
      </w:pPr>
      <w:r w:rsidRPr="00DA65AA">
        <w:rPr>
          <w:rFonts w:ascii="Arial Narrow" w:eastAsia="Calibri" w:hAnsi="Arial Narrow"/>
          <w:b/>
          <w:szCs w:val="24"/>
          <w:lang w:val="es-CO" w:eastAsia="es-CO"/>
        </w:rPr>
        <w:t>Cupos de Emisor</w:t>
      </w:r>
    </w:p>
    <w:p w:rsidR="0045365B" w:rsidRPr="00DA65AA" w:rsidRDefault="0045365B" w:rsidP="0045365B">
      <w:pPr>
        <w:pStyle w:val="Ttulo"/>
        <w:jc w:val="both"/>
        <w:rPr>
          <w:rFonts w:ascii="Arial Narrow" w:eastAsia="Calibri" w:hAnsi="Arial Narrow"/>
          <w:szCs w:val="24"/>
          <w:lang w:val="es-CO" w:eastAsia="es-CO"/>
        </w:rPr>
      </w:pPr>
    </w:p>
    <w:p w:rsidR="0045365B" w:rsidRPr="00DA65AA" w:rsidRDefault="0045365B" w:rsidP="00D123C4">
      <w:pPr>
        <w:pStyle w:val="Ttulo"/>
        <w:ind w:left="360"/>
        <w:jc w:val="both"/>
        <w:rPr>
          <w:rFonts w:ascii="Arial Narrow" w:eastAsia="Calibri" w:hAnsi="Arial Narrow"/>
          <w:szCs w:val="24"/>
          <w:lang w:val="es-CO" w:eastAsia="es-CO"/>
        </w:rPr>
      </w:pPr>
      <w:r w:rsidRPr="00DA65AA">
        <w:rPr>
          <w:rFonts w:ascii="Arial Narrow" w:eastAsia="Calibri" w:hAnsi="Arial Narrow"/>
          <w:szCs w:val="24"/>
          <w:lang w:val="es-CO" w:eastAsia="es-CO"/>
        </w:rPr>
        <w:t>Una situación de deterioro de las condiciones financieras de la entidad receptora de recursos de la Nación genera una mayor exposición de riesgo de crédito (o de emisor). Es decir, se podría desencadenar una serie de factores que afectarían la capacidad de cumplir las obligaciones que contrae la entidad emisora o receptora de recursos con terceros.</w:t>
      </w:r>
    </w:p>
    <w:p w:rsidR="0045365B" w:rsidRPr="00DA65AA" w:rsidRDefault="0045365B" w:rsidP="00D123C4">
      <w:pPr>
        <w:pStyle w:val="Ttulo"/>
        <w:ind w:left="360"/>
        <w:jc w:val="both"/>
        <w:rPr>
          <w:rFonts w:ascii="Arial Narrow" w:eastAsia="Calibri" w:hAnsi="Arial Narrow"/>
          <w:szCs w:val="24"/>
          <w:lang w:val="es-CO" w:eastAsia="es-CO"/>
        </w:rPr>
      </w:pPr>
    </w:p>
    <w:p w:rsidR="0045365B" w:rsidRPr="00DA65AA" w:rsidRDefault="0045365B" w:rsidP="00D123C4">
      <w:pPr>
        <w:pStyle w:val="Ttulo"/>
        <w:ind w:left="360"/>
        <w:jc w:val="both"/>
        <w:rPr>
          <w:rFonts w:ascii="Arial Narrow" w:eastAsia="Calibri" w:hAnsi="Arial Narrow"/>
          <w:szCs w:val="24"/>
          <w:lang w:val="es-CO" w:eastAsia="es-CO"/>
        </w:rPr>
      </w:pPr>
      <w:r w:rsidRPr="00DA65AA">
        <w:rPr>
          <w:rFonts w:ascii="Arial Narrow" w:eastAsia="Calibri" w:hAnsi="Arial Narrow"/>
          <w:szCs w:val="24"/>
          <w:lang w:val="es-CO" w:eastAsia="es-CO"/>
        </w:rPr>
        <w:t xml:space="preserve">Para poder evaluar el riesgo de crédito que presenta una entidad financiera se utilizan las calificaciones de riesgo emitidas por las agencias calificadoras internacionales, y se realizan modelos cuantitativos que permiten determinar, con base en la exposición crediticia, el valor de los cupos de emisor.  </w:t>
      </w:r>
    </w:p>
    <w:p w:rsidR="0045365B" w:rsidRPr="00DA65AA" w:rsidRDefault="0045365B" w:rsidP="00D123C4">
      <w:pPr>
        <w:pStyle w:val="Ttulo"/>
        <w:ind w:left="360"/>
        <w:jc w:val="both"/>
        <w:rPr>
          <w:rFonts w:ascii="Arial Narrow" w:eastAsia="Calibri" w:hAnsi="Arial Narrow"/>
          <w:szCs w:val="24"/>
          <w:lang w:val="es-CO" w:eastAsia="es-CO"/>
        </w:rPr>
      </w:pPr>
    </w:p>
    <w:p w:rsidR="0045365B" w:rsidRPr="00DA65AA" w:rsidRDefault="0045365B" w:rsidP="00D123C4">
      <w:pPr>
        <w:pStyle w:val="Ttulo"/>
        <w:ind w:left="360"/>
        <w:jc w:val="both"/>
        <w:rPr>
          <w:rFonts w:ascii="Arial Narrow" w:eastAsia="Calibri" w:hAnsi="Arial Narrow"/>
          <w:szCs w:val="24"/>
          <w:lang w:val="es-CO" w:eastAsia="es-CO"/>
        </w:rPr>
      </w:pPr>
      <w:r w:rsidRPr="00DA65AA">
        <w:rPr>
          <w:rFonts w:ascii="Arial Narrow" w:eastAsia="Calibri" w:hAnsi="Arial Narrow"/>
          <w:szCs w:val="24"/>
          <w:lang w:val="es-CO" w:eastAsia="es-CO"/>
        </w:rPr>
        <w:t xml:space="preserve">Teniendo en cuenta lo anterior, se asignarán cupos de emisor a las entidades nacionales o extranjeras en los siguientes casos: </w:t>
      </w:r>
    </w:p>
    <w:p w:rsidR="0045365B" w:rsidRPr="00DA65AA" w:rsidRDefault="0045365B" w:rsidP="0045365B">
      <w:pPr>
        <w:pStyle w:val="Ttulo"/>
        <w:jc w:val="both"/>
        <w:rPr>
          <w:rFonts w:ascii="Arial Narrow" w:eastAsia="Calibri" w:hAnsi="Arial Narrow"/>
          <w:szCs w:val="24"/>
          <w:lang w:val="es-CO" w:eastAsia="es-CO"/>
        </w:rPr>
      </w:pPr>
    </w:p>
    <w:p w:rsidR="0045365B" w:rsidRPr="00DA65AA" w:rsidRDefault="0045365B" w:rsidP="00B44AF0">
      <w:pPr>
        <w:pStyle w:val="Ttulo"/>
        <w:numPr>
          <w:ilvl w:val="0"/>
          <w:numId w:val="31"/>
        </w:numPr>
        <w:jc w:val="both"/>
        <w:rPr>
          <w:rFonts w:ascii="Arial Narrow" w:eastAsia="Calibri" w:hAnsi="Arial Narrow"/>
          <w:szCs w:val="24"/>
          <w:lang w:val="es-CO" w:eastAsia="es-CO"/>
        </w:rPr>
      </w:pPr>
      <w:r w:rsidRPr="00DA65AA">
        <w:rPr>
          <w:rFonts w:ascii="Arial Narrow" w:eastAsia="Calibri" w:hAnsi="Arial Narrow"/>
          <w:szCs w:val="24"/>
          <w:lang w:val="es-CO" w:eastAsia="es-CO"/>
        </w:rPr>
        <w:t xml:space="preserve">Emisores diferentes a la Nación de instrumentos que la DGCPTN requiera adquirir; </w:t>
      </w:r>
    </w:p>
    <w:p w:rsidR="00D123C4" w:rsidRPr="00DA65AA" w:rsidRDefault="0045365B" w:rsidP="00B44AF0">
      <w:pPr>
        <w:pStyle w:val="Ttulo"/>
        <w:numPr>
          <w:ilvl w:val="0"/>
          <w:numId w:val="31"/>
        </w:numPr>
        <w:jc w:val="both"/>
        <w:rPr>
          <w:rFonts w:ascii="Arial Narrow" w:eastAsia="Calibri" w:hAnsi="Arial Narrow"/>
          <w:szCs w:val="24"/>
          <w:lang w:val="es-CO" w:eastAsia="es-CO"/>
        </w:rPr>
      </w:pPr>
      <w:r w:rsidRPr="00DA65AA">
        <w:rPr>
          <w:rFonts w:ascii="Arial Narrow" w:eastAsia="Calibri" w:hAnsi="Arial Narrow"/>
          <w:szCs w:val="24"/>
          <w:lang w:val="es-CO" w:eastAsia="es-CO"/>
        </w:rPr>
        <w:t>Entidades financieras a las que la DGCPTN le asigne excedentes de liquidez</w:t>
      </w:r>
      <w:r w:rsidR="00D123C4" w:rsidRPr="00DA65AA">
        <w:rPr>
          <w:rFonts w:ascii="Arial Narrow" w:eastAsia="Calibri" w:hAnsi="Arial Narrow"/>
          <w:szCs w:val="24"/>
          <w:lang w:val="es-CO" w:eastAsia="es-CO"/>
        </w:rPr>
        <w:t xml:space="preserve"> para que </w:t>
      </w:r>
      <w:r w:rsidRPr="00DA65AA">
        <w:rPr>
          <w:rFonts w:ascii="Arial Narrow" w:eastAsia="Calibri" w:hAnsi="Arial Narrow"/>
          <w:szCs w:val="24"/>
          <w:lang w:val="es-CO" w:eastAsia="es-CO"/>
        </w:rPr>
        <w:t>realice las siguientes actividades: administración de recursos u operaciones a término.</w:t>
      </w:r>
    </w:p>
    <w:p w:rsidR="0045365B" w:rsidRPr="00DA65AA" w:rsidRDefault="0045365B" w:rsidP="00B44AF0">
      <w:pPr>
        <w:pStyle w:val="Ttulo"/>
        <w:numPr>
          <w:ilvl w:val="0"/>
          <w:numId w:val="31"/>
        </w:numPr>
        <w:jc w:val="both"/>
        <w:rPr>
          <w:rFonts w:ascii="Arial Narrow" w:eastAsia="Calibri" w:hAnsi="Arial Narrow"/>
          <w:szCs w:val="24"/>
          <w:lang w:val="es-CO" w:eastAsia="es-CO"/>
        </w:rPr>
      </w:pPr>
      <w:r w:rsidRPr="00DA65AA">
        <w:rPr>
          <w:rFonts w:ascii="Arial Narrow" w:eastAsia="Calibri" w:hAnsi="Arial Narrow"/>
          <w:szCs w:val="24"/>
          <w:lang w:val="es-CO" w:eastAsia="es-CO"/>
        </w:rPr>
        <w:t xml:space="preserve">Fondos </w:t>
      </w:r>
      <w:r w:rsidR="00B44AF0">
        <w:rPr>
          <w:rFonts w:ascii="Arial Narrow" w:eastAsia="Calibri" w:hAnsi="Arial Narrow"/>
          <w:i/>
          <w:szCs w:val="24"/>
          <w:lang w:val="es-CO" w:eastAsia="es-CO"/>
        </w:rPr>
        <w:t>Money M</w:t>
      </w:r>
      <w:r w:rsidRPr="00B44AF0">
        <w:rPr>
          <w:rFonts w:ascii="Arial Narrow" w:eastAsia="Calibri" w:hAnsi="Arial Narrow"/>
          <w:i/>
          <w:szCs w:val="24"/>
          <w:lang w:val="es-CO" w:eastAsia="es-CO"/>
        </w:rPr>
        <w:t>arket</w:t>
      </w:r>
      <w:r w:rsidRPr="00DA65AA">
        <w:rPr>
          <w:rFonts w:ascii="Arial Narrow" w:eastAsia="Calibri" w:hAnsi="Arial Narrow"/>
          <w:szCs w:val="24"/>
          <w:lang w:val="es-CO" w:eastAsia="es-CO"/>
        </w:rPr>
        <w:t xml:space="preserve"> que cumplan con los lineamientos </w:t>
      </w:r>
      <w:r w:rsidR="00D123C4" w:rsidRPr="00DA65AA">
        <w:rPr>
          <w:rFonts w:ascii="Arial Narrow" w:eastAsia="Calibri" w:hAnsi="Arial Narrow"/>
          <w:szCs w:val="24"/>
          <w:lang w:val="es-CO" w:eastAsia="es-CO"/>
        </w:rPr>
        <w:t xml:space="preserve">específicos </w:t>
      </w:r>
      <w:r w:rsidRPr="00DA65AA">
        <w:rPr>
          <w:rFonts w:ascii="Arial Narrow" w:eastAsia="Calibri" w:hAnsi="Arial Narrow"/>
          <w:szCs w:val="24"/>
          <w:lang w:val="es-CO" w:eastAsia="es-CO"/>
        </w:rPr>
        <w:t>de inversión aprobados.</w:t>
      </w:r>
    </w:p>
    <w:p w:rsidR="0045365B" w:rsidRPr="00DA65AA" w:rsidRDefault="0045365B" w:rsidP="0045365B">
      <w:pPr>
        <w:pStyle w:val="Ttulo"/>
        <w:jc w:val="both"/>
        <w:rPr>
          <w:rFonts w:ascii="Arial Narrow" w:eastAsia="Calibri" w:hAnsi="Arial Narrow"/>
          <w:szCs w:val="24"/>
          <w:lang w:val="es-CO" w:eastAsia="es-CO"/>
        </w:rPr>
      </w:pPr>
    </w:p>
    <w:p w:rsidR="0045365B" w:rsidRPr="00DA65AA" w:rsidRDefault="0045365B" w:rsidP="00C408EF">
      <w:pPr>
        <w:pStyle w:val="Ttulo"/>
        <w:numPr>
          <w:ilvl w:val="0"/>
          <w:numId w:val="15"/>
        </w:numPr>
        <w:jc w:val="both"/>
        <w:rPr>
          <w:rFonts w:ascii="Arial Narrow" w:eastAsia="Calibri" w:hAnsi="Arial Narrow"/>
          <w:b/>
          <w:szCs w:val="24"/>
          <w:lang w:val="es-CO" w:eastAsia="es-CO"/>
        </w:rPr>
      </w:pPr>
      <w:r w:rsidRPr="00DA65AA">
        <w:rPr>
          <w:rFonts w:ascii="Arial Narrow" w:eastAsia="Calibri" w:hAnsi="Arial Narrow"/>
          <w:b/>
          <w:szCs w:val="24"/>
          <w:lang w:val="es-CO" w:eastAsia="es-CO"/>
        </w:rPr>
        <w:t>Cupos de Contraparte</w:t>
      </w:r>
    </w:p>
    <w:p w:rsidR="0045365B" w:rsidRPr="00DA65AA" w:rsidRDefault="0045365B" w:rsidP="0045365B">
      <w:pPr>
        <w:pStyle w:val="Ttulo"/>
        <w:jc w:val="both"/>
        <w:rPr>
          <w:rFonts w:ascii="Arial Narrow" w:eastAsia="Calibri" w:hAnsi="Arial Narrow"/>
          <w:szCs w:val="24"/>
          <w:lang w:val="es-CO" w:eastAsia="es-CO"/>
        </w:rPr>
      </w:pPr>
    </w:p>
    <w:p w:rsidR="0045365B" w:rsidRPr="00DA65AA" w:rsidRDefault="0045365B" w:rsidP="00D123C4">
      <w:pPr>
        <w:autoSpaceDE w:val="0"/>
        <w:autoSpaceDN w:val="0"/>
        <w:adjustRightInd w:val="0"/>
        <w:ind w:left="360"/>
        <w:jc w:val="both"/>
        <w:rPr>
          <w:rFonts w:ascii="Arial Narrow" w:hAnsi="Arial Narrow" w:cs="Arial"/>
          <w:color w:val="000000"/>
          <w:sz w:val="24"/>
          <w:szCs w:val="24"/>
        </w:rPr>
      </w:pPr>
      <w:r w:rsidRPr="00DA65AA">
        <w:rPr>
          <w:rFonts w:ascii="Arial Narrow" w:hAnsi="Arial Narrow" w:cs="Arial"/>
          <w:color w:val="000000"/>
          <w:sz w:val="24"/>
          <w:szCs w:val="24"/>
        </w:rPr>
        <w:t xml:space="preserve">El riesgo de contraparte se presenta cuando una entidad que realice operaciones con la Nación incumpla con alguna o todas las condiciones acordadas en una operación.  </w:t>
      </w:r>
    </w:p>
    <w:p w:rsidR="0045365B" w:rsidRPr="00DA65AA" w:rsidRDefault="0045365B" w:rsidP="00D123C4">
      <w:pPr>
        <w:autoSpaceDE w:val="0"/>
        <w:autoSpaceDN w:val="0"/>
        <w:adjustRightInd w:val="0"/>
        <w:ind w:left="360"/>
        <w:jc w:val="both"/>
        <w:rPr>
          <w:rFonts w:ascii="Arial Narrow" w:hAnsi="Arial Narrow" w:cs="Arial"/>
          <w:color w:val="000000"/>
          <w:sz w:val="24"/>
          <w:szCs w:val="24"/>
        </w:rPr>
      </w:pPr>
    </w:p>
    <w:p w:rsidR="0045365B" w:rsidRPr="00DA65AA" w:rsidRDefault="0045365B" w:rsidP="00D123C4">
      <w:pPr>
        <w:autoSpaceDE w:val="0"/>
        <w:autoSpaceDN w:val="0"/>
        <w:adjustRightInd w:val="0"/>
        <w:ind w:left="360"/>
        <w:jc w:val="both"/>
        <w:rPr>
          <w:rFonts w:ascii="Arial Narrow" w:hAnsi="Arial Narrow" w:cs="Arial"/>
          <w:color w:val="000000"/>
          <w:sz w:val="24"/>
          <w:szCs w:val="24"/>
        </w:rPr>
      </w:pPr>
      <w:r w:rsidRPr="00DA65AA">
        <w:rPr>
          <w:rFonts w:ascii="Arial Narrow" w:hAnsi="Arial Narrow" w:cs="Arial"/>
          <w:color w:val="000000"/>
          <w:sz w:val="24"/>
          <w:szCs w:val="24"/>
        </w:rPr>
        <w:t>Este puede ser mitigado con mecanismos de compensación y procedimientos de pagos mediante condiciones contra-entrega.  No obstante, como una medida prudencial desde el punto de vista del manejo de los riesgos financieros inherentes a las operaciones, se requiere establecer un cupo de contraparte a las entidades con las cuales la Nación realizará operaciones en los siguientes sistemas:</w:t>
      </w:r>
    </w:p>
    <w:p w:rsidR="0045365B" w:rsidRPr="00DA65AA" w:rsidRDefault="0045365B" w:rsidP="00D123C4">
      <w:pPr>
        <w:autoSpaceDE w:val="0"/>
        <w:autoSpaceDN w:val="0"/>
        <w:adjustRightInd w:val="0"/>
        <w:ind w:left="360"/>
        <w:jc w:val="both"/>
        <w:rPr>
          <w:rFonts w:ascii="Arial Narrow" w:hAnsi="Arial Narrow" w:cs="Arial"/>
          <w:color w:val="000000"/>
          <w:sz w:val="24"/>
          <w:szCs w:val="24"/>
        </w:rPr>
      </w:pPr>
    </w:p>
    <w:p w:rsidR="0045365B" w:rsidRPr="00DA65AA" w:rsidRDefault="00D123C4" w:rsidP="00C408EF">
      <w:pPr>
        <w:pStyle w:val="Prrafodelista"/>
        <w:numPr>
          <w:ilvl w:val="0"/>
          <w:numId w:val="16"/>
        </w:numPr>
        <w:autoSpaceDE w:val="0"/>
        <w:autoSpaceDN w:val="0"/>
        <w:adjustRightInd w:val="0"/>
        <w:ind w:left="1080"/>
        <w:jc w:val="both"/>
        <w:rPr>
          <w:rFonts w:ascii="Arial Narrow" w:hAnsi="Arial Narrow" w:cs="Arial"/>
          <w:color w:val="000000"/>
          <w:sz w:val="24"/>
          <w:szCs w:val="24"/>
        </w:rPr>
      </w:pPr>
      <w:r w:rsidRPr="00DA65AA">
        <w:rPr>
          <w:rFonts w:ascii="Arial Narrow" w:hAnsi="Arial Narrow" w:cs="Arial"/>
          <w:color w:val="000000"/>
          <w:sz w:val="24"/>
          <w:szCs w:val="24"/>
        </w:rPr>
        <w:t xml:space="preserve">Set - </w:t>
      </w:r>
      <w:r w:rsidR="0045365B" w:rsidRPr="00DA65AA">
        <w:rPr>
          <w:rFonts w:ascii="Arial Narrow" w:hAnsi="Arial Narrow" w:cs="Arial"/>
          <w:color w:val="000000"/>
          <w:sz w:val="24"/>
          <w:szCs w:val="24"/>
        </w:rPr>
        <w:t>FX para operaciones de compra-venta de dólares en el mercado Spot y Next Day.</w:t>
      </w:r>
    </w:p>
    <w:p w:rsidR="0045365B" w:rsidRPr="00DA65AA" w:rsidRDefault="0045365B" w:rsidP="00C408EF">
      <w:pPr>
        <w:pStyle w:val="Prrafodelista"/>
        <w:numPr>
          <w:ilvl w:val="0"/>
          <w:numId w:val="16"/>
        </w:numPr>
        <w:autoSpaceDE w:val="0"/>
        <w:autoSpaceDN w:val="0"/>
        <w:adjustRightInd w:val="0"/>
        <w:ind w:left="1080"/>
        <w:jc w:val="both"/>
        <w:rPr>
          <w:rFonts w:ascii="Arial Narrow" w:hAnsi="Arial Narrow" w:cs="Arial"/>
          <w:color w:val="000000"/>
          <w:sz w:val="24"/>
          <w:szCs w:val="24"/>
        </w:rPr>
      </w:pPr>
      <w:r w:rsidRPr="00DA65AA">
        <w:rPr>
          <w:rFonts w:ascii="Arial Narrow" w:hAnsi="Arial Narrow" w:cs="Arial"/>
          <w:color w:val="000000"/>
          <w:sz w:val="24"/>
          <w:szCs w:val="24"/>
        </w:rPr>
        <w:t>Bloomberg - Reuters para operaciones de compra-venta de divisas al contado.</w:t>
      </w:r>
    </w:p>
    <w:p w:rsidR="0045365B" w:rsidRPr="00DA65AA" w:rsidRDefault="0045365B" w:rsidP="00C408EF">
      <w:pPr>
        <w:pStyle w:val="Prrafodelista"/>
        <w:numPr>
          <w:ilvl w:val="0"/>
          <w:numId w:val="16"/>
        </w:numPr>
        <w:autoSpaceDE w:val="0"/>
        <w:autoSpaceDN w:val="0"/>
        <w:adjustRightInd w:val="0"/>
        <w:ind w:left="1080"/>
        <w:jc w:val="both"/>
        <w:rPr>
          <w:rFonts w:ascii="Arial Narrow" w:hAnsi="Arial Narrow" w:cs="Arial"/>
          <w:color w:val="000000"/>
          <w:sz w:val="24"/>
          <w:szCs w:val="24"/>
        </w:rPr>
      </w:pPr>
      <w:r w:rsidRPr="00DA65AA">
        <w:rPr>
          <w:rFonts w:ascii="Arial Narrow" w:hAnsi="Arial Narrow" w:cs="Arial"/>
          <w:color w:val="000000"/>
          <w:sz w:val="24"/>
          <w:szCs w:val="24"/>
        </w:rPr>
        <w:t>MEC</w:t>
      </w:r>
      <w:r w:rsidR="00D123C4" w:rsidRPr="00DA65AA">
        <w:rPr>
          <w:rFonts w:ascii="Arial Narrow" w:hAnsi="Arial Narrow" w:cs="Arial"/>
          <w:color w:val="000000"/>
          <w:sz w:val="24"/>
          <w:szCs w:val="24"/>
        </w:rPr>
        <w:t xml:space="preserve"> – Master Trader</w:t>
      </w:r>
      <w:r w:rsidRPr="00DA65AA">
        <w:rPr>
          <w:rFonts w:ascii="Arial Narrow" w:hAnsi="Arial Narrow" w:cs="Arial"/>
          <w:color w:val="000000"/>
          <w:sz w:val="24"/>
          <w:szCs w:val="24"/>
        </w:rPr>
        <w:t xml:space="preserve"> para operaciones de compra-venta al contado de títulos TES.</w:t>
      </w:r>
    </w:p>
    <w:p w:rsidR="0045365B" w:rsidRPr="00DA65AA" w:rsidRDefault="0045365B" w:rsidP="00D123C4">
      <w:pPr>
        <w:autoSpaceDE w:val="0"/>
        <w:autoSpaceDN w:val="0"/>
        <w:adjustRightInd w:val="0"/>
        <w:ind w:left="360"/>
        <w:jc w:val="both"/>
        <w:rPr>
          <w:rFonts w:ascii="Arial Narrow" w:hAnsi="Arial Narrow" w:cs="Arial"/>
          <w:color w:val="000000"/>
          <w:sz w:val="24"/>
          <w:szCs w:val="24"/>
        </w:rPr>
      </w:pPr>
    </w:p>
    <w:p w:rsidR="0045365B" w:rsidRPr="00DA65AA" w:rsidRDefault="0045365B" w:rsidP="00D123C4">
      <w:pPr>
        <w:tabs>
          <w:tab w:val="left" w:pos="0"/>
        </w:tabs>
        <w:autoSpaceDE w:val="0"/>
        <w:autoSpaceDN w:val="0"/>
        <w:adjustRightInd w:val="0"/>
        <w:ind w:left="360"/>
        <w:contextualSpacing/>
        <w:jc w:val="both"/>
        <w:rPr>
          <w:rFonts w:ascii="Arial Narrow" w:hAnsi="Arial Narrow" w:cs="Arial"/>
          <w:sz w:val="24"/>
          <w:szCs w:val="24"/>
        </w:rPr>
      </w:pPr>
      <w:r w:rsidRPr="00DA65AA">
        <w:rPr>
          <w:rFonts w:ascii="Arial Narrow" w:hAnsi="Arial Narrow" w:cs="Arial"/>
          <w:sz w:val="24"/>
          <w:szCs w:val="24"/>
        </w:rPr>
        <w:t>No habrá consumo de cupo de contraparte en operaciones que se realicen mediante el sistema de compensación y liquidación a través de la Cámara de Riesgo Central de Contraparte de Colombia (CRCC).</w:t>
      </w:r>
    </w:p>
    <w:p w:rsidR="0045365B" w:rsidRPr="00DA65AA" w:rsidRDefault="0045365B" w:rsidP="00D123C4">
      <w:pPr>
        <w:tabs>
          <w:tab w:val="left" w:pos="0"/>
        </w:tabs>
        <w:autoSpaceDE w:val="0"/>
        <w:autoSpaceDN w:val="0"/>
        <w:adjustRightInd w:val="0"/>
        <w:ind w:left="360"/>
        <w:contextualSpacing/>
        <w:jc w:val="both"/>
        <w:rPr>
          <w:rFonts w:ascii="Arial Narrow" w:hAnsi="Arial Narrow" w:cs="Arial"/>
          <w:sz w:val="24"/>
          <w:szCs w:val="24"/>
        </w:rPr>
      </w:pPr>
    </w:p>
    <w:p w:rsidR="0045365B" w:rsidRPr="00DA65AA" w:rsidRDefault="0045365B" w:rsidP="00D123C4">
      <w:pPr>
        <w:tabs>
          <w:tab w:val="left" w:pos="0"/>
        </w:tabs>
        <w:autoSpaceDE w:val="0"/>
        <w:autoSpaceDN w:val="0"/>
        <w:adjustRightInd w:val="0"/>
        <w:ind w:left="360"/>
        <w:contextualSpacing/>
        <w:jc w:val="both"/>
        <w:rPr>
          <w:rFonts w:ascii="Arial Narrow" w:hAnsi="Arial Narrow" w:cs="Arial"/>
          <w:sz w:val="24"/>
          <w:szCs w:val="24"/>
        </w:rPr>
      </w:pPr>
      <w:r w:rsidRPr="00DA65AA">
        <w:rPr>
          <w:rFonts w:ascii="Arial Narrow" w:hAnsi="Arial Narrow" w:cs="Arial"/>
          <w:sz w:val="24"/>
          <w:szCs w:val="24"/>
        </w:rPr>
        <w:t>La Tesorería podrá realizar operaciones de compra – venta de divisas a través de plataformas de entidades bancarias para ejecución presupuestal</w:t>
      </w:r>
      <w:r w:rsidR="008B7DBF" w:rsidRPr="00DA65AA">
        <w:rPr>
          <w:rFonts w:ascii="Arial Narrow" w:hAnsi="Arial Narrow" w:cs="Arial"/>
          <w:sz w:val="24"/>
          <w:szCs w:val="24"/>
        </w:rPr>
        <w:t xml:space="preserve"> siempre y cuando cumplan con las políticas establecidas de calificación crediticia.</w:t>
      </w:r>
    </w:p>
    <w:p w:rsidR="0045365B" w:rsidRPr="00DA65AA" w:rsidRDefault="0045365B" w:rsidP="0045365B">
      <w:pPr>
        <w:autoSpaceDE w:val="0"/>
        <w:autoSpaceDN w:val="0"/>
        <w:adjustRightInd w:val="0"/>
        <w:jc w:val="both"/>
        <w:rPr>
          <w:rFonts w:ascii="Arial Narrow" w:hAnsi="Arial Narrow" w:cs="Arial"/>
          <w:color w:val="000000"/>
          <w:sz w:val="24"/>
          <w:szCs w:val="24"/>
        </w:rPr>
      </w:pPr>
    </w:p>
    <w:p w:rsidR="0045365B" w:rsidRPr="00DA65AA" w:rsidRDefault="0045365B" w:rsidP="00C408EF">
      <w:pPr>
        <w:pStyle w:val="Ttulo"/>
        <w:numPr>
          <w:ilvl w:val="0"/>
          <w:numId w:val="15"/>
        </w:numPr>
        <w:jc w:val="both"/>
        <w:rPr>
          <w:rFonts w:ascii="Arial Narrow" w:eastAsia="Calibri" w:hAnsi="Arial Narrow"/>
          <w:b/>
          <w:szCs w:val="24"/>
          <w:lang w:val="es-CO" w:eastAsia="es-CO"/>
        </w:rPr>
      </w:pPr>
      <w:r w:rsidRPr="00DA65AA">
        <w:rPr>
          <w:rFonts w:ascii="Arial Narrow" w:eastAsia="Calibri" w:hAnsi="Arial Narrow"/>
          <w:b/>
          <w:szCs w:val="24"/>
          <w:lang w:val="es-CO" w:eastAsia="es-CO"/>
        </w:rPr>
        <w:t>Cupos para la Administración de Recursos en Cuentas Bancarias</w:t>
      </w:r>
    </w:p>
    <w:p w:rsidR="0045365B" w:rsidRPr="00DA65AA" w:rsidRDefault="0045365B" w:rsidP="0045365B">
      <w:pPr>
        <w:pStyle w:val="Ttulo"/>
        <w:jc w:val="both"/>
        <w:rPr>
          <w:rFonts w:ascii="Arial Narrow" w:eastAsia="Calibri" w:hAnsi="Arial Narrow"/>
          <w:szCs w:val="24"/>
          <w:lang w:val="es-CO" w:eastAsia="es-CO"/>
        </w:rPr>
      </w:pPr>
    </w:p>
    <w:p w:rsidR="0045365B" w:rsidRPr="00DA65AA" w:rsidRDefault="0045365B" w:rsidP="00F05745">
      <w:pPr>
        <w:pStyle w:val="Ttulo"/>
        <w:ind w:left="360"/>
        <w:jc w:val="both"/>
        <w:rPr>
          <w:rFonts w:ascii="Arial Narrow" w:eastAsia="Calibri" w:hAnsi="Arial Narrow"/>
          <w:szCs w:val="24"/>
          <w:lang w:val="es-CO" w:eastAsia="es-CO"/>
        </w:rPr>
      </w:pPr>
      <w:r w:rsidRPr="00DA65AA">
        <w:rPr>
          <w:rFonts w:ascii="Arial Narrow" w:eastAsia="Calibri" w:hAnsi="Arial Narrow"/>
          <w:szCs w:val="24"/>
          <w:lang w:val="es-CO" w:eastAsia="es-CO"/>
        </w:rPr>
        <w:t>Se asignarán cupos para la administración de recursos a través de cuentas en moneda extranjera a entidades bancarias del exterior.  Se debe contar con, por lo menos, la apertura de dos c</w:t>
      </w:r>
      <w:r w:rsidR="00B44AF0">
        <w:rPr>
          <w:rFonts w:ascii="Arial Narrow" w:eastAsia="Calibri" w:hAnsi="Arial Narrow"/>
          <w:szCs w:val="24"/>
          <w:lang w:val="es-CO" w:eastAsia="es-CO"/>
        </w:rPr>
        <w:t xml:space="preserve">uentas bancarias, las cuales </w:t>
      </w:r>
      <w:r w:rsidRPr="00DA65AA">
        <w:rPr>
          <w:rFonts w:ascii="Arial Narrow" w:eastAsia="Calibri" w:hAnsi="Arial Narrow"/>
          <w:szCs w:val="24"/>
          <w:lang w:val="es-CO" w:eastAsia="es-CO"/>
        </w:rPr>
        <w:t>podrán realizar</w:t>
      </w:r>
      <w:r w:rsidR="00B44AF0">
        <w:rPr>
          <w:rFonts w:ascii="Arial Narrow" w:eastAsia="Calibri" w:hAnsi="Arial Narrow"/>
          <w:szCs w:val="24"/>
          <w:lang w:val="es-CO" w:eastAsia="es-CO"/>
        </w:rPr>
        <w:t xml:space="preserve"> </w:t>
      </w:r>
      <w:r w:rsidRPr="00DA65AA">
        <w:rPr>
          <w:rFonts w:ascii="Arial Narrow" w:eastAsia="Calibri" w:hAnsi="Arial Narrow"/>
          <w:szCs w:val="24"/>
          <w:lang w:val="es-CO" w:eastAsia="es-CO"/>
        </w:rPr>
        <w:t>las actividades que se mencionan a continuación:</w:t>
      </w:r>
    </w:p>
    <w:p w:rsidR="0045365B" w:rsidRPr="00DA65AA" w:rsidRDefault="0045365B" w:rsidP="00F05745">
      <w:pPr>
        <w:pStyle w:val="Ttulo"/>
        <w:ind w:left="360"/>
        <w:jc w:val="both"/>
        <w:rPr>
          <w:rFonts w:ascii="Arial Narrow" w:eastAsia="Calibri" w:hAnsi="Arial Narrow"/>
          <w:szCs w:val="24"/>
          <w:lang w:val="es-CO" w:eastAsia="es-CO"/>
        </w:rPr>
      </w:pPr>
    </w:p>
    <w:p w:rsidR="0045365B" w:rsidRPr="00DA65AA" w:rsidRDefault="0045365B" w:rsidP="00C408EF">
      <w:pPr>
        <w:pStyle w:val="Ttulo"/>
        <w:numPr>
          <w:ilvl w:val="0"/>
          <w:numId w:val="18"/>
        </w:numPr>
        <w:ind w:left="1080"/>
        <w:jc w:val="both"/>
        <w:rPr>
          <w:rFonts w:ascii="Arial Narrow" w:eastAsia="Calibri" w:hAnsi="Arial Narrow"/>
          <w:szCs w:val="24"/>
          <w:lang w:val="es-CO" w:eastAsia="es-CO"/>
        </w:rPr>
      </w:pPr>
      <w:r w:rsidRPr="00DA65AA">
        <w:rPr>
          <w:rFonts w:ascii="Arial Narrow" w:eastAsia="Calibri" w:hAnsi="Arial Narrow"/>
          <w:szCs w:val="24"/>
          <w:lang w:val="es-CO" w:eastAsia="es-CO"/>
        </w:rPr>
        <w:t>Operaciones obligatoriamente canaliza</w:t>
      </w:r>
      <w:r w:rsidR="00663352">
        <w:rPr>
          <w:rFonts w:ascii="Arial Narrow" w:eastAsia="Calibri" w:hAnsi="Arial Narrow"/>
          <w:szCs w:val="24"/>
          <w:lang w:val="es-CO" w:eastAsia="es-CO"/>
        </w:rPr>
        <w:t>bles por el mercado cambiario</w:t>
      </w:r>
      <w:r w:rsidRPr="00DA65AA">
        <w:rPr>
          <w:rFonts w:ascii="Arial Narrow" w:eastAsia="Calibri" w:hAnsi="Arial Narrow"/>
          <w:szCs w:val="24"/>
          <w:lang w:val="es-CO" w:eastAsia="es-CO"/>
        </w:rPr>
        <w:t xml:space="preserve">  </w:t>
      </w:r>
    </w:p>
    <w:p w:rsidR="0045365B" w:rsidRPr="00DA65AA" w:rsidRDefault="0045365B" w:rsidP="00C408EF">
      <w:pPr>
        <w:pStyle w:val="Ttulo"/>
        <w:numPr>
          <w:ilvl w:val="0"/>
          <w:numId w:val="18"/>
        </w:numPr>
        <w:ind w:left="1080"/>
        <w:jc w:val="both"/>
        <w:rPr>
          <w:rFonts w:ascii="Arial Narrow" w:eastAsia="Calibri" w:hAnsi="Arial Narrow"/>
          <w:szCs w:val="24"/>
          <w:lang w:val="es-CO" w:eastAsia="es-CO"/>
        </w:rPr>
      </w:pPr>
      <w:r w:rsidRPr="00DA65AA">
        <w:rPr>
          <w:rFonts w:ascii="Arial Narrow" w:eastAsia="Calibri" w:hAnsi="Arial Narrow"/>
          <w:szCs w:val="24"/>
          <w:lang w:val="es-CO" w:eastAsia="es-CO"/>
        </w:rPr>
        <w:t>Recepción o giro de recursos producto de operaciones de inver</w:t>
      </w:r>
      <w:r w:rsidR="00663352">
        <w:rPr>
          <w:rFonts w:ascii="Arial Narrow" w:eastAsia="Calibri" w:hAnsi="Arial Narrow"/>
          <w:szCs w:val="24"/>
          <w:lang w:val="es-CO" w:eastAsia="es-CO"/>
        </w:rPr>
        <w:t>sión con excedentes de liquidez</w:t>
      </w:r>
    </w:p>
    <w:p w:rsidR="0045365B" w:rsidRPr="00DA65AA" w:rsidRDefault="0045365B" w:rsidP="00C408EF">
      <w:pPr>
        <w:pStyle w:val="Ttulo"/>
        <w:numPr>
          <w:ilvl w:val="0"/>
          <w:numId w:val="18"/>
        </w:numPr>
        <w:ind w:left="1080"/>
        <w:jc w:val="both"/>
        <w:rPr>
          <w:rFonts w:ascii="Arial Narrow" w:eastAsia="Calibri" w:hAnsi="Arial Narrow"/>
          <w:szCs w:val="24"/>
          <w:lang w:val="es-CO" w:eastAsia="es-CO"/>
        </w:rPr>
      </w:pPr>
      <w:r w:rsidRPr="00DA65AA">
        <w:rPr>
          <w:rFonts w:ascii="Arial Narrow" w:eastAsia="Calibri" w:hAnsi="Arial Narrow"/>
          <w:szCs w:val="24"/>
          <w:lang w:val="es-CO" w:eastAsia="es-CO"/>
        </w:rPr>
        <w:t>Recepción o giro de recursos para cumplimi</w:t>
      </w:r>
      <w:r w:rsidR="00663352">
        <w:rPr>
          <w:rFonts w:ascii="Arial Narrow" w:eastAsia="Calibri" w:hAnsi="Arial Narrow"/>
          <w:szCs w:val="24"/>
          <w:lang w:val="es-CO" w:eastAsia="es-CO"/>
        </w:rPr>
        <w:t>ento de compra venta de divisas</w:t>
      </w:r>
    </w:p>
    <w:p w:rsidR="0045365B" w:rsidRPr="00DA65AA" w:rsidRDefault="0045365B" w:rsidP="00C408EF">
      <w:pPr>
        <w:pStyle w:val="Ttulo"/>
        <w:numPr>
          <w:ilvl w:val="0"/>
          <w:numId w:val="18"/>
        </w:numPr>
        <w:ind w:left="1080"/>
        <w:jc w:val="both"/>
        <w:rPr>
          <w:rFonts w:ascii="Arial Narrow" w:eastAsia="Calibri" w:hAnsi="Arial Narrow"/>
          <w:szCs w:val="24"/>
          <w:lang w:val="es-CO" w:eastAsia="es-CO"/>
        </w:rPr>
      </w:pPr>
      <w:r w:rsidRPr="00DA65AA">
        <w:rPr>
          <w:rFonts w:ascii="Arial Narrow" w:eastAsia="Calibri" w:hAnsi="Arial Narrow"/>
          <w:szCs w:val="24"/>
          <w:lang w:val="es-CO" w:eastAsia="es-CO"/>
        </w:rPr>
        <w:t>Depósito de recursos en moneda extranjera con</w:t>
      </w:r>
      <w:r w:rsidR="00663352">
        <w:rPr>
          <w:rFonts w:ascii="Arial Narrow" w:eastAsia="Calibri" w:hAnsi="Arial Narrow"/>
          <w:szCs w:val="24"/>
          <w:lang w:val="es-CO" w:eastAsia="es-CO"/>
        </w:rPr>
        <w:t xml:space="preserve"> el fin de obtener remuneración</w:t>
      </w:r>
    </w:p>
    <w:p w:rsidR="0045365B" w:rsidRPr="00DA65AA" w:rsidRDefault="0045365B" w:rsidP="00C408EF">
      <w:pPr>
        <w:pStyle w:val="Ttulo"/>
        <w:numPr>
          <w:ilvl w:val="0"/>
          <w:numId w:val="18"/>
        </w:numPr>
        <w:ind w:left="1080"/>
        <w:jc w:val="both"/>
        <w:rPr>
          <w:rFonts w:ascii="Arial Narrow" w:eastAsia="Calibri" w:hAnsi="Arial Narrow"/>
          <w:szCs w:val="24"/>
          <w:lang w:val="es-CO" w:eastAsia="es-CO"/>
        </w:rPr>
      </w:pPr>
      <w:r w:rsidRPr="00DA65AA">
        <w:rPr>
          <w:rFonts w:ascii="Arial Narrow" w:eastAsia="Calibri" w:hAnsi="Arial Narrow"/>
          <w:szCs w:val="24"/>
          <w:lang w:val="es-CO" w:eastAsia="es-CO"/>
        </w:rPr>
        <w:t>Administración de recursos propios de entidades públicas en mon</w:t>
      </w:r>
      <w:r w:rsidR="00663352">
        <w:rPr>
          <w:rFonts w:ascii="Arial Narrow" w:eastAsia="Calibri" w:hAnsi="Arial Narrow"/>
          <w:szCs w:val="24"/>
          <w:lang w:val="es-CO" w:eastAsia="es-CO"/>
        </w:rPr>
        <w:t>eda extranjera (CUN en dólares)</w:t>
      </w:r>
    </w:p>
    <w:p w:rsidR="0045365B" w:rsidRPr="00DA65AA" w:rsidRDefault="0045365B" w:rsidP="00C408EF">
      <w:pPr>
        <w:pStyle w:val="Ttulo"/>
        <w:numPr>
          <w:ilvl w:val="0"/>
          <w:numId w:val="18"/>
        </w:numPr>
        <w:ind w:left="1080"/>
        <w:jc w:val="both"/>
        <w:rPr>
          <w:rFonts w:ascii="Arial Narrow" w:eastAsia="Calibri" w:hAnsi="Arial Narrow"/>
          <w:szCs w:val="24"/>
          <w:lang w:val="es-CO" w:eastAsia="es-CO"/>
        </w:rPr>
      </w:pPr>
      <w:r w:rsidRPr="00DA65AA">
        <w:rPr>
          <w:rFonts w:ascii="Arial Narrow" w:eastAsia="Calibri" w:hAnsi="Arial Narrow"/>
          <w:szCs w:val="24"/>
          <w:lang w:val="es-CO" w:eastAsia="es-CO"/>
        </w:rPr>
        <w:t xml:space="preserve">Transferencias de recursos a Banco de la República para el cumplimiento de </w:t>
      </w:r>
      <w:r w:rsidR="00663352">
        <w:rPr>
          <w:rFonts w:ascii="Arial Narrow" w:hAnsi="Arial Narrow"/>
          <w:szCs w:val="24"/>
        </w:rPr>
        <w:t>la ejecución presupuestal</w:t>
      </w:r>
    </w:p>
    <w:p w:rsidR="0045365B" w:rsidRPr="00DA65AA" w:rsidRDefault="0045365B" w:rsidP="00F05745">
      <w:pPr>
        <w:pStyle w:val="Ttulo"/>
        <w:ind w:left="1080"/>
        <w:jc w:val="both"/>
        <w:rPr>
          <w:rFonts w:ascii="Arial Narrow" w:eastAsia="Calibri" w:hAnsi="Arial Narrow"/>
          <w:szCs w:val="24"/>
          <w:lang w:val="es-CO" w:eastAsia="es-CO"/>
        </w:rPr>
      </w:pPr>
    </w:p>
    <w:p w:rsidR="0045365B" w:rsidRPr="00DA65AA" w:rsidRDefault="0045365B" w:rsidP="00C408EF">
      <w:pPr>
        <w:pStyle w:val="Ttulo"/>
        <w:numPr>
          <w:ilvl w:val="0"/>
          <w:numId w:val="15"/>
        </w:numPr>
        <w:ind w:left="851" w:hanging="425"/>
        <w:jc w:val="both"/>
        <w:rPr>
          <w:rFonts w:ascii="Arial Narrow" w:eastAsia="Calibri" w:hAnsi="Arial Narrow"/>
          <w:b/>
          <w:szCs w:val="24"/>
          <w:lang w:val="es-CO" w:eastAsia="es-CO"/>
        </w:rPr>
      </w:pPr>
      <w:r w:rsidRPr="00DA65AA">
        <w:rPr>
          <w:rFonts w:ascii="Arial Narrow" w:eastAsia="Calibri" w:hAnsi="Arial Narrow"/>
          <w:b/>
          <w:szCs w:val="24"/>
          <w:lang w:val="es-CO" w:eastAsia="es-CO"/>
        </w:rPr>
        <w:t>Entidades Sujetas de Revisión de Cupos:</w:t>
      </w:r>
    </w:p>
    <w:p w:rsidR="0045365B" w:rsidRPr="00DA65AA" w:rsidRDefault="0045365B" w:rsidP="00F05745">
      <w:pPr>
        <w:pStyle w:val="Ttulo"/>
        <w:ind w:left="360"/>
        <w:jc w:val="both"/>
        <w:rPr>
          <w:rFonts w:ascii="Arial Narrow" w:eastAsia="Calibri" w:hAnsi="Arial Narrow"/>
          <w:szCs w:val="24"/>
          <w:lang w:val="es-CO" w:eastAsia="es-CO"/>
        </w:rPr>
      </w:pPr>
    </w:p>
    <w:p w:rsidR="0045365B" w:rsidRPr="00DA65AA" w:rsidRDefault="0045365B" w:rsidP="00F05745">
      <w:pPr>
        <w:pStyle w:val="Ttulo"/>
        <w:ind w:left="360"/>
        <w:jc w:val="both"/>
        <w:rPr>
          <w:rFonts w:ascii="Arial Narrow" w:eastAsia="Calibri" w:hAnsi="Arial Narrow"/>
          <w:szCs w:val="24"/>
          <w:lang w:val="es-CO" w:eastAsia="es-CO"/>
        </w:rPr>
      </w:pPr>
      <w:r w:rsidRPr="00DA65AA">
        <w:rPr>
          <w:rFonts w:ascii="Arial Narrow" w:eastAsia="Calibri" w:hAnsi="Arial Narrow"/>
          <w:szCs w:val="24"/>
          <w:lang w:val="es-CO" w:eastAsia="es-CO"/>
        </w:rPr>
        <w:t>Se evaluará la asignación de cupos de contraparte en moneda legal, la cual aplicará para la realización de operaciones de compra y venta de títulos TES en el sistema transaccional MEC</w:t>
      </w:r>
      <w:r w:rsidR="003F4FAC" w:rsidRPr="00DA65AA">
        <w:rPr>
          <w:rFonts w:ascii="Arial Narrow" w:eastAsia="Calibri" w:hAnsi="Arial Narrow"/>
          <w:szCs w:val="24"/>
          <w:lang w:val="es-CO" w:eastAsia="es-CO"/>
        </w:rPr>
        <w:t xml:space="preserve"> – Master Trader</w:t>
      </w:r>
      <w:r w:rsidRPr="00DA65AA">
        <w:rPr>
          <w:rFonts w:ascii="Arial Narrow" w:eastAsia="Calibri" w:hAnsi="Arial Narrow"/>
          <w:szCs w:val="24"/>
          <w:lang w:val="es-CO" w:eastAsia="es-CO"/>
        </w:rPr>
        <w:t>, a las siguientes entidades:</w:t>
      </w:r>
    </w:p>
    <w:p w:rsidR="0045365B" w:rsidRPr="00DA65AA" w:rsidRDefault="0045365B" w:rsidP="00F05745">
      <w:pPr>
        <w:pStyle w:val="Ttulo"/>
        <w:ind w:left="1440"/>
        <w:jc w:val="both"/>
        <w:rPr>
          <w:rFonts w:ascii="Arial Narrow" w:eastAsia="Calibri" w:hAnsi="Arial Narrow"/>
          <w:szCs w:val="24"/>
          <w:lang w:val="es-CO" w:eastAsia="es-CO"/>
        </w:rPr>
      </w:pPr>
    </w:p>
    <w:p w:rsidR="0045365B" w:rsidRPr="00DA65AA" w:rsidRDefault="0045365B" w:rsidP="00C408EF">
      <w:pPr>
        <w:pStyle w:val="Ttulo"/>
        <w:numPr>
          <w:ilvl w:val="0"/>
          <w:numId w:val="17"/>
        </w:numPr>
        <w:ind w:left="1069" w:hanging="283"/>
        <w:jc w:val="both"/>
        <w:rPr>
          <w:rFonts w:ascii="Arial Narrow" w:eastAsia="Calibri" w:hAnsi="Arial Narrow"/>
          <w:szCs w:val="24"/>
          <w:lang w:val="es-CO" w:eastAsia="es-CO"/>
        </w:rPr>
      </w:pPr>
      <w:r w:rsidRPr="00DA65AA">
        <w:rPr>
          <w:rFonts w:ascii="Arial Narrow" w:eastAsia="Calibri" w:hAnsi="Arial Narrow"/>
          <w:szCs w:val="24"/>
          <w:lang w:val="es-CO" w:eastAsia="es-CO"/>
        </w:rPr>
        <w:lastRenderedPageBreak/>
        <w:t>Creadores de</w:t>
      </w:r>
      <w:r w:rsidR="00663352">
        <w:rPr>
          <w:rFonts w:ascii="Arial Narrow" w:eastAsia="Calibri" w:hAnsi="Arial Narrow"/>
          <w:szCs w:val="24"/>
          <w:lang w:val="es-CO" w:eastAsia="es-CO"/>
        </w:rPr>
        <w:t xml:space="preserve"> Mercado de deuda pública local</w:t>
      </w:r>
    </w:p>
    <w:p w:rsidR="0045365B" w:rsidRPr="00DA65AA" w:rsidRDefault="00B1239C" w:rsidP="00C408EF">
      <w:pPr>
        <w:pStyle w:val="Ttulo"/>
        <w:numPr>
          <w:ilvl w:val="0"/>
          <w:numId w:val="17"/>
        </w:numPr>
        <w:ind w:left="1069" w:hanging="283"/>
        <w:jc w:val="both"/>
        <w:rPr>
          <w:rFonts w:ascii="Arial Narrow" w:eastAsia="Calibri" w:hAnsi="Arial Narrow"/>
          <w:szCs w:val="24"/>
          <w:lang w:val="es-CO" w:eastAsia="es-CO"/>
        </w:rPr>
      </w:pPr>
      <w:r>
        <w:rPr>
          <w:rFonts w:ascii="Arial Narrow" w:eastAsia="Calibri" w:hAnsi="Arial Narrow"/>
          <w:szCs w:val="24"/>
          <w:lang w:val="es-CO" w:eastAsia="es-CO"/>
        </w:rPr>
        <w:t>Instituciones</w:t>
      </w:r>
      <w:r w:rsidR="00663352">
        <w:rPr>
          <w:rFonts w:ascii="Arial Narrow" w:eastAsia="Calibri" w:hAnsi="Arial Narrow"/>
          <w:szCs w:val="24"/>
          <w:lang w:val="es-CO" w:eastAsia="es-CO"/>
        </w:rPr>
        <w:t xml:space="preserve"> O</w:t>
      </w:r>
      <w:r w:rsidR="0045365B" w:rsidRPr="00DA65AA">
        <w:rPr>
          <w:rFonts w:ascii="Arial Narrow" w:eastAsia="Calibri" w:hAnsi="Arial Narrow"/>
          <w:szCs w:val="24"/>
          <w:lang w:val="es-CO" w:eastAsia="es-CO"/>
        </w:rPr>
        <w:t>fi</w:t>
      </w:r>
      <w:r w:rsidR="00663352">
        <w:rPr>
          <w:rFonts w:ascii="Arial Narrow" w:eastAsia="Calibri" w:hAnsi="Arial Narrow"/>
          <w:szCs w:val="24"/>
          <w:lang w:val="es-CO" w:eastAsia="es-CO"/>
        </w:rPr>
        <w:t>ciales E</w:t>
      </w:r>
      <w:r w:rsidR="0045365B" w:rsidRPr="00DA65AA">
        <w:rPr>
          <w:rFonts w:ascii="Arial Narrow" w:eastAsia="Calibri" w:hAnsi="Arial Narrow"/>
          <w:szCs w:val="24"/>
          <w:lang w:val="es-CO" w:eastAsia="es-CO"/>
        </w:rPr>
        <w:t xml:space="preserve">speciales que </w:t>
      </w:r>
      <w:r w:rsidR="00663352">
        <w:rPr>
          <w:rFonts w:ascii="Arial Narrow" w:eastAsia="Calibri" w:hAnsi="Arial Narrow"/>
          <w:szCs w:val="24"/>
          <w:lang w:val="es-CO" w:eastAsia="es-CO"/>
        </w:rPr>
        <w:t>realicen transacciones</w:t>
      </w:r>
      <w:r w:rsidR="0045365B" w:rsidRPr="00DA65AA">
        <w:rPr>
          <w:rFonts w:ascii="Arial Narrow" w:eastAsia="Calibri" w:hAnsi="Arial Narrow"/>
          <w:szCs w:val="24"/>
          <w:lang w:val="es-CO" w:eastAsia="es-CO"/>
        </w:rPr>
        <w:t xml:space="preserve"> directamente en </w:t>
      </w:r>
      <w:r w:rsidR="00663352">
        <w:rPr>
          <w:rFonts w:ascii="Arial Narrow" w:eastAsia="Calibri" w:hAnsi="Arial Narrow"/>
          <w:szCs w:val="24"/>
          <w:lang w:val="es-CO" w:eastAsia="es-CO"/>
        </w:rPr>
        <w:t>el</w:t>
      </w:r>
      <w:r w:rsidR="0045365B" w:rsidRPr="00DA65AA">
        <w:rPr>
          <w:rFonts w:ascii="Arial Narrow" w:eastAsia="Calibri" w:hAnsi="Arial Narrow"/>
          <w:szCs w:val="24"/>
          <w:lang w:val="es-CO" w:eastAsia="es-CO"/>
        </w:rPr>
        <w:t xml:space="preserve"> sistema</w:t>
      </w:r>
      <w:r w:rsidR="00663352">
        <w:rPr>
          <w:rFonts w:ascii="Arial Narrow" w:eastAsia="Calibri" w:hAnsi="Arial Narrow"/>
          <w:szCs w:val="24"/>
          <w:lang w:val="es-CO" w:eastAsia="es-CO"/>
        </w:rPr>
        <w:t xml:space="preserve"> de negociación</w:t>
      </w:r>
    </w:p>
    <w:p w:rsidR="0045365B" w:rsidRPr="00DA65AA" w:rsidRDefault="0045365B" w:rsidP="00C408EF">
      <w:pPr>
        <w:pStyle w:val="Ttulo"/>
        <w:numPr>
          <w:ilvl w:val="0"/>
          <w:numId w:val="17"/>
        </w:numPr>
        <w:ind w:left="1069" w:hanging="283"/>
        <w:jc w:val="both"/>
        <w:rPr>
          <w:rFonts w:ascii="Arial Narrow" w:eastAsia="Calibri" w:hAnsi="Arial Narrow"/>
          <w:szCs w:val="24"/>
          <w:lang w:val="es-CO" w:eastAsia="es-CO"/>
        </w:rPr>
      </w:pPr>
      <w:r w:rsidRPr="00DA65AA">
        <w:rPr>
          <w:rFonts w:ascii="Arial Narrow" w:eastAsia="Calibri" w:hAnsi="Arial Narrow"/>
          <w:szCs w:val="24"/>
          <w:lang w:val="es-CO" w:eastAsia="es-CO"/>
        </w:rPr>
        <w:t xml:space="preserve">Entidades públicas que </w:t>
      </w:r>
      <w:r w:rsidR="00663352">
        <w:rPr>
          <w:rFonts w:ascii="Arial Narrow" w:eastAsia="Calibri" w:hAnsi="Arial Narrow"/>
          <w:szCs w:val="24"/>
          <w:lang w:val="es-CO" w:eastAsia="es-CO"/>
        </w:rPr>
        <w:t xml:space="preserve">realicen transacciones </w:t>
      </w:r>
      <w:r w:rsidRPr="00DA65AA">
        <w:rPr>
          <w:rFonts w:ascii="Arial Narrow" w:eastAsia="Calibri" w:hAnsi="Arial Narrow"/>
          <w:szCs w:val="24"/>
          <w:lang w:val="es-CO" w:eastAsia="es-CO"/>
        </w:rPr>
        <w:t>directamente en el sistema de negociación.</w:t>
      </w:r>
    </w:p>
    <w:p w:rsidR="0045365B" w:rsidRPr="00DA65AA" w:rsidRDefault="0045365B" w:rsidP="00F05745">
      <w:pPr>
        <w:pStyle w:val="Ttulo"/>
        <w:ind w:left="360"/>
        <w:jc w:val="both"/>
        <w:rPr>
          <w:rFonts w:ascii="Arial Narrow" w:eastAsia="Calibri" w:hAnsi="Arial Narrow"/>
          <w:szCs w:val="24"/>
          <w:lang w:val="es-CO" w:eastAsia="es-CO"/>
        </w:rPr>
      </w:pPr>
    </w:p>
    <w:p w:rsidR="0045365B" w:rsidRPr="00DA65AA" w:rsidRDefault="0045365B" w:rsidP="00F05745">
      <w:pPr>
        <w:pStyle w:val="Ttulo"/>
        <w:ind w:left="360"/>
        <w:jc w:val="both"/>
        <w:rPr>
          <w:rFonts w:ascii="Arial Narrow" w:eastAsia="Calibri" w:hAnsi="Arial Narrow"/>
          <w:szCs w:val="24"/>
          <w:lang w:val="es-CO" w:eastAsia="es-CO"/>
        </w:rPr>
      </w:pPr>
      <w:r w:rsidRPr="00DA65AA">
        <w:rPr>
          <w:rFonts w:ascii="Arial Narrow" w:eastAsia="Calibri" w:hAnsi="Arial Narrow"/>
          <w:szCs w:val="24"/>
          <w:lang w:val="es-CO" w:eastAsia="es-CO"/>
        </w:rPr>
        <w:t>Se evaluará la asignación de cupos de contraparte en moneda extranjera para la realización de operaciones en el sistema transaccional Set FX, a las siguientes entidades:</w:t>
      </w:r>
    </w:p>
    <w:p w:rsidR="0045365B" w:rsidRPr="00DA65AA" w:rsidRDefault="0045365B" w:rsidP="00F05745">
      <w:pPr>
        <w:pStyle w:val="Ttulo"/>
        <w:ind w:left="1440"/>
        <w:jc w:val="both"/>
        <w:rPr>
          <w:rFonts w:ascii="Arial Narrow" w:eastAsia="Calibri" w:hAnsi="Arial Narrow"/>
          <w:szCs w:val="24"/>
          <w:lang w:val="es-CO" w:eastAsia="es-CO"/>
        </w:rPr>
      </w:pPr>
    </w:p>
    <w:p w:rsidR="0045365B" w:rsidRPr="00DA65AA" w:rsidRDefault="0045365B" w:rsidP="00C408EF">
      <w:pPr>
        <w:pStyle w:val="Ttulo"/>
        <w:numPr>
          <w:ilvl w:val="0"/>
          <w:numId w:val="19"/>
        </w:numPr>
        <w:ind w:left="1069" w:hanging="283"/>
        <w:jc w:val="both"/>
        <w:rPr>
          <w:rFonts w:ascii="Arial Narrow" w:eastAsia="Calibri" w:hAnsi="Arial Narrow"/>
          <w:szCs w:val="24"/>
          <w:lang w:val="es-CO" w:eastAsia="es-CO"/>
        </w:rPr>
      </w:pPr>
      <w:r w:rsidRPr="00DA65AA">
        <w:rPr>
          <w:rFonts w:ascii="Arial Narrow" w:eastAsia="Calibri" w:hAnsi="Arial Narrow"/>
          <w:szCs w:val="24"/>
          <w:lang w:val="es-CO" w:eastAsia="es-CO"/>
        </w:rPr>
        <w:t>Establ</w:t>
      </w:r>
      <w:r w:rsidR="00B1239C">
        <w:rPr>
          <w:rFonts w:ascii="Arial Narrow" w:eastAsia="Calibri" w:hAnsi="Arial Narrow"/>
          <w:szCs w:val="24"/>
          <w:lang w:val="es-CO" w:eastAsia="es-CO"/>
        </w:rPr>
        <w:t>ecimientos de crédito que sean I</w:t>
      </w:r>
      <w:r w:rsidRPr="00DA65AA">
        <w:rPr>
          <w:rFonts w:ascii="Arial Narrow" w:eastAsia="Calibri" w:hAnsi="Arial Narrow"/>
          <w:szCs w:val="24"/>
          <w:lang w:val="es-CO" w:eastAsia="es-CO"/>
        </w:rPr>
        <w:t>nter</w:t>
      </w:r>
      <w:r w:rsidR="00B1239C">
        <w:rPr>
          <w:rFonts w:ascii="Arial Narrow" w:eastAsia="Calibri" w:hAnsi="Arial Narrow"/>
          <w:szCs w:val="24"/>
          <w:lang w:val="es-CO" w:eastAsia="es-CO"/>
        </w:rPr>
        <w:t>mediarios del Mercado Cambiario</w:t>
      </w:r>
    </w:p>
    <w:p w:rsidR="0045365B" w:rsidRPr="00DA65AA" w:rsidRDefault="00B1239C" w:rsidP="00C408EF">
      <w:pPr>
        <w:pStyle w:val="Ttulo"/>
        <w:numPr>
          <w:ilvl w:val="0"/>
          <w:numId w:val="19"/>
        </w:numPr>
        <w:ind w:left="1069" w:hanging="283"/>
        <w:jc w:val="both"/>
        <w:rPr>
          <w:rFonts w:ascii="Arial Narrow" w:eastAsia="Calibri" w:hAnsi="Arial Narrow"/>
          <w:szCs w:val="24"/>
          <w:lang w:val="es-CO" w:eastAsia="es-CO"/>
        </w:rPr>
      </w:pPr>
      <w:r>
        <w:rPr>
          <w:rFonts w:ascii="Arial Narrow" w:eastAsia="Calibri" w:hAnsi="Arial Narrow"/>
          <w:szCs w:val="24"/>
          <w:lang w:val="es-CO" w:eastAsia="es-CO"/>
        </w:rPr>
        <w:t>Instituciones Oficiales E</w:t>
      </w:r>
      <w:r w:rsidR="0045365B" w:rsidRPr="00DA65AA">
        <w:rPr>
          <w:rFonts w:ascii="Arial Narrow" w:eastAsia="Calibri" w:hAnsi="Arial Narrow"/>
          <w:szCs w:val="24"/>
          <w:lang w:val="es-CO" w:eastAsia="es-CO"/>
        </w:rPr>
        <w:t xml:space="preserve">speciales que </w:t>
      </w:r>
      <w:r>
        <w:rPr>
          <w:rFonts w:ascii="Arial Narrow" w:eastAsia="Calibri" w:hAnsi="Arial Narrow"/>
          <w:szCs w:val="24"/>
          <w:lang w:val="es-CO" w:eastAsia="es-CO"/>
        </w:rPr>
        <w:t>realicen transacciones</w:t>
      </w:r>
      <w:r w:rsidR="0045365B" w:rsidRPr="00DA65AA">
        <w:rPr>
          <w:rFonts w:ascii="Arial Narrow" w:eastAsia="Calibri" w:hAnsi="Arial Narrow"/>
          <w:szCs w:val="24"/>
          <w:lang w:val="es-CO" w:eastAsia="es-CO"/>
        </w:rPr>
        <w:t xml:space="preserve"> directamen</w:t>
      </w:r>
      <w:r>
        <w:rPr>
          <w:rFonts w:ascii="Arial Narrow" w:eastAsia="Calibri" w:hAnsi="Arial Narrow"/>
          <w:szCs w:val="24"/>
          <w:lang w:val="es-CO" w:eastAsia="es-CO"/>
        </w:rPr>
        <w:t>te en el sistema de negociación</w:t>
      </w:r>
    </w:p>
    <w:p w:rsidR="0045365B" w:rsidRPr="00DA65AA" w:rsidRDefault="0045365B" w:rsidP="00C408EF">
      <w:pPr>
        <w:pStyle w:val="Ttulo"/>
        <w:numPr>
          <w:ilvl w:val="0"/>
          <w:numId w:val="19"/>
        </w:numPr>
        <w:ind w:left="1069" w:hanging="283"/>
        <w:jc w:val="both"/>
        <w:rPr>
          <w:rFonts w:ascii="Arial Narrow" w:eastAsia="Calibri" w:hAnsi="Arial Narrow"/>
          <w:szCs w:val="24"/>
          <w:lang w:val="es-CO" w:eastAsia="es-CO"/>
        </w:rPr>
      </w:pPr>
      <w:r w:rsidRPr="00DA65AA">
        <w:rPr>
          <w:rFonts w:ascii="Arial Narrow" w:eastAsia="Calibri" w:hAnsi="Arial Narrow"/>
          <w:szCs w:val="24"/>
          <w:lang w:val="es-CO" w:eastAsia="es-CO"/>
        </w:rPr>
        <w:t xml:space="preserve">Entidades públicas que </w:t>
      </w:r>
      <w:r w:rsidR="00B1239C">
        <w:rPr>
          <w:rFonts w:ascii="Arial Narrow" w:eastAsia="Calibri" w:hAnsi="Arial Narrow"/>
          <w:szCs w:val="24"/>
          <w:lang w:val="es-CO" w:eastAsia="es-CO"/>
        </w:rPr>
        <w:t>realicen transacciones</w:t>
      </w:r>
      <w:r w:rsidRPr="00DA65AA">
        <w:rPr>
          <w:rFonts w:ascii="Arial Narrow" w:eastAsia="Calibri" w:hAnsi="Arial Narrow"/>
          <w:szCs w:val="24"/>
          <w:lang w:val="es-CO" w:eastAsia="es-CO"/>
        </w:rPr>
        <w:t xml:space="preserve"> directamen</w:t>
      </w:r>
      <w:r w:rsidR="00B1239C">
        <w:rPr>
          <w:rFonts w:ascii="Arial Narrow" w:eastAsia="Calibri" w:hAnsi="Arial Narrow"/>
          <w:szCs w:val="24"/>
          <w:lang w:val="es-CO" w:eastAsia="es-CO"/>
        </w:rPr>
        <w:t>te en el sistema de negociación</w:t>
      </w:r>
    </w:p>
    <w:p w:rsidR="0045365B" w:rsidRPr="00DA65AA" w:rsidRDefault="0045365B" w:rsidP="00C408EF">
      <w:pPr>
        <w:pStyle w:val="Ttulo"/>
        <w:numPr>
          <w:ilvl w:val="0"/>
          <w:numId w:val="19"/>
        </w:numPr>
        <w:ind w:left="1069" w:hanging="283"/>
        <w:jc w:val="both"/>
        <w:rPr>
          <w:rFonts w:ascii="Arial Narrow" w:eastAsia="Calibri" w:hAnsi="Arial Narrow"/>
          <w:szCs w:val="24"/>
          <w:lang w:val="es-CO" w:eastAsia="es-CO"/>
        </w:rPr>
      </w:pPr>
      <w:r w:rsidRPr="00DA65AA">
        <w:rPr>
          <w:rFonts w:ascii="Arial Narrow" w:eastAsia="Calibri" w:hAnsi="Arial Narrow"/>
          <w:szCs w:val="24"/>
          <w:lang w:val="es-CO" w:eastAsia="es-CO"/>
        </w:rPr>
        <w:t>Entidades comisionistas con participac</w:t>
      </w:r>
      <w:r w:rsidR="00B1239C">
        <w:rPr>
          <w:rFonts w:ascii="Arial Narrow" w:eastAsia="Calibri" w:hAnsi="Arial Narrow"/>
          <w:szCs w:val="24"/>
          <w:lang w:val="es-CO" w:eastAsia="es-CO"/>
        </w:rPr>
        <w:t>ión significativa en el mercado</w:t>
      </w:r>
    </w:p>
    <w:p w:rsidR="0045365B" w:rsidRPr="00DA65AA" w:rsidRDefault="0045365B" w:rsidP="00F05745">
      <w:pPr>
        <w:pStyle w:val="Ttulo"/>
        <w:ind w:left="360"/>
        <w:jc w:val="both"/>
        <w:rPr>
          <w:rFonts w:ascii="Arial Narrow" w:eastAsia="Calibri" w:hAnsi="Arial Narrow"/>
          <w:b/>
          <w:szCs w:val="24"/>
          <w:lang w:val="es-CO" w:eastAsia="es-CO"/>
        </w:rPr>
      </w:pPr>
    </w:p>
    <w:p w:rsidR="0045365B" w:rsidRPr="00DA65AA" w:rsidRDefault="0045365B" w:rsidP="00F05745">
      <w:pPr>
        <w:pStyle w:val="Ttulo"/>
        <w:ind w:left="360"/>
        <w:jc w:val="both"/>
        <w:rPr>
          <w:rFonts w:ascii="Arial Narrow" w:eastAsia="Calibri" w:hAnsi="Arial Narrow"/>
          <w:szCs w:val="24"/>
          <w:lang w:val="es-CO" w:eastAsia="es-CO"/>
        </w:rPr>
      </w:pPr>
      <w:r w:rsidRPr="00DA65AA">
        <w:rPr>
          <w:rFonts w:ascii="Arial Narrow" w:eastAsia="Calibri" w:hAnsi="Arial Narrow"/>
          <w:szCs w:val="24"/>
          <w:lang w:val="es-CO" w:eastAsia="es-CO"/>
        </w:rPr>
        <w:t>Se evaluará la asignación de cupos de emisor en moneda extranjera para la realización de inversiones, apertura de cuentas</w:t>
      </w:r>
      <w:r w:rsidR="0046764A" w:rsidRPr="00DA65AA">
        <w:rPr>
          <w:rFonts w:ascii="Arial Narrow" w:eastAsia="Calibri" w:hAnsi="Arial Narrow"/>
          <w:szCs w:val="24"/>
          <w:lang w:val="es-CO" w:eastAsia="es-CO"/>
        </w:rPr>
        <w:t xml:space="preserve"> y compra-</w:t>
      </w:r>
      <w:r w:rsidRPr="00DA65AA">
        <w:rPr>
          <w:rFonts w:ascii="Arial Narrow" w:eastAsia="Calibri" w:hAnsi="Arial Narrow"/>
          <w:szCs w:val="24"/>
          <w:lang w:val="es-CO" w:eastAsia="es-CO"/>
        </w:rPr>
        <w:t>venta de dólares a las siguientes entidades:</w:t>
      </w:r>
    </w:p>
    <w:p w:rsidR="0045365B" w:rsidRPr="00DA65AA" w:rsidRDefault="0045365B" w:rsidP="00F05745">
      <w:pPr>
        <w:pStyle w:val="Ttulo"/>
        <w:ind w:left="1440"/>
        <w:jc w:val="both"/>
        <w:rPr>
          <w:rFonts w:ascii="Arial Narrow" w:eastAsia="Calibri" w:hAnsi="Arial Narrow"/>
          <w:szCs w:val="24"/>
          <w:lang w:val="es-CO" w:eastAsia="es-CO"/>
        </w:rPr>
      </w:pPr>
    </w:p>
    <w:p w:rsidR="0045365B" w:rsidRPr="00DA65AA" w:rsidRDefault="0045365B" w:rsidP="00C408EF">
      <w:pPr>
        <w:pStyle w:val="Ttulo"/>
        <w:numPr>
          <w:ilvl w:val="0"/>
          <w:numId w:val="17"/>
        </w:numPr>
        <w:ind w:left="1069" w:hanging="283"/>
        <w:jc w:val="both"/>
        <w:rPr>
          <w:rFonts w:ascii="Arial Narrow" w:eastAsia="Calibri" w:hAnsi="Arial Narrow"/>
          <w:szCs w:val="24"/>
          <w:lang w:val="es-CO" w:eastAsia="es-CO"/>
        </w:rPr>
      </w:pPr>
      <w:r w:rsidRPr="00DA65AA">
        <w:rPr>
          <w:rFonts w:ascii="Arial Narrow" w:eastAsia="Calibri" w:hAnsi="Arial Narrow"/>
          <w:szCs w:val="24"/>
          <w:lang w:val="es-CO" w:eastAsia="es-CO"/>
        </w:rPr>
        <w:t>Bancos extranjeros que ofrezcan cuentas o instrumentos de inversión aprobados, y que cumplan con las condicione</w:t>
      </w:r>
      <w:r w:rsidR="000674E0">
        <w:rPr>
          <w:rFonts w:ascii="Arial Narrow" w:eastAsia="Calibri" w:hAnsi="Arial Narrow"/>
          <w:szCs w:val="24"/>
          <w:lang w:val="es-CO" w:eastAsia="es-CO"/>
        </w:rPr>
        <w:t>s de riesgo en materia de cupos</w:t>
      </w:r>
    </w:p>
    <w:p w:rsidR="0045365B" w:rsidRPr="00DA65AA" w:rsidRDefault="0045365B" w:rsidP="00C408EF">
      <w:pPr>
        <w:pStyle w:val="Ttulo"/>
        <w:numPr>
          <w:ilvl w:val="0"/>
          <w:numId w:val="17"/>
        </w:numPr>
        <w:ind w:left="1069" w:hanging="283"/>
        <w:jc w:val="both"/>
        <w:rPr>
          <w:rFonts w:ascii="Arial Narrow" w:eastAsia="Calibri" w:hAnsi="Arial Narrow"/>
          <w:szCs w:val="24"/>
          <w:lang w:val="es-CO" w:eastAsia="es-CO"/>
        </w:rPr>
      </w:pPr>
      <w:r w:rsidRPr="00DA65AA">
        <w:rPr>
          <w:rFonts w:ascii="Arial Narrow" w:eastAsia="Calibri" w:hAnsi="Arial Narrow"/>
          <w:szCs w:val="24"/>
          <w:lang w:val="es-CO" w:eastAsia="es-CO"/>
        </w:rPr>
        <w:t xml:space="preserve">Fondos </w:t>
      </w:r>
      <w:r w:rsidR="00B44AF0">
        <w:rPr>
          <w:rFonts w:ascii="Arial Narrow" w:eastAsia="Calibri" w:hAnsi="Arial Narrow"/>
          <w:i/>
          <w:szCs w:val="24"/>
          <w:lang w:val="es-CO" w:eastAsia="es-CO"/>
        </w:rPr>
        <w:t>Money M</w:t>
      </w:r>
      <w:r w:rsidRPr="00B44AF0">
        <w:rPr>
          <w:rFonts w:ascii="Arial Narrow" w:eastAsia="Calibri" w:hAnsi="Arial Narrow"/>
          <w:i/>
          <w:szCs w:val="24"/>
          <w:lang w:val="es-CO" w:eastAsia="es-CO"/>
        </w:rPr>
        <w:t>arket</w:t>
      </w:r>
      <w:r w:rsidRPr="00DA65AA">
        <w:rPr>
          <w:rFonts w:ascii="Arial Narrow" w:eastAsia="Calibri" w:hAnsi="Arial Narrow"/>
          <w:szCs w:val="24"/>
          <w:lang w:val="es-CO" w:eastAsia="es-CO"/>
        </w:rPr>
        <w:t xml:space="preserve"> que cumplan con los lineamientos de inversión aprobad</w:t>
      </w:r>
      <w:r w:rsidR="000674E0">
        <w:rPr>
          <w:rFonts w:ascii="Arial Narrow" w:eastAsia="Calibri" w:hAnsi="Arial Narrow"/>
          <w:szCs w:val="24"/>
          <w:lang w:val="es-CO" w:eastAsia="es-CO"/>
        </w:rPr>
        <w:t>os</w:t>
      </w:r>
    </w:p>
    <w:p w:rsidR="0045365B" w:rsidRPr="00DA65AA" w:rsidRDefault="0045365B" w:rsidP="00C408EF">
      <w:pPr>
        <w:pStyle w:val="Ttulo"/>
        <w:numPr>
          <w:ilvl w:val="0"/>
          <w:numId w:val="17"/>
        </w:numPr>
        <w:ind w:left="1069" w:hanging="283"/>
        <w:jc w:val="both"/>
        <w:rPr>
          <w:rFonts w:ascii="Arial Narrow" w:eastAsia="Calibri" w:hAnsi="Arial Narrow"/>
          <w:szCs w:val="24"/>
          <w:lang w:val="es-CO" w:eastAsia="es-CO"/>
        </w:rPr>
      </w:pPr>
      <w:r w:rsidRPr="00DA65AA">
        <w:rPr>
          <w:rFonts w:ascii="Arial Narrow" w:eastAsia="Calibri" w:hAnsi="Arial Narrow"/>
          <w:szCs w:val="24"/>
          <w:lang w:val="es-CO" w:eastAsia="es-CO"/>
        </w:rPr>
        <w:t>Entidades multilaterales.</w:t>
      </w:r>
    </w:p>
    <w:p w:rsidR="0045365B" w:rsidRPr="00DA65AA" w:rsidRDefault="0045365B" w:rsidP="0045365B">
      <w:pPr>
        <w:pStyle w:val="Ttulo"/>
        <w:jc w:val="both"/>
        <w:rPr>
          <w:rFonts w:ascii="Arial Narrow" w:eastAsia="Calibri" w:hAnsi="Arial Narrow"/>
          <w:szCs w:val="24"/>
          <w:lang w:val="es-CO" w:eastAsia="es-CO"/>
        </w:rPr>
      </w:pPr>
    </w:p>
    <w:p w:rsidR="0045365B" w:rsidRPr="00DA65AA" w:rsidRDefault="0045365B" w:rsidP="00C408EF">
      <w:pPr>
        <w:pStyle w:val="Ttulo"/>
        <w:numPr>
          <w:ilvl w:val="0"/>
          <w:numId w:val="15"/>
        </w:numPr>
        <w:jc w:val="both"/>
        <w:rPr>
          <w:rFonts w:ascii="Arial Narrow" w:eastAsia="Calibri" w:hAnsi="Arial Narrow"/>
          <w:b/>
          <w:szCs w:val="24"/>
          <w:lang w:val="es-CO" w:eastAsia="es-CO"/>
        </w:rPr>
      </w:pPr>
      <w:r w:rsidRPr="00DA65AA">
        <w:rPr>
          <w:rFonts w:ascii="Arial Narrow" w:eastAsia="Calibri" w:hAnsi="Arial Narrow"/>
          <w:b/>
          <w:szCs w:val="24"/>
          <w:lang w:val="es-CO" w:eastAsia="es-CO"/>
        </w:rPr>
        <w:t>Gestión del control de Cupos</w:t>
      </w:r>
    </w:p>
    <w:p w:rsidR="0045365B" w:rsidRPr="00DA65AA" w:rsidRDefault="0045365B" w:rsidP="0045365B">
      <w:pPr>
        <w:pStyle w:val="Ttulo"/>
        <w:jc w:val="both"/>
        <w:rPr>
          <w:rFonts w:ascii="Arial Narrow" w:eastAsia="Calibri" w:hAnsi="Arial Narrow"/>
          <w:szCs w:val="24"/>
          <w:lang w:val="es-CO" w:eastAsia="es-CO"/>
        </w:rPr>
      </w:pPr>
    </w:p>
    <w:p w:rsidR="0045365B" w:rsidRPr="00DA65AA" w:rsidRDefault="0045365B" w:rsidP="0046764A">
      <w:pPr>
        <w:pStyle w:val="Ttulo"/>
        <w:ind w:left="360"/>
        <w:jc w:val="both"/>
        <w:rPr>
          <w:rFonts w:ascii="Arial Narrow" w:eastAsia="Calibri" w:hAnsi="Arial Narrow"/>
          <w:szCs w:val="24"/>
          <w:lang w:val="es-CO" w:eastAsia="es-CO"/>
        </w:rPr>
      </w:pPr>
      <w:r w:rsidRPr="00DA65AA">
        <w:rPr>
          <w:rFonts w:ascii="Arial Narrow" w:eastAsia="Calibri" w:hAnsi="Arial Narrow"/>
          <w:szCs w:val="24"/>
          <w:lang w:val="es-CO" w:eastAsia="es-CO"/>
        </w:rPr>
        <w:t>Los cupos se encuentran expresados por su valor nominal y en su respectiva moneda.  Para la adecuad</w:t>
      </w:r>
      <w:r w:rsidR="00A57890">
        <w:rPr>
          <w:rFonts w:ascii="Arial Narrow" w:eastAsia="Calibri" w:hAnsi="Arial Narrow"/>
          <w:szCs w:val="24"/>
          <w:lang w:val="es-CO" w:eastAsia="es-CO"/>
        </w:rPr>
        <w:t>a administración de los cupos, e</w:t>
      </w:r>
      <w:r w:rsidRPr="00DA65AA">
        <w:rPr>
          <w:rFonts w:ascii="Arial Narrow" w:eastAsia="Calibri" w:hAnsi="Arial Narrow"/>
          <w:szCs w:val="24"/>
          <w:lang w:val="es-CO" w:eastAsia="es-CO"/>
        </w:rPr>
        <w:t xml:space="preserve">stos se deben revisar y actualizar trimestralmente por la Subdirección de Riesgo, o de forma extraordinaria mediante convocatoria de los miembros de la Reunión Técnica de Riesgos. </w:t>
      </w:r>
    </w:p>
    <w:p w:rsidR="0045365B" w:rsidRPr="00DA65AA" w:rsidRDefault="0045365B" w:rsidP="0046764A">
      <w:pPr>
        <w:ind w:left="360"/>
        <w:jc w:val="both"/>
        <w:rPr>
          <w:rFonts w:ascii="Arial Narrow" w:hAnsi="Arial Narrow" w:cs="Arial"/>
          <w:sz w:val="24"/>
          <w:szCs w:val="24"/>
        </w:rPr>
      </w:pPr>
    </w:p>
    <w:p w:rsidR="0045365B" w:rsidRPr="00DA65AA" w:rsidRDefault="0045365B" w:rsidP="0046764A">
      <w:pPr>
        <w:ind w:left="360"/>
        <w:jc w:val="both"/>
        <w:rPr>
          <w:rFonts w:ascii="Arial Narrow" w:hAnsi="Arial Narrow" w:cs="Arial"/>
          <w:sz w:val="24"/>
          <w:szCs w:val="24"/>
        </w:rPr>
      </w:pPr>
      <w:r w:rsidRPr="00DA65AA">
        <w:rPr>
          <w:rFonts w:ascii="Arial Narrow" w:hAnsi="Arial Narrow" w:cs="Arial"/>
          <w:sz w:val="24"/>
          <w:szCs w:val="24"/>
        </w:rPr>
        <w:t>Entre las razones para modificar o suspender los cupos están las siguientes:</w:t>
      </w:r>
    </w:p>
    <w:p w:rsidR="0045365B" w:rsidRPr="00DA65AA" w:rsidRDefault="0045365B" w:rsidP="0046764A">
      <w:pPr>
        <w:ind w:left="927" w:hanging="283"/>
        <w:jc w:val="both"/>
        <w:rPr>
          <w:rFonts w:ascii="Arial Narrow" w:hAnsi="Arial Narrow" w:cs="Arial"/>
          <w:sz w:val="24"/>
          <w:szCs w:val="24"/>
        </w:rPr>
      </w:pPr>
    </w:p>
    <w:p w:rsidR="0045365B" w:rsidRPr="00DA65AA" w:rsidRDefault="0046764A" w:rsidP="00C408EF">
      <w:pPr>
        <w:pStyle w:val="Prrafodelista"/>
        <w:numPr>
          <w:ilvl w:val="0"/>
          <w:numId w:val="22"/>
        </w:numPr>
        <w:ind w:left="1134" w:hanging="283"/>
        <w:jc w:val="both"/>
        <w:rPr>
          <w:rFonts w:ascii="Arial Narrow" w:hAnsi="Arial Narrow" w:cs="Arial"/>
          <w:sz w:val="24"/>
          <w:szCs w:val="24"/>
        </w:rPr>
      </w:pPr>
      <w:r w:rsidRPr="00DA65AA">
        <w:rPr>
          <w:rFonts w:ascii="Arial Narrow" w:hAnsi="Arial Narrow" w:cs="Arial"/>
          <w:sz w:val="24"/>
          <w:szCs w:val="24"/>
        </w:rPr>
        <w:t>Deterioro</w:t>
      </w:r>
      <w:r w:rsidR="0045365B" w:rsidRPr="00DA65AA">
        <w:rPr>
          <w:rFonts w:ascii="Arial Narrow" w:hAnsi="Arial Narrow" w:cs="Arial"/>
          <w:sz w:val="24"/>
          <w:szCs w:val="24"/>
        </w:rPr>
        <w:t xml:space="preserve"> o mejora de las calificaciones aprobadas para contrapartes y/o instrumentos en los modelos internos de asignación de cupos;</w:t>
      </w:r>
    </w:p>
    <w:p w:rsidR="0045365B" w:rsidRPr="00DA65AA" w:rsidRDefault="0046764A" w:rsidP="00C408EF">
      <w:pPr>
        <w:pStyle w:val="Prrafodelista"/>
        <w:numPr>
          <w:ilvl w:val="0"/>
          <w:numId w:val="22"/>
        </w:numPr>
        <w:ind w:left="1134" w:hanging="283"/>
        <w:jc w:val="both"/>
        <w:rPr>
          <w:rFonts w:ascii="Arial Narrow" w:hAnsi="Arial Narrow" w:cs="Arial"/>
          <w:sz w:val="24"/>
          <w:szCs w:val="24"/>
        </w:rPr>
      </w:pPr>
      <w:r w:rsidRPr="00DA65AA">
        <w:rPr>
          <w:rFonts w:ascii="Arial Narrow" w:hAnsi="Arial Narrow" w:cs="Arial"/>
          <w:sz w:val="24"/>
          <w:szCs w:val="24"/>
        </w:rPr>
        <w:t>P</w:t>
      </w:r>
      <w:r w:rsidR="0045365B" w:rsidRPr="00DA65AA">
        <w:rPr>
          <w:rFonts w:ascii="Arial Narrow" w:hAnsi="Arial Narrow" w:cs="Arial"/>
          <w:sz w:val="24"/>
          <w:szCs w:val="24"/>
        </w:rPr>
        <w:t>eriodo de liquidación</w:t>
      </w:r>
      <w:r w:rsidRPr="00DA65AA">
        <w:rPr>
          <w:rFonts w:ascii="Arial Narrow" w:hAnsi="Arial Narrow" w:cs="Arial"/>
          <w:sz w:val="24"/>
          <w:szCs w:val="24"/>
        </w:rPr>
        <w:t xml:space="preserve"> de la contraparte</w:t>
      </w:r>
      <w:r w:rsidR="0045365B" w:rsidRPr="00DA65AA">
        <w:rPr>
          <w:rFonts w:ascii="Arial Narrow" w:hAnsi="Arial Narrow" w:cs="Arial"/>
          <w:sz w:val="24"/>
          <w:szCs w:val="24"/>
        </w:rPr>
        <w:t>;</w:t>
      </w:r>
    </w:p>
    <w:p w:rsidR="0045365B" w:rsidRPr="00DA65AA" w:rsidRDefault="0045365B" w:rsidP="00C408EF">
      <w:pPr>
        <w:pStyle w:val="Prrafodelista"/>
        <w:numPr>
          <w:ilvl w:val="0"/>
          <w:numId w:val="22"/>
        </w:numPr>
        <w:ind w:left="1134" w:hanging="283"/>
        <w:jc w:val="both"/>
        <w:rPr>
          <w:rFonts w:ascii="Arial Narrow" w:hAnsi="Arial Narrow" w:cs="Arial"/>
          <w:sz w:val="24"/>
          <w:szCs w:val="24"/>
        </w:rPr>
      </w:pPr>
      <w:r w:rsidRPr="00DA65AA">
        <w:rPr>
          <w:rFonts w:ascii="Arial Narrow" w:hAnsi="Arial Narrow" w:cs="Arial"/>
          <w:sz w:val="24"/>
          <w:szCs w:val="24"/>
        </w:rPr>
        <w:t>Cuando las contrapartes estén involucrados directa o indirectamente en escándalos por sanciones impuestas por el Autorregulador del Mercado de Valores, por la Superintendencia Financiera de Colombia (SFC), por la SEC de EE.UU. u otro agente regulador internacional que la DGCPTN considere pertinente;</w:t>
      </w:r>
    </w:p>
    <w:p w:rsidR="0045365B" w:rsidRPr="00DA65AA" w:rsidRDefault="0046764A" w:rsidP="00C408EF">
      <w:pPr>
        <w:pStyle w:val="Prrafodelista"/>
        <w:numPr>
          <w:ilvl w:val="0"/>
          <w:numId w:val="22"/>
        </w:numPr>
        <w:ind w:left="1134" w:hanging="283"/>
        <w:jc w:val="both"/>
        <w:rPr>
          <w:rFonts w:ascii="Arial Narrow" w:hAnsi="Arial Narrow" w:cs="Arial"/>
          <w:sz w:val="24"/>
          <w:szCs w:val="24"/>
        </w:rPr>
      </w:pPr>
      <w:r w:rsidRPr="00DA65AA">
        <w:rPr>
          <w:rFonts w:ascii="Arial Narrow" w:hAnsi="Arial Narrow" w:cs="Arial"/>
          <w:sz w:val="24"/>
          <w:szCs w:val="24"/>
        </w:rPr>
        <w:t>Deterioro</w:t>
      </w:r>
      <w:r w:rsidR="0045365B" w:rsidRPr="00DA65AA">
        <w:rPr>
          <w:rFonts w:ascii="Arial Narrow" w:hAnsi="Arial Narrow" w:cs="Arial"/>
          <w:sz w:val="24"/>
          <w:szCs w:val="24"/>
        </w:rPr>
        <w:t xml:space="preserve"> en la imagen o reputación de las contrapartes debido a malas prácticas de mercado;</w:t>
      </w:r>
    </w:p>
    <w:p w:rsidR="0045365B" w:rsidRPr="00DA65AA" w:rsidRDefault="0046764A" w:rsidP="00C408EF">
      <w:pPr>
        <w:pStyle w:val="Prrafodelista"/>
        <w:numPr>
          <w:ilvl w:val="0"/>
          <w:numId w:val="22"/>
        </w:numPr>
        <w:ind w:left="1134" w:hanging="283"/>
        <w:jc w:val="both"/>
        <w:rPr>
          <w:rFonts w:ascii="Arial Narrow" w:hAnsi="Arial Narrow" w:cs="Arial"/>
          <w:sz w:val="24"/>
          <w:szCs w:val="24"/>
        </w:rPr>
      </w:pPr>
      <w:r w:rsidRPr="00DA65AA">
        <w:rPr>
          <w:rFonts w:ascii="Arial Narrow" w:hAnsi="Arial Narrow" w:cs="Arial"/>
          <w:sz w:val="24"/>
          <w:szCs w:val="24"/>
        </w:rPr>
        <w:t xml:space="preserve">Incumplimiento </w:t>
      </w:r>
      <w:r w:rsidR="0045365B" w:rsidRPr="00DA65AA">
        <w:rPr>
          <w:rFonts w:ascii="Arial Narrow" w:hAnsi="Arial Narrow" w:cs="Arial"/>
          <w:sz w:val="24"/>
          <w:szCs w:val="24"/>
        </w:rPr>
        <w:t xml:space="preserve">en una operación (no forzosa) realizada entre la contraparte y la DGCPTN; </w:t>
      </w:r>
    </w:p>
    <w:p w:rsidR="0045365B" w:rsidRPr="00DA65AA" w:rsidRDefault="0045365B" w:rsidP="00C408EF">
      <w:pPr>
        <w:pStyle w:val="Prrafodelista"/>
        <w:numPr>
          <w:ilvl w:val="0"/>
          <w:numId w:val="22"/>
        </w:numPr>
        <w:ind w:left="1134" w:hanging="283"/>
        <w:jc w:val="both"/>
        <w:rPr>
          <w:rFonts w:ascii="Arial Narrow" w:hAnsi="Arial Narrow" w:cs="Arial"/>
          <w:sz w:val="24"/>
          <w:szCs w:val="24"/>
        </w:rPr>
      </w:pPr>
      <w:r w:rsidRPr="00DA65AA">
        <w:rPr>
          <w:rFonts w:ascii="Arial Narrow" w:hAnsi="Arial Narrow" w:cs="Arial"/>
          <w:sz w:val="24"/>
          <w:szCs w:val="24"/>
        </w:rPr>
        <w:lastRenderedPageBreak/>
        <w:t xml:space="preserve">O por prudencia en asunción de riesgos ante eventos ex ante que puedan afectar significativamente las posiciones del portafolio. </w:t>
      </w:r>
    </w:p>
    <w:p w:rsidR="0045365B" w:rsidRPr="00DA65AA" w:rsidRDefault="0045365B" w:rsidP="0046764A">
      <w:pPr>
        <w:pStyle w:val="Prrafodelista"/>
        <w:ind w:left="927"/>
        <w:jc w:val="both"/>
        <w:rPr>
          <w:rFonts w:ascii="Arial Narrow" w:hAnsi="Arial Narrow" w:cs="Arial"/>
          <w:sz w:val="24"/>
          <w:szCs w:val="24"/>
        </w:rPr>
      </w:pPr>
    </w:p>
    <w:p w:rsidR="0045365B" w:rsidRPr="00DA65AA" w:rsidRDefault="0045365B" w:rsidP="0046764A">
      <w:pPr>
        <w:ind w:left="360"/>
        <w:jc w:val="both"/>
        <w:rPr>
          <w:rFonts w:ascii="Arial Narrow" w:hAnsi="Arial Narrow" w:cs="Arial"/>
          <w:sz w:val="24"/>
          <w:szCs w:val="24"/>
        </w:rPr>
      </w:pPr>
      <w:r w:rsidRPr="00DA65AA">
        <w:rPr>
          <w:rFonts w:ascii="Arial Narrow" w:hAnsi="Arial Narrow" w:cs="Arial"/>
          <w:sz w:val="24"/>
          <w:szCs w:val="24"/>
        </w:rPr>
        <w:t>La Subdirección de Riesgo se reserva el derecho de suspender o recortar los cupos de manera inmediata cuando lo considere necesario. Por otra parte, cuando la modificación implique un aumento de los cupos, el proceso se realizará en la revisión trimestral.</w:t>
      </w:r>
    </w:p>
    <w:p w:rsidR="0045365B" w:rsidRPr="00DA65AA" w:rsidRDefault="0045365B" w:rsidP="0046764A">
      <w:pPr>
        <w:ind w:left="360"/>
        <w:jc w:val="both"/>
        <w:rPr>
          <w:rFonts w:ascii="Arial Narrow" w:hAnsi="Arial Narrow" w:cs="Arial"/>
          <w:sz w:val="24"/>
          <w:szCs w:val="24"/>
        </w:rPr>
      </w:pPr>
    </w:p>
    <w:p w:rsidR="0045365B" w:rsidRPr="00DA65AA" w:rsidRDefault="0045365B" w:rsidP="0046764A">
      <w:pPr>
        <w:ind w:left="360"/>
        <w:jc w:val="both"/>
        <w:rPr>
          <w:rFonts w:ascii="Arial Narrow" w:hAnsi="Arial Narrow" w:cs="Arial"/>
          <w:sz w:val="24"/>
          <w:szCs w:val="24"/>
        </w:rPr>
      </w:pPr>
      <w:r w:rsidRPr="00DA65AA">
        <w:rPr>
          <w:rFonts w:ascii="Arial Narrow" w:hAnsi="Arial Narrow" w:cs="Arial"/>
          <w:sz w:val="24"/>
          <w:szCs w:val="24"/>
        </w:rPr>
        <w:t>Este tipo de restricciones discrecionales deberán ser informadas en primera instancia a la Subdirección de Tesorería, a la Subdirección de Operaciones y posteriormente al Director de Crédito Público y Tesoro Nacional para su ratificación.</w:t>
      </w:r>
    </w:p>
    <w:p w:rsidR="0045365B" w:rsidRPr="00DA65AA" w:rsidRDefault="0045365B" w:rsidP="0046764A">
      <w:pPr>
        <w:ind w:left="360"/>
        <w:jc w:val="both"/>
        <w:rPr>
          <w:rFonts w:ascii="Arial Narrow" w:hAnsi="Arial Narrow" w:cs="Arial"/>
          <w:sz w:val="24"/>
          <w:szCs w:val="24"/>
        </w:rPr>
      </w:pPr>
    </w:p>
    <w:p w:rsidR="0045365B" w:rsidRPr="00DA65AA" w:rsidRDefault="0045365B" w:rsidP="0046764A">
      <w:pPr>
        <w:ind w:left="360"/>
        <w:jc w:val="both"/>
        <w:rPr>
          <w:rFonts w:ascii="Arial Narrow" w:hAnsi="Arial Narrow" w:cs="Arial"/>
          <w:sz w:val="24"/>
          <w:szCs w:val="24"/>
        </w:rPr>
      </w:pPr>
      <w:r w:rsidRPr="00DA65AA">
        <w:rPr>
          <w:rFonts w:ascii="Arial Narrow" w:hAnsi="Arial Narrow" w:cs="Arial"/>
          <w:sz w:val="24"/>
          <w:szCs w:val="24"/>
        </w:rPr>
        <w:t>En la Reunión Técnica de Riesgos se evaluarán los c</w:t>
      </w:r>
      <w:r w:rsidR="000674E0">
        <w:rPr>
          <w:rFonts w:ascii="Arial Narrow" w:hAnsi="Arial Narrow" w:cs="Arial"/>
          <w:sz w:val="24"/>
          <w:szCs w:val="24"/>
        </w:rPr>
        <w:t>upos de</w:t>
      </w:r>
      <w:r w:rsidRPr="00DA65AA">
        <w:rPr>
          <w:rFonts w:ascii="Arial Narrow" w:hAnsi="Arial Narrow" w:cs="Arial"/>
          <w:sz w:val="24"/>
          <w:szCs w:val="24"/>
        </w:rPr>
        <w:t xml:space="preserve"> contraparte de las entidades para su posterior aprobación.</w:t>
      </w:r>
    </w:p>
    <w:p w:rsidR="0045365B" w:rsidRPr="00DA65AA" w:rsidRDefault="0045365B" w:rsidP="0046764A">
      <w:pPr>
        <w:ind w:left="360"/>
        <w:jc w:val="both"/>
        <w:rPr>
          <w:rFonts w:ascii="Arial Narrow" w:hAnsi="Arial Narrow" w:cs="Arial"/>
          <w:sz w:val="24"/>
          <w:szCs w:val="24"/>
        </w:rPr>
      </w:pPr>
    </w:p>
    <w:p w:rsidR="0045365B" w:rsidRPr="00DA65AA" w:rsidRDefault="0045365B" w:rsidP="0046764A">
      <w:pPr>
        <w:ind w:left="360"/>
        <w:jc w:val="both"/>
        <w:rPr>
          <w:rFonts w:ascii="Arial Narrow" w:hAnsi="Arial Narrow" w:cs="Arial"/>
          <w:sz w:val="24"/>
          <w:szCs w:val="24"/>
        </w:rPr>
      </w:pPr>
      <w:r w:rsidRPr="00DA65AA">
        <w:rPr>
          <w:rFonts w:ascii="Arial Narrow" w:hAnsi="Arial Narrow" w:cs="Arial"/>
          <w:sz w:val="24"/>
          <w:szCs w:val="24"/>
        </w:rPr>
        <w:t>Los cupos deberán ser actualizados en los sistemas transaccionales y en los aplicativos internos de registro contable, así como también deberán ser m</w:t>
      </w:r>
      <w:r w:rsidR="009B2088" w:rsidRPr="00DA65AA">
        <w:rPr>
          <w:rFonts w:ascii="Arial Narrow" w:hAnsi="Arial Narrow" w:cs="Arial"/>
          <w:sz w:val="24"/>
          <w:szCs w:val="24"/>
        </w:rPr>
        <w:t>onitoreados diariamente por la S</w:t>
      </w:r>
      <w:r w:rsidRPr="00DA65AA">
        <w:rPr>
          <w:rFonts w:ascii="Arial Narrow" w:hAnsi="Arial Narrow" w:cs="Arial"/>
          <w:sz w:val="24"/>
          <w:szCs w:val="24"/>
        </w:rPr>
        <w:t>ubdirección de Riesgo.</w:t>
      </w:r>
    </w:p>
    <w:p w:rsidR="0045365B" w:rsidRPr="00DA65AA" w:rsidRDefault="0045365B" w:rsidP="0046764A">
      <w:pPr>
        <w:ind w:left="360"/>
        <w:jc w:val="both"/>
        <w:rPr>
          <w:rFonts w:ascii="Arial Narrow" w:hAnsi="Arial Narrow" w:cs="Arial"/>
          <w:sz w:val="24"/>
          <w:szCs w:val="24"/>
        </w:rPr>
      </w:pPr>
    </w:p>
    <w:p w:rsidR="002E4B5F" w:rsidRPr="00DA65AA" w:rsidRDefault="0045365B" w:rsidP="002E4B5F">
      <w:pPr>
        <w:ind w:left="360"/>
        <w:jc w:val="both"/>
        <w:rPr>
          <w:rFonts w:ascii="Arial Narrow" w:hAnsi="Arial Narrow" w:cs="Arial"/>
          <w:sz w:val="24"/>
          <w:szCs w:val="24"/>
        </w:rPr>
      </w:pPr>
      <w:r w:rsidRPr="00DA65AA">
        <w:rPr>
          <w:rFonts w:ascii="Arial Narrow" w:hAnsi="Arial Narrow" w:cs="Arial"/>
          <w:b/>
          <w:sz w:val="24"/>
          <w:szCs w:val="24"/>
        </w:rPr>
        <w:t>Excepciones</w:t>
      </w:r>
      <w:r w:rsidRPr="00DA65AA">
        <w:rPr>
          <w:rFonts w:ascii="Arial Narrow" w:hAnsi="Arial Narrow" w:cs="Arial"/>
          <w:sz w:val="24"/>
          <w:szCs w:val="24"/>
        </w:rPr>
        <w:t>: en caso que, en el proceso de actualización de cupos, el modelo genere un sobrepaso en la utilización de cupo de alguno de los emisores autorizados, se otorgará un plazo de hasta un (1) mes calendario para ajustarse a la actualización del modelo de cupos, ya sea como parte de un cambio de estrategia de inversión o como parte de un ajuste operativo para abrir nuevos depósitos en los bancos o entidades autorizadas.</w:t>
      </w:r>
    </w:p>
    <w:p w:rsidR="002E4B5F" w:rsidRPr="00DA65AA" w:rsidRDefault="002E4B5F" w:rsidP="002E4B5F">
      <w:pPr>
        <w:jc w:val="both"/>
        <w:rPr>
          <w:rFonts w:ascii="Arial Narrow" w:hAnsi="Arial Narrow" w:cs="Arial"/>
          <w:sz w:val="24"/>
          <w:szCs w:val="24"/>
        </w:rPr>
      </w:pPr>
    </w:p>
    <w:p w:rsidR="002E4B5F" w:rsidRPr="00DA65AA" w:rsidRDefault="002E4B5F" w:rsidP="006D1283">
      <w:pPr>
        <w:pStyle w:val="Ttulo4"/>
      </w:pPr>
      <w:bookmarkStart w:id="35" w:name="_Toc4596431"/>
      <w:r w:rsidRPr="00DA65AA">
        <w:t>Directrices en materia de cumplimiento de límites</w:t>
      </w:r>
      <w:bookmarkEnd w:id="35"/>
    </w:p>
    <w:p w:rsidR="002E4B5F" w:rsidRPr="00DA65AA" w:rsidRDefault="002E4B5F" w:rsidP="002E4B5F">
      <w:pPr>
        <w:rPr>
          <w:rFonts w:ascii="Arial Narrow" w:hAnsi="Arial Narrow"/>
        </w:rPr>
      </w:pPr>
    </w:p>
    <w:p w:rsidR="002E4B5F" w:rsidRPr="00DA65AA" w:rsidRDefault="002E4B5F" w:rsidP="002E4B5F">
      <w:pPr>
        <w:jc w:val="both"/>
        <w:rPr>
          <w:rFonts w:ascii="Arial Narrow" w:hAnsi="Arial Narrow" w:cs="Arial"/>
          <w:sz w:val="24"/>
        </w:rPr>
      </w:pPr>
      <w:r w:rsidRPr="00DA65AA">
        <w:rPr>
          <w:rFonts w:ascii="Arial Narrow" w:hAnsi="Arial Narrow" w:cs="Arial"/>
          <w:sz w:val="24"/>
        </w:rPr>
        <w:t>Los límites establecidos deben estar documentados en anexos al presente manual, que permitan conocer la política y trazabilidad de las decisiones tomadas</w:t>
      </w:r>
      <w:r w:rsidR="00A57890">
        <w:rPr>
          <w:rFonts w:ascii="Arial Narrow" w:hAnsi="Arial Narrow" w:cs="Arial"/>
          <w:sz w:val="24"/>
        </w:rPr>
        <w:t xml:space="preserve"> por la misma. Adicionalmente, e</w:t>
      </w:r>
      <w:r w:rsidRPr="00DA65AA">
        <w:rPr>
          <w:rFonts w:ascii="Arial Narrow" w:hAnsi="Arial Narrow" w:cs="Arial"/>
          <w:sz w:val="24"/>
        </w:rPr>
        <w:t>stos son establecidos para gestionar y controlar adecuadamente el Riesgo de Mercado de la DGCPTN, y son consistentes con el perfil de riesgo definido para las operaciones de Tesorería. Por tal motivo, se deberá hacer un monitoreo permanente por parte de la Subdirección de Riesgo y se informará mediante reportes los resultados del seguimiento.</w:t>
      </w:r>
    </w:p>
    <w:p w:rsidR="002E4B5F" w:rsidRPr="00DA65AA" w:rsidRDefault="002E4B5F" w:rsidP="002E4B5F">
      <w:pPr>
        <w:jc w:val="both"/>
        <w:rPr>
          <w:rFonts w:ascii="Arial Narrow" w:hAnsi="Arial Narrow" w:cs="Arial"/>
          <w:sz w:val="24"/>
        </w:rPr>
      </w:pPr>
    </w:p>
    <w:p w:rsidR="002E4B5F" w:rsidRPr="00DA65AA" w:rsidRDefault="002E4B5F" w:rsidP="002E4B5F">
      <w:pPr>
        <w:autoSpaceDE w:val="0"/>
        <w:autoSpaceDN w:val="0"/>
        <w:adjustRightInd w:val="0"/>
        <w:jc w:val="both"/>
        <w:rPr>
          <w:rFonts w:ascii="Arial Narrow" w:hAnsi="Arial Narrow" w:cs="Arial"/>
          <w:sz w:val="24"/>
        </w:rPr>
      </w:pPr>
      <w:r w:rsidRPr="00DA65AA">
        <w:rPr>
          <w:rFonts w:ascii="Arial Narrow" w:hAnsi="Arial Narrow" w:cs="Arial"/>
          <w:sz w:val="24"/>
        </w:rPr>
        <w:t>La Tesorería podrá solicitar al Director de Créd</w:t>
      </w:r>
      <w:r w:rsidR="00634673">
        <w:rPr>
          <w:rFonts w:ascii="Arial Narrow" w:hAnsi="Arial Narrow" w:cs="Arial"/>
          <w:sz w:val="24"/>
        </w:rPr>
        <w:t>ito Público y Tesoro Nacional, por</w:t>
      </w:r>
      <w:r w:rsidRPr="00DA65AA">
        <w:rPr>
          <w:rFonts w:ascii="Arial Narrow" w:hAnsi="Arial Narrow" w:cs="Arial"/>
          <w:sz w:val="24"/>
        </w:rPr>
        <w:t xml:space="preserve"> cualquier medio verificable, el sobrepaso a los límites para operaciones simultáneas que se realicen en horario excepcional (después de las 4:00 p.m.) donde se explique las condiciones (hora; monto; tipo de operación; tipo de instrumento; tasa de fondeo) y se justifique la racionalidad de la operación.</w:t>
      </w:r>
    </w:p>
    <w:p w:rsidR="002E4B5F" w:rsidRPr="00DA65AA" w:rsidRDefault="002E4B5F" w:rsidP="002E4B5F">
      <w:pPr>
        <w:jc w:val="both"/>
        <w:rPr>
          <w:rFonts w:ascii="Arial Narrow" w:hAnsi="Arial Narrow" w:cs="Arial"/>
          <w:sz w:val="24"/>
        </w:rPr>
      </w:pPr>
    </w:p>
    <w:p w:rsidR="002E4B5F" w:rsidRPr="00DA65AA" w:rsidRDefault="002E4B5F" w:rsidP="002E4B5F">
      <w:pPr>
        <w:autoSpaceDE w:val="0"/>
        <w:autoSpaceDN w:val="0"/>
        <w:adjustRightInd w:val="0"/>
        <w:jc w:val="both"/>
        <w:rPr>
          <w:rFonts w:ascii="Arial Narrow" w:hAnsi="Arial Narrow" w:cs="Arial"/>
          <w:sz w:val="24"/>
        </w:rPr>
      </w:pPr>
      <w:r w:rsidRPr="00DA65AA">
        <w:rPr>
          <w:rFonts w:ascii="Arial Narrow" w:hAnsi="Arial Narrow" w:cs="Arial"/>
          <w:sz w:val="24"/>
        </w:rPr>
        <w:t>Cuando los sobrepasos a cualquier límite establecido en el presente manual no son autorizados, la Subdirección de Riesgo deberá informar al Director de Crédito Público y Tesoro Nacional, y a las áreas de control para que evalúen la gravedad del incumplimiento.</w:t>
      </w:r>
    </w:p>
    <w:p w:rsidR="002E4B5F" w:rsidRDefault="002E4B5F" w:rsidP="002E4B5F">
      <w:pPr>
        <w:rPr>
          <w:rFonts w:ascii="Arial Narrow" w:hAnsi="Arial Narrow"/>
        </w:rPr>
      </w:pPr>
    </w:p>
    <w:p w:rsidR="00242C43" w:rsidRDefault="00242C43" w:rsidP="002E4B5F">
      <w:pPr>
        <w:rPr>
          <w:rFonts w:ascii="Arial Narrow" w:hAnsi="Arial Narrow"/>
        </w:rPr>
      </w:pPr>
    </w:p>
    <w:p w:rsidR="00242C43" w:rsidRDefault="00242C43" w:rsidP="002E4B5F">
      <w:pPr>
        <w:rPr>
          <w:rFonts w:ascii="Arial Narrow" w:hAnsi="Arial Narrow"/>
        </w:rPr>
      </w:pPr>
    </w:p>
    <w:p w:rsidR="00242C43" w:rsidRPr="00DA65AA" w:rsidRDefault="00242C43" w:rsidP="002E4B5F">
      <w:pPr>
        <w:rPr>
          <w:rFonts w:ascii="Arial Narrow" w:hAnsi="Arial Narrow"/>
        </w:rPr>
      </w:pPr>
    </w:p>
    <w:p w:rsidR="002E4B5F" w:rsidRPr="00954628" w:rsidRDefault="002E4B5F" w:rsidP="00954628">
      <w:pPr>
        <w:pStyle w:val="Ttulo5"/>
      </w:pPr>
      <w:bookmarkStart w:id="36" w:name="_Toc4596432"/>
      <w:r w:rsidRPr="00954628">
        <w:lastRenderedPageBreak/>
        <w:t>Directrices en materia de perfil de funcionarios</w:t>
      </w:r>
      <w:bookmarkEnd w:id="36"/>
    </w:p>
    <w:p w:rsidR="002E4B5F" w:rsidRPr="00DA65AA" w:rsidRDefault="002E4B5F" w:rsidP="00954628"/>
    <w:p w:rsidR="002E4B5F" w:rsidRPr="00DA65AA" w:rsidRDefault="002E4B5F" w:rsidP="002E4B5F">
      <w:pPr>
        <w:jc w:val="both"/>
        <w:rPr>
          <w:rFonts w:ascii="Arial Narrow" w:hAnsi="Arial Narrow" w:cs="Arial"/>
          <w:sz w:val="24"/>
        </w:rPr>
      </w:pPr>
      <w:r w:rsidRPr="00DA65AA">
        <w:rPr>
          <w:rFonts w:ascii="Arial Narrow" w:hAnsi="Arial Narrow" w:cs="Arial"/>
          <w:sz w:val="24"/>
        </w:rPr>
        <w:t>La DGCPTN no deberá permitir en sus operaciones, la actuación de personas naturales que se encuentren expulsadas o suspendidas por el Tribunal Disciplinario de AMV o sobre las cuales recaiga una sanción equivalente por decisión del órgano disciplinario de otra entidad de autorregulación, de un administrador de mercado, de una bolsa de bienes y productos agropecuarios, agroindustriales o de otros commodities, o de la SFC.</w:t>
      </w:r>
    </w:p>
    <w:p w:rsidR="002E4B5F" w:rsidRPr="00DA65AA" w:rsidRDefault="002E4B5F" w:rsidP="002E4B5F">
      <w:pPr>
        <w:rPr>
          <w:rFonts w:ascii="Arial Narrow" w:hAnsi="Arial Narrow"/>
        </w:rPr>
      </w:pPr>
    </w:p>
    <w:p w:rsidR="008636B6" w:rsidRPr="00DA65AA" w:rsidRDefault="002E4B5F" w:rsidP="0014258C">
      <w:pPr>
        <w:pStyle w:val="Ttulo2"/>
      </w:pPr>
      <w:bookmarkStart w:id="37" w:name="_Toc4596433"/>
      <w:r w:rsidRPr="00DA65AA">
        <w:t>Mecanismos de Seguimiento</w:t>
      </w:r>
      <w:bookmarkEnd w:id="37"/>
    </w:p>
    <w:p w:rsidR="002E4B5F" w:rsidRPr="00DA65AA" w:rsidRDefault="002E4B5F" w:rsidP="002E4B5F">
      <w:pPr>
        <w:rPr>
          <w:rFonts w:ascii="Arial Narrow" w:hAnsi="Arial Narrow"/>
          <w:lang w:val="es-CO"/>
        </w:rPr>
      </w:pPr>
    </w:p>
    <w:p w:rsidR="002E4B5F" w:rsidRPr="00DA65AA" w:rsidRDefault="002E4B5F" w:rsidP="00171A99">
      <w:pPr>
        <w:jc w:val="both"/>
        <w:rPr>
          <w:rFonts w:ascii="Arial Narrow" w:hAnsi="Arial Narrow"/>
          <w:lang w:val="es-CO"/>
        </w:rPr>
      </w:pPr>
      <w:r w:rsidRPr="00DA65AA">
        <w:rPr>
          <w:rFonts w:ascii="Arial Narrow" w:hAnsi="Arial Narrow" w:cs="Arial"/>
          <w:sz w:val="24"/>
        </w:rPr>
        <w:t>La normatividad colombiana emitida por la SFC, de la misma forma que el SARM contenido en este manual, considera necesario hacer explícito el conjunto de mecanismos cuya articulación permite el cumplimiento efectivo de las funciones y responsabilidades otorgadas al área o unidad administradora de riesgo de mercado de la entidad. Con base en lo anterior, se definen los elementos que componen el proceso global de seguimiento: herramientas tecnológicas, esquemas de flujo de información y puntos de control de los procesos llevados a cabo en la DGCPTN.</w:t>
      </w:r>
    </w:p>
    <w:p w:rsidR="003C686A" w:rsidRPr="00DA65AA" w:rsidRDefault="003C686A" w:rsidP="003C686A">
      <w:pPr>
        <w:rPr>
          <w:rFonts w:ascii="Arial Narrow" w:hAnsi="Arial Narrow"/>
        </w:rPr>
      </w:pPr>
    </w:p>
    <w:p w:rsidR="002E4B5F" w:rsidRPr="00DA65AA" w:rsidRDefault="002E4B5F" w:rsidP="002E4B5F">
      <w:pPr>
        <w:pStyle w:val="Ttulo3"/>
      </w:pPr>
      <w:bookmarkStart w:id="38" w:name="_Toc4596434"/>
      <w:r w:rsidRPr="00DA65AA">
        <w:t>Infraestructura Tecnológica</w:t>
      </w:r>
      <w:bookmarkEnd w:id="38"/>
    </w:p>
    <w:p w:rsidR="002E4B5F" w:rsidRPr="00DA65AA" w:rsidRDefault="002E4B5F" w:rsidP="002E4B5F">
      <w:pPr>
        <w:rPr>
          <w:rFonts w:ascii="Arial Narrow" w:hAnsi="Arial Narrow"/>
        </w:rPr>
      </w:pPr>
    </w:p>
    <w:p w:rsidR="002E4B5F" w:rsidRPr="00DA65AA" w:rsidRDefault="002E4B5F" w:rsidP="002E4B5F">
      <w:pPr>
        <w:jc w:val="both"/>
        <w:rPr>
          <w:rFonts w:ascii="Arial Narrow" w:hAnsi="Arial Narrow" w:cs="Arial"/>
          <w:sz w:val="24"/>
        </w:rPr>
      </w:pPr>
      <w:r w:rsidRPr="00DA65AA">
        <w:rPr>
          <w:rFonts w:ascii="Arial Narrow" w:hAnsi="Arial Narrow" w:cs="Arial"/>
          <w:sz w:val="24"/>
        </w:rPr>
        <w:t xml:space="preserve">Para llevar a cabo la adecuada gestión de los recursos se requiere de una infraestructura tecnológica que permita la sistematización de la información con el fin de garantizar que la misma sea precisa y oportuna y que no sea susceptible de alteraciones o modificaciones. </w:t>
      </w:r>
    </w:p>
    <w:p w:rsidR="002E4B5F" w:rsidRPr="00DA65AA" w:rsidRDefault="002E4B5F" w:rsidP="002E4B5F">
      <w:pPr>
        <w:jc w:val="both"/>
        <w:rPr>
          <w:rFonts w:ascii="Arial Narrow" w:hAnsi="Arial Narrow" w:cs="Arial"/>
          <w:sz w:val="24"/>
        </w:rPr>
      </w:pPr>
    </w:p>
    <w:p w:rsidR="002E4B5F" w:rsidRPr="00DA65AA" w:rsidRDefault="002E4B5F" w:rsidP="002E4B5F">
      <w:pPr>
        <w:jc w:val="both"/>
        <w:rPr>
          <w:rFonts w:ascii="Arial Narrow" w:hAnsi="Arial Narrow" w:cs="Arial"/>
          <w:sz w:val="24"/>
        </w:rPr>
      </w:pPr>
      <w:r w:rsidRPr="00DA65AA">
        <w:rPr>
          <w:rFonts w:ascii="Arial Narrow" w:hAnsi="Arial Narrow" w:cs="Arial"/>
          <w:sz w:val="24"/>
        </w:rPr>
        <w:t xml:space="preserve">Adicionalmente, la infraestructura tecnológica debe garantizar que la información concerniente a la tesorería, sea transversal y oportuna tanto para el </w:t>
      </w:r>
      <w:r w:rsidRPr="00DA65AA">
        <w:rPr>
          <w:rFonts w:ascii="Arial Narrow" w:hAnsi="Arial Narrow" w:cs="Arial"/>
          <w:i/>
          <w:sz w:val="24"/>
        </w:rPr>
        <w:t>Front, Middle</w:t>
      </w:r>
      <w:r w:rsidRPr="00DA65AA">
        <w:rPr>
          <w:rFonts w:ascii="Arial Narrow" w:hAnsi="Arial Narrow" w:cs="Arial"/>
          <w:sz w:val="24"/>
        </w:rPr>
        <w:t xml:space="preserve"> y </w:t>
      </w:r>
      <w:r w:rsidRPr="00DA65AA">
        <w:rPr>
          <w:rFonts w:ascii="Arial Narrow" w:hAnsi="Arial Narrow" w:cs="Arial"/>
          <w:i/>
          <w:sz w:val="24"/>
        </w:rPr>
        <w:t>Back Office</w:t>
      </w:r>
      <w:r w:rsidRPr="00DA65AA">
        <w:rPr>
          <w:rFonts w:ascii="Arial Narrow" w:hAnsi="Arial Narrow" w:cs="Arial"/>
          <w:sz w:val="24"/>
        </w:rPr>
        <w:t>, y que se encuentre disponible en el día a día de las operaciones.</w:t>
      </w:r>
    </w:p>
    <w:p w:rsidR="002E4B5F" w:rsidRPr="00DA65AA" w:rsidRDefault="002E4B5F" w:rsidP="002E4B5F">
      <w:pPr>
        <w:jc w:val="both"/>
        <w:rPr>
          <w:rFonts w:ascii="Arial Narrow" w:hAnsi="Arial Narrow" w:cs="Arial"/>
          <w:sz w:val="24"/>
        </w:rPr>
      </w:pPr>
    </w:p>
    <w:p w:rsidR="002E4B5F" w:rsidRPr="00DA65AA" w:rsidRDefault="002E4B5F" w:rsidP="002E4B5F">
      <w:pPr>
        <w:jc w:val="both"/>
        <w:rPr>
          <w:rFonts w:ascii="Arial Narrow" w:hAnsi="Arial Narrow" w:cs="Arial"/>
          <w:sz w:val="24"/>
        </w:rPr>
      </w:pPr>
      <w:r w:rsidRPr="00DA65AA">
        <w:rPr>
          <w:rFonts w:ascii="Arial Narrow" w:hAnsi="Arial Narrow" w:cs="Arial"/>
          <w:sz w:val="24"/>
        </w:rPr>
        <w:t>De acuerdo con esto, la DGCPTN cuenta con sistemas transaccionales y de registro en donde se celebran operaciones de compra y venta de instrumentos de inversión y de divisas.</w:t>
      </w:r>
    </w:p>
    <w:p w:rsidR="002E4B5F" w:rsidRPr="00DA65AA" w:rsidRDefault="002E4B5F" w:rsidP="002E4B5F">
      <w:pPr>
        <w:rPr>
          <w:rFonts w:ascii="Arial Narrow" w:hAnsi="Arial Narrow"/>
        </w:rPr>
      </w:pPr>
    </w:p>
    <w:p w:rsidR="002E4B5F" w:rsidRPr="00DA65AA" w:rsidRDefault="002E4B5F" w:rsidP="002E4B5F">
      <w:pPr>
        <w:pStyle w:val="Ttulo3"/>
      </w:pPr>
      <w:bookmarkStart w:id="39" w:name="_Toc4596435"/>
      <w:r w:rsidRPr="00DA65AA">
        <w:t>Flujo de Información y Puntos de Control</w:t>
      </w:r>
      <w:bookmarkEnd w:id="39"/>
    </w:p>
    <w:p w:rsidR="002E4B5F" w:rsidRPr="00DA65AA" w:rsidRDefault="002E4B5F" w:rsidP="002E4B5F">
      <w:pPr>
        <w:rPr>
          <w:rFonts w:ascii="Arial Narrow" w:hAnsi="Arial Narrow"/>
        </w:rPr>
      </w:pPr>
    </w:p>
    <w:p w:rsidR="002E4B5F" w:rsidRPr="00DA65AA" w:rsidRDefault="002E4B5F" w:rsidP="002E4B5F">
      <w:pPr>
        <w:jc w:val="both"/>
        <w:rPr>
          <w:rFonts w:ascii="Arial Narrow" w:hAnsi="Arial Narrow"/>
          <w:sz w:val="24"/>
        </w:rPr>
      </w:pPr>
      <w:r w:rsidRPr="00DA65AA">
        <w:rPr>
          <w:rFonts w:ascii="Arial Narrow" w:hAnsi="Arial Narrow"/>
          <w:sz w:val="24"/>
        </w:rPr>
        <w:t>Para dar cumplimiento con el principio de Independencia descri</w:t>
      </w:r>
      <w:r w:rsidR="0087090D">
        <w:rPr>
          <w:rFonts w:ascii="Arial Narrow" w:hAnsi="Arial Narrow"/>
          <w:sz w:val="24"/>
        </w:rPr>
        <w:t>to en el numeral 2.3.</w:t>
      </w:r>
      <w:r w:rsidRPr="00DA65AA">
        <w:rPr>
          <w:rFonts w:ascii="Arial Narrow" w:hAnsi="Arial Narrow"/>
          <w:sz w:val="24"/>
        </w:rPr>
        <w:t xml:space="preserve"> del presente manual, hacia la adecuada administración de riesgo de mercado es necesario identificar las responsabilidades de cada una de las áreas involucradas para la gestión de la Tesorería de la DGCPTN, en lo correspondiente a la trazabilidad de cada una de las operaciones.  </w:t>
      </w:r>
    </w:p>
    <w:p w:rsidR="002E4B5F" w:rsidRPr="00DA65AA" w:rsidRDefault="002E4B5F" w:rsidP="002E4B5F">
      <w:pPr>
        <w:jc w:val="both"/>
        <w:rPr>
          <w:rFonts w:ascii="Arial Narrow" w:hAnsi="Arial Narrow"/>
          <w:sz w:val="24"/>
        </w:rPr>
      </w:pPr>
    </w:p>
    <w:p w:rsidR="002E4B5F" w:rsidRPr="00DA65AA" w:rsidRDefault="002E4B5F" w:rsidP="002E4B5F">
      <w:pPr>
        <w:jc w:val="both"/>
        <w:rPr>
          <w:rFonts w:ascii="Arial Narrow" w:hAnsi="Arial Narrow"/>
          <w:sz w:val="24"/>
        </w:rPr>
      </w:pPr>
      <w:r w:rsidRPr="00DA65AA">
        <w:rPr>
          <w:rFonts w:ascii="Arial Narrow" w:hAnsi="Arial Narrow"/>
          <w:sz w:val="24"/>
        </w:rPr>
        <w:t>Para la elaboración de los reportes de análisis de riesgo que emite la Subdirección de Riesgo, es necesario asegurar que la información que circula a través de los distintos procesos cuente con un flujo predeterminado que garantice su confiabilidad, trazabilidad y transparencia. Una de las condiciones necesarias para asegurar estos objetivos, es que cada uno de los organismos involucrados conozca sus atribuciones y obligaciones en relación con la información que</w:t>
      </w:r>
      <w:r w:rsidR="0087090D">
        <w:rPr>
          <w:rFonts w:ascii="Arial Narrow" w:hAnsi="Arial Narrow"/>
          <w:sz w:val="24"/>
        </w:rPr>
        <w:t xml:space="preserve"> maneja, de tal forma que e</w:t>
      </w:r>
      <w:r w:rsidRPr="00DA65AA">
        <w:rPr>
          <w:rFonts w:ascii="Arial Narrow" w:hAnsi="Arial Narrow"/>
          <w:sz w:val="24"/>
        </w:rPr>
        <w:t>sta pueda ser transmitid</w:t>
      </w:r>
      <w:r w:rsidR="0087090D">
        <w:rPr>
          <w:rFonts w:ascii="Arial Narrow" w:hAnsi="Arial Narrow"/>
          <w:sz w:val="24"/>
        </w:rPr>
        <w:t>a al siguiente de forma segura.</w:t>
      </w:r>
    </w:p>
    <w:p w:rsidR="002E4B5F" w:rsidRPr="00DA65AA" w:rsidRDefault="002E4B5F" w:rsidP="002E4B5F">
      <w:pPr>
        <w:jc w:val="both"/>
        <w:rPr>
          <w:rFonts w:ascii="Arial Narrow" w:hAnsi="Arial Narrow"/>
          <w:sz w:val="24"/>
        </w:rPr>
      </w:pPr>
    </w:p>
    <w:p w:rsidR="002E4B5F" w:rsidRPr="00DA65AA" w:rsidRDefault="002E4B5F" w:rsidP="002E4B5F">
      <w:pPr>
        <w:jc w:val="both"/>
        <w:rPr>
          <w:rFonts w:ascii="Arial Narrow" w:hAnsi="Arial Narrow"/>
          <w:sz w:val="24"/>
        </w:rPr>
      </w:pPr>
      <w:r w:rsidRPr="00DA65AA">
        <w:rPr>
          <w:rFonts w:ascii="Arial Narrow" w:hAnsi="Arial Narrow"/>
          <w:sz w:val="24"/>
        </w:rPr>
        <w:lastRenderedPageBreak/>
        <w:t xml:space="preserve">El siguiente gráfico ilustra estos conceptos aplicados en la gestión de tesorería, e integra las áreas que fungen como </w:t>
      </w:r>
      <w:r w:rsidRPr="00DA65AA">
        <w:rPr>
          <w:rFonts w:ascii="Arial Narrow" w:hAnsi="Arial Narrow"/>
          <w:i/>
          <w:sz w:val="24"/>
        </w:rPr>
        <w:t>Front, Middle, Back Office</w:t>
      </w:r>
      <w:r w:rsidRPr="00DA65AA">
        <w:rPr>
          <w:rFonts w:ascii="Arial Narrow" w:hAnsi="Arial Narrow"/>
          <w:sz w:val="24"/>
        </w:rPr>
        <w:t xml:space="preserve"> y al Director General de Crédito Público y Tesoro Nacional.</w:t>
      </w:r>
    </w:p>
    <w:p w:rsidR="00384F28" w:rsidRPr="00DA65AA" w:rsidRDefault="00384F28" w:rsidP="002E4B5F">
      <w:pPr>
        <w:jc w:val="both"/>
        <w:rPr>
          <w:rFonts w:ascii="Arial Narrow" w:hAnsi="Arial Narrow"/>
          <w:sz w:val="24"/>
        </w:rPr>
      </w:pPr>
    </w:p>
    <w:p w:rsidR="002E4B5F" w:rsidRPr="00DA65AA" w:rsidRDefault="002E4B5F" w:rsidP="002E4B5F">
      <w:pPr>
        <w:jc w:val="both"/>
        <w:rPr>
          <w:rFonts w:ascii="Arial Narrow" w:hAnsi="Arial Narrow"/>
          <w:sz w:val="24"/>
        </w:rPr>
      </w:pPr>
    </w:p>
    <w:p w:rsidR="002E4B5F" w:rsidRPr="00DA65AA" w:rsidRDefault="002E4B5F" w:rsidP="00C93704">
      <w:pPr>
        <w:jc w:val="center"/>
        <w:rPr>
          <w:rFonts w:ascii="Arial Narrow" w:hAnsi="Arial Narrow" w:cs="Arial"/>
          <w:u w:val="single"/>
        </w:rPr>
      </w:pPr>
      <w:r w:rsidRPr="00DA65AA">
        <w:rPr>
          <w:rFonts w:ascii="Arial Narrow" w:hAnsi="Arial Narrow"/>
          <w:sz w:val="24"/>
        </w:rPr>
        <w:t>FLUJO DE INFORMACIÓN ENTRE LAS ÁREAS INVOLUCRADAS EN LAS ACTIVIDADES DE LA GESTIÓN DE TESORERÍA</w:t>
      </w:r>
    </w:p>
    <w:p w:rsidR="002E4B5F" w:rsidRPr="00DA65AA" w:rsidRDefault="002E4B5F" w:rsidP="002E4B5F">
      <w:pPr>
        <w:rPr>
          <w:rFonts w:ascii="Arial Narrow" w:hAnsi="Arial Narrow" w:cs="Arial"/>
        </w:rPr>
      </w:pPr>
    </w:p>
    <w:p w:rsidR="002E4B5F" w:rsidRPr="00DA65AA" w:rsidRDefault="00282A5C" w:rsidP="002E4B5F">
      <w:pPr>
        <w:rPr>
          <w:rFonts w:ascii="Arial Narrow" w:hAnsi="Arial Narrow" w:cs="Arial"/>
        </w:rPr>
      </w:pPr>
      <w:r w:rsidRPr="00DA65AA">
        <w:rPr>
          <w:rFonts w:ascii="Arial Narrow" w:hAnsi="Arial Narrow"/>
          <w:noProof/>
          <w:lang w:val="en-US" w:eastAsia="en-US"/>
        </w:rPr>
        <mc:AlternateContent>
          <mc:Choice Requires="wps">
            <w:drawing>
              <wp:anchor distT="0" distB="0" distL="114300" distR="114300" simplePos="0" relativeHeight="251674624" behindDoc="0" locked="0" layoutInCell="1" allowOverlap="1">
                <wp:simplePos x="0" y="0"/>
                <wp:positionH relativeFrom="column">
                  <wp:posOffset>3038475</wp:posOffset>
                </wp:positionH>
                <wp:positionV relativeFrom="paragraph">
                  <wp:posOffset>81280</wp:posOffset>
                </wp:positionV>
                <wp:extent cx="2532380" cy="707390"/>
                <wp:effectExtent l="0" t="0" r="20320" b="16510"/>
                <wp:wrapNone/>
                <wp:docPr id="4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2380" cy="707390"/>
                        </a:xfrm>
                        <a:prstGeom prst="rect">
                          <a:avLst/>
                        </a:prstGeom>
                        <a:solidFill>
                          <a:srgbClr val="FFFFFF"/>
                        </a:solidFill>
                        <a:ln w="9525">
                          <a:solidFill>
                            <a:srgbClr val="000000"/>
                          </a:solidFill>
                          <a:miter lim="800000"/>
                          <a:headEnd/>
                          <a:tailEnd/>
                        </a:ln>
                      </wps:spPr>
                      <wps:txbx>
                        <w:txbxContent>
                          <w:p w:rsidR="00954628" w:rsidRPr="002E4B5F" w:rsidRDefault="00954628" w:rsidP="002E4B5F">
                            <w:pPr>
                              <w:jc w:val="center"/>
                              <w:rPr>
                                <w:rFonts w:ascii="Arial Narrow" w:hAnsi="Arial Narrow"/>
                                <w:sz w:val="24"/>
                              </w:rPr>
                            </w:pPr>
                            <w:r w:rsidRPr="002E4B5F">
                              <w:rPr>
                                <w:rFonts w:ascii="Arial Narrow" w:hAnsi="Arial Narrow"/>
                                <w:b/>
                                <w:sz w:val="24"/>
                              </w:rPr>
                              <w:t>Subdirección de Tesorería</w:t>
                            </w:r>
                            <w:r w:rsidRPr="002E4B5F">
                              <w:rPr>
                                <w:rFonts w:ascii="Arial Narrow" w:hAnsi="Arial Narrow"/>
                                <w:sz w:val="24"/>
                              </w:rPr>
                              <w:t xml:space="preserve"> </w:t>
                            </w:r>
                          </w:p>
                          <w:p w:rsidR="00954628" w:rsidRPr="002E4B5F" w:rsidRDefault="00954628" w:rsidP="002E4B5F">
                            <w:pPr>
                              <w:jc w:val="center"/>
                              <w:rPr>
                                <w:rFonts w:ascii="Arial Narrow" w:hAnsi="Arial Narrow"/>
                                <w:sz w:val="24"/>
                              </w:rPr>
                            </w:pPr>
                            <w:r w:rsidRPr="002E4B5F">
                              <w:rPr>
                                <w:rFonts w:ascii="Arial Narrow" w:hAnsi="Arial Narrow"/>
                                <w:sz w:val="24"/>
                              </w:rPr>
                              <w:t>(2) Operadores conocen sus atribuciones. Realizan operaciones autorizadas</w:t>
                            </w:r>
                            <w:r>
                              <w:rPr>
                                <w:rFonts w:ascii="Arial Narrow" w:hAnsi="Arial Narrow"/>
                                <w:sz w:val="24"/>
                              </w:rPr>
                              <w: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31" type="#_x0000_t202" style="position:absolute;margin-left:239.25pt;margin-top:6.4pt;width:199.4pt;height:55.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">
                <v:textbox>
                  <w:txbxContent>
                    <w:p w:rsidR="00954628" w:rsidRPr="002E4B5F" w:rsidRDefault="00954628" w:rsidP="002E4B5F">
                      <w:pPr>
                        <w:jc w:val="center"/>
                        <w:rPr>
                          <w:rFonts w:ascii="Arial Narrow" w:hAnsi="Arial Narrow"/>
                          <w:sz w:val="24"/>
                        </w:rPr>
                      </w:pPr>
                      <w:r w:rsidRPr="002E4B5F">
                        <w:rPr>
                          <w:rFonts w:ascii="Arial Narrow" w:hAnsi="Arial Narrow"/>
                          <w:b/>
                          <w:sz w:val="24"/>
                        </w:rPr>
                        <w:t>Subdirección de Tesorería</w:t>
                      </w:r>
                      <w:r w:rsidRPr="002E4B5F">
                        <w:rPr>
                          <w:rFonts w:ascii="Arial Narrow" w:hAnsi="Arial Narrow"/>
                          <w:sz w:val="24"/>
                        </w:rPr>
                        <w:t xml:space="preserve"> </w:t>
                      </w:r>
                    </w:p>
                    <w:p w:rsidR="00954628" w:rsidRPr="002E4B5F" w:rsidRDefault="00954628" w:rsidP="002E4B5F">
                      <w:pPr>
                        <w:jc w:val="center"/>
                        <w:rPr>
                          <w:rFonts w:ascii="Arial Narrow" w:hAnsi="Arial Narrow"/>
                          <w:sz w:val="24"/>
                        </w:rPr>
                      </w:pPr>
                      <w:r w:rsidRPr="002E4B5F">
                        <w:rPr>
                          <w:rFonts w:ascii="Arial Narrow" w:hAnsi="Arial Narrow"/>
                          <w:sz w:val="24"/>
                        </w:rPr>
                        <w:t>(2) Operadores conocen sus atribuciones. Realizan operaciones autorizadas</w:t>
                      </w:r>
                      <w:r>
                        <w:rPr>
                          <w:rFonts w:ascii="Arial Narrow" w:hAnsi="Arial Narrow"/>
                          <w:sz w:val="24"/>
                        </w:rPr>
                        <w:t>.</w:t>
                      </w:r>
                    </w:p>
                  </w:txbxContent>
                </v:textbox>
              </v:shape>
            </w:pict>
          </mc:Fallback>
        </mc:AlternateContent>
      </w:r>
    </w:p>
    <w:p w:rsidR="002E4B5F" w:rsidRPr="00DA65AA" w:rsidRDefault="002E4B5F" w:rsidP="002E4B5F">
      <w:pPr>
        <w:rPr>
          <w:rFonts w:ascii="Arial Narrow" w:hAnsi="Arial Narrow" w:cs="Arial"/>
        </w:rPr>
      </w:pPr>
    </w:p>
    <w:p w:rsidR="002E4B5F" w:rsidRPr="00DA65AA" w:rsidRDefault="00282A5C" w:rsidP="002E4B5F">
      <w:pPr>
        <w:rPr>
          <w:rFonts w:ascii="Arial Narrow" w:hAnsi="Arial Narrow" w:cs="Arial"/>
        </w:rPr>
      </w:pPr>
      <w:r w:rsidRPr="00DA65AA">
        <w:rPr>
          <w:rFonts w:ascii="Arial Narrow" w:hAnsi="Arial Narrow"/>
          <w:noProof/>
          <w:lang w:val="en-US" w:eastAsia="en-US"/>
        </w:rPr>
        <mc:AlternateContent>
          <mc:Choice Requires="wps">
            <w:drawing>
              <wp:anchor distT="0" distB="0" distL="114300" distR="114300" simplePos="0" relativeHeight="251675648" behindDoc="0" locked="0" layoutInCell="1" allowOverlap="1">
                <wp:simplePos x="0" y="0"/>
                <wp:positionH relativeFrom="column">
                  <wp:posOffset>1369695</wp:posOffset>
                </wp:positionH>
                <wp:positionV relativeFrom="paragraph">
                  <wp:posOffset>13335</wp:posOffset>
                </wp:positionV>
                <wp:extent cx="1659890" cy="283845"/>
                <wp:effectExtent l="0" t="0" r="0" b="0"/>
                <wp:wrapNone/>
                <wp:docPr id="40"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59890" cy="283845"/>
                        </a:xfrm>
                        <a:prstGeom prst="bentConnector3">
                          <a:avLst>
                            <a:gd name="adj1" fmla="val -731"/>
                          </a:avLst>
                        </a:prstGeom>
                        <a:noFill/>
                        <a:ln w="2540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9FA78A" id="AutoShape 4" o:spid="_x0000_s1026" type="#_x0000_t34" style="position:absolute;margin-left:107.85pt;margin-top:1.05pt;width:130.7pt;height:22.35pt;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" adj="-158" strokeweight="2pt">
                <v:stroke endarrow="block"/>
              </v:shape>
            </w:pict>
          </mc:Fallback>
        </mc:AlternateContent>
      </w:r>
    </w:p>
    <w:p w:rsidR="002E4B5F" w:rsidRPr="00DA65AA" w:rsidRDefault="002E4B5F" w:rsidP="002E4B5F">
      <w:pPr>
        <w:rPr>
          <w:rFonts w:ascii="Arial Narrow" w:hAnsi="Arial Narrow" w:cs="Arial"/>
        </w:rPr>
      </w:pPr>
    </w:p>
    <w:p w:rsidR="002E4B5F" w:rsidRPr="00DA65AA" w:rsidRDefault="00282A5C" w:rsidP="002E4B5F">
      <w:pPr>
        <w:rPr>
          <w:rFonts w:ascii="Arial Narrow" w:hAnsi="Arial Narrow" w:cs="Arial"/>
        </w:rPr>
      </w:pPr>
      <w:r w:rsidRPr="00DA65AA">
        <w:rPr>
          <w:rFonts w:ascii="Arial Narrow" w:hAnsi="Arial Narrow"/>
          <w:noProof/>
          <w:lang w:val="en-US" w:eastAsia="en-US"/>
        </w:rPr>
        <mc:AlternateContent>
          <mc:Choice Requires="wps">
            <w:drawing>
              <wp:anchor distT="0" distB="0" distL="114300" distR="114300" simplePos="0" relativeHeight="251673600" behindDoc="0" locked="0" layoutInCell="1" allowOverlap="1">
                <wp:simplePos x="0" y="0"/>
                <wp:positionH relativeFrom="column">
                  <wp:posOffset>403860</wp:posOffset>
                </wp:positionH>
                <wp:positionV relativeFrom="paragraph">
                  <wp:posOffset>36195</wp:posOffset>
                </wp:positionV>
                <wp:extent cx="2354580" cy="724535"/>
                <wp:effectExtent l="0" t="0" r="26670" b="18415"/>
                <wp:wrapNone/>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4580" cy="724535"/>
                        </a:xfrm>
                        <a:prstGeom prst="rect">
                          <a:avLst/>
                        </a:prstGeom>
                        <a:solidFill>
                          <a:srgbClr val="FFFFFF"/>
                        </a:solidFill>
                        <a:ln w="9525">
                          <a:solidFill>
                            <a:srgbClr val="000000"/>
                          </a:solidFill>
                          <a:miter lim="800000"/>
                          <a:headEnd/>
                          <a:tailEnd/>
                        </a:ln>
                      </wps:spPr>
                      <wps:txbx>
                        <w:txbxContent>
                          <w:p w:rsidR="00954628" w:rsidRPr="002E4B5F" w:rsidRDefault="00954628" w:rsidP="00C408EF">
                            <w:pPr>
                              <w:pStyle w:val="Prrafodelista"/>
                              <w:numPr>
                                <w:ilvl w:val="0"/>
                                <w:numId w:val="23"/>
                              </w:numPr>
                              <w:ind w:left="426"/>
                              <w:jc w:val="center"/>
                              <w:rPr>
                                <w:rFonts w:ascii="Arial Narrow" w:hAnsi="Arial Narrow"/>
                                <w:sz w:val="24"/>
                              </w:rPr>
                            </w:pPr>
                            <w:r w:rsidRPr="002E4B5F">
                              <w:rPr>
                                <w:rFonts w:ascii="Arial Narrow" w:hAnsi="Arial Narrow"/>
                                <w:sz w:val="24"/>
                              </w:rPr>
                              <w:t>Establece límites.</w:t>
                            </w:r>
                          </w:p>
                          <w:p w:rsidR="00954628" w:rsidRPr="002E4B5F" w:rsidRDefault="00954628" w:rsidP="002E4B5F">
                            <w:pPr>
                              <w:ind w:left="426"/>
                              <w:rPr>
                                <w:rFonts w:ascii="Arial Narrow" w:hAnsi="Arial Narrow"/>
                                <w:b/>
                                <w:sz w:val="24"/>
                              </w:rPr>
                            </w:pPr>
                            <w:r w:rsidRPr="002E4B5F">
                              <w:rPr>
                                <w:rFonts w:ascii="Arial Narrow" w:hAnsi="Arial Narrow"/>
                                <w:b/>
                                <w:sz w:val="24"/>
                              </w:rPr>
                              <w:t>Subdirección de Riesgo</w:t>
                            </w:r>
                          </w:p>
                          <w:p w:rsidR="00954628" w:rsidRPr="002E4B5F" w:rsidRDefault="00954628" w:rsidP="002E4B5F">
                            <w:pPr>
                              <w:jc w:val="center"/>
                              <w:rPr>
                                <w:rFonts w:ascii="Arial Narrow" w:hAnsi="Arial Narrow"/>
                                <w:sz w:val="24"/>
                              </w:rPr>
                            </w:pPr>
                            <w:r w:rsidRPr="002E4B5F">
                              <w:rPr>
                                <w:rFonts w:ascii="Arial Narrow" w:hAnsi="Arial Narrow"/>
                                <w:sz w:val="24"/>
                              </w:rPr>
                              <w:t>(5) Monitoreo de los límites de Riesgo.</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2" type="#_x0000_t202" style="position:absolute;margin-left:31.8pt;margin-top:2.85pt;width:185.4pt;height:57.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">
                <v:textbox>
                  <w:txbxContent>
                    <w:p w:rsidR="00954628" w:rsidRPr="002E4B5F" w:rsidRDefault="00954628" w:rsidP="00C408EF">
                      <w:pPr>
                        <w:pStyle w:val="Prrafodelista"/>
                        <w:numPr>
                          <w:ilvl w:val="0"/>
                          <w:numId w:val="23"/>
                        </w:numPr>
                        <w:ind w:left="426"/>
                        <w:jc w:val="center"/>
                        <w:rPr>
                          <w:rFonts w:ascii="Arial Narrow" w:hAnsi="Arial Narrow"/>
                          <w:sz w:val="24"/>
                        </w:rPr>
                      </w:pPr>
                      <w:r w:rsidRPr="002E4B5F">
                        <w:rPr>
                          <w:rFonts w:ascii="Arial Narrow" w:hAnsi="Arial Narrow"/>
                          <w:sz w:val="24"/>
                        </w:rPr>
                        <w:t>Establece límites.</w:t>
                      </w:r>
                    </w:p>
                    <w:p w:rsidR="00954628" w:rsidRPr="002E4B5F" w:rsidRDefault="00954628" w:rsidP="002E4B5F">
                      <w:pPr>
                        <w:ind w:left="426"/>
                        <w:rPr>
                          <w:rFonts w:ascii="Arial Narrow" w:hAnsi="Arial Narrow"/>
                          <w:b/>
                          <w:sz w:val="24"/>
                        </w:rPr>
                      </w:pPr>
                      <w:r w:rsidRPr="002E4B5F">
                        <w:rPr>
                          <w:rFonts w:ascii="Arial Narrow" w:hAnsi="Arial Narrow"/>
                          <w:b/>
                          <w:sz w:val="24"/>
                        </w:rPr>
                        <w:t>Subdirección de Riesgo</w:t>
                      </w:r>
                    </w:p>
                    <w:p w:rsidR="00954628" w:rsidRPr="002E4B5F" w:rsidRDefault="00954628" w:rsidP="002E4B5F">
                      <w:pPr>
                        <w:jc w:val="center"/>
                        <w:rPr>
                          <w:rFonts w:ascii="Arial Narrow" w:hAnsi="Arial Narrow"/>
                          <w:sz w:val="24"/>
                        </w:rPr>
                      </w:pPr>
                      <w:r w:rsidRPr="002E4B5F">
                        <w:rPr>
                          <w:rFonts w:ascii="Arial Narrow" w:hAnsi="Arial Narrow"/>
                          <w:sz w:val="24"/>
                        </w:rPr>
                        <w:t>(5) Monitoreo de los límites de Riesgo.</w:t>
                      </w:r>
                    </w:p>
                  </w:txbxContent>
                </v:textbox>
              </v:shape>
            </w:pict>
          </mc:Fallback>
        </mc:AlternateContent>
      </w:r>
    </w:p>
    <w:p w:rsidR="002E4B5F" w:rsidRPr="00DA65AA" w:rsidRDefault="00282A5C" w:rsidP="002E4B5F">
      <w:pPr>
        <w:rPr>
          <w:rFonts w:ascii="Arial Narrow" w:hAnsi="Arial Narrow" w:cs="Arial"/>
        </w:rPr>
      </w:pPr>
      <w:r w:rsidRPr="00DA65AA">
        <w:rPr>
          <w:rFonts w:ascii="Arial Narrow" w:hAnsi="Arial Narrow"/>
          <w:noProof/>
          <w:lang w:val="en-US" w:eastAsia="en-US"/>
        </w:rPr>
        <mc:AlternateContent>
          <mc:Choice Requires="wps">
            <w:drawing>
              <wp:anchor distT="0" distB="0" distL="114300" distR="114300" simplePos="0" relativeHeight="251676672" behindDoc="0" locked="0" layoutInCell="1" allowOverlap="1">
                <wp:simplePos x="0" y="0"/>
                <wp:positionH relativeFrom="column">
                  <wp:posOffset>3540125</wp:posOffset>
                </wp:positionH>
                <wp:positionV relativeFrom="paragraph">
                  <wp:posOffset>345440</wp:posOffset>
                </wp:positionV>
                <wp:extent cx="575945" cy="635"/>
                <wp:effectExtent l="0" t="0" r="0" b="0"/>
                <wp:wrapNone/>
                <wp:docPr id="38"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575945" cy="635"/>
                        </a:xfrm>
                        <a:prstGeom prst="bentConnector3">
                          <a:avLst>
                            <a:gd name="adj1" fmla="val 49949"/>
                          </a:avLst>
                        </a:prstGeom>
                        <a:noFill/>
                        <a:ln w="2540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209BDE" id="AutoShape 5" o:spid="_x0000_s1026" type="#_x0000_t34" style="position:absolute;margin-left:278.75pt;margin-top:27.2pt;width:45.35pt;height:.05pt;rotation:9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" adj="10789" strokeweight="2pt">
                <v:stroke endarrow="block"/>
              </v:shape>
            </w:pict>
          </mc:Fallback>
        </mc:AlternateContent>
      </w:r>
    </w:p>
    <w:p w:rsidR="002E4B5F" w:rsidRPr="00DA65AA" w:rsidRDefault="00282A5C" w:rsidP="002E4B5F">
      <w:pPr>
        <w:rPr>
          <w:rFonts w:ascii="Arial Narrow" w:hAnsi="Arial Narrow" w:cs="Arial"/>
        </w:rPr>
      </w:pPr>
      <w:r w:rsidRPr="00DA65AA">
        <w:rPr>
          <w:rFonts w:ascii="Arial Narrow" w:hAnsi="Arial Narrow"/>
          <w:noProof/>
          <w:lang w:val="en-US" w:eastAsia="en-US"/>
        </w:rPr>
        <mc:AlternateContent>
          <mc:Choice Requires="wps">
            <w:drawing>
              <wp:anchor distT="0" distB="0" distL="114300" distR="114300" simplePos="0" relativeHeight="251677696" behindDoc="0" locked="0" layoutInCell="1" allowOverlap="1">
                <wp:simplePos x="0" y="0"/>
                <wp:positionH relativeFrom="column">
                  <wp:posOffset>3870325</wp:posOffset>
                </wp:positionH>
                <wp:positionV relativeFrom="paragraph">
                  <wp:posOffset>53975</wp:posOffset>
                </wp:positionV>
                <wp:extent cx="1197610" cy="259080"/>
                <wp:effectExtent l="0" t="0" r="0" b="7620"/>
                <wp:wrapNone/>
                <wp:docPr id="3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761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54628" w:rsidRPr="00142FEF" w:rsidRDefault="00954628" w:rsidP="00C40F45">
                            <w:pPr>
                              <w:rPr>
                                <w:rFonts w:ascii="Arial Narrow" w:hAnsi="Arial Narrow"/>
                                <w:szCs w:val="22"/>
                              </w:rPr>
                            </w:pPr>
                            <w:r w:rsidRPr="00142FEF">
                              <w:rPr>
                                <w:rFonts w:ascii="Arial Narrow" w:hAnsi="Arial Narrow"/>
                                <w:szCs w:val="22"/>
                              </w:rPr>
                              <w:t>Operaciones realizadas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 o:spid="_x0000_s1033" type="#_x0000_t202" style="position:absolute;margin-left:304.75pt;margin-top:4.25pt;width:94.3pt;height:20.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" filled="f" stroked="f">
                <v:textbox>
                  <w:txbxContent>
                    <w:p w:rsidR="00954628" w:rsidRPr="00142FEF" w:rsidRDefault="00954628" w:rsidP="00C40F45">
                      <w:pPr>
                        <w:rPr>
                          <w:rFonts w:ascii="Arial Narrow" w:hAnsi="Arial Narrow"/>
                          <w:szCs w:val="22"/>
                        </w:rPr>
                      </w:pPr>
                      <w:r w:rsidRPr="00142FEF">
                        <w:rPr>
                          <w:rFonts w:ascii="Arial Narrow" w:hAnsi="Arial Narrow"/>
                          <w:szCs w:val="22"/>
                        </w:rPr>
                        <w:t>Operaciones realizadas</w:t>
                      </w:r>
                    </w:p>
                  </w:txbxContent>
                </v:textbox>
              </v:shape>
            </w:pict>
          </mc:Fallback>
        </mc:AlternateContent>
      </w:r>
    </w:p>
    <w:p w:rsidR="002E4B5F" w:rsidRPr="00DA65AA" w:rsidRDefault="002E4B5F" w:rsidP="002E4B5F">
      <w:pPr>
        <w:rPr>
          <w:rFonts w:ascii="Arial Narrow" w:hAnsi="Arial Narrow" w:cs="Arial"/>
        </w:rPr>
      </w:pPr>
    </w:p>
    <w:p w:rsidR="002E4B5F" w:rsidRPr="00DA65AA" w:rsidRDefault="002E4B5F" w:rsidP="002E4B5F">
      <w:pPr>
        <w:rPr>
          <w:rFonts w:ascii="Arial Narrow" w:hAnsi="Arial Narrow" w:cs="Arial"/>
        </w:rPr>
      </w:pPr>
    </w:p>
    <w:p w:rsidR="002E4B5F" w:rsidRPr="00DA65AA" w:rsidRDefault="00282A5C" w:rsidP="002E4B5F">
      <w:pPr>
        <w:rPr>
          <w:rFonts w:ascii="Arial Narrow" w:hAnsi="Arial Narrow" w:cs="Arial"/>
        </w:rPr>
      </w:pPr>
      <w:r w:rsidRPr="00DA65AA">
        <w:rPr>
          <w:rFonts w:ascii="Arial Narrow" w:hAnsi="Arial Narrow"/>
          <w:noProof/>
          <w:lang w:val="en-US" w:eastAsia="en-US"/>
        </w:rPr>
        <mc:AlternateContent>
          <mc:Choice Requires="wps">
            <w:drawing>
              <wp:anchor distT="0" distB="0" distL="114300" distR="114300" simplePos="0" relativeHeight="251678720" behindDoc="0" locked="0" layoutInCell="1" allowOverlap="1">
                <wp:simplePos x="0" y="0"/>
                <wp:positionH relativeFrom="column">
                  <wp:posOffset>3029585</wp:posOffset>
                </wp:positionH>
                <wp:positionV relativeFrom="paragraph">
                  <wp:posOffset>56515</wp:posOffset>
                </wp:positionV>
                <wp:extent cx="2541270" cy="747395"/>
                <wp:effectExtent l="0" t="0" r="11430" b="14605"/>
                <wp:wrapNone/>
                <wp:docPr id="3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1270" cy="747395"/>
                        </a:xfrm>
                        <a:prstGeom prst="rect">
                          <a:avLst/>
                        </a:prstGeom>
                        <a:solidFill>
                          <a:srgbClr val="FFFFFF"/>
                        </a:solidFill>
                        <a:ln w="9525">
                          <a:solidFill>
                            <a:srgbClr val="000000"/>
                          </a:solidFill>
                          <a:miter lim="800000"/>
                          <a:headEnd/>
                          <a:tailEnd/>
                        </a:ln>
                      </wps:spPr>
                      <wps:txbx>
                        <w:txbxContent>
                          <w:p w:rsidR="00954628" w:rsidRPr="002E4B5F" w:rsidRDefault="00954628" w:rsidP="002E4B5F">
                            <w:pPr>
                              <w:jc w:val="center"/>
                              <w:rPr>
                                <w:rFonts w:ascii="Arial Narrow" w:hAnsi="Arial Narrow"/>
                                <w:sz w:val="22"/>
                              </w:rPr>
                            </w:pPr>
                            <w:r w:rsidRPr="002E4B5F">
                              <w:rPr>
                                <w:rFonts w:ascii="Arial Narrow" w:hAnsi="Arial Narrow"/>
                                <w:b/>
                                <w:sz w:val="22"/>
                              </w:rPr>
                              <w:t>Subdirección de Operaciones</w:t>
                            </w:r>
                            <w:r w:rsidRPr="002E4B5F">
                              <w:rPr>
                                <w:rFonts w:ascii="Arial Narrow" w:hAnsi="Arial Narrow"/>
                                <w:sz w:val="22"/>
                              </w:rPr>
                              <w:t xml:space="preserve"> </w:t>
                            </w:r>
                          </w:p>
                          <w:p w:rsidR="00954628" w:rsidRPr="002E4B5F" w:rsidRDefault="00954628" w:rsidP="002E4B5F">
                            <w:pPr>
                              <w:jc w:val="center"/>
                              <w:rPr>
                                <w:rFonts w:ascii="Arial Narrow" w:hAnsi="Arial Narrow"/>
                                <w:sz w:val="22"/>
                              </w:rPr>
                            </w:pPr>
                            <w:r w:rsidRPr="002E4B5F">
                              <w:rPr>
                                <w:rFonts w:ascii="Arial Narrow" w:hAnsi="Arial Narrow"/>
                                <w:sz w:val="22"/>
                              </w:rPr>
                              <w:t>(3) Complementan y cumplen las operaciones.</w:t>
                            </w:r>
                          </w:p>
                          <w:p w:rsidR="00954628" w:rsidRPr="002E4B5F" w:rsidRDefault="00954628" w:rsidP="002E4B5F">
                            <w:pPr>
                              <w:jc w:val="center"/>
                              <w:rPr>
                                <w:rFonts w:ascii="Arial Narrow" w:hAnsi="Arial Narrow"/>
                                <w:sz w:val="22"/>
                              </w:rPr>
                            </w:pPr>
                            <w:r w:rsidRPr="002E4B5F">
                              <w:rPr>
                                <w:rFonts w:ascii="Arial Narrow" w:hAnsi="Arial Narrow"/>
                                <w:sz w:val="22"/>
                              </w:rPr>
                              <w:t>(4) Valoración y Cierre Contable del Portafolio</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4" type="#_x0000_t202" style="position:absolute;margin-left:238.55pt;margin-top:4.45pt;width:200.1pt;height:58.8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">
                <v:textbox>
                  <w:txbxContent>
                    <w:p w:rsidR="00954628" w:rsidRPr="002E4B5F" w:rsidRDefault="00954628" w:rsidP="002E4B5F">
                      <w:pPr>
                        <w:jc w:val="center"/>
                        <w:rPr>
                          <w:rFonts w:ascii="Arial Narrow" w:hAnsi="Arial Narrow"/>
                          <w:sz w:val="22"/>
                        </w:rPr>
                      </w:pPr>
                      <w:r w:rsidRPr="002E4B5F">
                        <w:rPr>
                          <w:rFonts w:ascii="Arial Narrow" w:hAnsi="Arial Narrow"/>
                          <w:b/>
                          <w:sz w:val="22"/>
                        </w:rPr>
                        <w:t>Subdirección de Operaciones</w:t>
                      </w:r>
                      <w:r w:rsidRPr="002E4B5F">
                        <w:rPr>
                          <w:rFonts w:ascii="Arial Narrow" w:hAnsi="Arial Narrow"/>
                          <w:sz w:val="22"/>
                        </w:rPr>
                        <w:t xml:space="preserve"> </w:t>
                      </w:r>
                    </w:p>
                    <w:p w:rsidR="00954628" w:rsidRPr="002E4B5F" w:rsidRDefault="00954628" w:rsidP="002E4B5F">
                      <w:pPr>
                        <w:jc w:val="center"/>
                        <w:rPr>
                          <w:rFonts w:ascii="Arial Narrow" w:hAnsi="Arial Narrow"/>
                          <w:sz w:val="22"/>
                        </w:rPr>
                      </w:pPr>
                      <w:r w:rsidRPr="002E4B5F">
                        <w:rPr>
                          <w:rFonts w:ascii="Arial Narrow" w:hAnsi="Arial Narrow"/>
                          <w:sz w:val="22"/>
                        </w:rPr>
                        <w:t>(3) Complementan y cumplen las operaciones.</w:t>
                      </w:r>
                    </w:p>
                    <w:p w:rsidR="00954628" w:rsidRPr="002E4B5F" w:rsidRDefault="00954628" w:rsidP="002E4B5F">
                      <w:pPr>
                        <w:jc w:val="center"/>
                        <w:rPr>
                          <w:rFonts w:ascii="Arial Narrow" w:hAnsi="Arial Narrow"/>
                          <w:sz w:val="22"/>
                        </w:rPr>
                      </w:pPr>
                      <w:r w:rsidRPr="002E4B5F">
                        <w:rPr>
                          <w:rFonts w:ascii="Arial Narrow" w:hAnsi="Arial Narrow"/>
                          <w:sz w:val="22"/>
                        </w:rPr>
                        <w:t>(4) Valoración y Cierre Contable del Portafolio</w:t>
                      </w:r>
                    </w:p>
                  </w:txbxContent>
                </v:textbox>
              </v:shape>
            </w:pict>
          </mc:Fallback>
        </mc:AlternateContent>
      </w:r>
      <w:r w:rsidRPr="00DA65AA">
        <w:rPr>
          <w:rFonts w:ascii="Arial Narrow" w:hAnsi="Arial Narrow"/>
          <w:noProof/>
          <w:lang w:val="en-US" w:eastAsia="en-US"/>
        </w:rPr>
        <mc:AlternateContent>
          <mc:Choice Requires="wps">
            <w:drawing>
              <wp:anchor distT="0" distB="0" distL="114300" distR="114300" simplePos="0" relativeHeight="251679744" behindDoc="0" locked="0" layoutInCell="1" allowOverlap="1">
                <wp:simplePos x="0" y="0"/>
                <wp:positionH relativeFrom="column">
                  <wp:posOffset>1367155</wp:posOffset>
                </wp:positionH>
                <wp:positionV relativeFrom="paragraph">
                  <wp:posOffset>41910</wp:posOffset>
                </wp:positionV>
                <wp:extent cx="1659890" cy="396240"/>
                <wp:effectExtent l="0" t="0" r="0" b="0"/>
                <wp:wrapNone/>
                <wp:docPr id="35"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a:off x="0" y="0"/>
                          <a:ext cx="1659890" cy="396240"/>
                        </a:xfrm>
                        <a:prstGeom prst="bentConnector3">
                          <a:avLst>
                            <a:gd name="adj1" fmla="val 100417"/>
                          </a:avLst>
                        </a:prstGeom>
                        <a:noFill/>
                        <a:ln w="2540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5BD738" id="AutoShape 8" o:spid="_x0000_s1026" type="#_x0000_t34" style="position:absolute;margin-left:107.65pt;margin-top:3.3pt;width:130.7pt;height:31.2pt;rotation:18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" adj="21690" strokeweight="2pt">
                <v:stroke endarrow="block"/>
              </v:shape>
            </w:pict>
          </mc:Fallback>
        </mc:AlternateContent>
      </w:r>
      <w:r w:rsidRPr="00DA65AA">
        <w:rPr>
          <w:rFonts w:ascii="Arial Narrow" w:hAnsi="Arial Narrow"/>
          <w:noProof/>
          <w:lang w:val="en-US" w:eastAsia="en-US"/>
        </w:rPr>
        <mc:AlternateContent>
          <mc:Choice Requires="wps">
            <w:drawing>
              <wp:anchor distT="0" distB="0" distL="114300" distR="114300" simplePos="0" relativeHeight="251681792" behindDoc="0" locked="0" layoutInCell="1" allowOverlap="1">
                <wp:simplePos x="0" y="0"/>
                <wp:positionH relativeFrom="column">
                  <wp:posOffset>187325</wp:posOffset>
                </wp:positionH>
                <wp:positionV relativeFrom="paragraph">
                  <wp:posOffset>496570</wp:posOffset>
                </wp:positionV>
                <wp:extent cx="935990" cy="635"/>
                <wp:effectExtent l="0" t="0" r="0" b="0"/>
                <wp:wrapNone/>
                <wp:docPr id="34"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935990" cy="635"/>
                        </a:xfrm>
                        <a:prstGeom prst="bentConnector3">
                          <a:avLst>
                            <a:gd name="adj1" fmla="val 50000"/>
                          </a:avLst>
                        </a:prstGeom>
                        <a:noFill/>
                        <a:ln w="2540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F32E56" id="AutoShape 10" o:spid="_x0000_s1026" type="#_x0000_t34" style="position:absolute;margin-left:14.75pt;margin-top:39.1pt;width:73.7pt;height:.05pt;rotation:9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" strokeweight="2pt">
                <v:stroke endarrow="block"/>
              </v:shape>
            </w:pict>
          </mc:Fallback>
        </mc:AlternateContent>
      </w:r>
    </w:p>
    <w:p w:rsidR="002E4B5F" w:rsidRPr="00DA65AA" w:rsidRDefault="002E4B5F" w:rsidP="002E4B5F">
      <w:pPr>
        <w:rPr>
          <w:rFonts w:ascii="Arial Narrow" w:hAnsi="Arial Narrow" w:cs="Arial"/>
        </w:rPr>
      </w:pPr>
    </w:p>
    <w:p w:rsidR="002E4B5F" w:rsidRPr="00DA65AA" w:rsidRDefault="002E4B5F" w:rsidP="002E4B5F">
      <w:pPr>
        <w:rPr>
          <w:rFonts w:ascii="Arial Narrow" w:hAnsi="Arial Narrow" w:cs="Arial"/>
        </w:rPr>
      </w:pPr>
    </w:p>
    <w:p w:rsidR="002E4B5F" w:rsidRPr="00DA65AA" w:rsidRDefault="00282A5C" w:rsidP="002E4B5F">
      <w:pPr>
        <w:rPr>
          <w:rFonts w:ascii="Arial Narrow" w:hAnsi="Arial Narrow" w:cs="Arial"/>
        </w:rPr>
      </w:pPr>
      <w:r w:rsidRPr="00DA65AA">
        <w:rPr>
          <w:rFonts w:ascii="Arial Narrow" w:hAnsi="Arial Narrow"/>
          <w:noProof/>
          <w:lang w:val="en-US" w:eastAsia="en-US"/>
        </w:rPr>
        <mc:AlternateContent>
          <mc:Choice Requires="wps">
            <w:drawing>
              <wp:anchor distT="0" distB="0" distL="114300" distR="114300" simplePos="0" relativeHeight="251682816" behindDoc="0" locked="0" layoutInCell="1" allowOverlap="1">
                <wp:simplePos x="0" y="0"/>
                <wp:positionH relativeFrom="column">
                  <wp:posOffset>654685</wp:posOffset>
                </wp:positionH>
                <wp:positionV relativeFrom="paragraph">
                  <wp:posOffset>128905</wp:posOffset>
                </wp:positionV>
                <wp:extent cx="1619885" cy="398145"/>
                <wp:effectExtent l="0" t="0" r="0" b="0"/>
                <wp:wrapNone/>
                <wp:docPr id="3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885" cy="398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54628" w:rsidRPr="00142FEF" w:rsidRDefault="00954628" w:rsidP="002E4B5F">
                            <w:pPr>
                              <w:rPr>
                                <w:rFonts w:ascii="Arial Narrow" w:hAnsi="Arial Narrow"/>
                                <w:szCs w:val="22"/>
                              </w:rPr>
                            </w:pPr>
                            <w:r w:rsidRPr="00142FEF">
                              <w:rPr>
                                <w:rFonts w:ascii="Arial Narrow" w:hAnsi="Arial Narrow"/>
                                <w:szCs w:val="22"/>
                              </w:rPr>
                              <w:t>Análisis de Riesgo, Reporte de monitoreo de Controles y límites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 o:spid="_x0000_s1035" type="#_x0000_t202" style="position:absolute;margin-left:51.55pt;margin-top:10.15pt;width:127.55pt;height:31.3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" filled="f" stroked="f">
                <v:textbox>
                  <w:txbxContent>
                    <w:p w:rsidR="00954628" w:rsidRPr="00142FEF" w:rsidRDefault="00954628" w:rsidP="002E4B5F">
                      <w:pPr>
                        <w:rPr>
                          <w:rFonts w:ascii="Arial Narrow" w:hAnsi="Arial Narrow"/>
                          <w:szCs w:val="22"/>
                        </w:rPr>
                      </w:pPr>
                      <w:r w:rsidRPr="00142FEF">
                        <w:rPr>
                          <w:rFonts w:ascii="Arial Narrow" w:hAnsi="Arial Narrow"/>
                          <w:szCs w:val="22"/>
                        </w:rPr>
                        <w:t>Análisis de Riesgo, Reporte de monitoreo de Controles y límites</w:t>
                      </w:r>
                    </w:p>
                  </w:txbxContent>
                </v:textbox>
              </v:shape>
            </w:pict>
          </mc:Fallback>
        </mc:AlternateContent>
      </w:r>
    </w:p>
    <w:p w:rsidR="002E4B5F" w:rsidRPr="00DA65AA" w:rsidRDefault="002E4B5F" w:rsidP="002E4B5F">
      <w:pPr>
        <w:rPr>
          <w:rFonts w:ascii="Arial Narrow" w:hAnsi="Arial Narrow" w:cs="Arial"/>
        </w:rPr>
      </w:pPr>
    </w:p>
    <w:p w:rsidR="002E4B5F" w:rsidRPr="00DA65AA" w:rsidRDefault="002E4B5F" w:rsidP="002E4B5F">
      <w:pPr>
        <w:rPr>
          <w:rFonts w:ascii="Arial Narrow" w:hAnsi="Arial Narrow" w:cs="Arial"/>
        </w:rPr>
      </w:pPr>
    </w:p>
    <w:p w:rsidR="002E4B5F" w:rsidRPr="00DA65AA" w:rsidRDefault="00282A5C" w:rsidP="002E4B5F">
      <w:pPr>
        <w:rPr>
          <w:rFonts w:ascii="Arial Narrow" w:hAnsi="Arial Narrow" w:cs="Arial"/>
        </w:rPr>
      </w:pPr>
      <w:r w:rsidRPr="00DA65AA">
        <w:rPr>
          <w:rFonts w:ascii="Arial Narrow" w:hAnsi="Arial Narrow"/>
          <w:noProof/>
          <w:lang w:val="en-US" w:eastAsia="en-US"/>
        </w:rPr>
        <mc:AlternateContent>
          <mc:Choice Requires="wps">
            <w:drawing>
              <wp:anchor distT="0" distB="0" distL="114300" distR="114300" simplePos="0" relativeHeight="251680768" behindDoc="0" locked="0" layoutInCell="1" allowOverlap="1">
                <wp:simplePos x="0" y="0"/>
                <wp:positionH relativeFrom="column">
                  <wp:posOffset>49530</wp:posOffset>
                </wp:positionH>
                <wp:positionV relativeFrom="paragraph">
                  <wp:posOffset>119380</wp:posOffset>
                </wp:positionV>
                <wp:extent cx="2407285" cy="1309370"/>
                <wp:effectExtent l="0" t="0" r="12065" b="24130"/>
                <wp:wrapNone/>
                <wp:docPr id="3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7285" cy="1309370"/>
                        </a:xfrm>
                        <a:prstGeom prst="rect">
                          <a:avLst/>
                        </a:prstGeom>
                        <a:solidFill>
                          <a:srgbClr val="FFFFFF"/>
                        </a:solidFill>
                        <a:ln w="9525">
                          <a:solidFill>
                            <a:srgbClr val="000000"/>
                          </a:solidFill>
                          <a:miter lim="800000"/>
                          <a:headEnd/>
                          <a:tailEnd/>
                        </a:ln>
                      </wps:spPr>
                      <wps:txbx>
                        <w:txbxContent>
                          <w:p w:rsidR="00954628" w:rsidRPr="002E4B5F" w:rsidRDefault="00954628" w:rsidP="002E4B5F">
                            <w:pPr>
                              <w:jc w:val="center"/>
                              <w:rPr>
                                <w:rFonts w:ascii="Arial Narrow" w:hAnsi="Arial Narrow"/>
                                <w:b/>
                                <w:sz w:val="24"/>
                                <w:szCs w:val="24"/>
                              </w:rPr>
                            </w:pPr>
                            <w:r>
                              <w:rPr>
                                <w:rFonts w:ascii="Arial Narrow" w:hAnsi="Arial Narrow"/>
                                <w:b/>
                                <w:sz w:val="24"/>
                                <w:szCs w:val="24"/>
                              </w:rPr>
                              <w:t>DGCPTN;</w:t>
                            </w:r>
                            <w:r w:rsidRPr="002E4B5F">
                              <w:rPr>
                                <w:rFonts w:ascii="Arial Narrow" w:hAnsi="Arial Narrow"/>
                                <w:b/>
                                <w:sz w:val="24"/>
                                <w:szCs w:val="24"/>
                              </w:rPr>
                              <w:t xml:space="preserve"> </w:t>
                            </w:r>
                          </w:p>
                          <w:p w:rsidR="00954628" w:rsidRPr="002E4B5F" w:rsidRDefault="00954628" w:rsidP="002E4B5F">
                            <w:pPr>
                              <w:jc w:val="center"/>
                              <w:rPr>
                                <w:rFonts w:ascii="Arial Narrow" w:hAnsi="Arial Narrow"/>
                                <w:b/>
                                <w:sz w:val="24"/>
                                <w:szCs w:val="24"/>
                              </w:rPr>
                            </w:pPr>
                            <w:r w:rsidRPr="002E4B5F">
                              <w:rPr>
                                <w:rFonts w:ascii="Arial Narrow" w:hAnsi="Arial Narrow"/>
                                <w:b/>
                                <w:sz w:val="24"/>
                                <w:szCs w:val="24"/>
                              </w:rPr>
                              <w:t>Subdirección de Tesorería</w:t>
                            </w:r>
                            <w:r>
                              <w:rPr>
                                <w:rFonts w:ascii="Arial Narrow" w:hAnsi="Arial Narrow"/>
                                <w:b/>
                                <w:sz w:val="24"/>
                                <w:szCs w:val="24"/>
                              </w:rPr>
                              <w:t>;</w:t>
                            </w:r>
                          </w:p>
                          <w:p w:rsidR="00954628" w:rsidRPr="002E4B5F" w:rsidRDefault="00954628" w:rsidP="002E4B5F">
                            <w:pPr>
                              <w:jc w:val="center"/>
                              <w:rPr>
                                <w:rFonts w:ascii="Arial Narrow" w:hAnsi="Arial Narrow"/>
                                <w:b/>
                                <w:sz w:val="24"/>
                                <w:szCs w:val="24"/>
                              </w:rPr>
                            </w:pPr>
                            <w:r w:rsidRPr="002E4B5F">
                              <w:rPr>
                                <w:rFonts w:ascii="Arial Narrow" w:hAnsi="Arial Narrow"/>
                                <w:b/>
                                <w:sz w:val="24"/>
                                <w:szCs w:val="24"/>
                              </w:rPr>
                              <w:t>Subdirección de Operaciones</w:t>
                            </w:r>
                          </w:p>
                          <w:p w:rsidR="00954628" w:rsidRPr="002E4B5F" w:rsidRDefault="00954628" w:rsidP="002E4B5F">
                            <w:pPr>
                              <w:jc w:val="center"/>
                              <w:rPr>
                                <w:rFonts w:ascii="Arial Narrow" w:hAnsi="Arial Narrow"/>
                                <w:sz w:val="24"/>
                                <w:szCs w:val="24"/>
                              </w:rPr>
                            </w:pPr>
                            <w:r w:rsidRPr="002E4B5F">
                              <w:rPr>
                                <w:rFonts w:ascii="Arial Narrow" w:hAnsi="Arial Narrow"/>
                                <w:sz w:val="24"/>
                                <w:szCs w:val="24"/>
                              </w:rPr>
                              <w:t>(6) Recibe análisis de riesgo de monitoreo de Controles y límites establecidos en las Políticas.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36" type="#_x0000_t202" style="position:absolute;margin-left:3.9pt;margin-top:9.4pt;width:189.55pt;height:103.1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">
                <v:textbox>
                  <w:txbxContent>
                    <w:p w:rsidR="00954628" w:rsidRPr="002E4B5F" w:rsidRDefault="00954628" w:rsidP="002E4B5F">
                      <w:pPr>
                        <w:jc w:val="center"/>
                        <w:rPr>
                          <w:rFonts w:ascii="Arial Narrow" w:hAnsi="Arial Narrow"/>
                          <w:b/>
                          <w:sz w:val="24"/>
                          <w:szCs w:val="24"/>
                        </w:rPr>
                      </w:pPr>
                      <w:r>
                        <w:rPr>
                          <w:rFonts w:ascii="Arial Narrow" w:hAnsi="Arial Narrow"/>
                          <w:b/>
                          <w:sz w:val="24"/>
                          <w:szCs w:val="24"/>
                        </w:rPr>
                        <w:t>DGCPTN;</w:t>
                      </w:r>
                      <w:r w:rsidRPr="002E4B5F">
                        <w:rPr>
                          <w:rFonts w:ascii="Arial Narrow" w:hAnsi="Arial Narrow"/>
                          <w:b/>
                          <w:sz w:val="24"/>
                          <w:szCs w:val="24"/>
                        </w:rPr>
                        <w:t xml:space="preserve"> </w:t>
                      </w:r>
                    </w:p>
                    <w:p w:rsidR="00954628" w:rsidRPr="002E4B5F" w:rsidRDefault="00954628" w:rsidP="002E4B5F">
                      <w:pPr>
                        <w:jc w:val="center"/>
                        <w:rPr>
                          <w:rFonts w:ascii="Arial Narrow" w:hAnsi="Arial Narrow"/>
                          <w:b/>
                          <w:sz w:val="24"/>
                          <w:szCs w:val="24"/>
                        </w:rPr>
                      </w:pPr>
                      <w:r w:rsidRPr="002E4B5F">
                        <w:rPr>
                          <w:rFonts w:ascii="Arial Narrow" w:hAnsi="Arial Narrow"/>
                          <w:b/>
                          <w:sz w:val="24"/>
                          <w:szCs w:val="24"/>
                        </w:rPr>
                        <w:t>Subdirección de Tesorería</w:t>
                      </w:r>
                      <w:r>
                        <w:rPr>
                          <w:rFonts w:ascii="Arial Narrow" w:hAnsi="Arial Narrow"/>
                          <w:b/>
                          <w:sz w:val="24"/>
                          <w:szCs w:val="24"/>
                        </w:rPr>
                        <w:t>;</w:t>
                      </w:r>
                    </w:p>
                    <w:p w:rsidR="00954628" w:rsidRPr="002E4B5F" w:rsidRDefault="00954628" w:rsidP="002E4B5F">
                      <w:pPr>
                        <w:jc w:val="center"/>
                        <w:rPr>
                          <w:rFonts w:ascii="Arial Narrow" w:hAnsi="Arial Narrow"/>
                          <w:b/>
                          <w:sz w:val="24"/>
                          <w:szCs w:val="24"/>
                        </w:rPr>
                      </w:pPr>
                      <w:r w:rsidRPr="002E4B5F">
                        <w:rPr>
                          <w:rFonts w:ascii="Arial Narrow" w:hAnsi="Arial Narrow"/>
                          <w:b/>
                          <w:sz w:val="24"/>
                          <w:szCs w:val="24"/>
                        </w:rPr>
                        <w:t>Subdirección de Operaciones</w:t>
                      </w:r>
                    </w:p>
                    <w:p w:rsidR="00954628" w:rsidRPr="002E4B5F" w:rsidRDefault="00954628" w:rsidP="002E4B5F">
                      <w:pPr>
                        <w:jc w:val="center"/>
                        <w:rPr>
                          <w:rFonts w:ascii="Arial Narrow" w:hAnsi="Arial Narrow"/>
                          <w:sz w:val="24"/>
                          <w:szCs w:val="24"/>
                        </w:rPr>
                      </w:pPr>
                      <w:r w:rsidRPr="002E4B5F">
                        <w:rPr>
                          <w:rFonts w:ascii="Arial Narrow" w:hAnsi="Arial Narrow"/>
                          <w:sz w:val="24"/>
                          <w:szCs w:val="24"/>
                        </w:rPr>
                        <w:t>(6) Recibe análisis de riesgo de monitoreo de Controles y límites establecidos en las Políticas.</w:t>
                      </w:r>
                    </w:p>
                  </w:txbxContent>
                </v:textbox>
              </v:shape>
            </w:pict>
          </mc:Fallback>
        </mc:AlternateContent>
      </w:r>
    </w:p>
    <w:p w:rsidR="002E4B5F" w:rsidRPr="00DA65AA" w:rsidRDefault="00282A5C" w:rsidP="002E4B5F">
      <w:pPr>
        <w:rPr>
          <w:rFonts w:ascii="Arial Narrow" w:hAnsi="Arial Narrow" w:cs="Arial"/>
        </w:rPr>
      </w:pPr>
      <w:r w:rsidRPr="00DA65AA">
        <w:rPr>
          <w:rFonts w:ascii="Arial Narrow" w:hAnsi="Arial Narrow"/>
          <w:noProof/>
          <w:lang w:val="en-US" w:eastAsia="en-US"/>
        </w:rPr>
        <mc:AlternateContent>
          <mc:Choice Requires="wps">
            <w:drawing>
              <wp:anchor distT="0" distB="0" distL="114300" distR="114300" simplePos="0" relativeHeight="251685888" behindDoc="0" locked="0" layoutInCell="1" allowOverlap="1">
                <wp:simplePos x="0" y="0"/>
                <wp:positionH relativeFrom="column">
                  <wp:posOffset>2452370</wp:posOffset>
                </wp:positionH>
                <wp:positionV relativeFrom="paragraph">
                  <wp:posOffset>139700</wp:posOffset>
                </wp:positionV>
                <wp:extent cx="804545" cy="451485"/>
                <wp:effectExtent l="0" t="0" r="0" b="5715"/>
                <wp:wrapNone/>
                <wp:docPr id="29"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4545" cy="451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54628" w:rsidRPr="00142FEF" w:rsidRDefault="00954628" w:rsidP="002E4B5F">
                            <w:pPr>
                              <w:jc w:val="center"/>
                              <w:rPr>
                                <w:rFonts w:ascii="Arial Narrow" w:hAnsi="Arial Narrow"/>
                                <w:szCs w:val="22"/>
                              </w:rPr>
                            </w:pPr>
                            <w:r w:rsidRPr="00142FEF">
                              <w:rPr>
                                <w:rFonts w:ascii="Arial Narrow" w:hAnsi="Arial Narrow"/>
                                <w:szCs w:val="22"/>
                              </w:rPr>
                              <w:t>Transmite</w:t>
                            </w:r>
                          </w:p>
                          <w:p w:rsidR="00954628" w:rsidRPr="00142FEF" w:rsidRDefault="00954628" w:rsidP="002E4B5F">
                            <w:pPr>
                              <w:jc w:val="center"/>
                              <w:rPr>
                                <w:rFonts w:ascii="Arial Narrow" w:hAnsi="Arial Narrow"/>
                                <w:szCs w:val="22"/>
                              </w:rPr>
                            </w:pPr>
                            <w:r w:rsidRPr="00142FEF">
                              <w:rPr>
                                <w:rFonts w:ascii="Arial Narrow" w:hAnsi="Arial Narrow"/>
                                <w:szCs w:val="22"/>
                              </w:rPr>
                              <w:t>Información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4" o:spid="_x0000_s1037" type="#_x0000_t202" style="position:absolute;margin-left:193.1pt;margin-top:11pt;width:63.35pt;height:35.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" filled="f" stroked="f">
                <v:textbox>
                  <w:txbxContent>
                    <w:p w:rsidR="00954628" w:rsidRPr="00142FEF" w:rsidRDefault="00954628" w:rsidP="002E4B5F">
                      <w:pPr>
                        <w:jc w:val="center"/>
                        <w:rPr>
                          <w:rFonts w:ascii="Arial Narrow" w:hAnsi="Arial Narrow"/>
                          <w:szCs w:val="22"/>
                        </w:rPr>
                      </w:pPr>
                      <w:r w:rsidRPr="00142FEF">
                        <w:rPr>
                          <w:rFonts w:ascii="Arial Narrow" w:hAnsi="Arial Narrow"/>
                          <w:szCs w:val="22"/>
                        </w:rPr>
                        <w:t>Transmite</w:t>
                      </w:r>
                    </w:p>
                    <w:p w:rsidR="00954628" w:rsidRPr="00142FEF" w:rsidRDefault="00954628" w:rsidP="002E4B5F">
                      <w:pPr>
                        <w:jc w:val="center"/>
                        <w:rPr>
                          <w:rFonts w:ascii="Arial Narrow" w:hAnsi="Arial Narrow"/>
                          <w:szCs w:val="22"/>
                        </w:rPr>
                      </w:pPr>
                      <w:r w:rsidRPr="00142FEF">
                        <w:rPr>
                          <w:rFonts w:ascii="Arial Narrow" w:hAnsi="Arial Narrow"/>
                          <w:szCs w:val="22"/>
                        </w:rPr>
                        <w:t>Información</w:t>
                      </w:r>
                    </w:p>
                  </w:txbxContent>
                </v:textbox>
              </v:shape>
            </w:pict>
          </mc:Fallback>
        </mc:AlternateContent>
      </w:r>
      <w:r w:rsidRPr="00DA65AA">
        <w:rPr>
          <w:rFonts w:ascii="Arial Narrow" w:hAnsi="Arial Narrow"/>
          <w:noProof/>
          <w:lang w:val="en-US" w:eastAsia="en-US"/>
        </w:rPr>
        <mc:AlternateContent>
          <mc:Choice Requires="wps">
            <w:drawing>
              <wp:anchor distT="0" distB="0" distL="114300" distR="114300" simplePos="0" relativeHeight="251683840" behindDoc="0" locked="0" layoutInCell="1" allowOverlap="1">
                <wp:simplePos x="0" y="0"/>
                <wp:positionH relativeFrom="column">
                  <wp:posOffset>3275965</wp:posOffset>
                </wp:positionH>
                <wp:positionV relativeFrom="paragraph">
                  <wp:posOffset>86995</wp:posOffset>
                </wp:positionV>
                <wp:extent cx="2289810" cy="1353820"/>
                <wp:effectExtent l="0" t="0" r="15240" b="17780"/>
                <wp:wrapNone/>
                <wp:docPr id="28"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9810" cy="1353820"/>
                        </a:xfrm>
                        <a:prstGeom prst="rect">
                          <a:avLst/>
                        </a:prstGeom>
                        <a:solidFill>
                          <a:srgbClr val="FFFFFF"/>
                        </a:solidFill>
                        <a:ln w="9525">
                          <a:solidFill>
                            <a:srgbClr val="000000"/>
                          </a:solidFill>
                          <a:miter lim="800000"/>
                          <a:headEnd/>
                          <a:tailEnd/>
                        </a:ln>
                      </wps:spPr>
                      <wps:txbx>
                        <w:txbxContent>
                          <w:p w:rsidR="00954628" w:rsidRPr="002E4B5F" w:rsidRDefault="00954628" w:rsidP="002E4B5F">
                            <w:pPr>
                              <w:jc w:val="center"/>
                              <w:rPr>
                                <w:rFonts w:ascii="Arial Narrow" w:hAnsi="Arial Narrow"/>
                                <w:sz w:val="24"/>
                              </w:rPr>
                            </w:pPr>
                            <w:r w:rsidRPr="002E4B5F">
                              <w:rPr>
                                <w:rFonts w:ascii="Arial Narrow" w:hAnsi="Arial Narrow"/>
                                <w:b/>
                                <w:sz w:val="24"/>
                              </w:rPr>
                              <w:t>Reunión de Administración de Riesgo</w:t>
                            </w:r>
                          </w:p>
                          <w:p w:rsidR="00954628" w:rsidRPr="002E4B5F" w:rsidRDefault="00954628" w:rsidP="002E4B5F">
                            <w:pPr>
                              <w:jc w:val="center"/>
                              <w:rPr>
                                <w:rFonts w:ascii="Arial Narrow" w:hAnsi="Arial Narrow"/>
                                <w:sz w:val="24"/>
                              </w:rPr>
                            </w:pPr>
                            <w:r w:rsidRPr="002E4B5F">
                              <w:rPr>
                                <w:rFonts w:ascii="Arial Narrow" w:hAnsi="Arial Narrow"/>
                                <w:sz w:val="24"/>
                              </w:rPr>
                              <w:t>(7) Recibe los reportes de riesgo. Propone recomendaciones y se pronuncia sobre los incumplimientos.</w:t>
                            </w:r>
                          </w:p>
                          <w:p w:rsidR="00954628" w:rsidRPr="002E4B5F" w:rsidRDefault="00954628" w:rsidP="002E4B5F">
                            <w:pPr>
                              <w:jc w:val="center"/>
                              <w:rPr>
                                <w:rFonts w:ascii="Arial Narrow" w:hAnsi="Arial Narrow"/>
                                <w:sz w:val="24"/>
                              </w:rPr>
                            </w:pPr>
                            <w:r w:rsidRPr="002E4B5F">
                              <w:rPr>
                                <w:rFonts w:ascii="Arial Narrow" w:hAnsi="Arial Narrow"/>
                                <w:sz w:val="24"/>
                              </w:rPr>
                              <w:t>Aprueba límites, políticas y metodologías de riesgos.</w:t>
                            </w:r>
                          </w:p>
                          <w:p w:rsidR="00954628" w:rsidRPr="002E4B5F" w:rsidRDefault="00954628" w:rsidP="002E4B5F">
                            <w:pPr>
                              <w:jc w:val="center"/>
                              <w:rPr>
                                <w:rFonts w:ascii="Arial Narrow" w:hAnsi="Arial Narrow"/>
                                <w:sz w:val="24"/>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38" type="#_x0000_t202" style="position:absolute;margin-left:257.95pt;margin-top:6.85pt;width:180.3pt;height:106.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">
                <v:textbox>
                  <w:txbxContent>
                    <w:p w:rsidR="00954628" w:rsidRPr="002E4B5F" w:rsidRDefault="00954628" w:rsidP="002E4B5F">
                      <w:pPr>
                        <w:jc w:val="center"/>
                        <w:rPr>
                          <w:rFonts w:ascii="Arial Narrow" w:hAnsi="Arial Narrow"/>
                          <w:sz w:val="24"/>
                        </w:rPr>
                      </w:pPr>
                      <w:r w:rsidRPr="002E4B5F">
                        <w:rPr>
                          <w:rFonts w:ascii="Arial Narrow" w:hAnsi="Arial Narrow"/>
                          <w:b/>
                          <w:sz w:val="24"/>
                        </w:rPr>
                        <w:t>Reunión de Administración de Riesgo</w:t>
                      </w:r>
                    </w:p>
                    <w:p w:rsidR="00954628" w:rsidRPr="002E4B5F" w:rsidRDefault="00954628" w:rsidP="002E4B5F">
                      <w:pPr>
                        <w:jc w:val="center"/>
                        <w:rPr>
                          <w:rFonts w:ascii="Arial Narrow" w:hAnsi="Arial Narrow"/>
                          <w:sz w:val="24"/>
                        </w:rPr>
                      </w:pPr>
                      <w:r w:rsidRPr="002E4B5F">
                        <w:rPr>
                          <w:rFonts w:ascii="Arial Narrow" w:hAnsi="Arial Narrow"/>
                          <w:sz w:val="24"/>
                        </w:rPr>
                        <w:t>(7) Recibe los reportes de riesgo. Propone recomendaciones y se pronuncia sobre los incumplimientos.</w:t>
                      </w:r>
                    </w:p>
                    <w:p w:rsidR="00954628" w:rsidRPr="002E4B5F" w:rsidRDefault="00954628" w:rsidP="002E4B5F">
                      <w:pPr>
                        <w:jc w:val="center"/>
                        <w:rPr>
                          <w:rFonts w:ascii="Arial Narrow" w:hAnsi="Arial Narrow"/>
                          <w:sz w:val="24"/>
                        </w:rPr>
                      </w:pPr>
                      <w:r w:rsidRPr="002E4B5F">
                        <w:rPr>
                          <w:rFonts w:ascii="Arial Narrow" w:hAnsi="Arial Narrow"/>
                          <w:sz w:val="24"/>
                        </w:rPr>
                        <w:t>Aprueba límites, políticas y metodologías de riesgos.</w:t>
                      </w:r>
                    </w:p>
                    <w:p w:rsidR="00954628" w:rsidRPr="002E4B5F" w:rsidRDefault="00954628" w:rsidP="002E4B5F">
                      <w:pPr>
                        <w:jc w:val="center"/>
                        <w:rPr>
                          <w:rFonts w:ascii="Arial Narrow" w:hAnsi="Arial Narrow"/>
                          <w:sz w:val="24"/>
                        </w:rPr>
                      </w:pPr>
                    </w:p>
                  </w:txbxContent>
                </v:textbox>
              </v:shape>
            </w:pict>
          </mc:Fallback>
        </mc:AlternateContent>
      </w:r>
    </w:p>
    <w:p w:rsidR="002E4B5F" w:rsidRPr="00DA65AA" w:rsidRDefault="002E4B5F" w:rsidP="002E4B5F">
      <w:pPr>
        <w:rPr>
          <w:rFonts w:ascii="Arial Narrow" w:hAnsi="Arial Narrow" w:cs="Arial"/>
        </w:rPr>
      </w:pPr>
    </w:p>
    <w:p w:rsidR="002E4B5F" w:rsidRPr="00DA65AA" w:rsidRDefault="002E4B5F" w:rsidP="002E4B5F">
      <w:pPr>
        <w:rPr>
          <w:rFonts w:ascii="Arial Narrow" w:hAnsi="Arial Narrow" w:cs="Arial"/>
        </w:rPr>
      </w:pPr>
    </w:p>
    <w:p w:rsidR="002E4B5F" w:rsidRPr="00DA65AA" w:rsidRDefault="00282A5C" w:rsidP="002E4B5F">
      <w:pPr>
        <w:rPr>
          <w:rFonts w:ascii="Arial Narrow" w:hAnsi="Arial Narrow" w:cs="Arial"/>
        </w:rPr>
      </w:pPr>
      <w:r w:rsidRPr="00DA65AA">
        <w:rPr>
          <w:rFonts w:ascii="Arial Narrow" w:hAnsi="Arial Narrow"/>
          <w:noProof/>
          <w:lang w:val="en-US" w:eastAsia="en-US"/>
        </w:rPr>
        <mc:AlternateContent>
          <mc:Choice Requires="wps">
            <w:drawing>
              <wp:anchor distT="0" distB="0" distL="114300" distR="114300" simplePos="0" relativeHeight="251684864" behindDoc="0" locked="0" layoutInCell="1" allowOverlap="1">
                <wp:simplePos x="0" y="0"/>
                <wp:positionH relativeFrom="column">
                  <wp:posOffset>2456815</wp:posOffset>
                </wp:positionH>
                <wp:positionV relativeFrom="paragraph">
                  <wp:posOffset>104775</wp:posOffset>
                </wp:positionV>
                <wp:extent cx="828040" cy="635"/>
                <wp:effectExtent l="0" t="76200" r="29210" b="94615"/>
                <wp:wrapNone/>
                <wp:docPr id="26"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8040" cy="635"/>
                        </a:xfrm>
                        <a:prstGeom prst="bentConnector3">
                          <a:avLst>
                            <a:gd name="adj1" fmla="val 50000"/>
                          </a:avLst>
                        </a:prstGeom>
                        <a:noFill/>
                        <a:ln w="2540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5BE799" id="AutoShape 13" o:spid="_x0000_s1026" type="#_x0000_t34" style="position:absolute;margin-left:193.45pt;margin-top:8.25pt;width:65.2pt;height:.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" strokeweight="2pt">
                <v:stroke endarrow="block"/>
              </v:shape>
            </w:pict>
          </mc:Fallback>
        </mc:AlternateContent>
      </w:r>
    </w:p>
    <w:p w:rsidR="002E4B5F" w:rsidRPr="00DA65AA" w:rsidRDefault="002E4B5F" w:rsidP="002E4B5F">
      <w:pPr>
        <w:rPr>
          <w:rFonts w:ascii="Arial Narrow" w:hAnsi="Arial Narrow" w:cs="Arial"/>
        </w:rPr>
      </w:pPr>
    </w:p>
    <w:p w:rsidR="002E4B5F" w:rsidRPr="00DA65AA" w:rsidRDefault="002E4B5F" w:rsidP="002E4B5F">
      <w:pPr>
        <w:rPr>
          <w:rFonts w:ascii="Arial Narrow" w:hAnsi="Arial Narrow" w:cs="Arial"/>
        </w:rPr>
      </w:pPr>
    </w:p>
    <w:p w:rsidR="002E4B5F" w:rsidRPr="00DA65AA" w:rsidRDefault="002E4B5F" w:rsidP="002E4B5F">
      <w:pPr>
        <w:rPr>
          <w:rFonts w:ascii="Arial Narrow" w:hAnsi="Arial Narrow" w:cs="Arial"/>
        </w:rPr>
      </w:pPr>
    </w:p>
    <w:p w:rsidR="002E4B5F" w:rsidRPr="00DA65AA" w:rsidRDefault="002E4B5F" w:rsidP="002E4B5F">
      <w:pPr>
        <w:rPr>
          <w:rFonts w:ascii="Arial Narrow" w:hAnsi="Arial Narrow" w:cs="Arial"/>
        </w:rPr>
      </w:pPr>
    </w:p>
    <w:p w:rsidR="002E4B5F" w:rsidRPr="00DA65AA" w:rsidRDefault="002E4B5F" w:rsidP="002E4B5F">
      <w:pPr>
        <w:rPr>
          <w:rFonts w:ascii="Arial Narrow" w:hAnsi="Arial Narrow" w:cs="Arial"/>
        </w:rPr>
      </w:pPr>
    </w:p>
    <w:p w:rsidR="002E4B5F" w:rsidRPr="00DA65AA" w:rsidRDefault="002E4B5F" w:rsidP="002E4B5F">
      <w:pPr>
        <w:rPr>
          <w:rFonts w:ascii="Arial Narrow" w:hAnsi="Arial Narrow" w:cs="Arial"/>
        </w:rPr>
      </w:pPr>
    </w:p>
    <w:p w:rsidR="002E4B5F" w:rsidRPr="00DA65AA" w:rsidRDefault="002E4B5F" w:rsidP="002E4B5F">
      <w:pPr>
        <w:pStyle w:val="Prrafodelista"/>
        <w:ind w:left="720"/>
        <w:jc w:val="both"/>
        <w:rPr>
          <w:rFonts w:ascii="Arial Narrow" w:hAnsi="Arial Narrow" w:cs="Arial"/>
          <w:sz w:val="24"/>
        </w:rPr>
      </w:pPr>
    </w:p>
    <w:p w:rsidR="00C93704" w:rsidRPr="00DA65AA" w:rsidRDefault="00C93704" w:rsidP="002E4B5F">
      <w:pPr>
        <w:pStyle w:val="Prrafodelista"/>
        <w:ind w:left="720"/>
        <w:jc w:val="both"/>
        <w:rPr>
          <w:rFonts w:ascii="Arial Narrow" w:hAnsi="Arial Narrow" w:cs="Arial"/>
          <w:sz w:val="24"/>
        </w:rPr>
      </w:pPr>
    </w:p>
    <w:p w:rsidR="002E4B5F" w:rsidRPr="00DA65AA" w:rsidRDefault="002E4B5F" w:rsidP="00C408EF">
      <w:pPr>
        <w:pStyle w:val="Prrafodelista"/>
        <w:numPr>
          <w:ilvl w:val="0"/>
          <w:numId w:val="24"/>
        </w:numPr>
        <w:jc w:val="both"/>
        <w:rPr>
          <w:rFonts w:ascii="Arial Narrow" w:hAnsi="Arial Narrow" w:cs="Arial"/>
          <w:sz w:val="24"/>
        </w:rPr>
      </w:pPr>
      <w:r w:rsidRPr="00DA65AA">
        <w:rPr>
          <w:rFonts w:ascii="Arial Narrow" w:hAnsi="Arial Narrow" w:cs="Arial"/>
          <w:sz w:val="24"/>
        </w:rPr>
        <w:t>En la Subdirección de Riesgo se formulan las políticas de inversión y se definen los límites con la respectiva aprobación en la Reunión de Administración de Riesgo y posterior ratificación por parte del Director de Crédito Público y Tesoro Nacional.</w:t>
      </w:r>
    </w:p>
    <w:p w:rsidR="002E4B5F" w:rsidRPr="00DA65AA" w:rsidRDefault="002E4B5F" w:rsidP="002E4B5F">
      <w:pPr>
        <w:pStyle w:val="Prrafodelista"/>
        <w:ind w:left="720"/>
        <w:jc w:val="both"/>
        <w:rPr>
          <w:rFonts w:ascii="Arial Narrow" w:hAnsi="Arial Narrow" w:cs="Arial"/>
          <w:sz w:val="24"/>
        </w:rPr>
      </w:pPr>
    </w:p>
    <w:p w:rsidR="002E4B5F" w:rsidRPr="00DA65AA" w:rsidRDefault="002E4B5F" w:rsidP="00C408EF">
      <w:pPr>
        <w:pStyle w:val="Prrafodelista"/>
        <w:numPr>
          <w:ilvl w:val="0"/>
          <w:numId w:val="24"/>
        </w:numPr>
        <w:jc w:val="both"/>
        <w:rPr>
          <w:rFonts w:ascii="Arial Narrow" w:hAnsi="Arial Narrow" w:cs="Arial"/>
          <w:sz w:val="24"/>
        </w:rPr>
      </w:pPr>
      <w:r w:rsidRPr="00DA65AA">
        <w:rPr>
          <w:rFonts w:ascii="Arial Narrow" w:hAnsi="Arial Narrow" w:cs="Arial"/>
          <w:sz w:val="24"/>
        </w:rPr>
        <w:t>La Subdirección de Tesorería realiza las operaciones a través de los sistemas transaccionales y de registro.</w:t>
      </w:r>
    </w:p>
    <w:p w:rsidR="002E4B5F" w:rsidRPr="00DA65AA" w:rsidRDefault="002E4B5F" w:rsidP="002E4B5F">
      <w:pPr>
        <w:pStyle w:val="Prrafodelista"/>
        <w:jc w:val="both"/>
        <w:rPr>
          <w:rFonts w:ascii="Arial Narrow" w:hAnsi="Arial Narrow" w:cs="Arial"/>
          <w:sz w:val="24"/>
        </w:rPr>
      </w:pPr>
    </w:p>
    <w:p w:rsidR="002E4B5F" w:rsidRPr="00DA65AA" w:rsidRDefault="002E4B5F" w:rsidP="00C408EF">
      <w:pPr>
        <w:pStyle w:val="Prrafodelista"/>
        <w:numPr>
          <w:ilvl w:val="0"/>
          <w:numId w:val="24"/>
        </w:numPr>
        <w:jc w:val="both"/>
        <w:rPr>
          <w:rFonts w:ascii="Arial Narrow" w:hAnsi="Arial Narrow" w:cs="Arial"/>
          <w:sz w:val="24"/>
        </w:rPr>
      </w:pPr>
      <w:r w:rsidRPr="00DA65AA">
        <w:rPr>
          <w:rFonts w:ascii="Arial Narrow" w:hAnsi="Arial Narrow" w:cs="Arial"/>
          <w:sz w:val="24"/>
        </w:rPr>
        <w:t>La Subdirección de Operaciones realiza la complementación y cumplimiento de las operaciones realizadas por la Subdirección de Tesorería.</w:t>
      </w:r>
    </w:p>
    <w:p w:rsidR="002E4B5F" w:rsidRPr="00DA65AA" w:rsidRDefault="002E4B5F" w:rsidP="002E4B5F">
      <w:pPr>
        <w:pStyle w:val="Prrafodelista"/>
        <w:jc w:val="both"/>
        <w:rPr>
          <w:rFonts w:ascii="Arial Narrow" w:hAnsi="Arial Narrow" w:cs="Arial"/>
          <w:sz w:val="24"/>
        </w:rPr>
      </w:pPr>
    </w:p>
    <w:p w:rsidR="002E4B5F" w:rsidRPr="00DA65AA" w:rsidRDefault="002E4B5F" w:rsidP="00C408EF">
      <w:pPr>
        <w:pStyle w:val="Prrafodelista"/>
        <w:numPr>
          <w:ilvl w:val="0"/>
          <w:numId w:val="24"/>
        </w:numPr>
        <w:jc w:val="both"/>
        <w:rPr>
          <w:rFonts w:ascii="Arial Narrow" w:hAnsi="Arial Narrow" w:cs="Arial"/>
          <w:sz w:val="24"/>
        </w:rPr>
      </w:pPr>
      <w:r w:rsidRPr="00DA65AA">
        <w:rPr>
          <w:rFonts w:ascii="Arial Narrow" w:hAnsi="Arial Narrow" w:cs="Arial"/>
          <w:sz w:val="24"/>
        </w:rPr>
        <w:t>Diariamente, la Subdirección de Operaciones realiza la valoración y cierre contable de las operaciones realizadas en la Tesorería.</w:t>
      </w:r>
    </w:p>
    <w:p w:rsidR="002E4B5F" w:rsidRPr="00DA65AA" w:rsidRDefault="002E4B5F" w:rsidP="002E4B5F">
      <w:pPr>
        <w:pStyle w:val="Prrafodelista"/>
        <w:jc w:val="both"/>
        <w:rPr>
          <w:rFonts w:ascii="Arial Narrow" w:hAnsi="Arial Narrow" w:cs="Arial"/>
          <w:sz w:val="24"/>
        </w:rPr>
      </w:pPr>
    </w:p>
    <w:p w:rsidR="002E4B5F" w:rsidRPr="00DA65AA" w:rsidRDefault="002E4B5F" w:rsidP="00C408EF">
      <w:pPr>
        <w:pStyle w:val="Prrafodelista"/>
        <w:numPr>
          <w:ilvl w:val="0"/>
          <w:numId w:val="24"/>
        </w:numPr>
        <w:jc w:val="both"/>
        <w:rPr>
          <w:rFonts w:ascii="Arial Narrow" w:hAnsi="Arial Narrow" w:cs="Arial"/>
          <w:sz w:val="24"/>
        </w:rPr>
      </w:pPr>
      <w:r w:rsidRPr="00DA65AA">
        <w:rPr>
          <w:rFonts w:ascii="Arial Narrow" w:hAnsi="Arial Narrow" w:cs="Arial"/>
          <w:sz w:val="24"/>
        </w:rPr>
        <w:lastRenderedPageBreak/>
        <w:t xml:space="preserve">La Subdirección de Riesgo realiza diariamente el análisis de valoración y riesgo de mercado de los portafolios constituidos para detectar y registrar posibles sobrepasos a los límites y demás incumplimientos a las políticas establecidas. </w:t>
      </w:r>
    </w:p>
    <w:p w:rsidR="002E4B5F" w:rsidRPr="00DA65AA" w:rsidRDefault="002E4B5F" w:rsidP="002E4B5F">
      <w:pPr>
        <w:pStyle w:val="Prrafodelista"/>
        <w:jc w:val="both"/>
        <w:rPr>
          <w:rFonts w:ascii="Arial Narrow" w:hAnsi="Arial Narrow" w:cs="Arial"/>
          <w:sz w:val="24"/>
        </w:rPr>
      </w:pPr>
    </w:p>
    <w:p w:rsidR="002E4B5F" w:rsidRPr="00DA65AA" w:rsidRDefault="002E4B5F" w:rsidP="00C408EF">
      <w:pPr>
        <w:pStyle w:val="Prrafodelista"/>
        <w:numPr>
          <w:ilvl w:val="0"/>
          <w:numId w:val="24"/>
        </w:numPr>
        <w:jc w:val="both"/>
        <w:rPr>
          <w:rFonts w:ascii="Arial Narrow" w:hAnsi="Arial Narrow" w:cs="Arial"/>
          <w:sz w:val="24"/>
        </w:rPr>
      </w:pPr>
      <w:r w:rsidRPr="00DA65AA">
        <w:rPr>
          <w:rFonts w:ascii="Arial Narrow" w:hAnsi="Arial Narrow" w:cs="Arial"/>
          <w:sz w:val="24"/>
        </w:rPr>
        <w:t xml:space="preserve">Los reportes realizados por la Subdirección de Riesgo serán remitidos diariamente al Director General de Crédito Público y Tesoro Nacional y las Subdirecciones de Tesorería y de Operaciones. </w:t>
      </w:r>
    </w:p>
    <w:p w:rsidR="002E4B5F" w:rsidRPr="00DA65AA" w:rsidRDefault="002E4B5F" w:rsidP="002E4B5F">
      <w:pPr>
        <w:pStyle w:val="Prrafodelista"/>
        <w:jc w:val="both"/>
        <w:rPr>
          <w:rFonts w:ascii="Arial Narrow" w:hAnsi="Arial Narrow" w:cs="Arial"/>
          <w:sz w:val="24"/>
        </w:rPr>
      </w:pPr>
    </w:p>
    <w:p w:rsidR="002E4B5F" w:rsidRPr="00DA65AA" w:rsidRDefault="002E4B5F" w:rsidP="00C408EF">
      <w:pPr>
        <w:pStyle w:val="Prrafodelista"/>
        <w:numPr>
          <w:ilvl w:val="0"/>
          <w:numId w:val="24"/>
        </w:numPr>
        <w:jc w:val="both"/>
        <w:rPr>
          <w:rFonts w:ascii="Arial Narrow" w:hAnsi="Arial Narrow"/>
          <w:sz w:val="24"/>
        </w:rPr>
      </w:pPr>
      <w:r w:rsidRPr="00DA65AA">
        <w:rPr>
          <w:rFonts w:ascii="Arial Narrow" w:hAnsi="Arial Narrow" w:cs="Arial"/>
          <w:sz w:val="24"/>
        </w:rPr>
        <w:t xml:space="preserve"> Se presentará un resumen de lo ocurrido con los Lineamientos de Riesgo en la Reunión de Administración de riesgos y con base en esto, se tomarán las medidas necesarias para </w:t>
      </w:r>
      <w:r w:rsidR="003F18DA">
        <w:rPr>
          <w:rFonts w:ascii="Arial Narrow" w:hAnsi="Arial Narrow" w:cs="Arial"/>
          <w:sz w:val="24"/>
        </w:rPr>
        <w:t xml:space="preserve">las </w:t>
      </w:r>
      <w:r w:rsidRPr="00DA65AA">
        <w:rPr>
          <w:rFonts w:ascii="Arial Narrow" w:hAnsi="Arial Narrow" w:cs="Arial"/>
          <w:sz w:val="24"/>
        </w:rPr>
        <w:t>decisiones en la gestión de los riesgos de la DGCPTN.</w:t>
      </w:r>
    </w:p>
    <w:p w:rsidR="002E4B5F" w:rsidRPr="00DA65AA" w:rsidRDefault="002E4B5F" w:rsidP="002E4B5F">
      <w:pPr>
        <w:jc w:val="both"/>
        <w:rPr>
          <w:rFonts w:ascii="Arial Narrow" w:hAnsi="Arial Narrow"/>
          <w:sz w:val="24"/>
        </w:rPr>
      </w:pPr>
    </w:p>
    <w:p w:rsidR="003C686A" w:rsidRPr="00DA65AA" w:rsidRDefault="004F3D11" w:rsidP="00BC5018">
      <w:pPr>
        <w:pStyle w:val="Ttulo3"/>
      </w:pPr>
      <w:bookmarkStart w:id="40" w:name="_Toc4596436"/>
      <w:r w:rsidRPr="00DA65AA">
        <w:t>Reportes de información sobre las operaciones de Tesorería</w:t>
      </w:r>
      <w:bookmarkEnd w:id="40"/>
    </w:p>
    <w:p w:rsidR="004F3D11" w:rsidRPr="00DA65AA" w:rsidRDefault="004F3D11" w:rsidP="004F3D11">
      <w:pPr>
        <w:rPr>
          <w:rFonts w:ascii="Arial Narrow" w:hAnsi="Arial Narrow"/>
        </w:rPr>
      </w:pPr>
    </w:p>
    <w:p w:rsidR="004F3D11" w:rsidRPr="00DA65AA" w:rsidRDefault="004F3D11" w:rsidP="004F3D11">
      <w:pPr>
        <w:pStyle w:val="Prrafodelista"/>
        <w:ind w:left="0"/>
        <w:jc w:val="both"/>
        <w:rPr>
          <w:rFonts w:ascii="Arial Narrow" w:hAnsi="Arial Narrow" w:cs="Arial"/>
          <w:sz w:val="24"/>
          <w:szCs w:val="24"/>
        </w:rPr>
      </w:pPr>
      <w:r w:rsidRPr="00DA65AA">
        <w:rPr>
          <w:rFonts w:ascii="Arial Narrow" w:hAnsi="Arial Narrow" w:cs="Arial"/>
          <w:sz w:val="24"/>
          <w:szCs w:val="24"/>
        </w:rPr>
        <w:t>Los siguientes reportes</w:t>
      </w:r>
      <w:r w:rsidR="003F18DA">
        <w:rPr>
          <w:rFonts w:ascii="Arial Narrow" w:hAnsi="Arial Narrow" w:cs="Arial"/>
          <w:sz w:val="24"/>
          <w:szCs w:val="24"/>
        </w:rPr>
        <w:t xml:space="preserve"> son</w:t>
      </w:r>
      <w:r w:rsidR="00475830">
        <w:rPr>
          <w:rFonts w:ascii="Arial Narrow" w:hAnsi="Arial Narrow" w:cs="Arial"/>
          <w:sz w:val="24"/>
          <w:szCs w:val="24"/>
        </w:rPr>
        <w:t xml:space="preserve"> </w:t>
      </w:r>
      <w:r w:rsidRPr="00DA65AA">
        <w:rPr>
          <w:rFonts w:ascii="Arial Narrow" w:hAnsi="Arial Narrow" w:cs="Arial"/>
          <w:sz w:val="24"/>
          <w:szCs w:val="24"/>
        </w:rPr>
        <w:t>remitidos al Director General de Crédito Público con copia a la Subdirección de Tesorería y a la Subdirección de Operaciones.</w:t>
      </w:r>
    </w:p>
    <w:p w:rsidR="004F3D11" w:rsidRPr="00DA65AA" w:rsidRDefault="004F3D11" w:rsidP="004F3D11">
      <w:pPr>
        <w:pStyle w:val="Prrafodelista"/>
        <w:ind w:left="0"/>
        <w:jc w:val="both"/>
        <w:rPr>
          <w:rFonts w:ascii="Arial Narrow" w:hAnsi="Arial Narrow" w:cs="Arial"/>
          <w:sz w:val="24"/>
          <w:szCs w:val="24"/>
        </w:rPr>
      </w:pPr>
    </w:p>
    <w:p w:rsidR="005D7F83" w:rsidRPr="00DA65AA" w:rsidRDefault="005D7F83" w:rsidP="00C408EF">
      <w:pPr>
        <w:pStyle w:val="Prrafodelista"/>
        <w:numPr>
          <w:ilvl w:val="0"/>
          <w:numId w:val="26"/>
        </w:numPr>
        <w:jc w:val="both"/>
        <w:rPr>
          <w:rFonts w:ascii="Arial Narrow" w:hAnsi="Arial Narrow" w:cs="Arial"/>
          <w:sz w:val="24"/>
          <w:szCs w:val="24"/>
        </w:rPr>
      </w:pPr>
      <w:r w:rsidRPr="00DA65AA">
        <w:rPr>
          <w:rFonts w:ascii="Arial Narrow" w:hAnsi="Arial Narrow" w:cs="Arial"/>
          <w:b/>
          <w:sz w:val="24"/>
          <w:szCs w:val="24"/>
        </w:rPr>
        <w:t>Seguimiento de política</w:t>
      </w:r>
      <w:r w:rsidR="003F18DA">
        <w:rPr>
          <w:rFonts w:ascii="Arial Narrow" w:hAnsi="Arial Narrow" w:cs="Arial"/>
          <w:b/>
          <w:sz w:val="24"/>
          <w:szCs w:val="24"/>
        </w:rPr>
        <w:t>s y lineamientos de riesgo del p</w:t>
      </w:r>
      <w:r w:rsidRPr="00DA65AA">
        <w:rPr>
          <w:rFonts w:ascii="Arial Narrow" w:hAnsi="Arial Narrow" w:cs="Arial"/>
          <w:b/>
          <w:sz w:val="24"/>
          <w:szCs w:val="24"/>
        </w:rPr>
        <w:t>ortafolio</w:t>
      </w:r>
      <w:r w:rsidRPr="00DA65AA">
        <w:rPr>
          <w:rFonts w:ascii="Arial Narrow" w:hAnsi="Arial Narrow" w:cs="Arial"/>
          <w:sz w:val="24"/>
          <w:szCs w:val="24"/>
        </w:rPr>
        <w:t xml:space="preserve">: Este informe es elaborado por la Subdirección de Riesgo. Consta de dos secciones </w:t>
      </w:r>
      <w:r w:rsidR="003F18DA" w:rsidRPr="003F18DA">
        <w:rPr>
          <w:rFonts w:ascii="Arial Narrow" w:hAnsi="Arial Narrow" w:cs="Arial"/>
          <w:b/>
          <w:sz w:val="24"/>
          <w:szCs w:val="24"/>
        </w:rPr>
        <w:t>a)</w:t>
      </w:r>
      <w:r w:rsidRPr="00DA65AA">
        <w:rPr>
          <w:rFonts w:ascii="Arial Narrow" w:hAnsi="Arial Narrow" w:cs="Arial"/>
          <w:sz w:val="24"/>
          <w:szCs w:val="24"/>
        </w:rPr>
        <w:t xml:space="preserve"> se informa el estado de los límites establecidos respecto a composición del portafolio por concentración por emisor, calificación </w:t>
      </w:r>
      <w:r w:rsidR="003F18DA">
        <w:rPr>
          <w:rFonts w:ascii="Arial Narrow" w:hAnsi="Arial Narrow" w:cs="Arial"/>
          <w:sz w:val="24"/>
          <w:szCs w:val="24"/>
        </w:rPr>
        <w:t xml:space="preserve">crediticia y tipo de inversión, al igual que el </w:t>
      </w:r>
      <w:r w:rsidRPr="00DA65AA">
        <w:rPr>
          <w:rFonts w:ascii="Arial Narrow" w:hAnsi="Arial Narrow" w:cs="Arial"/>
          <w:sz w:val="24"/>
          <w:szCs w:val="24"/>
        </w:rPr>
        <w:t>seguimiento a la utilización de cupos, valoración del portafolio y plazo pactado de los créditos de la Naci</w:t>
      </w:r>
      <w:r w:rsidR="003F18DA">
        <w:rPr>
          <w:rFonts w:ascii="Arial Narrow" w:hAnsi="Arial Narrow" w:cs="Arial"/>
          <w:sz w:val="24"/>
          <w:szCs w:val="24"/>
        </w:rPr>
        <w:t>ón con los Fondos Administrados y</w:t>
      </w:r>
      <w:r w:rsidRPr="00DA65AA">
        <w:rPr>
          <w:rFonts w:ascii="Arial Narrow" w:hAnsi="Arial Narrow" w:cs="Arial"/>
          <w:sz w:val="24"/>
          <w:szCs w:val="24"/>
        </w:rPr>
        <w:t xml:space="preserve"> </w:t>
      </w:r>
      <w:r w:rsidR="003F18DA" w:rsidRPr="003F18DA">
        <w:rPr>
          <w:rFonts w:ascii="Arial Narrow" w:hAnsi="Arial Narrow" w:cs="Arial"/>
          <w:b/>
          <w:sz w:val="24"/>
          <w:szCs w:val="24"/>
        </w:rPr>
        <w:t>b)</w:t>
      </w:r>
      <w:r w:rsidR="003F18DA">
        <w:rPr>
          <w:rFonts w:ascii="Arial Narrow" w:hAnsi="Arial Narrow" w:cs="Arial"/>
          <w:sz w:val="24"/>
          <w:szCs w:val="24"/>
        </w:rPr>
        <w:t xml:space="preserve"> </w:t>
      </w:r>
      <w:r w:rsidRPr="00DA65AA">
        <w:rPr>
          <w:rFonts w:ascii="Arial Narrow" w:hAnsi="Arial Narrow" w:cs="Arial"/>
          <w:sz w:val="24"/>
          <w:szCs w:val="24"/>
        </w:rPr>
        <w:t xml:space="preserve">seguimiento a los lineamientos específicos de las operaciones simultáneas. </w:t>
      </w:r>
    </w:p>
    <w:p w:rsidR="005D7F83" w:rsidRPr="00DA65AA" w:rsidRDefault="005D7F83" w:rsidP="005D7F83">
      <w:pPr>
        <w:pStyle w:val="Prrafodelista"/>
        <w:ind w:left="720"/>
        <w:jc w:val="both"/>
        <w:rPr>
          <w:rFonts w:ascii="Arial Narrow" w:hAnsi="Arial Narrow" w:cs="Arial"/>
          <w:sz w:val="24"/>
          <w:szCs w:val="24"/>
        </w:rPr>
      </w:pPr>
    </w:p>
    <w:p w:rsidR="007C6DFB" w:rsidRPr="00DA65AA" w:rsidRDefault="007C6DFB" w:rsidP="00C408EF">
      <w:pPr>
        <w:numPr>
          <w:ilvl w:val="0"/>
          <w:numId w:val="25"/>
        </w:numPr>
        <w:jc w:val="both"/>
        <w:rPr>
          <w:rFonts w:ascii="Arial Narrow" w:hAnsi="Arial Narrow" w:cs="Arial"/>
          <w:b/>
          <w:sz w:val="24"/>
          <w:szCs w:val="24"/>
        </w:rPr>
      </w:pPr>
      <w:r w:rsidRPr="00DA65AA">
        <w:rPr>
          <w:rFonts w:ascii="Arial Narrow" w:hAnsi="Arial Narrow" w:cs="Arial"/>
          <w:b/>
          <w:sz w:val="24"/>
          <w:szCs w:val="24"/>
        </w:rPr>
        <w:t xml:space="preserve">Reporte de operaciones propias: </w:t>
      </w:r>
      <w:r w:rsidR="00BC0ADE" w:rsidRPr="00DA65AA">
        <w:rPr>
          <w:rFonts w:ascii="Arial Narrow" w:hAnsi="Arial Narrow" w:cs="Arial"/>
          <w:sz w:val="24"/>
          <w:szCs w:val="24"/>
        </w:rPr>
        <w:t>E</w:t>
      </w:r>
      <w:r w:rsidRPr="00DA65AA">
        <w:rPr>
          <w:rFonts w:ascii="Arial Narrow" w:hAnsi="Arial Narrow" w:cs="Arial"/>
          <w:sz w:val="24"/>
          <w:szCs w:val="24"/>
        </w:rPr>
        <w:t>ste informe es elaborado por la Subdirección de Riesgo. Contiene la información de las operaciones efectuadas en la Tesorería respecto</w:t>
      </w:r>
      <w:r w:rsidR="00A75E56" w:rsidRPr="00DA65AA">
        <w:rPr>
          <w:rFonts w:ascii="Arial Narrow" w:hAnsi="Arial Narrow" w:cs="Arial"/>
          <w:sz w:val="24"/>
          <w:szCs w:val="24"/>
        </w:rPr>
        <w:t xml:space="preserve"> a la negociación</w:t>
      </w:r>
      <w:r w:rsidRPr="00DA65AA">
        <w:rPr>
          <w:rFonts w:ascii="Arial Narrow" w:hAnsi="Arial Narrow" w:cs="Arial"/>
          <w:sz w:val="24"/>
          <w:szCs w:val="24"/>
        </w:rPr>
        <w:t xml:space="preserve"> en los sistemas transaccionales y las operaciones forzosas y convenidas con las Entidades Públicas</w:t>
      </w:r>
      <w:r w:rsidR="00A75E56" w:rsidRPr="00DA65AA">
        <w:rPr>
          <w:rFonts w:ascii="Arial Narrow" w:hAnsi="Arial Narrow" w:cs="Arial"/>
          <w:sz w:val="24"/>
          <w:szCs w:val="24"/>
        </w:rPr>
        <w:t xml:space="preserve"> de compra y venta de títulos TES y de divisas.</w:t>
      </w:r>
      <w:r w:rsidR="00C35E57" w:rsidRPr="00DA65AA">
        <w:rPr>
          <w:rFonts w:ascii="Arial Narrow" w:hAnsi="Arial Narrow" w:cs="Arial"/>
          <w:sz w:val="24"/>
          <w:szCs w:val="24"/>
        </w:rPr>
        <w:t xml:space="preserve"> Adicionalmente, se analizan las condiciones pactadas de las operaciones </w:t>
      </w:r>
      <w:r w:rsidR="00CA787C" w:rsidRPr="00DA65AA">
        <w:rPr>
          <w:rFonts w:ascii="Arial Narrow" w:hAnsi="Arial Narrow" w:cs="Arial"/>
          <w:sz w:val="24"/>
          <w:szCs w:val="24"/>
        </w:rPr>
        <w:t>respecto al mercado.</w:t>
      </w:r>
    </w:p>
    <w:p w:rsidR="004F3D11" w:rsidRPr="00DA65AA" w:rsidRDefault="004F3D11" w:rsidP="00A75E56">
      <w:pPr>
        <w:pStyle w:val="Prrafodelista"/>
        <w:jc w:val="both"/>
        <w:rPr>
          <w:rFonts w:ascii="Arial Narrow" w:hAnsi="Arial Narrow" w:cs="Arial"/>
          <w:sz w:val="24"/>
          <w:szCs w:val="24"/>
        </w:rPr>
      </w:pPr>
    </w:p>
    <w:p w:rsidR="00CA787C" w:rsidRPr="00DA65AA" w:rsidRDefault="004F3D11" w:rsidP="00C408EF">
      <w:pPr>
        <w:pStyle w:val="Prrafodelista"/>
        <w:numPr>
          <w:ilvl w:val="0"/>
          <w:numId w:val="25"/>
        </w:numPr>
        <w:jc w:val="both"/>
        <w:rPr>
          <w:rFonts w:ascii="Arial Narrow" w:hAnsi="Arial Narrow" w:cs="Arial"/>
          <w:sz w:val="24"/>
        </w:rPr>
      </w:pPr>
      <w:r w:rsidRPr="00DA65AA">
        <w:rPr>
          <w:rFonts w:ascii="Arial Narrow" w:hAnsi="Arial Narrow" w:cs="Arial"/>
          <w:b/>
          <w:sz w:val="24"/>
          <w:szCs w:val="24"/>
        </w:rPr>
        <w:t>Informe de VaR diario:</w:t>
      </w:r>
      <w:r w:rsidR="00BC0ADE" w:rsidRPr="00DA65AA">
        <w:rPr>
          <w:rFonts w:ascii="Arial Narrow" w:hAnsi="Arial Narrow" w:cs="Arial"/>
          <w:sz w:val="24"/>
          <w:szCs w:val="24"/>
        </w:rPr>
        <w:t xml:space="preserve"> E</w:t>
      </w:r>
      <w:r w:rsidRPr="00DA65AA">
        <w:rPr>
          <w:rFonts w:ascii="Arial Narrow" w:hAnsi="Arial Narrow" w:cs="Arial"/>
          <w:sz w:val="24"/>
          <w:szCs w:val="24"/>
        </w:rPr>
        <w:t>ste informe es elaborado por la Subdirección de Riesgo. Contiene la información relacionada con el valor en riesgo del portafolio vigente de lo</w:t>
      </w:r>
      <w:r w:rsidR="003F18DA">
        <w:rPr>
          <w:rFonts w:ascii="Arial Narrow" w:hAnsi="Arial Narrow" w:cs="Arial"/>
          <w:sz w:val="24"/>
          <w:szCs w:val="24"/>
        </w:rPr>
        <w:t>s excedentes de liquidez de la T</w:t>
      </w:r>
      <w:r w:rsidRPr="00DA65AA">
        <w:rPr>
          <w:rFonts w:ascii="Arial Narrow" w:hAnsi="Arial Narrow" w:cs="Arial"/>
          <w:sz w:val="24"/>
          <w:szCs w:val="24"/>
        </w:rPr>
        <w:t>esorería de la Nación junto con el seguimiento de los límites establecidos para la exposición al riesgo de mercado.</w:t>
      </w:r>
    </w:p>
    <w:p w:rsidR="004F3D11" w:rsidRPr="00DA65AA" w:rsidRDefault="004F3D11" w:rsidP="00CA787C">
      <w:pPr>
        <w:pStyle w:val="Prrafodelista"/>
        <w:ind w:left="720"/>
        <w:jc w:val="both"/>
        <w:rPr>
          <w:rFonts w:ascii="Arial Narrow" w:hAnsi="Arial Narrow" w:cs="Arial"/>
          <w:sz w:val="24"/>
        </w:rPr>
      </w:pPr>
    </w:p>
    <w:p w:rsidR="004F3D11" w:rsidRPr="00DA65AA" w:rsidRDefault="004F3D11" w:rsidP="00C408EF">
      <w:pPr>
        <w:pStyle w:val="Prrafodelista"/>
        <w:numPr>
          <w:ilvl w:val="0"/>
          <w:numId w:val="25"/>
        </w:numPr>
        <w:jc w:val="both"/>
        <w:rPr>
          <w:rFonts w:ascii="Arial Narrow" w:hAnsi="Arial Narrow" w:cs="Arial"/>
          <w:sz w:val="24"/>
          <w:szCs w:val="24"/>
        </w:rPr>
      </w:pPr>
      <w:r w:rsidRPr="00DA65AA">
        <w:rPr>
          <w:rFonts w:ascii="Arial Narrow" w:hAnsi="Arial Narrow" w:cs="Arial"/>
          <w:b/>
          <w:sz w:val="24"/>
          <w:szCs w:val="24"/>
        </w:rPr>
        <w:t xml:space="preserve">Informes periódicos de alertas de mercado: </w:t>
      </w:r>
      <w:r w:rsidR="00CA787C" w:rsidRPr="00DA65AA">
        <w:rPr>
          <w:rFonts w:ascii="Arial Narrow" w:hAnsi="Arial Narrow" w:cs="Arial"/>
          <w:sz w:val="24"/>
          <w:szCs w:val="24"/>
        </w:rPr>
        <w:t>E</w:t>
      </w:r>
      <w:r w:rsidRPr="00DA65AA">
        <w:rPr>
          <w:rFonts w:ascii="Arial Narrow" w:hAnsi="Arial Narrow" w:cs="Arial"/>
          <w:sz w:val="24"/>
          <w:szCs w:val="24"/>
        </w:rPr>
        <w:t>stos informes son elaborados por la Subdirección de Riesgo. Contiene alertas</w:t>
      </w:r>
      <w:r w:rsidR="00CD3D5A" w:rsidRPr="00DA65AA">
        <w:rPr>
          <w:rFonts w:ascii="Arial Narrow" w:hAnsi="Arial Narrow" w:cs="Arial"/>
          <w:sz w:val="24"/>
          <w:szCs w:val="24"/>
        </w:rPr>
        <w:t xml:space="preserve"> y análisis</w:t>
      </w:r>
      <w:r w:rsidRPr="00DA65AA">
        <w:rPr>
          <w:rFonts w:ascii="Arial Narrow" w:hAnsi="Arial Narrow" w:cs="Arial"/>
          <w:sz w:val="24"/>
          <w:szCs w:val="24"/>
        </w:rPr>
        <w:t xml:space="preserve"> de noticias en varios momentos del día, con el fin de alertar a los funcionarios de la Tesorería sobre noticias de último minuto, que pueden ser determinantes en la negociación de valores, con el fin de ser una herramienta indispensable para la toma de decisiones de inversión.</w:t>
      </w:r>
    </w:p>
    <w:p w:rsidR="004F3D11" w:rsidRPr="00DA65AA" w:rsidRDefault="004F3D11" w:rsidP="004F3D11">
      <w:pPr>
        <w:pStyle w:val="Prrafodelista"/>
        <w:jc w:val="both"/>
        <w:rPr>
          <w:rFonts w:ascii="Arial Narrow" w:hAnsi="Arial Narrow" w:cs="Arial"/>
          <w:sz w:val="24"/>
          <w:szCs w:val="24"/>
        </w:rPr>
      </w:pPr>
    </w:p>
    <w:p w:rsidR="00DD79BE" w:rsidRPr="00DA65AA" w:rsidRDefault="004F3D11" w:rsidP="00E7577C">
      <w:pPr>
        <w:pStyle w:val="Prrafodelista"/>
        <w:numPr>
          <w:ilvl w:val="0"/>
          <w:numId w:val="25"/>
        </w:numPr>
        <w:jc w:val="both"/>
        <w:rPr>
          <w:rFonts w:ascii="Arial Narrow" w:hAnsi="Arial Narrow" w:cs="Arial"/>
          <w:sz w:val="24"/>
          <w:szCs w:val="24"/>
        </w:rPr>
      </w:pPr>
      <w:r w:rsidRPr="00DA65AA">
        <w:rPr>
          <w:rFonts w:ascii="Arial Narrow" w:hAnsi="Arial Narrow" w:cs="Arial"/>
          <w:b/>
          <w:sz w:val="24"/>
          <w:szCs w:val="24"/>
        </w:rPr>
        <w:t xml:space="preserve">Informe de seguimiento a las inversiones en Fondos </w:t>
      </w:r>
      <w:r w:rsidRPr="00B44AF0">
        <w:rPr>
          <w:rFonts w:ascii="Arial Narrow" w:hAnsi="Arial Narrow" w:cs="Arial"/>
          <w:b/>
          <w:i/>
          <w:sz w:val="24"/>
          <w:szCs w:val="24"/>
        </w:rPr>
        <w:t>Money Market</w:t>
      </w:r>
      <w:r w:rsidRPr="00DA65AA">
        <w:rPr>
          <w:rFonts w:ascii="Arial Narrow" w:hAnsi="Arial Narrow" w:cs="Arial"/>
          <w:b/>
          <w:sz w:val="24"/>
          <w:szCs w:val="24"/>
        </w:rPr>
        <w:t>:</w:t>
      </w:r>
      <w:r w:rsidR="00CD3D5A" w:rsidRPr="00DA65AA">
        <w:rPr>
          <w:rFonts w:ascii="Arial Narrow" w:hAnsi="Arial Narrow" w:cs="Arial"/>
          <w:sz w:val="24"/>
          <w:szCs w:val="24"/>
        </w:rPr>
        <w:t xml:space="preserve"> E</w:t>
      </w:r>
      <w:r w:rsidRPr="00DA65AA">
        <w:rPr>
          <w:rFonts w:ascii="Arial Narrow" w:hAnsi="Arial Narrow" w:cs="Arial"/>
          <w:sz w:val="24"/>
          <w:szCs w:val="24"/>
        </w:rPr>
        <w:t xml:space="preserve">ste informe es elaborado por la Subdirección de Riesgo. Se informa el estado de los lineamientos </w:t>
      </w:r>
      <w:r w:rsidRPr="00DA65AA">
        <w:rPr>
          <w:rFonts w:ascii="Arial Narrow" w:hAnsi="Arial Narrow" w:cs="Arial"/>
          <w:sz w:val="24"/>
          <w:szCs w:val="24"/>
        </w:rPr>
        <w:lastRenderedPageBreak/>
        <w:t xml:space="preserve">establecidos para este tipo de inversión con una periodicidad mensual o al inicio de cada inversión. </w:t>
      </w:r>
    </w:p>
    <w:p w:rsidR="005A41F6" w:rsidRPr="00DA65AA" w:rsidRDefault="005A41F6" w:rsidP="005A41F6">
      <w:pPr>
        <w:pStyle w:val="Prrafodelista"/>
        <w:rPr>
          <w:rFonts w:ascii="Arial Narrow" w:hAnsi="Arial Narrow" w:cs="Arial"/>
          <w:sz w:val="24"/>
          <w:szCs w:val="24"/>
        </w:rPr>
      </w:pPr>
    </w:p>
    <w:p w:rsidR="00384F28" w:rsidRPr="00DA65AA" w:rsidRDefault="00384F28" w:rsidP="005A41F6">
      <w:pPr>
        <w:pStyle w:val="Prrafodelista"/>
        <w:rPr>
          <w:rFonts w:ascii="Arial Narrow" w:hAnsi="Arial Narrow" w:cs="Arial"/>
          <w:sz w:val="24"/>
          <w:szCs w:val="24"/>
        </w:rPr>
      </w:pPr>
    </w:p>
    <w:p w:rsidR="005A41F6" w:rsidRPr="00DA65AA" w:rsidRDefault="00311433" w:rsidP="00242C43">
      <w:pPr>
        <w:pStyle w:val="Ttulo1"/>
        <w:numPr>
          <w:ilvl w:val="0"/>
          <w:numId w:val="1"/>
        </w:numPr>
        <w:jc w:val="left"/>
        <w:rPr>
          <w:rFonts w:ascii="Arial Narrow" w:hAnsi="Arial Narrow"/>
          <w:sz w:val="24"/>
          <w:szCs w:val="24"/>
        </w:rPr>
      </w:pPr>
      <w:bookmarkStart w:id="41" w:name="_Toc4596437"/>
      <w:r w:rsidRPr="00DA65AA">
        <w:rPr>
          <w:rFonts w:ascii="Arial Narrow" w:hAnsi="Arial Narrow"/>
          <w:sz w:val="24"/>
          <w:szCs w:val="24"/>
        </w:rPr>
        <w:t>DEFINICIÓN DE LÍMITES PARA EL RIESGO DE MERCADO</w:t>
      </w:r>
      <w:bookmarkEnd w:id="41"/>
    </w:p>
    <w:p w:rsidR="004F3D11" w:rsidRPr="00DA65AA" w:rsidRDefault="004F3D11" w:rsidP="004F3D11">
      <w:pPr>
        <w:rPr>
          <w:rFonts w:ascii="Arial Narrow" w:hAnsi="Arial Narrow"/>
        </w:rPr>
      </w:pPr>
    </w:p>
    <w:p w:rsidR="00720D81" w:rsidRPr="00DA65AA" w:rsidRDefault="00720D81" w:rsidP="00720D81">
      <w:pPr>
        <w:jc w:val="both"/>
        <w:rPr>
          <w:rFonts w:ascii="Arial Narrow" w:hAnsi="Arial Narrow"/>
        </w:rPr>
      </w:pPr>
      <w:r w:rsidRPr="00DA65AA">
        <w:rPr>
          <w:rFonts w:ascii="Arial Narrow" w:hAnsi="Arial Narrow" w:cs="Arial"/>
          <w:sz w:val="24"/>
        </w:rPr>
        <w:t>El perfil de riesgo global (conservador) establecido para la DGCPTN, obliga a restringir algunas condiciones sobre el conjunto de operaciones permitidas. En este sentido, se establecen condiciones especiales en términos de contrapartes y vencimientos de las operaciones, que ayuden a mitigar el riesgo de mercado inherente a las operaciones de la Tesorería.</w:t>
      </w:r>
    </w:p>
    <w:p w:rsidR="003C686A" w:rsidRPr="00DA65AA" w:rsidRDefault="003C686A" w:rsidP="003C686A">
      <w:pPr>
        <w:rPr>
          <w:rFonts w:ascii="Arial Narrow" w:hAnsi="Arial Narrow"/>
        </w:rPr>
      </w:pPr>
    </w:p>
    <w:p w:rsidR="00720D81" w:rsidRPr="00DA65AA" w:rsidRDefault="00720D81" w:rsidP="00720D81">
      <w:pPr>
        <w:pStyle w:val="Ttulo2"/>
      </w:pPr>
      <w:bookmarkStart w:id="42" w:name="_Toc4596438"/>
      <w:r w:rsidRPr="00DA65AA">
        <w:t>Límites por composición del portafolio de inversiones</w:t>
      </w:r>
      <w:bookmarkEnd w:id="42"/>
    </w:p>
    <w:p w:rsidR="00083014" w:rsidRPr="00DA65AA" w:rsidRDefault="00083014" w:rsidP="00083014">
      <w:pPr>
        <w:rPr>
          <w:rFonts w:ascii="Arial Narrow" w:hAnsi="Arial Narrow"/>
          <w:lang w:val="es-CO"/>
        </w:rPr>
      </w:pPr>
    </w:p>
    <w:p w:rsidR="00083014" w:rsidRPr="00DA65AA" w:rsidRDefault="00083014" w:rsidP="00083014">
      <w:pPr>
        <w:jc w:val="both"/>
        <w:rPr>
          <w:rFonts w:ascii="Arial Narrow" w:hAnsi="Arial Narrow"/>
          <w:lang w:val="es-CO"/>
        </w:rPr>
      </w:pPr>
      <w:r w:rsidRPr="00DA65AA">
        <w:rPr>
          <w:rFonts w:ascii="Arial Narrow" w:hAnsi="Arial Narrow" w:cs="Arial"/>
          <w:sz w:val="24"/>
        </w:rPr>
        <w:t>Con el fin de mantener un portafolio de inversiones diversificado, se deben cumplir los siguientes límites por composición los cuales están clasificados por tipo de inversión y por nivel de calificación crediticia del emisor de los instrumentos.</w:t>
      </w:r>
    </w:p>
    <w:p w:rsidR="003C686A" w:rsidRPr="00DA65AA" w:rsidRDefault="003C686A" w:rsidP="003C686A">
      <w:pPr>
        <w:rPr>
          <w:rFonts w:ascii="Arial Narrow" w:hAnsi="Arial Narrow"/>
        </w:rPr>
      </w:pPr>
    </w:p>
    <w:p w:rsidR="003C686A" w:rsidRPr="00DA65AA" w:rsidRDefault="00083014" w:rsidP="00BC5018">
      <w:pPr>
        <w:pStyle w:val="Ttulo3"/>
      </w:pPr>
      <w:bookmarkStart w:id="43" w:name="_Toc4596439"/>
      <w:r w:rsidRPr="00DA65AA">
        <w:t>Composición del Portafolio en Moneda Local</w:t>
      </w:r>
      <w:bookmarkEnd w:id="43"/>
    </w:p>
    <w:p w:rsidR="002E2CFD" w:rsidRPr="00DA65AA" w:rsidRDefault="002E2CFD" w:rsidP="002E2CFD">
      <w:pPr>
        <w:rPr>
          <w:rFonts w:ascii="Arial Narrow" w:hAnsi="Arial Narrow"/>
        </w:rPr>
      </w:pPr>
    </w:p>
    <w:p w:rsidR="002E2CFD" w:rsidRPr="00DA65AA" w:rsidRDefault="00384751" w:rsidP="002E2CFD">
      <w:pPr>
        <w:rPr>
          <w:rFonts w:ascii="Arial Narrow" w:hAnsi="Arial Narrow" w:cs="Arial"/>
          <w:sz w:val="24"/>
        </w:rPr>
      </w:pPr>
      <w:r w:rsidRPr="00DA65AA">
        <w:rPr>
          <w:rFonts w:ascii="Arial Narrow" w:hAnsi="Arial Narrow" w:cs="Arial"/>
          <w:sz w:val="24"/>
        </w:rPr>
        <w:t>De acuerdo a las políticas de inversión, s</w:t>
      </w:r>
      <w:r w:rsidR="002E2CFD" w:rsidRPr="00DA65AA">
        <w:rPr>
          <w:rFonts w:ascii="Arial Narrow" w:hAnsi="Arial Narrow" w:cs="Arial"/>
          <w:sz w:val="24"/>
        </w:rPr>
        <w:t>e establece un límite de acuerdo al emisor de los productos como aparece en la siguiente tabla:</w:t>
      </w:r>
    </w:p>
    <w:p w:rsidR="00083014" w:rsidRPr="00DA65AA" w:rsidRDefault="00083014" w:rsidP="00083014">
      <w:pPr>
        <w:rPr>
          <w:rFonts w:ascii="Arial Narrow" w:hAnsi="Arial Narrow"/>
        </w:rPr>
      </w:pPr>
    </w:p>
    <w:tbl>
      <w:tblPr>
        <w:tblW w:w="4013" w:type="pct"/>
        <w:jc w:val="center"/>
        <w:tblLayout w:type="fixed"/>
        <w:tblCellMar>
          <w:left w:w="70" w:type="dxa"/>
          <w:right w:w="70" w:type="dxa"/>
        </w:tblCellMar>
        <w:tblLook w:val="04A0" w:firstRow="1" w:lastRow="0" w:firstColumn="1" w:lastColumn="0" w:noHBand="0" w:noVBand="1"/>
      </w:tblPr>
      <w:tblGrid>
        <w:gridCol w:w="3818"/>
        <w:gridCol w:w="3261"/>
      </w:tblGrid>
      <w:tr w:rsidR="00083014" w:rsidRPr="00DA65AA" w:rsidTr="00C93704">
        <w:trPr>
          <w:trHeight w:val="330"/>
          <w:jc w:val="center"/>
        </w:trPr>
        <w:tc>
          <w:tcPr>
            <w:tcW w:w="2697" w:type="pct"/>
            <w:tcBorders>
              <w:top w:val="single" w:sz="8" w:space="0" w:color="FFFFFF"/>
              <w:left w:val="single" w:sz="8" w:space="0" w:color="FFFFFF"/>
              <w:bottom w:val="single" w:sz="8" w:space="0" w:color="FFFFFF"/>
              <w:right w:val="single" w:sz="8" w:space="0" w:color="FFFFFF"/>
            </w:tcBorders>
            <w:shd w:val="clear" w:color="000000" w:fill="17365D"/>
            <w:vAlign w:val="center"/>
            <w:hideMark/>
          </w:tcPr>
          <w:p w:rsidR="00083014" w:rsidRPr="00DA65AA" w:rsidRDefault="00083014" w:rsidP="00C93704">
            <w:pPr>
              <w:jc w:val="center"/>
              <w:rPr>
                <w:rFonts w:ascii="Arial Narrow" w:hAnsi="Arial Narrow" w:cs="Arial"/>
                <w:b/>
                <w:bCs/>
                <w:color w:val="FFFFFF"/>
                <w:sz w:val="24"/>
              </w:rPr>
            </w:pPr>
            <w:r w:rsidRPr="00DA65AA">
              <w:rPr>
                <w:rFonts w:ascii="Arial Narrow" w:hAnsi="Arial Narrow" w:cs="Arial"/>
                <w:b/>
                <w:bCs/>
                <w:color w:val="FFFFFF"/>
                <w:sz w:val="24"/>
              </w:rPr>
              <w:t>Productos admisibles</w:t>
            </w:r>
          </w:p>
        </w:tc>
        <w:tc>
          <w:tcPr>
            <w:tcW w:w="2303" w:type="pct"/>
            <w:tcBorders>
              <w:top w:val="single" w:sz="8" w:space="0" w:color="FFFFFF"/>
              <w:left w:val="nil"/>
              <w:bottom w:val="single" w:sz="8" w:space="0" w:color="FFFFFF"/>
              <w:right w:val="single" w:sz="8" w:space="0" w:color="FFFFFF"/>
            </w:tcBorders>
            <w:shd w:val="clear" w:color="000000" w:fill="17365D"/>
            <w:vAlign w:val="center"/>
            <w:hideMark/>
          </w:tcPr>
          <w:p w:rsidR="00083014" w:rsidRPr="00DA65AA" w:rsidRDefault="00083014" w:rsidP="00C93704">
            <w:pPr>
              <w:jc w:val="center"/>
              <w:rPr>
                <w:rFonts w:ascii="Arial Narrow" w:hAnsi="Arial Narrow" w:cs="Arial"/>
                <w:b/>
                <w:bCs/>
                <w:color w:val="FFFFFF"/>
                <w:sz w:val="24"/>
              </w:rPr>
            </w:pPr>
            <w:r w:rsidRPr="00DA65AA">
              <w:rPr>
                <w:rFonts w:ascii="Arial Narrow" w:hAnsi="Arial Narrow" w:cs="Arial"/>
                <w:b/>
                <w:bCs/>
                <w:color w:val="FFFFFF"/>
                <w:sz w:val="24"/>
              </w:rPr>
              <w:t>Límite General</w:t>
            </w:r>
          </w:p>
        </w:tc>
      </w:tr>
      <w:tr w:rsidR="00083014" w:rsidRPr="00DA65AA" w:rsidTr="00C93704">
        <w:trPr>
          <w:trHeight w:val="615"/>
          <w:jc w:val="center"/>
        </w:trPr>
        <w:tc>
          <w:tcPr>
            <w:tcW w:w="2697" w:type="pct"/>
            <w:tcBorders>
              <w:top w:val="nil"/>
              <w:left w:val="single" w:sz="8" w:space="0" w:color="FFFFFF"/>
              <w:bottom w:val="single" w:sz="8" w:space="0" w:color="FFFFFF"/>
              <w:right w:val="single" w:sz="8" w:space="0" w:color="FFFFFF"/>
            </w:tcBorders>
            <w:shd w:val="clear" w:color="auto" w:fill="auto"/>
            <w:vAlign w:val="center"/>
            <w:hideMark/>
          </w:tcPr>
          <w:p w:rsidR="00083014" w:rsidRPr="00DA65AA" w:rsidRDefault="00083014" w:rsidP="00C93704">
            <w:pPr>
              <w:rPr>
                <w:rFonts w:ascii="Arial Narrow" w:hAnsi="Arial Narrow" w:cs="Arial"/>
                <w:color w:val="000000"/>
                <w:sz w:val="24"/>
              </w:rPr>
            </w:pPr>
            <w:r w:rsidRPr="00DA65AA">
              <w:rPr>
                <w:rFonts w:ascii="Arial Narrow" w:hAnsi="Arial Narrow" w:cs="Arial"/>
                <w:color w:val="000000"/>
                <w:sz w:val="24"/>
              </w:rPr>
              <w:t>Para instrumentos emitidos por la Nación y Banco de la República</w:t>
            </w:r>
          </w:p>
        </w:tc>
        <w:tc>
          <w:tcPr>
            <w:tcW w:w="2302" w:type="pct"/>
            <w:tcBorders>
              <w:top w:val="nil"/>
              <w:left w:val="nil"/>
              <w:bottom w:val="single" w:sz="8" w:space="0" w:color="FFFFFF"/>
              <w:right w:val="single" w:sz="8" w:space="0" w:color="FFFFFF"/>
            </w:tcBorders>
            <w:shd w:val="clear" w:color="auto" w:fill="auto"/>
            <w:vAlign w:val="center"/>
            <w:hideMark/>
          </w:tcPr>
          <w:p w:rsidR="00083014" w:rsidRPr="00DA65AA" w:rsidRDefault="00083014" w:rsidP="00C93704">
            <w:pPr>
              <w:jc w:val="center"/>
              <w:rPr>
                <w:rFonts w:ascii="Arial Narrow" w:hAnsi="Arial Narrow" w:cs="Arial"/>
                <w:color w:val="000000"/>
                <w:sz w:val="24"/>
              </w:rPr>
            </w:pPr>
            <w:r w:rsidRPr="00DA65AA">
              <w:rPr>
                <w:rFonts w:ascii="Arial Narrow" w:hAnsi="Arial Narrow" w:cs="Arial"/>
                <w:color w:val="000000"/>
                <w:sz w:val="24"/>
              </w:rPr>
              <w:t>Hasta el 100% del Portafolio en moneda legal (COP)</w:t>
            </w:r>
          </w:p>
        </w:tc>
      </w:tr>
      <w:tr w:rsidR="00083014" w:rsidRPr="00DA65AA" w:rsidTr="00083014">
        <w:trPr>
          <w:trHeight w:val="600"/>
          <w:jc w:val="center"/>
        </w:trPr>
        <w:tc>
          <w:tcPr>
            <w:tcW w:w="2697" w:type="pct"/>
            <w:tcBorders>
              <w:top w:val="nil"/>
              <w:left w:val="single" w:sz="8" w:space="0" w:color="FFFFFF"/>
              <w:bottom w:val="nil"/>
              <w:right w:val="single" w:sz="8" w:space="0" w:color="FFFFFF"/>
            </w:tcBorders>
            <w:shd w:val="clear" w:color="auto" w:fill="D9D9D9"/>
            <w:vAlign w:val="center"/>
            <w:hideMark/>
          </w:tcPr>
          <w:p w:rsidR="00083014" w:rsidRPr="00DA65AA" w:rsidRDefault="00083014" w:rsidP="00C93704">
            <w:pPr>
              <w:rPr>
                <w:rFonts w:ascii="Arial Narrow" w:hAnsi="Arial Narrow" w:cs="Arial"/>
                <w:color w:val="000000"/>
                <w:sz w:val="24"/>
              </w:rPr>
            </w:pPr>
            <w:r w:rsidRPr="00DA65AA">
              <w:rPr>
                <w:rFonts w:ascii="Arial Narrow" w:hAnsi="Arial Narrow" w:cs="Arial"/>
                <w:color w:val="000000"/>
                <w:sz w:val="24"/>
              </w:rPr>
              <w:t>Para instrumentos emitidos por entidades diferentes a Nación o Banco de la República</w:t>
            </w:r>
          </w:p>
        </w:tc>
        <w:tc>
          <w:tcPr>
            <w:tcW w:w="2303" w:type="pct"/>
            <w:tcBorders>
              <w:top w:val="nil"/>
              <w:left w:val="nil"/>
              <w:bottom w:val="nil"/>
              <w:right w:val="single" w:sz="8" w:space="0" w:color="FFFFFF"/>
            </w:tcBorders>
            <w:shd w:val="clear" w:color="auto" w:fill="D9D9D9"/>
            <w:vAlign w:val="center"/>
            <w:hideMark/>
          </w:tcPr>
          <w:p w:rsidR="00083014" w:rsidRPr="00DA65AA" w:rsidRDefault="00083014" w:rsidP="00C93704">
            <w:pPr>
              <w:jc w:val="center"/>
              <w:rPr>
                <w:rFonts w:ascii="Arial Narrow" w:hAnsi="Arial Narrow" w:cs="Arial"/>
                <w:color w:val="000000"/>
                <w:sz w:val="24"/>
              </w:rPr>
            </w:pPr>
            <w:r w:rsidRPr="00DA65AA">
              <w:rPr>
                <w:rFonts w:ascii="Arial Narrow" w:hAnsi="Arial Narrow" w:cs="Arial"/>
                <w:color w:val="000000"/>
                <w:sz w:val="24"/>
              </w:rPr>
              <w:t>Hasta el 30% del Portafolio en moneda legal (COP)</w:t>
            </w:r>
          </w:p>
        </w:tc>
      </w:tr>
    </w:tbl>
    <w:p w:rsidR="00083014" w:rsidRPr="00DA65AA" w:rsidRDefault="00083014" w:rsidP="00083014">
      <w:pPr>
        <w:rPr>
          <w:rFonts w:ascii="Arial Narrow" w:hAnsi="Arial Narrow"/>
        </w:rPr>
      </w:pPr>
    </w:p>
    <w:p w:rsidR="002E2CFD" w:rsidRPr="00DA65AA" w:rsidRDefault="002E2CFD" w:rsidP="002E2CFD">
      <w:pPr>
        <w:rPr>
          <w:rFonts w:ascii="Arial Narrow" w:hAnsi="Arial Narrow" w:cs="Arial"/>
          <w:sz w:val="24"/>
        </w:rPr>
      </w:pPr>
      <w:r w:rsidRPr="00DA65AA">
        <w:rPr>
          <w:rFonts w:ascii="Arial Narrow" w:hAnsi="Arial Narrow" w:cs="Arial"/>
          <w:sz w:val="24"/>
        </w:rPr>
        <w:t>El límite para instrumentos emitidos por entidades diferentes a Nación o Banco de la República dependerá de lo definido por la normatividad o mandato establecido para estas operaciones.</w:t>
      </w:r>
    </w:p>
    <w:p w:rsidR="002E2CFD" w:rsidRPr="00DA65AA" w:rsidRDefault="002E2CFD" w:rsidP="002E2CFD">
      <w:pPr>
        <w:rPr>
          <w:rFonts w:ascii="Arial Narrow" w:hAnsi="Arial Narrow" w:cs="Arial"/>
          <w:sz w:val="24"/>
        </w:rPr>
      </w:pPr>
    </w:p>
    <w:p w:rsidR="00C93704" w:rsidRDefault="002E2CFD" w:rsidP="00083014">
      <w:pPr>
        <w:rPr>
          <w:rFonts w:ascii="Arial Narrow" w:hAnsi="Arial Narrow" w:cs="Arial"/>
          <w:sz w:val="24"/>
        </w:rPr>
      </w:pPr>
      <w:r w:rsidRPr="00DA65AA">
        <w:rPr>
          <w:rFonts w:ascii="Arial Narrow" w:hAnsi="Arial Narrow" w:cs="Arial"/>
          <w:sz w:val="24"/>
        </w:rPr>
        <w:t>Para las operaciones simultáneas, se establece un límite de composición por portafolio que se definirá más adelante.</w:t>
      </w:r>
    </w:p>
    <w:p w:rsidR="00171A99" w:rsidRDefault="00171A99" w:rsidP="00083014">
      <w:pPr>
        <w:rPr>
          <w:rFonts w:ascii="Arial Narrow" w:hAnsi="Arial Narrow" w:cs="Arial"/>
          <w:sz w:val="24"/>
        </w:rPr>
      </w:pPr>
    </w:p>
    <w:p w:rsidR="00171A99" w:rsidRDefault="00171A99" w:rsidP="00083014">
      <w:pPr>
        <w:rPr>
          <w:rFonts w:ascii="Arial Narrow" w:hAnsi="Arial Narrow" w:cs="Arial"/>
          <w:sz w:val="24"/>
        </w:rPr>
      </w:pPr>
    </w:p>
    <w:p w:rsidR="00171A99" w:rsidRDefault="00171A99" w:rsidP="00083014">
      <w:pPr>
        <w:rPr>
          <w:rFonts w:ascii="Arial Narrow" w:hAnsi="Arial Narrow" w:cs="Arial"/>
          <w:sz w:val="24"/>
        </w:rPr>
      </w:pPr>
    </w:p>
    <w:p w:rsidR="00171A99" w:rsidRDefault="00171A99" w:rsidP="00083014">
      <w:pPr>
        <w:rPr>
          <w:rFonts w:ascii="Arial Narrow" w:hAnsi="Arial Narrow" w:cs="Arial"/>
          <w:sz w:val="24"/>
        </w:rPr>
      </w:pPr>
    </w:p>
    <w:p w:rsidR="00171A99" w:rsidRDefault="00171A99" w:rsidP="00083014">
      <w:pPr>
        <w:rPr>
          <w:rFonts w:ascii="Arial Narrow" w:hAnsi="Arial Narrow" w:cs="Arial"/>
          <w:sz w:val="24"/>
        </w:rPr>
      </w:pPr>
    </w:p>
    <w:p w:rsidR="00171A99" w:rsidRDefault="00171A99" w:rsidP="00083014">
      <w:pPr>
        <w:rPr>
          <w:rFonts w:ascii="Arial Narrow" w:hAnsi="Arial Narrow" w:cs="Arial"/>
          <w:sz w:val="24"/>
        </w:rPr>
      </w:pPr>
    </w:p>
    <w:p w:rsidR="00171A99" w:rsidRDefault="00171A99" w:rsidP="00083014">
      <w:pPr>
        <w:rPr>
          <w:rFonts w:ascii="Arial Narrow" w:hAnsi="Arial Narrow" w:cs="Arial"/>
          <w:sz w:val="24"/>
        </w:rPr>
      </w:pPr>
    </w:p>
    <w:p w:rsidR="00171A99" w:rsidRDefault="00171A99" w:rsidP="00083014">
      <w:pPr>
        <w:rPr>
          <w:rFonts w:ascii="Arial Narrow" w:hAnsi="Arial Narrow" w:cs="Arial"/>
          <w:sz w:val="24"/>
        </w:rPr>
      </w:pPr>
    </w:p>
    <w:p w:rsidR="00171A99" w:rsidRDefault="00171A99" w:rsidP="00083014">
      <w:pPr>
        <w:rPr>
          <w:rFonts w:ascii="Arial Narrow" w:hAnsi="Arial Narrow" w:cs="Arial"/>
          <w:sz w:val="24"/>
        </w:rPr>
      </w:pPr>
    </w:p>
    <w:p w:rsidR="00171A99" w:rsidRDefault="00171A99" w:rsidP="00083014">
      <w:pPr>
        <w:rPr>
          <w:rFonts w:ascii="Arial Narrow" w:hAnsi="Arial Narrow" w:cs="Arial"/>
          <w:sz w:val="24"/>
        </w:rPr>
      </w:pPr>
    </w:p>
    <w:p w:rsidR="00171A99" w:rsidRDefault="00171A99" w:rsidP="00083014">
      <w:pPr>
        <w:rPr>
          <w:rFonts w:ascii="Arial Narrow" w:hAnsi="Arial Narrow" w:cs="Arial"/>
          <w:sz w:val="24"/>
        </w:rPr>
      </w:pPr>
    </w:p>
    <w:p w:rsidR="003C686A" w:rsidRPr="00DA65AA" w:rsidRDefault="002E2CFD" w:rsidP="00BC5018">
      <w:pPr>
        <w:pStyle w:val="Ttulo3"/>
      </w:pPr>
      <w:bookmarkStart w:id="44" w:name="_Toc4596440"/>
      <w:r w:rsidRPr="00DA65AA">
        <w:lastRenderedPageBreak/>
        <w:t>Composición del Portafolio en Moneda Extranjera</w:t>
      </w:r>
      <w:bookmarkEnd w:id="44"/>
    </w:p>
    <w:p w:rsidR="002E2CFD" w:rsidRPr="00DA65AA" w:rsidRDefault="002E2CFD" w:rsidP="002E2CFD">
      <w:pPr>
        <w:rPr>
          <w:rFonts w:ascii="Arial Narrow" w:hAnsi="Arial Narrow"/>
        </w:rPr>
      </w:pPr>
    </w:p>
    <w:p w:rsidR="00DD79BE" w:rsidRPr="00DA65AA" w:rsidRDefault="00384751" w:rsidP="002E2CFD">
      <w:pPr>
        <w:rPr>
          <w:rFonts w:ascii="Arial Narrow" w:hAnsi="Arial Narrow" w:cs="Arial"/>
          <w:sz w:val="24"/>
        </w:rPr>
      </w:pPr>
      <w:r w:rsidRPr="00DA65AA">
        <w:rPr>
          <w:rFonts w:ascii="Arial Narrow" w:hAnsi="Arial Narrow" w:cs="Arial"/>
          <w:sz w:val="24"/>
        </w:rPr>
        <w:t>De acuerdo a las políticas de inversión</w:t>
      </w:r>
      <w:r w:rsidR="00D34C5C" w:rsidRPr="00DA65AA">
        <w:rPr>
          <w:rFonts w:ascii="Arial Narrow" w:hAnsi="Arial Narrow" w:cs="Arial"/>
          <w:sz w:val="24"/>
        </w:rPr>
        <w:t>,</w:t>
      </w:r>
      <w:r w:rsidRPr="00DA65AA">
        <w:rPr>
          <w:rFonts w:ascii="Arial Narrow" w:hAnsi="Arial Narrow" w:cs="Arial"/>
          <w:sz w:val="24"/>
        </w:rPr>
        <w:t xml:space="preserve"> </w:t>
      </w:r>
      <w:r w:rsidR="00D34C5C" w:rsidRPr="00DA65AA">
        <w:rPr>
          <w:rFonts w:ascii="Arial Narrow" w:hAnsi="Arial Narrow" w:cs="Arial"/>
          <w:sz w:val="24"/>
        </w:rPr>
        <w:t>p</w:t>
      </w:r>
      <w:r w:rsidR="002E2CFD" w:rsidRPr="00DA65AA">
        <w:rPr>
          <w:rFonts w:ascii="Arial Narrow" w:hAnsi="Arial Narrow" w:cs="Arial"/>
          <w:sz w:val="24"/>
        </w:rPr>
        <w:t>ara el portafolio en dólares se establece</w:t>
      </w:r>
      <w:r w:rsidRPr="00DA65AA">
        <w:rPr>
          <w:rFonts w:ascii="Arial Narrow" w:hAnsi="Arial Narrow" w:cs="Arial"/>
          <w:sz w:val="24"/>
        </w:rPr>
        <w:t xml:space="preserve">n </w:t>
      </w:r>
      <w:r w:rsidR="00D34C5C" w:rsidRPr="00DA65AA">
        <w:rPr>
          <w:rFonts w:ascii="Arial Narrow" w:hAnsi="Arial Narrow" w:cs="Arial"/>
          <w:sz w:val="24"/>
        </w:rPr>
        <w:t>límites por tipo de inversión y por la calificación crediticia del emisor.</w:t>
      </w:r>
    </w:p>
    <w:p w:rsidR="007B0E17" w:rsidRPr="00DA65AA" w:rsidRDefault="007B0E17" w:rsidP="002E2CFD">
      <w:pPr>
        <w:rPr>
          <w:rFonts w:ascii="Arial Narrow" w:hAnsi="Arial Narrow" w:cs="Arial"/>
          <w:sz w:val="24"/>
        </w:rPr>
      </w:pPr>
    </w:p>
    <w:p w:rsidR="007B0E17" w:rsidRPr="00DA65AA" w:rsidRDefault="007B0E17" w:rsidP="00C408EF">
      <w:pPr>
        <w:numPr>
          <w:ilvl w:val="0"/>
          <w:numId w:val="27"/>
        </w:numPr>
        <w:rPr>
          <w:rFonts w:ascii="Arial Narrow" w:hAnsi="Arial Narrow" w:cs="Arial"/>
          <w:sz w:val="24"/>
        </w:rPr>
      </w:pPr>
      <w:r w:rsidRPr="00DA65AA">
        <w:rPr>
          <w:rFonts w:ascii="Arial Narrow" w:hAnsi="Arial Narrow" w:cs="Arial"/>
          <w:sz w:val="24"/>
        </w:rPr>
        <w:t>Tipo de Inversión:</w:t>
      </w:r>
    </w:p>
    <w:p w:rsidR="007B0E17" w:rsidRPr="00DA65AA" w:rsidRDefault="007B0E17" w:rsidP="007B0E17">
      <w:pPr>
        <w:ind w:left="720"/>
        <w:rPr>
          <w:rFonts w:ascii="Arial Narrow" w:hAnsi="Arial Narrow" w:cs="Arial"/>
          <w:sz w:val="24"/>
        </w:rPr>
      </w:pPr>
    </w:p>
    <w:tbl>
      <w:tblPr>
        <w:tblW w:w="3209" w:type="pct"/>
        <w:jc w:val="center"/>
        <w:tblLayout w:type="fixed"/>
        <w:tblCellMar>
          <w:left w:w="70" w:type="dxa"/>
          <w:right w:w="70" w:type="dxa"/>
        </w:tblCellMar>
        <w:tblLook w:val="04A0" w:firstRow="1" w:lastRow="0" w:firstColumn="1" w:lastColumn="0" w:noHBand="0" w:noVBand="1"/>
      </w:tblPr>
      <w:tblGrid>
        <w:gridCol w:w="2684"/>
        <w:gridCol w:w="2977"/>
      </w:tblGrid>
      <w:tr w:rsidR="007B0E17" w:rsidRPr="00DA65AA" w:rsidTr="00C93704">
        <w:trPr>
          <w:trHeight w:val="330"/>
          <w:jc w:val="center"/>
        </w:trPr>
        <w:tc>
          <w:tcPr>
            <w:tcW w:w="2371" w:type="pct"/>
            <w:tcBorders>
              <w:top w:val="single" w:sz="8" w:space="0" w:color="FFFFFF"/>
              <w:left w:val="single" w:sz="8" w:space="0" w:color="FFFFFF"/>
              <w:bottom w:val="single" w:sz="8" w:space="0" w:color="FFFFFF"/>
              <w:right w:val="single" w:sz="8" w:space="0" w:color="FFFFFF"/>
            </w:tcBorders>
            <w:shd w:val="clear" w:color="000000" w:fill="17365D"/>
            <w:vAlign w:val="center"/>
            <w:hideMark/>
          </w:tcPr>
          <w:p w:rsidR="007B0E17" w:rsidRPr="00DA65AA" w:rsidRDefault="007B0E17" w:rsidP="00C93704">
            <w:pPr>
              <w:jc w:val="center"/>
              <w:rPr>
                <w:rFonts w:ascii="Arial Narrow" w:hAnsi="Arial Narrow" w:cs="Arial"/>
                <w:b/>
                <w:bCs/>
                <w:color w:val="FFFFFF"/>
                <w:sz w:val="24"/>
              </w:rPr>
            </w:pPr>
            <w:r w:rsidRPr="00DA65AA">
              <w:rPr>
                <w:rFonts w:ascii="Arial Narrow" w:hAnsi="Arial Narrow" w:cs="Arial"/>
                <w:b/>
                <w:bCs/>
                <w:color w:val="FFFFFF"/>
                <w:sz w:val="24"/>
              </w:rPr>
              <w:t>Productos admisibles</w:t>
            </w:r>
          </w:p>
        </w:tc>
        <w:tc>
          <w:tcPr>
            <w:tcW w:w="2629" w:type="pct"/>
            <w:tcBorders>
              <w:top w:val="single" w:sz="8" w:space="0" w:color="FFFFFF"/>
              <w:left w:val="nil"/>
              <w:bottom w:val="single" w:sz="8" w:space="0" w:color="FFFFFF"/>
              <w:right w:val="single" w:sz="8" w:space="0" w:color="FFFFFF"/>
            </w:tcBorders>
            <w:shd w:val="clear" w:color="000000" w:fill="17365D"/>
            <w:vAlign w:val="center"/>
            <w:hideMark/>
          </w:tcPr>
          <w:p w:rsidR="007B0E17" w:rsidRPr="00DA65AA" w:rsidRDefault="007B0E17" w:rsidP="00C93704">
            <w:pPr>
              <w:jc w:val="center"/>
              <w:rPr>
                <w:rFonts w:ascii="Arial Narrow" w:hAnsi="Arial Narrow" w:cs="Arial"/>
                <w:b/>
                <w:bCs/>
                <w:color w:val="FFFFFF"/>
                <w:sz w:val="24"/>
              </w:rPr>
            </w:pPr>
            <w:r w:rsidRPr="00DA65AA">
              <w:rPr>
                <w:rFonts w:ascii="Arial Narrow" w:hAnsi="Arial Narrow" w:cs="Arial"/>
                <w:b/>
                <w:bCs/>
                <w:color w:val="FFFFFF"/>
                <w:sz w:val="24"/>
              </w:rPr>
              <w:t>Límite General</w:t>
            </w:r>
          </w:p>
        </w:tc>
      </w:tr>
      <w:tr w:rsidR="007B0E17" w:rsidRPr="00DA65AA" w:rsidTr="00C93704">
        <w:trPr>
          <w:trHeight w:val="330"/>
          <w:jc w:val="center"/>
        </w:trPr>
        <w:tc>
          <w:tcPr>
            <w:tcW w:w="2371" w:type="pct"/>
            <w:tcBorders>
              <w:top w:val="single" w:sz="8" w:space="0" w:color="FFFFFF"/>
              <w:left w:val="single" w:sz="8" w:space="0" w:color="FFFFFF"/>
              <w:bottom w:val="single" w:sz="8" w:space="0" w:color="FFFFFF"/>
              <w:right w:val="single" w:sz="8" w:space="0" w:color="FFFFFF"/>
            </w:tcBorders>
            <w:shd w:val="clear" w:color="auto" w:fill="auto"/>
            <w:vAlign w:val="center"/>
          </w:tcPr>
          <w:p w:rsidR="007B0E17" w:rsidRPr="00DA65AA" w:rsidRDefault="007B0E17" w:rsidP="00C93704">
            <w:pPr>
              <w:rPr>
                <w:rFonts w:ascii="Arial Narrow" w:hAnsi="Arial Narrow" w:cs="Arial"/>
                <w:color w:val="000000"/>
                <w:sz w:val="24"/>
              </w:rPr>
            </w:pPr>
            <w:r w:rsidRPr="00DA65AA">
              <w:rPr>
                <w:rFonts w:ascii="Arial Narrow" w:hAnsi="Arial Narrow" w:cs="Arial"/>
                <w:color w:val="000000"/>
                <w:sz w:val="24"/>
              </w:rPr>
              <w:t xml:space="preserve">Para instrumentos emitidos por la Nación </w:t>
            </w:r>
          </w:p>
        </w:tc>
        <w:tc>
          <w:tcPr>
            <w:tcW w:w="2629" w:type="pct"/>
            <w:tcBorders>
              <w:top w:val="single" w:sz="8" w:space="0" w:color="FFFFFF"/>
              <w:left w:val="nil"/>
              <w:bottom w:val="single" w:sz="8" w:space="0" w:color="FFFFFF"/>
              <w:right w:val="single" w:sz="8" w:space="0" w:color="FFFFFF"/>
            </w:tcBorders>
            <w:shd w:val="clear" w:color="auto" w:fill="auto"/>
            <w:vAlign w:val="center"/>
          </w:tcPr>
          <w:p w:rsidR="007B0E17" w:rsidRPr="00DA65AA" w:rsidRDefault="007B0E17" w:rsidP="00C93704">
            <w:pPr>
              <w:jc w:val="center"/>
              <w:rPr>
                <w:rFonts w:ascii="Arial Narrow" w:hAnsi="Arial Narrow" w:cs="Arial"/>
                <w:color w:val="000000"/>
                <w:sz w:val="24"/>
              </w:rPr>
            </w:pPr>
            <w:r w:rsidRPr="00DA65AA">
              <w:rPr>
                <w:rFonts w:ascii="Arial Narrow" w:hAnsi="Arial Narrow" w:cs="Arial"/>
                <w:color w:val="000000"/>
                <w:sz w:val="24"/>
              </w:rPr>
              <w:t>Hasta el 100% del Portafolio en USD</w:t>
            </w:r>
          </w:p>
        </w:tc>
      </w:tr>
      <w:tr w:rsidR="007B0E17" w:rsidRPr="00DA65AA" w:rsidTr="00C93704">
        <w:trPr>
          <w:trHeight w:val="615"/>
          <w:jc w:val="center"/>
        </w:trPr>
        <w:tc>
          <w:tcPr>
            <w:tcW w:w="2371" w:type="pct"/>
            <w:tcBorders>
              <w:top w:val="nil"/>
              <w:left w:val="single" w:sz="8" w:space="0" w:color="FFFFFF"/>
              <w:bottom w:val="single" w:sz="8" w:space="0" w:color="FFFFFF"/>
              <w:right w:val="single" w:sz="8" w:space="0" w:color="FFFFFF"/>
            </w:tcBorders>
            <w:shd w:val="clear" w:color="000000" w:fill="D9D9D9"/>
            <w:vAlign w:val="center"/>
            <w:hideMark/>
          </w:tcPr>
          <w:p w:rsidR="007B0E17" w:rsidRPr="00DA65AA" w:rsidRDefault="007B0E17" w:rsidP="00C93704">
            <w:pPr>
              <w:rPr>
                <w:rFonts w:ascii="Arial Narrow" w:hAnsi="Arial Narrow" w:cs="Arial"/>
                <w:color w:val="000000"/>
                <w:sz w:val="24"/>
              </w:rPr>
            </w:pPr>
            <w:r w:rsidRPr="00DA65AA">
              <w:rPr>
                <w:rFonts w:ascii="Arial Narrow" w:hAnsi="Arial Narrow" w:cs="Arial"/>
                <w:color w:val="000000"/>
                <w:sz w:val="24"/>
              </w:rPr>
              <w:t>Cuentas Bancarias</w:t>
            </w:r>
          </w:p>
        </w:tc>
        <w:tc>
          <w:tcPr>
            <w:tcW w:w="2629" w:type="pct"/>
            <w:tcBorders>
              <w:top w:val="nil"/>
              <w:left w:val="nil"/>
              <w:bottom w:val="single" w:sz="8" w:space="0" w:color="FFFFFF"/>
              <w:right w:val="single" w:sz="8" w:space="0" w:color="FFFFFF"/>
            </w:tcBorders>
            <w:shd w:val="clear" w:color="000000" w:fill="D9D9D9"/>
            <w:vAlign w:val="center"/>
            <w:hideMark/>
          </w:tcPr>
          <w:p w:rsidR="007B0E17" w:rsidRPr="00DA65AA" w:rsidRDefault="007B0E17" w:rsidP="00C93704">
            <w:pPr>
              <w:jc w:val="center"/>
              <w:rPr>
                <w:rFonts w:ascii="Arial Narrow" w:hAnsi="Arial Narrow" w:cs="Arial"/>
                <w:color w:val="000000"/>
                <w:sz w:val="24"/>
              </w:rPr>
            </w:pPr>
            <w:r w:rsidRPr="00DA65AA">
              <w:rPr>
                <w:rFonts w:ascii="Arial Narrow" w:hAnsi="Arial Narrow" w:cs="Arial"/>
                <w:color w:val="000000"/>
                <w:sz w:val="24"/>
              </w:rPr>
              <w:t>Hasta el 40% del Portafolio en dólares</w:t>
            </w:r>
          </w:p>
        </w:tc>
      </w:tr>
      <w:tr w:rsidR="007B0E17" w:rsidRPr="00DA65AA" w:rsidTr="00C93704">
        <w:trPr>
          <w:trHeight w:val="600"/>
          <w:jc w:val="center"/>
        </w:trPr>
        <w:tc>
          <w:tcPr>
            <w:tcW w:w="2371" w:type="pct"/>
            <w:tcBorders>
              <w:top w:val="nil"/>
              <w:left w:val="single" w:sz="8" w:space="0" w:color="FFFFFF"/>
              <w:bottom w:val="nil"/>
              <w:right w:val="single" w:sz="8" w:space="0" w:color="FFFFFF"/>
            </w:tcBorders>
            <w:shd w:val="clear" w:color="auto" w:fill="auto"/>
            <w:vAlign w:val="center"/>
            <w:hideMark/>
          </w:tcPr>
          <w:p w:rsidR="007B0E17" w:rsidRPr="00DA65AA" w:rsidRDefault="007B0E17" w:rsidP="00C93704">
            <w:pPr>
              <w:rPr>
                <w:rFonts w:ascii="Arial Narrow" w:hAnsi="Arial Narrow" w:cs="Arial"/>
                <w:color w:val="000000"/>
                <w:sz w:val="24"/>
              </w:rPr>
            </w:pPr>
            <w:r w:rsidRPr="00DA65AA">
              <w:rPr>
                <w:rFonts w:ascii="Arial Narrow" w:hAnsi="Arial Narrow" w:cs="Arial"/>
                <w:color w:val="000000"/>
                <w:sz w:val="24"/>
              </w:rPr>
              <w:t xml:space="preserve">Depósitos a Término </w:t>
            </w:r>
          </w:p>
        </w:tc>
        <w:tc>
          <w:tcPr>
            <w:tcW w:w="2629" w:type="pct"/>
            <w:tcBorders>
              <w:top w:val="nil"/>
              <w:left w:val="nil"/>
              <w:bottom w:val="nil"/>
              <w:right w:val="single" w:sz="8" w:space="0" w:color="FFFFFF"/>
            </w:tcBorders>
            <w:shd w:val="clear" w:color="auto" w:fill="auto"/>
            <w:vAlign w:val="center"/>
            <w:hideMark/>
          </w:tcPr>
          <w:p w:rsidR="007B0E17" w:rsidRPr="00DA65AA" w:rsidRDefault="007B0E17" w:rsidP="00C93704">
            <w:pPr>
              <w:jc w:val="center"/>
              <w:rPr>
                <w:rFonts w:ascii="Arial Narrow" w:hAnsi="Arial Narrow" w:cs="Arial"/>
                <w:color w:val="000000"/>
                <w:sz w:val="24"/>
              </w:rPr>
            </w:pPr>
            <w:r w:rsidRPr="00DA65AA">
              <w:rPr>
                <w:rFonts w:ascii="Arial Narrow" w:hAnsi="Arial Narrow" w:cs="Arial"/>
                <w:color w:val="000000"/>
                <w:sz w:val="24"/>
              </w:rPr>
              <w:t>Hasta el 40% del Portafolio en dólares</w:t>
            </w:r>
          </w:p>
        </w:tc>
      </w:tr>
      <w:tr w:rsidR="007B0E17" w:rsidRPr="00DA65AA" w:rsidTr="007B0E17">
        <w:trPr>
          <w:trHeight w:val="600"/>
          <w:jc w:val="center"/>
        </w:trPr>
        <w:tc>
          <w:tcPr>
            <w:tcW w:w="2371" w:type="pct"/>
            <w:tcBorders>
              <w:top w:val="nil"/>
              <w:left w:val="single" w:sz="8" w:space="0" w:color="FFFFFF"/>
              <w:bottom w:val="nil"/>
              <w:right w:val="single" w:sz="8" w:space="0" w:color="FFFFFF"/>
            </w:tcBorders>
            <w:shd w:val="clear" w:color="auto" w:fill="D9D9D9"/>
            <w:vAlign w:val="center"/>
          </w:tcPr>
          <w:p w:rsidR="007B0E17" w:rsidRPr="00DA65AA" w:rsidRDefault="007B0E17" w:rsidP="00C93704">
            <w:pPr>
              <w:rPr>
                <w:rFonts w:ascii="Arial Narrow" w:hAnsi="Arial Narrow" w:cs="Arial"/>
                <w:i/>
                <w:color w:val="000000"/>
                <w:sz w:val="24"/>
              </w:rPr>
            </w:pPr>
            <w:r w:rsidRPr="00B44AF0">
              <w:rPr>
                <w:rFonts w:ascii="Arial Narrow" w:hAnsi="Arial Narrow" w:cs="Arial"/>
                <w:color w:val="000000"/>
                <w:sz w:val="24"/>
              </w:rPr>
              <w:t>Fondos</w:t>
            </w:r>
            <w:r w:rsidRPr="00DA65AA">
              <w:rPr>
                <w:rFonts w:ascii="Arial Narrow" w:hAnsi="Arial Narrow" w:cs="Arial"/>
                <w:i/>
                <w:color w:val="000000"/>
                <w:sz w:val="24"/>
              </w:rPr>
              <w:t xml:space="preserve"> Money Market</w:t>
            </w:r>
          </w:p>
        </w:tc>
        <w:tc>
          <w:tcPr>
            <w:tcW w:w="2629" w:type="pct"/>
            <w:tcBorders>
              <w:top w:val="nil"/>
              <w:left w:val="nil"/>
              <w:bottom w:val="nil"/>
              <w:right w:val="single" w:sz="8" w:space="0" w:color="FFFFFF"/>
            </w:tcBorders>
            <w:shd w:val="clear" w:color="auto" w:fill="D9D9D9"/>
            <w:vAlign w:val="center"/>
          </w:tcPr>
          <w:p w:rsidR="007B0E17" w:rsidRPr="00DA65AA" w:rsidRDefault="007B0E17" w:rsidP="00C93704">
            <w:pPr>
              <w:jc w:val="center"/>
              <w:rPr>
                <w:rFonts w:ascii="Arial Narrow" w:hAnsi="Arial Narrow" w:cs="Arial"/>
                <w:color w:val="000000"/>
                <w:sz w:val="24"/>
              </w:rPr>
            </w:pPr>
            <w:r w:rsidRPr="00DA65AA">
              <w:rPr>
                <w:rFonts w:ascii="Arial Narrow" w:hAnsi="Arial Narrow" w:cs="Arial"/>
                <w:color w:val="000000"/>
                <w:sz w:val="24"/>
              </w:rPr>
              <w:t>Hasta el 50% del Portafolio en dólares</w:t>
            </w:r>
          </w:p>
        </w:tc>
      </w:tr>
      <w:tr w:rsidR="007B0E17" w:rsidRPr="00DA65AA" w:rsidTr="00C93704">
        <w:trPr>
          <w:trHeight w:val="600"/>
          <w:jc w:val="center"/>
        </w:trPr>
        <w:tc>
          <w:tcPr>
            <w:tcW w:w="2371" w:type="pct"/>
            <w:tcBorders>
              <w:top w:val="nil"/>
              <w:left w:val="single" w:sz="8" w:space="0" w:color="FFFFFF"/>
              <w:bottom w:val="nil"/>
              <w:right w:val="single" w:sz="8" w:space="0" w:color="FFFFFF"/>
            </w:tcBorders>
            <w:shd w:val="clear" w:color="auto" w:fill="auto"/>
            <w:vAlign w:val="center"/>
          </w:tcPr>
          <w:p w:rsidR="007B0E17" w:rsidRPr="00DA65AA" w:rsidRDefault="007B0E17" w:rsidP="00C93704">
            <w:pPr>
              <w:rPr>
                <w:rFonts w:ascii="Arial Narrow" w:hAnsi="Arial Narrow" w:cs="Arial"/>
                <w:color w:val="000000"/>
                <w:sz w:val="24"/>
              </w:rPr>
            </w:pPr>
            <w:r w:rsidRPr="00DA65AA">
              <w:rPr>
                <w:rFonts w:ascii="Arial Narrow" w:hAnsi="Arial Narrow" w:cs="Arial"/>
                <w:color w:val="000000"/>
                <w:sz w:val="24"/>
              </w:rPr>
              <w:t>Bonos Soberanos Extranjeros</w:t>
            </w:r>
          </w:p>
        </w:tc>
        <w:tc>
          <w:tcPr>
            <w:tcW w:w="2629" w:type="pct"/>
            <w:tcBorders>
              <w:top w:val="nil"/>
              <w:left w:val="nil"/>
              <w:bottom w:val="nil"/>
              <w:right w:val="single" w:sz="8" w:space="0" w:color="FFFFFF"/>
            </w:tcBorders>
            <w:shd w:val="clear" w:color="auto" w:fill="auto"/>
            <w:vAlign w:val="center"/>
          </w:tcPr>
          <w:p w:rsidR="007B0E17" w:rsidRPr="00DA65AA" w:rsidRDefault="007B0E17" w:rsidP="00C93704">
            <w:pPr>
              <w:jc w:val="center"/>
              <w:rPr>
                <w:rFonts w:ascii="Arial Narrow" w:hAnsi="Arial Narrow" w:cs="Arial"/>
                <w:color w:val="000000"/>
                <w:sz w:val="24"/>
              </w:rPr>
            </w:pPr>
            <w:r w:rsidRPr="00DA65AA">
              <w:rPr>
                <w:rFonts w:ascii="Arial Narrow" w:hAnsi="Arial Narrow" w:cs="Arial"/>
                <w:color w:val="000000"/>
                <w:sz w:val="24"/>
              </w:rPr>
              <w:t>Hasta el 50% del Portafolio en dólares</w:t>
            </w:r>
          </w:p>
        </w:tc>
      </w:tr>
    </w:tbl>
    <w:p w:rsidR="007B0E17" w:rsidRPr="00DA65AA" w:rsidRDefault="007B0E17" w:rsidP="007B0E17">
      <w:pPr>
        <w:rPr>
          <w:rFonts w:ascii="Arial Narrow" w:hAnsi="Arial Narrow" w:cs="Arial"/>
          <w:sz w:val="24"/>
        </w:rPr>
      </w:pPr>
    </w:p>
    <w:p w:rsidR="007B0E17" w:rsidRPr="00DA65AA" w:rsidRDefault="007B0E17" w:rsidP="007B0E17">
      <w:pPr>
        <w:ind w:left="709"/>
        <w:jc w:val="both"/>
        <w:rPr>
          <w:rFonts w:ascii="Arial Narrow" w:hAnsi="Arial Narrow" w:cs="Arial"/>
          <w:sz w:val="24"/>
        </w:rPr>
      </w:pPr>
      <w:r w:rsidRPr="00DA65AA">
        <w:rPr>
          <w:rFonts w:ascii="Arial Narrow" w:hAnsi="Arial Narrow" w:cs="Arial"/>
          <w:sz w:val="24"/>
        </w:rPr>
        <w:t xml:space="preserve">Con el fin de mantener el principio de diversificación del portafolio, se deberá contar con por lo menos 2 contrapartes para cada producto admisible. En el caso de no contar con una segunda contraparte, se establece un plazo de 30 días para realizar inversiones con otra contraparte autorizada. </w:t>
      </w:r>
    </w:p>
    <w:p w:rsidR="007B0E17" w:rsidRPr="00DA65AA" w:rsidRDefault="007B0E17" w:rsidP="007B0E17">
      <w:pPr>
        <w:ind w:left="709"/>
        <w:jc w:val="both"/>
        <w:rPr>
          <w:rFonts w:ascii="Arial Narrow" w:hAnsi="Arial Narrow" w:cs="Arial"/>
          <w:sz w:val="24"/>
        </w:rPr>
      </w:pPr>
    </w:p>
    <w:p w:rsidR="007B0E17" w:rsidRPr="00DA65AA" w:rsidRDefault="007B0E17" w:rsidP="007B0E17">
      <w:pPr>
        <w:ind w:left="709"/>
        <w:jc w:val="both"/>
        <w:rPr>
          <w:rFonts w:ascii="Arial Narrow" w:hAnsi="Arial Narrow" w:cs="Arial"/>
          <w:sz w:val="24"/>
        </w:rPr>
      </w:pPr>
      <w:r w:rsidRPr="00DA65AA">
        <w:rPr>
          <w:rFonts w:ascii="Arial Narrow" w:hAnsi="Arial Narrow" w:cs="Arial"/>
          <w:sz w:val="24"/>
        </w:rPr>
        <w:t>Estos límites se modificarán mediante aprobación del Director de Crédito Público y Tesoro Nacional. Se incluirán nuevos productos siempre y cuando existan las condiciones y las evaluaciones de riesgo para ser sujetos de inversión admisible.</w:t>
      </w:r>
    </w:p>
    <w:p w:rsidR="007B0E17" w:rsidRPr="00DA65AA" w:rsidRDefault="007B0E17" w:rsidP="007B0E17">
      <w:pPr>
        <w:ind w:left="709"/>
        <w:jc w:val="both"/>
        <w:rPr>
          <w:rFonts w:ascii="Arial Narrow" w:hAnsi="Arial Narrow" w:cs="Arial"/>
          <w:sz w:val="24"/>
        </w:rPr>
      </w:pPr>
    </w:p>
    <w:p w:rsidR="007B0E17" w:rsidRPr="00DA65AA" w:rsidRDefault="007B0E17" w:rsidP="007B0E17">
      <w:pPr>
        <w:ind w:left="709"/>
        <w:jc w:val="both"/>
        <w:rPr>
          <w:rFonts w:ascii="Arial Narrow" w:hAnsi="Arial Narrow" w:cs="Arial"/>
          <w:sz w:val="24"/>
        </w:rPr>
      </w:pPr>
      <w:r w:rsidRPr="00DA65AA">
        <w:rPr>
          <w:rFonts w:ascii="Arial Narrow" w:hAnsi="Arial Narrow" w:cs="Arial"/>
          <w:sz w:val="24"/>
        </w:rPr>
        <w:t>Es necesario constituir una cuenta custodio para realizar inversiones en Bonos Soberanos Extranjeros. Se autoriza la negociación de Bonos Soberanos Extranjeros y sus agencias que cuenten con la calificación máxima de al menos 2 agencias calificadoras de riesgo internacional.</w:t>
      </w:r>
    </w:p>
    <w:p w:rsidR="007B0E17" w:rsidRPr="00DA65AA" w:rsidRDefault="007B0E17" w:rsidP="007B0E17">
      <w:pPr>
        <w:ind w:left="709"/>
        <w:jc w:val="both"/>
        <w:rPr>
          <w:rFonts w:ascii="Arial Narrow" w:hAnsi="Arial Narrow" w:cs="Arial"/>
          <w:sz w:val="24"/>
        </w:rPr>
      </w:pPr>
    </w:p>
    <w:p w:rsidR="007B0E17" w:rsidRPr="00DA65AA" w:rsidRDefault="007B0E17" w:rsidP="007B0E17">
      <w:pPr>
        <w:ind w:left="709" w:right="49"/>
        <w:jc w:val="both"/>
        <w:rPr>
          <w:rFonts w:ascii="Arial Narrow" w:hAnsi="Arial Narrow" w:cs="Arial"/>
          <w:color w:val="000000"/>
          <w:sz w:val="24"/>
        </w:rPr>
      </w:pPr>
      <w:r w:rsidRPr="00DA65AA">
        <w:rPr>
          <w:rFonts w:ascii="Arial Narrow" w:hAnsi="Arial Narrow" w:cs="Arial"/>
          <w:color w:val="000000"/>
          <w:sz w:val="24"/>
        </w:rPr>
        <w:t xml:space="preserve">Para los </w:t>
      </w:r>
      <w:r w:rsidRPr="00B44AF0">
        <w:rPr>
          <w:rFonts w:ascii="Arial Narrow" w:hAnsi="Arial Narrow" w:cs="Arial"/>
          <w:color w:val="000000"/>
          <w:sz w:val="24"/>
        </w:rPr>
        <w:t>fondos</w:t>
      </w:r>
      <w:r w:rsidR="00B44AF0">
        <w:rPr>
          <w:rFonts w:ascii="Arial Narrow" w:hAnsi="Arial Narrow" w:cs="Arial"/>
          <w:i/>
          <w:color w:val="000000"/>
          <w:sz w:val="24"/>
        </w:rPr>
        <w:t xml:space="preserve"> Money M</w:t>
      </w:r>
      <w:r w:rsidRPr="00DA65AA">
        <w:rPr>
          <w:rFonts w:ascii="Arial Narrow" w:hAnsi="Arial Narrow" w:cs="Arial"/>
          <w:i/>
          <w:color w:val="000000"/>
          <w:sz w:val="24"/>
        </w:rPr>
        <w:t>arket</w:t>
      </w:r>
      <w:r w:rsidRPr="00DA65AA">
        <w:rPr>
          <w:rFonts w:ascii="Arial Narrow" w:hAnsi="Arial Narrow" w:cs="Arial"/>
          <w:color w:val="000000"/>
          <w:sz w:val="24"/>
        </w:rPr>
        <w:t>, aplicarán los lineamientos de inversión descritos más adelante.</w:t>
      </w:r>
    </w:p>
    <w:p w:rsidR="007B0E17" w:rsidRDefault="007B0E17" w:rsidP="007B0E17">
      <w:pPr>
        <w:ind w:left="709"/>
        <w:rPr>
          <w:rFonts w:ascii="Arial Narrow" w:hAnsi="Arial Narrow" w:cs="Arial"/>
          <w:sz w:val="24"/>
        </w:rPr>
      </w:pPr>
    </w:p>
    <w:p w:rsidR="00171A99" w:rsidRDefault="00171A99" w:rsidP="007B0E17">
      <w:pPr>
        <w:ind w:left="709"/>
        <w:rPr>
          <w:rFonts w:ascii="Arial Narrow" w:hAnsi="Arial Narrow" w:cs="Arial"/>
          <w:sz w:val="24"/>
        </w:rPr>
      </w:pPr>
    </w:p>
    <w:p w:rsidR="00171A99" w:rsidRDefault="00171A99" w:rsidP="007B0E17">
      <w:pPr>
        <w:ind w:left="709"/>
        <w:rPr>
          <w:rFonts w:ascii="Arial Narrow" w:hAnsi="Arial Narrow" w:cs="Arial"/>
          <w:sz w:val="24"/>
        </w:rPr>
      </w:pPr>
    </w:p>
    <w:p w:rsidR="00171A99" w:rsidRDefault="00171A99" w:rsidP="007B0E17">
      <w:pPr>
        <w:ind w:left="709"/>
        <w:rPr>
          <w:rFonts w:ascii="Arial Narrow" w:hAnsi="Arial Narrow" w:cs="Arial"/>
          <w:sz w:val="24"/>
        </w:rPr>
      </w:pPr>
    </w:p>
    <w:p w:rsidR="00171A99" w:rsidRDefault="00171A99" w:rsidP="007B0E17">
      <w:pPr>
        <w:ind w:left="709"/>
        <w:rPr>
          <w:rFonts w:ascii="Arial Narrow" w:hAnsi="Arial Narrow" w:cs="Arial"/>
          <w:sz w:val="24"/>
        </w:rPr>
      </w:pPr>
    </w:p>
    <w:p w:rsidR="00171A99" w:rsidRDefault="00171A99" w:rsidP="007B0E17">
      <w:pPr>
        <w:ind w:left="709"/>
        <w:rPr>
          <w:rFonts w:ascii="Arial Narrow" w:hAnsi="Arial Narrow" w:cs="Arial"/>
          <w:sz w:val="24"/>
        </w:rPr>
      </w:pPr>
    </w:p>
    <w:p w:rsidR="00171A99" w:rsidRDefault="00171A99" w:rsidP="007B0E17">
      <w:pPr>
        <w:ind w:left="709"/>
        <w:rPr>
          <w:rFonts w:ascii="Arial Narrow" w:hAnsi="Arial Narrow" w:cs="Arial"/>
          <w:sz w:val="24"/>
        </w:rPr>
      </w:pPr>
    </w:p>
    <w:p w:rsidR="00171A99" w:rsidRPr="00DA65AA" w:rsidRDefault="00171A99" w:rsidP="007B0E17">
      <w:pPr>
        <w:ind w:left="709"/>
        <w:rPr>
          <w:rFonts w:ascii="Arial Narrow" w:hAnsi="Arial Narrow" w:cs="Arial"/>
          <w:sz w:val="24"/>
        </w:rPr>
      </w:pPr>
    </w:p>
    <w:p w:rsidR="007B0E17" w:rsidRPr="00643B2D" w:rsidRDefault="007B0E17" w:rsidP="00C408EF">
      <w:pPr>
        <w:numPr>
          <w:ilvl w:val="0"/>
          <w:numId w:val="27"/>
        </w:numPr>
        <w:rPr>
          <w:rFonts w:ascii="Arial Narrow" w:hAnsi="Arial Narrow" w:cs="Arial"/>
          <w:sz w:val="24"/>
        </w:rPr>
      </w:pPr>
      <w:r w:rsidRPr="00643B2D">
        <w:rPr>
          <w:rFonts w:ascii="Arial Narrow" w:hAnsi="Arial Narrow" w:cs="Arial"/>
          <w:sz w:val="24"/>
        </w:rPr>
        <w:lastRenderedPageBreak/>
        <w:t>Calificación Crediticia del Emisor:</w:t>
      </w:r>
    </w:p>
    <w:p w:rsidR="007B0E17" w:rsidRPr="00DA65AA" w:rsidRDefault="007B0E17" w:rsidP="007B0E17">
      <w:pPr>
        <w:ind w:left="720"/>
        <w:rPr>
          <w:rFonts w:ascii="Arial Narrow" w:hAnsi="Arial Narrow" w:cs="Arial"/>
          <w:sz w:val="24"/>
        </w:rPr>
      </w:pPr>
    </w:p>
    <w:p w:rsidR="00C93704" w:rsidRPr="00DA65AA" w:rsidRDefault="007B0E17" w:rsidP="007B0E17">
      <w:pPr>
        <w:ind w:left="360"/>
        <w:rPr>
          <w:rFonts w:ascii="Arial Narrow" w:hAnsi="Arial Narrow" w:cs="Arial"/>
          <w:sz w:val="24"/>
        </w:rPr>
      </w:pPr>
      <w:r w:rsidRPr="00DA65AA">
        <w:rPr>
          <w:rFonts w:ascii="Arial Narrow" w:hAnsi="Arial Narrow" w:cs="Arial"/>
          <w:sz w:val="24"/>
        </w:rPr>
        <w:t>El siguiente límite se define para las operaciones del portafolio en moneda extranjera con contrapartes del exterior:</w:t>
      </w:r>
    </w:p>
    <w:p w:rsidR="007B0E17" w:rsidRPr="00DA65AA" w:rsidRDefault="007B0E17" w:rsidP="007B0E17">
      <w:pPr>
        <w:ind w:left="360"/>
        <w:rPr>
          <w:rFonts w:ascii="Arial Narrow" w:hAnsi="Arial Narrow" w:cs="Arial"/>
          <w:sz w:val="24"/>
        </w:rPr>
      </w:pPr>
    </w:p>
    <w:tbl>
      <w:tblPr>
        <w:tblW w:w="4319" w:type="pct"/>
        <w:jc w:val="center"/>
        <w:tblLayout w:type="fixed"/>
        <w:tblCellMar>
          <w:left w:w="70" w:type="dxa"/>
          <w:right w:w="70" w:type="dxa"/>
        </w:tblCellMar>
        <w:tblLook w:val="04A0" w:firstRow="1" w:lastRow="0" w:firstColumn="1" w:lastColumn="0" w:noHBand="0" w:noVBand="1"/>
      </w:tblPr>
      <w:tblGrid>
        <w:gridCol w:w="4837"/>
        <w:gridCol w:w="2782"/>
      </w:tblGrid>
      <w:tr w:rsidR="007B0E17" w:rsidRPr="00DA65AA" w:rsidTr="00C93704">
        <w:trPr>
          <w:trHeight w:val="330"/>
          <w:jc w:val="center"/>
        </w:trPr>
        <w:tc>
          <w:tcPr>
            <w:tcW w:w="3174" w:type="pct"/>
            <w:tcBorders>
              <w:top w:val="single" w:sz="8" w:space="0" w:color="FFFFFF"/>
              <w:left w:val="single" w:sz="8" w:space="0" w:color="FFFFFF"/>
              <w:bottom w:val="single" w:sz="8" w:space="0" w:color="FFFFFF"/>
              <w:right w:val="single" w:sz="8" w:space="0" w:color="FFFFFF"/>
            </w:tcBorders>
            <w:shd w:val="clear" w:color="000000" w:fill="17365D"/>
            <w:vAlign w:val="center"/>
            <w:hideMark/>
          </w:tcPr>
          <w:p w:rsidR="007B0E17" w:rsidRPr="00DA65AA" w:rsidRDefault="007B0E17" w:rsidP="00C93704">
            <w:pPr>
              <w:jc w:val="center"/>
              <w:rPr>
                <w:rFonts w:ascii="Arial Narrow" w:hAnsi="Arial Narrow" w:cs="Arial"/>
                <w:b/>
                <w:bCs/>
                <w:color w:val="FFFFFF"/>
                <w:sz w:val="24"/>
              </w:rPr>
            </w:pPr>
            <w:r w:rsidRPr="00DA65AA">
              <w:rPr>
                <w:rFonts w:ascii="Arial Narrow" w:hAnsi="Arial Narrow" w:cs="Arial"/>
                <w:b/>
                <w:bCs/>
                <w:color w:val="FFFFFF"/>
                <w:sz w:val="24"/>
              </w:rPr>
              <w:t>Calificación Crediticia</w:t>
            </w:r>
          </w:p>
        </w:tc>
        <w:tc>
          <w:tcPr>
            <w:tcW w:w="1826" w:type="pct"/>
            <w:tcBorders>
              <w:top w:val="single" w:sz="8" w:space="0" w:color="FFFFFF"/>
              <w:left w:val="nil"/>
              <w:bottom w:val="single" w:sz="8" w:space="0" w:color="FFFFFF"/>
              <w:right w:val="single" w:sz="8" w:space="0" w:color="FFFFFF"/>
            </w:tcBorders>
            <w:shd w:val="clear" w:color="000000" w:fill="17365D"/>
            <w:vAlign w:val="center"/>
            <w:hideMark/>
          </w:tcPr>
          <w:p w:rsidR="007B0E17" w:rsidRPr="00DA65AA" w:rsidRDefault="007B0E17" w:rsidP="00C93704">
            <w:pPr>
              <w:jc w:val="center"/>
              <w:rPr>
                <w:rFonts w:ascii="Arial Narrow" w:hAnsi="Arial Narrow" w:cs="Arial"/>
                <w:b/>
                <w:bCs/>
                <w:color w:val="FFFFFF"/>
                <w:sz w:val="24"/>
              </w:rPr>
            </w:pPr>
            <w:r w:rsidRPr="00DA65AA">
              <w:rPr>
                <w:rFonts w:ascii="Arial Narrow" w:hAnsi="Arial Narrow" w:cs="Arial"/>
                <w:b/>
                <w:bCs/>
                <w:color w:val="FFFFFF"/>
                <w:sz w:val="24"/>
              </w:rPr>
              <w:t>Límite General</w:t>
            </w:r>
          </w:p>
        </w:tc>
      </w:tr>
      <w:tr w:rsidR="007B0E17" w:rsidRPr="00DA65AA" w:rsidTr="00C93704">
        <w:trPr>
          <w:trHeight w:val="615"/>
          <w:jc w:val="center"/>
        </w:trPr>
        <w:tc>
          <w:tcPr>
            <w:tcW w:w="3174" w:type="pct"/>
            <w:tcBorders>
              <w:top w:val="nil"/>
              <w:left w:val="single" w:sz="8" w:space="0" w:color="FFFFFF"/>
              <w:bottom w:val="single" w:sz="8" w:space="0" w:color="FFFFFF"/>
              <w:right w:val="single" w:sz="8" w:space="0" w:color="FFFFFF"/>
            </w:tcBorders>
            <w:shd w:val="clear" w:color="000000" w:fill="D9D9D9"/>
            <w:vAlign w:val="center"/>
            <w:hideMark/>
          </w:tcPr>
          <w:p w:rsidR="007B0E17" w:rsidRPr="00DA65AA" w:rsidRDefault="007B0E17" w:rsidP="00C93704">
            <w:pPr>
              <w:rPr>
                <w:rFonts w:ascii="Arial Narrow" w:hAnsi="Arial Narrow" w:cs="Arial"/>
                <w:color w:val="000000"/>
                <w:sz w:val="24"/>
              </w:rPr>
            </w:pPr>
            <w:r w:rsidRPr="00DA65AA">
              <w:rPr>
                <w:rFonts w:ascii="Arial Narrow" w:hAnsi="Arial Narrow" w:cs="Arial"/>
                <w:color w:val="000000"/>
                <w:sz w:val="24"/>
              </w:rPr>
              <w:t>Emisores/entidad con calificación AAA</w:t>
            </w:r>
          </w:p>
        </w:tc>
        <w:tc>
          <w:tcPr>
            <w:tcW w:w="1826" w:type="pct"/>
            <w:tcBorders>
              <w:top w:val="nil"/>
              <w:left w:val="nil"/>
              <w:bottom w:val="single" w:sz="8" w:space="0" w:color="FFFFFF"/>
              <w:right w:val="single" w:sz="8" w:space="0" w:color="FFFFFF"/>
            </w:tcBorders>
            <w:shd w:val="clear" w:color="000000" w:fill="D9D9D9"/>
            <w:vAlign w:val="center"/>
            <w:hideMark/>
          </w:tcPr>
          <w:p w:rsidR="007B0E17" w:rsidRPr="00DA65AA" w:rsidRDefault="007B0E17" w:rsidP="00C93704">
            <w:pPr>
              <w:jc w:val="center"/>
              <w:rPr>
                <w:rFonts w:ascii="Arial Narrow" w:hAnsi="Arial Narrow" w:cs="Arial"/>
                <w:color w:val="000000"/>
                <w:sz w:val="24"/>
              </w:rPr>
            </w:pPr>
            <w:r w:rsidRPr="00DA65AA">
              <w:rPr>
                <w:rFonts w:ascii="Arial Narrow" w:hAnsi="Arial Narrow" w:cs="Arial"/>
                <w:color w:val="000000"/>
                <w:sz w:val="24"/>
              </w:rPr>
              <w:t>Hasta el 100% del Portafolio en dólares</w:t>
            </w:r>
          </w:p>
        </w:tc>
      </w:tr>
      <w:tr w:rsidR="007B0E17" w:rsidRPr="00DA65AA" w:rsidTr="00C93704">
        <w:trPr>
          <w:trHeight w:val="600"/>
          <w:jc w:val="center"/>
        </w:trPr>
        <w:tc>
          <w:tcPr>
            <w:tcW w:w="3174" w:type="pct"/>
            <w:tcBorders>
              <w:top w:val="nil"/>
              <w:left w:val="single" w:sz="8" w:space="0" w:color="FFFFFF"/>
              <w:bottom w:val="nil"/>
              <w:right w:val="single" w:sz="8" w:space="0" w:color="FFFFFF"/>
            </w:tcBorders>
            <w:shd w:val="clear" w:color="auto" w:fill="auto"/>
            <w:vAlign w:val="center"/>
            <w:hideMark/>
          </w:tcPr>
          <w:p w:rsidR="007B0E17" w:rsidRPr="00DA65AA" w:rsidRDefault="007B0E17" w:rsidP="00C93704">
            <w:pPr>
              <w:rPr>
                <w:rFonts w:ascii="Arial Narrow" w:hAnsi="Arial Narrow" w:cs="Arial"/>
                <w:color w:val="000000"/>
                <w:sz w:val="24"/>
              </w:rPr>
            </w:pPr>
            <w:r w:rsidRPr="00DA65AA">
              <w:rPr>
                <w:rFonts w:ascii="Arial Narrow" w:hAnsi="Arial Narrow" w:cs="Arial"/>
                <w:color w:val="000000"/>
                <w:sz w:val="24"/>
              </w:rPr>
              <w:t>Emisores/entidad con calificación entre A/A2 (Moody</w:t>
            </w:r>
            <w:r w:rsidR="00611C10">
              <w:rPr>
                <w:rFonts w:ascii="Arial Narrow" w:hAnsi="Arial Narrow" w:cs="Arial"/>
                <w:color w:val="000000"/>
                <w:sz w:val="24"/>
              </w:rPr>
              <w:t>’</w:t>
            </w:r>
            <w:r w:rsidRPr="00DA65AA">
              <w:rPr>
                <w:rFonts w:ascii="Arial Narrow" w:hAnsi="Arial Narrow" w:cs="Arial"/>
                <w:color w:val="000000"/>
                <w:sz w:val="24"/>
              </w:rPr>
              <w:t>s) hasta AA+/Aa1 (Moody’s)</w:t>
            </w:r>
          </w:p>
        </w:tc>
        <w:tc>
          <w:tcPr>
            <w:tcW w:w="1826" w:type="pct"/>
            <w:tcBorders>
              <w:top w:val="nil"/>
              <w:left w:val="nil"/>
              <w:bottom w:val="nil"/>
              <w:right w:val="single" w:sz="8" w:space="0" w:color="FFFFFF"/>
            </w:tcBorders>
            <w:shd w:val="clear" w:color="auto" w:fill="auto"/>
            <w:vAlign w:val="center"/>
            <w:hideMark/>
          </w:tcPr>
          <w:p w:rsidR="007B0E17" w:rsidRPr="00DA65AA" w:rsidRDefault="007B0E17" w:rsidP="00C93704">
            <w:pPr>
              <w:jc w:val="center"/>
              <w:rPr>
                <w:rFonts w:ascii="Arial Narrow" w:hAnsi="Arial Narrow" w:cs="Arial"/>
                <w:color w:val="000000"/>
                <w:sz w:val="24"/>
              </w:rPr>
            </w:pPr>
            <w:r w:rsidRPr="00DA65AA">
              <w:rPr>
                <w:rFonts w:ascii="Arial Narrow" w:hAnsi="Arial Narrow" w:cs="Arial"/>
                <w:color w:val="000000"/>
                <w:sz w:val="24"/>
              </w:rPr>
              <w:t>Hasta el 30% del Portafolio en dólares</w:t>
            </w:r>
          </w:p>
        </w:tc>
      </w:tr>
      <w:tr w:rsidR="007B0E17" w:rsidRPr="00DA65AA" w:rsidTr="007B0E17">
        <w:trPr>
          <w:trHeight w:val="600"/>
          <w:jc w:val="center"/>
        </w:trPr>
        <w:tc>
          <w:tcPr>
            <w:tcW w:w="3174" w:type="pct"/>
            <w:tcBorders>
              <w:top w:val="nil"/>
              <w:left w:val="single" w:sz="8" w:space="0" w:color="FFFFFF"/>
              <w:bottom w:val="nil"/>
              <w:right w:val="single" w:sz="8" w:space="0" w:color="FFFFFF"/>
            </w:tcBorders>
            <w:shd w:val="clear" w:color="auto" w:fill="D9D9D9"/>
            <w:vAlign w:val="center"/>
          </w:tcPr>
          <w:p w:rsidR="007B0E17" w:rsidRPr="00DA65AA" w:rsidRDefault="007B0E17" w:rsidP="00C93704">
            <w:pPr>
              <w:rPr>
                <w:rFonts w:ascii="Arial Narrow" w:hAnsi="Arial Narrow" w:cs="Arial"/>
                <w:color w:val="000000"/>
                <w:sz w:val="24"/>
              </w:rPr>
            </w:pPr>
            <w:r w:rsidRPr="00DA65AA">
              <w:rPr>
                <w:rFonts w:ascii="Arial Narrow" w:hAnsi="Arial Narrow" w:cs="Arial"/>
                <w:color w:val="000000"/>
                <w:sz w:val="24"/>
              </w:rPr>
              <w:t>Emisores/entidad con calificación A-/A3 (Moody’s)</w:t>
            </w:r>
          </w:p>
        </w:tc>
        <w:tc>
          <w:tcPr>
            <w:tcW w:w="1826" w:type="pct"/>
            <w:tcBorders>
              <w:top w:val="nil"/>
              <w:left w:val="nil"/>
              <w:bottom w:val="nil"/>
              <w:right w:val="single" w:sz="8" w:space="0" w:color="FFFFFF"/>
            </w:tcBorders>
            <w:shd w:val="clear" w:color="auto" w:fill="D9D9D9"/>
            <w:vAlign w:val="center"/>
          </w:tcPr>
          <w:p w:rsidR="007B0E17" w:rsidRPr="00DA65AA" w:rsidRDefault="007B0E17" w:rsidP="00C93704">
            <w:pPr>
              <w:jc w:val="center"/>
              <w:rPr>
                <w:rFonts w:ascii="Arial Narrow" w:hAnsi="Arial Narrow" w:cs="Arial"/>
                <w:color w:val="000000"/>
                <w:sz w:val="24"/>
              </w:rPr>
            </w:pPr>
            <w:r w:rsidRPr="00DA65AA">
              <w:rPr>
                <w:rFonts w:ascii="Arial Narrow" w:hAnsi="Arial Narrow" w:cs="Arial"/>
                <w:color w:val="000000"/>
                <w:sz w:val="24"/>
              </w:rPr>
              <w:t>Hasta el 15% del Portafolio en dólares</w:t>
            </w:r>
          </w:p>
        </w:tc>
      </w:tr>
    </w:tbl>
    <w:p w:rsidR="002E2CFD" w:rsidRPr="00DA65AA" w:rsidRDefault="002E2CFD" w:rsidP="002E2CFD">
      <w:pPr>
        <w:rPr>
          <w:rFonts w:ascii="Arial Narrow" w:hAnsi="Arial Narrow" w:cs="Arial"/>
          <w:sz w:val="24"/>
        </w:rPr>
      </w:pPr>
    </w:p>
    <w:p w:rsidR="00384F28" w:rsidRPr="00DA65AA" w:rsidRDefault="00982327" w:rsidP="002E2CFD">
      <w:pPr>
        <w:rPr>
          <w:rFonts w:ascii="Arial Narrow" w:hAnsi="Arial Narrow" w:cs="Arial"/>
          <w:sz w:val="24"/>
        </w:rPr>
      </w:pPr>
      <w:r>
        <w:rPr>
          <w:rFonts w:ascii="Arial Narrow" w:hAnsi="Arial Narrow" w:cs="Arial"/>
          <w:sz w:val="24"/>
        </w:rPr>
        <w:t xml:space="preserve">Vale la pena mencionar que ninguna entidad debe superar el límite general de forma individual, es decir se tomará la proporción de cada entidad sobre el total del portafolio en moneda extranjera.  </w:t>
      </w:r>
    </w:p>
    <w:p w:rsidR="00384F28" w:rsidRPr="00DA65AA" w:rsidRDefault="00384F28" w:rsidP="002E2CFD">
      <w:pPr>
        <w:rPr>
          <w:rFonts w:ascii="Arial Narrow" w:hAnsi="Arial Narrow" w:cs="Arial"/>
          <w:sz w:val="24"/>
        </w:rPr>
      </w:pPr>
    </w:p>
    <w:p w:rsidR="003C686A" w:rsidRPr="00DA65AA" w:rsidRDefault="007B0E17" w:rsidP="007B0E17">
      <w:pPr>
        <w:pStyle w:val="Ttulo2"/>
      </w:pPr>
      <w:bookmarkStart w:id="45" w:name="_Toc4596441"/>
      <w:r w:rsidRPr="00DA65AA">
        <w:t>Límites por Calificación Crediticia para la Asignación de Cupos</w:t>
      </w:r>
      <w:bookmarkEnd w:id="45"/>
    </w:p>
    <w:p w:rsidR="007B0E17" w:rsidRPr="00DA65AA" w:rsidRDefault="007B0E17" w:rsidP="007B0E17">
      <w:pPr>
        <w:rPr>
          <w:rFonts w:ascii="Arial Narrow" w:hAnsi="Arial Narrow"/>
          <w:lang w:val="es-CO"/>
        </w:rPr>
      </w:pPr>
    </w:p>
    <w:p w:rsidR="007B0E17" w:rsidRPr="00DA65AA" w:rsidRDefault="007B0E17" w:rsidP="007B0E17">
      <w:pPr>
        <w:pStyle w:val="Ttulo3"/>
        <w:rPr>
          <w:lang w:val="es-CO"/>
        </w:rPr>
      </w:pPr>
      <w:bookmarkStart w:id="46" w:name="_Toc4596442"/>
      <w:r w:rsidRPr="00DA65AA">
        <w:rPr>
          <w:lang w:val="es-CO"/>
        </w:rPr>
        <w:t>Calificación admisible para entidades locales</w:t>
      </w:r>
      <w:bookmarkEnd w:id="46"/>
    </w:p>
    <w:p w:rsidR="007B0E17" w:rsidRPr="00DA65AA" w:rsidRDefault="007B0E17" w:rsidP="007B0E17">
      <w:pPr>
        <w:rPr>
          <w:rFonts w:ascii="Arial Narrow" w:hAnsi="Arial Narrow"/>
          <w:lang w:val="es-CO"/>
        </w:rPr>
      </w:pPr>
    </w:p>
    <w:tbl>
      <w:tblPr>
        <w:tblW w:w="8312" w:type="dxa"/>
        <w:jc w:val="center"/>
        <w:tblCellMar>
          <w:left w:w="70" w:type="dxa"/>
          <w:right w:w="70" w:type="dxa"/>
        </w:tblCellMar>
        <w:tblLook w:val="04A0" w:firstRow="1" w:lastRow="0" w:firstColumn="1" w:lastColumn="0" w:noHBand="0" w:noVBand="1"/>
      </w:tblPr>
      <w:tblGrid>
        <w:gridCol w:w="3880"/>
        <w:gridCol w:w="1860"/>
        <w:gridCol w:w="2572"/>
      </w:tblGrid>
      <w:tr w:rsidR="007B0E17" w:rsidRPr="00DA65AA" w:rsidTr="007B0E17">
        <w:trPr>
          <w:trHeight w:val="615"/>
          <w:jc w:val="center"/>
        </w:trPr>
        <w:tc>
          <w:tcPr>
            <w:tcW w:w="3880" w:type="dxa"/>
            <w:tcBorders>
              <w:top w:val="single" w:sz="8" w:space="0" w:color="FFFFFF"/>
              <w:left w:val="single" w:sz="8" w:space="0" w:color="FFFFFF"/>
              <w:bottom w:val="single" w:sz="8" w:space="0" w:color="FFFFFF"/>
              <w:right w:val="single" w:sz="8" w:space="0" w:color="FFFFFF"/>
            </w:tcBorders>
            <w:shd w:val="clear" w:color="auto" w:fill="17365D"/>
            <w:vAlign w:val="center"/>
            <w:hideMark/>
          </w:tcPr>
          <w:p w:rsidR="007B0E17" w:rsidRPr="00DA65AA" w:rsidRDefault="007B0E17" w:rsidP="00C93704">
            <w:pPr>
              <w:jc w:val="center"/>
              <w:rPr>
                <w:rFonts w:ascii="Arial Narrow" w:hAnsi="Arial Narrow" w:cs="Arial"/>
                <w:b/>
                <w:bCs/>
                <w:color w:val="FFFFFF"/>
                <w:sz w:val="24"/>
              </w:rPr>
            </w:pPr>
            <w:r w:rsidRPr="00DA65AA">
              <w:rPr>
                <w:rFonts w:ascii="Arial Narrow" w:hAnsi="Arial Narrow" w:cs="Arial"/>
                <w:b/>
                <w:bCs/>
                <w:color w:val="FFFFFF"/>
                <w:sz w:val="24"/>
              </w:rPr>
              <w:t>Calificaciones Admisibles para Asignación de Cupos</w:t>
            </w:r>
          </w:p>
        </w:tc>
        <w:tc>
          <w:tcPr>
            <w:tcW w:w="1860" w:type="dxa"/>
            <w:tcBorders>
              <w:top w:val="single" w:sz="8" w:space="0" w:color="FFFFFF"/>
              <w:left w:val="nil"/>
              <w:bottom w:val="single" w:sz="8" w:space="0" w:color="FFFFFF"/>
              <w:right w:val="single" w:sz="8" w:space="0" w:color="FFFFFF"/>
            </w:tcBorders>
            <w:shd w:val="clear" w:color="auto" w:fill="17365D"/>
            <w:vAlign w:val="center"/>
            <w:hideMark/>
          </w:tcPr>
          <w:p w:rsidR="007B0E17" w:rsidRPr="00DA65AA" w:rsidRDefault="007B0E17" w:rsidP="00C93704">
            <w:pPr>
              <w:jc w:val="center"/>
              <w:rPr>
                <w:rFonts w:ascii="Arial Narrow" w:hAnsi="Arial Narrow" w:cs="Arial"/>
                <w:b/>
                <w:bCs/>
                <w:color w:val="FFFFFF"/>
                <w:sz w:val="24"/>
              </w:rPr>
            </w:pPr>
            <w:r w:rsidRPr="00DA65AA">
              <w:rPr>
                <w:rFonts w:ascii="Arial Narrow" w:hAnsi="Arial Narrow" w:cs="Arial"/>
                <w:b/>
                <w:bCs/>
                <w:color w:val="FFFFFF"/>
                <w:sz w:val="24"/>
              </w:rPr>
              <w:t>Calificación de Corto Plazo*</w:t>
            </w:r>
          </w:p>
        </w:tc>
        <w:tc>
          <w:tcPr>
            <w:tcW w:w="2572" w:type="dxa"/>
            <w:tcBorders>
              <w:top w:val="single" w:sz="8" w:space="0" w:color="FFFFFF"/>
              <w:left w:val="nil"/>
              <w:bottom w:val="single" w:sz="8" w:space="0" w:color="FFFFFF"/>
              <w:right w:val="single" w:sz="8" w:space="0" w:color="FFFFFF"/>
            </w:tcBorders>
            <w:shd w:val="clear" w:color="auto" w:fill="17365D"/>
            <w:vAlign w:val="center"/>
            <w:hideMark/>
          </w:tcPr>
          <w:p w:rsidR="007B0E17" w:rsidRPr="00DA65AA" w:rsidRDefault="007B0E17" w:rsidP="00C93704">
            <w:pPr>
              <w:jc w:val="center"/>
              <w:rPr>
                <w:rFonts w:ascii="Arial Narrow" w:hAnsi="Arial Narrow" w:cs="Arial"/>
                <w:b/>
                <w:bCs/>
                <w:color w:val="FFFFFF"/>
                <w:sz w:val="24"/>
              </w:rPr>
            </w:pPr>
            <w:r w:rsidRPr="00DA65AA">
              <w:rPr>
                <w:rFonts w:ascii="Arial Narrow" w:hAnsi="Arial Narrow" w:cs="Arial"/>
                <w:b/>
                <w:bCs/>
                <w:color w:val="FFFFFF"/>
                <w:sz w:val="24"/>
              </w:rPr>
              <w:t>Calificación de Largo Plazo*</w:t>
            </w:r>
          </w:p>
        </w:tc>
      </w:tr>
      <w:tr w:rsidR="007B0E17" w:rsidRPr="00DA65AA" w:rsidTr="007B0E17">
        <w:trPr>
          <w:trHeight w:val="445"/>
          <w:jc w:val="center"/>
        </w:trPr>
        <w:tc>
          <w:tcPr>
            <w:tcW w:w="3880" w:type="dxa"/>
            <w:tcBorders>
              <w:top w:val="nil"/>
              <w:left w:val="single" w:sz="8" w:space="0" w:color="FFFFFF"/>
              <w:bottom w:val="nil"/>
              <w:right w:val="single" w:sz="8" w:space="0" w:color="FFFFFF"/>
            </w:tcBorders>
            <w:shd w:val="clear" w:color="auto" w:fill="D9D9D9"/>
            <w:vAlign w:val="center"/>
            <w:hideMark/>
          </w:tcPr>
          <w:p w:rsidR="007B0E17" w:rsidRPr="00DA65AA" w:rsidRDefault="007B0E17" w:rsidP="00C93704">
            <w:pPr>
              <w:rPr>
                <w:rFonts w:ascii="Arial Narrow" w:hAnsi="Arial Narrow" w:cs="Arial"/>
                <w:color w:val="000000"/>
                <w:sz w:val="24"/>
              </w:rPr>
            </w:pPr>
            <w:r w:rsidRPr="00DA65AA">
              <w:rPr>
                <w:rFonts w:ascii="Arial Narrow" w:hAnsi="Arial Narrow" w:cs="Arial"/>
                <w:color w:val="000000"/>
                <w:sz w:val="24"/>
              </w:rPr>
              <w:t>Cupos de Contraparte para Entidades Nacionales</w:t>
            </w:r>
          </w:p>
        </w:tc>
        <w:tc>
          <w:tcPr>
            <w:tcW w:w="1860" w:type="dxa"/>
            <w:tcBorders>
              <w:top w:val="nil"/>
              <w:left w:val="nil"/>
              <w:bottom w:val="nil"/>
              <w:right w:val="single" w:sz="8" w:space="0" w:color="FFFFFF"/>
            </w:tcBorders>
            <w:shd w:val="clear" w:color="auto" w:fill="D9D9D9"/>
            <w:vAlign w:val="center"/>
            <w:hideMark/>
          </w:tcPr>
          <w:p w:rsidR="007B0E17" w:rsidRPr="00DA65AA" w:rsidRDefault="007B0E17" w:rsidP="00C93704">
            <w:pPr>
              <w:jc w:val="center"/>
              <w:rPr>
                <w:rFonts w:ascii="Arial Narrow" w:hAnsi="Arial Narrow" w:cs="Arial"/>
                <w:color w:val="000000"/>
                <w:sz w:val="24"/>
              </w:rPr>
            </w:pPr>
            <w:r w:rsidRPr="00DA65AA">
              <w:rPr>
                <w:rFonts w:ascii="Arial Narrow" w:hAnsi="Arial Narrow" w:cs="Arial"/>
                <w:color w:val="000000"/>
                <w:sz w:val="24"/>
              </w:rPr>
              <w:t>BRC 1+ / F1+ / VrR1+</w:t>
            </w:r>
          </w:p>
        </w:tc>
        <w:tc>
          <w:tcPr>
            <w:tcW w:w="2572" w:type="dxa"/>
            <w:tcBorders>
              <w:top w:val="nil"/>
              <w:left w:val="nil"/>
              <w:bottom w:val="nil"/>
              <w:right w:val="single" w:sz="8" w:space="0" w:color="FFFFFF"/>
            </w:tcBorders>
            <w:shd w:val="clear" w:color="auto" w:fill="D9D9D9"/>
            <w:vAlign w:val="center"/>
            <w:hideMark/>
          </w:tcPr>
          <w:p w:rsidR="007B0E17" w:rsidRPr="00DA65AA" w:rsidRDefault="007B0E17" w:rsidP="00C93704">
            <w:pPr>
              <w:jc w:val="center"/>
              <w:rPr>
                <w:rFonts w:ascii="Arial Narrow" w:hAnsi="Arial Narrow" w:cs="Arial"/>
                <w:color w:val="000000"/>
                <w:sz w:val="24"/>
              </w:rPr>
            </w:pPr>
            <w:r w:rsidRPr="00DA65AA">
              <w:rPr>
                <w:rFonts w:ascii="Arial Narrow" w:hAnsi="Arial Narrow" w:cs="Arial"/>
                <w:color w:val="000000"/>
                <w:sz w:val="24"/>
              </w:rPr>
              <w:t>Máxima Calificación (AAA)</w:t>
            </w:r>
          </w:p>
        </w:tc>
      </w:tr>
      <w:tr w:rsidR="007B0E17" w:rsidRPr="00DA65AA" w:rsidTr="007B0E17">
        <w:trPr>
          <w:trHeight w:val="162"/>
          <w:jc w:val="center"/>
        </w:trPr>
        <w:tc>
          <w:tcPr>
            <w:tcW w:w="8312" w:type="dxa"/>
            <w:gridSpan w:val="3"/>
            <w:tcBorders>
              <w:top w:val="nil"/>
              <w:left w:val="single" w:sz="8" w:space="0" w:color="FFFFFF"/>
              <w:bottom w:val="single" w:sz="8" w:space="0" w:color="FFFFFF"/>
              <w:right w:val="single" w:sz="8" w:space="0" w:color="FFFFFF"/>
            </w:tcBorders>
            <w:shd w:val="clear" w:color="auto" w:fill="auto"/>
            <w:vAlign w:val="center"/>
          </w:tcPr>
          <w:p w:rsidR="007B0E17" w:rsidRPr="00DA65AA" w:rsidRDefault="007B0E17" w:rsidP="00C93704">
            <w:pPr>
              <w:rPr>
                <w:rFonts w:ascii="Arial Narrow" w:hAnsi="Arial Narrow" w:cs="Arial"/>
                <w:color w:val="000000"/>
                <w:sz w:val="24"/>
              </w:rPr>
            </w:pPr>
            <w:r w:rsidRPr="00DA65AA">
              <w:rPr>
                <w:rFonts w:ascii="Arial Narrow" w:hAnsi="Arial Narrow" w:cs="Arial"/>
                <w:color w:val="000000"/>
              </w:rPr>
              <w:t>*Calificación crediticia de agencias locales</w:t>
            </w:r>
          </w:p>
        </w:tc>
      </w:tr>
    </w:tbl>
    <w:p w:rsidR="007B0E17" w:rsidRPr="00DA65AA" w:rsidRDefault="007B0E17" w:rsidP="007B0E17">
      <w:pPr>
        <w:rPr>
          <w:rFonts w:ascii="Arial Narrow" w:hAnsi="Arial Narrow"/>
          <w:lang w:val="es-CO"/>
        </w:rPr>
      </w:pPr>
    </w:p>
    <w:p w:rsidR="007B0E17" w:rsidRPr="00DA65AA" w:rsidRDefault="007B0E17" w:rsidP="007B0E17">
      <w:pPr>
        <w:jc w:val="both"/>
        <w:rPr>
          <w:rFonts w:ascii="Arial Narrow" w:hAnsi="Arial Narrow" w:cs="Arial"/>
          <w:sz w:val="24"/>
        </w:rPr>
      </w:pPr>
      <w:r w:rsidRPr="00DA65AA">
        <w:rPr>
          <w:rFonts w:ascii="Arial Narrow" w:hAnsi="Arial Narrow" w:cs="Arial"/>
          <w:sz w:val="24"/>
        </w:rPr>
        <w:t xml:space="preserve">Para que las Entidades Nacionales puedan tener cupo aprobado se deberá cumplir con los criterios de calificación de por lo menos una agencia calificadora local. </w:t>
      </w:r>
    </w:p>
    <w:p w:rsidR="007B0E17" w:rsidRPr="00DA65AA" w:rsidRDefault="007B0E17" w:rsidP="007B0E17">
      <w:pPr>
        <w:jc w:val="both"/>
        <w:rPr>
          <w:rFonts w:ascii="Arial Narrow" w:hAnsi="Arial Narrow" w:cs="Arial"/>
          <w:sz w:val="24"/>
        </w:rPr>
      </w:pPr>
    </w:p>
    <w:p w:rsidR="007B0E17" w:rsidRPr="00DA65AA" w:rsidRDefault="007B0E17" w:rsidP="007B0E17">
      <w:pPr>
        <w:jc w:val="both"/>
        <w:rPr>
          <w:rFonts w:ascii="Arial Narrow" w:hAnsi="Arial Narrow" w:cs="Arial"/>
          <w:sz w:val="24"/>
        </w:rPr>
      </w:pPr>
      <w:r w:rsidRPr="00DA65AA">
        <w:rPr>
          <w:rFonts w:ascii="Arial Narrow" w:hAnsi="Arial Narrow" w:cs="Arial"/>
          <w:sz w:val="24"/>
        </w:rPr>
        <w:t>Las calificaciones admisibles aplicarán para las entidades intermediarias del mercado cambiario para realizar operaciones de compra y venta de dólares en el sistema de negociación SET-FX y para la compra y venta de títulos TES en el sistema transaccional MEC – Master Trader.</w:t>
      </w:r>
    </w:p>
    <w:p w:rsidR="007B0E17" w:rsidRPr="00DA65AA" w:rsidRDefault="007B0E17" w:rsidP="007B0E17">
      <w:pPr>
        <w:jc w:val="both"/>
        <w:rPr>
          <w:rFonts w:ascii="Arial Narrow" w:hAnsi="Arial Narrow" w:cs="Arial"/>
          <w:sz w:val="24"/>
        </w:rPr>
      </w:pPr>
    </w:p>
    <w:p w:rsidR="007B0E17" w:rsidRPr="00DA65AA" w:rsidRDefault="007B0E17" w:rsidP="007B0E17">
      <w:pPr>
        <w:jc w:val="both"/>
        <w:rPr>
          <w:rFonts w:ascii="Arial Narrow" w:hAnsi="Arial Narrow" w:cs="Arial"/>
          <w:sz w:val="24"/>
        </w:rPr>
      </w:pPr>
      <w:r w:rsidRPr="00DA65AA">
        <w:rPr>
          <w:rFonts w:ascii="Arial Narrow" w:hAnsi="Arial Narrow" w:cs="Arial"/>
          <w:sz w:val="24"/>
        </w:rPr>
        <w:t>Las entidades sujetas a estudio para la asignación de cupos corresponden a las Instituciones Oficiales Especiales (IOE), el Banco de la República y Entidades Públicas con participación del estado superior al 50% que negocien en cada uno de los sistemas transaccionales.</w:t>
      </w:r>
    </w:p>
    <w:p w:rsidR="007B0E17" w:rsidRPr="00DA65AA" w:rsidRDefault="007B0E17" w:rsidP="007B0E17">
      <w:pPr>
        <w:jc w:val="both"/>
        <w:rPr>
          <w:rFonts w:ascii="Arial Narrow" w:hAnsi="Arial Narrow" w:cs="Arial"/>
          <w:sz w:val="24"/>
        </w:rPr>
      </w:pPr>
    </w:p>
    <w:p w:rsidR="007B0E17" w:rsidRPr="00DA65AA" w:rsidRDefault="007B0E17" w:rsidP="007B0E17">
      <w:pPr>
        <w:jc w:val="both"/>
        <w:rPr>
          <w:rFonts w:ascii="Arial Narrow" w:hAnsi="Arial Narrow" w:cs="Arial"/>
          <w:sz w:val="24"/>
        </w:rPr>
      </w:pPr>
      <w:r w:rsidRPr="00DA65AA">
        <w:rPr>
          <w:rFonts w:ascii="Arial Narrow" w:hAnsi="Arial Narrow" w:cs="Arial"/>
          <w:sz w:val="24"/>
        </w:rPr>
        <w:t>Adicionalmente, en el caso de la aplicación SET-FX se tendrán en cuenta establecimientos de crédito y corporaciones financieras que estén vigiladas por la SFC, y entidades comisionistas que tengan una participación significativa en dicho mercado y que cumplan con los parámetros de riesgo que se describen más adelante en la metodología de cálculo de asignación de cupos para entidades nacionales.</w:t>
      </w:r>
    </w:p>
    <w:p w:rsidR="007B0E17" w:rsidRPr="00DA65AA" w:rsidRDefault="007B0E17" w:rsidP="007B0E17">
      <w:pPr>
        <w:jc w:val="both"/>
        <w:rPr>
          <w:rFonts w:ascii="Arial Narrow" w:hAnsi="Arial Narrow" w:cs="Arial"/>
          <w:sz w:val="24"/>
        </w:rPr>
      </w:pPr>
      <w:r w:rsidRPr="00DA65AA">
        <w:rPr>
          <w:rFonts w:ascii="Arial Narrow" w:hAnsi="Arial Narrow" w:cs="Arial"/>
          <w:sz w:val="24"/>
        </w:rPr>
        <w:t xml:space="preserve"> </w:t>
      </w:r>
    </w:p>
    <w:p w:rsidR="008636B6" w:rsidRPr="00DA65AA" w:rsidRDefault="007B0E17" w:rsidP="009C722F">
      <w:pPr>
        <w:jc w:val="both"/>
        <w:rPr>
          <w:rFonts w:ascii="Arial Narrow" w:hAnsi="Arial Narrow" w:cs="Arial"/>
          <w:sz w:val="24"/>
        </w:rPr>
      </w:pPr>
      <w:r w:rsidRPr="00DA65AA">
        <w:rPr>
          <w:rFonts w:ascii="Arial Narrow" w:hAnsi="Arial Narrow" w:cs="Arial"/>
          <w:sz w:val="24"/>
        </w:rPr>
        <w:lastRenderedPageBreak/>
        <w:t>Por otra parte, se otorga cupo en el sistema transaccional MEC – Master Trader a las entidades que hacen parte del programa de Creadores de Mercado aún si no cumplen con el nivel mínimo de calificación crediticia definido para cupos de contraparte para Entidades Locales mencionado anteriormente.</w:t>
      </w:r>
    </w:p>
    <w:p w:rsidR="003C686A" w:rsidRPr="00DA65AA" w:rsidRDefault="003C686A" w:rsidP="003C686A">
      <w:pPr>
        <w:rPr>
          <w:rFonts w:ascii="Arial Narrow" w:hAnsi="Arial Narrow"/>
        </w:rPr>
      </w:pPr>
    </w:p>
    <w:p w:rsidR="009C722F" w:rsidRPr="00DA65AA" w:rsidRDefault="009C722F" w:rsidP="009C722F">
      <w:pPr>
        <w:pStyle w:val="Ttulo3"/>
        <w:rPr>
          <w:lang w:val="es-CO"/>
        </w:rPr>
      </w:pPr>
      <w:bookmarkStart w:id="47" w:name="_Toc4596443"/>
      <w:r w:rsidRPr="00DA65AA">
        <w:rPr>
          <w:lang w:val="es-CO"/>
        </w:rPr>
        <w:t>Calificación admisible para entidades extranjeras</w:t>
      </w:r>
      <w:bookmarkEnd w:id="47"/>
    </w:p>
    <w:p w:rsidR="009C722F" w:rsidRPr="00DA65AA" w:rsidRDefault="009C722F" w:rsidP="009C722F">
      <w:pPr>
        <w:rPr>
          <w:rFonts w:ascii="Arial Narrow" w:hAnsi="Arial Narrow"/>
          <w:lang w:val="es-CO"/>
        </w:rPr>
      </w:pPr>
    </w:p>
    <w:tbl>
      <w:tblPr>
        <w:tblW w:w="8312" w:type="dxa"/>
        <w:jc w:val="center"/>
        <w:tblCellMar>
          <w:left w:w="70" w:type="dxa"/>
          <w:right w:w="70" w:type="dxa"/>
        </w:tblCellMar>
        <w:tblLook w:val="04A0" w:firstRow="1" w:lastRow="0" w:firstColumn="1" w:lastColumn="0" w:noHBand="0" w:noVBand="1"/>
      </w:tblPr>
      <w:tblGrid>
        <w:gridCol w:w="3880"/>
        <w:gridCol w:w="2206"/>
        <w:gridCol w:w="2226"/>
      </w:tblGrid>
      <w:tr w:rsidR="009C722F" w:rsidRPr="00DA65AA" w:rsidTr="00C93704">
        <w:trPr>
          <w:trHeight w:val="615"/>
          <w:jc w:val="center"/>
        </w:trPr>
        <w:tc>
          <w:tcPr>
            <w:tcW w:w="3880" w:type="dxa"/>
            <w:tcBorders>
              <w:top w:val="single" w:sz="8" w:space="0" w:color="FFFFFF"/>
              <w:left w:val="single" w:sz="8" w:space="0" w:color="FFFFFF"/>
              <w:bottom w:val="single" w:sz="8" w:space="0" w:color="FFFFFF"/>
              <w:right w:val="single" w:sz="8" w:space="0" w:color="FFFFFF"/>
            </w:tcBorders>
            <w:shd w:val="clear" w:color="auto" w:fill="17365D"/>
            <w:vAlign w:val="center"/>
            <w:hideMark/>
          </w:tcPr>
          <w:p w:rsidR="009C722F" w:rsidRPr="00DA65AA" w:rsidRDefault="009C722F" w:rsidP="00C93704">
            <w:pPr>
              <w:jc w:val="center"/>
              <w:rPr>
                <w:rFonts w:ascii="Arial Narrow" w:hAnsi="Arial Narrow" w:cs="Arial"/>
                <w:b/>
                <w:bCs/>
                <w:color w:val="FFFFFF"/>
                <w:sz w:val="24"/>
              </w:rPr>
            </w:pPr>
            <w:r w:rsidRPr="00DA65AA">
              <w:rPr>
                <w:rFonts w:ascii="Arial Narrow" w:hAnsi="Arial Narrow" w:cs="Arial"/>
                <w:b/>
                <w:bCs/>
                <w:color w:val="FFFFFF"/>
                <w:sz w:val="24"/>
              </w:rPr>
              <w:t>Calificaciones Admisibles para Asignación de Cupos</w:t>
            </w:r>
          </w:p>
        </w:tc>
        <w:tc>
          <w:tcPr>
            <w:tcW w:w="2206" w:type="dxa"/>
            <w:tcBorders>
              <w:top w:val="single" w:sz="8" w:space="0" w:color="FFFFFF"/>
              <w:left w:val="nil"/>
              <w:bottom w:val="single" w:sz="8" w:space="0" w:color="FFFFFF"/>
              <w:right w:val="single" w:sz="8" w:space="0" w:color="FFFFFF"/>
            </w:tcBorders>
            <w:shd w:val="clear" w:color="auto" w:fill="17365D"/>
            <w:vAlign w:val="center"/>
            <w:hideMark/>
          </w:tcPr>
          <w:p w:rsidR="009C722F" w:rsidRPr="00DA65AA" w:rsidRDefault="009C722F" w:rsidP="00C93704">
            <w:pPr>
              <w:jc w:val="center"/>
              <w:rPr>
                <w:rFonts w:ascii="Arial Narrow" w:hAnsi="Arial Narrow" w:cs="Arial"/>
                <w:b/>
                <w:bCs/>
                <w:color w:val="FFFFFF"/>
                <w:sz w:val="24"/>
              </w:rPr>
            </w:pPr>
            <w:r w:rsidRPr="00DA65AA">
              <w:rPr>
                <w:rFonts w:ascii="Arial Narrow" w:hAnsi="Arial Narrow" w:cs="Arial"/>
                <w:b/>
                <w:bCs/>
                <w:color w:val="FFFFFF"/>
                <w:sz w:val="24"/>
              </w:rPr>
              <w:t>Calificación de Corto Plazo*</w:t>
            </w:r>
          </w:p>
        </w:tc>
        <w:tc>
          <w:tcPr>
            <w:tcW w:w="2226" w:type="dxa"/>
            <w:tcBorders>
              <w:top w:val="single" w:sz="8" w:space="0" w:color="FFFFFF"/>
              <w:left w:val="nil"/>
              <w:bottom w:val="single" w:sz="8" w:space="0" w:color="FFFFFF"/>
              <w:right w:val="single" w:sz="8" w:space="0" w:color="FFFFFF"/>
            </w:tcBorders>
            <w:shd w:val="clear" w:color="auto" w:fill="17365D"/>
            <w:vAlign w:val="center"/>
            <w:hideMark/>
          </w:tcPr>
          <w:p w:rsidR="009C722F" w:rsidRPr="00DA65AA" w:rsidRDefault="009C722F" w:rsidP="00C93704">
            <w:pPr>
              <w:jc w:val="center"/>
              <w:rPr>
                <w:rFonts w:ascii="Arial Narrow" w:hAnsi="Arial Narrow" w:cs="Arial"/>
                <w:b/>
                <w:bCs/>
                <w:color w:val="FFFFFF"/>
                <w:sz w:val="24"/>
              </w:rPr>
            </w:pPr>
            <w:r w:rsidRPr="00DA65AA">
              <w:rPr>
                <w:rFonts w:ascii="Arial Narrow" w:hAnsi="Arial Narrow" w:cs="Arial"/>
                <w:b/>
                <w:bCs/>
                <w:color w:val="FFFFFF"/>
                <w:sz w:val="24"/>
              </w:rPr>
              <w:t>Calificación de Largo Plazo*</w:t>
            </w:r>
          </w:p>
        </w:tc>
      </w:tr>
      <w:tr w:rsidR="009C722F" w:rsidRPr="00DA65AA" w:rsidTr="00C93704">
        <w:trPr>
          <w:trHeight w:val="470"/>
          <w:jc w:val="center"/>
        </w:trPr>
        <w:tc>
          <w:tcPr>
            <w:tcW w:w="3880" w:type="dxa"/>
            <w:tcBorders>
              <w:top w:val="nil"/>
              <w:left w:val="single" w:sz="8" w:space="0" w:color="FFFFFF"/>
              <w:bottom w:val="single" w:sz="8" w:space="0" w:color="FFFFFF"/>
              <w:right w:val="single" w:sz="8" w:space="0" w:color="FFFFFF"/>
            </w:tcBorders>
            <w:shd w:val="clear" w:color="000000" w:fill="D9D9D9"/>
            <w:vAlign w:val="center"/>
            <w:hideMark/>
          </w:tcPr>
          <w:p w:rsidR="009C722F" w:rsidRPr="00DA65AA" w:rsidRDefault="009C722F" w:rsidP="00C93704">
            <w:pPr>
              <w:rPr>
                <w:rFonts w:ascii="Arial Narrow" w:hAnsi="Arial Narrow" w:cs="Arial"/>
                <w:color w:val="000000"/>
                <w:sz w:val="24"/>
              </w:rPr>
            </w:pPr>
            <w:r w:rsidRPr="00DA65AA">
              <w:rPr>
                <w:rFonts w:ascii="Arial Narrow" w:hAnsi="Arial Narrow" w:cs="Arial"/>
                <w:color w:val="000000"/>
                <w:sz w:val="24"/>
              </w:rPr>
              <w:t>Para Cupos de Emisor para Entidades Extranjeras</w:t>
            </w:r>
          </w:p>
        </w:tc>
        <w:tc>
          <w:tcPr>
            <w:tcW w:w="2206" w:type="dxa"/>
            <w:tcBorders>
              <w:top w:val="nil"/>
              <w:left w:val="nil"/>
              <w:bottom w:val="single" w:sz="8" w:space="0" w:color="FFFFFF"/>
              <w:right w:val="single" w:sz="8" w:space="0" w:color="FFFFFF"/>
            </w:tcBorders>
            <w:shd w:val="clear" w:color="000000" w:fill="D9D9D9"/>
            <w:vAlign w:val="center"/>
            <w:hideMark/>
          </w:tcPr>
          <w:p w:rsidR="009C722F" w:rsidRPr="00DA65AA" w:rsidRDefault="009C722F" w:rsidP="00C93704">
            <w:pPr>
              <w:jc w:val="center"/>
              <w:rPr>
                <w:rFonts w:ascii="Arial Narrow" w:hAnsi="Arial Narrow" w:cs="Arial"/>
                <w:color w:val="000000"/>
                <w:sz w:val="24"/>
              </w:rPr>
            </w:pPr>
            <w:r w:rsidRPr="00DA65AA">
              <w:rPr>
                <w:rFonts w:ascii="Arial Narrow" w:hAnsi="Arial Narrow" w:cs="Arial"/>
                <w:color w:val="000000"/>
                <w:sz w:val="24"/>
              </w:rPr>
              <w:t>A-1+ / F1+ / P-1</w:t>
            </w:r>
          </w:p>
        </w:tc>
        <w:tc>
          <w:tcPr>
            <w:tcW w:w="2226" w:type="dxa"/>
            <w:tcBorders>
              <w:top w:val="nil"/>
              <w:left w:val="nil"/>
              <w:bottom w:val="single" w:sz="8" w:space="0" w:color="FFFFFF"/>
              <w:right w:val="single" w:sz="8" w:space="0" w:color="FFFFFF"/>
            </w:tcBorders>
            <w:shd w:val="clear" w:color="000000" w:fill="D9D9D9"/>
            <w:vAlign w:val="center"/>
            <w:hideMark/>
          </w:tcPr>
          <w:p w:rsidR="009C722F" w:rsidRPr="00DA65AA" w:rsidRDefault="009C722F" w:rsidP="00C93704">
            <w:pPr>
              <w:jc w:val="center"/>
              <w:rPr>
                <w:rFonts w:ascii="Arial Narrow" w:hAnsi="Arial Narrow" w:cs="Arial"/>
                <w:color w:val="000000"/>
                <w:sz w:val="24"/>
              </w:rPr>
            </w:pPr>
            <w:r w:rsidRPr="00DA65AA">
              <w:rPr>
                <w:rFonts w:ascii="Arial Narrow" w:hAnsi="Arial Narrow" w:cs="Arial"/>
                <w:color w:val="000000"/>
                <w:sz w:val="24"/>
              </w:rPr>
              <w:t>Igual o Superior a:</w:t>
            </w:r>
          </w:p>
          <w:p w:rsidR="009C722F" w:rsidRPr="00DA65AA" w:rsidRDefault="009C722F" w:rsidP="00C93704">
            <w:pPr>
              <w:jc w:val="center"/>
              <w:rPr>
                <w:rFonts w:ascii="Arial Narrow" w:hAnsi="Arial Narrow" w:cs="Arial"/>
                <w:color w:val="000000"/>
                <w:sz w:val="24"/>
              </w:rPr>
            </w:pPr>
            <w:r w:rsidRPr="00DA65AA">
              <w:rPr>
                <w:rFonts w:ascii="Arial Narrow" w:hAnsi="Arial Narrow" w:cs="Arial"/>
                <w:color w:val="000000"/>
                <w:sz w:val="24"/>
              </w:rPr>
              <w:t>A+ / A1 (Moody’s)</w:t>
            </w:r>
          </w:p>
        </w:tc>
      </w:tr>
      <w:tr w:rsidR="009C722F" w:rsidRPr="00DA65AA" w:rsidTr="00C93704">
        <w:trPr>
          <w:trHeight w:val="544"/>
          <w:jc w:val="center"/>
        </w:trPr>
        <w:tc>
          <w:tcPr>
            <w:tcW w:w="3880" w:type="dxa"/>
            <w:tcBorders>
              <w:top w:val="nil"/>
              <w:left w:val="single" w:sz="8" w:space="0" w:color="FFFFFF"/>
              <w:bottom w:val="nil"/>
              <w:right w:val="single" w:sz="8" w:space="0" w:color="FFFFFF"/>
            </w:tcBorders>
            <w:shd w:val="clear" w:color="auto" w:fill="auto"/>
            <w:vAlign w:val="center"/>
            <w:hideMark/>
          </w:tcPr>
          <w:p w:rsidR="009C722F" w:rsidRPr="00DA65AA" w:rsidRDefault="009C722F" w:rsidP="00C93704">
            <w:pPr>
              <w:rPr>
                <w:rFonts w:ascii="Arial Narrow" w:hAnsi="Arial Narrow" w:cs="Arial"/>
                <w:color w:val="000000"/>
                <w:sz w:val="24"/>
              </w:rPr>
            </w:pPr>
            <w:r w:rsidRPr="00DA65AA">
              <w:rPr>
                <w:rFonts w:ascii="Arial Narrow" w:hAnsi="Arial Narrow" w:cs="Arial"/>
                <w:color w:val="000000"/>
                <w:sz w:val="24"/>
              </w:rPr>
              <w:t>Para Bancos extranjeros que administren cuentas bancarias</w:t>
            </w:r>
          </w:p>
        </w:tc>
        <w:tc>
          <w:tcPr>
            <w:tcW w:w="2206" w:type="dxa"/>
            <w:tcBorders>
              <w:top w:val="nil"/>
              <w:left w:val="nil"/>
              <w:bottom w:val="nil"/>
              <w:right w:val="single" w:sz="8" w:space="0" w:color="FFFFFF"/>
            </w:tcBorders>
            <w:shd w:val="clear" w:color="auto" w:fill="auto"/>
            <w:vAlign w:val="center"/>
            <w:hideMark/>
          </w:tcPr>
          <w:p w:rsidR="009C722F" w:rsidRPr="00DA65AA" w:rsidRDefault="009C722F" w:rsidP="00C93704">
            <w:pPr>
              <w:jc w:val="center"/>
              <w:rPr>
                <w:rFonts w:ascii="Arial Narrow" w:hAnsi="Arial Narrow" w:cs="Arial"/>
                <w:color w:val="000000"/>
                <w:sz w:val="24"/>
              </w:rPr>
            </w:pPr>
            <w:r w:rsidRPr="00DA65AA">
              <w:rPr>
                <w:rFonts w:ascii="Arial Narrow" w:hAnsi="Arial Narrow" w:cs="Arial"/>
                <w:color w:val="000000"/>
                <w:sz w:val="24"/>
              </w:rPr>
              <w:t>Igual o Superior a:</w:t>
            </w:r>
          </w:p>
          <w:p w:rsidR="009C722F" w:rsidRPr="00DA65AA" w:rsidRDefault="009C722F" w:rsidP="00C93704">
            <w:pPr>
              <w:jc w:val="center"/>
              <w:rPr>
                <w:rFonts w:ascii="Arial Narrow" w:hAnsi="Arial Narrow" w:cs="Arial"/>
                <w:color w:val="000000"/>
                <w:sz w:val="24"/>
              </w:rPr>
            </w:pPr>
            <w:r w:rsidRPr="00DA65AA">
              <w:rPr>
                <w:rFonts w:ascii="Arial Narrow" w:hAnsi="Arial Narrow" w:cs="Arial"/>
                <w:color w:val="000000"/>
                <w:sz w:val="24"/>
              </w:rPr>
              <w:t>A-1 / F1 / P-2</w:t>
            </w:r>
          </w:p>
        </w:tc>
        <w:tc>
          <w:tcPr>
            <w:tcW w:w="2226" w:type="dxa"/>
            <w:tcBorders>
              <w:top w:val="nil"/>
              <w:left w:val="nil"/>
              <w:bottom w:val="nil"/>
              <w:right w:val="single" w:sz="8" w:space="0" w:color="FFFFFF"/>
            </w:tcBorders>
            <w:shd w:val="clear" w:color="auto" w:fill="auto"/>
            <w:vAlign w:val="center"/>
            <w:hideMark/>
          </w:tcPr>
          <w:p w:rsidR="009C722F" w:rsidRPr="00DA65AA" w:rsidRDefault="009C722F" w:rsidP="00C93704">
            <w:pPr>
              <w:jc w:val="center"/>
              <w:rPr>
                <w:rFonts w:ascii="Arial Narrow" w:hAnsi="Arial Narrow" w:cs="Arial"/>
                <w:color w:val="000000"/>
                <w:sz w:val="24"/>
              </w:rPr>
            </w:pPr>
            <w:r w:rsidRPr="00DA65AA">
              <w:rPr>
                <w:rFonts w:ascii="Arial Narrow" w:hAnsi="Arial Narrow" w:cs="Arial"/>
                <w:color w:val="000000"/>
                <w:sz w:val="24"/>
              </w:rPr>
              <w:t>Igual o Superior a:</w:t>
            </w:r>
          </w:p>
          <w:p w:rsidR="009C722F" w:rsidRPr="00DA65AA" w:rsidRDefault="009C722F" w:rsidP="00C93704">
            <w:pPr>
              <w:jc w:val="center"/>
              <w:rPr>
                <w:rFonts w:ascii="Arial Narrow" w:hAnsi="Arial Narrow" w:cs="Arial"/>
                <w:color w:val="000000"/>
                <w:sz w:val="24"/>
              </w:rPr>
            </w:pPr>
            <w:r w:rsidRPr="00DA65AA">
              <w:rPr>
                <w:rFonts w:ascii="Arial Narrow" w:hAnsi="Arial Narrow" w:cs="Arial"/>
                <w:color w:val="000000"/>
                <w:sz w:val="24"/>
              </w:rPr>
              <w:t>A- / A3 (Moody’s)</w:t>
            </w:r>
          </w:p>
        </w:tc>
      </w:tr>
      <w:tr w:rsidR="009C722F" w:rsidRPr="00DA65AA" w:rsidTr="009C722F">
        <w:trPr>
          <w:trHeight w:val="544"/>
          <w:jc w:val="center"/>
        </w:trPr>
        <w:tc>
          <w:tcPr>
            <w:tcW w:w="3880" w:type="dxa"/>
            <w:tcBorders>
              <w:top w:val="nil"/>
              <w:left w:val="single" w:sz="8" w:space="0" w:color="FFFFFF"/>
              <w:right w:val="single" w:sz="8" w:space="0" w:color="FFFFFF"/>
            </w:tcBorders>
            <w:shd w:val="clear" w:color="auto" w:fill="D9D9D9"/>
            <w:vAlign w:val="center"/>
            <w:hideMark/>
          </w:tcPr>
          <w:p w:rsidR="009C722F" w:rsidRPr="00DA65AA" w:rsidRDefault="009C722F" w:rsidP="00C93704">
            <w:pPr>
              <w:rPr>
                <w:rFonts w:ascii="Arial Narrow" w:hAnsi="Arial Narrow" w:cs="Arial"/>
                <w:color w:val="000000"/>
                <w:sz w:val="24"/>
              </w:rPr>
            </w:pPr>
            <w:r w:rsidRPr="00DA65AA">
              <w:rPr>
                <w:rFonts w:ascii="Arial Narrow" w:hAnsi="Arial Narrow" w:cs="Arial"/>
                <w:color w:val="000000"/>
                <w:sz w:val="24"/>
              </w:rPr>
              <w:t>Cupos de Contraparte para operaciones FX</w:t>
            </w:r>
          </w:p>
        </w:tc>
        <w:tc>
          <w:tcPr>
            <w:tcW w:w="2206" w:type="dxa"/>
            <w:tcBorders>
              <w:top w:val="nil"/>
              <w:left w:val="nil"/>
              <w:right w:val="single" w:sz="8" w:space="0" w:color="FFFFFF"/>
            </w:tcBorders>
            <w:shd w:val="clear" w:color="auto" w:fill="D9D9D9"/>
            <w:vAlign w:val="center"/>
            <w:hideMark/>
          </w:tcPr>
          <w:p w:rsidR="009C722F" w:rsidRPr="00DA65AA" w:rsidRDefault="009C722F" w:rsidP="00C93704">
            <w:pPr>
              <w:jc w:val="center"/>
              <w:rPr>
                <w:rFonts w:ascii="Arial Narrow" w:hAnsi="Arial Narrow" w:cs="Arial"/>
                <w:color w:val="000000"/>
                <w:sz w:val="24"/>
              </w:rPr>
            </w:pPr>
            <w:r w:rsidRPr="00DA65AA">
              <w:rPr>
                <w:rFonts w:ascii="Arial Narrow" w:hAnsi="Arial Narrow" w:cs="Arial"/>
                <w:color w:val="000000"/>
                <w:sz w:val="24"/>
              </w:rPr>
              <w:t>Igual o Superior a:</w:t>
            </w:r>
          </w:p>
          <w:p w:rsidR="009C722F" w:rsidRPr="00DA65AA" w:rsidRDefault="009C722F" w:rsidP="00C93704">
            <w:pPr>
              <w:jc w:val="center"/>
              <w:rPr>
                <w:rFonts w:ascii="Arial Narrow" w:hAnsi="Arial Narrow" w:cs="Arial"/>
                <w:color w:val="000000"/>
                <w:sz w:val="24"/>
              </w:rPr>
            </w:pPr>
            <w:r w:rsidRPr="00DA65AA">
              <w:rPr>
                <w:rFonts w:ascii="Arial Narrow" w:hAnsi="Arial Narrow" w:cs="Arial"/>
                <w:color w:val="000000"/>
                <w:sz w:val="24"/>
              </w:rPr>
              <w:t>A-1 / F1 / P-2</w:t>
            </w:r>
          </w:p>
        </w:tc>
        <w:tc>
          <w:tcPr>
            <w:tcW w:w="2226" w:type="dxa"/>
            <w:tcBorders>
              <w:top w:val="nil"/>
              <w:left w:val="nil"/>
              <w:right w:val="single" w:sz="8" w:space="0" w:color="FFFFFF"/>
            </w:tcBorders>
            <w:shd w:val="clear" w:color="auto" w:fill="D9D9D9"/>
            <w:vAlign w:val="center"/>
            <w:hideMark/>
          </w:tcPr>
          <w:p w:rsidR="009C722F" w:rsidRPr="00DA65AA" w:rsidRDefault="009C722F" w:rsidP="00C93704">
            <w:pPr>
              <w:jc w:val="center"/>
              <w:rPr>
                <w:rFonts w:ascii="Arial Narrow" w:hAnsi="Arial Narrow" w:cs="Arial"/>
                <w:color w:val="000000"/>
                <w:sz w:val="24"/>
              </w:rPr>
            </w:pPr>
            <w:r w:rsidRPr="00DA65AA">
              <w:rPr>
                <w:rFonts w:ascii="Arial Narrow" w:hAnsi="Arial Narrow" w:cs="Arial"/>
                <w:color w:val="000000"/>
                <w:sz w:val="24"/>
              </w:rPr>
              <w:t>Igual o Superior a:</w:t>
            </w:r>
          </w:p>
          <w:p w:rsidR="009C722F" w:rsidRPr="00DA65AA" w:rsidRDefault="009C722F" w:rsidP="00C93704">
            <w:pPr>
              <w:jc w:val="center"/>
              <w:rPr>
                <w:rFonts w:ascii="Arial Narrow" w:hAnsi="Arial Narrow" w:cs="Arial"/>
                <w:color w:val="000000"/>
                <w:sz w:val="24"/>
              </w:rPr>
            </w:pPr>
            <w:r w:rsidRPr="00DA65AA">
              <w:rPr>
                <w:rFonts w:ascii="Arial Narrow" w:hAnsi="Arial Narrow" w:cs="Arial"/>
                <w:color w:val="000000"/>
                <w:sz w:val="24"/>
              </w:rPr>
              <w:t>A- / A3 (Moody’s)</w:t>
            </w:r>
          </w:p>
        </w:tc>
      </w:tr>
      <w:tr w:rsidR="009C722F" w:rsidRPr="00DA65AA" w:rsidTr="00C93704">
        <w:trPr>
          <w:trHeight w:val="294"/>
          <w:jc w:val="center"/>
        </w:trPr>
        <w:tc>
          <w:tcPr>
            <w:tcW w:w="8312" w:type="dxa"/>
            <w:gridSpan w:val="3"/>
            <w:tcBorders>
              <w:top w:val="nil"/>
              <w:bottom w:val="nil"/>
            </w:tcBorders>
            <w:shd w:val="clear" w:color="auto" w:fill="auto"/>
            <w:vAlign w:val="center"/>
          </w:tcPr>
          <w:p w:rsidR="009C722F" w:rsidRPr="00DA65AA" w:rsidRDefault="009C722F" w:rsidP="00C93704">
            <w:pPr>
              <w:rPr>
                <w:rFonts w:ascii="Arial Narrow" w:hAnsi="Arial Narrow" w:cs="Arial"/>
                <w:color w:val="000000"/>
                <w:sz w:val="24"/>
              </w:rPr>
            </w:pPr>
            <w:r w:rsidRPr="00DA65AA">
              <w:rPr>
                <w:rFonts w:ascii="Arial Narrow" w:hAnsi="Arial Narrow" w:cs="Arial"/>
                <w:color w:val="000000"/>
              </w:rPr>
              <w:t>*Calificación crediticia internacional</w:t>
            </w:r>
          </w:p>
        </w:tc>
      </w:tr>
    </w:tbl>
    <w:p w:rsidR="009C722F" w:rsidRPr="00DA65AA" w:rsidRDefault="009C722F" w:rsidP="009C722F">
      <w:pPr>
        <w:rPr>
          <w:rFonts w:ascii="Arial Narrow" w:hAnsi="Arial Narrow"/>
          <w:lang w:val="es-CO"/>
        </w:rPr>
      </w:pPr>
    </w:p>
    <w:p w:rsidR="009C722F" w:rsidRPr="00DA65AA" w:rsidRDefault="009C722F" w:rsidP="009C722F">
      <w:pPr>
        <w:ind w:right="49"/>
        <w:jc w:val="both"/>
        <w:rPr>
          <w:rFonts w:ascii="Arial Narrow" w:hAnsi="Arial Narrow" w:cs="Arial"/>
          <w:color w:val="000000"/>
          <w:sz w:val="24"/>
        </w:rPr>
      </w:pPr>
      <w:r w:rsidRPr="00DA65AA">
        <w:rPr>
          <w:rFonts w:ascii="Arial Narrow" w:hAnsi="Arial Narrow" w:cs="Arial"/>
          <w:color w:val="000000"/>
          <w:sz w:val="24"/>
        </w:rPr>
        <w:t>Se deberá cumplir con al menos dos de tres de las principales agencias calificadoras reconocidas (RNSO).</w:t>
      </w:r>
    </w:p>
    <w:p w:rsidR="009C722F" w:rsidRPr="00DA65AA" w:rsidRDefault="009C722F" w:rsidP="009C722F">
      <w:pPr>
        <w:ind w:right="49"/>
        <w:jc w:val="both"/>
        <w:rPr>
          <w:rFonts w:ascii="Arial Narrow" w:hAnsi="Arial Narrow" w:cs="Arial"/>
          <w:color w:val="000000"/>
          <w:sz w:val="24"/>
        </w:rPr>
      </w:pPr>
    </w:p>
    <w:p w:rsidR="009C722F" w:rsidRPr="00DA65AA" w:rsidRDefault="009C722F" w:rsidP="009C722F">
      <w:pPr>
        <w:tabs>
          <w:tab w:val="left" w:pos="0"/>
        </w:tabs>
        <w:autoSpaceDE w:val="0"/>
        <w:autoSpaceDN w:val="0"/>
        <w:adjustRightInd w:val="0"/>
        <w:contextualSpacing/>
        <w:jc w:val="both"/>
        <w:rPr>
          <w:rFonts w:ascii="Arial Narrow" w:hAnsi="Arial Narrow" w:cs="Arial"/>
          <w:sz w:val="24"/>
        </w:rPr>
      </w:pPr>
      <w:r w:rsidRPr="00DA65AA">
        <w:rPr>
          <w:rFonts w:ascii="Arial Narrow" w:hAnsi="Arial Narrow" w:cs="Arial"/>
          <w:sz w:val="24"/>
        </w:rPr>
        <w:t>La Tesorería podrá realizar operaciones de compra – venta de divisas a través de plataformas de entidades bancarias para ejecución presupuestal cuando las transacciones superen los USD$10.000.</w:t>
      </w:r>
    </w:p>
    <w:p w:rsidR="009C722F" w:rsidRPr="00DA65AA" w:rsidRDefault="009C722F" w:rsidP="009C722F">
      <w:pPr>
        <w:ind w:right="49"/>
        <w:jc w:val="both"/>
        <w:rPr>
          <w:rFonts w:ascii="Arial Narrow" w:hAnsi="Arial Narrow" w:cs="Arial"/>
          <w:color w:val="000000"/>
          <w:sz w:val="24"/>
        </w:rPr>
      </w:pPr>
    </w:p>
    <w:p w:rsidR="009C722F" w:rsidRPr="00DA65AA" w:rsidRDefault="009C722F" w:rsidP="00262411">
      <w:pPr>
        <w:ind w:right="49"/>
        <w:jc w:val="both"/>
        <w:rPr>
          <w:rFonts w:ascii="Arial Narrow" w:hAnsi="Arial Narrow"/>
          <w:lang w:val="es-CO"/>
        </w:rPr>
      </w:pPr>
      <w:r w:rsidRPr="00DA65AA">
        <w:rPr>
          <w:rFonts w:ascii="Arial Narrow" w:hAnsi="Arial Narrow" w:cs="Arial"/>
          <w:color w:val="000000"/>
          <w:sz w:val="24"/>
        </w:rPr>
        <w:t xml:space="preserve">Para los </w:t>
      </w:r>
      <w:r w:rsidRPr="00B44AF0">
        <w:rPr>
          <w:rFonts w:ascii="Arial Narrow" w:hAnsi="Arial Narrow" w:cs="Arial"/>
          <w:color w:val="000000"/>
          <w:sz w:val="24"/>
        </w:rPr>
        <w:t>fondos</w:t>
      </w:r>
      <w:r w:rsidR="00B44AF0">
        <w:rPr>
          <w:rFonts w:ascii="Arial Narrow" w:hAnsi="Arial Narrow" w:cs="Arial"/>
          <w:i/>
          <w:color w:val="000000"/>
          <w:sz w:val="24"/>
        </w:rPr>
        <w:t xml:space="preserve"> Money M</w:t>
      </w:r>
      <w:r w:rsidRPr="00DA65AA">
        <w:rPr>
          <w:rFonts w:ascii="Arial Narrow" w:hAnsi="Arial Narrow" w:cs="Arial"/>
          <w:i/>
          <w:color w:val="000000"/>
          <w:sz w:val="24"/>
        </w:rPr>
        <w:t>arket</w:t>
      </w:r>
      <w:r w:rsidRPr="00DA65AA">
        <w:rPr>
          <w:rFonts w:ascii="Arial Narrow" w:hAnsi="Arial Narrow" w:cs="Arial"/>
          <w:color w:val="000000"/>
          <w:sz w:val="24"/>
        </w:rPr>
        <w:t xml:space="preserve"> aplicarán las calificaciones definidas en los lineamientos de inversión descritos más adelante.</w:t>
      </w:r>
    </w:p>
    <w:p w:rsidR="009C722F" w:rsidRPr="00DA65AA" w:rsidRDefault="009C722F" w:rsidP="009C722F">
      <w:pPr>
        <w:rPr>
          <w:rFonts w:ascii="Arial Narrow" w:hAnsi="Arial Narrow"/>
          <w:lang w:val="es-CO"/>
        </w:rPr>
      </w:pPr>
    </w:p>
    <w:p w:rsidR="00262411" w:rsidRPr="00DA65AA" w:rsidRDefault="00262411" w:rsidP="000E1069">
      <w:pPr>
        <w:pStyle w:val="Ttulo2"/>
      </w:pPr>
      <w:bookmarkStart w:id="48" w:name="_Toc4596444"/>
      <w:r w:rsidRPr="00DA65AA">
        <w:t>Lineamientos Generales del Portafolio de Inversiones</w:t>
      </w:r>
      <w:bookmarkEnd w:id="48"/>
    </w:p>
    <w:p w:rsidR="00262411" w:rsidRPr="00DA65AA" w:rsidRDefault="00262411" w:rsidP="00262411">
      <w:pPr>
        <w:rPr>
          <w:rFonts w:ascii="Arial Narrow" w:hAnsi="Arial Narrow"/>
        </w:rPr>
      </w:pPr>
    </w:p>
    <w:p w:rsidR="00262411" w:rsidRPr="00954628" w:rsidRDefault="00262411" w:rsidP="00954628">
      <w:pPr>
        <w:pStyle w:val="Prrafodelista"/>
        <w:numPr>
          <w:ilvl w:val="0"/>
          <w:numId w:val="27"/>
        </w:numPr>
        <w:rPr>
          <w:rFonts w:ascii="Arial Narrow" w:hAnsi="Arial Narrow"/>
          <w:sz w:val="24"/>
          <w:szCs w:val="24"/>
        </w:rPr>
      </w:pPr>
      <w:r w:rsidRPr="00954628">
        <w:rPr>
          <w:rFonts w:ascii="Arial Narrow" w:hAnsi="Arial Narrow"/>
          <w:sz w:val="24"/>
          <w:szCs w:val="24"/>
        </w:rPr>
        <w:t>Límite de maduración de las operaciones admisibles:</w:t>
      </w:r>
    </w:p>
    <w:p w:rsidR="00262411" w:rsidRPr="00954628" w:rsidRDefault="00262411" w:rsidP="00262411">
      <w:pPr>
        <w:rPr>
          <w:rFonts w:ascii="Arial Narrow" w:hAnsi="Arial Narrow"/>
          <w:sz w:val="24"/>
          <w:szCs w:val="24"/>
        </w:rPr>
      </w:pPr>
    </w:p>
    <w:tbl>
      <w:tblPr>
        <w:tblW w:w="2945" w:type="pct"/>
        <w:jc w:val="center"/>
        <w:tblLayout w:type="fixed"/>
        <w:tblCellMar>
          <w:left w:w="70" w:type="dxa"/>
          <w:right w:w="70" w:type="dxa"/>
        </w:tblCellMar>
        <w:tblLook w:val="04A0" w:firstRow="1" w:lastRow="0" w:firstColumn="1" w:lastColumn="0" w:noHBand="0" w:noVBand="1"/>
      </w:tblPr>
      <w:tblGrid>
        <w:gridCol w:w="3634"/>
        <w:gridCol w:w="1561"/>
      </w:tblGrid>
      <w:tr w:rsidR="00262411" w:rsidRPr="00DA65AA" w:rsidTr="00C93704">
        <w:trPr>
          <w:trHeight w:val="330"/>
          <w:jc w:val="center"/>
        </w:trPr>
        <w:tc>
          <w:tcPr>
            <w:tcW w:w="3498" w:type="pct"/>
            <w:tcBorders>
              <w:top w:val="single" w:sz="8" w:space="0" w:color="FFFFFF"/>
              <w:left w:val="single" w:sz="8" w:space="0" w:color="FFFFFF"/>
              <w:bottom w:val="single" w:sz="8" w:space="0" w:color="FFFFFF"/>
              <w:right w:val="single" w:sz="8" w:space="0" w:color="FFFFFF"/>
            </w:tcBorders>
            <w:shd w:val="clear" w:color="000000" w:fill="17365D"/>
            <w:vAlign w:val="center"/>
            <w:hideMark/>
          </w:tcPr>
          <w:p w:rsidR="00262411" w:rsidRPr="00DA65AA" w:rsidRDefault="00262411" w:rsidP="00C93704">
            <w:pPr>
              <w:jc w:val="center"/>
              <w:rPr>
                <w:rFonts w:ascii="Arial Narrow" w:hAnsi="Arial Narrow" w:cs="Arial"/>
                <w:b/>
                <w:bCs/>
                <w:color w:val="FFFFFF"/>
                <w:sz w:val="24"/>
                <w:szCs w:val="24"/>
              </w:rPr>
            </w:pPr>
            <w:r w:rsidRPr="00DA65AA">
              <w:rPr>
                <w:rFonts w:ascii="Arial Narrow" w:hAnsi="Arial Narrow" w:cs="Arial"/>
                <w:b/>
                <w:bCs/>
                <w:color w:val="FFFFFF"/>
                <w:sz w:val="24"/>
                <w:szCs w:val="24"/>
              </w:rPr>
              <w:t>Operaciones admisibles</w:t>
            </w:r>
          </w:p>
        </w:tc>
        <w:tc>
          <w:tcPr>
            <w:tcW w:w="1502" w:type="pct"/>
            <w:tcBorders>
              <w:top w:val="single" w:sz="8" w:space="0" w:color="FFFFFF"/>
              <w:left w:val="nil"/>
              <w:bottom w:val="single" w:sz="8" w:space="0" w:color="FFFFFF"/>
              <w:right w:val="single" w:sz="8" w:space="0" w:color="FFFFFF"/>
            </w:tcBorders>
            <w:shd w:val="clear" w:color="000000" w:fill="17365D"/>
            <w:vAlign w:val="center"/>
            <w:hideMark/>
          </w:tcPr>
          <w:p w:rsidR="00262411" w:rsidRPr="00DA65AA" w:rsidRDefault="00262411" w:rsidP="00C93704">
            <w:pPr>
              <w:jc w:val="center"/>
              <w:rPr>
                <w:rFonts w:ascii="Arial Narrow" w:hAnsi="Arial Narrow" w:cs="Arial"/>
                <w:b/>
                <w:bCs/>
                <w:color w:val="FFFFFF"/>
                <w:sz w:val="24"/>
                <w:szCs w:val="24"/>
              </w:rPr>
            </w:pPr>
            <w:r w:rsidRPr="00DA65AA">
              <w:rPr>
                <w:rFonts w:ascii="Arial Narrow" w:hAnsi="Arial Narrow" w:cs="Arial"/>
                <w:b/>
                <w:bCs/>
                <w:color w:val="FFFFFF"/>
                <w:sz w:val="24"/>
                <w:szCs w:val="24"/>
              </w:rPr>
              <w:t>Maduración</w:t>
            </w:r>
          </w:p>
        </w:tc>
      </w:tr>
      <w:tr w:rsidR="00262411" w:rsidRPr="00DA65AA" w:rsidTr="00C93704">
        <w:trPr>
          <w:trHeight w:val="615"/>
          <w:jc w:val="center"/>
        </w:trPr>
        <w:tc>
          <w:tcPr>
            <w:tcW w:w="3498" w:type="pct"/>
            <w:tcBorders>
              <w:top w:val="nil"/>
              <w:left w:val="single" w:sz="8" w:space="0" w:color="FFFFFF"/>
              <w:bottom w:val="single" w:sz="8" w:space="0" w:color="FFFFFF"/>
              <w:right w:val="single" w:sz="8" w:space="0" w:color="FFFFFF"/>
            </w:tcBorders>
            <w:shd w:val="clear" w:color="000000" w:fill="D9D9D9"/>
            <w:vAlign w:val="center"/>
            <w:hideMark/>
          </w:tcPr>
          <w:p w:rsidR="00262411" w:rsidRPr="00DA65AA" w:rsidRDefault="00262411" w:rsidP="00C93704">
            <w:pPr>
              <w:rPr>
                <w:rFonts w:ascii="Arial Narrow" w:hAnsi="Arial Narrow" w:cs="Arial"/>
                <w:color w:val="000000"/>
                <w:sz w:val="24"/>
                <w:szCs w:val="24"/>
              </w:rPr>
            </w:pPr>
            <w:r w:rsidRPr="00DA65AA">
              <w:rPr>
                <w:rFonts w:ascii="Arial Narrow" w:hAnsi="Arial Narrow" w:cs="Arial"/>
                <w:color w:val="000000"/>
                <w:sz w:val="24"/>
                <w:szCs w:val="24"/>
              </w:rPr>
              <w:t>Títulos de deuda soberana</w:t>
            </w:r>
          </w:p>
        </w:tc>
        <w:tc>
          <w:tcPr>
            <w:tcW w:w="1502" w:type="pct"/>
            <w:tcBorders>
              <w:top w:val="nil"/>
              <w:left w:val="nil"/>
              <w:bottom w:val="single" w:sz="8" w:space="0" w:color="FFFFFF"/>
              <w:right w:val="single" w:sz="8" w:space="0" w:color="FFFFFF"/>
            </w:tcBorders>
            <w:shd w:val="clear" w:color="000000" w:fill="D9D9D9"/>
            <w:vAlign w:val="center"/>
            <w:hideMark/>
          </w:tcPr>
          <w:p w:rsidR="00262411" w:rsidRPr="00DA65AA" w:rsidRDefault="00262411" w:rsidP="00C93704">
            <w:pPr>
              <w:jc w:val="center"/>
              <w:rPr>
                <w:rFonts w:ascii="Arial Narrow" w:hAnsi="Arial Narrow" w:cs="Arial"/>
                <w:color w:val="000000"/>
                <w:sz w:val="24"/>
                <w:szCs w:val="24"/>
              </w:rPr>
            </w:pPr>
            <w:r w:rsidRPr="00DA65AA">
              <w:rPr>
                <w:rFonts w:ascii="Arial Narrow" w:hAnsi="Arial Narrow" w:cs="Arial"/>
                <w:color w:val="000000"/>
                <w:sz w:val="24"/>
                <w:szCs w:val="24"/>
              </w:rPr>
              <w:t>2 años</w:t>
            </w:r>
          </w:p>
        </w:tc>
      </w:tr>
      <w:tr w:rsidR="00262411" w:rsidRPr="00DA65AA" w:rsidTr="00C93704">
        <w:trPr>
          <w:trHeight w:val="600"/>
          <w:jc w:val="center"/>
        </w:trPr>
        <w:tc>
          <w:tcPr>
            <w:tcW w:w="3498" w:type="pct"/>
            <w:tcBorders>
              <w:top w:val="nil"/>
              <w:left w:val="single" w:sz="8" w:space="0" w:color="FFFFFF"/>
              <w:bottom w:val="nil"/>
              <w:right w:val="single" w:sz="8" w:space="0" w:color="FFFFFF"/>
            </w:tcBorders>
            <w:shd w:val="clear" w:color="auto" w:fill="auto"/>
            <w:vAlign w:val="center"/>
            <w:hideMark/>
          </w:tcPr>
          <w:p w:rsidR="00262411" w:rsidRPr="00DA65AA" w:rsidRDefault="00262411" w:rsidP="00C93704">
            <w:pPr>
              <w:rPr>
                <w:rFonts w:ascii="Arial Narrow" w:hAnsi="Arial Narrow" w:cs="Arial"/>
                <w:color w:val="000000"/>
                <w:sz w:val="24"/>
                <w:szCs w:val="24"/>
              </w:rPr>
            </w:pPr>
            <w:r w:rsidRPr="00DA65AA">
              <w:rPr>
                <w:rFonts w:ascii="Arial Narrow" w:hAnsi="Arial Narrow" w:cs="Arial"/>
                <w:color w:val="000000"/>
                <w:sz w:val="24"/>
                <w:szCs w:val="24"/>
              </w:rPr>
              <w:t xml:space="preserve">Operaciones Simultáneas </w:t>
            </w:r>
          </w:p>
        </w:tc>
        <w:tc>
          <w:tcPr>
            <w:tcW w:w="1502" w:type="pct"/>
            <w:tcBorders>
              <w:top w:val="nil"/>
              <w:left w:val="nil"/>
              <w:bottom w:val="nil"/>
              <w:right w:val="single" w:sz="8" w:space="0" w:color="FFFFFF"/>
            </w:tcBorders>
            <w:shd w:val="clear" w:color="auto" w:fill="auto"/>
            <w:vAlign w:val="center"/>
            <w:hideMark/>
          </w:tcPr>
          <w:p w:rsidR="00262411" w:rsidRPr="00DA65AA" w:rsidRDefault="00262411" w:rsidP="00C93704">
            <w:pPr>
              <w:jc w:val="center"/>
              <w:rPr>
                <w:rFonts w:ascii="Arial Narrow" w:hAnsi="Arial Narrow" w:cs="Arial"/>
                <w:color w:val="000000"/>
                <w:sz w:val="24"/>
                <w:szCs w:val="24"/>
              </w:rPr>
            </w:pPr>
            <w:r w:rsidRPr="00DA65AA">
              <w:rPr>
                <w:rFonts w:ascii="Arial Narrow" w:hAnsi="Arial Narrow" w:cs="Arial"/>
                <w:color w:val="000000"/>
                <w:sz w:val="24"/>
                <w:szCs w:val="24"/>
              </w:rPr>
              <w:t>364 días </w:t>
            </w:r>
          </w:p>
        </w:tc>
      </w:tr>
      <w:tr w:rsidR="00262411" w:rsidRPr="00DA65AA" w:rsidTr="00262411">
        <w:trPr>
          <w:trHeight w:val="600"/>
          <w:jc w:val="center"/>
        </w:trPr>
        <w:tc>
          <w:tcPr>
            <w:tcW w:w="3498" w:type="pct"/>
            <w:tcBorders>
              <w:top w:val="nil"/>
              <w:left w:val="single" w:sz="8" w:space="0" w:color="FFFFFF"/>
              <w:bottom w:val="nil"/>
              <w:right w:val="single" w:sz="8" w:space="0" w:color="FFFFFF"/>
            </w:tcBorders>
            <w:shd w:val="clear" w:color="auto" w:fill="D9D9D9"/>
            <w:vAlign w:val="center"/>
            <w:hideMark/>
          </w:tcPr>
          <w:p w:rsidR="00262411" w:rsidRPr="00DA65AA" w:rsidRDefault="00262411" w:rsidP="00C93704">
            <w:pPr>
              <w:rPr>
                <w:rFonts w:ascii="Arial Narrow" w:hAnsi="Arial Narrow" w:cs="Arial"/>
                <w:color w:val="000000"/>
                <w:sz w:val="24"/>
                <w:szCs w:val="24"/>
              </w:rPr>
            </w:pPr>
            <w:r w:rsidRPr="00DA65AA">
              <w:rPr>
                <w:rFonts w:ascii="Arial Narrow" w:hAnsi="Arial Narrow" w:cs="Arial"/>
                <w:color w:val="000000"/>
                <w:sz w:val="24"/>
                <w:szCs w:val="24"/>
              </w:rPr>
              <w:t>Créditos Activos o Pasivos con Fondos Administrados</w:t>
            </w:r>
          </w:p>
        </w:tc>
        <w:tc>
          <w:tcPr>
            <w:tcW w:w="1502" w:type="pct"/>
            <w:tcBorders>
              <w:top w:val="nil"/>
              <w:left w:val="nil"/>
              <w:bottom w:val="nil"/>
              <w:right w:val="single" w:sz="8" w:space="0" w:color="FFFFFF"/>
            </w:tcBorders>
            <w:shd w:val="clear" w:color="auto" w:fill="D9D9D9"/>
            <w:vAlign w:val="center"/>
            <w:hideMark/>
          </w:tcPr>
          <w:p w:rsidR="00262411" w:rsidRPr="00DA65AA" w:rsidRDefault="00262411" w:rsidP="00C93704">
            <w:pPr>
              <w:jc w:val="center"/>
              <w:rPr>
                <w:rFonts w:ascii="Arial Narrow" w:hAnsi="Arial Narrow" w:cs="Arial"/>
                <w:color w:val="000000"/>
                <w:sz w:val="24"/>
                <w:szCs w:val="24"/>
              </w:rPr>
            </w:pPr>
            <w:r w:rsidRPr="00DA65AA">
              <w:rPr>
                <w:rFonts w:ascii="Arial Narrow" w:hAnsi="Arial Narrow" w:cs="Arial"/>
                <w:color w:val="000000"/>
                <w:sz w:val="24"/>
                <w:szCs w:val="24"/>
              </w:rPr>
              <w:t>1 año</w:t>
            </w:r>
          </w:p>
        </w:tc>
      </w:tr>
      <w:tr w:rsidR="00262411" w:rsidRPr="00DA65AA" w:rsidTr="00C93704">
        <w:trPr>
          <w:trHeight w:val="600"/>
          <w:jc w:val="center"/>
        </w:trPr>
        <w:tc>
          <w:tcPr>
            <w:tcW w:w="3498" w:type="pct"/>
            <w:tcBorders>
              <w:top w:val="nil"/>
              <w:left w:val="single" w:sz="8" w:space="0" w:color="FFFFFF"/>
              <w:bottom w:val="nil"/>
              <w:right w:val="single" w:sz="8" w:space="0" w:color="FFFFFF"/>
            </w:tcBorders>
            <w:shd w:val="clear" w:color="auto" w:fill="auto"/>
            <w:vAlign w:val="center"/>
          </w:tcPr>
          <w:p w:rsidR="00262411" w:rsidRPr="00DA65AA" w:rsidRDefault="00262411" w:rsidP="00C93704">
            <w:pPr>
              <w:rPr>
                <w:rFonts w:ascii="Arial Narrow" w:hAnsi="Arial Narrow" w:cs="Arial"/>
                <w:color w:val="000000"/>
                <w:sz w:val="24"/>
                <w:szCs w:val="24"/>
              </w:rPr>
            </w:pPr>
            <w:r w:rsidRPr="00DA65AA">
              <w:rPr>
                <w:rFonts w:ascii="Arial Narrow" w:hAnsi="Arial Narrow" w:cs="Arial"/>
                <w:color w:val="000000"/>
                <w:sz w:val="24"/>
                <w:szCs w:val="24"/>
              </w:rPr>
              <w:t>Depósitos a Término en moneda extranjera</w:t>
            </w:r>
          </w:p>
        </w:tc>
        <w:tc>
          <w:tcPr>
            <w:tcW w:w="1502" w:type="pct"/>
            <w:tcBorders>
              <w:top w:val="nil"/>
              <w:left w:val="nil"/>
              <w:bottom w:val="nil"/>
              <w:right w:val="single" w:sz="8" w:space="0" w:color="FFFFFF"/>
            </w:tcBorders>
            <w:shd w:val="clear" w:color="auto" w:fill="auto"/>
            <w:vAlign w:val="center"/>
          </w:tcPr>
          <w:p w:rsidR="00262411" w:rsidRPr="00DA65AA" w:rsidRDefault="00262411" w:rsidP="00C93704">
            <w:pPr>
              <w:jc w:val="center"/>
              <w:rPr>
                <w:rFonts w:ascii="Arial Narrow" w:hAnsi="Arial Narrow" w:cs="Arial"/>
                <w:color w:val="000000"/>
                <w:sz w:val="24"/>
                <w:szCs w:val="24"/>
              </w:rPr>
            </w:pPr>
            <w:r w:rsidRPr="00DA65AA">
              <w:rPr>
                <w:rFonts w:ascii="Arial Narrow" w:hAnsi="Arial Narrow" w:cs="Arial"/>
                <w:color w:val="000000"/>
                <w:sz w:val="24"/>
                <w:szCs w:val="24"/>
              </w:rPr>
              <w:t>180 días</w:t>
            </w:r>
          </w:p>
        </w:tc>
      </w:tr>
    </w:tbl>
    <w:p w:rsidR="003E2226" w:rsidRDefault="003E2226" w:rsidP="00C93704">
      <w:pPr>
        <w:rPr>
          <w:rFonts w:ascii="Arial Narrow" w:hAnsi="Arial Narrow"/>
          <w:lang w:val="es-CO"/>
        </w:rPr>
      </w:pPr>
    </w:p>
    <w:p w:rsidR="00171A99" w:rsidRDefault="00171A99" w:rsidP="00C93704">
      <w:pPr>
        <w:rPr>
          <w:rFonts w:ascii="Arial Narrow" w:hAnsi="Arial Narrow"/>
          <w:lang w:val="es-CO"/>
        </w:rPr>
      </w:pPr>
    </w:p>
    <w:p w:rsidR="00171A99" w:rsidRDefault="00171A99" w:rsidP="00C93704">
      <w:pPr>
        <w:rPr>
          <w:rFonts w:ascii="Arial Narrow" w:hAnsi="Arial Narrow"/>
          <w:lang w:val="es-CO"/>
        </w:rPr>
      </w:pPr>
    </w:p>
    <w:p w:rsidR="00171A99" w:rsidRDefault="00171A99" w:rsidP="00C93704">
      <w:pPr>
        <w:rPr>
          <w:rFonts w:ascii="Arial Narrow" w:hAnsi="Arial Narrow"/>
          <w:lang w:val="es-CO"/>
        </w:rPr>
      </w:pPr>
    </w:p>
    <w:p w:rsidR="00171A99" w:rsidRPr="00DA65AA" w:rsidRDefault="00171A99" w:rsidP="00C93704">
      <w:pPr>
        <w:rPr>
          <w:rFonts w:ascii="Arial Narrow" w:hAnsi="Arial Narrow"/>
          <w:lang w:val="es-CO"/>
        </w:rPr>
      </w:pPr>
    </w:p>
    <w:p w:rsidR="00262411" w:rsidRPr="00DA65AA" w:rsidRDefault="00262411" w:rsidP="000E1069">
      <w:pPr>
        <w:pStyle w:val="Ttulo2"/>
      </w:pPr>
      <w:bookmarkStart w:id="49" w:name="_Toc4596445"/>
      <w:r w:rsidRPr="00DA65AA">
        <w:lastRenderedPageBreak/>
        <w:t>Lineamientos Específicos</w:t>
      </w:r>
      <w:bookmarkEnd w:id="49"/>
    </w:p>
    <w:p w:rsidR="00262411" w:rsidRPr="00DA65AA" w:rsidRDefault="00262411" w:rsidP="00262411">
      <w:pPr>
        <w:rPr>
          <w:rFonts w:ascii="Arial Narrow" w:hAnsi="Arial Narrow"/>
        </w:rPr>
      </w:pPr>
    </w:p>
    <w:p w:rsidR="00262411" w:rsidRPr="00DA65AA" w:rsidRDefault="00262411" w:rsidP="000E1069">
      <w:pPr>
        <w:pStyle w:val="Ttulo3"/>
      </w:pPr>
      <w:bookmarkStart w:id="50" w:name="_Toc4596446"/>
      <w:r w:rsidRPr="00DA65AA">
        <w:t>Límites para operaciones en fondos “</w:t>
      </w:r>
      <w:r w:rsidRPr="00CF5454">
        <w:rPr>
          <w:i/>
        </w:rPr>
        <w:t>Money Market</w:t>
      </w:r>
      <w:r w:rsidRPr="00DA65AA">
        <w:t>”</w:t>
      </w:r>
      <w:bookmarkEnd w:id="50"/>
    </w:p>
    <w:p w:rsidR="00262411" w:rsidRPr="00DA65AA" w:rsidRDefault="00262411" w:rsidP="00262411">
      <w:pPr>
        <w:rPr>
          <w:rFonts w:ascii="Arial Narrow" w:hAnsi="Arial Narrow"/>
        </w:rPr>
      </w:pPr>
    </w:p>
    <w:tbl>
      <w:tblPr>
        <w:tblW w:w="5000" w:type="pct"/>
        <w:jc w:val="center"/>
        <w:tblCellMar>
          <w:left w:w="70" w:type="dxa"/>
          <w:right w:w="70" w:type="dxa"/>
        </w:tblCellMar>
        <w:tblLook w:val="04A0" w:firstRow="1" w:lastRow="0" w:firstColumn="1" w:lastColumn="0" w:noHBand="0" w:noVBand="1"/>
      </w:tblPr>
      <w:tblGrid>
        <w:gridCol w:w="2436"/>
        <w:gridCol w:w="6384"/>
      </w:tblGrid>
      <w:tr w:rsidR="00262411" w:rsidRPr="00DA65AA" w:rsidTr="00262411">
        <w:trPr>
          <w:trHeight w:val="345"/>
          <w:jc w:val="center"/>
        </w:trPr>
        <w:tc>
          <w:tcPr>
            <w:tcW w:w="1381" w:type="pct"/>
            <w:vMerge w:val="restart"/>
            <w:tcBorders>
              <w:top w:val="single" w:sz="8" w:space="0" w:color="FFFFFF"/>
              <w:left w:val="single" w:sz="8" w:space="0" w:color="FFFFFF"/>
              <w:bottom w:val="single" w:sz="12" w:space="0" w:color="FFFFFF"/>
              <w:right w:val="single" w:sz="8" w:space="0" w:color="FFFFFF"/>
            </w:tcBorders>
            <w:shd w:val="clear" w:color="000000" w:fill="17365D"/>
            <w:vAlign w:val="center"/>
            <w:hideMark/>
          </w:tcPr>
          <w:p w:rsidR="00262411" w:rsidRPr="00DA65AA" w:rsidRDefault="00262411" w:rsidP="00262411">
            <w:pPr>
              <w:jc w:val="center"/>
              <w:rPr>
                <w:rFonts w:ascii="Arial Narrow" w:hAnsi="Arial Narrow" w:cs="Arial"/>
                <w:b/>
                <w:bCs/>
                <w:color w:val="FFFFFF"/>
                <w:sz w:val="24"/>
                <w:szCs w:val="24"/>
                <w:lang w:val="es-CO" w:eastAsia="es-CO"/>
              </w:rPr>
            </w:pPr>
            <w:r w:rsidRPr="00DA65AA">
              <w:rPr>
                <w:rFonts w:ascii="Arial Narrow" w:hAnsi="Arial Narrow" w:cs="Arial"/>
                <w:b/>
                <w:bCs/>
                <w:color w:val="FFFFFF"/>
                <w:sz w:val="24"/>
                <w:szCs w:val="24"/>
                <w:lang w:val="es-CO" w:eastAsia="es-CO"/>
              </w:rPr>
              <w:t>Criterios</w:t>
            </w:r>
          </w:p>
        </w:tc>
        <w:tc>
          <w:tcPr>
            <w:tcW w:w="3619" w:type="pct"/>
            <w:vMerge w:val="restart"/>
            <w:tcBorders>
              <w:top w:val="single" w:sz="8" w:space="0" w:color="FFFFFF"/>
              <w:left w:val="nil"/>
              <w:bottom w:val="single" w:sz="12" w:space="0" w:color="FFFFFF"/>
              <w:right w:val="single" w:sz="8" w:space="0" w:color="FFFFFF"/>
            </w:tcBorders>
            <w:shd w:val="clear" w:color="000000" w:fill="17365D"/>
            <w:vAlign w:val="center"/>
            <w:hideMark/>
          </w:tcPr>
          <w:p w:rsidR="00262411" w:rsidRPr="00DA65AA" w:rsidRDefault="00262411" w:rsidP="00262411">
            <w:pPr>
              <w:jc w:val="center"/>
              <w:rPr>
                <w:rFonts w:ascii="Arial Narrow" w:hAnsi="Arial Narrow" w:cs="Arial"/>
                <w:b/>
                <w:bCs/>
                <w:color w:val="FFFFFF"/>
                <w:szCs w:val="24"/>
                <w:lang w:val="es-CO" w:eastAsia="es-CO"/>
              </w:rPr>
            </w:pPr>
            <w:r w:rsidRPr="00DA65AA">
              <w:rPr>
                <w:rFonts w:ascii="Arial Narrow" w:hAnsi="Arial Narrow" w:cs="Arial"/>
                <w:b/>
                <w:bCs/>
                <w:color w:val="FFFFFF"/>
                <w:sz w:val="24"/>
                <w:szCs w:val="24"/>
                <w:lang w:val="es-CO" w:eastAsia="es-CO"/>
              </w:rPr>
              <w:t>Lineamientos</w:t>
            </w:r>
          </w:p>
        </w:tc>
      </w:tr>
      <w:tr w:rsidR="00262411" w:rsidRPr="00DA65AA" w:rsidTr="00262411">
        <w:trPr>
          <w:trHeight w:val="275"/>
          <w:jc w:val="center"/>
        </w:trPr>
        <w:tc>
          <w:tcPr>
            <w:tcW w:w="1381" w:type="pct"/>
            <w:vMerge/>
            <w:tcBorders>
              <w:top w:val="single" w:sz="8" w:space="0" w:color="FFFFFF"/>
              <w:left w:val="single" w:sz="8" w:space="0" w:color="FFFFFF"/>
              <w:bottom w:val="single" w:sz="12" w:space="0" w:color="FFFFFF"/>
              <w:right w:val="single" w:sz="8" w:space="0" w:color="FFFFFF"/>
            </w:tcBorders>
            <w:shd w:val="clear" w:color="000000" w:fill="17365D"/>
            <w:vAlign w:val="center"/>
            <w:hideMark/>
          </w:tcPr>
          <w:p w:rsidR="00262411" w:rsidRPr="00DA65AA" w:rsidRDefault="00262411" w:rsidP="00262411">
            <w:pPr>
              <w:rPr>
                <w:rFonts w:ascii="Arial Narrow" w:hAnsi="Arial Narrow" w:cs="Arial"/>
                <w:b/>
                <w:bCs/>
                <w:color w:val="FFFFFF"/>
                <w:sz w:val="24"/>
                <w:szCs w:val="24"/>
                <w:lang w:val="es-CO" w:eastAsia="es-CO"/>
              </w:rPr>
            </w:pPr>
          </w:p>
        </w:tc>
        <w:tc>
          <w:tcPr>
            <w:tcW w:w="3619" w:type="pct"/>
            <w:vMerge/>
            <w:tcBorders>
              <w:top w:val="single" w:sz="8" w:space="0" w:color="FFFFFF"/>
              <w:left w:val="nil"/>
              <w:bottom w:val="single" w:sz="12" w:space="0" w:color="FFFFFF"/>
              <w:right w:val="single" w:sz="8" w:space="0" w:color="FFFFFF"/>
            </w:tcBorders>
            <w:shd w:val="clear" w:color="000000" w:fill="17365D"/>
            <w:vAlign w:val="center"/>
            <w:hideMark/>
          </w:tcPr>
          <w:p w:rsidR="00262411" w:rsidRPr="00DA65AA" w:rsidRDefault="00262411" w:rsidP="00262411">
            <w:pPr>
              <w:rPr>
                <w:rFonts w:ascii="Arial Narrow" w:hAnsi="Arial Narrow" w:cs="Arial"/>
                <w:b/>
                <w:bCs/>
                <w:color w:val="FFFFFF"/>
                <w:szCs w:val="24"/>
                <w:lang w:val="es-CO" w:eastAsia="es-CO"/>
              </w:rPr>
            </w:pPr>
          </w:p>
        </w:tc>
      </w:tr>
      <w:tr w:rsidR="00262411" w:rsidRPr="00DA65AA" w:rsidTr="00262411">
        <w:trPr>
          <w:trHeight w:val="212"/>
          <w:jc w:val="center"/>
        </w:trPr>
        <w:tc>
          <w:tcPr>
            <w:tcW w:w="1381" w:type="pct"/>
            <w:vMerge w:val="restart"/>
            <w:tcBorders>
              <w:top w:val="nil"/>
              <w:left w:val="single" w:sz="8" w:space="0" w:color="FFFFFF"/>
              <w:bottom w:val="single" w:sz="8" w:space="0" w:color="FFFFFF"/>
              <w:right w:val="single" w:sz="8" w:space="0" w:color="FFFFFF"/>
            </w:tcBorders>
            <w:shd w:val="clear" w:color="auto" w:fill="auto"/>
            <w:vAlign w:val="center"/>
            <w:hideMark/>
          </w:tcPr>
          <w:p w:rsidR="00262411" w:rsidRPr="00DA65AA" w:rsidRDefault="00262411" w:rsidP="00262411">
            <w:pPr>
              <w:rPr>
                <w:rFonts w:ascii="Arial Narrow" w:hAnsi="Arial Narrow" w:cs="Arial"/>
                <w:b/>
                <w:bCs/>
                <w:color w:val="000000"/>
                <w:sz w:val="24"/>
                <w:szCs w:val="24"/>
                <w:lang w:val="es-CO" w:eastAsia="es-CO"/>
              </w:rPr>
            </w:pPr>
            <w:r w:rsidRPr="00DA65AA">
              <w:rPr>
                <w:rFonts w:ascii="Arial Narrow" w:hAnsi="Arial Narrow" w:cs="Arial"/>
                <w:b/>
                <w:bCs/>
                <w:color w:val="000000"/>
                <w:sz w:val="24"/>
                <w:szCs w:val="24"/>
                <w:lang w:val="es-CO" w:eastAsia="es-CO"/>
              </w:rPr>
              <w:t xml:space="preserve">Regulación </w:t>
            </w:r>
          </w:p>
        </w:tc>
        <w:tc>
          <w:tcPr>
            <w:tcW w:w="3619" w:type="pct"/>
            <w:tcBorders>
              <w:top w:val="nil"/>
              <w:left w:val="nil"/>
              <w:bottom w:val="nil"/>
              <w:right w:val="nil"/>
            </w:tcBorders>
            <w:shd w:val="clear" w:color="auto" w:fill="auto"/>
            <w:vAlign w:val="center"/>
            <w:hideMark/>
          </w:tcPr>
          <w:p w:rsidR="00262411" w:rsidRPr="00DA65AA" w:rsidRDefault="00262411" w:rsidP="00262411">
            <w:pPr>
              <w:rPr>
                <w:rFonts w:ascii="Arial Narrow" w:hAnsi="Arial Narrow" w:cs="Arial"/>
                <w:b/>
                <w:bCs/>
                <w:color w:val="000000"/>
                <w:szCs w:val="24"/>
                <w:lang w:val="es-CO" w:eastAsia="es-CO"/>
              </w:rPr>
            </w:pPr>
            <w:r w:rsidRPr="00DA65AA">
              <w:rPr>
                <w:rFonts w:ascii="Arial Narrow" w:hAnsi="Arial Narrow" w:cs="Arial"/>
                <w:b/>
                <w:bCs/>
                <w:color w:val="000000"/>
                <w:szCs w:val="24"/>
                <w:lang w:val="es-CO" w:eastAsia="es-CO"/>
              </w:rPr>
              <w:t>Domiciliados en U.S.</w:t>
            </w:r>
            <w:r w:rsidRPr="00DA65AA">
              <w:rPr>
                <w:rFonts w:ascii="Arial Narrow" w:hAnsi="Arial Narrow" w:cs="Arial"/>
                <w:color w:val="000000"/>
                <w:szCs w:val="24"/>
                <w:lang w:val="es-CO" w:eastAsia="es-CO"/>
              </w:rPr>
              <w:t>: regulados por la SEC y regidos por la norma 2a-7.</w:t>
            </w:r>
            <w:r w:rsidRPr="00DA65AA">
              <w:rPr>
                <w:rFonts w:ascii="Arial Narrow" w:hAnsi="Arial Narrow" w:cs="Arial"/>
                <w:b/>
                <w:bCs/>
                <w:color w:val="000000"/>
                <w:szCs w:val="24"/>
                <w:lang w:val="es-CO" w:eastAsia="es-CO"/>
              </w:rPr>
              <w:t xml:space="preserve"> </w:t>
            </w:r>
          </w:p>
        </w:tc>
      </w:tr>
      <w:tr w:rsidR="00262411" w:rsidRPr="00DA65AA" w:rsidTr="00262411">
        <w:trPr>
          <w:trHeight w:val="497"/>
          <w:jc w:val="center"/>
        </w:trPr>
        <w:tc>
          <w:tcPr>
            <w:tcW w:w="1381" w:type="pct"/>
            <w:vMerge/>
            <w:tcBorders>
              <w:top w:val="nil"/>
              <w:left w:val="single" w:sz="8" w:space="0" w:color="FFFFFF"/>
              <w:bottom w:val="single" w:sz="8" w:space="0" w:color="FFFFFF"/>
              <w:right w:val="single" w:sz="8" w:space="0" w:color="FFFFFF"/>
            </w:tcBorders>
            <w:vAlign w:val="center"/>
            <w:hideMark/>
          </w:tcPr>
          <w:p w:rsidR="00262411" w:rsidRPr="00DA65AA" w:rsidRDefault="00262411" w:rsidP="00262411">
            <w:pPr>
              <w:rPr>
                <w:rFonts w:ascii="Arial Narrow" w:hAnsi="Arial Narrow" w:cs="Arial"/>
                <w:b/>
                <w:bCs/>
                <w:color w:val="000000"/>
                <w:sz w:val="24"/>
                <w:szCs w:val="24"/>
                <w:lang w:val="es-CO" w:eastAsia="es-CO"/>
              </w:rPr>
            </w:pPr>
          </w:p>
        </w:tc>
        <w:tc>
          <w:tcPr>
            <w:tcW w:w="3619" w:type="pct"/>
            <w:tcBorders>
              <w:top w:val="nil"/>
              <w:left w:val="nil"/>
              <w:bottom w:val="nil"/>
              <w:right w:val="nil"/>
            </w:tcBorders>
            <w:shd w:val="clear" w:color="auto" w:fill="auto"/>
            <w:vAlign w:val="center"/>
            <w:hideMark/>
          </w:tcPr>
          <w:p w:rsidR="00262411" w:rsidRPr="00DA65AA" w:rsidRDefault="00262411" w:rsidP="00CF5454">
            <w:pPr>
              <w:rPr>
                <w:rFonts w:ascii="Arial Narrow" w:hAnsi="Arial Narrow" w:cs="Arial"/>
                <w:b/>
                <w:bCs/>
                <w:color w:val="000000"/>
                <w:szCs w:val="24"/>
                <w:lang w:val="es-CO" w:eastAsia="es-CO"/>
              </w:rPr>
            </w:pPr>
            <w:r w:rsidRPr="00DA65AA">
              <w:rPr>
                <w:rFonts w:ascii="Arial Narrow" w:hAnsi="Arial Narrow" w:cs="Arial"/>
                <w:b/>
                <w:bCs/>
                <w:color w:val="000000"/>
                <w:szCs w:val="24"/>
                <w:lang w:val="es-CO" w:eastAsia="es-CO"/>
              </w:rPr>
              <w:t>Domiciliados en Europa</w:t>
            </w:r>
            <w:r w:rsidRPr="00DA65AA">
              <w:rPr>
                <w:rFonts w:ascii="Arial Narrow" w:hAnsi="Arial Narrow" w:cs="Arial"/>
                <w:color w:val="000000"/>
                <w:szCs w:val="24"/>
                <w:lang w:val="es-CO" w:eastAsia="es-CO"/>
              </w:rPr>
              <w:t>: Administrador debe ser miembro del IMMFA y seguir los lineamientos dictados por ESMA.</w:t>
            </w:r>
            <w:r w:rsidRPr="00DA65AA">
              <w:rPr>
                <w:rFonts w:ascii="Arial Narrow" w:hAnsi="Arial Narrow" w:cs="Arial"/>
                <w:b/>
                <w:bCs/>
                <w:color w:val="000000"/>
                <w:szCs w:val="24"/>
                <w:lang w:val="es-CO" w:eastAsia="es-CO"/>
              </w:rPr>
              <w:t xml:space="preserve"> </w:t>
            </w:r>
          </w:p>
        </w:tc>
      </w:tr>
      <w:tr w:rsidR="00262411" w:rsidRPr="00DA65AA" w:rsidTr="00262411">
        <w:trPr>
          <w:trHeight w:val="460"/>
          <w:jc w:val="center"/>
        </w:trPr>
        <w:tc>
          <w:tcPr>
            <w:tcW w:w="1381" w:type="pct"/>
            <w:vMerge w:val="restart"/>
            <w:tcBorders>
              <w:top w:val="nil"/>
              <w:left w:val="single" w:sz="8" w:space="0" w:color="FFFFFF"/>
              <w:bottom w:val="single" w:sz="8" w:space="0" w:color="FFFFFF"/>
              <w:right w:val="single" w:sz="8" w:space="0" w:color="FFFFFF"/>
            </w:tcBorders>
            <w:shd w:val="clear" w:color="000000" w:fill="D9D9D9"/>
            <w:vAlign w:val="center"/>
            <w:hideMark/>
          </w:tcPr>
          <w:p w:rsidR="00262411" w:rsidRPr="00DA65AA" w:rsidRDefault="00262411" w:rsidP="00262411">
            <w:pPr>
              <w:rPr>
                <w:rFonts w:ascii="Arial Narrow" w:hAnsi="Arial Narrow" w:cs="Arial"/>
                <w:b/>
                <w:bCs/>
                <w:color w:val="000000"/>
                <w:sz w:val="24"/>
                <w:szCs w:val="24"/>
                <w:lang w:val="es-CO" w:eastAsia="es-CO"/>
              </w:rPr>
            </w:pPr>
            <w:r w:rsidRPr="00DA65AA">
              <w:rPr>
                <w:rFonts w:ascii="Arial Narrow" w:hAnsi="Arial Narrow" w:cs="Arial"/>
                <w:b/>
                <w:bCs/>
                <w:color w:val="000000"/>
                <w:sz w:val="24"/>
                <w:szCs w:val="24"/>
                <w:lang w:val="es-CO" w:eastAsia="es-CO"/>
              </w:rPr>
              <w:t>Inversiones admisibles</w:t>
            </w:r>
          </w:p>
        </w:tc>
        <w:tc>
          <w:tcPr>
            <w:tcW w:w="3619" w:type="pct"/>
            <w:tcBorders>
              <w:top w:val="nil"/>
              <w:left w:val="nil"/>
              <w:bottom w:val="nil"/>
              <w:right w:val="nil"/>
            </w:tcBorders>
            <w:shd w:val="clear" w:color="000000" w:fill="D9D9D9"/>
            <w:vAlign w:val="center"/>
            <w:hideMark/>
          </w:tcPr>
          <w:p w:rsidR="00262411" w:rsidRPr="00DA65AA" w:rsidRDefault="00262411" w:rsidP="00262411">
            <w:pPr>
              <w:jc w:val="both"/>
              <w:rPr>
                <w:rFonts w:ascii="Arial Narrow" w:hAnsi="Arial Narrow" w:cs="Arial"/>
                <w:color w:val="000000"/>
                <w:szCs w:val="24"/>
                <w:lang w:val="es-CO" w:eastAsia="es-CO"/>
              </w:rPr>
            </w:pPr>
            <w:r w:rsidRPr="00DA65AA">
              <w:rPr>
                <w:rFonts w:ascii="Arial Narrow" w:hAnsi="Arial Narrow" w:cs="Arial"/>
                <w:color w:val="000000"/>
                <w:szCs w:val="24"/>
                <w:lang w:val="es-CO" w:eastAsia="es-CO"/>
              </w:rPr>
              <w:t>En términos generales, las establecidas por la regulación exigida aplicable a cada fondo (U.S. o Europa), dentro de las cuales se destacan las siguientes:</w:t>
            </w:r>
          </w:p>
        </w:tc>
      </w:tr>
      <w:tr w:rsidR="00262411" w:rsidRPr="00DA65AA" w:rsidTr="00262411">
        <w:trPr>
          <w:trHeight w:val="113"/>
          <w:jc w:val="center"/>
        </w:trPr>
        <w:tc>
          <w:tcPr>
            <w:tcW w:w="1381" w:type="pct"/>
            <w:vMerge/>
            <w:tcBorders>
              <w:top w:val="nil"/>
              <w:left w:val="single" w:sz="8" w:space="0" w:color="FFFFFF"/>
              <w:bottom w:val="single" w:sz="8" w:space="0" w:color="FFFFFF"/>
              <w:right w:val="single" w:sz="8" w:space="0" w:color="FFFFFF"/>
            </w:tcBorders>
            <w:vAlign w:val="center"/>
            <w:hideMark/>
          </w:tcPr>
          <w:p w:rsidR="00262411" w:rsidRPr="00DA65AA" w:rsidRDefault="00262411" w:rsidP="00262411">
            <w:pPr>
              <w:rPr>
                <w:rFonts w:ascii="Arial Narrow" w:hAnsi="Arial Narrow" w:cs="Arial"/>
                <w:b/>
                <w:bCs/>
                <w:color w:val="000000"/>
                <w:sz w:val="24"/>
                <w:szCs w:val="24"/>
                <w:lang w:val="es-CO" w:eastAsia="es-CO"/>
              </w:rPr>
            </w:pPr>
          </w:p>
        </w:tc>
        <w:tc>
          <w:tcPr>
            <w:tcW w:w="3619" w:type="pct"/>
            <w:tcBorders>
              <w:top w:val="nil"/>
              <w:left w:val="nil"/>
              <w:bottom w:val="nil"/>
              <w:right w:val="nil"/>
            </w:tcBorders>
            <w:shd w:val="clear" w:color="000000" w:fill="D9D9D9"/>
            <w:vAlign w:val="center"/>
            <w:hideMark/>
          </w:tcPr>
          <w:p w:rsidR="00262411" w:rsidRPr="00DA65AA" w:rsidRDefault="00262411" w:rsidP="00262411">
            <w:pPr>
              <w:jc w:val="both"/>
              <w:rPr>
                <w:rFonts w:ascii="Arial Narrow" w:hAnsi="Arial Narrow" w:cs="Arial"/>
                <w:color w:val="000000"/>
                <w:szCs w:val="24"/>
                <w:lang w:val="es-CO" w:eastAsia="es-CO"/>
              </w:rPr>
            </w:pPr>
            <w:r w:rsidRPr="00DA65AA">
              <w:rPr>
                <w:rFonts w:ascii="Arial Narrow" w:hAnsi="Arial Narrow" w:cs="Arial"/>
                <w:color w:val="000000"/>
                <w:szCs w:val="24"/>
                <w:lang w:val="es-CO" w:eastAsia="es-CO"/>
              </w:rPr>
              <w:t>• Bonos de gobiernos soberanos y sus agencias.</w:t>
            </w:r>
          </w:p>
        </w:tc>
      </w:tr>
      <w:tr w:rsidR="00262411" w:rsidRPr="00DA65AA" w:rsidTr="00262411">
        <w:trPr>
          <w:trHeight w:val="186"/>
          <w:jc w:val="center"/>
        </w:trPr>
        <w:tc>
          <w:tcPr>
            <w:tcW w:w="1381" w:type="pct"/>
            <w:vMerge/>
            <w:tcBorders>
              <w:top w:val="nil"/>
              <w:left w:val="single" w:sz="8" w:space="0" w:color="FFFFFF"/>
              <w:bottom w:val="single" w:sz="8" w:space="0" w:color="FFFFFF"/>
              <w:right w:val="single" w:sz="8" w:space="0" w:color="FFFFFF"/>
            </w:tcBorders>
            <w:vAlign w:val="center"/>
            <w:hideMark/>
          </w:tcPr>
          <w:p w:rsidR="00262411" w:rsidRPr="00DA65AA" w:rsidRDefault="00262411" w:rsidP="00262411">
            <w:pPr>
              <w:rPr>
                <w:rFonts w:ascii="Arial Narrow" w:hAnsi="Arial Narrow" w:cs="Arial"/>
                <w:b/>
                <w:bCs/>
                <w:color w:val="000000"/>
                <w:sz w:val="24"/>
                <w:szCs w:val="24"/>
                <w:lang w:val="es-CO" w:eastAsia="es-CO"/>
              </w:rPr>
            </w:pPr>
          </w:p>
        </w:tc>
        <w:tc>
          <w:tcPr>
            <w:tcW w:w="3619" w:type="pct"/>
            <w:tcBorders>
              <w:top w:val="nil"/>
              <w:left w:val="nil"/>
              <w:bottom w:val="nil"/>
              <w:right w:val="nil"/>
            </w:tcBorders>
            <w:shd w:val="clear" w:color="000000" w:fill="D9D9D9"/>
            <w:vAlign w:val="center"/>
            <w:hideMark/>
          </w:tcPr>
          <w:p w:rsidR="00262411" w:rsidRPr="00DA65AA" w:rsidRDefault="00262411" w:rsidP="00262411">
            <w:pPr>
              <w:jc w:val="both"/>
              <w:rPr>
                <w:rFonts w:ascii="Arial Narrow" w:hAnsi="Arial Narrow" w:cs="Arial"/>
                <w:color w:val="000000"/>
                <w:szCs w:val="24"/>
                <w:lang w:val="es-CO" w:eastAsia="es-CO"/>
              </w:rPr>
            </w:pPr>
            <w:r w:rsidRPr="00DA65AA">
              <w:rPr>
                <w:rFonts w:ascii="Arial Narrow" w:hAnsi="Arial Narrow" w:cs="Arial"/>
                <w:color w:val="000000"/>
                <w:szCs w:val="24"/>
                <w:lang w:val="es-CO" w:eastAsia="es-CO"/>
              </w:rPr>
              <w:t>• Acuerdos de recompra “</w:t>
            </w:r>
            <w:r w:rsidRPr="00DA65AA">
              <w:rPr>
                <w:rFonts w:ascii="Arial Narrow" w:hAnsi="Arial Narrow" w:cs="Arial"/>
                <w:i/>
                <w:iCs/>
                <w:color w:val="000000"/>
                <w:szCs w:val="24"/>
                <w:lang w:val="es-CO" w:eastAsia="es-CO"/>
              </w:rPr>
              <w:t>Repurchase Agreements</w:t>
            </w:r>
            <w:r w:rsidRPr="00DA65AA">
              <w:rPr>
                <w:rFonts w:ascii="Arial Narrow" w:hAnsi="Arial Narrow" w:cs="Arial"/>
                <w:color w:val="000000"/>
                <w:szCs w:val="24"/>
                <w:lang w:val="es-CO" w:eastAsia="es-CO"/>
              </w:rPr>
              <w:t>”.</w:t>
            </w:r>
          </w:p>
        </w:tc>
      </w:tr>
      <w:tr w:rsidR="00262411" w:rsidRPr="00DA65AA" w:rsidTr="00262411">
        <w:trPr>
          <w:trHeight w:val="232"/>
          <w:jc w:val="center"/>
        </w:trPr>
        <w:tc>
          <w:tcPr>
            <w:tcW w:w="1381" w:type="pct"/>
            <w:vMerge/>
            <w:tcBorders>
              <w:top w:val="nil"/>
              <w:left w:val="single" w:sz="8" w:space="0" w:color="FFFFFF"/>
              <w:bottom w:val="single" w:sz="8" w:space="0" w:color="FFFFFF"/>
              <w:right w:val="single" w:sz="8" w:space="0" w:color="FFFFFF"/>
            </w:tcBorders>
            <w:vAlign w:val="center"/>
            <w:hideMark/>
          </w:tcPr>
          <w:p w:rsidR="00262411" w:rsidRPr="00DA65AA" w:rsidRDefault="00262411" w:rsidP="00262411">
            <w:pPr>
              <w:rPr>
                <w:rFonts w:ascii="Arial Narrow" w:hAnsi="Arial Narrow" w:cs="Arial"/>
                <w:b/>
                <w:bCs/>
                <w:color w:val="000000"/>
                <w:sz w:val="24"/>
                <w:szCs w:val="24"/>
                <w:lang w:val="es-CO" w:eastAsia="es-CO"/>
              </w:rPr>
            </w:pPr>
          </w:p>
        </w:tc>
        <w:tc>
          <w:tcPr>
            <w:tcW w:w="3619" w:type="pct"/>
            <w:tcBorders>
              <w:top w:val="nil"/>
              <w:left w:val="nil"/>
              <w:bottom w:val="nil"/>
              <w:right w:val="nil"/>
            </w:tcBorders>
            <w:shd w:val="clear" w:color="000000" w:fill="D9D9D9"/>
            <w:vAlign w:val="center"/>
            <w:hideMark/>
          </w:tcPr>
          <w:p w:rsidR="00262411" w:rsidRPr="00DA65AA" w:rsidRDefault="00262411" w:rsidP="00262411">
            <w:pPr>
              <w:jc w:val="both"/>
              <w:rPr>
                <w:rFonts w:ascii="Arial Narrow" w:hAnsi="Arial Narrow" w:cs="Arial"/>
                <w:color w:val="000000"/>
                <w:szCs w:val="24"/>
                <w:lang w:val="es-CO" w:eastAsia="es-CO"/>
              </w:rPr>
            </w:pPr>
            <w:r w:rsidRPr="00DA65AA">
              <w:rPr>
                <w:rFonts w:ascii="Arial Narrow" w:hAnsi="Arial Narrow" w:cs="Arial"/>
                <w:color w:val="000000"/>
                <w:szCs w:val="24"/>
                <w:lang w:val="es-CO" w:eastAsia="es-CO"/>
              </w:rPr>
              <w:t>• Papeles comerciales.</w:t>
            </w:r>
          </w:p>
        </w:tc>
      </w:tr>
      <w:tr w:rsidR="00262411" w:rsidRPr="00DA65AA" w:rsidTr="00262411">
        <w:trPr>
          <w:trHeight w:val="264"/>
          <w:jc w:val="center"/>
        </w:trPr>
        <w:tc>
          <w:tcPr>
            <w:tcW w:w="1381" w:type="pct"/>
            <w:vMerge/>
            <w:tcBorders>
              <w:top w:val="nil"/>
              <w:left w:val="single" w:sz="8" w:space="0" w:color="FFFFFF"/>
              <w:bottom w:val="single" w:sz="8" w:space="0" w:color="FFFFFF"/>
              <w:right w:val="single" w:sz="8" w:space="0" w:color="FFFFFF"/>
            </w:tcBorders>
            <w:vAlign w:val="center"/>
            <w:hideMark/>
          </w:tcPr>
          <w:p w:rsidR="00262411" w:rsidRPr="00DA65AA" w:rsidRDefault="00262411" w:rsidP="00262411">
            <w:pPr>
              <w:rPr>
                <w:rFonts w:ascii="Arial Narrow" w:hAnsi="Arial Narrow" w:cs="Arial"/>
                <w:b/>
                <w:bCs/>
                <w:color w:val="000000"/>
                <w:sz w:val="24"/>
                <w:szCs w:val="24"/>
                <w:lang w:val="es-CO" w:eastAsia="es-CO"/>
              </w:rPr>
            </w:pPr>
          </w:p>
        </w:tc>
        <w:tc>
          <w:tcPr>
            <w:tcW w:w="3619" w:type="pct"/>
            <w:tcBorders>
              <w:top w:val="nil"/>
              <w:left w:val="nil"/>
              <w:bottom w:val="nil"/>
              <w:right w:val="nil"/>
            </w:tcBorders>
            <w:shd w:val="clear" w:color="000000" w:fill="D9D9D9"/>
            <w:vAlign w:val="center"/>
            <w:hideMark/>
          </w:tcPr>
          <w:p w:rsidR="00262411" w:rsidRPr="00DA65AA" w:rsidRDefault="00262411" w:rsidP="00262411">
            <w:pPr>
              <w:jc w:val="both"/>
              <w:rPr>
                <w:rFonts w:ascii="Arial Narrow" w:hAnsi="Arial Narrow" w:cs="Arial"/>
                <w:color w:val="000000"/>
                <w:szCs w:val="24"/>
                <w:lang w:val="es-CO" w:eastAsia="es-CO"/>
              </w:rPr>
            </w:pPr>
            <w:r w:rsidRPr="00DA65AA">
              <w:rPr>
                <w:rFonts w:ascii="Arial Narrow" w:hAnsi="Arial Narrow" w:cs="Arial"/>
                <w:color w:val="000000"/>
                <w:szCs w:val="24"/>
                <w:lang w:val="es-CO" w:eastAsia="es-CO"/>
              </w:rPr>
              <w:t>• “</w:t>
            </w:r>
            <w:r w:rsidRPr="00DA65AA">
              <w:rPr>
                <w:rFonts w:ascii="Arial Narrow" w:hAnsi="Arial Narrow" w:cs="Arial"/>
                <w:i/>
                <w:color w:val="000000"/>
                <w:szCs w:val="24"/>
                <w:lang w:val="es-CO" w:eastAsia="es-CO"/>
              </w:rPr>
              <w:t>Time Deposits</w:t>
            </w:r>
            <w:r w:rsidRPr="00DA65AA">
              <w:rPr>
                <w:rFonts w:ascii="Arial Narrow" w:hAnsi="Arial Narrow" w:cs="Arial"/>
                <w:color w:val="000000"/>
                <w:szCs w:val="24"/>
                <w:lang w:val="es-CO" w:eastAsia="es-CO"/>
              </w:rPr>
              <w:t>” y certificados de depósito</w:t>
            </w:r>
          </w:p>
        </w:tc>
      </w:tr>
      <w:tr w:rsidR="00262411" w:rsidRPr="00DA65AA" w:rsidTr="00262411">
        <w:trPr>
          <w:trHeight w:val="406"/>
          <w:jc w:val="center"/>
        </w:trPr>
        <w:tc>
          <w:tcPr>
            <w:tcW w:w="1381" w:type="pct"/>
            <w:tcBorders>
              <w:top w:val="nil"/>
              <w:left w:val="single" w:sz="8" w:space="0" w:color="FFFFFF"/>
              <w:bottom w:val="single" w:sz="8" w:space="0" w:color="FFFFFF"/>
              <w:right w:val="single" w:sz="8" w:space="0" w:color="FFFFFF"/>
            </w:tcBorders>
            <w:shd w:val="clear" w:color="auto" w:fill="auto"/>
            <w:vAlign w:val="center"/>
            <w:hideMark/>
          </w:tcPr>
          <w:p w:rsidR="00262411" w:rsidRPr="00DA65AA" w:rsidRDefault="00262411" w:rsidP="00262411">
            <w:pPr>
              <w:rPr>
                <w:rFonts w:ascii="Arial Narrow" w:hAnsi="Arial Narrow" w:cs="Arial"/>
                <w:b/>
                <w:bCs/>
                <w:color w:val="000000"/>
                <w:sz w:val="24"/>
                <w:szCs w:val="24"/>
                <w:lang w:val="es-CO" w:eastAsia="es-CO"/>
              </w:rPr>
            </w:pPr>
            <w:r w:rsidRPr="00DA65AA">
              <w:rPr>
                <w:rFonts w:ascii="Arial Narrow" w:hAnsi="Arial Narrow" w:cs="Arial"/>
                <w:b/>
                <w:bCs/>
                <w:color w:val="000000"/>
                <w:sz w:val="24"/>
                <w:szCs w:val="24"/>
                <w:lang w:val="es-CO" w:eastAsia="es-CO"/>
              </w:rPr>
              <w:t>Plazo máximo</w:t>
            </w:r>
          </w:p>
        </w:tc>
        <w:tc>
          <w:tcPr>
            <w:tcW w:w="3619" w:type="pct"/>
            <w:tcBorders>
              <w:top w:val="nil"/>
              <w:left w:val="nil"/>
              <w:bottom w:val="nil"/>
              <w:right w:val="nil"/>
            </w:tcBorders>
            <w:shd w:val="clear" w:color="auto" w:fill="auto"/>
            <w:vAlign w:val="center"/>
            <w:hideMark/>
          </w:tcPr>
          <w:p w:rsidR="00262411" w:rsidRPr="00DA65AA" w:rsidRDefault="00262411" w:rsidP="00262411">
            <w:pPr>
              <w:jc w:val="both"/>
              <w:rPr>
                <w:rFonts w:ascii="Arial Narrow" w:hAnsi="Arial Narrow" w:cs="Arial"/>
                <w:color w:val="000000"/>
                <w:szCs w:val="24"/>
                <w:lang w:val="es-CO" w:eastAsia="es-CO"/>
              </w:rPr>
            </w:pPr>
            <w:r w:rsidRPr="00DA65AA">
              <w:rPr>
                <w:rFonts w:ascii="Arial Narrow" w:hAnsi="Arial Narrow" w:cs="Arial"/>
                <w:color w:val="000000"/>
                <w:szCs w:val="24"/>
                <w:lang w:val="es-CO" w:eastAsia="es-CO"/>
              </w:rPr>
              <w:t>El plazo máximo de las inversiones de los fondos deberá ser menor o igual a 397 días.</w:t>
            </w:r>
          </w:p>
          <w:p w:rsidR="00262411" w:rsidRPr="00DA65AA" w:rsidRDefault="00262411" w:rsidP="00262411">
            <w:pPr>
              <w:jc w:val="both"/>
              <w:rPr>
                <w:rFonts w:ascii="Arial Narrow" w:hAnsi="Arial Narrow" w:cs="Arial"/>
                <w:color w:val="000000"/>
                <w:szCs w:val="24"/>
                <w:lang w:val="es-CO" w:eastAsia="es-CO"/>
              </w:rPr>
            </w:pPr>
            <w:r w:rsidRPr="00DA65AA">
              <w:rPr>
                <w:rFonts w:ascii="Arial Narrow" w:hAnsi="Arial Narrow" w:cs="Arial"/>
                <w:color w:val="000000"/>
                <w:szCs w:val="24"/>
                <w:lang w:val="es-CO" w:eastAsia="es-CO"/>
              </w:rPr>
              <w:t>El plazo promedio ponderado (WAM) de las inversiones deberá ser como máximo de 60 días.</w:t>
            </w:r>
          </w:p>
        </w:tc>
      </w:tr>
      <w:tr w:rsidR="00262411" w:rsidRPr="00DA65AA" w:rsidTr="00262411">
        <w:trPr>
          <w:trHeight w:val="256"/>
          <w:jc w:val="center"/>
        </w:trPr>
        <w:tc>
          <w:tcPr>
            <w:tcW w:w="1381" w:type="pct"/>
            <w:tcBorders>
              <w:top w:val="nil"/>
              <w:left w:val="single" w:sz="8" w:space="0" w:color="FFFFFF"/>
              <w:bottom w:val="single" w:sz="8" w:space="0" w:color="FFFFFF"/>
              <w:right w:val="single" w:sz="8" w:space="0" w:color="FFFFFF"/>
            </w:tcBorders>
            <w:shd w:val="clear" w:color="000000" w:fill="D9D9D9"/>
            <w:vAlign w:val="center"/>
            <w:hideMark/>
          </w:tcPr>
          <w:p w:rsidR="00262411" w:rsidRPr="00DA65AA" w:rsidRDefault="00262411" w:rsidP="00262411">
            <w:pPr>
              <w:rPr>
                <w:rFonts w:ascii="Arial Narrow" w:hAnsi="Arial Narrow" w:cs="Arial"/>
                <w:b/>
                <w:bCs/>
                <w:color w:val="000000"/>
                <w:sz w:val="24"/>
                <w:szCs w:val="24"/>
                <w:lang w:val="es-CO" w:eastAsia="es-CO"/>
              </w:rPr>
            </w:pPr>
            <w:r w:rsidRPr="00DA65AA">
              <w:rPr>
                <w:rFonts w:ascii="Arial Narrow" w:hAnsi="Arial Narrow" w:cs="Arial"/>
                <w:b/>
                <w:bCs/>
                <w:color w:val="000000"/>
                <w:sz w:val="24"/>
                <w:szCs w:val="24"/>
                <w:lang w:val="es-CO" w:eastAsia="es-CO"/>
              </w:rPr>
              <w:t>Redención</w:t>
            </w:r>
          </w:p>
        </w:tc>
        <w:tc>
          <w:tcPr>
            <w:tcW w:w="3619" w:type="pct"/>
            <w:tcBorders>
              <w:top w:val="nil"/>
              <w:left w:val="nil"/>
              <w:bottom w:val="nil"/>
              <w:right w:val="nil"/>
            </w:tcBorders>
            <w:shd w:val="clear" w:color="000000" w:fill="D9D9D9"/>
            <w:vAlign w:val="center"/>
            <w:hideMark/>
          </w:tcPr>
          <w:p w:rsidR="00262411" w:rsidRPr="00DA65AA" w:rsidRDefault="00262411" w:rsidP="00262411">
            <w:pPr>
              <w:jc w:val="both"/>
              <w:rPr>
                <w:rFonts w:ascii="Arial Narrow" w:hAnsi="Arial Narrow" w:cs="Arial"/>
                <w:color w:val="000000"/>
                <w:szCs w:val="24"/>
                <w:lang w:val="es-CO" w:eastAsia="es-CO"/>
              </w:rPr>
            </w:pPr>
            <w:r w:rsidRPr="00DA65AA">
              <w:rPr>
                <w:rFonts w:ascii="Arial Narrow" w:hAnsi="Arial Narrow" w:cs="Arial"/>
                <w:color w:val="000000"/>
                <w:szCs w:val="24"/>
                <w:lang w:val="es-CO" w:eastAsia="es-CO"/>
              </w:rPr>
              <w:t>El fondo debe ser a la vista, es decir que se pueda liquidar en t+0 (</w:t>
            </w:r>
            <w:r w:rsidRPr="00DA65AA">
              <w:rPr>
                <w:rFonts w:ascii="Arial Narrow" w:hAnsi="Arial Narrow" w:cs="Arial"/>
                <w:i/>
                <w:iCs/>
                <w:color w:val="000000"/>
                <w:szCs w:val="24"/>
                <w:lang w:val="es-CO" w:eastAsia="es-CO"/>
              </w:rPr>
              <w:t>daily liquidity fund</w:t>
            </w:r>
            <w:r w:rsidRPr="00DA65AA">
              <w:rPr>
                <w:rFonts w:ascii="Arial Narrow" w:hAnsi="Arial Narrow" w:cs="Arial"/>
                <w:color w:val="000000"/>
                <w:szCs w:val="24"/>
                <w:lang w:val="es-CO" w:eastAsia="es-CO"/>
              </w:rPr>
              <w:t>).</w:t>
            </w:r>
          </w:p>
        </w:tc>
      </w:tr>
      <w:tr w:rsidR="00262411" w:rsidRPr="00DA65AA" w:rsidTr="00262411">
        <w:trPr>
          <w:trHeight w:val="315"/>
          <w:jc w:val="center"/>
        </w:trPr>
        <w:tc>
          <w:tcPr>
            <w:tcW w:w="1381" w:type="pct"/>
            <w:tcBorders>
              <w:top w:val="nil"/>
              <w:left w:val="single" w:sz="8" w:space="0" w:color="FFFFFF"/>
              <w:bottom w:val="single" w:sz="8" w:space="0" w:color="FFFFFF"/>
              <w:right w:val="single" w:sz="8" w:space="0" w:color="FFFFFF"/>
            </w:tcBorders>
            <w:shd w:val="clear" w:color="auto" w:fill="auto"/>
            <w:vAlign w:val="center"/>
            <w:hideMark/>
          </w:tcPr>
          <w:p w:rsidR="00262411" w:rsidRPr="00DA65AA" w:rsidRDefault="00262411" w:rsidP="00262411">
            <w:pPr>
              <w:rPr>
                <w:rFonts w:ascii="Arial Narrow" w:hAnsi="Arial Narrow" w:cs="Arial"/>
                <w:b/>
                <w:bCs/>
                <w:color w:val="000000"/>
                <w:sz w:val="24"/>
                <w:szCs w:val="24"/>
                <w:lang w:val="es-CO" w:eastAsia="es-CO"/>
              </w:rPr>
            </w:pPr>
            <w:r w:rsidRPr="00DA65AA">
              <w:rPr>
                <w:rFonts w:ascii="Arial Narrow" w:hAnsi="Arial Narrow" w:cs="Arial"/>
                <w:b/>
                <w:bCs/>
                <w:color w:val="000000"/>
                <w:sz w:val="24"/>
                <w:szCs w:val="24"/>
                <w:lang w:val="es-CO" w:eastAsia="es-CO"/>
              </w:rPr>
              <w:t>Moneda</w:t>
            </w:r>
          </w:p>
        </w:tc>
        <w:tc>
          <w:tcPr>
            <w:tcW w:w="3619" w:type="pct"/>
            <w:tcBorders>
              <w:top w:val="nil"/>
              <w:left w:val="nil"/>
              <w:bottom w:val="nil"/>
              <w:right w:val="nil"/>
            </w:tcBorders>
            <w:shd w:val="clear" w:color="auto" w:fill="auto"/>
            <w:vAlign w:val="center"/>
            <w:hideMark/>
          </w:tcPr>
          <w:p w:rsidR="00262411" w:rsidRPr="00DA65AA" w:rsidRDefault="00262411" w:rsidP="00262411">
            <w:pPr>
              <w:jc w:val="both"/>
              <w:rPr>
                <w:rFonts w:ascii="Arial Narrow" w:hAnsi="Arial Narrow" w:cs="Arial"/>
                <w:color w:val="000000"/>
                <w:szCs w:val="24"/>
                <w:lang w:val="es-CO" w:eastAsia="es-CO"/>
              </w:rPr>
            </w:pPr>
            <w:r w:rsidRPr="00DA65AA">
              <w:rPr>
                <w:rFonts w:ascii="Arial Narrow" w:hAnsi="Arial Narrow" w:cs="Arial"/>
                <w:color w:val="000000"/>
                <w:szCs w:val="24"/>
                <w:lang w:val="es-CO" w:eastAsia="es-CO"/>
              </w:rPr>
              <w:t>Dólares de Estados Unidos.</w:t>
            </w:r>
          </w:p>
        </w:tc>
      </w:tr>
      <w:tr w:rsidR="00262411" w:rsidRPr="00DA65AA" w:rsidTr="00262411">
        <w:trPr>
          <w:trHeight w:val="487"/>
          <w:jc w:val="center"/>
        </w:trPr>
        <w:tc>
          <w:tcPr>
            <w:tcW w:w="1381" w:type="pct"/>
            <w:vMerge w:val="restart"/>
            <w:tcBorders>
              <w:top w:val="single" w:sz="12" w:space="0" w:color="FFFFFF"/>
              <w:left w:val="single" w:sz="8" w:space="0" w:color="FFFFFF"/>
              <w:bottom w:val="single" w:sz="8" w:space="0" w:color="FFFFFF"/>
              <w:right w:val="single" w:sz="8" w:space="0" w:color="FFFFFF"/>
            </w:tcBorders>
            <w:shd w:val="clear" w:color="000000" w:fill="D9D9D9"/>
            <w:vAlign w:val="center"/>
            <w:hideMark/>
          </w:tcPr>
          <w:p w:rsidR="00262411" w:rsidRPr="00DA65AA" w:rsidRDefault="00262411" w:rsidP="00262411">
            <w:pPr>
              <w:rPr>
                <w:rFonts w:ascii="Arial Narrow" w:hAnsi="Arial Narrow" w:cs="Arial"/>
                <w:b/>
                <w:bCs/>
                <w:color w:val="000000"/>
                <w:sz w:val="24"/>
                <w:szCs w:val="24"/>
                <w:lang w:val="es-CO" w:eastAsia="es-CO"/>
              </w:rPr>
            </w:pPr>
            <w:r w:rsidRPr="00DA65AA">
              <w:rPr>
                <w:rFonts w:ascii="Arial Narrow" w:hAnsi="Arial Narrow" w:cs="Arial"/>
                <w:b/>
                <w:bCs/>
                <w:color w:val="000000"/>
                <w:sz w:val="24"/>
                <w:szCs w:val="24"/>
                <w:lang w:val="es-CO" w:eastAsia="es-CO"/>
              </w:rPr>
              <w:t>Concentración</w:t>
            </w:r>
          </w:p>
        </w:tc>
        <w:tc>
          <w:tcPr>
            <w:tcW w:w="3619" w:type="pct"/>
            <w:tcBorders>
              <w:top w:val="nil"/>
              <w:left w:val="nil"/>
              <w:bottom w:val="nil"/>
              <w:right w:val="nil"/>
            </w:tcBorders>
            <w:shd w:val="clear" w:color="000000" w:fill="D9D9D9"/>
            <w:vAlign w:val="center"/>
            <w:hideMark/>
          </w:tcPr>
          <w:p w:rsidR="00262411" w:rsidRPr="00DA65AA" w:rsidRDefault="00262411" w:rsidP="00262411">
            <w:pPr>
              <w:rPr>
                <w:rFonts w:ascii="Arial Narrow" w:hAnsi="Arial Narrow" w:cs="Arial"/>
                <w:color w:val="000000"/>
                <w:szCs w:val="24"/>
                <w:lang w:val="es-CO" w:eastAsia="es-CO"/>
              </w:rPr>
            </w:pPr>
            <w:r w:rsidRPr="00DA65AA">
              <w:rPr>
                <w:rFonts w:ascii="Arial Narrow" w:hAnsi="Arial Narrow" w:cs="Arial"/>
                <w:color w:val="000000"/>
                <w:szCs w:val="24"/>
                <w:lang w:val="es-CO" w:eastAsia="es-CO"/>
              </w:rPr>
              <w:t>Los recursos administrados por la Subdirección de Tesorería que sean invertidos en estos fondos tendrán los siguientes límites de concentración, de acuerdo con la composición de sus inversiones:</w:t>
            </w:r>
          </w:p>
        </w:tc>
      </w:tr>
      <w:tr w:rsidR="00262411" w:rsidRPr="00DA65AA" w:rsidTr="00262411">
        <w:trPr>
          <w:trHeight w:val="396"/>
          <w:jc w:val="center"/>
        </w:trPr>
        <w:tc>
          <w:tcPr>
            <w:tcW w:w="1381" w:type="pct"/>
            <w:vMerge/>
            <w:tcBorders>
              <w:top w:val="single" w:sz="12" w:space="0" w:color="FFFFFF"/>
              <w:left w:val="single" w:sz="8" w:space="0" w:color="FFFFFF"/>
              <w:bottom w:val="single" w:sz="8" w:space="0" w:color="FFFFFF"/>
              <w:right w:val="single" w:sz="8" w:space="0" w:color="FFFFFF"/>
            </w:tcBorders>
            <w:vAlign w:val="center"/>
            <w:hideMark/>
          </w:tcPr>
          <w:p w:rsidR="00262411" w:rsidRPr="00DA65AA" w:rsidRDefault="00262411" w:rsidP="00262411">
            <w:pPr>
              <w:rPr>
                <w:rFonts w:ascii="Arial Narrow" w:hAnsi="Arial Narrow" w:cs="Arial"/>
                <w:b/>
                <w:bCs/>
                <w:color w:val="000000"/>
                <w:sz w:val="24"/>
                <w:szCs w:val="24"/>
                <w:lang w:val="es-CO" w:eastAsia="es-CO"/>
              </w:rPr>
            </w:pPr>
          </w:p>
        </w:tc>
        <w:tc>
          <w:tcPr>
            <w:tcW w:w="3619" w:type="pct"/>
            <w:tcBorders>
              <w:top w:val="nil"/>
              <w:left w:val="nil"/>
              <w:bottom w:val="nil"/>
              <w:right w:val="nil"/>
            </w:tcBorders>
            <w:shd w:val="clear" w:color="000000" w:fill="D9D9D9"/>
            <w:vAlign w:val="center"/>
            <w:hideMark/>
          </w:tcPr>
          <w:p w:rsidR="00262411" w:rsidRPr="00DA65AA" w:rsidRDefault="00262411" w:rsidP="00262411">
            <w:pPr>
              <w:jc w:val="both"/>
              <w:rPr>
                <w:rFonts w:ascii="Arial Narrow" w:hAnsi="Arial Narrow" w:cs="Arial"/>
                <w:color w:val="000000"/>
                <w:szCs w:val="24"/>
                <w:lang w:val="es-CO" w:eastAsia="es-CO"/>
              </w:rPr>
            </w:pPr>
            <w:r w:rsidRPr="00DA65AA">
              <w:rPr>
                <w:rFonts w:ascii="Arial Narrow" w:hAnsi="Arial Narrow" w:cs="Arial"/>
                <w:color w:val="000000"/>
                <w:szCs w:val="24"/>
                <w:lang w:val="es-CO" w:eastAsia="es-CO"/>
              </w:rPr>
              <w:t>• 5% del valor de los “</w:t>
            </w:r>
            <w:r w:rsidRPr="00DA65AA">
              <w:rPr>
                <w:rFonts w:ascii="Arial Narrow" w:hAnsi="Arial Narrow" w:cs="Arial"/>
                <w:i/>
                <w:color w:val="000000"/>
                <w:szCs w:val="24"/>
                <w:lang w:val="es-CO" w:eastAsia="es-CO"/>
              </w:rPr>
              <w:t>Total Net Assets</w:t>
            </w:r>
            <w:r w:rsidRPr="00DA65AA">
              <w:rPr>
                <w:rFonts w:ascii="Arial Narrow" w:hAnsi="Arial Narrow" w:cs="Arial"/>
                <w:color w:val="000000"/>
                <w:szCs w:val="24"/>
                <w:lang w:val="es-CO" w:eastAsia="es-CO"/>
              </w:rPr>
              <w:t>” si las inversiones en Bonos Soberanos, Agencias de Estados Unidos (Mínimo Riesgo) y Acuerdos de Recompra con colateral de los mencionados instrumentos, son mayores o iguales al 60%.</w:t>
            </w:r>
          </w:p>
        </w:tc>
      </w:tr>
      <w:tr w:rsidR="00262411" w:rsidRPr="00DA65AA" w:rsidTr="00262411">
        <w:trPr>
          <w:trHeight w:val="374"/>
          <w:jc w:val="center"/>
        </w:trPr>
        <w:tc>
          <w:tcPr>
            <w:tcW w:w="1381" w:type="pct"/>
            <w:vMerge/>
            <w:tcBorders>
              <w:top w:val="single" w:sz="12" w:space="0" w:color="FFFFFF"/>
              <w:left w:val="single" w:sz="8" w:space="0" w:color="FFFFFF"/>
              <w:bottom w:val="single" w:sz="8" w:space="0" w:color="FFFFFF"/>
              <w:right w:val="single" w:sz="8" w:space="0" w:color="FFFFFF"/>
            </w:tcBorders>
            <w:vAlign w:val="center"/>
            <w:hideMark/>
          </w:tcPr>
          <w:p w:rsidR="00262411" w:rsidRPr="00DA65AA" w:rsidRDefault="00262411" w:rsidP="00262411">
            <w:pPr>
              <w:rPr>
                <w:rFonts w:ascii="Arial Narrow" w:hAnsi="Arial Narrow" w:cs="Arial"/>
                <w:b/>
                <w:bCs/>
                <w:color w:val="000000"/>
                <w:sz w:val="24"/>
                <w:szCs w:val="24"/>
                <w:lang w:val="es-CO" w:eastAsia="es-CO"/>
              </w:rPr>
            </w:pPr>
          </w:p>
        </w:tc>
        <w:tc>
          <w:tcPr>
            <w:tcW w:w="3619" w:type="pct"/>
            <w:tcBorders>
              <w:top w:val="nil"/>
              <w:left w:val="nil"/>
              <w:bottom w:val="nil"/>
              <w:right w:val="nil"/>
            </w:tcBorders>
            <w:shd w:val="clear" w:color="000000" w:fill="D9D9D9"/>
            <w:vAlign w:val="center"/>
            <w:hideMark/>
          </w:tcPr>
          <w:p w:rsidR="00262411" w:rsidRPr="00DA65AA" w:rsidRDefault="00262411" w:rsidP="00262411">
            <w:pPr>
              <w:jc w:val="both"/>
              <w:rPr>
                <w:rFonts w:ascii="Arial Narrow" w:hAnsi="Arial Narrow" w:cs="Arial"/>
                <w:color w:val="000000"/>
                <w:szCs w:val="24"/>
                <w:lang w:val="es-CO" w:eastAsia="es-CO"/>
              </w:rPr>
            </w:pPr>
            <w:r w:rsidRPr="00DA65AA">
              <w:rPr>
                <w:rFonts w:ascii="Arial Narrow" w:hAnsi="Arial Narrow" w:cs="Arial"/>
                <w:color w:val="000000"/>
                <w:szCs w:val="24"/>
                <w:lang w:val="es-CO" w:eastAsia="es-CO"/>
              </w:rPr>
              <w:t xml:space="preserve"> • 3% del valor de los “</w:t>
            </w:r>
            <w:r w:rsidRPr="00DA65AA">
              <w:rPr>
                <w:rFonts w:ascii="Arial Narrow" w:hAnsi="Arial Narrow" w:cs="Arial"/>
                <w:i/>
                <w:color w:val="000000"/>
                <w:szCs w:val="24"/>
                <w:lang w:val="es-CO" w:eastAsia="es-CO"/>
              </w:rPr>
              <w:t>Total Net Assets</w:t>
            </w:r>
            <w:r w:rsidRPr="00DA65AA">
              <w:rPr>
                <w:rFonts w:ascii="Arial Narrow" w:hAnsi="Arial Narrow" w:cs="Arial"/>
                <w:color w:val="000000"/>
                <w:szCs w:val="24"/>
                <w:lang w:val="es-CO" w:eastAsia="es-CO"/>
              </w:rPr>
              <w:t>” si las inversiones en Bonos Soberanos, Agencias de Estados Unidos (Mínimo Riesgo) y Acuerdos de Recompra con colateral de los mencionados instrumentos, son mayores al 20% y menores al 60%.</w:t>
            </w:r>
          </w:p>
        </w:tc>
      </w:tr>
      <w:tr w:rsidR="00262411" w:rsidRPr="00DA65AA" w:rsidTr="00262411">
        <w:trPr>
          <w:trHeight w:val="366"/>
          <w:jc w:val="center"/>
        </w:trPr>
        <w:tc>
          <w:tcPr>
            <w:tcW w:w="1381" w:type="pct"/>
            <w:vMerge/>
            <w:tcBorders>
              <w:top w:val="single" w:sz="12" w:space="0" w:color="FFFFFF"/>
              <w:left w:val="single" w:sz="8" w:space="0" w:color="FFFFFF"/>
              <w:bottom w:val="single" w:sz="8" w:space="0" w:color="FFFFFF"/>
              <w:right w:val="single" w:sz="8" w:space="0" w:color="FFFFFF"/>
            </w:tcBorders>
            <w:vAlign w:val="center"/>
            <w:hideMark/>
          </w:tcPr>
          <w:p w:rsidR="00262411" w:rsidRPr="00DA65AA" w:rsidRDefault="00262411" w:rsidP="00262411">
            <w:pPr>
              <w:rPr>
                <w:rFonts w:ascii="Arial Narrow" w:hAnsi="Arial Narrow" w:cs="Arial"/>
                <w:b/>
                <w:bCs/>
                <w:color w:val="000000"/>
                <w:sz w:val="24"/>
                <w:szCs w:val="24"/>
                <w:lang w:val="es-CO" w:eastAsia="es-CO"/>
              </w:rPr>
            </w:pPr>
          </w:p>
        </w:tc>
        <w:tc>
          <w:tcPr>
            <w:tcW w:w="3619" w:type="pct"/>
            <w:tcBorders>
              <w:top w:val="nil"/>
              <w:left w:val="nil"/>
              <w:bottom w:val="nil"/>
              <w:right w:val="nil"/>
            </w:tcBorders>
            <w:shd w:val="clear" w:color="000000" w:fill="D9D9D9"/>
            <w:vAlign w:val="center"/>
            <w:hideMark/>
          </w:tcPr>
          <w:p w:rsidR="00262411" w:rsidRPr="00DA65AA" w:rsidRDefault="00262411" w:rsidP="00262411">
            <w:pPr>
              <w:jc w:val="both"/>
              <w:rPr>
                <w:rFonts w:ascii="Arial Narrow" w:hAnsi="Arial Narrow" w:cs="Arial"/>
                <w:color w:val="000000"/>
                <w:szCs w:val="24"/>
                <w:lang w:val="es-CO" w:eastAsia="es-CO"/>
              </w:rPr>
            </w:pPr>
            <w:r w:rsidRPr="00DA65AA">
              <w:rPr>
                <w:rFonts w:ascii="Arial Narrow" w:hAnsi="Arial Narrow" w:cs="Arial"/>
                <w:color w:val="000000"/>
                <w:szCs w:val="24"/>
                <w:lang w:val="es-CO" w:eastAsia="es-CO"/>
              </w:rPr>
              <w:t xml:space="preserve"> • 2% del valor de los “</w:t>
            </w:r>
            <w:r w:rsidRPr="00DA65AA">
              <w:rPr>
                <w:rFonts w:ascii="Arial Narrow" w:hAnsi="Arial Narrow" w:cs="Arial"/>
                <w:i/>
                <w:color w:val="000000"/>
                <w:szCs w:val="24"/>
                <w:lang w:val="es-CO" w:eastAsia="es-CO"/>
              </w:rPr>
              <w:t>Total Net Assets</w:t>
            </w:r>
            <w:r w:rsidRPr="00DA65AA">
              <w:rPr>
                <w:rFonts w:ascii="Arial Narrow" w:hAnsi="Arial Narrow" w:cs="Arial"/>
                <w:color w:val="000000"/>
                <w:szCs w:val="24"/>
                <w:lang w:val="es-CO" w:eastAsia="es-CO"/>
              </w:rPr>
              <w:t>” si las inversiones en Bonos Soberanos, Agencias de Estados Unidos (Mínimo Riesgo) y Acuerdos de Recompra con colateral de los mencionados instrumentos, están ubicadas entre el 0% y el 20%.</w:t>
            </w:r>
          </w:p>
        </w:tc>
      </w:tr>
      <w:tr w:rsidR="00262411" w:rsidRPr="00DA65AA" w:rsidTr="00262411">
        <w:trPr>
          <w:trHeight w:val="202"/>
          <w:jc w:val="center"/>
        </w:trPr>
        <w:tc>
          <w:tcPr>
            <w:tcW w:w="1381" w:type="pct"/>
            <w:vMerge/>
            <w:tcBorders>
              <w:top w:val="single" w:sz="12" w:space="0" w:color="FFFFFF"/>
              <w:left w:val="single" w:sz="8" w:space="0" w:color="FFFFFF"/>
              <w:bottom w:val="single" w:sz="8" w:space="0" w:color="FFFFFF"/>
              <w:right w:val="single" w:sz="8" w:space="0" w:color="FFFFFF"/>
            </w:tcBorders>
            <w:vAlign w:val="center"/>
            <w:hideMark/>
          </w:tcPr>
          <w:p w:rsidR="00262411" w:rsidRPr="00DA65AA" w:rsidRDefault="00262411" w:rsidP="00262411">
            <w:pPr>
              <w:rPr>
                <w:rFonts w:ascii="Arial Narrow" w:hAnsi="Arial Narrow" w:cs="Arial"/>
                <w:b/>
                <w:bCs/>
                <w:color w:val="000000"/>
                <w:sz w:val="24"/>
                <w:szCs w:val="24"/>
                <w:lang w:val="es-CO" w:eastAsia="es-CO"/>
              </w:rPr>
            </w:pPr>
          </w:p>
        </w:tc>
        <w:tc>
          <w:tcPr>
            <w:tcW w:w="3619" w:type="pct"/>
            <w:tcBorders>
              <w:top w:val="nil"/>
              <w:left w:val="nil"/>
              <w:bottom w:val="nil"/>
              <w:right w:val="nil"/>
            </w:tcBorders>
            <w:shd w:val="clear" w:color="000000" w:fill="D9D9D9"/>
            <w:vAlign w:val="center"/>
            <w:hideMark/>
          </w:tcPr>
          <w:p w:rsidR="00262411" w:rsidRPr="00DA65AA" w:rsidRDefault="00262411" w:rsidP="00262411">
            <w:pPr>
              <w:rPr>
                <w:rFonts w:ascii="Arial Narrow" w:hAnsi="Arial Narrow" w:cs="Arial"/>
                <w:color w:val="000000"/>
                <w:szCs w:val="24"/>
                <w:lang w:val="es-CO" w:eastAsia="es-CO"/>
              </w:rPr>
            </w:pPr>
            <w:r w:rsidRPr="00DA65AA">
              <w:rPr>
                <w:rFonts w:ascii="Arial Narrow" w:hAnsi="Arial Narrow" w:cs="Arial"/>
                <w:color w:val="000000"/>
                <w:szCs w:val="24"/>
                <w:lang w:val="es-CO" w:eastAsia="es-CO"/>
              </w:rPr>
              <w:t xml:space="preserve"> • 0% si el fondo invierte en renta variable.</w:t>
            </w:r>
          </w:p>
        </w:tc>
      </w:tr>
      <w:tr w:rsidR="00262411" w:rsidRPr="00DA65AA" w:rsidTr="00262411">
        <w:trPr>
          <w:trHeight w:val="278"/>
          <w:jc w:val="center"/>
        </w:trPr>
        <w:tc>
          <w:tcPr>
            <w:tcW w:w="1381" w:type="pct"/>
            <w:tcBorders>
              <w:top w:val="nil"/>
              <w:left w:val="single" w:sz="8" w:space="0" w:color="FFFFFF"/>
              <w:bottom w:val="single" w:sz="8" w:space="0" w:color="FFFFFF"/>
              <w:right w:val="single" w:sz="8" w:space="0" w:color="FFFFFF"/>
            </w:tcBorders>
            <w:shd w:val="clear" w:color="auto" w:fill="auto"/>
            <w:vAlign w:val="center"/>
            <w:hideMark/>
          </w:tcPr>
          <w:p w:rsidR="00262411" w:rsidRPr="00DA65AA" w:rsidRDefault="00262411" w:rsidP="00262411">
            <w:pPr>
              <w:rPr>
                <w:rFonts w:ascii="Arial Narrow" w:hAnsi="Arial Narrow" w:cs="Arial"/>
                <w:b/>
                <w:bCs/>
                <w:color w:val="000000"/>
                <w:sz w:val="24"/>
                <w:szCs w:val="24"/>
                <w:lang w:val="es-CO" w:eastAsia="es-CO"/>
              </w:rPr>
            </w:pPr>
            <w:r w:rsidRPr="00DA65AA">
              <w:rPr>
                <w:rFonts w:ascii="Arial Narrow" w:hAnsi="Arial Narrow" w:cs="Arial"/>
                <w:b/>
                <w:bCs/>
                <w:color w:val="000000"/>
                <w:sz w:val="24"/>
                <w:szCs w:val="24"/>
                <w:lang w:val="es-CO" w:eastAsia="es-CO"/>
              </w:rPr>
              <w:t>Tamaño Mínimo del Fondo</w:t>
            </w:r>
          </w:p>
        </w:tc>
        <w:tc>
          <w:tcPr>
            <w:tcW w:w="3619" w:type="pct"/>
            <w:tcBorders>
              <w:top w:val="nil"/>
              <w:left w:val="nil"/>
              <w:bottom w:val="nil"/>
              <w:right w:val="nil"/>
            </w:tcBorders>
            <w:shd w:val="clear" w:color="auto" w:fill="auto"/>
            <w:vAlign w:val="center"/>
            <w:hideMark/>
          </w:tcPr>
          <w:p w:rsidR="00262411" w:rsidRPr="00DA65AA" w:rsidRDefault="00262411" w:rsidP="00262411">
            <w:pPr>
              <w:rPr>
                <w:rFonts w:ascii="Arial Narrow" w:hAnsi="Arial Narrow" w:cs="Arial"/>
                <w:color w:val="000000"/>
                <w:szCs w:val="24"/>
                <w:lang w:val="es-CO" w:eastAsia="es-CO"/>
              </w:rPr>
            </w:pPr>
            <w:r w:rsidRPr="00DA65AA">
              <w:rPr>
                <w:rFonts w:ascii="Arial Narrow" w:hAnsi="Arial Narrow" w:cs="Arial"/>
                <w:color w:val="000000"/>
                <w:szCs w:val="24"/>
                <w:lang w:val="es-CO" w:eastAsia="es-CO"/>
              </w:rPr>
              <w:t>El tamaño mínimo del fondo o los “</w:t>
            </w:r>
            <w:r w:rsidRPr="00DA65AA">
              <w:rPr>
                <w:rFonts w:ascii="Arial Narrow" w:hAnsi="Arial Narrow" w:cs="Arial"/>
                <w:i/>
                <w:color w:val="000000"/>
                <w:szCs w:val="24"/>
                <w:lang w:val="es-CO" w:eastAsia="es-CO"/>
              </w:rPr>
              <w:t>Total Net Assets</w:t>
            </w:r>
            <w:r w:rsidRPr="00DA65AA">
              <w:rPr>
                <w:rFonts w:ascii="Arial Narrow" w:hAnsi="Arial Narrow" w:cs="Arial"/>
                <w:color w:val="000000"/>
                <w:szCs w:val="24"/>
                <w:lang w:val="es-CO" w:eastAsia="es-CO"/>
              </w:rPr>
              <w:t xml:space="preserve">” deberá ser de USD $5.000 millones. </w:t>
            </w:r>
          </w:p>
        </w:tc>
      </w:tr>
      <w:tr w:rsidR="00262411" w:rsidRPr="00DA65AA" w:rsidTr="00262411">
        <w:trPr>
          <w:trHeight w:val="693"/>
          <w:jc w:val="center"/>
        </w:trPr>
        <w:tc>
          <w:tcPr>
            <w:tcW w:w="1381" w:type="pct"/>
            <w:tcBorders>
              <w:top w:val="nil"/>
              <w:left w:val="single" w:sz="8" w:space="0" w:color="FFFFFF"/>
              <w:bottom w:val="single" w:sz="8" w:space="0" w:color="FFFFFF"/>
              <w:right w:val="single" w:sz="8" w:space="0" w:color="FFFFFF"/>
            </w:tcBorders>
            <w:shd w:val="clear" w:color="000000" w:fill="D9D9D9"/>
            <w:vAlign w:val="center"/>
            <w:hideMark/>
          </w:tcPr>
          <w:p w:rsidR="00262411" w:rsidRPr="00DA65AA" w:rsidRDefault="00262411" w:rsidP="00262411">
            <w:pPr>
              <w:rPr>
                <w:rFonts w:ascii="Arial Narrow" w:hAnsi="Arial Narrow" w:cs="Arial"/>
                <w:b/>
                <w:bCs/>
                <w:color w:val="000000"/>
                <w:sz w:val="24"/>
                <w:szCs w:val="24"/>
                <w:lang w:val="es-CO" w:eastAsia="es-CO"/>
              </w:rPr>
            </w:pPr>
            <w:r w:rsidRPr="00DA65AA">
              <w:rPr>
                <w:rFonts w:ascii="Arial Narrow" w:hAnsi="Arial Narrow" w:cs="Arial"/>
                <w:b/>
                <w:bCs/>
                <w:color w:val="000000"/>
                <w:sz w:val="24"/>
                <w:szCs w:val="24"/>
                <w:lang w:val="es-CO" w:eastAsia="es-CO"/>
              </w:rPr>
              <w:t>Domicilio de los fondos</w:t>
            </w:r>
          </w:p>
        </w:tc>
        <w:tc>
          <w:tcPr>
            <w:tcW w:w="3619" w:type="pct"/>
            <w:tcBorders>
              <w:top w:val="nil"/>
              <w:left w:val="nil"/>
              <w:bottom w:val="nil"/>
              <w:right w:val="nil"/>
            </w:tcBorders>
            <w:shd w:val="clear" w:color="000000" w:fill="D9D9D9"/>
            <w:vAlign w:val="center"/>
            <w:hideMark/>
          </w:tcPr>
          <w:p w:rsidR="00262411" w:rsidRPr="00DA65AA" w:rsidRDefault="00262411" w:rsidP="00262411">
            <w:pPr>
              <w:rPr>
                <w:rFonts w:ascii="Arial Narrow" w:hAnsi="Arial Narrow" w:cs="Arial"/>
                <w:color w:val="000000"/>
                <w:szCs w:val="24"/>
                <w:lang w:val="es-CO" w:eastAsia="es-CO"/>
              </w:rPr>
            </w:pPr>
            <w:r w:rsidRPr="00DA65AA">
              <w:rPr>
                <w:rFonts w:ascii="Arial Narrow" w:hAnsi="Arial Narrow" w:cs="Arial"/>
                <w:color w:val="000000"/>
                <w:szCs w:val="24"/>
                <w:lang w:val="es-CO" w:eastAsia="es-CO"/>
              </w:rPr>
              <w:t>El domicilio de estos fondos deberá ser en cualquier país distinto a los “</w:t>
            </w:r>
            <w:r w:rsidRPr="00DA65AA">
              <w:rPr>
                <w:rFonts w:ascii="Arial Narrow" w:hAnsi="Arial Narrow" w:cs="Arial"/>
                <w:i/>
                <w:iCs/>
                <w:color w:val="000000"/>
                <w:szCs w:val="24"/>
                <w:lang w:val="es-CO" w:eastAsia="es-CO"/>
              </w:rPr>
              <w:t>Offshore Financial Centers</w:t>
            </w:r>
            <w:r w:rsidRPr="00DA65AA">
              <w:rPr>
                <w:rFonts w:ascii="Arial Narrow" w:hAnsi="Arial Narrow" w:cs="Arial"/>
                <w:color w:val="000000"/>
                <w:szCs w:val="24"/>
                <w:lang w:val="es-CO" w:eastAsia="es-CO"/>
              </w:rPr>
              <w:t>” clasificados por el Fondo Monetario Internacional, los cuales son utilizados como “paraíso fiscal” por los inversionistas extranjeros</w:t>
            </w:r>
          </w:p>
        </w:tc>
      </w:tr>
      <w:tr w:rsidR="00262411" w:rsidRPr="00DA65AA" w:rsidTr="00262411">
        <w:trPr>
          <w:trHeight w:val="677"/>
          <w:jc w:val="center"/>
        </w:trPr>
        <w:tc>
          <w:tcPr>
            <w:tcW w:w="1381" w:type="pct"/>
            <w:tcBorders>
              <w:top w:val="nil"/>
              <w:left w:val="single" w:sz="8" w:space="0" w:color="FFFFFF"/>
              <w:bottom w:val="single" w:sz="8" w:space="0" w:color="FFFFFF"/>
              <w:right w:val="single" w:sz="8" w:space="0" w:color="FFFFFF"/>
            </w:tcBorders>
            <w:shd w:val="clear" w:color="auto" w:fill="auto"/>
            <w:vAlign w:val="center"/>
            <w:hideMark/>
          </w:tcPr>
          <w:p w:rsidR="00262411" w:rsidRPr="00DA65AA" w:rsidRDefault="00262411" w:rsidP="00262411">
            <w:pPr>
              <w:rPr>
                <w:rFonts w:ascii="Arial Narrow" w:hAnsi="Arial Narrow" w:cs="Arial"/>
                <w:b/>
                <w:bCs/>
                <w:color w:val="000000"/>
                <w:sz w:val="24"/>
                <w:szCs w:val="24"/>
                <w:lang w:val="es-CO" w:eastAsia="es-CO"/>
              </w:rPr>
            </w:pPr>
            <w:r w:rsidRPr="00DA65AA">
              <w:rPr>
                <w:rFonts w:ascii="Arial Narrow" w:hAnsi="Arial Narrow" w:cs="Arial"/>
                <w:b/>
                <w:bCs/>
                <w:color w:val="000000"/>
                <w:sz w:val="24"/>
                <w:szCs w:val="24"/>
                <w:lang w:val="es-CO" w:eastAsia="es-CO"/>
              </w:rPr>
              <w:t>Calificación mínima</w:t>
            </w:r>
          </w:p>
        </w:tc>
        <w:tc>
          <w:tcPr>
            <w:tcW w:w="3619" w:type="pct"/>
            <w:tcBorders>
              <w:top w:val="nil"/>
              <w:left w:val="nil"/>
              <w:bottom w:val="nil"/>
              <w:right w:val="nil"/>
            </w:tcBorders>
            <w:shd w:val="clear" w:color="auto" w:fill="auto"/>
            <w:vAlign w:val="center"/>
            <w:hideMark/>
          </w:tcPr>
          <w:p w:rsidR="00262411" w:rsidRPr="00DA65AA" w:rsidRDefault="00262411" w:rsidP="00262411">
            <w:pPr>
              <w:rPr>
                <w:rFonts w:ascii="Arial Narrow" w:hAnsi="Arial Narrow" w:cs="Arial"/>
                <w:color w:val="000000"/>
                <w:szCs w:val="24"/>
                <w:lang w:val="es-CO" w:eastAsia="es-CO"/>
              </w:rPr>
            </w:pPr>
            <w:r w:rsidRPr="00DA65AA">
              <w:rPr>
                <w:rFonts w:ascii="Arial Narrow" w:hAnsi="Arial Narrow" w:cs="Arial"/>
                <w:color w:val="000000"/>
                <w:szCs w:val="24"/>
                <w:lang w:val="es-CO" w:eastAsia="es-CO"/>
              </w:rPr>
              <w:t>El fondo debe estar calificado por al menos dos de tres de las principales agencias calificadoras reconocidas o por el “International Money Market Fund Rating” y su calificación deberá ser AAA (mmf-mf-m) o su equivalente.</w:t>
            </w:r>
          </w:p>
        </w:tc>
      </w:tr>
      <w:tr w:rsidR="00262411" w:rsidRPr="00DA65AA" w:rsidTr="00262411">
        <w:trPr>
          <w:trHeight w:val="798"/>
          <w:jc w:val="center"/>
        </w:trPr>
        <w:tc>
          <w:tcPr>
            <w:tcW w:w="1381" w:type="pct"/>
            <w:tcBorders>
              <w:top w:val="nil"/>
              <w:left w:val="single" w:sz="8" w:space="0" w:color="FFFFFF"/>
              <w:bottom w:val="single" w:sz="8" w:space="0" w:color="FFFFFF"/>
              <w:right w:val="single" w:sz="8" w:space="0" w:color="FFFFFF"/>
            </w:tcBorders>
            <w:shd w:val="clear" w:color="000000" w:fill="D9D9D9"/>
            <w:vAlign w:val="center"/>
            <w:hideMark/>
          </w:tcPr>
          <w:p w:rsidR="00262411" w:rsidRPr="00DA65AA" w:rsidRDefault="00262411" w:rsidP="00262411">
            <w:pPr>
              <w:rPr>
                <w:rFonts w:ascii="Arial Narrow" w:hAnsi="Arial Narrow" w:cs="Arial"/>
                <w:b/>
                <w:bCs/>
                <w:color w:val="000000"/>
                <w:sz w:val="24"/>
                <w:szCs w:val="24"/>
                <w:lang w:val="es-CO" w:eastAsia="es-CO"/>
              </w:rPr>
            </w:pPr>
            <w:r w:rsidRPr="00DA65AA">
              <w:rPr>
                <w:rFonts w:ascii="Arial Narrow" w:hAnsi="Arial Narrow" w:cs="Arial"/>
                <w:b/>
                <w:bCs/>
                <w:color w:val="000000"/>
                <w:sz w:val="24"/>
                <w:szCs w:val="24"/>
                <w:lang w:val="es-CO" w:eastAsia="es-CO"/>
              </w:rPr>
              <w:t xml:space="preserve">Calificación de la entidad administradora (gestor) </w:t>
            </w:r>
          </w:p>
        </w:tc>
        <w:tc>
          <w:tcPr>
            <w:tcW w:w="3619" w:type="pct"/>
            <w:tcBorders>
              <w:top w:val="nil"/>
              <w:left w:val="nil"/>
              <w:bottom w:val="nil"/>
              <w:right w:val="nil"/>
            </w:tcBorders>
            <w:shd w:val="clear" w:color="000000" w:fill="D9D9D9"/>
            <w:vAlign w:val="center"/>
            <w:hideMark/>
          </w:tcPr>
          <w:p w:rsidR="00262411" w:rsidRPr="00DA65AA" w:rsidRDefault="00262411" w:rsidP="00262411">
            <w:pPr>
              <w:rPr>
                <w:rFonts w:ascii="Arial Narrow" w:hAnsi="Arial Narrow" w:cs="Arial"/>
                <w:color w:val="000000"/>
                <w:szCs w:val="24"/>
                <w:lang w:val="es-CO" w:eastAsia="es-CO"/>
              </w:rPr>
            </w:pPr>
            <w:r w:rsidRPr="00DA65AA">
              <w:rPr>
                <w:rFonts w:ascii="Arial Narrow" w:hAnsi="Arial Narrow" w:cs="Arial"/>
                <w:color w:val="000000"/>
                <w:szCs w:val="24"/>
                <w:lang w:val="es-CO" w:eastAsia="es-CO"/>
              </w:rPr>
              <w:t>La entidad debe estar calificada por al menos dos de tres de las principales agencias calificadoras reconocidas  (RNSO) y deben tener una calificación dentro del rango de Grado de Inversión</w:t>
            </w:r>
          </w:p>
        </w:tc>
      </w:tr>
    </w:tbl>
    <w:p w:rsidR="00262411" w:rsidRPr="00DA65AA" w:rsidRDefault="00262411" w:rsidP="00262411">
      <w:pPr>
        <w:rPr>
          <w:rFonts w:ascii="Arial Narrow" w:hAnsi="Arial Narrow"/>
        </w:rPr>
      </w:pPr>
    </w:p>
    <w:p w:rsidR="00262411" w:rsidRPr="00DA65AA" w:rsidRDefault="00262411" w:rsidP="00262411">
      <w:pPr>
        <w:jc w:val="both"/>
        <w:rPr>
          <w:rFonts w:ascii="Arial Narrow" w:hAnsi="Arial Narrow" w:cs="Arial"/>
          <w:sz w:val="24"/>
        </w:rPr>
      </w:pPr>
      <w:r w:rsidRPr="00DA65AA">
        <w:rPr>
          <w:rFonts w:ascii="Arial Narrow" w:hAnsi="Arial Narrow" w:cs="Arial"/>
          <w:sz w:val="24"/>
        </w:rPr>
        <w:t xml:space="preserve">La Subdirección de Tesorería podrá realizar inversiones en fondos de mercado monetario que cumplan con los lineamientos descritos anteriormente sin necesidad de una aprobación por operación. En </w:t>
      </w:r>
      <w:r w:rsidRPr="00DA65AA">
        <w:rPr>
          <w:rFonts w:ascii="Arial Narrow" w:hAnsi="Arial Narrow" w:cs="Arial"/>
          <w:sz w:val="24"/>
        </w:rPr>
        <w:lastRenderedPageBreak/>
        <w:t>consecuencia, la Subdirección de Tesorería deberá revisar, previo al cumplimiento de cada operación, si el fondo cumple con los lineamientos señalados.</w:t>
      </w:r>
    </w:p>
    <w:p w:rsidR="00262411" w:rsidRPr="00DA65AA" w:rsidRDefault="00262411" w:rsidP="00262411">
      <w:pPr>
        <w:jc w:val="both"/>
        <w:rPr>
          <w:rFonts w:ascii="Arial Narrow" w:hAnsi="Arial Narrow" w:cs="Arial"/>
          <w:sz w:val="24"/>
        </w:rPr>
      </w:pPr>
    </w:p>
    <w:p w:rsidR="00262411" w:rsidRPr="00DA65AA" w:rsidRDefault="00262411" w:rsidP="00262411">
      <w:pPr>
        <w:jc w:val="both"/>
        <w:rPr>
          <w:rFonts w:ascii="Arial Narrow" w:hAnsi="Arial Narrow" w:cs="Arial"/>
          <w:sz w:val="24"/>
        </w:rPr>
      </w:pPr>
      <w:r w:rsidRPr="00DA65AA">
        <w:rPr>
          <w:rFonts w:ascii="Arial Narrow" w:hAnsi="Arial Narrow" w:cs="Arial"/>
          <w:sz w:val="24"/>
        </w:rPr>
        <w:t xml:space="preserve">En caso que se requiera realizar la apertura de cuentas con las entidades administradoras de los fondos </w:t>
      </w:r>
      <w:r w:rsidRPr="00DA65AA">
        <w:rPr>
          <w:rFonts w:ascii="Arial Narrow" w:hAnsi="Arial Narrow" w:cs="Arial"/>
          <w:i/>
          <w:sz w:val="24"/>
        </w:rPr>
        <w:t>“money market”</w:t>
      </w:r>
      <w:r w:rsidRPr="00DA65AA">
        <w:rPr>
          <w:rFonts w:ascii="Arial Narrow" w:hAnsi="Arial Narrow" w:cs="Arial"/>
          <w:sz w:val="24"/>
        </w:rPr>
        <w:t>, la Subdirección de Tesorería deberá enviar toda la documentación requerida a la Subdirección de Riesgo para su respectiva revisión.</w:t>
      </w:r>
    </w:p>
    <w:p w:rsidR="00262411" w:rsidRPr="00DA65AA" w:rsidRDefault="00262411" w:rsidP="00262411">
      <w:pPr>
        <w:jc w:val="both"/>
        <w:rPr>
          <w:rFonts w:ascii="Arial Narrow" w:hAnsi="Arial Narrow" w:cs="Arial"/>
          <w:sz w:val="24"/>
        </w:rPr>
      </w:pPr>
    </w:p>
    <w:p w:rsidR="00262411" w:rsidRPr="00DA65AA" w:rsidRDefault="00262411" w:rsidP="00262411">
      <w:pPr>
        <w:jc w:val="both"/>
        <w:rPr>
          <w:rFonts w:ascii="Arial Narrow" w:hAnsi="Arial Narrow" w:cs="Arial"/>
          <w:sz w:val="22"/>
        </w:rPr>
      </w:pPr>
      <w:r w:rsidRPr="00DA65AA">
        <w:rPr>
          <w:rFonts w:ascii="Arial Narrow" w:hAnsi="Arial Narrow" w:cs="Arial"/>
          <w:sz w:val="24"/>
        </w:rPr>
        <w:t>La Subdirección de Riesgo realizará el monitoreo de los lineamientos posterior a la inversión de los recursos y con una periodicidad mensual durante la vigencia de la inversión.</w:t>
      </w:r>
    </w:p>
    <w:p w:rsidR="00262411" w:rsidRPr="00DA65AA" w:rsidRDefault="00262411" w:rsidP="00262411">
      <w:pPr>
        <w:rPr>
          <w:rFonts w:ascii="Arial Narrow" w:hAnsi="Arial Narrow"/>
        </w:rPr>
      </w:pPr>
    </w:p>
    <w:p w:rsidR="00262411" w:rsidRPr="00DA65AA" w:rsidRDefault="00262411" w:rsidP="000E1069">
      <w:pPr>
        <w:pStyle w:val="Ttulo3"/>
      </w:pPr>
      <w:bookmarkStart w:id="51" w:name="_Toc4596447"/>
      <w:r w:rsidRPr="00DA65AA">
        <w:t>Lineamientos para operaciones Simultáneas</w:t>
      </w:r>
      <w:bookmarkEnd w:id="51"/>
    </w:p>
    <w:p w:rsidR="00262411" w:rsidRPr="00DA65AA" w:rsidRDefault="00262411" w:rsidP="00262411">
      <w:pPr>
        <w:rPr>
          <w:rFonts w:ascii="Arial Narrow" w:hAnsi="Arial Narrow"/>
        </w:rPr>
      </w:pPr>
    </w:p>
    <w:p w:rsidR="00262411" w:rsidRPr="00DA65AA" w:rsidRDefault="00262411" w:rsidP="00262411">
      <w:pPr>
        <w:autoSpaceDE w:val="0"/>
        <w:autoSpaceDN w:val="0"/>
        <w:adjustRightInd w:val="0"/>
        <w:jc w:val="both"/>
        <w:rPr>
          <w:rFonts w:ascii="Arial Narrow" w:hAnsi="Arial Narrow" w:cs="Arial"/>
          <w:sz w:val="24"/>
          <w:lang w:eastAsia="en-US"/>
        </w:rPr>
      </w:pPr>
      <w:r w:rsidRPr="00DA65AA">
        <w:rPr>
          <w:rFonts w:ascii="Arial Narrow" w:hAnsi="Arial Narrow" w:cs="Arial"/>
          <w:sz w:val="24"/>
          <w:lang w:eastAsia="en-US"/>
        </w:rPr>
        <w:t>Se presentan a continuación los lineamientos para la celebración de operaciones</w:t>
      </w:r>
      <w:r w:rsidR="006D1283" w:rsidRPr="00DA65AA">
        <w:rPr>
          <w:rFonts w:ascii="Arial Narrow" w:hAnsi="Arial Narrow" w:cs="Arial"/>
          <w:sz w:val="24"/>
          <w:lang w:eastAsia="en-US"/>
        </w:rPr>
        <w:t xml:space="preserve"> s</w:t>
      </w:r>
      <w:r w:rsidRPr="00DA65AA">
        <w:rPr>
          <w:rFonts w:ascii="Arial Narrow" w:hAnsi="Arial Narrow" w:cs="Arial"/>
          <w:sz w:val="24"/>
          <w:lang w:eastAsia="en-US"/>
        </w:rPr>
        <w:t>imultáneas de títulos de deuda Pública (TES y TCO):</w:t>
      </w:r>
    </w:p>
    <w:p w:rsidR="00262411" w:rsidRPr="00DA65AA" w:rsidRDefault="00262411" w:rsidP="00262411">
      <w:pPr>
        <w:autoSpaceDE w:val="0"/>
        <w:autoSpaceDN w:val="0"/>
        <w:adjustRightInd w:val="0"/>
        <w:jc w:val="both"/>
        <w:rPr>
          <w:rFonts w:ascii="Arial Narrow" w:hAnsi="Arial Narrow" w:cs="Arial"/>
          <w:sz w:val="24"/>
          <w:lang w:eastAsia="en-US"/>
        </w:rPr>
      </w:pPr>
    </w:p>
    <w:p w:rsidR="00262411" w:rsidRPr="00DA65AA" w:rsidRDefault="00262411" w:rsidP="00C408EF">
      <w:pPr>
        <w:pStyle w:val="Prrafodelista"/>
        <w:numPr>
          <w:ilvl w:val="0"/>
          <w:numId w:val="13"/>
        </w:numPr>
        <w:autoSpaceDE w:val="0"/>
        <w:autoSpaceDN w:val="0"/>
        <w:adjustRightInd w:val="0"/>
        <w:contextualSpacing/>
        <w:jc w:val="both"/>
        <w:rPr>
          <w:rFonts w:ascii="Arial Narrow" w:hAnsi="Arial Narrow" w:cs="Arial"/>
          <w:sz w:val="24"/>
        </w:rPr>
      </w:pPr>
      <w:r w:rsidRPr="00DA65AA">
        <w:rPr>
          <w:rFonts w:ascii="Arial Narrow" w:hAnsi="Arial Narrow" w:cs="Arial"/>
          <w:sz w:val="24"/>
        </w:rPr>
        <w:t xml:space="preserve">Se autoriza la negociación de operaciones simultáneas en el primer escalón del Sistema Electrónico de Negociación </w:t>
      </w:r>
      <w:r w:rsidRPr="00DA65AA">
        <w:rPr>
          <w:rFonts w:ascii="Arial Narrow" w:hAnsi="Arial Narrow" w:cs="Arial-Identity-H"/>
          <w:sz w:val="24"/>
        </w:rPr>
        <w:t xml:space="preserve">– </w:t>
      </w:r>
      <w:r w:rsidRPr="00DA65AA">
        <w:rPr>
          <w:rFonts w:ascii="Arial Narrow" w:hAnsi="Arial Narrow" w:cs="Arial"/>
          <w:sz w:val="24"/>
        </w:rPr>
        <w:t>SEN y e</w:t>
      </w:r>
      <w:r w:rsidR="005E2E6E" w:rsidRPr="00DA65AA">
        <w:rPr>
          <w:rFonts w:ascii="Arial Narrow" w:hAnsi="Arial Narrow" w:cs="Arial"/>
          <w:sz w:val="24"/>
        </w:rPr>
        <w:t>n el sistema de negociación MEC – Master Trader</w:t>
      </w:r>
      <w:r w:rsidRPr="00DA65AA">
        <w:rPr>
          <w:rFonts w:ascii="Arial Narrow" w:hAnsi="Arial Narrow" w:cs="Arial"/>
          <w:sz w:val="24"/>
        </w:rPr>
        <w:t xml:space="preserve"> en la rueda </w:t>
      </w:r>
      <w:r w:rsidR="005E2E6E" w:rsidRPr="00DA65AA">
        <w:rPr>
          <w:rFonts w:ascii="Arial Narrow" w:hAnsi="Arial Narrow" w:cs="Arial"/>
          <w:sz w:val="24"/>
        </w:rPr>
        <w:t>A</w:t>
      </w:r>
      <w:r w:rsidRPr="00DA65AA">
        <w:rPr>
          <w:rFonts w:ascii="Arial Narrow" w:hAnsi="Arial Narrow" w:cs="Arial"/>
          <w:sz w:val="24"/>
        </w:rPr>
        <w:t>SCR, las cuales deberán ser compensadas y liquidadas a través de la Cámara de Riesgo Central de Contraparte de Colombia (CRCC).</w:t>
      </w:r>
      <w:r w:rsidR="005E2E6E" w:rsidRPr="00DA65AA">
        <w:rPr>
          <w:rFonts w:ascii="Arial Narrow" w:hAnsi="Arial Narrow" w:cs="Arial"/>
          <w:sz w:val="24"/>
        </w:rPr>
        <w:t xml:space="preserve"> </w:t>
      </w:r>
    </w:p>
    <w:p w:rsidR="00262411" w:rsidRPr="00DA65AA" w:rsidRDefault="00262411" w:rsidP="00262411">
      <w:pPr>
        <w:pStyle w:val="Prrafodelista"/>
        <w:autoSpaceDE w:val="0"/>
        <w:autoSpaceDN w:val="0"/>
        <w:adjustRightInd w:val="0"/>
        <w:jc w:val="both"/>
        <w:rPr>
          <w:rFonts w:ascii="Arial Narrow" w:hAnsi="Arial Narrow" w:cs="Arial"/>
          <w:sz w:val="24"/>
        </w:rPr>
      </w:pPr>
    </w:p>
    <w:p w:rsidR="00262411" w:rsidRPr="00DA65AA" w:rsidRDefault="006D1283" w:rsidP="00C408EF">
      <w:pPr>
        <w:pStyle w:val="Prrafodelista"/>
        <w:numPr>
          <w:ilvl w:val="0"/>
          <w:numId w:val="13"/>
        </w:numPr>
        <w:autoSpaceDE w:val="0"/>
        <w:autoSpaceDN w:val="0"/>
        <w:adjustRightInd w:val="0"/>
        <w:contextualSpacing/>
        <w:jc w:val="both"/>
        <w:rPr>
          <w:rFonts w:ascii="Arial Narrow" w:hAnsi="Arial Narrow" w:cs="Arial"/>
          <w:sz w:val="24"/>
        </w:rPr>
      </w:pPr>
      <w:r w:rsidRPr="00DA65AA">
        <w:rPr>
          <w:rFonts w:ascii="Arial Narrow" w:hAnsi="Arial Narrow" w:cs="Arial"/>
          <w:sz w:val="24"/>
        </w:rPr>
        <w:t xml:space="preserve">Únicamente se podrán </w:t>
      </w:r>
      <w:r w:rsidR="00262411" w:rsidRPr="00DA65AA">
        <w:rPr>
          <w:rFonts w:ascii="Arial Narrow" w:hAnsi="Arial Narrow" w:cs="Arial"/>
          <w:sz w:val="24"/>
        </w:rPr>
        <w:t>realizar operaciones de registro en el mercado mostrador (OTC) en los sistemas de negociación</w:t>
      </w:r>
      <w:r w:rsidRPr="00DA65AA">
        <w:rPr>
          <w:rFonts w:ascii="Arial Narrow" w:hAnsi="Arial Narrow" w:cs="Arial"/>
          <w:sz w:val="24"/>
        </w:rPr>
        <w:t>, al</w:t>
      </w:r>
      <w:r w:rsidR="005E2E6E" w:rsidRPr="00DA65AA">
        <w:rPr>
          <w:rFonts w:ascii="Arial Narrow" w:hAnsi="Arial Narrow" w:cs="Arial"/>
          <w:sz w:val="24"/>
        </w:rPr>
        <w:t xml:space="preserve"> realizar operaciones en horario extraordinario (después </w:t>
      </w:r>
      <w:r w:rsidRPr="00DA65AA">
        <w:rPr>
          <w:rFonts w:ascii="Arial Narrow" w:hAnsi="Arial Narrow" w:cs="Arial"/>
          <w:sz w:val="24"/>
        </w:rPr>
        <w:t xml:space="preserve">de las 4:00 p.m.) siempre y cuando se cumpla el procedimiento establecido para este tipo de operaciones. </w:t>
      </w:r>
    </w:p>
    <w:p w:rsidR="00262411" w:rsidRPr="00DA65AA" w:rsidRDefault="00262411" w:rsidP="00262411">
      <w:pPr>
        <w:autoSpaceDE w:val="0"/>
        <w:autoSpaceDN w:val="0"/>
        <w:adjustRightInd w:val="0"/>
        <w:jc w:val="both"/>
        <w:rPr>
          <w:rFonts w:ascii="Arial Narrow" w:hAnsi="Arial Narrow" w:cs="Arial"/>
          <w:sz w:val="24"/>
        </w:rPr>
      </w:pPr>
    </w:p>
    <w:p w:rsidR="00262411" w:rsidRPr="00DA65AA" w:rsidRDefault="00262411" w:rsidP="00C408EF">
      <w:pPr>
        <w:pStyle w:val="Prrafodelista"/>
        <w:numPr>
          <w:ilvl w:val="0"/>
          <w:numId w:val="13"/>
        </w:numPr>
        <w:autoSpaceDE w:val="0"/>
        <w:autoSpaceDN w:val="0"/>
        <w:adjustRightInd w:val="0"/>
        <w:contextualSpacing/>
        <w:jc w:val="both"/>
        <w:rPr>
          <w:rFonts w:ascii="Arial Narrow" w:hAnsi="Arial Narrow" w:cs="Arial"/>
          <w:sz w:val="24"/>
        </w:rPr>
      </w:pPr>
      <w:r w:rsidRPr="00DA65AA">
        <w:rPr>
          <w:rFonts w:ascii="Arial Narrow" w:hAnsi="Arial Narrow" w:cs="Arial"/>
          <w:sz w:val="24"/>
        </w:rPr>
        <w:t xml:space="preserve">Se podrán entregar en garantía (inicial, diaria y de ajuste) solo Títulos de Tesorería TES y TCO que se encuentren en el portafolio de Excedentes (EX </w:t>
      </w:r>
      <w:r w:rsidRPr="00DA65AA">
        <w:rPr>
          <w:rFonts w:ascii="Arial Narrow" w:hAnsi="Arial Narrow" w:cs="Arial-Identity-H"/>
          <w:sz w:val="24"/>
        </w:rPr>
        <w:t xml:space="preserve">– </w:t>
      </w:r>
      <w:r w:rsidRPr="00DA65AA">
        <w:rPr>
          <w:rFonts w:ascii="Arial Narrow" w:hAnsi="Arial Narrow" w:cs="Arial"/>
          <w:sz w:val="24"/>
        </w:rPr>
        <w:t>PT), y de acuerdo con los procedimientos establecidos por CRCC.</w:t>
      </w:r>
    </w:p>
    <w:p w:rsidR="00262411" w:rsidRPr="00DA65AA" w:rsidRDefault="00262411" w:rsidP="00262411">
      <w:pPr>
        <w:autoSpaceDE w:val="0"/>
        <w:autoSpaceDN w:val="0"/>
        <w:adjustRightInd w:val="0"/>
        <w:jc w:val="both"/>
        <w:rPr>
          <w:rFonts w:ascii="Arial Narrow" w:hAnsi="Arial Narrow" w:cs="Arial"/>
          <w:sz w:val="24"/>
        </w:rPr>
      </w:pPr>
    </w:p>
    <w:p w:rsidR="00262411" w:rsidRPr="00DA65AA" w:rsidRDefault="00262411" w:rsidP="00C408EF">
      <w:pPr>
        <w:pStyle w:val="Prrafodelista"/>
        <w:numPr>
          <w:ilvl w:val="0"/>
          <w:numId w:val="13"/>
        </w:numPr>
        <w:autoSpaceDE w:val="0"/>
        <w:autoSpaceDN w:val="0"/>
        <w:adjustRightInd w:val="0"/>
        <w:contextualSpacing/>
        <w:jc w:val="both"/>
        <w:rPr>
          <w:rFonts w:ascii="Arial Narrow" w:hAnsi="Arial Narrow" w:cs="Arial"/>
          <w:sz w:val="24"/>
        </w:rPr>
      </w:pPr>
      <w:r w:rsidRPr="00DA65AA">
        <w:rPr>
          <w:rFonts w:ascii="Arial Narrow" w:hAnsi="Arial Narrow" w:cs="Arial"/>
          <w:sz w:val="24"/>
        </w:rPr>
        <w:t>Los títulos entregados en garantía que tengan una fecha cercana al pago de cupón, deberán ser sustituidos por lo menos un día antes del pago efectivo del mismo, esto con el fin de evitar riesgos operativos del flujo de efectivo con la CRCC.</w:t>
      </w:r>
    </w:p>
    <w:p w:rsidR="00262411" w:rsidRPr="00DA65AA" w:rsidRDefault="00262411" w:rsidP="00262411">
      <w:pPr>
        <w:autoSpaceDE w:val="0"/>
        <w:autoSpaceDN w:val="0"/>
        <w:adjustRightInd w:val="0"/>
        <w:jc w:val="both"/>
        <w:rPr>
          <w:rFonts w:ascii="Arial Narrow" w:hAnsi="Arial Narrow" w:cs="Arial"/>
          <w:sz w:val="24"/>
        </w:rPr>
      </w:pPr>
    </w:p>
    <w:p w:rsidR="00262411" w:rsidRPr="00DA65AA" w:rsidRDefault="00262411" w:rsidP="00C408EF">
      <w:pPr>
        <w:pStyle w:val="Prrafodelista"/>
        <w:numPr>
          <w:ilvl w:val="0"/>
          <w:numId w:val="13"/>
        </w:numPr>
        <w:autoSpaceDE w:val="0"/>
        <w:autoSpaceDN w:val="0"/>
        <w:adjustRightInd w:val="0"/>
        <w:contextualSpacing/>
        <w:jc w:val="both"/>
        <w:rPr>
          <w:rFonts w:ascii="Arial Narrow" w:hAnsi="Arial Narrow" w:cs="Arial"/>
          <w:sz w:val="24"/>
        </w:rPr>
      </w:pPr>
      <w:r w:rsidRPr="00DA65AA">
        <w:rPr>
          <w:rFonts w:ascii="Arial Narrow" w:hAnsi="Arial Narrow" w:cs="Arial"/>
          <w:sz w:val="24"/>
        </w:rPr>
        <w:t>Se establecerá un límite de Operación Diario el cual se define de la siguiente manera:</w:t>
      </w:r>
    </w:p>
    <w:p w:rsidR="00282A5C" w:rsidRPr="00DA65AA" w:rsidRDefault="00282A5C" w:rsidP="00282A5C">
      <w:pPr>
        <w:pStyle w:val="Prrafodelista"/>
        <w:rPr>
          <w:rFonts w:ascii="Arial Narrow" w:hAnsi="Arial Narrow" w:cs="Arial"/>
          <w:sz w:val="24"/>
        </w:rPr>
      </w:pPr>
    </w:p>
    <w:p w:rsidR="00282A5C" w:rsidRPr="00DA65AA" w:rsidRDefault="002D3BB6" w:rsidP="002D3BB6">
      <w:pPr>
        <w:pStyle w:val="Prrafodelista"/>
        <w:autoSpaceDE w:val="0"/>
        <w:autoSpaceDN w:val="0"/>
        <w:adjustRightInd w:val="0"/>
        <w:ind w:left="720"/>
        <w:contextualSpacing/>
        <w:jc w:val="center"/>
        <w:rPr>
          <w:rFonts w:ascii="Arial Narrow" w:hAnsi="Arial Narrow" w:cs="Arial"/>
          <w:sz w:val="24"/>
        </w:rPr>
      </w:pPr>
      <m:oMathPara>
        <m:oMath>
          <m:r>
            <m:rPr>
              <m:sty m:val="bi"/>
            </m:rPr>
            <w:rPr>
              <w:rFonts w:ascii="Cambria Math" w:hAnsi="Cambria Math" w:cs="Arial"/>
              <w:sz w:val="22"/>
            </w:rPr>
            <m:t xml:space="preserve">Límite Diario= </m:t>
          </m:r>
          <m:r>
            <w:rPr>
              <w:rFonts w:ascii="Cambria Math" w:hAnsi="Cambria Math" w:cs="Arial"/>
              <w:sz w:val="22"/>
            </w:rPr>
            <m:t xml:space="preserve">Promedio Diario Operado </m:t>
          </m:r>
          <m:d>
            <m:dPr>
              <m:ctrlPr>
                <w:rPr>
                  <w:rFonts w:ascii="Cambria Math" w:hAnsi="Cambria Math" w:cs="Arial"/>
                  <w:i/>
                  <w:sz w:val="22"/>
                </w:rPr>
              </m:ctrlPr>
            </m:dPr>
            <m:e>
              <m:sSub>
                <m:sSubPr>
                  <m:ctrlPr>
                    <w:rPr>
                      <w:rFonts w:ascii="Cambria Math" w:hAnsi="Cambria Math" w:cs="Arial"/>
                      <w:i/>
                      <w:sz w:val="22"/>
                    </w:rPr>
                  </m:ctrlPr>
                </m:sSubPr>
                <m:e>
                  <m:r>
                    <w:rPr>
                      <w:rFonts w:ascii="Cambria Math" w:hAnsi="Cambria Math" w:cs="Arial"/>
                      <w:sz w:val="22"/>
                    </w:rPr>
                    <m:t>mes</m:t>
                  </m:r>
                </m:e>
                <m:sub>
                  <m:r>
                    <w:rPr>
                      <w:rFonts w:ascii="Cambria Math" w:hAnsi="Cambria Math" w:cs="Arial"/>
                      <w:sz w:val="22"/>
                    </w:rPr>
                    <m:t>t-1</m:t>
                  </m:r>
                </m:sub>
              </m:sSub>
            </m:e>
          </m:d>
          <m:r>
            <w:rPr>
              <w:rFonts w:ascii="Cambria Math" w:hAnsi="Cambria Math" w:cs="Arial"/>
              <w:sz w:val="22"/>
            </w:rPr>
            <m:t>×20%</m:t>
          </m:r>
        </m:oMath>
      </m:oMathPara>
    </w:p>
    <w:p w:rsidR="00262411" w:rsidRPr="00DA65AA" w:rsidRDefault="00262411" w:rsidP="00262411">
      <w:pPr>
        <w:pStyle w:val="Prrafodelista"/>
        <w:autoSpaceDE w:val="0"/>
        <w:autoSpaceDN w:val="0"/>
        <w:adjustRightInd w:val="0"/>
        <w:jc w:val="both"/>
        <w:rPr>
          <w:rFonts w:ascii="Arial Narrow" w:hAnsi="Arial Narrow" w:cs="Arial"/>
          <w:sz w:val="24"/>
        </w:rPr>
      </w:pPr>
    </w:p>
    <w:p w:rsidR="00262411" w:rsidRPr="00DA65AA" w:rsidRDefault="00262411" w:rsidP="00E7577C">
      <w:pPr>
        <w:pStyle w:val="Prrafodelista"/>
        <w:autoSpaceDE w:val="0"/>
        <w:autoSpaceDN w:val="0"/>
        <w:adjustRightInd w:val="0"/>
        <w:jc w:val="both"/>
        <w:rPr>
          <w:rFonts w:ascii="Arial Narrow" w:hAnsi="Arial Narrow" w:cs="Arial"/>
          <w:sz w:val="24"/>
        </w:rPr>
      </w:pPr>
      <w:r w:rsidRPr="00DA65AA">
        <w:rPr>
          <w:rFonts w:ascii="Arial Narrow" w:hAnsi="Arial Narrow" w:cs="Arial"/>
          <w:sz w:val="24"/>
        </w:rPr>
        <w:t xml:space="preserve">Para el cálculo del Promedio Diario Operado </w:t>
      </w:r>
      <m:oMath>
        <m:d>
          <m:dPr>
            <m:ctrlPr>
              <w:rPr>
                <w:rFonts w:ascii="Cambria Math" w:hAnsi="Cambria Math" w:cs="Arial"/>
                <w:i/>
              </w:rPr>
            </m:ctrlPr>
          </m:dPr>
          <m:e>
            <m:sSub>
              <m:sSubPr>
                <m:ctrlPr>
                  <w:rPr>
                    <w:rFonts w:ascii="Cambria Math" w:hAnsi="Cambria Math" w:cs="Arial"/>
                    <w:i/>
                  </w:rPr>
                </m:ctrlPr>
              </m:sSubPr>
              <m:e>
                <m:r>
                  <w:rPr>
                    <w:rFonts w:ascii="Cambria Math" w:hAnsi="Cambria Math" w:cs="Arial"/>
                  </w:rPr>
                  <m:t>mes</m:t>
                </m:r>
              </m:e>
              <m:sub>
                <m:r>
                  <w:rPr>
                    <w:rFonts w:ascii="Cambria Math" w:hAnsi="Cambria Math" w:cs="Arial"/>
                  </w:rPr>
                  <m:t>t-1</m:t>
                </m:r>
              </m:sub>
            </m:sSub>
          </m:e>
        </m:d>
      </m:oMath>
      <w:r w:rsidRPr="00DA65AA">
        <w:rPr>
          <w:rFonts w:ascii="Arial Narrow" w:hAnsi="Arial Narrow" w:cs="Arial"/>
          <w:sz w:val="24"/>
        </w:rPr>
        <w:t xml:space="preserve">   </w:t>
      </w:r>
      <w:r w:rsidR="00E7577C" w:rsidRPr="00DA65AA">
        <w:rPr>
          <w:rFonts w:ascii="Arial Narrow" w:hAnsi="Arial Narrow" w:cs="Arial"/>
          <w:sz w:val="24"/>
        </w:rPr>
        <w:t>se toma el volumen registrado de todas las ruedas en las cuales se negocian operaciones simultáneas (excepto la rueda de registro), cuyos colaterales sean TES COP, TES UVR y TCO,</w:t>
      </w:r>
      <w:r w:rsidRPr="00DA65AA">
        <w:rPr>
          <w:rFonts w:ascii="Arial Narrow" w:hAnsi="Arial Narrow" w:cs="Arial"/>
          <w:sz w:val="24"/>
        </w:rPr>
        <w:t xml:space="preserve"> se calcula el promedio aritmético de los días en los cuales se hicieron transacciones. Adicionalmente, el límite se definirá para ambos sistemas transaccionales (SEN y MEC) de manera conjunta.</w:t>
      </w:r>
    </w:p>
    <w:p w:rsidR="00262411" w:rsidRPr="00DA65AA" w:rsidRDefault="00262411" w:rsidP="00262411">
      <w:pPr>
        <w:autoSpaceDE w:val="0"/>
        <w:autoSpaceDN w:val="0"/>
        <w:adjustRightInd w:val="0"/>
        <w:ind w:left="708"/>
        <w:jc w:val="both"/>
        <w:rPr>
          <w:rFonts w:ascii="Arial Narrow" w:hAnsi="Arial Narrow" w:cs="Arial"/>
          <w:sz w:val="24"/>
        </w:rPr>
      </w:pPr>
    </w:p>
    <w:p w:rsidR="00262411" w:rsidRPr="00DA65AA" w:rsidRDefault="00262411" w:rsidP="00262411">
      <w:pPr>
        <w:autoSpaceDE w:val="0"/>
        <w:autoSpaceDN w:val="0"/>
        <w:adjustRightInd w:val="0"/>
        <w:ind w:left="708"/>
        <w:jc w:val="both"/>
        <w:rPr>
          <w:rFonts w:ascii="Arial Narrow" w:hAnsi="Arial Narrow" w:cs="Arial"/>
          <w:sz w:val="24"/>
        </w:rPr>
      </w:pPr>
      <w:r w:rsidRPr="00DA65AA">
        <w:rPr>
          <w:rFonts w:ascii="Arial Narrow" w:hAnsi="Arial Narrow" w:cs="Arial"/>
          <w:sz w:val="24"/>
        </w:rPr>
        <w:lastRenderedPageBreak/>
        <w:t xml:space="preserve">El saldo de las operaciones realizadas por la Tesorería se definirá como la suma de los valores de giro de las operaciones tanto activas como pasivas, es decir, no se realizará compensación de las posiciones. </w:t>
      </w:r>
    </w:p>
    <w:p w:rsidR="00E7577C" w:rsidRPr="00DA65AA" w:rsidRDefault="00E7577C" w:rsidP="00262411">
      <w:pPr>
        <w:autoSpaceDE w:val="0"/>
        <w:autoSpaceDN w:val="0"/>
        <w:adjustRightInd w:val="0"/>
        <w:ind w:left="708"/>
        <w:jc w:val="both"/>
        <w:rPr>
          <w:rFonts w:ascii="Arial Narrow" w:hAnsi="Arial Narrow" w:cs="Arial"/>
          <w:sz w:val="24"/>
        </w:rPr>
      </w:pPr>
    </w:p>
    <w:p w:rsidR="00E7577C" w:rsidRPr="00DA65AA" w:rsidRDefault="00E7577C" w:rsidP="00E7577C">
      <w:pPr>
        <w:pStyle w:val="Prrafodelista"/>
        <w:numPr>
          <w:ilvl w:val="0"/>
          <w:numId w:val="27"/>
        </w:numPr>
        <w:autoSpaceDE w:val="0"/>
        <w:autoSpaceDN w:val="0"/>
        <w:adjustRightInd w:val="0"/>
        <w:jc w:val="both"/>
        <w:rPr>
          <w:rFonts w:ascii="Arial Narrow" w:hAnsi="Arial Narrow" w:cs="Arial"/>
          <w:sz w:val="24"/>
        </w:rPr>
      </w:pPr>
      <w:r w:rsidRPr="00DA65AA">
        <w:rPr>
          <w:rFonts w:ascii="Arial Narrow" w:hAnsi="Arial Narrow" w:cs="Arial"/>
          <w:sz w:val="24"/>
        </w:rPr>
        <w:t>Simultáneas activas: no se permite realizar operaciones en el mercado con los títulos recibidos como colateral.</w:t>
      </w:r>
    </w:p>
    <w:p w:rsidR="00E7577C" w:rsidRPr="00DA65AA" w:rsidRDefault="00E7577C" w:rsidP="00E7577C">
      <w:pPr>
        <w:pStyle w:val="Prrafodelista"/>
        <w:autoSpaceDE w:val="0"/>
        <w:autoSpaceDN w:val="0"/>
        <w:adjustRightInd w:val="0"/>
        <w:ind w:left="720"/>
        <w:jc w:val="both"/>
        <w:rPr>
          <w:rFonts w:ascii="Arial Narrow" w:hAnsi="Arial Narrow" w:cs="Arial"/>
          <w:sz w:val="24"/>
        </w:rPr>
      </w:pPr>
    </w:p>
    <w:p w:rsidR="00262411" w:rsidRPr="00DA65AA" w:rsidRDefault="00E7577C" w:rsidP="00E7577C">
      <w:pPr>
        <w:pStyle w:val="Prrafodelista"/>
        <w:numPr>
          <w:ilvl w:val="0"/>
          <w:numId w:val="27"/>
        </w:numPr>
        <w:autoSpaceDE w:val="0"/>
        <w:autoSpaceDN w:val="0"/>
        <w:adjustRightInd w:val="0"/>
        <w:jc w:val="both"/>
        <w:rPr>
          <w:rFonts w:ascii="Arial Narrow" w:hAnsi="Arial Narrow" w:cs="Arial"/>
          <w:sz w:val="24"/>
        </w:rPr>
      </w:pPr>
      <w:r w:rsidRPr="00DA65AA">
        <w:rPr>
          <w:rFonts w:ascii="Arial Narrow" w:hAnsi="Arial Narrow" w:cs="Arial"/>
          <w:sz w:val="24"/>
        </w:rPr>
        <w:t>Simultáneas pasivas: estas operaciones se negociarán solo con los títulos disponibles en el portafolio al comienzo del día y se dejará el 30% del valor de cada referencia existente en el portafolio sin utilizar como colateral.</w:t>
      </w:r>
    </w:p>
    <w:p w:rsidR="00262411" w:rsidRPr="00DA65AA" w:rsidRDefault="00262411" w:rsidP="00262411">
      <w:pPr>
        <w:pStyle w:val="Prrafodelista"/>
        <w:autoSpaceDE w:val="0"/>
        <w:autoSpaceDN w:val="0"/>
        <w:adjustRightInd w:val="0"/>
        <w:jc w:val="both"/>
        <w:rPr>
          <w:rFonts w:ascii="Arial Narrow" w:hAnsi="Arial Narrow" w:cs="Arial"/>
          <w:sz w:val="24"/>
        </w:rPr>
      </w:pPr>
    </w:p>
    <w:p w:rsidR="00262411" w:rsidRPr="00DA65AA" w:rsidRDefault="00262411" w:rsidP="00C408EF">
      <w:pPr>
        <w:pStyle w:val="Prrafodelista"/>
        <w:numPr>
          <w:ilvl w:val="0"/>
          <w:numId w:val="13"/>
        </w:numPr>
        <w:autoSpaceDE w:val="0"/>
        <w:autoSpaceDN w:val="0"/>
        <w:adjustRightInd w:val="0"/>
        <w:contextualSpacing/>
        <w:jc w:val="both"/>
        <w:rPr>
          <w:rFonts w:ascii="Arial Narrow" w:hAnsi="Arial Narrow" w:cs="Arial"/>
          <w:sz w:val="24"/>
        </w:rPr>
      </w:pPr>
      <w:r w:rsidRPr="00DA65AA">
        <w:rPr>
          <w:rFonts w:ascii="Arial Narrow" w:hAnsi="Arial Narrow" w:cs="Arial"/>
          <w:sz w:val="24"/>
        </w:rPr>
        <w:t>El valor de la garantía a entregar deberá cubrir los requerimientos definidos por la CRCC, entre los cuales se incluye la garantía Inicial, la garantía diaria, y aquella que cubra las fluctuaciones de la valoración de los instrumentos entregados.</w:t>
      </w:r>
    </w:p>
    <w:p w:rsidR="00262411" w:rsidRPr="00DA65AA" w:rsidRDefault="00262411" w:rsidP="00262411">
      <w:pPr>
        <w:autoSpaceDE w:val="0"/>
        <w:autoSpaceDN w:val="0"/>
        <w:adjustRightInd w:val="0"/>
        <w:jc w:val="both"/>
        <w:rPr>
          <w:rFonts w:ascii="Arial Narrow" w:hAnsi="Arial Narrow" w:cs="Arial"/>
          <w:sz w:val="24"/>
        </w:rPr>
      </w:pPr>
    </w:p>
    <w:p w:rsidR="00262411" w:rsidRPr="00DA65AA" w:rsidRDefault="00262411" w:rsidP="00C408EF">
      <w:pPr>
        <w:pStyle w:val="Prrafodelista"/>
        <w:numPr>
          <w:ilvl w:val="0"/>
          <w:numId w:val="13"/>
        </w:numPr>
        <w:autoSpaceDE w:val="0"/>
        <w:autoSpaceDN w:val="0"/>
        <w:adjustRightInd w:val="0"/>
        <w:contextualSpacing/>
        <w:jc w:val="both"/>
        <w:rPr>
          <w:rFonts w:ascii="Arial Narrow" w:hAnsi="Arial Narrow" w:cs="Arial"/>
          <w:sz w:val="24"/>
        </w:rPr>
      </w:pPr>
      <w:r w:rsidRPr="00DA65AA">
        <w:rPr>
          <w:rFonts w:ascii="Arial Narrow" w:hAnsi="Arial Narrow" w:cs="Arial"/>
          <w:sz w:val="24"/>
        </w:rPr>
        <w:t>El valor de la garantía se calculará con base en la metodología establecida en la Circular Única de la CRCC, teniendo en cuenta los límites de operación diario sin estimar las compensaciones que la CRCC incluye en su cálculo.</w:t>
      </w:r>
    </w:p>
    <w:p w:rsidR="00262411" w:rsidRPr="00DA65AA" w:rsidRDefault="00262411" w:rsidP="00262411">
      <w:pPr>
        <w:autoSpaceDE w:val="0"/>
        <w:autoSpaceDN w:val="0"/>
        <w:adjustRightInd w:val="0"/>
        <w:jc w:val="both"/>
        <w:rPr>
          <w:rFonts w:ascii="Arial Narrow" w:hAnsi="Arial Narrow" w:cs="Arial"/>
          <w:sz w:val="24"/>
        </w:rPr>
      </w:pPr>
    </w:p>
    <w:p w:rsidR="00262411" w:rsidRPr="00DA65AA" w:rsidRDefault="00262411" w:rsidP="00C408EF">
      <w:pPr>
        <w:pStyle w:val="Prrafodelista"/>
        <w:numPr>
          <w:ilvl w:val="0"/>
          <w:numId w:val="13"/>
        </w:numPr>
        <w:autoSpaceDE w:val="0"/>
        <w:autoSpaceDN w:val="0"/>
        <w:adjustRightInd w:val="0"/>
        <w:contextualSpacing/>
        <w:jc w:val="both"/>
        <w:rPr>
          <w:rFonts w:ascii="Arial Narrow" w:hAnsi="Arial Narrow"/>
        </w:rPr>
      </w:pPr>
      <w:r w:rsidRPr="00DA65AA">
        <w:rPr>
          <w:rFonts w:ascii="Arial Narrow" w:hAnsi="Arial Narrow" w:cs="Arial"/>
          <w:sz w:val="24"/>
        </w:rPr>
        <w:t>En caso de requerir mayor valor de las garantías, es decir, cuando se requiera un ajuste a las garantías debido a que su valor no sea suficiente para las operaciones que se desee realizar, la Tesorería deberá informar a la Subdirección de Operaciones los títulos y el valor a entregar en garantía. El valor adicional para celebrar operaciones simultáneas será acorde con el límite de operación diario.</w:t>
      </w:r>
    </w:p>
    <w:p w:rsidR="00540D04" w:rsidRPr="00DA65AA" w:rsidRDefault="00540D04" w:rsidP="00540D04">
      <w:pPr>
        <w:pStyle w:val="Prrafodelista"/>
        <w:rPr>
          <w:rFonts w:ascii="Arial Narrow" w:hAnsi="Arial Narrow"/>
        </w:rPr>
      </w:pPr>
    </w:p>
    <w:p w:rsidR="00540D04" w:rsidRPr="00DA65AA" w:rsidRDefault="00540D04" w:rsidP="0011063E">
      <w:pPr>
        <w:pStyle w:val="Ttulo3"/>
      </w:pPr>
      <w:bookmarkStart w:id="52" w:name="_Toc4596448"/>
      <w:r w:rsidRPr="00DA65AA">
        <w:t>Límite para exposición al Riesgo de Mercado</w:t>
      </w:r>
      <w:bookmarkEnd w:id="52"/>
    </w:p>
    <w:p w:rsidR="00540D04" w:rsidRPr="00DA65AA" w:rsidRDefault="00540D04" w:rsidP="00540D04">
      <w:pPr>
        <w:rPr>
          <w:rFonts w:ascii="Arial Narrow" w:hAnsi="Arial Narrow"/>
          <w:lang w:val="es-CO"/>
        </w:rPr>
      </w:pPr>
    </w:p>
    <w:p w:rsidR="00540D04" w:rsidRPr="00DA65AA" w:rsidRDefault="00540D04" w:rsidP="00540D04">
      <w:pPr>
        <w:jc w:val="both"/>
        <w:rPr>
          <w:rFonts w:ascii="Arial Narrow" w:hAnsi="Arial Narrow"/>
          <w:sz w:val="24"/>
          <w:lang w:val="es-CO"/>
        </w:rPr>
      </w:pPr>
      <w:r w:rsidRPr="00DA65AA">
        <w:rPr>
          <w:rFonts w:ascii="Arial Narrow" w:hAnsi="Arial Narrow"/>
          <w:sz w:val="24"/>
          <w:lang w:val="es-CO"/>
        </w:rPr>
        <w:t>Para la debida administración del Riesgo de Mercado, se establece un límite a la duración ponderada de las inversiones en TES, tanto para COP como UVR, del portafolio activo de la Nación con base en la duración de los títulos emitidos vigentes. El control y monitoreo de la duración de las posiciones de los TES busca mitigar la exposición del portafolio ante escenarios de alta volatilidad de los precios de los instrumentos.</w:t>
      </w:r>
    </w:p>
    <w:p w:rsidR="00540D04" w:rsidRPr="00DA65AA" w:rsidRDefault="00540D04" w:rsidP="00540D04">
      <w:pPr>
        <w:jc w:val="both"/>
        <w:rPr>
          <w:rFonts w:ascii="Arial Narrow" w:hAnsi="Arial Narrow"/>
          <w:sz w:val="24"/>
          <w:lang w:val="es-CO"/>
        </w:rPr>
      </w:pPr>
    </w:p>
    <w:p w:rsidR="00540D04" w:rsidRPr="00DA65AA" w:rsidRDefault="00540D04" w:rsidP="00540D04">
      <w:pPr>
        <w:jc w:val="both"/>
        <w:rPr>
          <w:rFonts w:ascii="Arial Narrow" w:hAnsi="Arial Narrow"/>
          <w:sz w:val="24"/>
          <w:lang w:val="es-CO"/>
        </w:rPr>
      </w:pPr>
      <w:r w:rsidRPr="00DA65AA">
        <w:rPr>
          <w:rFonts w:ascii="Arial Narrow" w:hAnsi="Arial Narrow"/>
          <w:sz w:val="24"/>
          <w:lang w:val="es-CO"/>
        </w:rPr>
        <w:t>El límite estable</w:t>
      </w:r>
      <w:r w:rsidR="00822562" w:rsidRPr="00DA65AA">
        <w:rPr>
          <w:rFonts w:ascii="Arial Narrow" w:hAnsi="Arial Narrow"/>
          <w:sz w:val="24"/>
          <w:lang w:val="es-CO"/>
        </w:rPr>
        <w:t>cido corresponde al percentil 85</w:t>
      </w:r>
      <w:r w:rsidRPr="00DA65AA">
        <w:rPr>
          <w:rFonts w:ascii="Arial Narrow" w:hAnsi="Arial Narrow"/>
          <w:sz w:val="24"/>
          <w:lang w:val="es-CO"/>
        </w:rPr>
        <w:t xml:space="preserve"> de la duración de los títulos TES COP vigentes a la fecha de cálculo, de tal forma que la duración ponderada del portafolio de TES (COP y UVR) no supere dicho valor, haciendo que las posiciones no se concentren en gran parte en los vencimientos de largo plazo y que ante eventos de alta volatilidad no se vea afectado el valor de las inversiones.</w:t>
      </w:r>
    </w:p>
    <w:p w:rsidR="00540D04" w:rsidRPr="00DA65AA" w:rsidRDefault="00540D04" w:rsidP="00540D04">
      <w:pPr>
        <w:jc w:val="both"/>
        <w:rPr>
          <w:rFonts w:ascii="Arial Narrow" w:hAnsi="Arial Narrow"/>
          <w:sz w:val="24"/>
          <w:lang w:val="es-CO"/>
        </w:rPr>
      </w:pPr>
    </w:p>
    <w:p w:rsidR="00540D04" w:rsidRPr="00DA65AA" w:rsidRDefault="00540D04" w:rsidP="00540D04">
      <w:pPr>
        <w:jc w:val="both"/>
        <w:rPr>
          <w:rFonts w:ascii="Arial Narrow" w:hAnsi="Arial Narrow"/>
          <w:sz w:val="24"/>
          <w:lang w:val="es-CO"/>
        </w:rPr>
      </w:pPr>
      <w:r w:rsidRPr="00DA65AA">
        <w:rPr>
          <w:rFonts w:ascii="Arial Narrow" w:hAnsi="Arial Narrow"/>
          <w:sz w:val="24"/>
          <w:lang w:val="es-CO"/>
        </w:rPr>
        <w:t>La Subdirección de Riesgo realizará el cálculo del límite con base en la información suministrada por el proveedor de precios contratado por la DGCPTN y se ajustará cada vez que la Subdireccion de Riesgo lo considere pertinente dadas las condiciones del mercado. La duración ponderada del portafolio de TES se calculará de manera diaria con el fin de monitorear el cumplimiento del límite definido anteriormente.</w:t>
      </w:r>
    </w:p>
    <w:p w:rsidR="00540D04" w:rsidRPr="00DA65AA" w:rsidRDefault="00540D04" w:rsidP="00540D04">
      <w:pPr>
        <w:jc w:val="both"/>
        <w:rPr>
          <w:rFonts w:ascii="Arial Narrow" w:hAnsi="Arial Narrow"/>
          <w:sz w:val="24"/>
          <w:lang w:val="es-CO"/>
        </w:rPr>
      </w:pPr>
    </w:p>
    <w:p w:rsidR="00540D04" w:rsidRPr="00DA65AA" w:rsidRDefault="00540D04" w:rsidP="0011063E">
      <w:pPr>
        <w:pStyle w:val="Ttulo3"/>
      </w:pPr>
      <w:bookmarkStart w:id="53" w:name="_Toc4596449"/>
      <w:r w:rsidRPr="00DA65AA">
        <w:lastRenderedPageBreak/>
        <w:t>Atribuciones</w:t>
      </w:r>
      <w:bookmarkEnd w:id="53"/>
    </w:p>
    <w:p w:rsidR="00540D04" w:rsidRPr="00DA65AA" w:rsidRDefault="00540D04" w:rsidP="00540D04">
      <w:pPr>
        <w:rPr>
          <w:rFonts w:ascii="Arial Narrow" w:hAnsi="Arial Narrow"/>
          <w:lang w:val="es-CO"/>
        </w:rPr>
      </w:pPr>
    </w:p>
    <w:p w:rsidR="00540D04" w:rsidRPr="00DA65AA" w:rsidRDefault="00540D04" w:rsidP="00540D04">
      <w:pPr>
        <w:jc w:val="both"/>
        <w:rPr>
          <w:rFonts w:ascii="Arial Narrow" w:hAnsi="Arial Narrow"/>
          <w:sz w:val="24"/>
          <w:lang w:val="es-CO"/>
        </w:rPr>
      </w:pPr>
      <w:r w:rsidRPr="00DA65AA">
        <w:rPr>
          <w:rFonts w:ascii="Arial Narrow" w:hAnsi="Arial Narrow"/>
          <w:sz w:val="24"/>
          <w:lang w:val="es-CO"/>
        </w:rPr>
        <w:t>Con el objeto de establecer medidas de control para las operaciones de Tesorería se definen las atribuciones, las cuales otorgan la facultad de operar a los profesionales de la mesa de dinero en los instrumentos permitidos por el Manual de Políticas de Riesgo de Mercado.</w:t>
      </w:r>
    </w:p>
    <w:p w:rsidR="00540D04" w:rsidRPr="00DA65AA" w:rsidRDefault="00540D04" w:rsidP="00540D04">
      <w:pPr>
        <w:jc w:val="both"/>
        <w:rPr>
          <w:rFonts w:ascii="Arial Narrow" w:hAnsi="Arial Narrow"/>
          <w:sz w:val="24"/>
          <w:lang w:val="es-CO"/>
        </w:rPr>
      </w:pPr>
    </w:p>
    <w:p w:rsidR="00540D04" w:rsidRPr="00DA65AA" w:rsidRDefault="00540D04" w:rsidP="00540D04">
      <w:pPr>
        <w:jc w:val="both"/>
        <w:rPr>
          <w:rFonts w:ascii="Arial Narrow" w:hAnsi="Arial Narrow"/>
          <w:sz w:val="24"/>
          <w:lang w:val="es-CO"/>
        </w:rPr>
      </w:pPr>
      <w:r w:rsidRPr="00DA65AA">
        <w:rPr>
          <w:rFonts w:ascii="Arial Narrow" w:hAnsi="Arial Narrow"/>
          <w:sz w:val="24"/>
          <w:lang w:val="es-CO"/>
        </w:rPr>
        <w:t>Las atribuciones de negociación aplican para los profesionales que ingresen a la mesa de dinero y que no cuenten con experiencia comprobada mayor a dos años en operaciones del mercado de valores colombiano.  El valor de la atribución será equivalente a $5,000 millones por operación en el sistema transaccional SEN en la rueda CONH y SIML y $2,000 millones en el sistema transaccional MEC en la rueda ASPT y ASCR para realizar operaciones en moneda legal, adicionalmente se establece un monto máximo en el total de las operaciones del día de $100,000 millones para cada una de las ruedas.</w:t>
      </w:r>
    </w:p>
    <w:p w:rsidR="00540D04" w:rsidRPr="00DA65AA" w:rsidRDefault="00540D04" w:rsidP="00540D04">
      <w:pPr>
        <w:jc w:val="both"/>
        <w:rPr>
          <w:rFonts w:ascii="Arial Narrow" w:hAnsi="Arial Narrow"/>
          <w:sz w:val="24"/>
          <w:lang w:val="es-CO"/>
        </w:rPr>
      </w:pPr>
    </w:p>
    <w:p w:rsidR="00540D04" w:rsidRPr="00DA65AA" w:rsidRDefault="00540D04" w:rsidP="00540D04">
      <w:pPr>
        <w:jc w:val="both"/>
        <w:rPr>
          <w:rFonts w:ascii="Arial Narrow" w:hAnsi="Arial Narrow"/>
          <w:sz w:val="24"/>
          <w:lang w:val="es-CO"/>
        </w:rPr>
      </w:pPr>
      <w:r w:rsidRPr="00DA65AA">
        <w:rPr>
          <w:rFonts w:ascii="Arial Narrow" w:hAnsi="Arial Narrow"/>
          <w:sz w:val="24"/>
          <w:lang w:val="es-CO"/>
        </w:rPr>
        <w:t>Estas atribuciones se aplicarán durante los seis primeros meses posteriores a su ingreso al área de negociación como periodo de aprendizaje, sin embargo, pasados 2 meses se podrá aumentar el monto de atribución por operación en SEN en la rueda CONH y SIML hasta $10,000 millones y en MEC en la rueda ASPT y ASCR hasta $5,000 millones manteniendo el nivel de atribución diaria una vez el Coordinador del Grupo de Mesa de Dinero lo comunique. Una vez culminado el periodo de aprendizaje, el Coordinador del Grupo de Mesa de Dinero deberá certificar que el funcionario cuenta con los conocimientos requeridos para poder operar.  En caso que se requiera, mayor tiempo de aprendizaje, el jefe de mesa de dinero deberá informar esta situación y se prolongará esta política durante un periodo adicional.</w:t>
      </w:r>
    </w:p>
    <w:p w:rsidR="00540D04" w:rsidRPr="00DA65AA" w:rsidRDefault="00540D04" w:rsidP="00540D04">
      <w:pPr>
        <w:jc w:val="both"/>
        <w:rPr>
          <w:rFonts w:ascii="Arial Narrow" w:hAnsi="Arial Narrow"/>
          <w:sz w:val="24"/>
          <w:lang w:val="es-CO"/>
        </w:rPr>
      </w:pPr>
    </w:p>
    <w:p w:rsidR="00540D04" w:rsidRPr="00DA65AA" w:rsidRDefault="00540D04" w:rsidP="00540D04">
      <w:pPr>
        <w:jc w:val="both"/>
        <w:rPr>
          <w:rFonts w:ascii="Arial Narrow" w:hAnsi="Arial Narrow"/>
          <w:sz w:val="24"/>
          <w:lang w:val="es-CO"/>
        </w:rPr>
      </w:pPr>
      <w:r w:rsidRPr="00DA65AA">
        <w:rPr>
          <w:rFonts w:ascii="Arial Narrow" w:hAnsi="Arial Narrow"/>
          <w:sz w:val="24"/>
          <w:lang w:val="es-CO"/>
        </w:rPr>
        <w:t>Para operaciones en moneda legal, se entenderán las atribuciones por operación en el mercado de TES del Sistema Electrónico de Negociación SEN y en el sistema de negociación Master Trader.</w:t>
      </w:r>
    </w:p>
    <w:p w:rsidR="00540D04" w:rsidRPr="00DA65AA" w:rsidRDefault="00540D04" w:rsidP="00540D04">
      <w:pPr>
        <w:jc w:val="both"/>
        <w:rPr>
          <w:rFonts w:ascii="Arial Narrow" w:hAnsi="Arial Narrow"/>
          <w:sz w:val="24"/>
          <w:lang w:val="es-CO"/>
        </w:rPr>
      </w:pPr>
    </w:p>
    <w:p w:rsidR="00540D04" w:rsidRPr="00DA65AA" w:rsidRDefault="00540D04" w:rsidP="00540D04">
      <w:pPr>
        <w:jc w:val="both"/>
        <w:rPr>
          <w:rFonts w:ascii="Arial Narrow" w:hAnsi="Arial Narrow"/>
          <w:sz w:val="24"/>
          <w:lang w:val="es-CO"/>
        </w:rPr>
      </w:pPr>
      <w:r w:rsidRPr="00DA65AA">
        <w:rPr>
          <w:rFonts w:ascii="Arial Narrow" w:hAnsi="Arial Narrow"/>
          <w:sz w:val="24"/>
          <w:lang w:val="es-CO"/>
        </w:rPr>
        <w:t xml:space="preserve">Para operaciones en Moneda Extranjera, se entenderán las atribuciones por operación en el mercado de Dólares del Sistema SET – FX en el mercado </w:t>
      </w:r>
      <w:r w:rsidRPr="00CF5454">
        <w:rPr>
          <w:rFonts w:ascii="Arial Narrow" w:hAnsi="Arial Narrow"/>
          <w:i/>
          <w:sz w:val="24"/>
          <w:lang w:val="es-CO"/>
        </w:rPr>
        <w:t>Spot</w:t>
      </w:r>
      <w:r w:rsidRPr="00DA65AA">
        <w:rPr>
          <w:rFonts w:ascii="Arial Narrow" w:hAnsi="Arial Narrow"/>
          <w:sz w:val="24"/>
          <w:lang w:val="es-CO"/>
        </w:rPr>
        <w:t xml:space="preserve">, </w:t>
      </w:r>
      <w:r w:rsidRPr="00CF5454">
        <w:rPr>
          <w:rFonts w:ascii="Arial Narrow" w:hAnsi="Arial Narrow"/>
          <w:i/>
          <w:sz w:val="24"/>
          <w:lang w:val="es-CO"/>
        </w:rPr>
        <w:t>Next Day</w:t>
      </w:r>
      <w:r w:rsidRPr="00DA65AA">
        <w:rPr>
          <w:rFonts w:ascii="Arial Narrow" w:hAnsi="Arial Narrow"/>
          <w:sz w:val="24"/>
          <w:lang w:val="es-CO"/>
        </w:rPr>
        <w:t xml:space="preserve"> por US$500.000 o las transacciones que se realicen en diferentes plataformas de negociación como </w:t>
      </w:r>
      <w:r w:rsidRPr="00CF5454">
        <w:rPr>
          <w:rFonts w:ascii="Arial Narrow" w:hAnsi="Arial Narrow"/>
          <w:sz w:val="24"/>
          <w:lang w:val="es-CO"/>
        </w:rPr>
        <w:t>Bloomberg</w:t>
      </w:r>
      <w:r w:rsidRPr="00DA65AA">
        <w:rPr>
          <w:rFonts w:ascii="Arial Narrow" w:hAnsi="Arial Narrow"/>
          <w:sz w:val="24"/>
          <w:lang w:val="es-CO"/>
        </w:rPr>
        <w:t xml:space="preserve"> o </w:t>
      </w:r>
      <w:r w:rsidRPr="00CF5454">
        <w:rPr>
          <w:rFonts w:ascii="Arial Narrow" w:hAnsi="Arial Narrow"/>
          <w:sz w:val="24"/>
          <w:lang w:val="es-CO"/>
        </w:rPr>
        <w:t>Reuters</w:t>
      </w:r>
      <w:r w:rsidRPr="00DA65AA">
        <w:rPr>
          <w:rFonts w:ascii="Arial Narrow" w:hAnsi="Arial Narrow"/>
          <w:sz w:val="24"/>
          <w:lang w:val="es-CO"/>
        </w:rPr>
        <w:t>, teniendo en cuenta los cupos establecidos con las contrapartes autorizadas por la Subdirección de Riesgo.  El valor de la atribución en moneda extranjera no se podrá modificar hasta culminar el per</w:t>
      </w:r>
      <w:r w:rsidR="00CF5454">
        <w:rPr>
          <w:rFonts w:ascii="Arial Narrow" w:hAnsi="Arial Narrow"/>
          <w:sz w:val="24"/>
          <w:lang w:val="es-CO"/>
        </w:rPr>
        <w:t>iodo de aprendizaje de 6 meses.</w:t>
      </w:r>
    </w:p>
    <w:p w:rsidR="00540D04" w:rsidRPr="00DA65AA" w:rsidRDefault="00540D04" w:rsidP="00540D04">
      <w:pPr>
        <w:jc w:val="both"/>
        <w:rPr>
          <w:rFonts w:ascii="Arial Narrow" w:hAnsi="Arial Narrow"/>
          <w:sz w:val="24"/>
          <w:lang w:val="es-CO"/>
        </w:rPr>
      </w:pPr>
    </w:p>
    <w:p w:rsidR="003E2226" w:rsidRPr="00DA65AA" w:rsidRDefault="00540D04" w:rsidP="0011063E">
      <w:pPr>
        <w:jc w:val="both"/>
        <w:rPr>
          <w:rFonts w:ascii="Arial Narrow" w:hAnsi="Arial Narrow"/>
        </w:rPr>
      </w:pPr>
      <w:r w:rsidRPr="00DA65AA">
        <w:rPr>
          <w:rFonts w:ascii="Arial Narrow" w:hAnsi="Arial Narrow"/>
          <w:sz w:val="24"/>
          <w:lang w:val="es-CO"/>
        </w:rPr>
        <w:t>Si las operaciones superan las atribuciones consagra</w:t>
      </w:r>
      <w:r w:rsidR="00CF5454">
        <w:rPr>
          <w:rFonts w:ascii="Arial Narrow" w:hAnsi="Arial Narrow"/>
          <w:sz w:val="24"/>
          <w:lang w:val="es-CO"/>
        </w:rPr>
        <w:t>das en los diferentes niveles, e</w:t>
      </w:r>
      <w:r w:rsidRPr="00DA65AA">
        <w:rPr>
          <w:rFonts w:ascii="Arial Narrow" w:hAnsi="Arial Narrow"/>
          <w:sz w:val="24"/>
          <w:lang w:val="es-CO"/>
        </w:rPr>
        <w:t>stas deben ser autorizadas respectivamente por su superior.</w:t>
      </w:r>
    </w:p>
    <w:p w:rsidR="00262411" w:rsidRDefault="00262411" w:rsidP="00262411">
      <w:pPr>
        <w:rPr>
          <w:rFonts w:ascii="Arial Narrow" w:hAnsi="Arial Narrow"/>
        </w:rPr>
      </w:pPr>
    </w:p>
    <w:p w:rsidR="00171A99" w:rsidRDefault="00171A99" w:rsidP="00262411">
      <w:pPr>
        <w:rPr>
          <w:rFonts w:ascii="Arial Narrow" w:hAnsi="Arial Narrow"/>
        </w:rPr>
      </w:pPr>
    </w:p>
    <w:p w:rsidR="00171A99" w:rsidRDefault="00171A99" w:rsidP="00262411">
      <w:pPr>
        <w:rPr>
          <w:rFonts w:ascii="Arial Narrow" w:hAnsi="Arial Narrow"/>
        </w:rPr>
      </w:pPr>
    </w:p>
    <w:p w:rsidR="00171A99" w:rsidRDefault="00171A99" w:rsidP="00262411">
      <w:pPr>
        <w:rPr>
          <w:rFonts w:ascii="Arial Narrow" w:hAnsi="Arial Narrow"/>
        </w:rPr>
      </w:pPr>
    </w:p>
    <w:p w:rsidR="00171A99" w:rsidRDefault="00171A99" w:rsidP="00262411">
      <w:pPr>
        <w:rPr>
          <w:rFonts w:ascii="Arial Narrow" w:hAnsi="Arial Narrow"/>
        </w:rPr>
      </w:pPr>
    </w:p>
    <w:p w:rsidR="00171A99" w:rsidRDefault="00171A99" w:rsidP="00262411">
      <w:pPr>
        <w:rPr>
          <w:rFonts w:ascii="Arial Narrow" w:hAnsi="Arial Narrow"/>
        </w:rPr>
      </w:pPr>
    </w:p>
    <w:p w:rsidR="00171A99" w:rsidRDefault="00171A99" w:rsidP="00262411">
      <w:pPr>
        <w:rPr>
          <w:rFonts w:ascii="Arial Narrow" w:hAnsi="Arial Narrow"/>
        </w:rPr>
      </w:pPr>
    </w:p>
    <w:p w:rsidR="00171A99" w:rsidRDefault="00171A99" w:rsidP="00262411">
      <w:pPr>
        <w:rPr>
          <w:rFonts w:ascii="Arial Narrow" w:hAnsi="Arial Narrow"/>
        </w:rPr>
      </w:pPr>
    </w:p>
    <w:p w:rsidR="00171A99" w:rsidRPr="00DA65AA" w:rsidRDefault="00171A99" w:rsidP="00262411">
      <w:pPr>
        <w:rPr>
          <w:rFonts w:ascii="Arial Narrow" w:hAnsi="Arial Narrow"/>
        </w:rPr>
      </w:pPr>
    </w:p>
    <w:p w:rsidR="00262411" w:rsidRPr="00DA65AA" w:rsidRDefault="00262411" w:rsidP="00242C43">
      <w:pPr>
        <w:pStyle w:val="Ttulo1"/>
        <w:numPr>
          <w:ilvl w:val="0"/>
          <w:numId w:val="1"/>
        </w:numPr>
        <w:jc w:val="left"/>
        <w:rPr>
          <w:rFonts w:ascii="Arial Narrow" w:hAnsi="Arial Narrow"/>
          <w:sz w:val="24"/>
          <w:szCs w:val="24"/>
        </w:rPr>
      </w:pPr>
      <w:bookmarkStart w:id="54" w:name="_Toc4596450"/>
      <w:r w:rsidRPr="00DA65AA">
        <w:rPr>
          <w:rFonts w:ascii="Arial Narrow" w:hAnsi="Arial Narrow"/>
          <w:sz w:val="24"/>
          <w:szCs w:val="24"/>
        </w:rPr>
        <w:lastRenderedPageBreak/>
        <w:t>METODOLOGÍAS DE ASIGNACIÓN DE CUPOS</w:t>
      </w:r>
      <w:bookmarkEnd w:id="54"/>
    </w:p>
    <w:p w:rsidR="000F6ED3" w:rsidRPr="00DA65AA" w:rsidRDefault="000F6ED3" w:rsidP="000F6ED3">
      <w:pPr>
        <w:rPr>
          <w:rFonts w:ascii="Arial Narrow" w:hAnsi="Arial Narrow"/>
        </w:rPr>
      </w:pPr>
    </w:p>
    <w:p w:rsidR="000F6ED3" w:rsidRPr="00DA65AA" w:rsidRDefault="000F6ED3" w:rsidP="000F6ED3">
      <w:pPr>
        <w:rPr>
          <w:rFonts w:ascii="Arial Narrow" w:hAnsi="Arial Narrow"/>
        </w:rPr>
      </w:pPr>
    </w:p>
    <w:p w:rsidR="000F6ED3" w:rsidRPr="00DA65AA" w:rsidRDefault="000F6ED3" w:rsidP="000F6ED3">
      <w:pPr>
        <w:pStyle w:val="Ttulo2"/>
      </w:pPr>
      <w:bookmarkStart w:id="55" w:name="_Toc4596451"/>
      <w:r w:rsidRPr="00DA65AA">
        <w:t>Asignación de Cupos para Entidades Locales</w:t>
      </w:r>
      <w:bookmarkEnd w:id="55"/>
    </w:p>
    <w:p w:rsidR="000F6ED3" w:rsidRPr="00DA65AA" w:rsidRDefault="000F6ED3" w:rsidP="000F6ED3">
      <w:pPr>
        <w:pStyle w:val="Ttulo2"/>
        <w:numPr>
          <w:ilvl w:val="0"/>
          <w:numId w:val="0"/>
        </w:numPr>
      </w:pPr>
    </w:p>
    <w:p w:rsidR="000F6ED3" w:rsidRPr="00DA65AA" w:rsidRDefault="000F6ED3" w:rsidP="000F6ED3">
      <w:pPr>
        <w:pStyle w:val="Ttulo3"/>
        <w:rPr>
          <w:lang w:val="es-CO"/>
        </w:rPr>
      </w:pPr>
      <w:bookmarkStart w:id="56" w:name="_Toc4596452"/>
      <w:r w:rsidRPr="00DA65AA">
        <w:rPr>
          <w:lang w:val="es-CO"/>
        </w:rPr>
        <w:t>Cupos de Contraparte para operaciones en el mercado SET FX</w:t>
      </w:r>
      <w:bookmarkEnd w:id="56"/>
    </w:p>
    <w:p w:rsidR="000F6ED3" w:rsidRPr="00DA65AA" w:rsidRDefault="000F6ED3" w:rsidP="000F6ED3">
      <w:pPr>
        <w:rPr>
          <w:rFonts w:ascii="Arial Narrow" w:hAnsi="Arial Narrow"/>
          <w:lang w:val="es-CO"/>
        </w:rPr>
      </w:pPr>
    </w:p>
    <w:p w:rsidR="000F6ED3" w:rsidRPr="00DA65AA" w:rsidRDefault="000F6ED3" w:rsidP="000F6ED3">
      <w:pPr>
        <w:jc w:val="both"/>
        <w:rPr>
          <w:rFonts w:ascii="Arial Narrow" w:hAnsi="Arial Narrow" w:cs="Arial"/>
          <w:color w:val="000000"/>
          <w:sz w:val="24"/>
          <w:lang w:eastAsia="en-US"/>
        </w:rPr>
      </w:pPr>
      <w:r w:rsidRPr="00DA65AA">
        <w:rPr>
          <w:rFonts w:ascii="Arial Narrow" w:hAnsi="Arial Narrow" w:cs="Arial"/>
          <w:color w:val="000000"/>
          <w:sz w:val="24"/>
          <w:lang w:eastAsia="en-US"/>
        </w:rPr>
        <w:t>El cupo asignado es calculado como la multiplicación del patrimonio técnico de la entidad por un porcentaje que varía entre 10% y el porcentaje de asignación que corresponde al Cupo Máximo Admisible (CMA) individual (que establece la metodología de asignación de cupos para entidades locales) como proporción del CMA Total, y se divide por la TRM vigente al momento de realizar el análisis de asignación y revisión de cupos.</w:t>
      </w:r>
    </w:p>
    <w:p w:rsidR="000F6ED3" w:rsidRPr="00DA65AA" w:rsidRDefault="000F6ED3" w:rsidP="000F6ED3">
      <w:pPr>
        <w:jc w:val="both"/>
        <w:rPr>
          <w:rFonts w:ascii="Arial Narrow" w:hAnsi="Arial Narrow" w:cs="Arial"/>
          <w:color w:val="000000"/>
          <w:sz w:val="24"/>
          <w:lang w:eastAsia="en-US"/>
        </w:rPr>
      </w:pPr>
    </w:p>
    <w:p w:rsidR="000F6ED3" w:rsidRPr="00DA65AA" w:rsidRDefault="000F6ED3" w:rsidP="000F6ED3">
      <w:pPr>
        <w:autoSpaceDE w:val="0"/>
        <w:autoSpaceDN w:val="0"/>
        <w:adjustRightInd w:val="0"/>
        <w:jc w:val="both"/>
        <w:rPr>
          <w:rFonts w:ascii="Arial Narrow" w:hAnsi="Arial Narrow" w:cs="Arial"/>
          <w:color w:val="000000"/>
          <w:sz w:val="24"/>
          <w:lang w:eastAsia="en-US"/>
        </w:rPr>
      </w:pPr>
      <w:r w:rsidRPr="00DA65AA">
        <w:rPr>
          <w:rFonts w:ascii="Arial Narrow" w:hAnsi="Arial Narrow" w:cs="Arial"/>
          <w:color w:val="000000"/>
          <w:sz w:val="24"/>
          <w:lang w:eastAsia="en-US"/>
        </w:rPr>
        <w:t>Para las entidades comisionistas se tendrán en cuenta aquellas con patrimonio técnico superior o igual a 30 mil millones de pesos que cumplan con los lineamientos de calificación crediticia definidos para la asignación de cupos para entidades nacionales. El cupo asignado corresponde a la mitad del patrimonio técnico de cada entidad.</w:t>
      </w:r>
    </w:p>
    <w:p w:rsidR="000F6ED3" w:rsidRPr="00DA65AA" w:rsidRDefault="000F6ED3" w:rsidP="000F6ED3">
      <w:pPr>
        <w:autoSpaceDE w:val="0"/>
        <w:autoSpaceDN w:val="0"/>
        <w:adjustRightInd w:val="0"/>
        <w:jc w:val="both"/>
        <w:rPr>
          <w:rFonts w:ascii="Arial Narrow" w:hAnsi="Arial Narrow" w:cs="Arial"/>
          <w:color w:val="000000"/>
          <w:sz w:val="24"/>
          <w:lang w:eastAsia="en-US"/>
        </w:rPr>
      </w:pPr>
    </w:p>
    <w:p w:rsidR="000F6ED3" w:rsidRPr="00DA65AA" w:rsidRDefault="000F6ED3" w:rsidP="000F6ED3">
      <w:pPr>
        <w:autoSpaceDE w:val="0"/>
        <w:autoSpaceDN w:val="0"/>
        <w:adjustRightInd w:val="0"/>
        <w:jc w:val="both"/>
        <w:rPr>
          <w:rFonts w:ascii="Arial Narrow" w:hAnsi="Arial Narrow" w:cs="Arial"/>
          <w:color w:val="000000"/>
          <w:sz w:val="24"/>
          <w:lang w:eastAsia="en-US"/>
        </w:rPr>
      </w:pPr>
      <w:r w:rsidRPr="00DA65AA">
        <w:rPr>
          <w:rFonts w:ascii="Arial Narrow" w:hAnsi="Arial Narrow" w:cs="Arial"/>
          <w:color w:val="000000"/>
          <w:sz w:val="24"/>
          <w:lang w:eastAsia="en-US"/>
        </w:rPr>
        <w:t>Para el Banco de la República se calculará el 1% de las reservas internacionales más recientes a la fecha de cálculo.</w:t>
      </w:r>
    </w:p>
    <w:p w:rsidR="000F6ED3" w:rsidRPr="00DA65AA" w:rsidRDefault="000F6ED3" w:rsidP="000F6ED3">
      <w:pPr>
        <w:rPr>
          <w:rFonts w:ascii="Arial Narrow" w:hAnsi="Arial Narrow"/>
          <w:lang w:val="es-CO"/>
        </w:rPr>
      </w:pPr>
    </w:p>
    <w:p w:rsidR="000F6ED3" w:rsidRPr="00DA65AA" w:rsidRDefault="000F6ED3" w:rsidP="000F6ED3">
      <w:pPr>
        <w:pStyle w:val="Ttulo3"/>
        <w:rPr>
          <w:lang w:val="es-CO"/>
        </w:rPr>
      </w:pPr>
      <w:bookmarkStart w:id="57" w:name="_Toc4596453"/>
      <w:r w:rsidRPr="00DA65AA">
        <w:rPr>
          <w:lang w:val="es-CO"/>
        </w:rPr>
        <w:t>Cupos de contraparte para operaciones Spot en el sistema transaccional MEC – Master Trader</w:t>
      </w:r>
      <w:bookmarkEnd w:id="57"/>
    </w:p>
    <w:p w:rsidR="000F6ED3" w:rsidRPr="00DA65AA" w:rsidRDefault="000F6ED3" w:rsidP="000F6ED3">
      <w:pPr>
        <w:rPr>
          <w:rFonts w:ascii="Arial Narrow" w:hAnsi="Arial Narrow"/>
          <w:lang w:val="es-CO"/>
        </w:rPr>
      </w:pPr>
    </w:p>
    <w:p w:rsidR="000F6ED3" w:rsidRPr="00DA65AA" w:rsidRDefault="000F6ED3" w:rsidP="000F6ED3">
      <w:pPr>
        <w:jc w:val="both"/>
        <w:rPr>
          <w:rFonts w:ascii="Arial Narrow" w:hAnsi="Arial Narrow" w:cs="Arial"/>
          <w:sz w:val="24"/>
          <w:szCs w:val="24"/>
        </w:rPr>
      </w:pPr>
      <w:r w:rsidRPr="00DA65AA">
        <w:rPr>
          <w:rFonts w:ascii="Arial Narrow" w:hAnsi="Arial Narrow" w:cs="Arial"/>
          <w:sz w:val="24"/>
          <w:szCs w:val="24"/>
        </w:rPr>
        <w:t>Se presentan los criterios establecidos para la asignación de cupos de entidades que transan en MEC, estos criterios están subdivididos en tres niveles:</w:t>
      </w:r>
    </w:p>
    <w:p w:rsidR="000F6ED3" w:rsidRPr="00DA65AA" w:rsidRDefault="000F6ED3" w:rsidP="000F6ED3">
      <w:pPr>
        <w:jc w:val="both"/>
        <w:rPr>
          <w:rFonts w:ascii="Arial Narrow" w:hAnsi="Arial Narrow" w:cs="Arial"/>
          <w:sz w:val="24"/>
          <w:szCs w:val="24"/>
        </w:rPr>
      </w:pPr>
    </w:p>
    <w:p w:rsidR="000F6ED3" w:rsidRPr="00DA65AA" w:rsidRDefault="000F6ED3" w:rsidP="000F6ED3">
      <w:pPr>
        <w:jc w:val="both"/>
        <w:rPr>
          <w:rFonts w:ascii="Arial Narrow" w:hAnsi="Arial Narrow" w:cs="Arial"/>
          <w:b/>
          <w:sz w:val="24"/>
          <w:szCs w:val="24"/>
        </w:rPr>
      </w:pPr>
      <w:r w:rsidRPr="00DA65AA">
        <w:rPr>
          <w:rFonts w:ascii="Arial Narrow" w:hAnsi="Arial Narrow" w:cs="Arial"/>
          <w:b/>
          <w:sz w:val="24"/>
          <w:szCs w:val="24"/>
        </w:rPr>
        <w:t>NIVEL 1:</w:t>
      </w:r>
    </w:p>
    <w:p w:rsidR="000F6ED3" w:rsidRPr="00DA65AA" w:rsidRDefault="000F6ED3" w:rsidP="000F6ED3">
      <w:pPr>
        <w:jc w:val="both"/>
        <w:rPr>
          <w:rFonts w:ascii="Arial Narrow" w:hAnsi="Arial Narrow" w:cs="Arial"/>
          <w:sz w:val="24"/>
          <w:szCs w:val="24"/>
        </w:rPr>
      </w:pPr>
    </w:p>
    <w:p w:rsidR="000F6ED3" w:rsidRPr="00DA65AA" w:rsidRDefault="000F6ED3" w:rsidP="000F6ED3">
      <w:pPr>
        <w:jc w:val="both"/>
        <w:rPr>
          <w:rFonts w:ascii="Arial Narrow" w:hAnsi="Arial Narrow" w:cs="Arial"/>
          <w:sz w:val="24"/>
          <w:szCs w:val="24"/>
        </w:rPr>
      </w:pPr>
      <w:r w:rsidRPr="00DA65AA">
        <w:rPr>
          <w:rFonts w:ascii="Arial Narrow" w:hAnsi="Arial Narrow" w:cs="Arial"/>
          <w:sz w:val="24"/>
          <w:szCs w:val="24"/>
        </w:rPr>
        <w:t>Criterios de cálculo:</w:t>
      </w:r>
    </w:p>
    <w:p w:rsidR="000F6ED3" w:rsidRPr="00DA65AA" w:rsidRDefault="000F6ED3" w:rsidP="000F6ED3">
      <w:pPr>
        <w:jc w:val="both"/>
        <w:rPr>
          <w:rFonts w:ascii="Arial Narrow" w:hAnsi="Arial Narrow" w:cs="Arial"/>
          <w:sz w:val="24"/>
          <w:szCs w:val="24"/>
        </w:rPr>
      </w:pPr>
    </w:p>
    <w:p w:rsidR="000F6ED3" w:rsidRPr="00DA65AA" w:rsidRDefault="000F6ED3" w:rsidP="00A400C2">
      <w:pPr>
        <w:rPr>
          <w:rFonts w:ascii="Arial Narrow" w:hAnsi="Arial Narrow" w:cs="Arial"/>
          <w:sz w:val="24"/>
          <w:szCs w:val="24"/>
        </w:rPr>
      </w:pPr>
      <w:r w:rsidRPr="00DA65AA">
        <w:rPr>
          <w:rFonts w:ascii="Arial Narrow" w:hAnsi="Arial Narrow" w:cs="Arial"/>
          <w:sz w:val="24"/>
          <w:szCs w:val="24"/>
        </w:rPr>
        <w:t>La entidad debe ser un creador de mercado.</w:t>
      </w:r>
    </w:p>
    <w:p w:rsidR="000F6ED3" w:rsidRPr="00DA65AA" w:rsidRDefault="000F6ED3" w:rsidP="00A400C2">
      <w:pPr>
        <w:rPr>
          <w:rFonts w:ascii="Arial Narrow" w:hAnsi="Arial Narrow" w:cs="Arial"/>
          <w:sz w:val="24"/>
          <w:szCs w:val="24"/>
        </w:rPr>
      </w:pPr>
      <w:r w:rsidRPr="00DA65AA">
        <w:rPr>
          <w:rFonts w:ascii="Arial Narrow" w:hAnsi="Arial Narrow" w:cs="Arial"/>
          <w:sz w:val="24"/>
          <w:szCs w:val="24"/>
        </w:rPr>
        <w:t>La entidad debe tener aprobación según la metodología CAMEL, la cual le asigna un cupo según los estándares establecidos, excepto para los creadores de mercado que sean comisionistas de bolsa.</w:t>
      </w:r>
    </w:p>
    <w:p w:rsidR="000F6ED3" w:rsidRPr="00DA65AA" w:rsidRDefault="000F6ED3" w:rsidP="00A400C2">
      <w:pPr>
        <w:rPr>
          <w:rFonts w:ascii="Arial Narrow" w:hAnsi="Arial Narrow" w:cs="Arial"/>
          <w:sz w:val="24"/>
          <w:szCs w:val="24"/>
        </w:rPr>
      </w:pPr>
    </w:p>
    <w:p w:rsidR="000F6ED3" w:rsidRPr="00DA65AA" w:rsidRDefault="000F6ED3" w:rsidP="00A400C2">
      <w:pPr>
        <w:rPr>
          <w:rFonts w:ascii="Arial Narrow" w:hAnsi="Arial Narrow" w:cs="Arial"/>
          <w:sz w:val="24"/>
          <w:szCs w:val="24"/>
        </w:rPr>
      </w:pPr>
      <w:r w:rsidRPr="00DA65AA">
        <w:rPr>
          <w:rFonts w:ascii="Arial Narrow" w:hAnsi="Arial Narrow" w:cs="Arial"/>
          <w:sz w:val="24"/>
          <w:szCs w:val="24"/>
        </w:rPr>
        <w:t xml:space="preserve"> Cálculos de cupo para Nivel 1:</w:t>
      </w:r>
    </w:p>
    <w:p w:rsidR="000F6ED3" w:rsidRPr="00DA65AA" w:rsidRDefault="000F6ED3" w:rsidP="00A400C2">
      <w:pPr>
        <w:rPr>
          <w:rFonts w:ascii="Arial Narrow" w:hAnsi="Arial Narrow" w:cs="Arial"/>
          <w:sz w:val="24"/>
          <w:szCs w:val="24"/>
        </w:rPr>
      </w:pPr>
    </w:p>
    <w:p w:rsidR="000F6ED3" w:rsidRPr="00DA65AA" w:rsidRDefault="000F6ED3" w:rsidP="00A400C2">
      <w:pPr>
        <w:rPr>
          <w:rFonts w:ascii="Arial Narrow" w:hAnsi="Arial Narrow" w:cs="Arial"/>
          <w:sz w:val="24"/>
          <w:szCs w:val="24"/>
        </w:rPr>
      </w:pPr>
      <w:r w:rsidRPr="00DA65AA">
        <w:rPr>
          <w:rFonts w:ascii="Arial Narrow" w:hAnsi="Arial Narrow" w:cs="Arial"/>
          <w:sz w:val="24"/>
          <w:szCs w:val="24"/>
        </w:rPr>
        <w:t xml:space="preserve">En el caso que la entidad no tenga un cupo asignado por la metodología CAMEL, se asigna el 50% del patrimonio técnico para los bancos y corporaciones. </w:t>
      </w:r>
    </w:p>
    <w:p w:rsidR="000F6ED3" w:rsidRPr="00DA65AA" w:rsidRDefault="000F6ED3" w:rsidP="00A400C2">
      <w:pPr>
        <w:rPr>
          <w:rFonts w:ascii="Arial Narrow" w:hAnsi="Arial Narrow" w:cs="Arial"/>
          <w:sz w:val="24"/>
          <w:szCs w:val="24"/>
        </w:rPr>
      </w:pPr>
    </w:p>
    <w:p w:rsidR="003E2226" w:rsidRDefault="000F6ED3" w:rsidP="00A400C2">
      <w:pPr>
        <w:rPr>
          <w:rFonts w:ascii="Arial Narrow" w:hAnsi="Arial Narrow" w:cs="Arial"/>
          <w:sz w:val="24"/>
          <w:szCs w:val="24"/>
        </w:rPr>
      </w:pPr>
      <w:r w:rsidRPr="00DA65AA">
        <w:rPr>
          <w:rFonts w:ascii="Arial Narrow" w:hAnsi="Arial Narrow" w:cs="Arial"/>
          <w:sz w:val="24"/>
          <w:szCs w:val="24"/>
        </w:rPr>
        <w:t>Si la entidad es comisionista y es creador de mercado o aspirante, se asigna el 100% de su patrimonio técnico debido a que asumen un mayor nivel de riesgo.</w:t>
      </w:r>
    </w:p>
    <w:p w:rsidR="00171A99" w:rsidRDefault="00171A99" w:rsidP="00A400C2">
      <w:pPr>
        <w:rPr>
          <w:rFonts w:ascii="Arial Narrow" w:hAnsi="Arial Narrow" w:cs="Arial"/>
          <w:sz w:val="24"/>
          <w:szCs w:val="24"/>
        </w:rPr>
      </w:pPr>
    </w:p>
    <w:p w:rsidR="00171A99" w:rsidRPr="00DA65AA" w:rsidRDefault="00171A99" w:rsidP="00A400C2">
      <w:pPr>
        <w:rPr>
          <w:rFonts w:ascii="Arial Narrow" w:hAnsi="Arial Narrow" w:cs="Arial"/>
          <w:sz w:val="24"/>
          <w:szCs w:val="24"/>
        </w:rPr>
      </w:pPr>
    </w:p>
    <w:p w:rsidR="000F6ED3" w:rsidRPr="00DA65AA" w:rsidRDefault="000F6ED3" w:rsidP="00A400C2">
      <w:pPr>
        <w:rPr>
          <w:rFonts w:ascii="Arial Narrow" w:hAnsi="Arial Narrow" w:cs="Arial"/>
          <w:sz w:val="24"/>
          <w:szCs w:val="24"/>
        </w:rPr>
      </w:pPr>
    </w:p>
    <w:p w:rsidR="000F6ED3" w:rsidRPr="00DA65AA" w:rsidRDefault="000F6ED3" w:rsidP="00A400C2">
      <w:pPr>
        <w:rPr>
          <w:rFonts w:ascii="Arial Narrow" w:hAnsi="Arial Narrow" w:cs="Arial"/>
          <w:b/>
          <w:sz w:val="24"/>
          <w:szCs w:val="24"/>
        </w:rPr>
      </w:pPr>
      <w:r w:rsidRPr="00DA65AA">
        <w:rPr>
          <w:rFonts w:ascii="Arial Narrow" w:hAnsi="Arial Narrow" w:cs="Arial"/>
          <w:b/>
          <w:sz w:val="24"/>
          <w:szCs w:val="24"/>
        </w:rPr>
        <w:lastRenderedPageBreak/>
        <w:t>NIVEL 2:</w:t>
      </w:r>
    </w:p>
    <w:p w:rsidR="000F6ED3" w:rsidRPr="00DA65AA" w:rsidRDefault="000F6ED3" w:rsidP="00A400C2">
      <w:pPr>
        <w:rPr>
          <w:rFonts w:ascii="Arial Narrow" w:hAnsi="Arial Narrow" w:cs="Arial"/>
          <w:sz w:val="24"/>
          <w:szCs w:val="24"/>
        </w:rPr>
      </w:pPr>
    </w:p>
    <w:p w:rsidR="000F6ED3" w:rsidRPr="00DA65AA" w:rsidRDefault="000F6ED3" w:rsidP="00A400C2">
      <w:pPr>
        <w:rPr>
          <w:rFonts w:ascii="Arial Narrow" w:hAnsi="Arial Narrow" w:cs="Arial"/>
          <w:sz w:val="24"/>
          <w:szCs w:val="24"/>
        </w:rPr>
      </w:pPr>
      <w:r w:rsidRPr="00DA65AA">
        <w:rPr>
          <w:rFonts w:ascii="Arial Narrow" w:hAnsi="Arial Narrow" w:cs="Arial"/>
          <w:sz w:val="24"/>
          <w:szCs w:val="24"/>
        </w:rPr>
        <w:t>Ajustes al Cálculo de Cupo:</w:t>
      </w:r>
    </w:p>
    <w:p w:rsidR="000F6ED3" w:rsidRPr="00DA65AA" w:rsidRDefault="000F6ED3" w:rsidP="00A400C2">
      <w:pPr>
        <w:rPr>
          <w:rFonts w:ascii="Arial Narrow" w:hAnsi="Arial Narrow" w:cs="Arial"/>
          <w:sz w:val="24"/>
          <w:szCs w:val="24"/>
        </w:rPr>
      </w:pPr>
    </w:p>
    <w:p w:rsidR="000F6ED3" w:rsidRPr="00DA65AA" w:rsidRDefault="000F6ED3" w:rsidP="00A400C2">
      <w:pPr>
        <w:rPr>
          <w:rFonts w:ascii="Arial Narrow" w:hAnsi="Arial Narrow" w:cs="Arial"/>
          <w:sz w:val="24"/>
          <w:szCs w:val="24"/>
        </w:rPr>
      </w:pPr>
      <w:r w:rsidRPr="00DA65AA">
        <w:rPr>
          <w:rFonts w:ascii="Arial Narrow" w:hAnsi="Arial Narrow" w:cs="Arial"/>
          <w:sz w:val="24"/>
          <w:szCs w:val="24"/>
        </w:rPr>
        <w:t>Cuando la entidad es comisionista, debe ser creador de mercado o aspirante, para estas entidades se asigna el 50% de su patrimonio técnico debido a que asumen un mayor nivel de riesgo.</w:t>
      </w:r>
    </w:p>
    <w:p w:rsidR="000F6ED3" w:rsidRPr="00DA65AA" w:rsidRDefault="000F6ED3" w:rsidP="00A400C2">
      <w:pPr>
        <w:rPr>
          <w:rFonts w:ascii="Arial Narrow" w:hAnsi="Arial Narrow" w:cs="Arial"/>
          <w:sz w:val="24"/>
          <w:szCs w:val="24"/>
        </w:rPr>
      </w:pPr>
    </w:p>
    <w:p w:rsidR="000F6ED3" w:rsidRPr="00DA65AA" w:rsidRDefault="000F6ED3" w:rsidP="00A400C2">
      <w:pPr>
        <w:rPr>
          <w:rFonts w:ascii="Arial Narrow" w:hAnsi="Arial Narrow" w:cs="Arial"/>
          <w:sz w:val="24"/>
          <w:szCs w:val="24"/>
        </w:rPr>
      </w:pPr>
      <w:r w:rsidRPr="00DA65AA">
        <w:rPr>
          <w:rFonts w:ascii="Arial Narrow" w:hAnsi="Arial Narrow" w:cs="Arial"/>
          <w:sz w:val="24"/>
          <w:szCs w:val="24"/>
        </w:rPr>
        <w:t>Se establece la siguiente función para determinar el cupo de acuerdo con el ajuste del Cálculo descrito para este Nivel:</w:t>
      </w:r>
    </w:p>
    <w:p w:rsidR="000F6ED3" w:rsidRPr="00DA65AA" w:rsidRDefault="000F6ED3" w:rsidP="00A400C2">
      <w:pPr>
        <w:rPr>
          <w:rFonts w:ascii="Arial Narrow" w:hAnsi="Arial Narrow"/>
        </w:rPr>
      </w:pPr>
    </w:p>
    <w:p w:rsidR="000F6ED3" w:rsidRPr="00DA65AA" w:rsidRDefault="000F6ED3" w:rsidP="00A400C2">
      <w:pPr>
        <w:rPr>
          <w:rFonts w:ascii="Arial Narrow" w:hAnsi="Arial Narrow"/>
        </w:rPr>
      </w:pPr>
      <m:oMathPara>
        <m:oMath>
          <m:r>
            <m:rPr>
              <m:nor/>
            </m:rPr>
            <w:rPr>
              <w:rFonts w:ascii="Arial Narrow" w:hAnsi="Arial Narrow"/>
              <w:i/>
            </w:rPr>
            <m:t>Cupo Nivel 2</m:t>
          </m:r>
          <m:r>
            <w:rPr>
              <w:rFonts w:ascii="Cambria Math" w:hAnsi="Cambria Math"/>
            </w:rPr>
            <m:t>=</m:t>
          </m:r>
          <m:func>
            <m:funcPr>
              <m:ctrlPr>
                <w:rPr>
                  <w:rFonts w:ascii="Cambria Math" w:hAnsi="Cambria Math"/>
                  <w:i/>
                </w:rPr>
              </m:ctrlPr>
            </m:funcPr>
            <m:fName>
              <m:r>
                <w:rPr>
                  <w:rFonts w:ascii="Cambria Math" w:hAnsi="Cambria Math"/>
                </w:rPr>
                <m:t>min</m:t>
              </m:r>
            </m:fName>
            <m:e>
              <m:d>
                <m:dPr>
                  <m:begChr m:val="{"/>
                  <m:endChr m:val="}"/>
                  <m:ctrlPr>
                    <w:rPr>
                      <w:rFonts w:ascii="Cambria Math" w:hAnsi="Cambria Math"/>
                      <w:i/>
                    </w:rPr>
                  </m:ctrlPr>
                </m:dPr>
                <m:e>
                  <m:r>
                    <w:rPr>
                      <w:rFonts w:ascii="Cambria Math" w:hAnsi="Cambria Math"/>
                    </w:rPr>
                    <m:t xml:space="preserve"> 280 </m:t>
                  </m:r>
                  <m:r>
                    <m:rPr>
                      <m:nor/>
                    </m:rPr>
                    <w:rPr>
                      <w:rFonts w:ascii="Arial Narrow" w:hAnsi="Arial Narrow"/>
                      <w:i/>
                    </w:rPr>
                    <m:t>mm; Cupo Ajustado en Nivel 2</m:t>
                  </m:r>
                </m:e>
              </m:d>
            </m:e>
          </m:func>
        </m:oMath>
      </m:oMathPara>
    </w:p>
    <w:p w:rsidR="000F6ED3" w:rsidRPr="00DA65AA" w:rsidRDefault="000F6ED3" w:rsidP="00A400C2">
      <w:pPr>
        <w:rPr>
          <w:rFonts w:ascii="Arial Narrow" w:hAnsi="Arial Narrow"/>
        </w:rPr>
      </w:pPr>
    </w:p>
    <w:p w:rsidR="000F6ED3" w:rsidRPr="00DA65AA" w:rsidRDefault="000F6ED3" w:rsidP="00A400C2">
      <w:pPr>
        <w:rPr>
          <w:rFonts w:ascii="Arial Narrow" w:hAnsi="Arial Narrow" w:cs="Arial"/>
          <w:b/>
          <w:sz w:val="24"/>
          <w:szCs w:val="24"/>
        </w:rPr>
      </w:pPr>
      <w:r w:rsidRPr="00DA65AA">
        <w:rPr>
          <w:rFonts w:ascii="Arial Narrow" w:hAnsi="Arial Narrow" w:cs="Arial"/>
          <w:b/>
          <w:sz w:val="24"/>
          <w:szCs w:val="24"/>
        </w:rPr>
        <w:t>NIVEL 3:</w:t>
      </w:r>
    </w:p>
    <w:p w:rsidR="000F6ED3" w:rsidRPr="00DA65AA" w:rsidRDefault="000F6ED3" w:rsidP="00A400C2">
      <w:pPr>
        <w:rPr>
          <w:rFonts w:ascii="Arial Narrow" w:hAnsi="Arial Narrow" w:cs="Arial"/>
          <w:sz w:val="24"/>
          <w:szCs w:val="24"/>
        </w:rPr>
      </w:pPr>
    </w:p>
    <w:p w:rsidR="000F6ED3" w:rsidRPr="00DA65AA" w:rsidRDefault="000F6ED3" w:rsidP="00A400C2">
      <w:pPr>
        <w:rPr>
          <w:rFonts w:ascii="Arial Narrow" w:hAnsi="Arial Narrow" w:cs="Arial"/>
          <w:sz w:val="24"/>
          <w:szCs w:val="24"/>
        </w:rPr>
      </w:pPr>
      <w:r w:rsidRPr="00DA65AA">
        <w:rPr>
          <w:rFonts w:ascii="Arial Narrow" w:hAnsi="Arial Narrow" w:cs="Arial"/>
          <w:sz w:val="24"/>
          <w:szCs w:val="24"/>
        </w:rPr>
        <w:t>Se establece un criterio de ponderación por ranking de creadores de mercado, para determinar este valor se utiliza la calificación de la entidad de los 3 últimos años.</w:t>
      </w:r>
    </w:p>
    <w:p w:rsidR="000F6ED3" w:rsidRPr="00DA65AA" w:rsidRDefault="000F6ED3" w:rsidP="00A400C2">
      <w:pPr>
        <w:rPr>
          <w:rFonts w:ascii="Arial Narrow" w:hAnsi="Arial Narrow" w:cs="Arial"/>
          <w:sz w:val="24"/>
          <w:szCs w:val="24"/>
        </w:rPr>
      </w:pPr>
    </w:p>
    <w:p w:rsidR="000F6ED3" w:rsidRPr="00DA65AA" w:rsidRDefault="000F6ED3" w:rsidP="00A400C2">
      <w:pPr>
        <w:rPr>
          <w:rFonts w:ascii="Arial Narrow" w:hAnsi="Arial Narrow" w:cs="Arial"/>
          <w:sz w:val="24"/>
          <w:szCs w:val="24"/>
        </w:rPr>
      </w:pPr>
      <w:r w:rsidRPr="00DA65AA">
        <w:rPr>
          <w:rFonts w:ascii="Arial Narrow" w:hAnsi="Arial Narrow" w:cs="Arial"/>
          <w:sz w:val="24"/>
          <w:szCs w:val="24"/>
        </w:rPr>
        <w:t>A continuación, se calcula la diferencia entre la calificación de la entidad y la máxima calificación posible (100).</w:t>
      </w:r>
    </w:p>
    <w:p w:rsidR="000F6ED3" w:rsidRPr="00DA65AA" w:rsidRDefault="000F6ED3" w:rsidP="00A400C2">
      <w:pPr>
        <w:rPr>
          <w:rFonts w:ascii="Arial Narrow" w:hAnsi="Arial Narrow" w:cs="Arial"/>
          <w:sz w:val="24"/>
          <w:szCs w:val="24"/>
        </w:rPr>
      </w:pPr>
      <m:oMathPara>
        <m:oMath>
          <m:r>
            <w:rPr>
              <w:rFonts w:ascii="Cambria Math" w:hAnsi="Cambria Math" w:cs="Arial"/>
              <w:sz w:val="24"/>
              <w:szCs w:val="24"/>
            </w:rPr>
            <m:t>i</m:t>
          </m:r>
          <m:r>
            <m:rPr>
              <m:sty m:val="p"/>
            </m:rPr>
            <w:rPr>
              <w:rFonts w:ascii="Cambria Math" w:hAnsi="Cambria Math" w:cs="Arial"/>
              <w:sz w:val="24"/>
              <w:szCs w:val="24"/>
            </w:rPr>
            <m:t>=100-</m:t>
          </m:r>
          <m:r>
            <m:rPr>
              <m:nor/>
            </m:rPr>
            <w:rPr>
              <w:rFonts w:ascii="Arial Narrow" w:hAnsi="Arial Narrow" w:cs="Arial"/>
              <w:sz w:val="24"/>
              <w:szCs w:val="24"/>
            </w:rPr>
            <m:t>puntaje de la entidad</m:t>
          </m:r>
        </m:oMath>
      </m:oMathPara>
    </w:p>
    <w:p w:rsidR="00A400C2" w:rsidRPr="00DA65AA" w:rsidRDefault="00A400C2" w:rsidP="00A400C2">
      <w:pPr>
        <w:rPr>
          <w:rFonts w:ascii="Arial Narrow" w:hAnsi="Arial Narrow" w:cs="Arial"/>
          <w:sz w:val="24"/>
          <w:szCs w:val="24"/>
        </w:rPr>
      </w:pPr>
    </w:p>
    <w:p w:rsidR="000F6ED3" w:rsidRPr="00DA65AA" w:rsidRDefault="000F6ED3" w:rsidP="00A400C2">
      <w:pPr>
        <w:rPr>
          <w:rFonts w:ascii="Arial Narrow" w:hAnsi="Arial Narrow" w:cs="Arial"/>
          <w:sz w:val="24"/>
          <w:szCs w:val="24"/>
        </w:rPr>
      </w:pPr>
      <w:r w:rsidRPr="00DA65AA">
        <w:rPr>
          <w:rFonts w:ascii="Arial Narrow" w:hAnsi="Arial Narrow" w:cs="Arial"/>
          <w:sz w:val="24"/>
          <w:szCs w:val="24"/>
        </w:rPr>
        <w:t>Con el fin de aumentar el cupo de aquellas entidades que por su experiencia en el mercado ameritan un aumento de su cupo, se utiliza un factor de decaimiento que toma como insumo la diferencia entre la máxima calificación y la calificación de la entidad.</w:t>
      </w:r>
    </w:p>
    <w:p w:rsidR="00A400C2" w:rsidRPr="00DA65AA" w:rsidRDefault="00A400C2" w:rsidP="00A400C2">
      <w:pPr>
        <w:rPr>
          <w:rFonts w:ascii="Arial Narrow" w:hAnsi="Arial Narrow" w:cs="Arial"/>
          <w:sz w:val="24"/>
          <w:szCs w:val="24"/>
        </w:rPr>
      </w:pPr>
    </w:p>
    <w:p w:rsidR="000F6ED3" w:rsidRPr="00DA65AA" w:rsidRDefault="000F6ED3" w:rsidP="00A400C2">
      <w:pPr>
        <w:rPr>
          <w:rFonts w:ascii="Arial Narrow" w:hAnsi="Arial Narrow"/>
        </w:rPr>
      </w:pPr>
      <m:oMathPara>
        <m:oMath>
          <m:r>
            <w:rPr>
              <w:rFonts w:ascii="Cambria Math" w:hAnsi="Cambria Math"/>
            </w:rPr>
            <m:t>λ</m:t>
          </m:r>
          <m:r>
            <m:rPr>
              <m:sty m:val="p"/>
            </m:rPr>
            <w:rPr>
              <w:rFonts w:ascii="Cambria Math" w:hAnsi="Cambria Math"/>
            </w:rPr>
            <m:t>=</m:t>
          </m:r>
          <m:sSup>
            <m:sSupPr>
              <m:ctrlPr>
                <w:rPr>
                  <w:rFonts w:ascii="Cambria Math" w:hAnsi="Cambria Math"/>
                </w:rPr>
              </m:ctrlPr>
            </m:sSupPr>
            <m:e>
              <m:r>
                <m:rPr>
                  <m:sty m:val="p"/>
                </m:rPr>
                <w:rPr>
                  <w:rFonts w:ascii="Cambria Math" w:hAnsi="Cambria Math"/>
                </w:rPr>
                <m:t>0.99</m:t>
              </m:r>
            </m:e>
            <m:sup>
              <m:r>
                <w:rPr>
                  <w:rFonts w:ascii="Cambria Math" w:hAnsi="Cambria Math"/>
                </w:rPr>
                <m:t>i</m:t>
              </m:r>
              <m:r>
                <m:rPr>
                  <m:sty m:val="p"/>
                </m:rPr>
                <w:rPr>
                  <w:rFonts w:ascii="Cambria Math" w:hAnsi="Cambria Math"/>
                </w:rPr>
                <m:t>-1</m:t>
              </m:r>
            </m:sup>
          </m:sSup>
          <m:r>
            <m:rPr>
              <m:sty m:val="p"/>
            </m:rPr>
            <w:rPr>
              <w:rFonts w:ascii="Cambria Math" w:hAnsi="Cambria Math"/>
            </w:rPr>
            <m:t xml:space="preserve"> </m:t>
          </m:r>
        </m:oMath>
      </m:oMathPara>
    </w:p>
    <w:p w:rsidR="00A400C2" w:rsidRPr="00DA65AA" w:rsidRDefault="00A400C2" w:rsidP="00A400C2">
      <w:pPr>
        <w:rPr>
          <w:rFonts w:ascii="Arial Narrow" w:hAnsi="Arial Narrow"/>
        </w:rPr>
      </w:pPr>
    </w:p>
    <w:p w:rsidR="000F6ED3" w:rsidRPr="00DA65AA" w:rsidRDefault="000F6ED3" w:rsidP="00A400C2">
      <w:pPr>
        <w:rPr>
          <w:rFonts w:ascii="Arial Narrow" w:hAnsi="Arial Narrow" w:cs="Arial"/>
          <w:sz w:val="24"/>
          <w:szCs w:val="24"/>
        </w:rPr>
      </w:pPr>
      <w:r w:rsidRPr="00DA65AA">
        <w:rPr>
          <w:rFonts w:ascii="Arial Narrow" w:eastAsiaTheme="minorHAnsi" w:hAnsi="Arial Narrow"/>
        </w:rPr>
        <w:t xml:space="preserve"> </w:t>
      </w:r>
      <w:r w:rsidRPr="00DA65AA">
        <w:rPr>
          <w:rFonts w:ascii="Arial Narrow" w:hAnsi="Arial Narrow" w:cs="Arial"/>
          <w:sz w:val="24"/>
          <w:szCs w:val="24"/>
        </w:rPr>
        <w:t>Finalmente se establece una nueva ecuación para determinar el cupo de la entidad:</w:t>
      </w:r>
    </w:p>
    <w:p w:rsidR="00A400C2" w:rsidRPr="00DA65AA" w:rsidRDefault="00A400C2" w:rsidP="00A400C2">
      <w:pPr>
        <w:rPr>
          <w:rFonts w:ascii="Arial Narrow" w:hAnsi="Arial Narrow" w:cs="Arial"/>
          <w:sz w:val="24"/>
          <w:szCs w:val="24"/>
        </w:rPr>
      </w:pPr>
    </w:p>
    <w:p w:rsidR="00262411" w:rsidRPr="00DA65AA" w:rsidRDefault="000F6ED3" w:rsidP="00A400C2">
      <w:pPr>
        <w:rPr>
          <w:rFonts w:ascii="Arial Narrow" w:eastAsiaTheme="minorEastAsia" w:hAnsi="Arial Narrow"/>
          <w:i/>
        </w:rPr>
      </w:pPr>
      <m:oMathPara>
        <m:oMath>
          <m:r>
            <m:rPr>
              <m:nor/>
            </m:rPr>
            <w:rPr>
              <w:rFonts w:ascii="Arial Narrow" w:hAnsi="Arial Narrow"/>
              <w:i/>
            </w:rPr>
            <m:t>Cupo Nivel 3=</m:t>
          </m:r>
          <m:func>
            <m:funcPr>
              <m:ctrlPr>
                <w:rPr>
                  <w:rFonts w:ascii="Cambria Math" w:hAnsi="Cambria Math"/>
                  <w:i/>
                </w:rPr>
              </m:ctrlPr>
            </m:funcPr>
            <m:fName>
              <m:r>
                <m:rPr>
                  <m:nor/>
                </m:rPr>
                <w:rPr>
                  <w:rFonts w:ascii="Arial Narrow" w:hAnsi="Arial Narrow"/>
                  <w:i/>
                </w:rPr>
                <m:t>min</m:t>
              </m:r>
            </m:fName>
            <m:e>
              <m:r>
                <m:rPr>
                  <m:nor/>
                </m:rPr>
                <w:rPr>
                  <w:rFonts w:ascii="Arial Narrow" w:hAnsi="Arial Narrow"/>
                  <w:i/>
                </w:rPr>
                <m:t>{Cupo Nivel 1× λ; Cupo Nivel 2}</m:t>
              </m:r>
            </m:e>
          </m:func>
        </m:oMath>
      </m:oMathPara>
    </w:p>
    <w:p w:rsidR="00A400C2" w:rsidRPr="00DA65AA" w:rsidRDefault="00A400C2" w:rsidP="00A400C2">
      <w:pPr>
        <w:rPr>
          <w:rFonts w:ascii="Arial Narrow" w:eastAsiaTheme="minorEastAsia" w:hAnsi="Arial Narrow"/>
        </w:rPr>
      </w:pPr>
    </w:p>
    <w:p w:rsidR="005A0EA1" w:rsidRPr="00DA65AA" w:rsidRDefault="005A0EA1" w:rsidP="005A0EA1">
      <w:pPr>
        <w:pStyle w:val="Ttulo2"/>
        <w:rPr>
          <w:rFonts w:eastAsiaTheme="minorEastAsia"/>
        </w:rPr>
      </w:pPr>
      <w:bookmarkStart w:id="58" w:name="_Toc4596454"/>
      <w:r w:rsidRPr="00DA65AA">
        <w:rPr>
          <w:rFonts w:eastAsiaTheme="minorEastAsia"/>
        </w:rPr>
        <w:t>Asignación de cupos para entidades extranjeras</w:t>
      </w:r>
      <w:bookmarkEnd w:id="58"/>
    </w:p>
    <w:p w:rsidR="005A0EA1" w:rsidRPr="00DA65AA" w:rsidRDefault="005A0EA1" w:rsidP="005A0EA1">
      <w:pPr>
        <w:pStyle w:val="Ttulo2"/>
        <w:numPr>
          <w:ilvl w:val="0"/>
          <w:numId w:val="0"/>
        </w:numPr>
        <w:rPr>
          <w:rFonts w:eastAsiaTheme="minorEastAsia"/>
        </w:rPr>
      </w:pPr>
    </w:p>
    <w:p w:rsidR="005A0EA1" w:rsidRPr="00DA65AA" w:rsidRDefault="005A0EA1" w:rsidP="00E342A2">
      <w:pPr>
        <w:jc w:val="both"/>
        <w:rPr>
          <w:rFonts w:ascii="Arial Narrow" w:hAnsi="Arial Narrow" w:cs="Arial"/>
          <w:b/>
          <w:sz w:val="24"/>
        </w:rPr>
      </w:pPr>
      <w:r w:rsidRPr="00DA65AA">
        <w:rPr>
          <w:rFonts w:ascii="Arial Narrow" w:hAnsi="Arial Narrow" w:cs="Arial"/>
          <w:sz w:val="24"/>
        </w:rPr>
        <w:t>El cupo asignado para las operaciones con entidades extranjeras se calcula para la celebración de Time Deposits y Notice Deposits. En primer lugar se define el cupo disponible para asignar y los bancos que serán objeto de estudio para la asignación de cupos. Luego de validar que los bancos cumplen con el nivel mínimo de calificación crediticia tanto de largo como de corto plazo se aplica la metodología basada en las cotizaciones de los CDS de cada entidad y las clasifica en un grupo entre 1 - 4 de acuerdo a la</w:t>
      </w:r>
      <w:r w:rsidRPr="00DA65AA">
        <w:rPr>
          <w:rFonts w:ascii="Arial Narrow" w:hAnsi="Arial Narrow" w:cs="Arial"/>
          <w:b/>
          <w:sz w:val="24"/>
        </w:rPr>
        <w:t xml:space="preserve"> </w:t>
      </w:r>
      <w:r w:rsidRPr="00DA65AA">
        <w:rPr>
          <w:rFonts w:ascii="Arial Narrow" w:hAnsi="Arial Narrow" w:cs="Arial"/>
          <w:sz w:val="24"/>
        </w:rPr>
        <w:t>Curva de Probabilidad de Solvencia (CPS) y con ella un factor de decaimiento Lambda (intensidad de default).</w:t>
      </w:r>
      <w:r w:rsidRPr="00DA65AA">
        <w:rPr>
          <w:rFonts w:ascii="Arial Narrow" w:hAnsi="Arial Narrow" w:cs="Arial"/>
          <w:b/>
          <w:sz w:val="24"/>
        </w:rPr>
        <w:t xml:space="preserve"> </w:t>
      </w:r>
    </w:p>
    <w:p w:rsidR="005A0EA1" w:rsidRPr="00DA65AA" w:rsidRDefault="005A0EA1" w:rsidP="00E342A2">
      <w:pPr>
        <w:jc w:val="both"/>
        <w:rPr>
          <w:rFonts w:ascii="Arial Narrow" w:hAnsi="Arial Narrow" w:cs="Arial"/>
          <w:b/>
          <w:sz w:val="24"/>
        </w:rPr>
      </w:pPr>
    </w:p>
    <w:p w:rsidR="005A0EA1" w:rsidRPr="00DA65AA" w:rsidRDefault="005A0EA1" w:rsidP="00E342A2">
      <w:pPr>
        <w:jc w:val="both"/>
        <w:rPr>
          <w:rFonts w:ascii="Arial Narrow" w:hAnsi="Arial Narrow" w:cs="Arial"/>
          <w:sz w:val="24"/>
        </w:rPr>
      </w:pPr>
      <w:r w:rsidRPr="00DA65AA">
        <w:rPr>
          <w:rFonts w:ascii="Arial Narrow" w:hAnsi="Arial Narrow" w:cs="Arial"/>
          <w:sz w:val="24"/>
        </w:rPr>
        <w:t>Dependiendo la calificación crediticia de cada entidad se define un Benchmark como la mediana de las intensidades de los bancos elegidos en la muestra.</w:t>
      </w:r>
    </w:p>
    <w:p w:rsidR="005A0EA1" w:rsidRPr="00DA65AA" w:rsidRDefault="005A0EA1" w:rsidP="00E342A2">
      <w:pPr>
        <w:contextualSpacing/>
        <w:jc w:val="both"/>
        <w:rPr>
          <w:rFonts w:ascii="Arial Narrow" w:hAnsi="Arial Narrow" w:cs="Arial"/>
          <w:sz w:val="24"/>
        </w:rPr>
      </w:pPr>
    </w:p>
    <w:p w:rsidR="005A0EA1" w:rsidRPr="00DA65AA" w:rsidRDefault="005A0EA1" w:rsidP="00E342A2">
      <w:pPr>
        <w:jc w:val="both"/>
        <w:rPr>
          <w:rFonts w:ascii="Arial Narrow" w:hAnsi="Arial Narrow" w:cs="Arial"/>
          <w:sz w:val="24"/>
        </w:rPr>
      </w:pPr>
      <w:r w:rsidRPr="00DA65AA">
        <w:rPr>
          <w:rFonts w:ascii="Arial Narrow" w:hAnsi="Arial Narrow" w:cs="Arial"/>
          <w:sz w:val="24"/>
        </w:rPr>
        <w:lastRenderedPageBreak/>
        <w:t>Teniendo el benchmark de intensidad de default B* y el lambda para cada uno de los bancos por analizar, se calcula una calificación, mediante la siguiente fórmula:</w:t>
      </w:r>
    </w:p>
    <w:p w:rsidR="005A0EA1" w:rsidRPr="00DA65AA" w:rsidRDefault="005A0EA1" w:rsidP="005A0EA1">
      <w:pPr>
        <w:pStyle w:val="Prrafodelista"/>
        <w:rPr>
          <w:rFonts w:ascii="Arial Narrow" w:hAnsi="Arial Narrow" w:cs="Arial"/>
          <w:b/>
          <w:szCs w:val="24"/>
          <w:lang w:val="es-CO"/>
        </w:rPr>
      </w:pPr>
      <w:r w:rsidRPr="00DA65AA">
        <w:rPr>
          <w:rFonts w:ascii="Arial Narrow" w:hAnsi="Arial Narrow" w:cs="Arial"/>
          <w:b/>
          <w:szCs w:val="24"/>
          <w:lang w:val="es-CO"/>
        </w:rPr>
        <w:t xml:space="preserve"> </w:t>
      </w:r>
    </w:p>
    <w:p w:rsidR="005A0EA1" w:rsidRPr="00DA65AA" w:rsidRDefault="00691AE4" w:rsidP="005A0EA1">
      <w:pPr>
        <w:pStyle w:val="Prrafodelista"/>
        <w:jc w:val="center"/>
        <w:rPr>
          <w:rFonts w:ascii="Arial Narrow" w:hAnsi="Arial Narrow" w:cs="Arial"/>
          <w:szCs w:val="24"/>
          <w:lang w:val="es-CO"/>
        </w:rPr>
      </w:pPr>
      <m:oMathPara>
        <m:oMath>
          <m:sSub>
            <m:sSubPr>
              <m:ctrlPr>
                <w:rPr>
                  <w:rFonts w:ascii="Cambria Math" w:hAnsi="Cambria Math" w:cs="Arial"/>
                  <w:i/>
                  <w:sz w:val="22"/>
                  <w:szCs w:val="24"/>
                  <w:lang w:val="es-CO"/>
                </w:rPr>
              </m:ctrlPr>
            </m:sSubPr>
            <m:e>
              <m:r>
                <w:rPr>
                  <w:rFonts w:ascii="Cambria Math" w:hAnsi="Cambria Math" w:cs="Arial"/>
                  <w:sz w:val="22"/>
                  <w:szCs w:val="24"/>
                  <w:lang w:val="es-CO"/>
                </w:rPr>
                <m:t>C</m:t>
              </m:r>
            </m:e>
            <m:sub>
              <m:r>
                <w:rPr>
                  <w:rFonts w:ascii="Cambria Math" w:hAnsi="Cambria Math" w:cs="Arial"/>
                  <w:sz w:val="22"/>
                  <w:szCs w:val="24"/>
                  <w:lang w:val="es-CO"/>
                </w:rPr>
                <m:t>i</m:t>
              </m:r>
            </m:sub>
          </m:sSub>
          <m:r>
            <w:rPr>
              <w:rFonts w:ascii="Cambria Math" w:hAnsi="Cambria Math" w:cs="Arial"/>
              <w:sz w:val="22"/>
              <w:szCs w:val="24"/>
              <w:lang w:val="es-CO"/>
            </w:rPr>
            <m:t>=</m:t>
          </m:r>
          <m:f>
            <m:fPr>
              <m:ctrlPr>
                <w:rPr>
                  <w:rFonts w:ascii="Cambria Math" w:hAnsi="Cambria Math" w:cs="Arial"/>
                  <w:i/>
                  <w:sz w:val="22"/>
                  <w:szCs w:val="24"/>
                  <w:lang w:val="es-CO"/>
                </w:rPr>
              </m:ctrlPr>
            </m:fPr>
            <m:num>
              <m:r>
                <w:rPr>
                  <w:rFonts w:ascii="Cambria Math" w:hAnsi="Cambria Math" w:cs="Arial"/>
                  <w:sz w:val="22"/>
                  <w:szCs w:val="24"/>
                  <w:lang w:val="es-CO"/>
                </w:rPr>
                <m:t>2</m:t>
              </m:r>
            </m:num>
            <m:den>
              <m:r>
                <w:rPr>
                  <w:rFonts w:ascii="Cambria Math" w:hAnsi="Cambria Math" w:cs="Arial"/>
                  <w:sz w:val="22"/>
                  <w:szCs w:val="24"/>
                  <w:lang w:val="es-CO"/>
                </w:rPr>
                <m:t xml:space="preserve">1+(k </m:t>
              </m:r>
              <m:sSup>
                <m:sSupPr>
                  <m:ctrlPr>
                    <w:rPr>
                      <w:rFonts w:ascii="Cambria Math" w:hAnsi="Cambria Math" w:cs="Arial"/>
                      <w:i/>
                      <w:sz w:val="22"/>
                      <w:szCs w:val="24"/>
                      <w:lang w:val="es-CO"/>
                    </w:rPr>
                  </m:ctrlPr>
                </m:sSupPr>
                <m:e>
                  <m:r>
                    <m:rPr>
                      <m:sty m:val="p"/>
                    </m:rPr>
                    <w:rPr>
                      <w:rFonts w:ascii="Cambria Math" w:hAnsi="Cambria Math" w:cs="Arial"/>
                      <w:sz w:val="22"/>
                      <w:szCs w:val="24"/>
                      <w:lang w:val="es-CO"/>
                    </w:rPr>
                    <m:t>exp⁡</m:t>
                  </m:r>
                  <m:r>
                    <w:rPr>
                      <w:rFonts w:ascii="Cambria Math" w:hAnsi="Cambria Math" w:cs="Arial"/>
                      <w:sz w:val="22"/>
                      <w:szCs w:val="24"/>
                      <w:lang w:val="es-CO"/>
                    </w:rPr>
                    <m:t>)</m:t>
                  </m:r>
                </m:e>
                <m:sup>
                  <m:f>
                    <m:fPr>
                      <m:ctrlPr>
                        <w:rPr>
                          <w:rFonts w:ascii="Cambria Math" w:hAnsi="Cambria Math" w:cs="Arial"/>
                          <w:i/>
                          <w:sz w:val="22"/>
                          <w:szCs w:val="24"/>
                          <w:lang w:val="es-CO"/>
                        </w:rPr>
                      </m:ctrlPr>
                    </m:fPr>
                    <m:num>
                      <m:sSub>
                        <m:sSubPr>
                          <m:ctrlPr>
                            <w:rPr>
                              <w:rFonts w:ascii="Cambria Math" w:hAnsi="Cambria Math" w:cs="Arial"/>
                              <w:i/>
                              <w:sz w:val="22"/>
                              <w:szCs w:val="24"/>
                              <w:lang w:val="es-CO"/>
                            </w:rPr>
                          </m:ctrlPr>
                        </m:sSubPr>
                        <m:e>
                          <m:r>
                            <w:rPr>
                              <w:rFonts w:ascii="Cambria Math" w:hAnsi="Cambria Math" w:cs="Arial"/>
                              <w:sz w:val="22"/>
                              <w:szCs w:val="24"/>
                              <w:lang w:val="es-CO"/>
                            </w:rPr>
                            <m:t>λ</m:t>
                          </m:r>
                        </m:e>
                        <m:sub>
                          <m:r>
                            <w:rPr>
                              <w:rFonts w:ascii="Cambria Math" w:hAnsi="Cambria Math" w:cs="Arial"/>
                              <w:sz w:val="22"/>
                              <w:szCs w:val="24"/>
                              <w:lang w:val="es-CO"/>
                            </w:rPr>
                            <m:t>i</m:t>
                          </m:r>
                        </m:sub>
                      </m:sSub>
                      <m:r>
                        <w:rPr>
                          <w:rFonts w:ascii="Cambria Math" w:hAnsi="Cambria Math" w:cs="Arial"/>
                          <w:sz w:val="22"/>
                          <w:szCs w:val="24"/>
                          <w:lang w:val="es-CO"/>
                        </w:rPr>
                        <m:t>-B*</m:t>
                      </m:r>
                    </m:num>
                    <m:den>
                      <m:r>
                        <w:rPr>
                          <w:rFonts w:ascii="Cambria Math" w:hAnsi="Cambria Math" w:cs="Arial"/>
                          <w:sz w:val="22"/>
                          <w:szCs w:val="24"/>
                          <w:lang w:val="es-CO"/>
                        </w:rPr>
                        <m:t>B*</m:t>
                      </m:r>
                    </m:den>
                  </m:f>
                </m:sup>
              </m:sSup>
              <m:r>
                <w:rPr>
                  <w:rFonts w:ascii="Cambria Math" w:hAnsi="Cambria Math" w:cs="Arial"/>
                  <w:sz w:val="22"/>
                  <w:szCs w:val="24"/>
                  <w:lang w:val="es-CO"/>
                </w:rPr>
                <m:t xml:space="preserve"> </m:t>
              </m:r>
            </m:den>
          </m:f>
        </m:oMath>
      </m:oMathPara>
    </w:p>
    <w:p w:rsidR="005A0EA1" w:rsidRPr="00DA65AA" w:rsidRDefault="005A0EA1" w:rsidP="005A0EA1">
      <w:pPr>
        <w:pStyle w:val="Prrafodelista"/>
        <w:ind w:left="0"/>
        <w:rPr>
          <w:rFonts w:ascii="Arial Narrow" w:hAnsi="Arial Narrow" w:cs="Arial"/>
          <w:b/>
          <w:szCs w:val="24"/>
          <w:lang w:val="es-CO"/>
        </w:rPr>
      </w:pPr>
    </w:p>
    <w:p w:rsidR="005A0EA1" w:rsidRPr="00DA65AA" w:rsidRDefault="005A0EA1" w:rsidP="00E342A2">
      <w:pPr>
        <w:pStyle w:val="Prrafodelista"/>
        <w:ind w:left="0"/>
        <w:jc w:val="both"/>
        <w:rPr>
          <w:rFonts w:ascii="Arial Narrow" w:hAnsi="Arial Narrow" w:cs="Arial"/>
          <w:b/>
          <w:sz w:val="24"/>
          <w:szCs w:val="24"/>
          <w:lang w:val="es-CO"/>
        </w:rPr>
      </w:pPr>
      <w:r w:rsidRPr="00DA65AA">
        <w:rPr>
          <w:rFonts w:ascii="Arial Narrow" w:hAnsi="Arial Narrow" w:cs="Arial"/>
          <w:b/>
          <w:sz w:val="24"/>
          <w:szCs w:val="24"/>
          <w:lang w:val="es-CO"/>
        </w:rPr>
        <w:t xml:space="preserve">Donde:  </w:t>
      </w:r>
    </w:p>
    <w:p w:rsidR="005A0EA1" w:rsidRPr="00DA65AA" w:rsidRDefault="005A0EA1" w:rsidP="00E342A2">
      <w:pPr>
        <w:pStyle w:val="Prrafodelista"/>
        <w:ind w:left="0"/>
        <w:jc w:val="both"/>
        <w:rPr>
          <w:rFonts w:ascii="Arial Narrow" w:hAnsi="Arial Narrow" w:cs="Arial"/>
          <w:b/>
          <w:sz w:val="24"/>
          <w:szCs w:val="24"/>
          <w:lang w:val="es-CO"/>
        </w:rPr>
      </w:pPr>
    </w:p>
    <w:p w:rsidR="005A0EA1" w:rsidRPr="00DA65AA" w:rsidRDefault="00691AE4" w:rsidP="00E342A2">
      <w:pPr>
        <w:pStyle w:val="Prrafodelista"/>
        <w:ind w:left="0"/>
        <w:jc w:val="both"/>
        <w:rPr>
          <w:rFonts w:ascii="Arial Narrow" w:eastAsiaTheme="minorHAnsi" w:hAnsi="Arial Narrow" w:cs="Arial"/>
          <w:sz w:val="24"/>
          <w:szCs w:val="24"/>
          <w:lang w:val="es-CO" w:eastAsia="es-CO"/>
        </w:rPr>
      </w:pPr>
      <m:oMath>
        <m:sSub>
          <m:sSubPr>
            <m:ctrlPr>
              <w:rPr>
                <w:rFonts w:ascii="Cambria Math" w:hAnsi="Cambria Math" w:cs="Arial"/>
                <w:i/>
                <w:sz w:val="24"/>
                <w:szCs w:val="24"/>
                <w:lang w:val="es-CO"/>
              </w:rPr>
            </m:ctrlPr>
          </m:sSubPr>
          <m:e>
            <m:r>
              <w:rPr>
                <w:rFonts w:ascii="Cambria Math" w:hAnsi="Cambria Math" w:cs="Arial"/>
                <w:sz w:val="24"/>
                <w:szCs w:val="24"/>
                <w:lang w:val="es-CO"/>
              </w:rPr>
              <m:t>λ</m:t>
            </m:r>
          </m:e>
          <m:sub>
            <m:r>
              <w:rPr>
                <w:rFonts w:ascii="Cambria Math" w:hAnsi="Cambria Math" w:cs="Arial"/>
                <w:sz w:val="24"/>
                <w:szCs w:val="24"/>
                <w:lang w:val="es-CO"/>
              </w:rPr>
              <m:t>i</m:t>
            </m:r>
          </m:sub>
        </m:sSub>
      </m:oMath>
      <w:r w:rsidR="005A0EA1" w:rsidRPr="00DA65AA">
        <w:rPr>
          <w:rFonts w:ascii="Arial Narrow" w:eastAsiaTheme="minorHAnsi" w:hAnsi="Arial Narrow" w:cs="Arial"/>
          <w:sz w:val="24"/>
          <w:szCs w:val="24"/>
          <w:lang w:val="es-CO" w:eastAsia="es-CO"/>
        </w:rPr>
        <w:t>= Promedio móvil de las intensidades de default.</w:t>
      </w:r>
    </w:p>
    <w:p w:rsidR="005A0EA1" w:rsidRPr="00DA65AA" w:rsidRDefault="00691AE4" w:rsidP="00E342A2">
      <w:pPr>
        <w:pStyle w:val="Prrafodelista"/>
        <w:ind w:left="0"/>
        <w:jc w:val="both"/>
        <w:rPr>
          <w:rFonts w:ascii="Arial Narrow" w:eastAsiaTheme="minorHAnsi" w:hAnsi="Arial Narrow" w:cs="Arial"/>
          <w:sz w:val="24"/>
          <w:szCs w:val="24"/>
          <w:lang w:val="es-CO" w:eastAsia="es-CO"/>
        </w:rPr>
      </w:pPr>
      <m:oMath>
        <m:sSup>
          <m:sSupPr>
            <m:ctrlPr>
              <w:rPr>
                <w:rFonts w:ascii="Cambria Math" w:eastAsiaTheme="minorEastAsia" w:hAnsi="Cambria Math" w:cs="Arial"/>
                <w:i/>
                <w:sz w:val="24"/>
                <w:szCs w:val="24"/>
                <w:lang w:val="es-CO"/>
              </w:rPr>
            </m:ctrlPr>
          </m:sSupPr>
          <m:e>
            <m:r>
              <w:rPr>
                <w:rFonts w:ascii="Cambria Math" w:eastAsiaTheme="minorEastAsia" w:hAnsi="Cambria Math" w:cs="Arial"/>
                <w:sz w:val="24"/>
                <w:szCs w:val="24"/>
                <w:lang w:val="es-CO"/>
              </w:rPr>
              <m:t>B</m:t>
            </m:r>
          </m:e>
          <m:sup>
            <m:r>
              <w:rPr>
                <w:rFonts w:ascii="Cambria Math" w:eastAsiaTheme="minorEastAsia" w:hAnsi="Cambria Math" w:cs="Arial"/>
                <w:sz w:val="24"/>
                <w:szCs w:val="24"/>
                <w:lang w:val="es-CO"/>
              </w:rPr>
              <m:t>*</m:t>
            </m:r>
          </m:sup>
        </m:sSup>
      </m:oMath>
      <w:r w:rsidR="005A0EA1" w:rsidRPr="00DA65AA">
        <w:rPr>
          <w:rFonts w:ascii="Arial Narrow" w:eastAsiaTheme="minorEastAsia" w:hAnsi="Arial Narrow" w:cs="Arial"/>
          <w:sz w:val="24"/>
          <w:szCs w:val="24"/>
          <w:lang w:val="es-CO"/>
        </w:rPr>
        <w:t xml:space="preserve">= </w:t>
      </w:r>
      <w:r w:rsidR="005A0EA1" w:rsidRPr="00DA65AA">
        <w:rPr>
          <w:rFonts w:ascii="Arial Narrow" w:eastAsiaTheme="minorHAnsi" w:hAnsi="Arial Narrow" w:cs="Arial"/>
          <w:sz w:val="24"/>
          <w:szCs w:val="24"/>
          <w:lang w:val="es-CO" w:eastAsia="es-CO"/>
        </w:rPr>
        <w:t>Benchmark de las intensidades de default.</w:t>
      </w:r>
    </w:p>
    <w:p w:rsidR="005A0EA1" w:rsidRPr="00DA65AA" w:rsidRDefault="005A0EA1" w:rsidP="00E342A2">
      <w:pPr>
        <w:pStyle w:val="Prrafodelista"/>
        <w:ind w:left="0"/>
        <w:jc w:val="both"/>
        <w:rPr>
          <w:rFonts w:ascii="Arial Narrow" w:eastAsiaTheme="minorEastAsia" w:hAnsi="Arial Narrow" w:cs="Arial"/>
          <w:sz w:val="24"/>
          <w:szCs w:val="24"/>
          <w:lang w:val="es-CO"/>
        </w:rPr>
      </w:pPr>
      <m:oMath>
        <m:r>
          <w:rPr>
            <w:rFonts w:ascii="Cambria Math" w:hAnsi="Cambria Math" w:cs="Arial"/>
            <w:sz w:val="24"/>
            <w:szCs w:val="24"/>
            <w:lang w:val="es-CO"/>
          </w:rPr>
          <m:t>k</m:t>
        </m:r>
      </m:oMath>
      <w:r w:rsidRPr="00DA65AA">
        <w:rPr>
          <w:rFonts w:ascii="Arial Narrow" w:eastAsiaTheme="minorEastAsia" w:hAnsi="Arial Narrow" w:cs="Arial"/>
          <w:sz w:val="24"/>
          <w:szCs w:val="24"/>
          <w:lang w:val="es-CO"/>
        </w:rPr>
        <w:t>= Factor de ajuste que busca descartar entidades que tengan   una  intensidad de default alejada de determinado  margen del benchmark (determinado en un estudio de estrés tomado a partir de los bancos que hicieron default durante la crisis de 2008).</w:t>
      </w:r>
    </w:p>
    <w:p w:rsidR="005A0EA1" w:rsidRPr="00DA65AA" w:rsidRDefault="005A0EA1" w:rsidP="00E342A2">
      <w:pPr>
        <w:pStyle w:val="Prrafodelista"/>
        <w:ind w:left="0"/>
        <w:jc w:val="both"/>
        <w:rPr>
          <w:rFonts w:ascii="Arial Narrow" w:eastAsiaTheme="minorEastAsia" w:hAnsi="Arial Narrow" w:cs="Arial"/>
          <w:sz w:val="24"/>
          <w:szCs w:val="24"/>
          <w:lang w:val="es-CO"/>
        </w:rPr>
      </w:pPr>
    </w:p>
    <w:p w:rsidR="005A0EA1" w:rsidRPr="00DA65AA" w:rsidRDefault="005A0EA1" w:rsidP="00E342A2">
      <w:pPr>
        <w:pStyle w:val="Prrafodelista"/>
        <w:ind w:left="0"/>
        <w:jc w:val="both"/>
        <w:rPr>
          <w:rFonts w:ascii="Arial Narrow" w:eastAsiaTheme="minorEastAsia" w:hAnsi="Arial Narrow" w:cs="Arial"/>
          <w:sz w:val="24"/>
          <w:szCs w:val="24"/>
          <w:lang w:val="es-CO"/>
        </w:rPr>
      </w:pPr>
      <w:r w:rsidRPr="00DA65AA">
        <w:rPr>
          <w:rFonts w:ascii="Arial Narrow" w:eastAsiaTheme="minorEastAsia" w:hAnsi="Arial Narrow" w:cs="Arial"/>
          <w:sz w:val="24"/>
          <w:szCs w:val="24"/>
          <w:lang w:val="es-CO"/>
        </w:rPr>
        <w:t>De acuerdo con lo anterior, se asigna un grupo entre 1 y 4 a cada entidad, de la siguiente manera:</w:t>
      </w:r>
    </w:p>
    <w:p w:rsidR="005A0EA1" w:rsidRPr="00DA65AA" w:rsidRDefault="005A0EA1" w:rsidP="00E342A2">
      <w:pPr>
        <w:pStyle w:val="Prrafodelista"/>
        <w:jc w:val="both"/>
        <w:rPr>
          <w:rFonts w:ascii="Arial Narrow" w:hAnsi="Arial Narrow" w:cs="Arial"/>
          <w:b/>
          <w:sz w:val="24"/>
          <w:szCs w:val="24"/>
          <w:lang w:val="es-CO"/>
        </w:rPr>
      </w:pPr>
      <w:r w:rsidRPr="00DA65AA">
        <w:rPr>
          <w:rFonts w:ascii="Arial Narrow" w:hAnsi="Arial Narrow" w:cs="Arial"/>
          <w:b/>
          <w:sz w:val="24"/>
          <w:szCs w:val="24"/>
          <w:lang w:val="es-CO"/>
        </w:rPr>
        <w:t xml:space="preserve"> </w:t>
      </w:r>
    </w:p>
    <w:p w:rsidR="005A0EA1" w:rsidRPr="00DA65AA" w:rsidRDefault="005A0EA1" w:rsidP="00C408EF">
      <w:pPr>
        <w:pStyle w:val="Prrafodelista"/>
        <w:numPr>
          <w:ilvl w:val="0"/>
          <w:numId w:val="28"/>
        </w:numPr>
        <w:jc w:val="both"/>
        <w:rPr>
          <w:rFonts w:ascii="Arial Narrow" w:eastAsiaTheme="minorEastAsia" w:hAnsi="Arial Narrow" w:cs="Arial"/>
          <w:sz w:val="24"/>
          <w:szCs w:val="24"/>
          <w:lang w:val="es-CO"/>
        </w:rPr>
      </w:pPr>
      <w:r w:rsidRPr="00DA65AA">
        <w:rPr>
          <w:rFonts w:ascii="Arial Narrow" w:eastAsiaTheme="minorEastAsia" w:hAnsi="Arial Narrow" w:cs="Arial"/>
          <w:sz w:val="24"/>
          <w:szCs w:val="24"/>
          <w:lang w:val="es-CO"/>
        </w:rPr>
        <w:t>Grupo 4: Entre 0 y 0.5: Área de Deterioro, en la cual el riesgo de crédito es agravado.</w:t>
      </w:r>
    </w:p>
    <w:p w:rsidR="005A0EA1" w:rsidRPr="00DA65AA" w:rsidRDefault="005A0EA1" w:rsidP="00C408EF">
      <w:pPr>
        <w:pStyle w:val="Prrafodelista"/>
        <w:numPr>
          <w:ilvl w:val="0"/>
          <w:numId w:val="28"/>
        </w:numPr>
        <w:jc w:val="both"/>
        <w:rPr>
          <w:rFonts w:ascii="Arial Narrow" w:eastAsiaTheme="minorEastAsia" w:hAnsi="Arial Narrow" w:cs="Arial"/>
          <w:sz w:val="24"/>
          <w:szCs w:val="24"/>
          <w:lang w:val="es-CO"/>
        </w:rPr>
      </w:pPr>
      <w:r w:rsidRPr="00DA65AA">
        <w:rPr>
          <w:rFonts w:ascii="Arial Narrow" w:eastAsiaTheme="minorEastAsia" w:hAnsi="Arial Narrow" w:cs="Arial"/>
          <w:sz w:val="24"/>
          <w:szCs w:val="24"/>
          <w:lang w:val="es-CO"/>
        </w:rPr>
        <w:t>Grupo 3: Entre 0.5 y 1: Área de Riesgo, en la cual el riesgo de crédito es moderado.</w:t>
      </w:r>
    </w:p>
    <w:p w:rsidR="005A0EA1" w:rsidRPr="00DA65AA" w:rsidRDefault="005A0EA1" w:rsidP="00C408EF">
      <w:pPr>
        <w:pStyle w:val="Prrafodelista"/>
        <w:numPr>
          <w:ilvl w:val="0"/>
          <w:numId w:val="28"/>
        </w:numPr>
        <w:jc w:val="both"/>
        <w:rPr>
          <w:rFonts w:ascii="Arial Narrow" w:eastAsiaTheme="minorEastAsia" w:hAnsi="Arial Narrow" w:cs="Arial"/>
          <w:sz w:val="24"/>
          <w:szCs w:val="24"/>
          <w:lang w:val="es-CO"/>
        </w:rPr>
      </w:pPr>
      <w:r w:rsidRPr="00DA65AA">
        <w:rPr>
          <w:rFonts w:ascii="Arial Narrow" w:eastAsiaTheme="minorEastAsia" w:hAnsi="Arial Narrow" w:cs="Arial"/>
          <w:sz w:val="24"/>
          <w:szCs w:val="24"/>
          <w:lang w:val="es-CO"/>
        </w:rPr>
        <w:t>Grupo 2: Entre 1 y 1.5: Área Aceptable, en la cual el riesgo de crédito es tolerable.</w:t>
      </w:r>
    </w:p>
    <w:p w:rsidR="005A0EA1" w:rsidRPr="00DA65AA" w:rsidRDefault="005A0EA1" w:rsidP="00C408EF">
      <w:pPr>
        <w:pStyle w:val="Prrafodelista"/>
        <w:numPr>
          <w:ilvl w:val="0"/>
          <w:numId w:val="28"/>
        </w:numPr>
        <w:jc w:val="both"/>
        <w:rPr>
          <w:rFonts w:ascii="Arial Narrow" w:eastAsiaTheme="minorEastAsia" w:hAnsi="Arial Narrow" w:cs="Arial"/>
          <w:sz w:val="24"/>
          <w:szCs w:val="24"/>
        </w:rPr>
      </w:pPr>
      <w:r w:rsidRPr="00DA65AA">
        <w:rPr>
          <w:rFonts w:ascii="Arial Narrow" w:eastAsiaTheme="minorEastAsia" w:hAnsi="Arial Narrow" w:cs="Arial"/>
          <w:sz w:val="24"/>
          <w:szCs w:val="24"/>
          <w:lang w:val="es-CO"/>
        </w:rPr>
        <w:t>Grupo 1: Entre 1.5 y 2: Área Sobresaliente, en la cual el riesgo de crédito es reducido.</w:t>
      </w:r>
    </w:p>
    <w:p w:rsidR="005A0EA1" w:rsidRPr="00DA65AA" w:rsidRDefault="005A0EA1" w:rsidP="00E342A2">
      <w:pPr>
        <w:jc w:val="both"/>
        <w:rPr>
          <w:rFonts w:ascii="Arial Narrow" w:eastAsiaTheme="minorEastAsia" w:hAnsi="Arial Narrow" w:cs="Arial"/>
          <w:sz w:val="24"/>
          <w:szCs w:val="24"/>
          <w:lang w:eastAsia="en-US"/>
        </w:rPr>
      </w:pPr>
    </w:p>
    <w:p w:rsidR="005A0EA1" w:rsidRPr="00DA65AA" w:rsidRDefault="005A0EA1" w:rsidP="00E342A2">
      <w:pPr>
        <w:jc w:val="both"/>
        <w:rPr>
          <w:rFonts w:ascii="Arial Narrow" w:hAnsi="Arial Narrow" w:cs="Arial"/>
          <w:b/>
          <w:sz w:val="24"/>
          <w:szCs w:val="24"/>
        </w:rPr>
      </w:pPr>
      <w:r w:rsidRPr="00DA65AA">
        <w:rPr>
          <w:rFonts w:ascii="Arial Narrow" w:eastAsiaTheme="minorEastAsia" w:hAnsi="Arial Narrow" w:cs="Arial"/>
          <w:sz w:val="24"/>
          <w:szCs w:val="24"/>
          <w:lang w:eastAsia="en-US"/>
        </w:rPr>
        <w:t>Finalmente se hace la asignación de cupos de acuerdo con la siguiente tabla, eligiendo el mínimo valor entre las dos columnas:</w:t>
      </w:r>
      <w:r w:rsidRPr="00DA65AA">
        <w:rPr>
          <w:rFonts w:ascii="Arial Narrow" w:hAnsi="Arial Narrow" w:cs="Arial"/>
          <w:b/>
          <w:sz w:val="24"/>
          <w:szCs w:val="24"/>
        </w:rPr>
        <w:t xml:space="preserve"> </w:t>
      </w:r>
    </w:p>
    <w:p w:rsidR="00EE6F03" w:rsidRPr="00DA65AA" w:rsidRDefault="00EE6F03" w:rsidP="00E342A2">
      <w:pPr>
        <w:jc w:val="both"/>
        <w:rPr>
          <w:rFonts w:ascii="Arial Narrow" w:hAnsi="Arial Narrow" w:cs="Arial"/>
          <w:b/>
          <w:sz w:val="24"/>
          <w:szCs w:val="24"/>
        </w:rPr>
      </w:pPr>
    </w:p>
    <w:p w:rsidR="005A0EA1" w:rsidRPr="00DA65AA" w:rsidRDefault="005A0EA1" w:rsidP="005A0EA1">
      <w:pPr>
        <w:pStyle w:val="Prrafodelista"/>
        <w:rPr>
          <w:rFonts w:ascii="Arial Narrow" w:hAnsi="Arial Narrow" w:cs="Arial"/>
          <w:b/>
          <w:szCs w:val="24"/>
          <w:lang w:val="es-CO"/>
        </w:rPr>
      </w:pPr>
      <w:r w:rsidRPr="00DA65AA">
        <w:rPr>
          <w:rFonts w:ascii="Arial Narrow" w:hAnsi="Arial Narrow" w:cs="Arial"/>
          <w:b/>
          <w:szCs w:val="24"/>
          <w:lang w:val="es-CO"/>
        </w:rPr>
        <w:t xml:space="preserve">  </w:t>
      </w:r>
    </w:p>
    <w:tbl>
      <w:tblPr>
        <w:tblW w:w="4101" w:type="dxa"/>
        <w:jc w:val="center"/>
        <w:tblCellMar>
          <w:left w:w="70" w:type="dxa"/>
          <w:right w:w="70" w:type="dxa"/>
        </w:tblCellMar>
        <w:tblLook w:val="04A0" w:firstRow="1" w:lastRow="0" w:firstColumn="1" w:lastColumn="0" w:noHBand="0" w:noVBand="1"/>
      </w:tblPr>
      <w:tblGrid>
        <w:gridCol w:w="808"/>
        <w:gridCol w:w="1734"/>
        <w:gridCol w:w="1559"/>
      </w:tblGrid>
      <w:tr w:rsidR="005A0EA1" w:rsidRPr="00DA65AA" w:rsidTr="00C93704">
        <w:trPr>
          <w:trHeight w:val="330"/>
          <w:jc w:val="center"/>
        </w:trPr>
        <w:tc>
          <w:tcPr>
            <w:tcW w:w="4101" w:type="dxa"/>
            <w:gridSpan w:val="3"/>
            <w:tcBorders>
              <w:top w:val="single" w:sz="8" w:space="0" w:color="auto"/>
              <w:left w:val="single" w:sz="8" w:space="0" w:color="auto"/>
              <w:bottom w:val="single" w:sz="4" w:space="0" w:color="auto"/>
              <w:right w:val="single" w:sz="8" w:space="0" w:color="000000"/>
            </w:tcBorders>
            <w:shd w:val="clear" w:color="auto" w:fill="17365D"/>
            <w:noWrap/>
            <w:vAlign w:val="center"/>
            <w:hideMark/>
          </w:tcPr>
          <w:p w:rsidR="005A0EA1" w:rsidRPr="00DA65AA" w:rsidRDefault="005A0EA1" w:rsidP="00C93704">
            <w:pPr>
              <w:jc w:val="center"/>
              <w:rPr>
                <w:rFonts w:ascii="Arial Narrow" w:hAnsi="Arial Narrow" w:cs="Arial"/>
                <w:b/>
                <w:bCs/>
                <w:color w:val="FFFFFF"/>
                <w:sz w:val="24"/>
              </w:rPr>
            </w:pPr>
            <w:r w:rsidRPr="00DA65AA">
              <w:rPr>
                <w:rFonts w:ascii="Arial Narrow" w:hAnsi="Arial Narrow" w:cs="Arial"/>
                <w:b/>
                <w:bCs/>
                <w:color w:val="FFFFFF"/>
                <w:sz w:val="24"/>
              </w:rPr>
              <w:t>Más Conservador</w:t>
            </w:r>
          </w:p>
        </w:tc>
      </w:tr>
      <w:tr w:rsidR="005A0EA1" w:rsidRPr="00DA65AA" w:rsidTr="00C93704">
        <w:trPr>
          <w:trHeight w:val="510"/>
          <w:jc w:val="center"/>
        </w:trPr>
        <w:tc>
          <w:tcPr>
            <w:tcW w:w="808" w:type="dxa"/>
            <w:tcBorders>
              <w:top w:val="nil"/>
              <w:left w:val="single" w:sz="8" w:space="0" w:color="auto"/>
              <w:bottom w:val="single" w:sz="4" w:space="0" w:color="auto"/>
              <w:right w:val="single" w:sz="4" w:space="0" w:color="auto"/>
            </w:tcBorders>
            <w:shd w:val="clear" w:color="auto" w:fill="auto"/>
            <w:noWrap/>
            <w:vAlign w:val="center"/>
            <w:hideMark/>
          </w:tcPr>
          <w:p w:rsidR="005A0EA1" w:rsidRPr="00DA65AA" w:rsidRDefault="005A0EA1" w:rsidP="00C93704">
            <w:pPr>
              <w:jc w:val="center"/>
              <w:rPr>
                <w:rFonts w:ascii="Arial Narrow" w:hAnsi="Arial Narrow" w:cs="Arial"/>
                <w:sz w:val="24"/>
              </w:rPr>
            </w:pPr>
            <w:r w:rsidRPr="00DA65AA">
              <w:rPr>
                <w:rFonts w:ascii="Arial Narrow" w:hAnsi="Arial Narrow" w:cs="Arial"/>
                <w:sz w:val="24"/>
              </w:rPr>
              <w:t>Grupo</w:t>
            </w:r>
          </w:p>
        </w:tc>
        <w:tc>
          <w:tcPr>
            <w:tcW w:w="1734" w:type="dxa"/>
            <w:tcBorders>
              <w:top w:val="nil"/>
              <w:left w:val="nil"/>
              <w:bottom w:val="single" w:sz="4" w:space="0" w:color="auto"/>
              <w:right w:val="single" w:sz="4" w:space="0" w:color="auto"/>
            </w:tcBorders>
            <w:shd w:val="clear" w:color="auto" w:fill="auto"/>
            <w:vAlign w:val="center"/>
            <w:hideMark/>
          </w:tcPr>
          <w:p w:rsidR="005A0EA1" w:rsidRPr="00DA65AA" w:rsidRDefault="005A0EA1" w:rsidP="00C93704">
            <w:pPr>
              <w:jc w:val="center"/>
              <w:rPr>
                <w:rFonts w:ascii="Arial Narrow" w:hAnsi="Arial Narrow" w:cs="Arial"/>
                <w:sz w:val="24"/>
              </w:rPr>
            </w:pPr>
            <w:r w:rsidRPr="00DA65AA">
              <w:rPr>
                <w:rFonts w:ascii="Arial Narrow" w:hAnsi="Arial Narrow" w:cs="Arial"/>
                <w:sz w:val="24"/>
              </w:rPr>
              <w:t>Cupo / Patrimonio</w:t>
            </w:r>
          </w:p>
        </w:tc>
        <w:tc>
          <w:tcPr>
            <w:tcW w:w="1559" w:type="dxa"/>
            <w:tcBorders>
              <w:top w:val="nil"/>
              <w:left w:val="nil"/>
              <w:bottom w:val="single" w:sz="4" w:space="0" w:color="auto"/>
              <w:right w:val="single" w:sz="8" w:space="0" w:color="auto"/>
            </w:tcBorders>
            <w:shd w:val="clear" w:color="auto" w:fill="auto"/>
            <w:vAlign w:val="center"/>
            <w:hideMark/>
          </w:tcPr>
          <w:p w:rsidR="005A0EA1" w:rsidRPr="00DA65AA" w:rsidRDefault="005A0EA1" w:rsidP="00C93704">
            <w:pPr>
              <w:jc w:val="center"/>
              <w:rPr>
                <w:rFonts w:ascii="Arial Narrow" w:hAnsi="Arial Narrow" w:cs="Arial"/>
                <w:sz w:val="24"/>
              </w:rPr>
            </w:pPr>
            <w:r w:rsidRPr="00DA65AA">
              <w:rPr>
                <w:rFonts w:ascii="Arial Narrow" w:hAnsi="Arial Narrow" w:cs="Arial"/>
                <w:sz w:val="24"/>
              </w:rPr>
              <w:t xml:space="preserve">Cupo / </w:t>
            </w:r>
          </w:p>
          <w:p w:rsidR="005A0EA1" w:rsidRPr="00DA65AA" w:rsidRDefault="005A0EA1" w:rsidP="00C93704">
            <w:pPr>
              <w:jc w:val="center"/>
              <w:rPr>
                <w:rFonts w:ascii="Arial Narrow" w:hAnsi="Arial Narrow" w:cs="Arial"/>
                <w:sz w:val="24"/>
              </w:rPr>
            </w:pPr>
            <w:r w:rsidRPr="00DA65AA">
              <w:rPr>
                <w:rFonts w:ascii="Arial Narrow" w:hAnsi="Arial Narrow" w:cs="Arial"/>
                <w:sz w:val="24"/>
              </w:rPr>
              <w:t>Cupo Total</w:t>
            </w:r>
          </w:p>
        </w:tc>
      </w:tr>
      <w:tr w:rsidR="005A0EA1" w:rsidRPr="00DA65AA" w:rsidTr="00C93704">
        <w:trPr>
          <w:trHeight w:val="255"/>
          <w:jc w:val="center"/>
        </w:trPr>
        <w:tc>
          <w:tcPr>
            <w:tcW w:w="808" w:type="dxa"/>
            <w:tcBorders>
              <w:top w:val="nil"/>
              <w:left w:val="single" w:sz="8" w:space="0" w:color="auto"/>
              <w:bottom w:val="single" w:sz="4" w:space="0" w:color="auto"/>
              <w:right w:val="single" w:sz="4" w:space="0" w:color="auto"/>
            </w:tcBorders>
            <w:shd w:val="clear" w:color="auto" w:fill="auto"/>
            <w:noWrap/>
            <w:vAlign w:val="bottom"/>
            <w:hideMark/>
          </w:tcPr>
          <w:p w:rsidR="005A0EA1" w:rsidRPr="00DA65AA" w:rsidRDefault="005A0EA1" w:rsidP="00C93704">
            <w:pPr>
              <w:jc w:val="center"/>
              <w:rPr>
                <w:rFonts w:ascii="Arial Narrow" w:hAnsi="Arial Narrow" w:cs="Arial"/>
                <w:sz w:val="24"/>
              </w:rPr>
            </w:pPr>
            <w:bookmarkStart w:id="59" w:name="RANGE!J9:L12"/>
            <w:r w:rsidRPr="00DA65AA">
              <w:rPr>
                <w:rFonts w:ascii="Arial Narrow" w:hAnsi="Arial Narrow" w:cs="Arial"/>
                <w:sz w:val="24"/>
              </w:rPr>
              <w:t>1</w:t>
            </w:r>
            <w:bookmarkEnd w:id="59"/>
          </w:p>
        </w:tc>
        <w:tc>
          <w:tcPr>
            <w:tcW w:w="1734" w:type="dxa"/>
            <w:tcBorders>
              <w:top w:val="nil"/>
              <w:left w:val="nil"/>
              <w:bottom w:val="single" w:sz="4" w:space="0" w:color="auto"/>
              <w:right w:val="single" w:sz="4" w:space="0" w:color="auto"/>
            </w:tcBorders>
            <w:shd w:val="clear" w:color="auto" w:fill="auto"/>
            <w:noWrap/>
            <w:vAlign w:val="bottom"/>
            <w:hideMark/>
          </w:tcPr>
          <w:p w:rsidR="005A0EA1" w:rsidRPr="00DA65AA" w:rsidRDefault="005A0EA1" w:rsidP="00C93704">
            <w:pPr>
              <w:jc w:val="center"/>
              <w:rPr>
                <w:rFonts w:ascii="Arial Narrow" w:hAnsi="Arial Narrow" w:cs="Arial"/>
                <w:sz w:val="24"/>
              </w:rPr>
            </w:pPr>
            <w:r w:rsidRPr="00DA65AA">
              <w:rPr>
                <w:rFonts w:ascii="Arial Narrow" w:hAnsi="Arial Narrow" w:cs="Arial"/>
                <w:sz w:val="24"/>
              </w:rPr>
              <w:t>2.5%</w:t>
            </w:r>
          </w:p>
        </w:tc>
        <w:tc>
          <w:tcPr>
            <w:tcW w:w="1559" w:type="dxa"/>
            <w:tcBorders>
              <w:top w:val="nil"/>
              <w:left w:val="nil"/>
              <w:bottom w:val="single" w:sz="4" w:space="0" w:color="auto"/>
              <w:right w:val="single" w:sz="8" w:space="0" w:color="auto"/>
            </w:tcBorders>
            <w:shd w:val="clear" w:color="auto" w:fill="auto"/>
            <w:noWrap/>
            <w:vAlign w:val="bottom"/>
            <w:hideMark/>
          </w:tcPr>
          <w:p w:rsidR="005A0EA1" w:rsidRPr="00DA65AA" w:rsidRDefault="005A0EA1" w:rsidP="00C93704">
            <w:pPr>
              <w:jc w:val="center"/>
              <w:rPr>
                <w:rFonts w:ascii="Arial Narrow" w:hAnsi="Arial Narrow" w:cs="Arial"/>
                <w:sz w:val="24"/>
              </w:rPr>
            </w:pPr>
            <w:r w:rsidRPr="00DA65AA">
              <w:rPr>
                <w:rFonts w:ascii="Arial Narrow" w:hAnsi="Arial Narrow" w:cs="Arial"/>
                <w:sz w:val="24"/>
              </w:rPr>
              <w:t>25.0%</w:t>
            </w:r>
          </w:p>
        </w:tc>
      </w:tr>
      <w:tr w:rsidR="005A0EA1" w:rsidRPr="00DA65AA" w:rsidTr="00C93704">
        <w:trPr>
          <w:trHeight w:val="255"/>
          <w:jc w:val="center"/>
        </w:trPr>
        <w:tc>
          <w:tcPr>
            <w:tcW w:w="808" w:type="dxa"/>
            <w:tcBorders>
              <w:top w:val="nil"/>
              <w:left w:val="single" w:sz="8" w:space="0" w:color="auto"/>
              <w:bottom w:val="single" w:sz="4" w:space="0" w:color="auto"/>
              <w:right w:val="single" w:sz="4" w:space="0" w:color="auto"/>
            </w:tcBorders>
            <w:shd w:val="clear" w:color="auto" w:fill="auto"/>
            <w:noWrap/>
            <w:vAlign w:val="bottom"/>
            <w:hideMark/>
          </w:tcPr>
          <w:p w:rsidR="005A0EA1" w:rsidRPr="00DA65AA" w:rsidRDefault="005A0EA1" w:rsidP="00C93704">
            <w:pPr>
              <w:jc w:val="center"/>
              <w:rPr>
                <w:rFonts w:ascii="Arial Narrow" w:hAnsi="Arial Narrow" w:cs="Arial"/>
                <w:sz w:val="24"/>
              </w:rPr>
            </w:pPr>
            <w:r w:rsidRPr="00DA65AA">
              <w:rPr>
                <w:rFonts w:ascii="Arial Narrow" w:hAnsi="Arial Narrow" w:cs="Arial"/>
                <w:sz w:val="24"/>
              </w:rPr>
              <w:t>2</w:t>
            </w:r>
          </w:p>
        </w:tc>
        <w:tc>
          <w:tcPr>
            <w:tcW w:w="1734" w:type="dxa"/>
            <w:tcBorders>
              <w:top w:val="nil"/>
              <w:left w:val="nil"/>
              <w:bottom w:val="single" w:sz="4" w:space="0" w:color="auto"/>
              <w:right w:val="single" w:sz="4" w:space="0" w:color="auto"/>
            </w:tcBorders>
            <w:shd w:val="clear" w:color="auto" w:fill="auto"/>
            <w:noWrap/>
            <w:vAlign w:val="bottom"/>
            <w:hideMark/>
          </w:tcPr>
          <w:p w:rsidR="005A0EA1" w:rsidRPr="00DA65AA" w:rsidRDefault="005A0EA1" w:rsidP="00C93704">
            <w:pPr>
              <w:jc w:val="center"/>
              <w:rPr>
                <w:rFonts w:ascii="Arial Narrow" w:hAnsi="Arial Narrow" w:cs="Arial"/>
                <w:sz w:val="24"/>
              </w:rPr>
            </w:pPr>
            <w:r w:rsidRPr="00DA65AA">
              <w:rPr>
                <w:rFonts w:ascii="Arial Narrow" w:hAnsi="Arial Narrow" w:cs="Arial"/>
                <w:sz w:val="24"/>
              </w:rPr>
              <w:t>2.0%</w:t>
            </w:r>
          </w:p>
        </w:tc>
        <w:tc>
          <w:tcPr>
            <w:tcW w:w="1559" w:type="dxa"/>
            <w:tcBorders>
              <w:top w:val="nil"/>
              <w:left w:val="nil"/>
              <w:bottom w:val="single" w:sz="4" w:space="0" w:color="auto"/>
              <w:right w:val="single" w:sz="8" w:space="0" w:color="auto"/>
            </w:tcBorders>
            <w:shd w:val="clear" w:color="auto" w:fill="auto"/>
            <w:noWrap/>
            <w:vAlign w:val="bottom"/>
            <w:hideMark/>
          </w:tcPr>
          <w:p w:rsidR="005A0EA1" w:rsidRPr="00DA65AA" w:rsidRDefault="005A0EA1" w:rsidP="00C93704">
            <w:pPr>
              <w:jc w:val="center"/>
              <w:rPr>
                <w:rFonts w:ascii="Arial Narrow" w:hAnsi="Arial Narrow" w:cs="Arial"/>
                <w:sz w:val="24"/>
              </w:rPr>
            </w:pPr>
            <w:r w:rsidRPr="00DA65AA">
              <w:rPr>
                <w:rFonts w:ascii="Arial Narrow" w:hAnsi="Arial Narrow" w:cs="Arial"/>
                <w:sz w:val="24"/>
              </w:rPr>
              <w:t>20.0%</w:t>
            </w:r>
          </w:p>
        </w:tc>
      </w:tr>
      <w:tr w:rsidR="005A0EA1" w:rsidRPr="00DA65AA" w:rsidTr="00C93704">
        <w:trPr>
          <w:trHeight w:val="255"/>
          <w:jc w:val="center"/>
        </w:trPr>
        <w:tc>
          <w:tcPr>
            <w:tcW w:w="808" w:type="dxa"/>
            <w:tcBorders>
              <w:top w:val="nil"/>
              <w:left w:val="single" w:sz="8" w:space="0" w:color="auto"/>
              <w:bottom w:val="single" w:sz="4" w:space="0" w:color="auto"/>
              <w:right w:val="single" w:sz="4" w:space="0" w:color="auto"/>
            </w:tcBorders>
            <w:shd w:val="clear" w:color="auto" w:fill="auto"/>
            <w:noWrap/>
            <w:vAlign w:val="bottom"/>
            <w:hideMark/>
          </w:tcPr>
          <w:p w:rsidR="005A0EA1" w:rsidRPr="00DA65AA" w:rsidRDefault="005A0EA1" w:rsidP="00C93704">
            <w:pPr>
              <w:jc w:val="center"/>
              <w:rPr>
                <w:rFonts w:ascii="Arial Narrow" w:hAnsi="Arial Narrow" w:cs="Arial"/>
                <w:sz w:val="24"/>
              </w:rPr>
            </w:pPr>
            <w:r w:rsidRPr="00DA65AA">
              <w:rPr>
                <w:rFonts w:ascii="Arial Narrow" w:hAnsi="Arial Narrow" w:cs="Arial"/>
                <w:sz w:val="24"/>
              </w:rPr>
              <w:t>3</w:t>
            </w:r>
          </w:p>
        </w:tc>
        <w:tc>
          <w:tcPr>
            <w:tcW w:w="1734" w:type="dxa"/>
            <w:tcBorders>
              <w:top w:val="nil"/>
              <w:left w:val="nil"/>
              <w:bottom w:val="single" w:sz="4" w:space="0" w:color="auto"/>
              <w:right w:val="single" w:sz="4" w:space="0" w:color="auto"/>
            </w:tcBorders>
            <w:shd w:val="clear" w:color="auto" w:fill="auto"/>
            <w:noWrap/>
            <w:vAlign w:val="bottom"/>
            <w:hideMark/>
          </w:tcPr>
          <w:p w:rsidR="005A0EA1" w:rsidRPr="00DA65AA" w:rsidRDefault="005A0EA1" w:rsidP="00C93704">
            <w:pPr>
              <w:jc w:val="center"/>
              <w:rPr>
                <w:rFonts w:ascii="Arial Narrow" w:hAnsi="Arial Narrow" w:cs="Arial"/>
                <w:sz w:val="24"/>
              </w:rPr>
            </w:pPr>
            <w:r w:rsidRPr="00DA65AA">
              <w:rPr>
                <w:rFonts w:ascii="Arial Narrow" w:hAnsi="Arial Narrow" w:cs="Arial"/>
                <w:sz w:val="24"/>
              </w:rPr>
              <w:t>1.0%</w:t>
            </w:r>
          </w:p>
        </w:tc>
        <w:tc>
          <w:tcPr>
            <w:tcW w:w="1559" w:type="dxa"/>
            <w:tcBorders>
              <w:top w:val="nil"/>
              <w:left w:val="nil"/>
              <w:bottom w:val="single" w:sz="4" w:space="0" w:color="auto"/>
              <w:right w:val="single" w:sz="8" w:space="0" w:color="auto"/>
            </w:tcBorders>
            <w:shd w:val="clear" w:color="auto" w:fill="auto"/>
            <w:noWrap/>
            <w:vAlign w:val="bottom"/>
            <w:hideMark/>
          </w:tcPr>
          <w:p w:rsidR="005A0EA1" w:rsidRPr="00DA65AA" w:rsidRDefault="005A0EA1" w:rsidP="00C93704">
            <w:pPr>
              <w:jc w:val="center"/>
              <w:rPr>
                <w:rFonts w:ascii="Arial Narrow" w:hAnsi="Arial Narrow" w:cs="Arial"/>
                <w:sz w:val="24"/>
              </w:rPr>
            </w:pPr>
            <w:r w:rsidRPr="00DA65AA">
              <w:rPr>
                <w:rFonts w:ascii="Arial Narrow" w:hAnsi="Arial Narrow" w:cs="Arial"/>
                <w:sz w:val="24"/>
              </w:rPr>
              <w:t>15.0%</w:t>
            </w:r>
          </w:p>
        </w:tc>
      </w:tr>
      <w:tr w:rsidR="005A0EA1" w:rsidRPr="00DA65AA" w:rsidTr="00C93704">
        <w:trPr>
          <w:trHeight w:val="270"/>
          <w:jc w:val="center"/>
        </w:trPr>
        <w:tc>
          <w:tcPr>
            <w:tcW w:w="808" w:type="dxa"/>
            <w:tcBorders>
              <w:top w:val="nil"/>
              <w:left w:val="single" w:sz="8" w:space="0" w:color="auto"/>
              <w:bottom w:val="single" w:sz="8" w:space="0" w:color="auto"/>
              <w:right w:val="single" w:sz="4" w:space="0" w:color="auto"/>
            </w:tcBorders>
            <w:shd w:val="clear" w:color="auto" w:fill="auto"/>
            <w:noWrap/>
            <w:vAlign w:val="bottom"/>
            <w:hideMark/>
          </w:tcPr>
          <w:p w:rsidR="005A0EA1" w:rsidRPr="00DA65AA" w:rsidRDefault="005A0EA1" w:rsidP="00C93704">
            <w:pPr>
              <w:jc w:val="center"/>
              <w:rPr>
                <w:rFonts w:ascii="Arial Narrow" w:hAnsi="Arial Narrow" w:cs="Arial"/>
                <w:sz w:val="24"/>
              </w:rPr>
            </w:pPr>
            <w:r w:rsidRPr="00DA65AA">
              <w:rPr>
                <w:rFonts w:ascii="Arial Narrow" w:hAnsi="Arial Narrow" w:cs="Arial"/>
                <w:sz w:val="24"/>
              </w:rPr>
              <w:t>4</w:t>
            </w:r>
          </w:p>
        </w:tc>
        <w:tc>
          <w:tcPr>
            <w:tcW w:w="1734" w:type="dxa"/>
            <w:tcBorders>
              <w:top w:val="nil"/>
              <w:left w:val="nil"/>
              <w:bottom w:val="single" w:sz="8" w:space="0" w:color="auto"/>
              <w:right w:val="single" w:sz="4" w:space="0" w:color="auto"/>
            </w:tcBorders>
            <w:shd w:val="clear" w:color="auto" w:fill="auto"/>
            <w:noWrap/>
            <w:vAlign w:val="bottom"/>
            <w:hideMark/>
          </w:tcPr>
          <w:p w:rsidR="005A0EA1" w:rsidRPr="00DA65AA" w:rsidRDefault="005A0EA1" w:rsidP="00C93704">
            <w:pPr>
              <w:jc w:val="center"/>
              <w:rPr>
                <w:rFonts w:ascii="Arial Narrow" w:hAnsi="Arial Narrow" w:cs="Arial"/>
                <w:sz w:val="24"/>
              </w:rPr>
            </w:pPr>
            <w:r w:rsidRPr="00DA65AA">
              <w:rPr>
                <w:rFonts w:ascii="Arial Narrow" w:hAnsi="Arial Narrow" w:cs="Arial"/>
                <w:sz w:val="24"/>
              </w:rPr>
              <w:t>0.0%</w:t>
            </w:r>
          </w:p>
        </w:tc>
        <w:tc>
          <w:tcPr>
            <w:tcW w:w="1559" w:type="dxa"/>
            <w:tcBorders>
              <w:top w:val="nil"/>
              <w:left w:val="nil"/>
              <w:bottom w:val="single" w:sz="8" w:space="0" w:color="auto"/>
              <w:right w:val="single" w:sz="8" w:space="0" w:color="auto"/>
            </w:tcBorders>
            <w:shd w:val="clear" w:color="auto" w:fill="auto"/>
            <w:noWrap/>
            <w:vAlign w:val="bottom"/>
            <w:hideMark/>
          </w:tcPr>
          <w:p w:rsidR="005A0EA1" w:rsidRPr="00DA65AA" w:rsidRDefault="005A0EA1" w:rsidP="00C93704">
            <w:pPr>
              <w:jc w:val="center"/>
              <w:rPr>
                <w:rFonts w:ascii="Arial Narrow" w:hAnsi="Arial Narrow" w:cs="Arial"/>
                <w:sz w:val="24"/>
              </w:rPr>
            </w:pPr>
            <w:r w:rsidRPr="00DA65AA">
              <w:rPr>
                <w:rFonts w:ascii="Arial Narrow" w:hAnsi="Arial Narrow" w:cs="Arial"/>
                <w:sz w:val="24"/>
              </w:rPr>
              <w:t>0.0%</w:t>
            </w:r>
          </w:p>
        </w:tc>
      </w:tr>
    </w:tbl>
    <w:p w:rsidR="005A0EA1" w:rsidRPr="00DA65AA" w:rsidRDefault="005A0EA1" w:rsidP="005A0EA1">
      <w:pPr>
        <w:jc w:val="center"/>
        <w:rPr>
          <w:rFonts w:ascii="Arial Narrow" w:hAnsi="Arial Narrow" w:cs="Arial"/>
          <w:b/>
        </w:rPr>
      </w:pPr>
    </w:p>
    <w:p w:rsidR="005A0EA1" w:rsidRPr="00DA65AA" w:rsidRDefault="005A0EA1" w:rsidP="005A0EA1">
      <w:pPr>
        <w:rPr>
          <w:rFonts w:ascii="Arial Narrow" w:eastAsiaTheme="minorEastAsia" w:hAnsi="Arial Narrow"/>
          <w:lang w:val="es-CO"/>
        </w:rPr>
      </w:pPr>
    </w:p>
    <w:p w:rsidR="00262411" w:rsidRPr="00DA65AA" w:rsidRDefault="000469CF" w:rsidP="00C408EF">
      <w:pPr>
        <w:pStyle w:val="Ttulo1"/>
        <w:numPr>
          <w:ilvl w:val="0"/>
          <w:numId w:val="1"/>
        </w:numPr>
        <w:rPr>
          <w:rFonts w:ascii="Arial Narrow" w:hAnsi="Arial Narrow"/>
          <w:sz w:val="24"/>
          <w:szCs w:val="24"/>
        </w:rPr>
      </w:pPr>
      <w:bookmarkStart w:id="60" w:name="_Toc4596455"/>
      <w:r w:rsidRPr="00DA65AA">
        <w:rPr>
          <w:rFonts w:ascii="Arial Narrow" w:hAnsi="Arial Narrow"/>
          <w:sz w:val="24"/>
          <w:szCs w:val="24"/>
        </w:rPr>
        <w:t>EXCEPCIONES</w:t>
      </w:r>
      <w:bookmarkEnd w:id="60"/>
    </w:p>
    <w:p w:rsidR="007123FF" w:rsidRPr="00DA65AA" w:rsidRDefault="007123FF" w:rsidP="007123FF">
      <w:pPr>
        <w:rPr>
          <w:rFonts w:ascii="Arial Narrow" w:hAnsi="Arial Narrow"/>
        </w:rPr>
      </w:pPr>
    </w:p>
    <w:tbl>
      <w:tblPr>
        <w:tblW w:w="8364" w:type="dxa"/>
        <w:jc w:val="right"/>
        <w:tblCellMar>
          <w:left w:w="70" w:type="dxa"/>
          <w:right w:w="70" w:type="dxa"/>
        </w:tblCellMar>
        <w:tblLook w:val="04A0" w:firstRow="1" w:lastRow="0" w:firstColumn="1" w:lastColumn="0" w:noHBand="0" w:noVBand="1"/>
      </w:tblPr>
      <w:tblGrid>
        <w:gridCol w:w="2457"/>
        <w:gridCol w:w="2126"/>
        <w:gridCol w:w="1984"/>
        <w:gridCol w:w="1797"/>
      </w:tblGrid>
      <w:tr w:rsidR="007123FF" w:rsidRPr="00DA65AA" w:rsidTr="007123FF">
        <w:trPr>
          <w:trHeight w:val="695"/>
          <w:jc w:val="right"/>
        </w:trPr>
        <w:tc>
          <w:tcPr>
            <w:tcW w:w="2457" w:type="dxa"/>
            <w:tcBorders>
              <w:top w:val="single" w:sz="8" w:space="0" w:color="FFFFFF"/>
              <w:left w:val="single" w:sz="8" w:space="0" w:color="FFFFFF"/>
              <w:bottom w:val="nil"/>
              <w:right w:val="single" w:sz="8" w:space="0" w:color="FFFFFF"/>
            </w:tcBorders>
            <w:shd w:val="clear" w:color="000000" w:fill="17365D"/>
            <w:vAlign w:val="center"/>
            <w:hideMark/>
          </w:tcPr>
          <w:p w:rsidR="007123FF" w:rsidRPr="00DA65AA" w:rsidRDefault="007123FF" w:rsidP="007123FF">
            <w:pPr>
              <w:jc w:val="center"/>
              <w:rPr>
                <w:rFonts w:ascii="Arial Narrow" w:hAnsi="Arial Narrow" w:cs="Arial"/>
                <w:b/>
                <w:bCs/>
                <w:color w:val="FFFFFF"/>
                <w:sz w:val="24"/>
                <w:szCs w:val="24"/>
                <w:lang w:val="es-CO" w:eastAsia="es-CO"/>
              </w:rPr>
            </w:pPr>
            <w:r w:rsidRPr="00DA65AA">
              <w:rPr>
                <w:rFonts w:ascii="Arial Narrow" w:hAnsi="Arial Narrow" w:cs="Arial"/>
                <w:b/>
                <w:bCs/>
                <w:color w:val="FFFFFF"/>
                <w:sz w:val="24"/>
                <w:szCs w:val="24"/>
                <w:lang w:val="es-CO" w:eastAsia="es-CO"/>
              </w:rPr>
              <w:t>Aprobación</w:t>
            </w:r>
          </w:p>
        </w:tc>
        <w:tc>
          <w:tcPr>
            <w:tcW w:w="2126" w:type="dxa"/>
            <w:tcBorders>
              <w:top w:val="single" w:sz="8" w:space="0" w:color="FFFFFF"/>
              <w:left w:val="nil"/>
              <w:bottom w:val="single" w:sz="8" w:space="0" w:color="FFFFFF"/>
              <w:right w:val="single" w:sz="8" w:space="0" w:color="FFFFFF"/>
            </w:tcBorders>
            <w:shd w:val="clear" w:color="000000" w:fill="17365D"/>
            <w:vAlign w:val="center"/>
            <w:hideMark/>
          </w:tcPr>
          <w:p w:rsidR="007123FF" w:rsidRPr="00DA65AA" w:rsidRDefault="007123FF" w:rsidP="007123FF">
            <w:pPr>
              <w:jc w:val="center"/>
              <w:rPr>
                <w:rFonts w:ascii="Arial Narrow" w:hAnsi="Arial Narrow" w:cs="Arial"/>
                <w:b/>
                <w:bCs/>
                <w:color w:val="FFFFFF"/>
                <w:sz w:val="24"/>
                <w:szCs w:val="24"/>
                <w:lang w:val="es-CO" w:eastAsia="es-CO"/>
              </w:rPr>
            </w:pPr>
            <w:r w:rsidRPr="00DA65AA">
              <w:rPr>
                <w:rFonts w:ascii="Arial Narrow" w:hAnsi="Arial Narrow" w:cs="Arial"/>
                <w:b/>
                <w:bCs/>
                <w:color w:val="FFFFFF"/>
                <w:sz w:val="24"/>
                <w:szCs w:val="24"/>
                <w:lang w:val="es-CO" w:eastAsia="es-CO"/>
              </w:rPr>
              <w:t>Subdirector de Tesorería</w:t>
            </w:r>
          </w:p>
          <w:p w:rsidR="007123FF" w:rsidRPr="00DA65AA" w:rsidRDefault="007123FF" w:rsidP="007123FF">
            <w:pPr>
              <w:jc w:val="center"/>
              <w:rPr>
                <w:rFonts w:ascii="Arial Narrow" w:hAnsi="Arial Narrow" w:cs="Arial"/>
                <w:b/>
                <w:bCs/>
                <w:color w:val="FFFFFF"/>
                <w:sz w:val="24"/>
                <w:szCs w:val="24"/>
                <w:lang w:val="es-CO" w:eastAsia="es-CO"/>
              </w:rPr>
            </w:pPr>
            <w:r w:rsidRPr="00DA65AA">
              <w:rPr>
                <w:rFonts w:ascii="Arial Narrow" w:hAnsi="Arial Narrow" w:cs="Arial"/>
                <w:b/>
                <w:bCs/>
                <w:color w:val="FFFFFF"/>
                <w:sz w:val="24"/>
                <w:szCs w:val="24"/>
                <w:lang w:val="es-CO" w:eastAsia="es-CO"/>
              </w:rPr>
              <w:t xml:space="preserve"> (hasta 5 días)</w:t>
            </w:r>
          </w:p>
        </w:tc>
        <w:tc>
          <w:tcPr>
            <w:tcW w:w="1984" w:type="dxa"/>
            <w:tcBorders>
              <w:top w:val="single" w:sz="8" w:space="0" w:color="FFFFFF"/>
              <w:left w:val="nil"/>
              <w:bottom w:val="nil"/>
              <w:right w:val="single" w:sz="8" w:space="0" w:color="FFFFFF"/>
            </w:tcBorders>
            <w:shd w:val="clear" w:color="000000" w:fill="17365D"/>
            <w:vAlign w:val="center"/>
            <w:hideMark/>
          </w:tcPr>
          <w:p w:rsidR="007123FF" w:rsidRPr="00DA65AA" w:rsidRDefault="007123FF" w:rsidP="007123FF">
            <w:pPr>
              <w:jc w:val="center"/>
              <w:rPr>
                <w:rFonts w:ascii="Arial Narrow" w:hAnsi="Arial Narrow" w:cs="Arial"/>
                <w:b/>
                <w:bCs/>
                <w:color w:val="FFFFFF"/>
                <w:sz w:val="24"/>
                <w:szCs w:val="24"/>
                <w:lang w:val="es-CO" w:eastAsia="es-CO"/>
              </w:rPr>
            </w:pPr>
            <w:r w:rsidRPr="00DA65AA">
              <w:rPr>
                <w:rFonts w:ascii="Arial Narrow" w:hAnsi="Arial Narrow" w:cs="Arial"/>
                <w:b/>
                <w:bCs/>
                <w:color w:val="FFFFFF"/>
                <w:sz w:val="24"/>
                <w:szCs w:val="24"/>
                <w:lang w:val="es-CO" w:eastAsia="es-CO"/>
              </w:rPr>
              <w:t>DGCPTN</w:t>
            </w:r>
          </w:p>
          <w:p w:rsidR="007123FF" w:rsidRPr="00DA65AA" w:rsidRDefault="007123FF" w:rsidP="007123FF">
            <w:pPr>
              <w:jc w:val="center"/>
              <w:rPr>
                <w:rFonts w:ascii="Arial Narrow" w:hAnsi="Arial Narrow" w:cs="Arial"/>
                <w:b/>
                <w:bCs/>
                <w:color w:val="FFFFFF"/>
                <w:sz w:val="24"/>
                <w:szCs w:val="24"/>
                <w:lang w:val="es-CO" w:eastAsia="es-CO"/>
              </w:rPr>
            </w:pPr>
            <w:r w:rsidRPr="00DA65AA">
              <w:rPr>
                <w:rFonts w:ascii="Arial Narrow" w:hAnsi="Arial Narrow" w:cs="Arial"/>
                <w:b/>
                <w:bCs/>
                <w:color w:val="FFFFFF"/>
                <w:sz w:val="24"/>
                <w:szCs w:val="24"/>
                <w:lang w:val="es-CO" w:eastAsia="es-CO"/>
              </w:rPr>
              <w:t>(Hasta por 30 días)</w:t>
            </w:r>
          </w:p>
        </w:tc>
        <w:tc>
          <w:tcPr>
            <w:tcW w:w="1797" w:type="dxa"/>
            <w:tcBorders>
              <w:top w:val="single" w:sz="8" w:space="0" w:color="FFFFFF"/>
              <w:left w:val="nil"/>
              <w:bottom w:val="nil"/>
              <w:right w:val="single" w:sz="8" w:space="0" w:color="FFFFFF"/>
            </w:tcBorders>
            <w:shd w:val="clear" w:color="000000" w:fill="17365D"/>
            <w:vAlign w:val="center"/>
            <w:hideMark/>
          </w:tcPr>
          <w:p w:rsidR="007123FF" w:rsidRPr="00DA65AA" w:rsidRDefault="007123FF" w:rsidP="007123FF">
            <w:pPr>
              <w:jc w:val="center"/>
              <w:rPr>
                <w:rFonts w:ascii="Arial Narrow" w:hAnsi="Arial Narrow" w:cs="Arial"/>
                <w:b/>
                <w:bCs/>
                <w:color w:val="FFFFFF"/>
                <w:sz w:val="24"/>
                <w:szCs w:val="24"/>
                <w:lang w:val="es-CO" w:eastAsia="es-CO"/>
              </w:rPr>
            </w:pPr>
            <w:r w:rsidRPr="00DA65AA">
              <w:rPr>
                <w:rFonts w:ascii="Arial Narrow" w:hAnsi="Arial Narrow" w:cs="Arial"/>
                <w:b/>
                <w:bCs/>
                <w:color w:val="FFFFFF"/>
                <w:sz w:val="24"/>
                <w:szCs w:val="24"/>
                <w:lang w:val="es-CO" w:eastAsia="es-CO"/>
              </w:rPr>
              <w:t>Comité Tesorería</w:t>
            </w:r>
          </w:p>
          <w:p w:rsidR="007123FF" w:rsidRPr="00DA65AA" w:rsidRDefault="007123FF" w:rsidP="007123FF">
            <w:pPr>
              <w:jc w:val="center"/>
              <w:rPr>
                <w:rFonts w:ascii="Arial Narrow" w:hAnsi="Arial Narrow" w:cs="Arial"/>
                <w:b/>
                <w:bCs/>
                <w:color w:val="FFFFFF"/>
                <w:sz w:val="24"/>
                <w:szCs w:val="24"/>
                <w:lang w:val="es-CO" w:eastAsia="es-CO"/>
              </w:rPr>
            </w:pPr>
            <w:r w:rsidRPr="00DA65AA">
              <w:rPr>
                <w:rFonts w:ascii="Arial Narrow" w:hAnsi="Arial Narrow" w:cs="Arial"/>
                <w:b/>
                <w:bCs/>
                <w:color w:val="FFFFFF"/>
                <w:sz w:val="24"/>
                <w:szCs w:val="24"/>
                <w:lang w:val="es-CO" w:eastAsia="es-CO"/>
              </w:rPr>
              <w:t>(Hasta por 30 Días)</w:t>
            </w:r>
          </w:p>
        </w:tc>
      </w:tr>
      <w:tr w:rsidR="007123FF" w:rsidRPr="00DA65AA" w:rsidTr="007123FF">
        <w:trPr>
          <w:trHeight w:val="388"/>
          <w:jc w:val="right"/>
        </w:trPr>
        <w:tc>
          <w:tcPr>
            <w:tcW w:w="2457" w:type="dxa"/>
            <w:tcBorders>
              <w:top w:val="single" w:sz="8" w:space="0" w:color="FFFFFF"/>
              <w:left w:val="single" w:sz="8" w:space="0" w:color="FFFFFF"/>
              <w:bottom w:val="single" w:sz="8" w:space="0" w:color="FFFFFF"/>
              <w:right w:val="single" w:sz="8" w:space="0" w:color="FFFFFF"/>
            </w:tcBorders>
            <w:shd w:val="clear" w:color="auto" w:fill="auto"/>
            <w:vAlign w:val="center"/>
            <w:hideMark/>
          </w:tcPr>
          <w:p w:rsidR="007123FF" w:rsidRPr="00DA65AA" w:rsidRDefault="007123FF" w:rsidP="007123FF">
            <w:pPr>
              <w:rPr>
                <w:rFonts w:ascii="Arial Narrow" w:hAnsi="Arial Narrow" w:cs="Arial"/>
                <w:color w:val="000000"/>
                <w:sz w:val="24"/>
                <w:szCs w:val="24"/>
                <w:lang w:val="es-CO" w:eastAsia="es-CO"/>
              </w:rPr>
            </w:pPr>
            <w:r w:rsidRPr="00DA65AA">
              <w:rPr>
                <w:rFonts w:ascii="Arial Narrow" w:hAnsi="Arial Narrow" w:cs="Arial"/>
                <w:color w:val="000000"/>
                <w:sz w:val="24"/>
                <w:szCs w:val="24"/>
                <w:lang w:val="es-CO" w:eastAsia="es-CO"/>
              </w:rPr>
              <w:t>Downgrade en Calificaciones para Asignación de Cupo</w:t>
            </w:r>
          </w:p>
        </w:tc>
        <w:tc>
          <w:tcPr>
            <w:tcW w:w="2126" w:type="dxa"/>
            <w:tcBorders>
              <w:top w:val="nil"/>
              <w:left w:val="nil"/>
              <w:bottom w:val="single" w:sz="8" w:space="0" w:color="FFFFFF"/>
              <w:right w:val="single" w:sz="8" w:space="0" w:color="FFFFFF"/>
            </w:tcBorders>
            <w:shd w:val="clear" w:color="auto" w:fill="auto"/>
            <w:vAlign w:val="center"/>
            <w:hideMark/>
          </w:tcPr>
          <w:p w:rsidR="007123FF" w:rsidRPr="00DA65AA" w:rsidRDefault="007123FF" w:rsidP="007123FF">
            <w:pPr>
              <w:jc w:val="center"/>
              <w:rPr>
                <w:rFonts w:ascii="Arial Narrow" w:hAnsi="Arial Narrow" w:cs="Arial"/>
                <w:color w:val="000000"/>
                <w:sz w:val="24"/>
                <w:szCs w:val="24"/>
                <w:lang w:val="es-CO" w:eastAsia="es-CO"/>
              </w:rPr>
            </w:pPr>
            <w:r w:rsidRPr="00DA65AA">
              <w:rPr>
                <w:rFonts w:ascii="Arial Narrow" w:hAnsi="Arial Narrow" w:cs="Arial"/>
                <w:color w:val="000000"/>
                <w:sz w:val="24"/>
                <w:szCs w:val="24"/>
                <w:lang w:val="es-CO" w:eastAsia="es-CO"/>
              </w:rPr>
              <w:t>1 nivel</w:t>
            </w:r>
          </w:p>
        </w:tc>
        <w:tc>
          <w:tcPr>
            <w:tcW w:w="1984" w:type="dxa"/>
            <w:tcBorders>
              <w:top w:val="single" w:sz="8" w:space="0" w:color="FFFFFF"/>
              <w:left w:val="nil"/>
              <w:bottom w:val="single" w:sz="8" w:space="0" w:color="FFFFFF"/>
              <w:right w:val="single" w:sz="8" w:space="0" w:color="FFFFFF"/>
            </w:tcBorders>
            <w:shd w:val="clear" w:color="auto" w:fill="auto"/>
            <w:vAlign w:val="center"/>
            <w:hideMark/>
          </w:tcPr>
          <w:p w:rsidR="007123FF" w:rsidRPr="00DA65AA" w:rsidRDefault="007123FF" w:rsidP="007123FF">
            <w:pPr>
              <w:jc w:val="center"/>
              <w:rPr>
                <w:rFonts w:ascii="Arial Narrow" w:hAnsi="Arial Narrow" w:cs="Arial"/>
                <w:color w:val="000000"/>
                <w:sz w:val="24"/>
                <w:szCs w:val="24"/>
                <w:lang w:val="es-CO" w:eastAsia="es-CO"/>
              </w:rPr>
            </w:pPr>
            <w:r w:rsidRPr="00DA65AA">
              <w:rPr>
                <w:rFonts w:ascii="Arial Narrow" w:hAnsi="Arial Narrow" w:cs="Arial"/>
                <w:color w:val="000000"/>
                <w:sz w:val="24"/>
                <w:szCs w:val="24"/>
                <w:lang w:val="es-CO" w:eastAsia="es-CO"/>
              </w:rPr>
              <w:t>Hasta 2 niveles</w:t>
            </w:r>
          </w:p>
        </w:tc>
        <w:tc>
          <w:tcPr>
            <w:tcW w:w="1797" w:type="dxa"/>
            <w:tcBorders>
              <w:top w:val="single" w:sz="8" w:space="0" w:color="FFFFFF"/>
              <w:left w:val="nil"/>
              <w:bottom w:val="single" w:sz="8" w:space="0" w:color="FFFFFF"/>
              <w:right w:val="single" w:sz="8" w:space="0" w:color="FFFFFF"/>
            </w:tcBorders>
            <w:shd w:val="clear" w:color="auto" w:fill="auto"/>
            <w:vAlign w:val="center"/>
            <w:hideMark/>
          </w:tcPr>
          <w:p w:rsidR="007123FF" w:rsidRPr="00DA65AA" w:rsidRDefault="007123FF" w:rsidP="007123FF">
            <w:pPr>
              <w:jc w:val="center"/>
              <w:rPr>
                <w:rFonts w:ascii="Arial Narrow" w:hAnsi="Arial Narrow" w:cs="Arial"/>
                <w:color w:val="000000"/>
                <w:sz w:val="24"/>
                <w:szCs w:val="24"/>
                <w:lang w:val="es-CO" w:eastAsia="es-CO"/>
              </w:rPr>
            </w:pPr>
            <w:r w:rsidRPr="00DA65AA">
              <w:rPr>
                <w:rFonts w:ascii="Arial Narrow" w:hAnsi="Arial Narrow" w:cs="Arial"/>
                <w:color w:val="000000"/>
                <w:sz w:val="24"/>
                <w:szCs w:val="24"/>
                <w:lang w:val="es-CO" w:eastAsia="es-CO"/>
              </w:rPr>
              <w:t>&gt; 2 niveles o 30 días</w:t>
            </w:r>
          </w:p>
        </w:tc>
      </w:tr>
      <w:tr w:rsidR="007123FF" w:rsidRPr="00DA65AA" w:rsidTr="007123FF">
        <w:trPr>
          <w:trHeight w:val="404"/>
          <w:jc w:val="right"/>
        </w:trPr>
        <w:tc>
          <w:tcPr>
            <w:tcW w:w="2457" w:type="dxa"/>
            <w:tcBorders>
              <w:top w:val="nil"/>
              <w:left w:val="single" w:sz="8" w:space="0" w:color="FFFFFF"/>
              <w:bottom w:val="single" w:sz="8" w:space="0" w:color="FFFFFF"/>
              <w:right w:val="single" w:sz="8" w:space="0" w:color="FFFFFF"/>
            </w:tcBorders>
            <w:shd w:val="clear" w:color="000000" w:fill="D9D9D9"/>
            <w:vAlign w:val="center"/>
            <w:hideMark/>
          </w:tcPr>
          <w:p w:rsidR="007123FF" w:rsidRPr="00DA65AA" w:rsidRDefault="007123FF" w:rsidP="007123FF">
            <w:pPr>
              <w:rPr>
                <w:rFonts w:ascii="Arial Narrow" w:hAnsi="Arial Narrow" w:cs="Arial"/>
                <w:color w:val="000000"/>
                <w:sz w:val="24"/>
                <w:szCs w:val="24"/>
                <w:lang w:val="es-CO" w:eastAsia="es-CO"/>
              </w:rPr>
            </w:pPr>
            <w:r w:rsidRPr="00DA65AA">
              <w:rPr>
                <w:rFonts w:ascii="Arial Narrow" w:hAnsi="Arial Narrow" w:cs="Arial"/>
                <w:color w:val="000000"/>
                <w:sz w:val="24"/>
                <w:szCs w:val="24"/>
                <w:lang w:val="es-CO" w:eastAsia="es-CO"/>
              </w:rPr>
              <w:lastRenderedPageBreak/>
              <w:t>Sobre-concentración cupos de Emisor  y/o Contraparte</w:t>
            </w:r>
          </w:p>
        </w:tc>
        <w:tc>
          <w:tcPr>
            <w:tcW w:w="2126" w:type="dxa"/>
            <w:tcBorders>
              <w:top w:val="nil"/>
              <w:left w:val="nil"/>
              <w:bottom w:val="single" w:sz="8" w:space="0" w:color="FFFFFF"/>
              <w:right w:val="single" w:sz="8" w:space="0" w:color="FFFFFF"/>
            </w:tcBorders>
            <w:shd w:val="clear" w:color="000000" w:fill="D9D9D9"/>
            <w:vAlign w:val="center"/>
            <w:hideMark/>
          </w:tcPr>
          <w:p w:rsidR="007123FF" w:rsidRPr="00DA65AA" w:rsidRDefault="007123FF" w:rsidP="007123FF">
            <w:pPr>
              <w:jc w:val="center"/>
              <w:rPr>
                <w:rFonts w:ascii="Arial Narrow" w:hAnsi="Arial Narrow" w:cs="Arial"/>
                <w:color w:val="000000"/>
                <w:sz w:val="24"/>
                <w:szCs w:val="24"/>
                <w:lang w:val="es-CO" w:eastAsia="es-CO"/>
              </w:rPr>
            </w:pPr>
            <w:r w:rsidRPr="00DA65AA">
              <w:rPr>
                <w:rFonts w:ascii="Arial Narrow" w:hAnsi="Arial Narrow" w:cs="Arial"/>
                <w:color w:val="000000"/>
                <w:sz w:val="24"/>
                <w:szCs w:val="24"/>
                <w:lang w:val="es-CO" w:eastAsia="es-CO"/>
              </w:rPr>
              <w:t xml:space="preserve">Hasta el 5% adicional/Vr. Port. </w:t>
            </w:r>
          </w:p>
        </w:tc>
        <w:tc>
          <w:tcPr>
            <w:tcW w:w="1984" w:type="dxa"/>
            <w:tcBorders>
              <w:top w:val="nil"/>
              <w:left w:val="nil"/>
              <w:bottom w:val="single" w:sz="8" w:space="0" w:color="FFFFFF"/>
              <w:right w:val="single" w:sz="8" w:space="0" w:color="FFFFFF"/>
            </w:tcBorders>
            <w:shd w:val="clear" w:color="000000" w:fill="D9D9D9"/>
            <w:vAlign w:val="center"/>
            <w:hideMark/>
          </w:tcPr>
          <w:p w:rsidR="007123FF" w:rsidRPr="00DA65AA" w:rsidRDefault="007123FF" w:rsidP="007123FF">
            <w:pPr>
              <w:jc w:val="center"/>
              <w:rPr>
                <w:rFonts w:ascii="Arial Narrow" w:hAnsi="Arial Narrow" w:cs="Arial"/>
                <w:color w:val="000000"/>
                <w:sz w:val="24"/>
                <w:szCs w:val="24"/>
                <w:lang w:val="es-CO" w:eastAsia="es-CO"/>
              </w:rPr>
            </w:pPr>
            <w:r w:rsidRPr="00DA65AA">
              <w:rPr>
                <w:rFonts w:ascii="Arial Narrow" w:hAnsi="Arial Narrow" w:cs="Arial"/>
                <w:color w:val="000000"/>
                <w:sz w:val="24"/>
                <w:szCs w:val="24"/>
                <w:lang w:val="es-CO" w:eastAsia="es-CO"/>
              </w:rPr>
              <w:t xml:space="preserve">Hasta el 20% adicional/Vr. Portafolio. </w:t>
            </w:r>
          </w:p>
        </w:tc>
        <w:tc>
          <w:tcPr>
            <w:tcW w:w="1797" w:type="dxa"/>
            <w:tcBorders>
              <w:top w:val="nil"/>
              <w:left w:val="nil"/>
              <w:bottom w:val="single" w:sz="8" w:space="0" w:color="FFFFFF"/>
              <w:right w:val="single" w:sz="8" w:space="0" w:color="FFFFFF"/>
            </w:tcBorders>
            <w:shd w:val="clear" w:color="000000" w:fill="D9D9D9"/>
            <w:vAlign w:val="center"/>
            <w:hideMark/>
          </w:tcPr>
          <w:p w:rsidR="007123FF" w:rsidRPr="00DA65AA" w:rsidRDefault="007123FF" w:rsidP="007123FF">
            <w:pPr>
              <w:jc w:val="center"/>
              <w:rPr>
                <w:rFonts w:ascii="Arial Narrow" w:hAnsi="Arial Narrow" w:cs="Arial"/>
                <w:color w:val="000000"/>
                <w:sz w:val="24"/>
                <w:szCs w:val="24"/>
                <w:lang w:val="es-CO" w:eastAsia="es-CO"/>
              </w:rPr>
            </w:pPr>
            <w:r w:rsidRPr="00DA65AA">
              <w:rPr>
                <w:rFonts w:ascii="Arial Narrow" w:hAnsi="Arial Narrow" w:cs="Arial"/>
                <w:color w:val="000000"/>
                <w:sz w:val="24"/>
                <w:szCs w:val="24"/>
                <w:lang w:val="es-CO" w:eastAsia="es-CO"/>
              </w:rPr>
              <w:t>&gt; 20%/ Vr. Port.</w:t>
            </w:r>
          </w:p>
        </w:tc>
      </w:tr>
    </w:tbl>
    <w:p w:rsidR="007123FF" w:rsidRPr="00DA65AA" w:rsidRDefault="007123FF" w:rsidP="007123FF">
      <w:pPr>
        <w:rPr>
          <w:rFonts w:ascii="Arial Narrow" w:hAnsi="Arial Narrow"/>
        </w:rPr>
      </w:pPr>
    </w:p>
    <w:p w:rsidR="0094407F" w:rsidRPr="00DA65AA" w:rsidRDefault="0094407F" w:rsidP="003C686A">
      <w:pPr>
        <w:rPr>
          <w:rFonts w:ascii="Arial Narrow" w:hAnsi="Arial Narrow"/>
          <w:sz w:val="24"/>
          <w:szCs w:val="24"/>
        </w:rPr>
      </w:pPr>
    </w:p>
    <w:p w:rsidR="00606A95" w:rsidRPr="00DA65AA" w:rsidRDefault="00606A95" w:rsidP="00242C43">
      <w:pPr>
        <w:pStyle w:val="Ttulo1"/>
        <w:numPr>
          <w:ilvl w:val="0"/>
          <w:numId w:val="1"/>
        </w:numPr>
        <w:jc w:val="left"/>
        <w:rPr>
          <w:rFonts w:ascii="Arial Narrow" w:hAnsi="Arial Narrow"/>
          <w:sz w:val="24"/>
          <w:szCs w:val="24"/>
        </w:rPr>
      </w:pPr>
      <w:bookmarkStart w:id="61" w:name="_Toc4596456"/>
      <w:bookmarkEnd w:id="14"/>
      <w:bookmarkEnd w:id="15"/>
      <w:bookmarkEnd w:id="16"/>
      <w:bookmarkEnd w:id="17"/>
      <w:bookmarkEnd w:id="18"/>
      <w:bookmarkEnd w:id="19"/>
      <w:r w:rsidRPr="00DA65AA">
        <w:rPr>
          <w:rFonts w:ascii="Arial Narrow" w:hAnsi="Arial Narrow"/>
          <w:sz w:val="24"/>
          <w:szCs w:val="24"/>
        </w:rPr>
        <w:t>BIBLIOGRAFÍA</w:t>
      </w:r>
      <w:bookmarkEnd w:id="61"/>
    </w:p>
    <w:p w:rsidR="00F0019B" w:rsidRPr="00DA65AA" w:rsidRDefault="00F0019B" w:rsidP="00F0019B">
      <w:pPr>
        <w:ind w:hanging="578"/>
        <w:jc w:val="both"/>
        <w:rPr>
          <w:rFonts w:ascii="Arial Narrow" w:hAnsi="Arial Narrow"/>
          <w:sz w:val="24"/>
          <w:szCs w:val="24"/>
          <w:lang w:val="en-US" w:eastAsia="es-CO"/>
        </w:rPr>
      </w:pPr>
    </w:p>
    <w:p w:rsidR="00F0019B" w:rsidRPr="00242C43" w:rsidRDefault="00F0019B" w:rsidP="00F0019B">
      <w:pPr>
        <w:pStyle w:val="Prrafodelista"/>
        <w:numPr>
          <w:ilvl w:val="0"/>
          <w:numId w:val="30"/>
        </w:numPr>
        <w:ind w:hanging="578"/>
        <w:jc w:val="both"/>
        <w:rPr>
          <w:rFonts w:ascii="Arial Narrow" w:hAnsi="Arial Narrow" w:cs="Arial"/>
          <w:sz w:val="24"/>
          <w:szCs w:val="24"/>
          <w:lang w:val="en-US"/>
        </w:rPr>
      </w:pPr>
      <w:r w:rsidRPr="00242C43">
        <w:rPr>
          <w:rFonts w:ascii="Arial Narrow" w:hAnsi="Arial Narrow" w:cs="Arial"/>
          <w:sz w:val="24"/>
          <w:szCs w:val="24"/>
          <w:lang w:val="en-US"/>
        </w:rPr>
        <w:t>Crosbie, P., &amp; Bohn, J. (2003): "Modeling Default Risk. Modeling Methodology"; Moody's KMV.</w:t>
      </w:r>
    </w:p>
    <w:p w:rsidR="00F0019B" w:rsidRPr="00242C43" w:rsidRDefault="00F0019B" w:rsidP="00F0019B">
      <w:pPr>
        <w:autoSpaceDE w:val="0"/>
        <w:autoSpaceDN w:val="0"/>
        <w:jc w:val="both"/>
        <w:rPr>
          <w:rFonts w:ascii="Arial Narrow" w:hAnsi="Arial Narrow"/>
          <w:sz w:val="24"/>
          <w:szCs w:val="24"/>
          <w:lang w:val="en-US" w:eastAsia="es-CO"/>
        </w:rPr>
      </w:pPr>
    </w:p>
    <w:p w:rsidR="00F0019B" w:rsidRPr="00DA65AA" w:rsidRDefault="00F0019B" w:rsidP="00F0019B">
      <w:pPr>
        <w:pStyle w:val="Prrafodelista"/>
        <w:numPr>
          <w:ilvl w:val="0"/>
          <w:numId w:val="30"/>
        </w:numPr>
        <w:autoSpaceDE w:val="0"/>
        <w:autoSpaceDN w:val="0"/>
        <w:ind w:hanging="578"/>
        <w:jc w:val="both"/>
        <w:rPr>
          <w:rFonts w:ascii="Arial Narrow" w:hAnsi="Arial Narrow"/>
          <w:sz w:val="24"/>
          <w:szCs w:val="24"/>
          <w:lang w:eastAsia="es-CO"/>
        </w:rPr>
      </w:pPr>
      <w:r w:rsidRPr="00DA65AA">
        <w:rPr>
          <w:rFonts w:ascii="Arial Narrow" w:hAnsi="Arial Narrow"/>
          <w:sz w:val="24"/>
          <w:szCs w:val="24"/>
          <w:lang w:eastAsia="es-CO"/>
        </w:rPr>
        <w:t xml:space="preserve">De Lara, A, (2011), </w:t>
      </w:r>
      <w:r w:rsidRPr="00DA65AA">
        <w:rPr>
          <w:rFonts w:ascii="Arial Narrow" w:hAnsi="Arial Narrow"/>
          <w:i/>
          <w:iCs/>
          <w:sz w:val="24"/>
          <w:szCs w:val="24"/>
          <w:lang w:eastAsia="es-CO"/>
        </w:rPr>
        <w:t xml:space="preserve">“Medición y control de riesgos financieros”, </w:t>
      </w:r>
      <w:r w:rsidRPr="00DA65AA">
        <w:rPr>
          <w:rFonts w:ascii="Arial Narrow" w:hAnsi="Arial Narrow"/>
          <w:sz w:val="24"/>
          <w:szCs w:val="24"/>
          <w:lang w:eastAsia="es-CO"/>
        </w:rPr>
        <w:t>México, México D.F, Limusa Noriega Editores.</w:t>
      </w:r>
    </w:p>
    <w:p w:rsidR="00F0019B" w:rsidRPr="00DA65AA" w:rsidRDefault="00F0019B" w:rsidP="00F0019B">
      <w:pPr>
        <w:pStyle w:val="Prrafodelista"/>
        <w:rPr>
          <w:rFonts w:ascii="Arial Narrow" w:hAnsi="Arial Narrow"/>
          <w:sz w:val="24"/>
          <w:szCs w:val="24"/>
          <w:lang w:eastAsia="es-CO"/>
        </w:rPr>
      </w:pPr>
    </w:p>
    <w:p w:rsidR="00F0019B" w:rsidRPr="00242C43" w:rsidRDefault="00F0019B" w:rsidP="00F0019B">
      <w:pPr>
        <w:pStyle w:val="Prrafodelista"/>
        <w:numPr>
          <w:ilvl w:val="0"/>
          <w:numId w:val="30"/>
        </w:numPr>
        <w:ind w:hanging="578"/>
        <w:jc w:val="both"/>
        <w:rPr>
          <w:rFonts w:ascii="Arial Narrow" w:hAnsi="Arial Narrow" w:cs="Arial"/>
          <w:sz w:val="24"/>
          <w:szCs w:val="24"/>
          <w:lang w:val="en-US"/>
        </w:rPr>
      </w:pPr>
      <w:r w:rsidRPr="00242C43">
        <w:rPr>
          <w:rFonts w:ascii="Arial Narrow" w:hAnsi="Arial Narrow" w:cs="Arial"/>
          <w:sz w:val="24"/>
          <w:szCs w:val="24"/>
          <w:lang w:val="en-US"/>
        </w:rPr>
        <w:t>Hull, J. (2007): "Options, Futures, and other Derivatives"; Séptima edición; Pearson; Prentice Hall.</w:t>
      </w:r>
    </w:p>
    <w:p w:rsidR="00C00086" w:rsidRPr="00242C43" w:rsidRDefault="00C00086" w:rsidP="00C00086">
      <w:pPr>
        <w:pStyle w:val="Prrafodelista"/>
        <w:rPr>
          <w:rFonts w:ascii="Arial Narrow" w:hAnsi="Arial Narrow" w:cs="Arial"/>
          <w:sz w:val="24"/>
          <w:szCs w:val="24"/>
          <w:lang w:val="en-US"/>
        </w:rPr>
      </w:pPr>
    </w:p>
    <w:p w:rsidR="00C00086" w:rsidRPr="00242C43" w:rsidRDefault="00C00086" w:rsidP="00C00086">
      <w:pPr>
        <w:pStyle w:val="Prrafodelista"/>
        <w:numPr>
          <w:ilvl w:val="0"/>
          <w:numId w:val="30"/>
        </w:numPr>
        <w:ind w:hanging="578"/>
        <w:jc w:val="both"/>
        <w:rPr>
          <w:rFonts w:ascii="Arial Narrow" w:hAnsi="Arial Narrow" w:cs="Arial"/>
          <w:sz w:val="24"/>
          <w:szCs w:val="24"/>
          <w:lang w:val="en-US"/>
        </w:rPr>
      </w:pPr>
      <w:r w:rsidRPr="00DA65AA">
        <w:rPr>
          <w:rFonts w:ascii="Arial Narrow" w:hAnsi="Arial Narrow"/>
          <w:sz w:val="24"/>
          <w:szCs w:val="24"/>
          <w:lang w:val="en-US" w:eastAsia="es-CO"/>
        </w:rPr>
        <w:t xml:space="preserve">Jorion, P, (2001), </w:t>
      </w:r>
      <w:r w:rsidRPr="00DA65AA">
        <w:rPr>
          <w:rFonts w:ascii="Arial Narrow" w:hAnsi="Arial Narrow"/>
          <w:i/>
          <w:iCs/>
          <w:sz w:val="24"/>
          <w:szCs w:val="24"/>
          <w:lang w:val="en-US" w:eastAsia="es-CO"/>
        </w:rPr>
        <w:t>“Value at Risk”</w:t>
      </w:r>
      <w:r w:rsidRPr="00DA65AA">
        <w:rPr>
          <w:rFonts w:ascii="Arial Narrow" w:hAnsi="Arial Narrow"/>
          <w:sz w:val="24"/>
          <w:szCs w:val="24"/>
          <w:lang w:val="en-US" w:eastAsia="es-CO"/>
        </w:rPr>
        <w:t>, Estados Unidos New York, McGraw-Hill.</w:t>
      </w:r>
    </w:p>
    <w:p w:rsidR="002815D6" w:rsidRPr="00242C43" w:rsidRDefault="002815D6" w:rsidP="002815D6">
      <w:pPr>
        <w:pStyle w:val="Prrafodelista"/>
        <w:rPr>
          <w:rFonts w:ascii="Arial Narrow" w:hAnsi="Arial Narrow" w:cs="Arial"/>
          <w:sz w:val="24"/>
          <w:szCs w:val="24"/>
          <w:lang w:val="en-US"/>
        </w:rPr>
      </w:pPr>
    </w:p>
    <w:p w:rsidR="00F0019B" w:rsidRPr="00242C43" w:rsidRDefault="002815D6" w:rsidP="00E7577C">
      <w:pPr>
        <w:pStyle w:val="Prrafodelista"/>
        <w:numPr>
          <w:ilvl w:val="0"/>
          <w:numId w:val="30"/>
        </w:numPr>
        <w:ind w:hanging="578"/>
        <w:jc w:val="both"/>
        <w:rPr>
          <w:rFonts w:ascii="Arial Narrow" w:hAnsi="Arial Narrow" w:cs="Arial"/>
          <w:sz w:val="24"/>
          <w:szCs w:val="24"/>
          <w:lang w:val="en-US"/>
        </w:rPr>
      </w:pPr>
      <w:r w:rsidRPr="00242C43">
        <w:rPr>
          <w:rFonts w:ascii="Arial Narrow" w:hAnsi="Arial Narrow" w:cs="Arial"/>
          <w:sz w:val="24"/>
          <w:szCs w:val="24"/>
          <w:lang w:val="en-US"/>
        </w:rPr>
        <w:t>Merton, R. (1973): "On The princing of corporate debt: The Risk structure of interest rates"; The Journal of Finance, 449-470.</w:t>
      </w:r>
    </w:p>
    <w:p w:rsidR="00C00086" w:rsidRPr="00242C43" w:rsidRDefault="00C00086" w:rsidP="00C00086">
      <w:pPr>
        <w:pStyle w:val="Prrafodelista"/>
        <w:rPr>
          <w:rFonts w:ascii="Arial Narrow" w:hAnsi="Arial Narrow" w:cs="Arial"/>
          <w:sz w:val="24"/>
          <w:szCs w:val="24"/>
          <w:lang w:val="en-US"/>
        </w:rPr>
      </w:pPr>
    </w:p>
    <w:p w:rsidR="00C00086" w:rsidRPr="00DA65AA" w:rsidRDefault="00C00086" w:rsidP="00C00086">
      <w:pPr>
        <w:pStyle w:val="Prrafodelista"/>
        <w:numPr>
          <w:ilvl w:val="0"/>
          <w:numId w:val="30"/>
        </w:numPr>
        <w:ind w:hanging="578"/>
        <w:jc w:val="both"/>
        <w:rPr>
          <w:rFonts w:ascii="Arial Narrow" w:hAnsi="Arial Narrow" w:cs="Arial"/>
          <w:sz w:val="24"/>
          <w:szCs w:val="24"/>
          <w:lang w:val="es-CO"/>
        </w:rPr>
      </w:pPr>
      <w:r w:rsidRPr="00DA65AA">
        <w:rPr>
          <w:rFonts w:ascii="Arial Narrow" w:hAnsi="Arial Narrow" w:cs="Arial"/>
          <w:sz w:val="24"/>
          <w:szCs w:val="24"/>
          <w:lang w:val="es-CO"/>
        </w:rPr>
        <w:t>Pineda, F. G. &amp; Piñeros, J. H. (2009): "El indicador financiero único como mecanismo de alerta temprana: una nueva versión"; Reporte de Estabilidad Financiera.</w:t>
      </w:r>
    </w:p>
    <w:p w:rsidR="00F0019B" w:rsidRPr="00DA65AA" w:rsidRDefault="00F0019B" w:rsidP="00F0019B">
      <w:pPr>
        <w:ind w:left="142"/>
        <w:jc w:val="both"/>
        <w:rPr>
          <w:rFonts w:ascii="Arial Narrow" w:hAnsi="Arial Narrow" w:cs="Arial"/>
          <w:sz w:val="24"/>
          <w:szCs w:val="24"/>
          <w:lang w:val="es-CO"/>
        </w:rPr>
      </w:pPr>
    </w:p>
    <w:p w:rsidR="00494E44" w:rsidRPr="00DA65AA" w:rsidRDefault="00606A95" w:rsidP="00E7577C">
      <w:pPr>
        <w:pStyle w:val="Prrafodelista"/>
        <w:numPr>
          <w:ilvl w:val="0"/>
          <w:numId w:val="30"/>
        </w:numPr>
        <w:ind w:hanging="578"/>
        <w:jc w:val="both"/>
        <w:rPr>
          <w:rFonts w:ascii="Arial Narrow" w:hAnsi="Arial Narrow" w:cs="Arial"/>
          <w:sz w:val="24"/>
          <w:szCs w:val="24"/>
          <w:lang w:val="es-CO"/>
        </w:rPr>
      </w:pPr>
      <w:r w:rsidRPr="00DA65AA">
        <w:rPr>
          <w:rFonts w:ascii="Arial Narrow" w:hAnsi="Arial Narrow" w:cs="Arial"/>
          <w:sz w:val="24"/>
          <w:szCs w:val="24"/>
          <w:lang w:val="es-CO"/>
        </w:rPr>
        <w:t>Superint</w:t>
      </w:r>
      <w:r w:rsidR="002815D6" w:rsidRPr="00DA65AA">
        <w:rPr>
          <w:rFonts w:ascii="Arial Narrow" w:hAnsi="Arial Narrow" w:cs="Arial"/>
          <w:sz w:val="24"/>
          <w:szCs w:val="24"/>
          <w:lang w:val="es-CO"/>
        </w:rPr>
        <w:t xml:space="preserve">endencia Financiera de Colombia. (1995). </w:t>
      </w:r>
      <w:r w:rsidRPr="00DA65AA">
        <w:rPr>
          <w:rFonts w:ascii="Arial Narrow" w:hAnsi="Arial Narrow" w:cs="Arial"/>
          <w:sz w:val="24"/>
          <w:szCs w:val="24"/>
          <w:lang w:val="es-CO"/>
        </w:rPr>
        <w:t>Circula</w:t>
      </w:r>
      <w:r w:rsidR="002815D6" w:rsidRPr="00DA65AA">
        <w:rPr>
          <w:rFonts w:ascii="Arial Narrow" w:hAnsi="Arial Narrow" w:cs="Arial"/>
          <w:sz w:val="24"/>
          <w:szCs w:val="24"/>
          <w:lang w:val="es-CO"/>
        </w:rPr>
        <w:t xml:space="preserve">r Básica, Financiera y Contable. </w:t>
      </w:r>
      <w:r w:rsidRPr="00DA65AA">
        <w:rPr>
          <w:rFonts w:ascii="Arial Narrow" w:hAnsi="Arial Narrow" w:cs="Arial"/>
          <w:sz w:val="24"/>
          <w:szCs w:val="24"/>
          <w:lang w:val="es-CO"/>
        </w:rPr>
        <w:t>Capítulo XXI</w:t>
      </w:r>
      <w:r w:rsidR="00F0019B" w:rsidRPr="00DA65AA">
        <w:rPr>
          <w:rFonts w:ascii="Arial Narrow" w:hAnsi="Arial Narrow" w:cs="Arial"/>
          <w:sz w:val="24"/>
          <w:szCs w:val="24"/>
          <w:lang w:val="es-CO"/>
        </w:rPr>
        <w:t>.</w:t>
      </w:r>
    </w:p>
    <w:p w:rsidR="00606A95" w:rsidRPr="00DA65AA" w:rsidRDefault="00606A95" w:rsidP="00606A95">
      <w:pPr>
        <w:rPr>
          <w:rFonts w:ascii="Arial Narrow" w:hAnsi="Arial Narrow"/>
        </w:rPr>
      </w:pPr>
    </w:p>
    <w:p w:rsidR="00000AF7" w:rsidRPr="00DA65AA" w:rsidRDefault="004A361C" w:rsidP="00242C43">
      <w:pPr>
        <w:pStyle w:val="Ttulo1"/>
        <w:numPr>
          <w:ilvl w:val="0"/>
          <w:numId w:val="1"/>
        </w:numPr>
        <w:jc w:val="left"/>
        <w:rPr>
          <w:rFonts w:ascii="Arial Narrow" w:hAnsi="Arial Narrow"/>
          <w:sz w:val="24"/>
          <w:szCs w:val="24"/>
        </w:rPr>
      </w:pPr>
      <w:bookmarkStart w:id="62" w:name="_Toc4596457"/>
      <w:r w:rsidRPr="00DA65AA">
        <w:rPr>
          <w:rFonts w:ascii="Arial Narrow" w:hAnsi="Arial Narrow"/>
          <w:sz w:val="24"/>
          <w:szCs w:val="24"/>
        </w:rPr>
        <w:t>H</w:t>
      </w:r>
      <w:r w:rsidR="00000AF7" w:rsidRPr="00DA65AA">
        <w:rPr>
          <w:rFonts w:ascii="Arial Narrow" w:hAnsi="Arial Narrow"/>
          <w:sz w:val="24"/>
          <w:szCs w:val="24"/>
        </w:rPr>
        <w:t>ISTORIAL DE CAMBIOS</w:t>
      </w:r>
      <w:bookmarkEnd w:id="62"/>
    </w:p>
    <w:p w:rsidR="00000AF7" w:rsidRPr="00DA65AA" w:rsidRDefault="00000AF7" w:rsidP="00CB26AD">
      <w:pPr>
        <w:jc w:val="both"/>
        <w:rPr>
          <w:rFonts w:ascii="Arial Narrow" w:hAnsi="Arial Narrow" w:cs="Arial"/>
          <w:b/>
          <w:sz w:val="24"/>
          <w:szCs w:val="24"/>
        </w:rPr>
      </w:pPr>
    </w:p>
    <w:tbl>
      <w:tblPr>
        <w:tblW w:w="877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1560"/>
        <w:gridCol w:w="3260"/>
        <w:gridCol w:w="2253"/>
      </w:tblGrid>
      <w:tr w:rsidR="00000AF7" w:rsidRPr="00DA65AA" w:rsidTr="008B4895">
        <w:trPr>
          <w:trHeight w:val="359"/>
          <w:tblHeader/>
        </w:trPr>
        <w:tc>
          <w:tcPr>
            <w:tcW w:w="1701" w:type="dxa"/>
            <w:shd w:val="clear" w:color="auto" w:fill="D9D9D9"/>
            <w:tcMar>
              <w:top w:w="57" w:type="dxa"/>
              <w:left w:w="113" w:type="dxa"/>
              <w:bottom w:w="57" w:type="dxa"/>
            </w:tcMar>
            <w:vAlign w:val="center"/>
          </w:tcPr>
          <w:p w:rsidR="00000AF7" w:rsidRPr="00DA65AA" w:rsidRDefault="00000AF7" w:rsidP="00C53565">
            <w:pPr>
              <w:jc w:val="center"/>
              <w:rPr>
                <w:rFonts w:ascii="Arial Narrow" w:hAnsi="Arial Narrow" w:cs="Arial"/>
                <w:b/>
                <w:sz w:val="24"/>
                <w:szCs w:val="24"/>
              </w:rPr>
            </w:pPr>
            <w:r w:rsidRPr="00DA65AA">
              <w:rPr>
                <w:rFonts w:ascii="Arial Narrow" w:hAnsi="Arial Narrow" w:cs="Arial"/>
                <w:b/>
                <w:sz w:val="24"/>
                <w:szCs w:val="24"/>
              </w:rPr>
              <w:t>FECHA</w:t>
            </w:r>
          </w:p>
        </w:tc>
        <w:tc>
          <w:tcPr>
            <w:tcW w:w="1560" w:type="dxa"/>
            <w:shd w:val="clear" w:color="auto" w:fill="D9D9D9"/>
            <w:tcMar>
              <w:top w:w="57" w:type="dxa"/>
              <w:left w:w="113" w:type="dxa"/>
              <w:bottom w:w="57" w:type="dxa"/>
            </w:tcMar>
            <w:vAlign w:val="center"/>
          </w:tcPr>
          <w:p w:rsidR="00000AF7" w:rsidRPr="00DA65AA" w:rsidRDefault="00000AF7" w:rsidP="00C53565">
            <w:pPr>
              <w:jc w:val="center"/>
              <w:rPr>
                <w:rFonts w:ascii="Arial Narrow" w:hAnsi="Arial Narrow" w:cs="Arial"/>
                <w:b/>
                <w:sz w:val="24"/>
                <w:szCs w:val="24"/>
              </w:rPr>
            </w:pPr>
            <w:r w:rsidRPr="00DA65AA">
              <w:rPr>
                <w:rFonts w:ascii="Arial Narrow" w:hAnsi="Arial Narrow" w:cs="Arial"/>
                <w:b/>
                <w:sz w:val="24"/>
                <w:szCs w:val="24"/>
              </w:rPr>
              <w:t>VERSIÓN</w:t>
            </w:r>
          </w:p>
        </w:tc>
        <w:tc>
          <w:tcPr>
            <w:tcW w:w="3260" w:type="dxa"/>
            <w:shd w:val="clear" w:color="auto" w:fill="D9D9D9"/>
            <w:tcMar>
              <w:top w:w="57" w:type="dxa"/>
              <w:left w:w="113" w:type="dxa"/>
              <w:bottom w:w="57" w:type="dxa"/>
            </w:tcMar>
            <w:vAlign w:val="center"/>
          </w:tcPr>
          <w:p w:rsidR="00000AF7" w:rsidRPr="00DA65AA" w:rsidRDefault="00000AF7" w:rsidP="00C53565">
            <w:pPr>
              <w:jc w:val="center"/>
              <w:rPr>
                <w:rFonts w:ascii="Arial Narrow" w:hAnsi="Arial Narrow" w:cs="Arial"/>
                <w:b/>
                <w:sz w:val="24"/>
                <w:szCs w:val="24"/>
              </w:rPr>
            </w:pPr>
            <w:r w:rsidRPr="00DA65AA">
              <w:rPr>
                <w:rFonts w:ascii="Arial Narrow" w:hAnsi="Arial Narrow" w:cs="Arial"/>
                <w:b/>
                <w:sz w:val="24"/>
                <w:szCs w:val="24"/>
              </w:rPr>
              <w:t>DESCRIPCIÓN DEL CAMBIO</w:t>
            </w:r>
          </w:p>
        </w:tc>
        <w:tc>
          <w:tcPr>
            <w:tcW w:w="2253" w:type="dxa"/>
            <w:shd w:val="clear" w:color="auto" w:fill="D9D9D9"/>
            <w:tcMar>
              <w:top w:w="57" w:type="dxa"/>
              <w:left w:w="113" w:type="dxa"/>
              <w:bottom w:w="57" w:type="dxa"/>
            </w:tcMar>
            <w:vAlign w:val="center"/>
          </w:tcPr>
          <w:p w:rsidR="00000AF7" w:rsidRPr="00DA65AA" w:rsidRDefault="00000AF7" w:rsidP="00C53565">
            <w:pPr>
              <w:jc w:val="center"/>
              <w:rPr>
                <w:rFonts w:ascii="Arial Narrow" w:hAnsi="Arial Narrow" w:cs="Arial"/>
                <w:b/>
                <w:sz w:val="24"/>
                <w:szCs w:val="24"/>
              </w:rPr>
            </w:pPr>
            <w:r w:rsidRPr="00DA65AA">
              <w:rPr>
                <w:rFonts w:ascii="Arial Narrow" w:hAnsi="Arial Narrow" w:cs="Arial"/>
                <w:b/>
                <w:sz w:val="24"/>
                <w:szCs w:val="24"/>
              </w:rPr>
              <w:t>ASESOR SUG</w:t>
            </w:r>
          </w:p>
        </w:tc>
      </w:tr>
      <w:tr w:rsidR="00000AF7" w:rsidRPr="00DA65AA" w:rsidTr="003E2226">
        <w:trPr>
          <w:trHeight w:val="287"/>
        </w:trPr>
        <w:tc>
          <w:tcPr>
            <w:tcW w:w="1701" w:type="dxa"/>
            <w:shd w:val="clear" w:color="auto" w:fill="auto"/>
            <w:tcMar>
              <w:top w:w="57" w:type="dxa"/>
              <w:left w:w="113" w:type="dxa"/>
              <w:bottom w:w="57" w:type="dxa"/>
            </w:tcMar>
            <w:vAlign w:val="center"/>
          </w:tcPr>
          <w:p w:rsidR="00000AF7" w:rsidRPr="00242C43" w:rsidRDefault="00242C43" w:rsidP="003E2226">
            <w:pPr>
              <w:jc w:val="center"/>
              <w:rPr>
                <w:rFonts w:ascii="Arial Narrow" w:hAnsi="Arial Narrow" w:cs="Arial"/>
              </w:rPr>
            </w:pPr>
            <w:r w:rsidRPr="00242C43">
              <w:rPr>
                <w:rFonts w:ascii="Arial Narrow" w:hAnsi="Arial Narrow" w:cs="Arial"/>
              </w:rPr>
              <w:t>27-03-2019</w:t>
            </w:r>
          </w:p>
        </w:tc>
        <w:tc>
          <w:tcPr>
            <w:tcW w:w="1560" w:type="dxa"/>
            <w:shd w:val="clear" w:color="auto" w:fill="auto"/>
            <w:tcMar>
              <w:top w:w="57" w:type="dxa"/>
              <w:left w:w="113" w:type="dxa"/>
              <w:bottom w:w="57" w:type="dxa"/>
            </w:tcMar>
            <w:vAlign w:val="center"/>
          </w:tcPr>
          <w:p w:rsidR="00000AF7" w:rsidRPr="00242C43" w:rsidRDefault="00242C43" w:rsidP="003E2226">
            <w:pPr>
              <w:jc w:val="center"/>
              <w:rPr>
                <w:rFonts w:ascii="Arial Narrow" w:hAnsi="Arial Narrow" w:cs="Arial"/>
              </w:rPr>
            </w:pPr>
            <w:r w:rsidRPr="00242C43">
              <w:rPr>
                <w:rFonts w:ascii="Arial Narrow" w:hAnsi="Arial Narrow" w:cs="Arial"/>
              </w:rPr>
              <w:t>1</w:t>
            </w:r>
          </w:p>
        </w:tc>
        <w:tc>
          <w:tcPr>
            <w:tcW w:w="3260" w:type="dxa"/>
            <w:tcMar>
              <w:top w:w="57" w:type="dxa"/>
              <w:left w:w="113" w:type="dxa"/>
              <w:bottom w:w="57" w:type="dxa"/>
            </w:tcMar>
            <w:vAlign w:val="center"/>
          </w:tcPr>
          <w:p w:rsidR="00000AF7" w:rsidRPr="00242C43" w:rsidRDefault="00242C43" w:rsidP="003E2226">
            <w:pPr>
              <w:jc w:val="both"/>
              <w:rPr>
                <w:rFonts w:ascii="Arial Narrow" w:hAnsi="Arial Narrow" w:cs="Arial"/>
              </w:rPr>
            </w:pPr>
            <w:r w:rsidRPr="00242C43">
              <w:rPr>
                <w:rFonts w:ascii="Arial Narrow" w:hAnsi="Arial Narrow" w:cs="Arial"/>
              </w:rPr>
              <w:t>Creación del documento</w:t>
            </w:r>
          </w:p>
        </w:tc>
        <w:tc>
          <w:tcPr>
            <w:tcW w:w="2253" w:type="dxa"/>
            <w:tcMar>
              <w:top w:w="57" w:type="dxa"/>
              <w:left w:w="113" w:type="dxa"/>
              <w:bottom w:w="57" w:type="dxa"/>
            </w:tcMar>
            <w:vAlign w:val="center"/>
          </w:tcPr>
          <w:p w:rsidR="00000AF7" w:rsidRPr="00242C43" w:rsidRDefault="00242C43" w:rsidP="00CB26AD">
            <w:pPr>
              <w:jc w:val="both"/>
              <w:rPr>
                <w:rFonts w:ascii="Arial Narrow" w:hAnsi="Arial Narrow" w:cs="Arial"/>
              </w:rPr>
            </w:pPr>
            <w:r w:rsidRPr="00242C43">
              <w:rPr>
                <w:rFonts w:ascii="Arial Narrow" w:hAnsi="Arial Narrow" w:cs="Arial"/>
              </w:rPr>
              <w:t>Tatiana Santos Yate</w:t>
            </w:r>
          </w:p>
        </w:tc>
      </w:tr>
    </w:tbl>
    <w:p w:rsidR="004E7BF0" w:rsidRPr="00DA65AA" w:rsidRDefault="004E7BF0" w:rsidP="00CB26AD">
      <w:pPr>
        <w:jc w:val="both"/>
        <w:rPr>
          <w:rFonts w:ascii="Arial Narrow" w:hAnsi="Arial Narrow" w:cs="Arial"/>
          <w:b/>
          <w:sz w:val="24"/>
          <w:szCs w:val="24"/>
        </w:rPr>
      </w:pPr>
    </w:p>
    <w:p w:rsidR="0078679A" w:rsidRDefault="0078679A" w:rsidP="00242C43">
      <w:pPr>
        <w:pStyle w:val="Ttulo1"/>
        <w:numPr>
          <w:ilvl w:val="0"/>
          <w:numId w:val="1"/>
        </w:numPr>
        <w:jc w:val="left"/>
        <w:rPr>
          <w:rFonts w:ascii="Arial Narrow" w:hAnsi="Arial Narrow"/>
          <w:sz w:val="24"/>
          <w:szCs w:val="24"/>
        </w:rPr>
      </w:pPr>
      <w:bookmarkStart w:id="63" w:name="_Toc4596458"/>
      <w:r w:rsidRPr="00DA65AA">
        <w:rPr>
          <w:rFonts w:ascii="Arial Narrow" w:hAnsi="Arial Narrow"/>
          <w:sz w:val="24"/>
          <w:szCs w:val="24"/>
        </w:rPr>
        <w:t>APROBACIÓN</w:t>
      </w:r>
      <w:bookmarkEnd w:id="63"/>
    </w:p>
    <w:p w:rsidR="00117253" w:rsidRDefault="00117253" w:rsidP="00117253"/>
    <w:tbl>
      <w:tblPr>
        <w:tblW w:w="8792"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35"/>
        <w:gridCol w:w="5957"/>
      </w:tblGrid>
      <w:tr w:rsidR="00117253" w:rsidRPr="00117253" w:rsidTr="00242C43">
        <w:trPr>
          <w:trHeight w:val="733"/>
        </w:trPr>
        <w:tc>
          <w:tcPr>
            <w:tcW w:w="2835" w:type="dxa"/>
            <w:tcBorders>
              <w:top w:val="single" w:sz="6" w:space="0" w:color="auto"/>
              <w:left w:val="single" w:sz="6" w:space="0" w:color="auto"/>
              <w:bottom w:val="single" w:sz="6" w:space="0" w:color="auto"/>
              <w:right w:val="single" w:sz="6" w:space="0" w:color="auto"/>
            </w:tcBorders>
            <w:shd w:val="clear" w:color="auto" w:fill="D9D9D9"/>
            <w:vAlign w:val="center"/>
            <w:hideMark/>
          </w:tcPr>
          <w:p w:rsidR="00117253" w:rsidRPr="00117253" w:rsidRDefault="00117253" w:rsidP="00954628">
            <w:pPr>
              <w:pStyle w:val="Piedepgina"/>
              <w:ind w:right="360"/>
              <w:jc w:val="both"/>
              <w:rPr>
                <w:rFonts w:ascii="Arial Narrow" w:hAnsi="Arial Narrow" w:cs="Arial"/>
                <w:b/>
                <w:szCs w:val="22"/>
              </w:rPr>
            </w:pPr>
            <w:r w:rsidRPr="00117253">
              <w:rPr>
                <w:rFonts w:ascii="Arial Narrow" w:hAnsi="Arial Narrow" w:cs="Arial"/>
                <w:b/>
                <w:szCs w:val="22"/>
              </w:rPr>
              <w:t xml:space="preserve">ELABORADO POR: </w:t>
            </w:r>
          </w:p>
        </w:tc>
        <w:tc>
          <w:tcPr>
            <w:tcW w:w="5957" w:type="dxa"/>
            <w:tcBorders>
              <w:top w:val="single" w:sz="6" w:space="0" w:color="auto"/>
              <w:left w:val="single" w:sz="6" w:space="0" w:color="auto"/>
              <w:bottom w:val="single" w:sz="6" w:space="0" w:color="auto"/>
              <w:right w:val="single" w:sz="6" w:space="0" w:color="auto"/>
            </w:tcBorders>
            <w:shd w:val="clear" w:color="auto" w:fill="FFFFFF"/>
            <w:vAlign w:val="center"/>
          </w:tcPr>
          <w:p w:rsidR="00117253" w:rsidRPr="00117253" w:rsidRDefault="00117253" w:rsidP="00117253">
            <w:pPr>
              <w:pStyle w:val="Ttulo"/>
              <w:jc w:val="left"/>
              <w:rPr>
                <w:rFonts w:ascii="Arial Narrow" w:hAnsi="Arial Narrow"/>
                <w:sz w:val="20"/>
                <w:szCs w:val="22"/>
              </w:rPr>
            </w:pPr>
            <w:r w:rsidRPr="00117253">
              <w:rPr>
                <w:rFonts w:ascii="Arial Narrow" w:hAnsi="Arial Narrow"/>
                <w:b/>
                <w:sz w:val="20"/>
                <w:szCs w:val="22"/>
              </w:rPr>
              <w:t xml:space="preserve">Nombre: </w:t>
            </w:r>
            <w:r w:rsidRPr="00117253">
              <w:rPr>
                <w:rFonts w:ascii="Arial Narrow" w:hAnsi="Arial Narrow"/>
                <w:sz w:val="20"/>
                <w:szCs w:val="22"/>
              </w:rPr>
              <w:t>Jesús David Rincón Coral</w:t>
            </w:r>
          </w:p>
          <w:p w:rsidR="00117253" w:rsidRPr="00117253" w:rsidRDefault="00117253" w:rsidP="00117253">
            <w:pPr>
              <w:pStyle w:val="Ttulo"/>
              <w:jc w:val="left"/>
              <w:rPr>
                <w:rFonts w:ascii="Arial Narrow" w:hAnsi="Arial Narrow"/>
                <w:sz w:val="20"/>
                <w:szCs w:val="22"/>
              </w:rPr>
            </w:pPr>
            <w:r w:rsidRPr="00117253">
              <w:rPr>
                <w:rFonts w:ascii="Arial Narrow" w:hAnsi="Arial Narrow"/>
                <w:b/>
                <w:sz w:val="20"/>
                <w:szCs w:val="22"/>
              </w:rPr>
              <w:t xml:space="preserve">Cargo:    </w:t>
            </w:r>
            <w:r w:rsidRPr="00117253">
              <w:rPr>
                <w:rFonts w:ascii="Arial Narrow" w:hAnsi="Arial Narrow"/>
                <w:sz w:val="20"/>
                <w:szCs w:val="22"/>
              </w:rPr>
              <w:t xml:space="preserve">Coordinador Grupo Gestión Integral de Riesgo </w:t>
            </w:r>
          </w:p>
          <w:p w:rsidR="00117253" w:rsidRPr="00117253" w:rsidRDefault="00117253" w:rsidP="00117253">
            <w:pPr>
              <w:pStyle w:val="Piedepgina"/>
              <w:ind w:right="360"/>
              <w:jc w:val="both"/>
              <w:rPr>
                <w:rFonts w:ascii="Arial Narrow" w:hAnsi="Arial Narrow" w:cs="Arial"/>
                <w:b/>
                <w:szCs w:val="22"/>
              </w:rPr>
            </w:pPr>
            <w:r w:rsidRPr="00117253">
              <w:rPr>
                <w:rFonts w:ascii="Arial Narrow" w:hAnsi="Arial Narrow" w:cs="Arial"/>
                <w:b/>
                <w:szCs w:val="22"/>
              </w:rPr>
              <w:t xml:space="preserve">Fecha:    </w:t>
            </w:r>
            <w:r w:rsidRPr="00242C43">
              <w:rPr>
                <w:rFonts w:ascii="Arial Narrow" w:hAnsi="Arial Narrow"/>
                <w:szCs w:val="22"/>
              </w:rPr>
              <w:t>28-11-2018</w:t>
            </w:r>
          </w:p>
        </w:tc>
      </w:tr>
      <w:tr w:rsidR="00117253" w:rsidRPr="00117253" w:rsidTr="00954628">
        <w:trPr>
          <w:trHeight w:val="821"/>
        </w:trPr>
        <w:tc>
          <w:tcPr>
            <w:tcW w:w="2835" w:type="dxa"/>
            <w:tcBorders>
              <w:top w:val="single" w:sz="6" w:space="0" w:color="auto"/>
              <w:left w:val="single" w:sz="6" w:space="0" w:color="auto"/>
              <w:bottom w:val="single" w:sz="6" w:space="0" w:color="auto"/>
              <w:right w:val="single" w:sz="6" w:space="0" w:color="auto"/>
            </w:tcBorders>
            <w:shd w:val="clear" w:color="auto" w:fill="D9D9D9"/>
            <w:vAlign w:val="center"/>
          </w:tcPr>
          <w:p w:rsidR="00117253" w:rsidRPr="00117253" w:rsidRDefault="00117253" w:rsidP="00954628">
            <w:pPr>
              <w:pStyle w:val="Piedepgina"/>
              <w:ind w:right="360"/>
              <w:jc w:val="both"/>
              <w:rPr>
                <w:rFonts w:ascii="Arial Narrow" w:hAnsi="Arial Narrow" w:cs="Arial"/>
                <w:b/>
                <w:szCs w:val="22"/>
              </w:rPr>
            </w:pPr>
            <w:r w:rsidRPr="00117253">
              <w:rPr>
                <w:rFonts w:ascii="Arial Narrow" w:hAnsi="Arial Narrow" w:cs="Arial"/>
                <w:b/>
                <w:szCs w:val="22"/>
              </w:rPr>
              <w:t>REVISADO POR:</w:t>
            </w:r>
          </w:p>
        </w:tc>
        <w:tc>
          <w:tcPr>
            <w:tcW w:w="5957" w:type="dxa"/>
            <w:tcBorders>
              <w:top w:val="single" w:sz="6" w:space="0" w:color="auto"/>
              <w:left w:val="single" w:sz="6" w:space="0" w:color="auto"/>
              <w:bottom w:val="single" w:sz="6" w:space="0" w:color="auto"/>
              <w:right w:val="single" w:sz="6" w:space="0" w:color="auto"/>
            </w:tcBorders>
            <w:vAlign w:val="center"/>
          </w:tcPr>
          <w:p w:rsidR="00117253" w:rsidRPr="00117253" w:rsidRDefault="00117253" w:rsidP="00117253">
            <w:pPr>
              <w:pStyle w:val="Ttulo"/>
              <w:jc w:val="left"/>
              <w:rPr>
                <w:rFonts w:ascii="Arial Narrow" w:hAnsi="Arial Narrow"/>
                <w:sz w:val="20"/>
                <w:szCs w:val="22"/>
              </w:rPr>
            </w:pPr>
            <w:r w:rsidRPr="00117253">
              <w:rPr>
                <w:rFonts w:ascii="Arial Narrow" w:hAnsi="Arial Narrow"/>
                <w:b/>
                <w:sz w:val="20"/>
                <w:szCs w:val="22"/>
              </w:rPr>
              <w:t xml:space="preserve">Nombre: </w:t>
            </w:r>
            <w:r w:rsidRPr="00117253">
              <w:rPr>
                <w:rFonts w:ascii="Arial Narrow" w:hAnsi="Arial Narrow"/>
                <w:sz w:val="20"/>
                <w:szCs w:val="22"/>
              </w:rPr>
              <w:t>Javier Andrés Cuéllar Sánchez</w:t>
            </w:r>
          </w:p>
          <w:p w:rsidR="00117253" w:rsidRPr="00117253" w:rsidRDefault="00117253" w:rsidP="00117253">
            <w:pPr>
              <w:pStyle w:val="Ttulo"/>
              <w:jc w:val="left"/>
              <w:rPr>
                <w:rFonts w:ascii="Arial Narrow" w:hAnsi="Arial Narrow"/>
                <w:sz w:val="20"/>
                <w:szCs w:val="22"/>
              </w:rPr>
            </w:pPr>
            <w:r w:rsidRPr="00117253">
              <w:rPr>
                <w:rFonts w:ascii="Arial Narrow" w:hAnsi="Arial Narrow"/>
                <w:b/>
                <w:sz w:val="20"/>
                <w:szCs w:val="22"/>
              </w:rPr>
              <w:t xml:space="preserve">Cargo:    </w:t>
            </w:r>
            <w:r w:rsidRPr="00117253">
              <w:rPr>
                <w:rFonts w:ascii="Arial Narrow" w:hAnsi="Arial Narrow"/>
                <w:sz w:val="20"/>
                <w:szCs w:val="22"/>
              </w:rPr>
              <w:t>Subdirector de Riesgo</w:t>
            </w:r>
          </w:p>
          <w:p w:rsidR="00117253" w:rsidRPr="00117253" w:rsidRDefault="00117253" w:rsidP="00954628">
            <w:pPr>
              <w:pStyle w:val="Piedepgina"/>
              <w:ind w:right="360"/>
              <w:jc w:val="both"/>
              <w:rPr>
                <w:rFonts w:ascii="Arial Narrow" w:hAnsi="Arial Narrow" w:cs="Arial"/>
                <w:b/>
                <w:szCs w:val="22"/>
              </w:rPr>
            </w:pPr>
            <w:r w:rsidRPr="00117253">
              <w:rPr>
                <w:rFonts w:ascii="Arial Narrow" w:hAnsi="Arial Narrow" w:cs="Arial"/>
                <w:b/>
                <w:szCs w:val="22"/>
              </w:rPr>
              <w:t xml:space="preserve">Fecha: </w:t>
            </w:r>
            <w:r>
              <w:rPr>
                <w:rFonts w:ascii="Arial Narrow" w:hAnsi="Arial Narrow" w:cs="Arial"/>
                <w:b/>
                <w:szCs w:val="22"/>
              </w:rPr>
              <w:t xml:space="preserve">    </w:t>
            </w:r>
            <w:r w:rsidRPr="00242C43">
              <w:rPr>
                <w:rFonts w:ascii="Arial Narrow" w:hAnsi="Arial Narrow"/>
                <w:szCs w:val="22"/>
              </w:rPr>
              <w:t>28-11-2018</w:t>
            </w:r>
          </w:p>
        </w:tc>
      </w:tr>
      <w:tr w:rsidR="00117253" w:rsidRPr="00117253" w:rsidTr="00954628">
        <w:trPr>
          <w:trHeight w:val="846"/>
        </w:trPr>
        <w:tc>
          <w:tcPr>
            <w:tcW w:w="2835" w:type="dxa"/>
            <w:tcBorders>
              <w:top w:val="single" w:sz="6" w:space="0" w:color="auto"/>
              <w:left w:val="single" w:sz="6" w:space="0" w:color="auto"/>
              <w:bottom w:val="single" w:sz="6" w:space="0" w:color="auto"/>
              <w:right w:val="single" w:sz="6" w:space="0" w:color="auto"/>
            </w:tcBorders>
            <w:shd w:val="clear" w:color="auto" w:fill="D9D9D9"/>
            <w:vAlign w:val="center"/>
          </w:tcPr>
          <w:p w:rsidR="00117253" w:rsidRPr="00117253" w:rsidRDefault="00117253" w:rsidP="00954628">
            <w:pPr>
              <w:pStyle w:val="Piedepgina"/>
              <w:ind w:right="360"/>
              <w:jc w:val="both"/>
              <w:rPr>
                <w:rFonts w:ascii="Arial Narrow" w:hAnsi="Arial Narrow" w:cs="Arial"/>
                <w:b/>
                <w:szCs w:val="22"/>
              </w:rPr>
            </w:pPr>
            <w:r w:rsidRPr="00117253">
              <w:rPr>
                <w:rFonts w:ascii="Arial Narrow" w:hAnsi="Arial Narrow" w:cs="Arial"/>
                <w:b/>
                <w:szCs w:val="22"/>
              </w:rPr>
              <w:t>APROBADO POR:</w:t>
            </w:r>
          </w:p>
        </w:tc>
        <w:tc>
          <w:tcPr>
            <w:tcW w:w="5957" w:type="dxa"/>
            <w:tcBorders>
              <w:top w:val="single" w:sz="6" w:space="0" w:color="auto"/>
              <w:left w:val="single" w:sz="6" w:space="0" w:color="auto"/>
              <w:bottom w:val="single" w:sz="6" w:space="0" w:color="auto"/>
              <w:right w:val="single" w:sz="6" w:space="0" w:color="auto"/>
            </w:tcBorders>
            <w:vAlign w:val="center"/>
          </w:tcPr>
          <w:p w:rsidR="00117253" w:rsidRPr="00117253" w:rsidRDefault="00117253" w:rsidP="00117253">
            <w:pPr>
              <w:pStyle w:val="Ttulo"/>
              <w:jc w:val="left"/>
              <w:rPr>
                <w:rFonts w:ascii="Arial Narrow" w:hAnsi="Arial Narrow"/>
                <w:b/>
                <w:sz w:val="20"/>
                <w:szCs w:val="22"/>
              </w:rPr>
            </w:pPr>
            <w:r w:rsidRPr="00117253">
              <w:rPr>
                <w:rFonts w:ascii="Arial Narrow" w:hAnsi="Arial Narrow"/>
                <w:b/>
                <w:sz w:val="20"/>
                <w:szCs w:val="22"/>
              </w:rPr>
              <w:t xml:space="preserve">Nombre: </w:t>
            </w:r>
            <w:r w:rsidRPr="00117253">
              <w:rPr>
                <w:rFonts w:ascii="Arial Narrow" w:hAnsi="Arial Narrow"/>
                <w:sz w:val="20"/>
                <w:szCs w:val="22"/>
              </w:rPr>
              <w:t>Cesar Augusto Arias Hernández</w:t>
            </w:r>
          </w:p>
          <w:p w:rsidR="00117253" w:rsidRPr="00117253" w:rsidRDefault="00117253" w:rsidP="00954628">
            <w:pPr>
              <w:pStyle w:val="Piedepgina"/>
              <w:tabs>
                <w:tab w:val="clear" w:pos="4252"/>
                <w:tab w:val="center" w:pos="4325"/>
              </w:tabs>
              <w:ind w:right="-70"/>
              <w:jc w:val="both"/>
              <w:rPr>
                <w:rFonts w:ascii="Arial Narrow" w:hAnsi="Arial Narrow" w:cs="Arial"/>
                <w:b/>
                <w:szCs w:val="22"/>
              </w:rPr>
            </w:pPr>
            <w:r w:rsidRPr="00117253">
              <w:rPr>
                <w:rFonts w:ascii="Arial Narrow" w:hAnsi="Arial Narrow" w:cs="Arial"/>
                <w:b/>
                <w:szCs w:val="22"/>
              </w:rPr>
              <w:t>Cargo:</w:t>
            </w:r>
            <w:r w:rsidRPr="00117253">
              <w:rPr>
                <w:rFonts w:ascii="Arial Narrow" w:hAnsi="Arial Narrow" w:cs="Arial"/>
                <w:b/>
                <w:i/>
                <w:color w:val="C00000"/>
                <w:szCs w:val="22"/>
              </w:rPr>
              <w:t xml:space="preserve"> </w:t>
            </w:r>
            <w:r>
              <w:rPr>
                <w:rFonts w:ascii="Arial Narrow" w:hAnsi="Arial Narrow" w:cs="Arial"/>
                <w:b/>
                <w:i/>
                <w:color w:val="C00000"/>
                <w:szCs w:val="22"/>
              </w:rPr>
              <w:t xml:space="preserve">    </w:t>
            </w:r>
            <w:r w:rsidRPr="00117253">
              <w:rPr>
                <w:rFonts w:ascii="Arial Narrow" w:hAnsi="Arial Narrow"/>
                <w:szCs w:val="22"/>
              </w:rPr>
              <w:t>Director General de Crédito Público y Tesoro Nacional</w:t>
            </w:r>
          </w:p>
          <w:p w:rsidR="00117253" w:rsidRPr="00117253" w:rsidRDefault="00117253" w:rsidP="00242C43">
            <w:pPr>
              <w:pStyle w:val="Piedepgina"/>
              <w:ind w:right="360"/>
              <w:jc w:val="both"/>
              <w:rPr>
                <w:rFonts w:ascii="Arial Narrow" w:hAnsi="Arial Narrow" w:cs="Arial"/>
                <w:b/>
                <w:szCs w:val="22"/>
              </w:rPr>
            </w:pPr>
            <w:r w:rsidRPr="00117253">
              <w:rPr>
                <w:rFonts w:ascii="Arial Narrow" w:hAnsi="Arial Narrow" w:cs="Arial"/>
                <w:b/>
                <w:szCs w:val="22"/>
              </w:rPr>
              <w:t xml:space="preserve">Fecha:     </w:t>
            </w:r>
            <w:r w:rsidR="00242C43" w:rsidRPr="00242C43">
              <w:rPr>
                <w:rFonts w:ascii="Arial Narrow" w:hAnsi="Arial Narrow"/>
                <w:szCs w:val="22"/>
              </w:rPr>
              <w:t>27-03-2019</w:t>
            </w:r>
            <w:r w:rsidRPr="00117253">
              <w:rPr>
                <w:rFonts w:ascii="Arial Narrow" w:hAnsi="Arial Narrow"/>
                <w:b/>
                <w:szCs w:val="22"/>
              </w:rPr>
              <w:t xml:space="preserve">  </w:t>
            </w:r>
          </w:p>
        </w:tc>
      </w:tr>
    </w:tbl>
    <w:p w:rsidR="00EE7950" w:rsidRPr="00DA65AA" w:rsidRDefault="00EE7950" w:rsidP="00171A99">
      <w:pPr>
        <w:tabs>
          <w:tab w:val="left" w:pos="3468"/>
        </w:tabs>
        <w:rPr>
          <w:rFonts w:ascii="Arial Narrow" w:hAnsi="Arial Narrow" w:cs="Arial"/>
          <w:sz w:val="24"/>
          <w:szCs w:val="24"/>
        </w:rPr>
      </w:pPr>
    </w:p>
    <w:sectPr w:rsidR="00EE7950" w:rsidRPr="00DA65AA" w:rsidSect="005E1CB4">
      <w:headerReference w:type="default" r:id="rId12"/>
      <w:footerReference w:type="default" r:id="rId13"/>
      <w:headerReference w:type="first" r:id="rId14"/>
      <w:footerReference w:type="first" r:id="rId15"/>
      <w:pgSz w:w="12242" w:h="15842"/>
      <w:pgMar w:top="1235" w:right="1701" w:bottom="1418" w:left="1701"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4628" w:rsidRDefault="00954628">
      <w:r>
        <w:separator/>
      </w:r>
    </w:p>
  </w:endnote>
  <w:endnote w:type="continuationSeparator" w:id="0">
    <w:p w:rsidR="00954628" w:rsidRDefault="009546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Identity-H">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4628" w:rsidRDefault="00954628" w:rsidP="004A0461">
    <w:pPr>
      <w:pStyle w:val="Piedepgina"/>
      <w:rPr>
        <w:rFonts w:ascii="Arial Narrow" w:hAnsi="Arial Narrow"/>
        <w:sz w:val="16"/>
        <w:szCs w:val="16"/>
        <w:lang w:val="es-CO"/>
      </w:rPr>
    </w:pPr>
  </w:p>
  <w:p w:rsidR="00954628" w:rsidRDefault="00954628" w:rsidP="004A0461">
    <w:pPr>
      <w:pStyle w:val="Piedepgina"/>
      <w:rPr>
        <w:rFonts w:ascii="Arial Narrow" w:hAnsi="Arial Narrow"/>
        <w:sz w:val="16"/>
        <w:szCs w:val="16"/>
        <w:lang w:val="es-CO"/>
      </w:rPr>
    </w:pPr>
  </w:p>
  <w:p w:rsidR="00954628" w:rsidRPr="00A57890" w:rsidRDefault="00954628" w:rsidP="00A57890">
    <w:pPr>
      <w:pStyle w:val="Piedepgina"/>
      <w:rPr>
        <w:lang w:val="en-US"/>
      </w:rPr>
    </w:pPr>
    <w:r w:rsidRPr="00B272FD">
      <w:rPr>
        <w:rFonts w:ascii="Arial Narrow" w:hAnsi="Arial Narrow"/>
        <w:sz w:val="16"/>
        <w:szCs w:val="16"/>
        <w:lang w:val="en-US"/>
      </w:rPr>
      <w:t>Est.1.4.Ins.1.Fr.13 Plantilla Manual_V.1</w:t>
    </w:r>
  </w:p>
  <w:p w:rsidR="00000000" w:rsidRPr="00242C43" w:rsidRDefault="00691AE4">
    <w:pPr>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4628" w:rsidRDefault="00954628" w:rsidP="00063D1A">
    <w:pPr>
      <w:pStyle w:val="Piedepgina"/>
      <w:rPr>
        <w:rFonts w:ascii="Arial Narrow" w:hAnsi="Arial Narrow"/>
        <w:sz w:val="16"/>
        <w:szCs w:val="16"/>
        <w:lang w:val="es-CO"/>
      </w:rPr>
    </w:pPr>
  </w:p>
  <w:p w:rsidR="00954628" w:rsidRPr="003E2226" w:rsidRDefault="00954628" w:rsidP="00063D1A">
    <w:pPr>
      <w:pStyle w:val="Piedepgina"/>
      <w:rPr>
        <w:lang w:val="es-CO"/>
      </w:rPr>
    </w:pPr>
    <w:r w:rsidRPr="003E2226">
      <w:rPr>
        <w:rFonts w:ascii="Arial Narrow" w:hAnsi="Arial Narrow"/>
        <w:sz w:val="16"/>
        <w:szCs w:val="16"/>
        <w:lang w:val="es-CO"/>
      </w:rPr>
      <w:t>Manual de Políticas de Riesgo de Mercado para los recursos administrados por la Dirección General de Crédito Público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4628" w:rsidRDefault="00954628">
      <w:r>
        <w:separator/>
      </w:r>
    </w:p>
  </w:footnote>
  <w:footnote w:type="continuationSeparator" w:id="0">
    <w:p w:rsidR="00954628" w:rsidRDefault="009546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6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785"/>
      <w:gridCol w:w="4720"/>
      <w:gridCol w:w="992"/>
      <w:gridCol w:w="1568"/>
    </w:tblGrid>
    <w:tr w:rsidR="00954628" w:rsidTr="00242C43">
      <w:trPr>
        <w:cantSplit/>
        <w:trHeight w:val="276"/>
        <w:jc w:val="center"/>
      </w:trPr>
      <w:tc>
        <w:tcPr>
          <w:tcW w:w="2785" w:type="dxa"/>
          <w:vMerge w:val="restart"/>
          <w:vAlign w:val="center"/>
        </w:tcPr>
        <w:p w:rsidR="00954628" w:rsidRDefault="00954628" w:rsidP="009371D7">
          <w:pPr>
            <w:pStyle w:val="Encabezado"/>
            <w:jc w:val="center"/>
            <w:rPr>
              <w:rFonts w:ascii="Arial" w:hAnsi="Arial"/>
            </w:rPr>
          </w:pPr>
          <w:r w:rsidRPr="008E6BEC">
            <w:rPr>
              <w:rFonts w:ascii="Arial" w:hAnsi="Arial" w:cs="Arial"/>
              <w:b/>
              <w:caps/>
              <w:noProof/>
              <w:sz w:val="14"/>
              <w:szCs w:val="14"/>
              <w:lang w:val="en-US" w:eastAsia="en-US"/>
            </w:rPr>
            <w:drawing>
              <wp:inline distT="0" distB="0" distL="0" distR="0">
                <wp:extent cx="1697355" cy="402590"/>
                <wp:effectExtent l="0" t="0" r="0" b="0"/>
                <wp:docPr id="2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l="20155" t="9831" r="56993" b="44283"/>
                        <a:stretch>
                          <a:fillRect/>
                        </a:stretch>
                      </pic:blipFill>
                      <pic:spPr bwMode="auto">
                        <a:xfrm>
                          <a:off x="0" y="0"/>
                          <a:ext cx="1697355" cy="402590"/>
                        </a:xfrm>
                        <a:prstGeom prst="rect">
                          <a:avLst/>
                        </a:prstGeom>
                        <a:noFill/>
                        <a:ln>
                          <a:noFill/>
                        </a:ln>
                      </pic:spPr>
                    </pic:pic>
                  </a:graphicData>
                </a:graphic>
              </wp:inline>
            </w:drawing>
          </w:r>
        </w:p>
      </w:tc>
      <w:tc>
        <w:tcPr>
          <w:tcW w:w="4720" w:type="dxa"/>
          <w:vMerge w:val="restart"/>
          <w:vAlign w:val="center"/>
        </w:tcPr>
        <w:p w:rsidR="00954628" w:rsidRPr="009A37A7" w:rsidRDefault="00242C43" w:rsidP="00D029EF">
          <w:pPr>
            <w:jc w:val="center"/>
            <w:rPr>
              <w:rFonts w:ascii="Arial" w:hAnsi="Arial" w:cs="Arial"/>
              <w:b/>
              <w:sz w:val="24"/>
              <w:szCs w:val="24"/>
            </w:rPr>
          </w:pPr>
          <w:r>
            <w:rPr>
              <w:rFonts w:ascii="Arial" w:hAnsi="Arial"/>
              <w:b/>
            </w:rPr>
            <w:t>Manual de políticas de riesgo de mercado para los recursos administrados por la Dirección General de Crédito Público y Tesoro Nacional</w:t>
          </w:r>
        </w:p>
      </w:tc>
      <w:tc>
        <w:tcPr>
          <w:tcW w:w="992" w:type="dxa"/>
          <w:vAlign w:val="center"/>
        </w:tcPr>
        <w:p w:rsidR="00954628" w:rsidRDefault="00954628" w:rsidP="009371D7">
          <w:pPr>
            <w:pStyle w:val="Encabezado"/>
            <w:rPr>
              <w:rFonts w:ascii="Arial" w:hAnsi="Arial" w:cs="Arial"/>
              <w:b/>
            </w:rPr>
          </w:pPr>
          <w:r>
            <w:rPr>
              <w:rFonts w:ascii="Arial" w:hAnsi="Arial"/>
              <w:b/>
            </w:rPr>
            <w:t>Código:</w:t>
          </w:r>
          <w:r>
            <w:t xml:space="preserve"> </w:t>
          </w:r>
        </w:p>
      </w:tc>
      <w:tc>
        <w:tcPr>
          <w:tcW w:w="1568" w:type="dxa"/>
          <w:vAlign w:val="center"/>
        </w:tcPr>
        <w:p w:rsidR="00954628" w:rsidRDefault="00242C43" w:rsidP="00D029EF">
          <w:pPr>
            <w:pStyle w:val="Encabezado"/>
            <w:jc w:val="center"/>
            <w:rPr>
              <w:rFonts w:ascii="Arial" w:hAnsi="Arial" w:cs="Arial"/>
              <w:b/>
            </w:rPr>
          </w:pPr>
          <w:r w:rsidRPr="00242C43">
            <w:rPr>
              <w:rFonts w:ascii="Arial" w:hAnsi="Arial" w:cs="Arial"/>
            </w:rPr>
            <w:t>Mis.3.10 Man10</w:t>
          </w:r>
        </w:p>
      </w:tc>
    </w:tr>
    <w:tr w:rsidR="00954628" w:rsidTr="00242C43">
      <w:trPr>
        <w:cantSplit/>
        <w:trHeight w:val="147"/>
        <w:jc w:val="center"/>
      </w:trPr>
      <w:tc>
        <w:tcPr>
          <w:tcW w:w="2785" w:type="dxa"/>
          <w:vMerge/>
        </w:tcPr>
        <w:p w:rsidR="00954628" w:rsidRDefault="00954628" w:rsidP="009371D7">
          <w:pPr>
            <w:pStyle w:val="Encabezado"/>
            <w:jc w:val="center"/>
            <w:rPr>
              <w:rFonts w:ascii="Arial" w:hAnsi="Arial"/>
            </w:rPr>
          </w:pPr>
        </w:p>
      </w:tc>
      <w:tc>
        <w:tcPr>
          <w:tcW w:w="4720" w:type="dxa"/>
          <w:vMerge/>
        </w:tcPr>
        <w:p w:rsidR="00954628" w:rsidRDefault="00954628" w:rsidP="009371D7">
          <w:pPr>
            <w:pStyle w:val="Encabezado"/>
            <w:jc w:val="center"/>
            <w:rPr>
              <w:rFonts w:ascii="Arial" w:hAnsi="Arial"/>
              <w:b/>
            </w:rPr>
          </w:pPr>
        </w:p>
      </w:tc>
      <w:tc>
        <w:tcPr>
          <w:tcW w:w="992" w:type="dxa"/>
          <w:vAlign w:val="center"/>
        </w:tcPr>
        <w:p w:rsidR="00954628" w:rsidRDefault="00954628" w:rsidP="009371D7">
          <w:pPr>
            <w:pStyle w:val="Encabezado"/>
            <w:rPr>
              <w:rFonts w:ascii="Arial" w:hAnsi="Arial"/>
              <w:b/>
            </w:rPr>
          </w:pPr>
          <w:r>
            <w:rPr>
              <w:rFonts w:ascii="Arial" w:hAnsi="Arial"/>
              <w:b/>
            </w:rPr>
            <w:t>Fecha:</w:t>
          </w:r>
        </w:p>
      </w:tc>
      <w:tc>
        <w:tcPr>
          <w:tcW w:w="1568" w:type="dxa"/>
          <w:vAlign w:val="center"/>
        </w:tcPr>
        <w:p w:rsidR="00954628" w:rsidRDefault="00242C43" w:rsidP="009371D7">
          <w:pPr>
            <w:pStyle w:val="Encabezado"/>
            <w:jc w:val="center"/>
            <w:rPr>
              <w:rFonts w:ascii="Arial" w:hAnsi="Arial"/>
              <w:b/>
            </w:rPr>
          </w:pPr>
          <w:r>
            <w:rPr>
              <w:rFonts w:ascii="Arial" w:hAnsi="Arial"/>
            </w:rPr>
            <w:t>27-03</w:t>
          </w:r>
          <w:r>
            <w:rPr>
              <w:rFonts w:ascii="Arial" w:hAnsi="Arial"/>
            </w:rPr>
            <w:t>-</w:t>
          </w:r>
          <w:r>
            <w:rPr>
              <w:rFonts w:ascii="Arial" w:hAnsi="Arial"/>
            </w:rPr>
            <w:t>2019</w:t>
          </w:r>
        </w:p>
      </w:tc>
    </w:tr>
    <w:tr w:rsidR="00954628" w:rsidTr="00242C43">
      <w:trPr>
        <w:cantSplit/>
        <w:trHeight w:val="147"/>
        <w:jc w:val="center"/>
      </w:trPr>
      <w:tc>
        <w:tcPr>
          <w:tcW w:w="2785" w:type="dxa"/>
          <w:vMerge/>
        </w:tcPr>
        <w:p w:rsidR="00954628" w:rsidRDefault="00954628" w:rsidP="009371D7">
          <w:pPr>
            <w:pStyle w:val="Encabezado"/>
            <w:jc w:val="center"/>
            <w:rPr>
              <w:rFonts w:ascii="Arial" w:hAnsi="Arial"/>
            </w:rPr>
          </w:pPr>
        </w:p>
      </w:tc>
      <w:tc>
        <w:tcPr>
          <w:tcW w:w="4720" w:type="dxa"/>
          <w:vMerge/>
        </w:tcPr>
        <w:p w:rsidR="00954628" w:rsidRDefault="00954628" w:rsidP="009371D7">
          <w:pPr>
            <w:pStyle w:val="Encabezado"/>
            <w:jc w:val="center"/>
            <w:rPr>
              <w:rFonts w:ascii="Arial" w:hAnsi="Arial"/>
              <w:b/>
            </w:rPr>
          </w:pPr>
        </w:p>
      </w:tc>
      <w:tc>
        <w:tcPr>
          <w:tcW w:w="992" w:type="dxa"/>
          <w:vAlign w:val="center"/>
        </w:tcPr>
        <w:p w:rsidR="00954628" w:rsidRDefault="00954628" w:rsidP="009371D7">
          <w:pPr>
            <w:pStyle w:val="Encabezado"/>
            <w:rPr>
              <w:rFonts w:ascii="Arial" w:hAnsi="Arial"/>
              <w:b/>
            </w:rPr>
          </w:pPr>
          <w:r>
            <w:rPr>
              <w:rFonts w:ascii="Arial" w:hAnsi="Arial"/>
              <w:b/>
            </w:rPr>
            <w:t xml:space="preserve">Versión: </w:t>
          </w:r>
        </w:p>
      </w:tc>
      <w:tc>
        <w:tcPr>
          <w:tcW w:w="1568" w:type="dxa"/>
          <w:vAlign w:val="center"/>
        </w:tcPr>
        <w:p w:rsidR="00954628" w:rsidRPr="00242C43" w:rsidRDefault="00242C43" w:rsidP="009371D7">
          <w:pPr>
            <w:pStyle w:val="Encabezado"/>
            <w:jc w:val="center"/>
            <w:rPr>
              <w:rFonts w:ascii="Arial" w:hAnsi="Arial"/>
            </w:rPr>
          </w:pPr>
          <w:r w:rsidRPr="00242C43">
            <w:rPr>
              <w:rFonts w:ascii="Arial" w:hAnsi="Arial"/>
            </w:rPr>
            <w:t>1</w:t>
          </w:r>
        </w:p>
      </w:tc>
    </w:tr>
    <w:tr w:rsidR="00954628" w:rsidTr="00242C43">
      <w:trPr>
        <w:cantSplit/>
        <w:trHeight w:val="148"/>
        <w:jc w:val="center"/>
      </w:trPr>
      <w:tc>
        <w:tcPr>
          <w:tcW w:w="2785" w:type="dxa"/>
          <w:vMerge/>
          <w:tcBorders>
            <w:bottom w:val="single" w:sz="4" w:space="0" w:color="auto"/>
          </w:tcBorders>
        </w:tcPr>
        <w:p w:rsidR="00954628" w:rsidRDefault="00954628" w:rsidP="009371D7">
          <w:pPr>
            <w:pStyle w:val="Encabezado"/>
            <w:jc w:val="center"/>
            <w:rPr>
              <w:rFonts w:ascii="Arial" w:hAnsi="Arial"/>
              <w:b/>
            </w:rPr>
          </w:pPr>
        </w:p>
      </w:tc>
      <w:tc>
        <w:tcPr>
          <w:tcW w:w="4720" w:type="dxa"/>
          <w:vMerge/>
          <w:tcBorders>
            <w:bottom w:val="single" w:sz="4" w:space="0" w:color="auto"/>
          </w:tcBorders>
        </w:tcPr>
        <w:p w:rsidR="00954628" w:rsidRDefault="00954628" w:rsidP="009371D7">
          <w:pPr>
            <w:pStyle w:val="Encabezado"/>
            <w:jc w:val="center"/>
            <w:rPr>
              <w:rFonts w:ascii="Arial" w:hAnsi="Arial"/>
              <w:b/>
            </w:rPr>
          </w:pPr>
        </w:p>
      </w:tc>
      <w:tc>
        <w:tcPr>
          <w:tcW w:w="992" w:type="dxa"/>
          <w:vAlign w:val="center"/>
        </w:tcPr>
        <w:p w:rsidR="00954628" w:rsidRDefault="00954628" w:rsidP="009371D7">
          <w:pPr>
            <w:pStyle w:val="Encabezado"/>
            <w:rPr>
              <w:rFonts w:ascii="Arial" w:hAnsi="Arial"/>
              <w:b/>
            </w:rPr>
          </w:pPr>
          <w:r>
            <w:rPr>
              <w:rFonts w:ascii="Arial" w:hAnsi="Arial"/>
              <w:b/>
            </w:rPr>
            <w:t xml:space="preserve">Página: </w:t>
          </w:r>
        </w:p>
      </w:tc>
      <w:tc>
        <w:tcPr>
          <w:tcW w:w="1568" w:type="dxa"/>
          <w:vAlign w:val="center"/>
        </w:tcPr>
        <w:p w:rsidR="00954628" w:rsidRPr="00242C43" w:rsidRDefault="00954628" w:rsidP="009371D7">
          <w:pPr>
            <w:pStyle w:val="Encabezado"/>
            <w:jc w:val="center"/>
            <w:rPr>
              <w:rFonts w:ascii="Arial" w:hAnsi="Arial"/>
            </w:rPr>
          </w:pPr>
          <w:r w:rsidRPr="00242C43">
            <w:rPr>
              <w:rFonts w:ascii="Arial" w:hAnsi="Arial"/>
            </w:rPr>
            <w:t xml:space="preserve">  </w:t>
          </w:r>
          <w:r w:rsidRPr="00242C43">
            <w:rPr>
              <w:rFonts w:ascii="Arial" w:hAnsi="Arial" w:cs="Arial"/>
            </w:rPr>
            <w:fldChar w:fldCharType="begin"/>
          </w:r>
          <w:r w:rsidRPr="00242C43">
            <w:rPr>
              <w:rFonts w:ascii="Arial" w:hAnsi="Arial" w:cs="Arial"/>
            </w:rPr>
            <w:instrText>PAGE  \* Arabic  \* MERGEFORMAT</w:instrText>
          </w:r>
          <w:r w:rsidRPr="00242C43">
            <w:rPr>
              <w:rFonts w:ascii="Arial" w:hAnsi="Arial" w:cs="Arial"/>
            </w:rPr>
            <w:fldChar w:fldCharType="separate"/>
          </w:r>
          <w:r w:rsidR="00691AE4">
            <w:rPr>
              <w:rFonts w:ascii="Arial" w:hAnsi="Arial" w:cs="Arial"/>
              <w:noProof/>
            </w:rPr>
            <w:t>2</w:t>
          </w:r>
          <w:r w:rsidRPr="00242C43">
            <w:rPr>
              <w:rFonts w:ascii="Arial" w:hAnsi="Arial" w:cs="Arial"/>
            </w:rPr>
            <w:fldChar w:fldCharType="end"/>
          </w:r>
          <w:r w:rsidRPr="00242C43">
            <w:rPr>
              <w:rFonts w:ascii="Arial" w:hAnsi="Arial" w:cs="Arial"/>
            </w:rPr>
            <w:t xml:space="preserve"> de </w:t>
          </w:r>
          <w:r w:rsidRPr="00242C43">
            <w:rPr>
              <w:rFonts w:ascii="Arial" w:hAnsi="Arial" w:cs="Arial"/>
            </w:rPr>
            <w:fldChar w:fldCharType="begin"/>
          </w:r>
          <w:r w:rsidRPr="00242C43">
            <w:rPr>
              <w:rFonts w:ascii="Arial" w:hAnsi="Arial" w:cs="Arial"/>
            </w:rPr>
            <w:instrText>NUMPAGES  \* Arabic  \* MERGEFORMAT</w:instrText>
          </w:r>
          <w:r w:rsidRPr="00242C43">
            <w:rPr>
              <w:rFonts w:ascii="Arial" w:hAnsi="Arial" w:cs="Arial"/>
            </w:rPr>
            <w:fldChar w:fldCharType="separate"/>
          </w:r>
          <w:r w:rsidR="00691AE4">
            <w:rPr>
              <w:rFonts w:ascii="Arial" w:hAnsi="Arial" w:cs="Arial"/>
              <w:noProof/>
            </w:rPr>
            <w:t>31</w:t>
          </w:r>
          <w:r w:rsidRPr="00242C43">
            <w:rPr>
              <w:rFonts w:ascii="Arial" w:hAnsi="Arial" w:cs="Arial"/>
            </w:rPr>
            <w:fldChar w:fldCharType="end"/>
          </w:r>
        </w:p>
      </w:tc>
    </w:tr>
  </w:tbl>
  <w:p w:rsidR="00954628" w:rsidRDefault="00954628" w:rsidP="003A6EE4">
    <w:pPr>
      <w:pStyle w:val="Encabezado"/>
      <w:rPr>
        <w:sz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6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785"/>
      <w:gridCol w:w="4720"/>
      <w:gridCol w:w="992"/>
      <w:gridCol w:w="1568"/>
    </w:tblGrid>
    <w:tr w:rsidR="00954628" w:rsidTr="00242C43">
      <w:trPr>
        <w:cantSplit/>
        <w:trHeight w:val="276"/>
        <w:jc w:val="center"/>
      </w:trPr>
      <w:tc>
        <w:tcPr>
          <w:tcW w:w="2785" w:type="dxa"/>
          <w:vMerge w:val="restart"/>
          <w:vAlign w:val="center"/>
        </w:tcPr>
        <w:p w:rsidR="00954628" w:rsidRDefault="00954628" w:rsidP="009F41A3">
          <w:pPr>
            <w:pStyle w:val="Encabezado"/>
            <w:jc w:val="center"/>
            <w:rPr>
              <w:rFonts w:ascii="Arial" w:hAnsi="Arial"/>
            </w:rPr>
          </w:pPr>
          <w:r w:rsidRPr="008E6BEC">
            <w:rPr>
              <w:rFonts w:ascii="Arial" w:hAnsi="Arial" w:cs="Arial"/>
              <w:b/>
              <w:caps/>
              <w:noProof/>
              <w:sz w:val="14"/>
              <w:szCs w:val="14"/>
              <w:lang w:val="en-US" w:eastAsia="en-US"/>
            </w:rPr>
            <w:drawing>
              <wp:inline distT="0" distB="0" distL="0" distR="0">
                <wp:extent cx="1697355" cy="402590"/>
                <wp:effectExtent l="0" t="0" r="0" b="0"/>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l="20155" t="9831" r="56993" b="44283"/>
                        <a:stretch>
                          <a:fillRect/>
                        </a:stretch>
                      </pic:blipFill>
                      <pic:spPr bwMode="auto">
                        <a:xfrm>
                          <a:off x="0" y="0"/>
                          <a:ext cx="1697355" cy="402590"/>
                        </a:xfrm>
                        <a:prstGeom prst="rect">
                          <a:avLst/>
                        </a:prstGeom>
                        <a:noFill/>
                        <a:ln>
                          <a:noFill/>
                        </a:ln>
                      </pic:spPr>
                    </pic:pic>
                  </a:graphicData>
                </a:graphic>
              </wp:inline>
            </w:drawing>
          </w:r>
        </w:p>
      </w:tc>
      <w:tc>
        <w:tcPr>
          <w:tcW w:w="4720" w:type="dxa"/>
          <w:vMerge w:val="restart"/>
          <w:vAlign w:val="center"/>
        </w:tcPr>
        <w:p w:rsidR="00954628" w:rsidRPr="009A37A7" w:rsidRDefault="00242C43" w:rsidP="00242C43">
          <w:pPr>
            <w:jc w:val="center"/>
            <w:rPr>
              <w:rFonts w:ascii="Arial" w:hAnsi="Arial" w:cs="Arial"/>
              <w:b/>
              <w:sz w:val="24"/>
              <w:szCs w:val="24"/>
            </w:rPr>
          </w:pPr>
          <w:r>
            <w:rPr>
              <w:rFonts w:ascii="Arial" w:hAnsi="Arial"/>
              <w:b/>
            </w:rPr>
            <w:t>Manual de políticas de riesgo de mercado para los recursos administrados por la Dirección General de Crédito Público y Tesoro Nacional</w:t>
          </w:r>
        </w:p>
      </w:tc>
      <w:tc>
        <w:tcPr>
          <w:tcW w:w="992" w:type="dxa"/>
          <w:vAlign w:val="center"/>
        </w:tcPr>
        <w:p w:rsidR="00954628" w:rsidRDefault="00954628" w:rsidP="009F41A3">
          <w:pPr>
            <w:pStyle w:val="Encabezado"/>
            <w:rPr>
              <w:rFonts w:ascii="Arial" w:hAnsi="Arial" w:cs="Arial"/>
              <w:b/>
            </w:rPr>
          </w:pPr>
          <w:r>
            <w:rPr>
              <w:rFonts w:ascii="Arial" w:hAnsi="Arial"/>
              <w:b/>
            </w:rPr>
            <w:t>Código:</w:t>
          </w:r>
          <w:r>
            <w:t xml:space="preserve"> </w:t>
          </w:r>
        </w:p>
      </w:tc>
      <w:tc>
        <w:tcPr>
          <w:tcW w:w="1568" w:type="dxa"/>
          <w:vAlign w:val="center"/>
        </w:tcPr>
        <w:p w:rsidR="00954628" w:rsidRPr="00242C43" w:rsidRDefault="00242C43" w:rsidP="009F41A3">
          <w:pPr>
            <w:pStyle w:val="Encabezado"/>
            <w:jc w:val="center"/>
            <w:rPr>
              <w:rFonts w:ascii="Arial" w:hAnsi="Arial" w:cs="Arial"/>
            </w:rPr>
          </w:pPr>
          <w:r w:rsidRPr="00242C43">
            <w:rPr>
              <w:rFonts w:ascii="Arial" w:hAnsi="Arial" w:cs="Arial"/>
            </w:rPr>
            <w:t>Mis.3.10 Man10</w:t>
          </w:r>
        </w:p>
      </w:tc>
    </w:tr>
    <w:tr w:rsidR="00954628" w:rsidTr="00242C43">
      <w:trPr>
        <w:cantSplit/>
        <w:trHeight w:val="147"/>
        <w:jc w:val="center"/>
      </w:trPr>
      <w:tc>
        <w:tcPr>
          <w:tcW w:w="2785" w:type="dxa"/>
          <w:vMerge/>
        </w:tcPr>
        <w:p w:rsidR="00954628" w:rsidRDefault="00954628" w:rsidP="00715C69">
          <w:pPr>
            <w:pStyle w:val="Encabezado"/>
            <w:jc w:val="center"/>
            <w:rPr>
              <w:rFonts w:ascii="Arial" w:hAnsi="Arial"/>
            </w:rPr>
          </w:pPr>
        </w:p>
      </w:tc>
      <w:tc>
        <w:tcPr>
          <w:tcW w:w="4720" w:type="dxa"/>
          <w:vMerge/>
        </w:tcPr>
        <w:p w:rsidR="00954628" w:rsidRDefault="00954628" w:rsidP="00715C69">
          <w:pPr>
            <w:pStyle w:val="Encabezado"/>
            <w:jc w:val="center"/>
            <w:rPr>
              <w:rFonts w:ascii="Arial" w:hAnsi="Arial"/>
              <w:b/>
            </w:rPr>
          </w:pPr>
        </w:p>
      </w:tc>
      <w:tc>
        <w:tcPr>
          <w:tcW w:w="992" w:type="dxa"/>
          <w:vAlign w:val="center"/>
        </w:tcPr>
        <w:p w:rsidR="00954628" w:rsidRDefault="00954628" w:rsidP="00715C69">
          <w:pPr>
            <w:pStyle w:val="Encabezado"/>
            <w:rPr>
              <w:rFonts w:ascii="Arial" w:hAnsi="Arial"/>
              <w:b/>
            </w:rPr>
          </w:pPr>
          <w:r>
            <w:rPr>
              <w:rFonts w:ascii="Arial" w:hAnsi="Arial"/>
              <w:b/>
            </w:rPr>
            <w:t>Fecha:</w:t>
          </w:r>
        </w:p>
      </w:tc>
      <w:tc>
        <w:tcPr>
          <w:tcW w:w="1568" w:type="dxa"/>
          <w:vAlign w:val="center"/>
        </w:tcPr>
        <w:p w:rsidR="00954628" w:rsidRPr="00242C43" w:rsidRDefault="00242C43" w:rsidP="00242C43">
          <w:pPr>
            <w:pStyle w:val="Encabezado"/>
            <w:jc w:val="center"/>
            <w:rPr>
              <w:rFonts w:ascii="Arial" w:hAnsi="Arial"/>
            </w:rPr>
          </w:pPr>
          <w:r>
            <w:rPr>
              <w:rFonts w:ascii="Arial" w:hAnsi="Arial"/>
            </w:rPr>
            <w:t>27-03-2019</w:t>
          </w:r>
        </w:p>
      </w:tc>
    </w:tr>
    <w:tr w:rsidR="00954628" w:rsidTr="00242C43">
      <w:trPr>
        <w:cantSplit/>
        <w:trHeight w:val="147"/>
        <w:jc w:val="center"/>
      </w:trPr>
      <w:tc>
        <w:tcPr>
          <w:tcW w:w="2785" w:type="dxa"/>
          <w:vMerge/>
        </w:tcPr>
        <w:p w:rsidR="00954628" w:rsidRDefault="00954628" w:rsidP="00715C69">
          <w:pPr>
            <w:pStyle w:val="Encabezado"/>
            <w:jc w:val="center"/>
            <w:rPr>
              <w:rFonts w:ascii="Arial" w:hAnsi="Arial"/>
            </w:rPr>
          </w:pPr>
        </w:p>
      </w:tc>
      <w:tc>
        <w:tcPr>
          <w:tcW w:w="4720" w:type="dxa"/>
          <w:vMerge/>
        </w:tcPr>
        <w:p w:rsidR="00954628" w:rsidRDefault="00954628" w:rsidP="00715C69">
          <w:pPr>
            <w:pStyle w:val="Encabezado"/>
            <w:jc w:val="center"/>
            <w:rPr>
              <w:rFonts w:ascii="Arial" w:hAnsi="Arial"/>
              <w:b/>
            </w:rPr>
          </w:pPr>
        </w:p>
      </w:tc>
      <w:tc>
        <w:tcPr>
          <w:tcW w:w="992" w:type="dxa"/>
          <w:vAlign w:val="center"/>
        </w:tcPr>
        <w:p w:rsidR="00954628" w:rsidRDefault="00954628" w:rsidP="00715C69">
          <w:pPr>
            <w:pStyle w:val="Encabezado"/>
            <w:rPr>
              <w:rFonts w:ascii="Arial" w:hAnsi="Arial"/>
              <w:b/>
            </w:rPr>
          </w:pPr>
          <w:r>
            <w:rPr>
              <w:rFonts w:ascii="Arial" w:hAnsi="Arial"/>
              <w:b/>
            </w:rPr>
            <w:t xml:space="preserve">Versión: </w:t>
          </w:r>
        </w:p>
      </w:tc>
      <w:tc>
        <w:tcPr>
          <w:tcW w:w="1568" w:type="dxa"/>
          <w:vAlign w:val="center"/>
        </w:tcPr>
        <w:p w:rsidR="00954628" w:rsidRPr="00242C43" w:rsidRDefault="00242C43" w:rsidP="00715C69">
          <w:pPr>
            <w:pStyle w:val="Encabezado"/>
            <w:jc w:val="center"/>
            <w:rPr>
              <w:rFonts w:ascii="Arial" w:hAnsi="Arial"/>
            </w:rPr>
          </w:pPr>
          <w:r>
            <w:rPr>
              <w:rFonts w:ascii="Arial" w:hAnsi="Arial"/>
            </w:rPr>
            <w:t>1</w:t>
          </w:r>
        </w:p>
      </w:tc>
    </w:tr>
    <w:tr w:rsidR="00954628" w:rsidTr="00242C43">
      <w:trPr>
        <w:cantSplit/>
        <w:trHeight w:val="148"/>
        <w:jc w:val="center"/>
      </w:trPr>
      <w:tc>
        <w:tcPr>
          <w:tcW w:w="2785" w:type="dxa"/>
          <w:vMerge/>
          <w:tcBorders>
            <w:bottom w:val="single" w:sz="4" w:space="0" w:color="auto"/>
          </w:tcBorders>
        </w:tcPr>
        <w:p w:rsidR="00954628" w:rsidRDefault="00954628" w:rsidP="00715C69">
          <w:pPr>
            <w:pStyle w:val="Encabezado"/>
            <w:jc w:val="center"/>
            <w:rPr>
              <w:rFonts w:ascii="Arial" w:hAnsi="Arial"/>
              <w:b/>
            </w:rPr>
          </w:pPr>
        </w:p>
      </w:tc>
      <w:tc>
        <w:tcPr>
          <w:tcW w:w="4720" w:type="dxa"/>
          <w:vMerge/>
          <w:tcBorders>
            <w:bottom w:val="single" w:sz="4" w:space="0" w:color="auto"/>
          </w:tcBorders>
        </w:tcPr>
        <w:p w:rsidR="00954628" w:rsidRDefault="00954628" w:rsidP="00715C69">
          <w:pPr>
            <w:pStyle w:val="Encabezado"/>
            <w:jc w:val="center"/>
            <w:rPr>
              <w:rFonts w:ascii="Arial" w:hAnsi="Arial"/>
              <w:b/>
            </w:rPr>
          </w:pPr>
        </w:p>
      </w:tc>
      <w:tc>
        <w:tcPr>
          <w:tcW w:w="992" w:type="dxa"/>
          <w:vAlign w:val="center"/>
        </w:tcPr>
        <w:p w:rsidR="00954628" w:rsidRDefault="00954628" w:rsidP="00715C69">
          <w:pPr>
            <w:pStyle w:val="Encabezado"/>
            <w:rPr>
              <w:rFonts w:ascii="Arial" w:hAnsi="Arial"/>
              <w:b/>
            </w:rPr>
          </w:pPr>
          <w:r>
            <w:rPr>
              <w:rFonts w:ascii="Arial" w:hAnsi="Arial"/>
              <w:b/>
            </w:rPr>
            <w:t xml:space="preserve">Página: </w:t>
          </w:r>
        </w:p>
      </w:tc>
      <w:tc>
        <w:tcPr>
          <w:tcW w:w="1568" w:type="dxa"/>
          <w:vAlign w:val="center"/>
        </w:tcPr>
        <w:p w:rsidR="00954628" w:rsidRPr="00242C43" w:rsidRDefault="00954628" w:rsidP="00472A79">
          <w:pPr>
            <w:pStyle w:val="Encabezado"/>
            <w:jc w:val="center"/>
            <w:rPr>
              <w:rFonts w:ascii="Arial" w:hAnsi="Arial"/>
            </w:rPr>
          </w:pPr>
          <w:r w:rsidRPr="00242C43">
            <w:rPr>
              <w:rFonts w:ascii="Arial" w:hAnsi="Arial"/>
            </w:rPr>
            <w:t xml:space="preserve">  </w:t>
          </w:r>
          <w:r w:rsidRPr="00242C43">
            <w:rPr>
              <w:rFonts w:ascii="Arial" w:hAnsi="Arial" w:cs="Arial"/>
            </w:rPr>
            <w:fldChar w:fldCharType="begin"/>
          </w:r>
          <w:r w:rsidRPr="00242C43">
            <w:rPr>
              <w:rFonts w:ascii="Arial" w:hAnsi="Arial" w:cs="Arial"/>
            </w:rPr>
            <w:instrText>PAGE  \* Arabic  \* MERGEFORMAT</w:instrText>
          </w:r>
          <w:r w:rsidRPr="00242C43">
            <w:rPr>
              <w:rFonts w:ascii="Arial" w:hAnsi="Arial" w:cs="Arial"/>
            </w:rPr>
            <w:fldChar w:fldCharType="separate"/>
          </w:r>
          <w:r w:rsidR="00691AE4">
            <w:rPr>
              <w:rFonts w:ascii="Arial" w:hAnsi="Arial" w:cs="Arial"/>
              <w:noProof/>
            </w:rPr>
            <w:t>1</w:t>
          </w:r>
          <w:r w:rsidRPr="00242C43">
            <w:rPr>
              <w:rFonts w:ascii="Arial" w:hAnsi="Arial" w:cs="Arial"/>
            </w:rPr>
            <w:fldChar w:fldCharType="end"/>
          </w:r>
          <w:r w:rsidRPr="00242C43">
            <w:rPr>
              <w:rFonts w:ascii="Arial" w:hAnsi="Arial" w:cs="Arial"/>
            </w:rPr>
            <w:t xml:space="preserve"> de </w:t>
          </w:r>
          <w:r w:rsidRPr="00242C43">
            <w:rPr>
              <w:rFonts w:ascii="Arial" w:hAnsi="Arial" w:cs="Arial"/>
            </w:rPr>
            <w:fldChar w:fldCharType="begin"/>
          </w:r>
          <w:r w:rsidRPr="00242C43">
            <w:rPr>
              <w:rFonts w:ascii="Arial" w:hAnsi="Arial" w:cs="Arial"/>
            </w:rPr>
            <w:instrText>NUMPAGES  \* Arabic  \* MERGEFORMAT</w:instrText>
          </w:r>
          <w:r w:rsidRPr="00242C43">
            <w:rPr>
              <w:rFonts w:ascii="Arial" w:hAnsi="Arial" w:cs="Arial"/>
            </w:rPr>
            <w:fldChar w:fldCharType="separate"/>
          </w:r>
          <w:r w:rsidR="00691AE4">
            <w:rPr>
              <w:rFonts w:ascii="Arial" w:hAnsi="Arial" w:cs="Arial"/>
              <w:noProof/>
            </w:rPr>
            <w:t>31</w:t>
          </w:r>
          <w:r w:rsidRPr="00242C43">
            <w:rPr>
              <w:rFonts w:ascii="Arial" w:hAnsi="Arial" w:cs="Arial"/>
            </w:rPr>
            <w:fldChar w:fldCharType="end"/>
          </w:r>
        </w:p>
      </w:tc>
    </w:tr>
  </w:tbl>
  <w:p w:rsidR="00954628" w:rsidRDefault="0095462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A0E90"/>
    <w:multiLevelType w:val="hybridMultilevel"/>
    <w:tmpl w:val="B0EA87E4"/>
    <w:lvl w:ilvl="0" w:tplc="0A2CBF6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33B21B8"/>
    <w:multiLevelType w:val="hybridMultilevel"/>
    <w:tmpl w:val="D07472D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104E4370"/>
    <w:multiLevelType w:val="hybridMultilevel"/>
    <w:tmpl w:val="E064F84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91A0B78"/>
    <w:multiLevelType w:val="hybridMultilevel"/>
    <w:tmpl w:val="3302606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A815E90"/>
    <w:multiLevelType w:val="hybridMultilevel"/>
    <w:tmpl w:val="0F1890F4"/>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40F5F81"/>
    <w:multiLevelType w:val="hybridMultilevel"/>
    <w:tmpl w:val="A28C80A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61621F7"/>
    <w:multiLevelType w:val="hybridMultilevel"/>
    <w:tmpl w:val="7BDC414C"/>
    <w:lvl w:ilvl="0" w:tplc="240A0001">
      <w:start w:val="1"/>
      <w:numFmt w:val="bullet"/>
      <w:lvlText w:val=""/>
      <w:lvlJc w:val="left"/>
      <w:pPr>
        <w:ind w:left="786" w:hanging="360"/>
      </w:pPr>
      <w:rPr>
        <w:rFonts w:ascii="Symbol" w:hAnsi="Symbol" w:hint="default"/>
      </w:rPr>
    </w:lvl>
    <w:lvl w:ilvl="1" w:tplc="240A0019" w:tentative="1">
      <w:start w:val="1"/>
      <w:numFmt w:val="lowerLetter"/>
      <w:lvlText w:val="%2."/>
      <w:lvlJc w:val="left"/>
      <w:pPr>
        <w:ind w:left="1506" w:hanging="360"/>
      </w:pPr>
    </w:lvl>
    <w:lvl w:ilvl="2" w:tplc="240A001B" w:tentative="1">
      <w:start w:val="1"/>
      <w:numFmt w:val="lowerRoman"/>
      <w:lvlText w:val="%3."/>
      <w:lvlJc w:val="right"/>
      <w:pPr>
        <w:ind w:left="2226" w:hanging="180"/>
      </w:pPr>
    </w:lvl>
    <w:lvl w:ilvl="3" w:tplc="240A000F" w:tentative="1">
      <w:start w:val="1"/>
      <w:numFmt w:val="decimal"/>
      <w:lvlText w:val="%4."/>
      <w:lvlJc w:val="left"/>
      <w:pPr>
        <w:ind w:left="2946" w:hanging="360"/>
      </w:pPr>
    </w:lvl>
    <w:lvl w:ilvl="4" w:tplc="240A0019" w:tentative="1">
      <w:start w:val="1"/>
      <w:numFmt w:val="lowerLetter"/>
      <w:lvlText w:val="%5."/>
      <w:lvlJc w:val="left"/>
      <w:pPr>
        <w:ind w:left="3666" w:hanging="360"/>
      </w:pPr>
    </w:lvl>
    <w:lvl w:ilvl="5" w:tplc="240A001B" w:tentative="1">
      <w:start w:val="1"/>
      <w:numFmt w:val="lowerRoman"/>
      <w:lvlText w:val="%6."/>
      <w:lvlJc w:val="right"/>
      <w:pPr>
        <w:ind w:left="4386" w:hanging="180"/>
      </w:pPr>
    </w:lvl>
    <w:lvl w:ilvl="6" w:tplc="240A000F" w:tentative="1">
      <w:start w:val="1"/>
      <w:numFmt w:val="decimal"/>
      <w:lvlText w:val="%7."/>
      <w:lvlJc w:val="left"/>
      <w:pPr>
        <w:ind w:left="5106" w:hanging="360"/>
      </w:pPr>
    </w:lvl>
    <w:lvl w:ilvl="7" w:tplc="240A0019" w:tentative="1">
      <w:start w:val="1"/>
      <w:numFmt w:val="lowerLetter"/>
      <w:lvlText w:val="%8."/>
      <w:lvlJc w:val="left"/>
      <w:pPr>
        <w:ind w:left="5826" w:hanging="360"/>
      </w:pPr>
    </w:lvl>
    <w:lvl w:ilvl="8" w:tplc="240A001B" w:tentative="1">
      <w:start w:val="1"/>
      <w:numFmt w:val="lowerRoman"/>
      <w:lvlText w:val="%9."/>
      <w:lvlJc w:val="right"/>
      <w:pPr>
        <w:ind w:left="6546" w:hanging="180"/>
      </w:pPr>
    </w:lvl>
  </w:abstractNum>
  <w:abstractNum w:abstractNumId="7" w15:restartNumberingAfterBreak="0">
    <w:nsid w:val="39C16898"/>
    <w:multiLevelType w:val="hybridMultilevel"/>
    <w:tmpl w:val="DB42F4C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E185200"/>
    <w:multiLevelType w:val="multilevel"/>
    <w:tmpl w:val="22706FEC"/>
    <w:lvl w:ilvl="0">
      <w:start w:val="1"/>
      <w:numFmt w:val="decimal"/>
      <w:lvlText w:val="%1."/>
      <w:lvlJc w:val="left"/>
      <w:pPr>
        <w:ind w:left="360" w:hanging="360"/>
      </w:pPr>
      <w:rPr>
        <w:rFonts w:hint="default"/>
        <w:sz w:val="24"/>
      </w:rPr>
    </w:lvl>
    <w:lvl w:ilvl="1">
      <w:start w:val="1"/>
      <w:numFmt w:val="decimal"/>
      <w:pStyle w:val="Ttulo2"/>
      <w:isLgl/>
      <w:lvlText w:val="%1.%2."/>
      <w:lvlJc w:val="left"/>
      <w:pPr>
        <w:ind w:left="1146" w:hanging="720"/>
      </w:pPr>
      <w:rPr>
        <w:rFonts w:hint="default"/>
      </w:rPr>
    </w:lvl>
    <w:lvl w:ilvl="2">
      <w:start w:val="1"/>
      <w:numFmt w:val="decimal"/>
      <w:pStyle w:val="Ttulo3"/>
      <w:isLgl/>
      <w:lvlText w:val="%1.%2.%3."/>
      <w:lvlJc w:val="left"/>
      <w:pPr>
        <w:ind w:left="720" w:hanging="720"/>
      </w:pPr>
      <w:rPr>
        <w:rFonts w:hint="default"/>
      </w:rPr>
    </w:lvl>
    <w:lvl w:ilvl="3">
      <w:start w:val="1"/>
      <w:numFmt w:val="decimal"/>
      <w:pStyle w:val="Ttulo7"/>
      <w:isLgl/>
      <w:lvlText w:val="%1.%2.%3.%4."/>
      <w:lvlJc w:val="left"/>
      <w:pPr>
        <w:ind w:left="1080" w:hanging="1080"/>
      </w:pPr>
      <w:rPr>
        <w:rFonts w:hint="default"/>
      </w:rPr>
    </w:lvl>
    <w:lvl w:ilvl="4">
      <w:start w:val="1"/>
      <w:numFmt w:val="decimal"/>
      <w:pStyle w:val="Ttulo5"/>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9" w15:restartNumberingAfterBreak="0">
    <w:nsid w:val="3ECD11DC"/>
    <w:multiLevelType w:val="hybridMultilevel"/>
    <w:tmpl w:val="ABB4CCFC"/>
    <w:lvl w:ilvl="0" w:tplc="119CFCA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467C53D1"/>
    <w:multiLevelType w:val="hybridMultilevel"/>
    <w:tmpl w:val="9A7E524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4E5F60CF"/>
    <w:multiLevelType w:val="hybridMultilevel"/>
    <w:tmpl w:val="7CF2B47C"/>
    <w:lvl w:ilvl="0" w:tplc="240A0001">
      <w:start w:val="1"/>
      <w:numFmt w:val="bullet"/>
      <w:lvlText w:val=""/>
      <w:lvlJc w:val="left"/>
      <w:pPr>
        <w:ind w:left="1080" w:hanging="72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4EFD0242"/>
    <w:multiLevelType w:val="hybridMultilevel"/>
    <w:tmpl w:val="AA2017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50BC78CD"/>
    <w:multiLevelType w:val="hybridMultilevel"/>
    <w:tmpl w:val="3F7E3AAC"/>
    <w:lvl w:ilvl="0" w:tplc="79AEA736">
      <w:start w:val="1"/>
      <w:numFmt w:val="decimal"/>
      <w:lvlText w:val="%1."/>
      <w:lvlJc w:val="left"/>
      <w:pPr>
        <w:ind w:left="720" w:hanging="360"/>
      </w:pPr>
      <w:rPr>
        <w:rFonts w:eastAsia="Batang"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4A741DD"/>
    <w:multiLevelType w:val="hybridMultilevel"/>
    <w:tmpl w:val="506EED3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5758048F"/>
    <w:multiLevelType w:val="hybridMultilevel"/>
    <w:tmpl w:val="3C62D16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5A744BC8"/>
    <w:multiLevelType w:val="hybridMultilevel"/>
    <w:tmpl w:val="1E8EB662"/>
    <w:lvl w:ilvl="0" w:tplc="240A0017">
      <w:start w:val="1"/>
      <w:numFmt w:val="lowerLetter"/>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5AF241C1"/>
    <w:multiLevelType w:val="hybridMultilevel"/>
    <w:tmpl w:val="0434BC16"/>
    <w:lvl w:ilvl="0" w:tplc="F8F09E80">
      <w:start w:val="1"/>
      <w:numFmt w:val="lowerRoman"/>
      <w:lvlText w:val="%1."/>
      <w:lvlJc w:val="right"/>
      <w:pPr>
        <w:tabs>
          <w:tab w:val="num" w:pos="777"/>
        </w:tabs>
        <w:ind w:left="774"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614C7743"/>
    <w:multiLevelType w:val="hybridMultilevel"/>
    <w:tmpl w:val="471A31B4"/>
    <w:lvl w:ilvl="0" w:tplc="240A0001">
      <w:start w:val="1"/>
      <w:numFmt w:val="bullet"/>
      <w:lvlText w:val=""/>
      <w:lvlJc w:val="left"/>
      <w:pPr>
        <w:ind w:left="1080" w:hanging="72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623D0498"/>
    <w:multiLevelType w:val="hybridMultilevel"/>
    <w:tmpl w:val="3A2E77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62E23B34"/>
    <w:multiLevelType w:val="hybridMultilevel"/>
    <w:tmpl w:val="52C0F404"/>
    <w:lvl w:ilvl="0" w:tplc="F2C88EA8">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64543A32"/>
    <w:multiLevelType w:val="hybridMultilevel"/>
    <w:tmpl w:val="8362DDD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648F1BE4"/>
    <w:multiLevelType w:val="hybridMultilevel"/>
    <w:tmpl w:val="5A143DC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65971523"/>
    <w:multiLevelType w:val="hybridMultilevel"/>
    <w:tmpl w:val="0DC0E808"/>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4" w15:restartNumberingAfterBreak="0">
    <w:nsid w:val="6E04660B"/>
    <w:multiLevelType w:val="hybridMultilevel"/>
    <w:tmpl w:val="BE9013B0"/>
    <w:lvl w:ilvl="0" w:tplc="1C80D940">
      <w:start w:val="1"/>
      <w:numFmt w:val="decimal"/>
      <w:lvlText w:val="(%1)"/>
      <w:lvlJc w:val="left"/>
      <w:pPr>
        <w:ind w:left="660" w:hanging="360"/>
      </w:pPr>
      <w:rPr>
        <w:rFonts w:hint="default"/>
      </w:rPr>
    </w:lvl>
    <w:lvl w:ilvl="1" w:tplc="240A0019" w:tentative="1">
      <w:start w:val="1"/>
      <w:numFmt w:val="lowerLetter"/>
      <w:lvlText w:val="%2."/>
      <w:lvlJc w:val="left"/>
      <w:pPr>
        <w:ind w:left="1380" w:hanging="360"/>
      </w:pPr>
    </w:lvl>
    <w:lvl w:ilvl="2" w:tplc="240A001B" w:tentative="1">
      <w:start w:val="1"/>
      <w:numFmt w:val="lowerRoman"/>
      <w:lvlText w:val="%3."/>
      <w:lvlJc w:val="right"/>
      <w:pPr>
        <w:ind w:left="2100" w:hanging="180"/>
      </w:pPr>
    </w:lvl>
    <w:lvl w:ilvl="3" w:tplc="240A000F" w:tentative="1">
      <w:start w:val="1"/>
      <w:numFmt w:val="decimal"/>
      <w:lvlText w:val="%4."/>
      <w:lvlJc w:val="left"/>
      <w:pPr>
        <w:ind w:left="2820" w:hanging="360"/>
      </w:pPr>
    </w:lvl>
    <w:lvl w:ilvl="4" w:tplc="240A0019" w:tentative="1">
      <w:start w:val="1"/>
      <w:numFmt w:val="lowerLetter"/>
      <w:lvlText w:val="%5."/>
      <w:lvlJc w:val="left"/>
      <w:pPr>
        <w:ind w:left="3540" w:hanging="360"/>
      </w:pPr>
    </w:lvl>
    <w:lvl w:ilvl="5" w:tplc="240A001B" w:tentative="1">
      <w:start w:val="1"/>
      <w:numFmt w:val="lowerRoman"/>
      <w:lvlText w:val="%6."/>
      <w:lvlJc w:val="right"/>
      <w:pPr>
        <w:ind w:left="4260" w:hanging="180"/>
      </w:pPr>
    </w:lvl>
    <w:lvl w:ilvl="6" w:tplc="240A000F" w:tentative="1">
      <w:start w:val="1"/>
      <w:numFmt w:val="decimal"/>
      <w:lvlText w:val="%7."/>
      <w:lvlJc w:val="left"/>
      <w:pPr>
        <w:ind w:left="4980" w:hanging="360"/>
      </w:pPr>
    </w:lvl>
    <w:lvl w:ilvl="7" w:tplc="240A0019" w:tentative="1">
      <w:start w:val="1"/>
      <w:numFmt w:val="lowerLetter"/>
      <w:lvlText w:val="%8."/>
      <w:lvlJc w:val="left"/>
      <w:pPr>
        <w:ind w:left="5700" w:hanging="360"/>
      </w:pPr>
    </w:lvl>
    <w:lvl w:ilvl="8" w:tplc="240A001B" w:tentative="1">
      <w:start w:val="1"/>
      <w:numFmt w:val="lowerRoman"/>
      <w:lvlText w:val="%9."/>
      <w:lvlJc w:val="right"/>
      <w:pPr>
        <w:ind w:left="6420" w:hanging="180"/>
      </w:pPr>
    </w:lvl>
  </w:abstractNum>
  <w:abstractNum w:abstractNumId="25" w15:restartNumberingAfterBreak="0">
    <w:nsid w:val="6E5C157E"/>
    <w:multiLevelType w:val="hybridMultilevel"/>
    <w:tmpl w:val="555CFB1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70664602"/>
    <w:multiLevelType w:val="hybridMultilevel"/>
    <w:tmpl w:val="ED9E68C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71CB55F9"/>
    <w:multiLevelType w:val="hybridMultilevel"/>
    <w:tmpl w:val="DA163F26"/>
    <w:lvl w:ilvl="0" w:tplc="240A001B">
      <w:start w:val="1"/>
      <w:numFmt w:val="lowerRoman"/>
      <w:lvlText w:val="%1."/>
      <w:lvlJc w:val="right"/>
      <w:pPr>
        <w:ind w:left="1287" w:hanging="720"/>
      </w:pPr>
      <w:rPr>
        <w:rFonts w:hint="default"/>
      </w:rPr>
    </w:lvl>
    <w:lvl w:ilvl="1" w:tplc="240A0019" w:tentative="1">
      <w:start w:val="1"/>
      <w:numFmt w:val="lowerLetter"/>
      <w:lvlText w:val="%2."/>
      <w:lvlJc w:val="left"/>
      <w:pPr>
        <w:ind w:left="1647" w:hanging="360"/>
      </w:pPr>
    </w:lvl>
    <w:lvl w:ilvl="2" w:tplc="240A001B" w:tentative="1">
      <w:start w:val="1"/>
      <w:numFmt w:val="lowerRoman"/>
      <w:lvlText w:val="%3."/>
      <w:lvlJc w:val="right"/>
      <w:pPr>
        <w:ind w:left="2367" w:hanging="180"/>
      </w:pPr>
    </w:lvl>
    <w:lvl w:ilvl="3" w:tplc="240A000F" w:tentative="1">
      <w:start w:val="1"/>
      <w:numFmt w:val="decimal"/>
      <w:lvlText w:val="%4."/>
      <w:lvlJc w:val="left"/>
      <w:pPr>
        <w:ind w:left="3087" w:hanging="360"/>
      </w:pPr>
    </w:lvl>
    <w:lvl w:ilvl="4" w:tplc="240A0019" w:tentative="1">
      <w:start w:val="1"/>
      <w:numFmt w:val="lowerLetter"/>
      <w:lvlText w:val="%5."/>
      <w:lvlJc w:val="left"/>
      <w:pPr>
        <w:ind w:left="3807" w:hanging="360"/>
      </w:pPr>
    </w:lvl>
    <w:lvl w:ilvl="5" w:tplc="240A001B" w:tentative="1">
      <w:start w:val="1"/>
      <w:numFmt w:val="lowerRoman"/>
      <w:lvlText w:val="%6."/>
      <w:lvlJc w:val="right"/>
      <w:pPr>
        <w:ind w:left="4527" w:hanging="180"/>
      </w:pPr>
    </w:lvl>
    <w:lvl w:ilvl="6" w:tplc="240A000F" w:tentative="1">
      <w:start w:val="1"/>
      <w:numFmt w:val="decimal"/>
      <w:lvlText w:val="%7."/>
      <w:lvlJc w:val="left"/>
      <w:pPr>
        <w:ind w:left="5247" w:hanging="360"/>
      </w:pPr>
    </w:lvl>
    <w:lvl w:ilvl="7" w:tplc="240A0019" w:tentative="1">
      <w:start w:val="1"/>
      <w:numFmt w:val="lowerLetter"/>
      <w:lvlText w:val="%8."/>
      <w:lvlJc w:val="left"/>
      <w:pPr>
        <w:ind w:left="5967" w:hanging="360"/>
      </w:pPr>
    </w:lvl>
    <w:lvl w:ilvl="8" w:tplc="240A001B" w:tentative="1">
      <w:start w:val="1"/>
      <w:numFmt w:val="lowerRoman"/>
      <w:lvlText w:val="%9."/>
      <w:lvlJc w:val="right"/>
      <w:pPr>
        <w:ind w:left="6687" w:hanging="180"/>
      </w:pPr>
    </w:lvl>
  </w:abstractNum>
  <w:abstractNum w:abstractNumId="28" w15:restartNumberingAfterBreak="0">
    <w:nsid w:val="72322D54"/>
    <w:multiLevelType w:val="hybridMultilevel"/>
    <w:tmpl w:val="69149560"/>
    <w:lvl w:ilvl="0" w:tplc="240A0001">
      <w:start w:val="1"/>
      <w:numFmt w:val="bullet"/>
      <w:lvlText w:val=""/>
      <w:lvlJc w:val="left"/>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74A82BCC"/>
    <w:multiLevelType w:val="hybridMultilevel"/>
    <w:tmpl w:val="BAAE320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7AA85694"/>
    <w:multiLevelType w:val="hybridMultilevel"/>
    <w:tmpl w:val="6D1E7C1A"/>
    <w:lvl w:ilvl="0" w:tplc="240A0001">
      <w:start w:val="1"/>
      <w:numFmt w:val="bullet"/>
      <w:lvlText w:val=""/>
      <w:lvlJc w:val="left"/>
      <w:pPr>
        <w:ind w:left="1146" w:hanging="720"/>
      </w:pPr>
      <w:rPr>
        <w:rFonts w:ascii="Symbol" w:hAnsi="Symbol" w:hint="default"/>
      </w:rPr>
    </w:lvl>
    <w:lvl w:ilvl="1" w:tplc="240A0019" w:tentative="1">
      <w:start w:val="1"/>
      <w:numFmt w:val="lowerLetter"/>
      <w:lvlText w:val="%2."/>
      <w:lvlJc w:val="left"/>
      <w:pPr>
        <w:ind w:left="1506" w:hanging="360"/>
      </w:pPr>
    </w:lvl>
    <w:lvl w:ilvl="2" w:tplc="240A001B" w:tentative="1">
      <w:start w:val="1"/>
      <w:numFmt w:val="lowerRoman"/>
      <w:lvlText w:val="%3."/>
      <w:lvlJc w:val="right"/>
      <w:pPr>
        <w:ind w:left="2226" w:hanging="180"/>
      </w:pPr>
    </w:lvl>
    <w:lvl w:ilvl="3" w:tplc="240A000F" w:tentative="1">
      <w:start w:val="1"/>
      <w:numFmt w:val="decimal"/>
      <w:lvlText w:val="%4."/>
      <w:lvlJc w:val="left"/>
      <w:pPr>
        <w:ind w:left="2946" w:hanging="360"/>
      </w:pPr>
    </w:lvl>
    <w:lvl w:ilvl="4" w:tplc="240A0019" w:tentative="1">
      <w:start w:val="1"/>
      <w:numFmt w:val="lowerLetter"/>
      <w:lvlText w:val="%5."/>
      <w:lvlJc w:val="left"/>
      <w:pPr>
        <w:ind w:left="3666" w:hanging="360"/>
      </w:pPr>
    </w:lvl>
    <w:lvl w:ilvl="5" w:tplc="240A001B" w:tentative="1">
      <w:start w:val="1"/>
      <w:numFmt w:val="lowerRoman"/>
      <w:lvlText w:val="%6."/>
      <w:lvlJc w:val="right"/>
      <w:pPr>
        <w:ind w:left="4386" w:hanging="180"/>
      </w:pPr>
    </w:lvl>
    <w:lvl w:ilvl="6" w:tplc="240A000F" w:tentative="1">
      <w:start w:val="1"/>
      <w:numFmt w:val="decimal"/>
      <w:lvlText w:val="%7."/>
      <w:lvlJc w:val="left"/>
      <w:pPr>
        <w:ind w:left="5106" w:hanging="360"/>
      </w:pPr>
    </w:lvl>
    <w:lvl w:ilvl="7" w:tplc="240A0019" w:tentative="1">
      <w:start w:val="1"/>
      <w:numFmt w:val="lowerLetter"/>
      <w:lvlText w:val="%8."/>
      <w:lvlJc w:val="left"/>
      <w:pPr>
        <w:ind w:left="5826" w:hanging="360"/>
      </w:pPr>
    </w:lvl>
    <w:lvl w:ilvl="8" w:tplc="240A001B" w:tentative="1">
      <w:start w:val="1"/>
      <w:numFmt w:val="lowerRoman"/>
      <w:lvlText w:val="%9."/>
      <w:lvlJc w:val="right"/>
      <w:pPr>
        <w:ind w:left="6546" w:hanging="180"/>
      </w:pPr>
    </w:lvl>
  </w:abstractNum>
  <w:num w:numId="1">
    <w:abstractNumId w:val="8"/>
  </w:num>
  <w:num w:numId="2">
    <w:abstractNumId w:val="16"/>
  </w:num>
  <w:num w:numId="3">
    <w:abstractNumId w:val="12"/>
  </w:num>
  <w:num w:numId="4">
    <w:abstractNumId w:val="28"/>
  </w:num>
  <w:num w:numId="5">
    <w:abstractNumId w:val="26"/>
  </w:num>
  <w:num w:numId="6">
    <w:abstractNumId w:val="2"/>
  </w:num>
  <w:num w:numId="7">
    <w:abstractNumId w:val="4"/>
  </w:num>
  <w:num w:numId="8">
    <w:abstractNumId w:val="23"/>
  </w:num>
  <w:num w:numId="9">
    <w:abstractNumId w:val="17"/>
  </w:num>
  <w:num w:numId="10">
    <w:abstractNumId w:val="27"/>
  </w:num>
  <w:num w:numId="11">
    <w:abstractNumId w:val="9"/>
  </w:num>
  <w:num w:numId="12">
    <w:abstractNumId w:val="7"/>
  </w:num>
  <w:num w:numId="13">
    <w:abstractNumId w:val="20"/>
  </w:num>
  <w:num w:numId="14">
    <w:abstractNumId w:val="22"/>
  </w:num>
  <w:num w:numId="15">
    <w:abstractNumId w:val="0"/>
  </w:num>
  <w:num w:numId="16">
    <w:abstractNumId w:val="29"/>
  </w:num>
  <w:num w:numId="17">
    <w:abstractNumId w:val="15"/>
  </w:num>
  <w:num w:numId="18">
    <w:abstractNumId w:val="21"/>
  </w:num>
  <w:num w:numId="19">
    <w:abstractNumId w:val="11"/>
  </w:num>
  <w:num w:numId="20">
    <w:abstractNumId w:val="18"/>
  </w:num>
  <w:num w:numId="21">
    <w:abstractNumId w:val="30"/>
  </w:num>
  <w:num w:numId="22">
    <w:abstractNumId w:val="6"/>
  </w:num>
  <w:num w:numId="23">
    <w:abstractNumId w:val="24"/>
  </w:num>
  <w:num w:numId="24">
    <w:abstractNumId w:val="13"/>
  </w:num>
  <w:num w:numId="25">
    <w:abstractNumId w:val="1"/>
  </w:num>
  <w:num w:numId="26">
    <w:abstractNumId w:val="25"/>
  </w:num>
  <w:num w:numId="27">
    <w:abstractNumId w:val="5"/>
  </w:num>
  <w:num w:numId="28">
    <w:abstractNumId w:val="14"/>
  </w:num>
  <w:num w:numId="29">
    <w:abstractNumId w:val="19"/>
  </w:num>
  <w:num w:numId="30">
    <w:abstractNumId w:val="10"/>
  </w:num>
  <w:num w:numId="31">
    <w:abstractNumId w:val="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BFB"/>
    <w:rsid w:val="00000AF7"/>
    <w:rsid w:val="00003938"/>
    <w:rsid w:val="000063D5"/>
    <w:rsid w:val="00021888"/>
    <w:rsid w:val="00022B38"/>
    <w:rsid w:val="00022C54"/>
    <w:rsid w:val="00022FEC"/>
    <w:rsid w:val="00035405"/>
    <w:rsid w:val="000363FA"/>
    <w:rsid w:val="00037657"/>
    <w:rsid w:val="00045B39"/>
    <w:rsid w:val="000469CF"/>
    <w:rsid w:val="00047A24"/>
    <w:rsid w:val="00050117"/>
    <w:rsid w:val="00051BB2"/>
    <w:rsid w:val="00063D1A"/>
    <w:rsid w:val="00064D60"/>
    <w:rsid w:val="000674E0"/>
    <w:rsid w:val="00072085"/>
    <w:rsid w:val="00072C48"/>
    <w:rsid w:val="000778CC"/>
    <w:rsid w:val="00083014"/>
    <w:rsid w:val="00087A0A"/>
    <w:rsid w:val="000915CA"/>
    <w:rsid w:val="000956E7"/>
    <w:rsid w:val="00095A8F"/>
    <w:rsid w:val="000977F7"/>
    <w:rsid w:val="000A42B1"/>
    <w:rsid w:val="000B092A"/>
    <w:rsid w:val="000B16C1"/>
    <w:rsid w:val="000B4F7D"/>
    <w:rsid w:val="000C09D3"/>
    <w:rsid w:val="000C1928"/>
    <w:rsid w:val="000E1069"/>
    <w:rsid w:val="000E4554"/>
    <w:rsid w:val="000F585F"/>
    <w:rsid w:val="000F6ED3"/>
    <w:rsid w:val="00101B24"/>
    <w:rsid w:val="00102614"/>
    <w:rsid w:val="0011063E"/>
    <w:rsid w:val="00117253"/>
    <w:rsid w:val="00120071"/>
    <w:rsid w:val="00131653"/>
    <w:rsid w:val="00137531"/>
    <w:rsid w:val="0014258C"/>
    <w:rsid w:val="00142FEF"/>
    <w:rsid w:val="00143357"/>
    <w:rsid w:val="00147335"/>
    <w:rsid w:val="0015312C"/>
    <w:rsid w:val="00155B8C"/>
    <w:rsid w:val="00171A99"/>
    <w:rsid w:val="00175F87"/>
    <w:rsid w:val="00183D82"/>
    <w:rsid w:val="00184FE0"/>
    <w:rsid w:val="001869CF"/>
    <w:rsid w:val="00193A4D"/>
    <w:rsid w:val="0019712C"/>
    <w:rsid w:val="001A1C63"/>
    <w:rsid w:val="001A4C39"/>
    <w:rsid w:val="001A7EDF"/>
    <w:rsid w:val="001B086F"/>
    <w:rsid w:val="001C136F"/>
    <w:rsid w:val="001C3D92"/>
    <w:rsid w:val="001D0C57"/>
    <w:rsid w:val="001D6664"/>
    <w:rsid w:val="001E756F"/>
    <w:rsid w:val="001E7A62"/>
    <w:rsid w:val="001F0483"/>
    <w:rsid w:val="001F289E"/>
    <w:rsid w:val="001F416E"/>
    <w:rsid w:val="001F67F1"/>
    <w:rsid w:val="001F779D"/>
    <w:rsid w:val="002007F5"/>
    <w:rsid w:val="00205A68"/>
    <w:rsid w:val="00210C94"/>
    <w:rsid w:val="00214097"/>
    <w:rsid w:val="002239D8"/>
    <w:rsid w:val="002277F8"/>
    <w:rsid w:val="00236220"/>
    <w:rsid w:val="002400D9"/>
    <w:rsid w:val="002409BB"/>
    <w:rsid w:val="00241A86"/>
    <w:rsid w:val="00242C43"/>
    <w:rsid w:val="002457C1"/>
    <w:rsid w:val="0025351E"/>
    <w:rsid w:val="00262411"/>
    <w:rsid w:val="002648FF"/>
    <w:rsid w:val="00264F65"/>
    <w:rsid w:val="002724A4"/>
    <w:rsid w:val="002811CE"/>
    <w:rsid w:val="002815D6"/>
    <w:rsid w:val="00282A5C"/>
    <w:rsid w:val="002830EC"/>
    <w:rsid w:val="00292688"/>
    <w:rsid w:val="00293AFA"/>
    <w:rsid w:val="00295E82"/>
    <w:rsid w:val="002972B9"/>
    <w:rsid w:val="002A62EE"/>
    <w:rsid w:val="002A7C4C"/>
    <w:rsid w:val="002D13EA"/>
    <w:rsid w:val="002D1519"/>
    <w:rsid w:val="002D3BB6"/>
    <w:rsid w:val="002E041D"/>
    <w:rsid w:val="002E2C76"/>
    <w:rsid w:val="002E2CFD"/>
    <w:rsid w:val="002E4B5F"/>
    <w:rsid w:val="002E556A"/>
    <w:rsid w:val="002F02AA"/>
    <w:rsid w:val="002F271F"/>
    <w:rsid w:val="00311433"/>
    <w:rsid w:val="00314C44"/>
    <w:rsid w:val="00326F30"/>
    <w:rsid w:val="003278E5"/>
    <w:rsid w:val="00327910"/>
    <w:rsid w:val="00331F46"/>
    <w:rsid w:val="003327D5"/>
    <w:rsid w:val="00333204"/>
    <w:rsid w:val="003375DF"/>
    <w:rsid w:val="00337E5D"/>
    <w:rsid w:val="00342616"/>
    <w:rsid w:val="003434BD"/>
    <w:rsid w:val="00353A16"/>
    <w:rsid w:val="00360C32"/>
    <w:rsid w:val="00363BAD"/>
    <w:rsid w:val="00371D47"/>
    <w:rsid w:val="00372BE9"/>
    <w:rsid w:val="00375012"/>
    <w:rsid w:val="00377878"/>
    <w:rsid w:val="003823CD"/>
    <w:rsid w:val="00384751"/>
    <w:rsid w:val="00384F28"/>
    <w:rsid w:val="00385B09"/>
    <w:rsid w:val="00386147"/>
    <w:rsid w:val="0038616B"/>
    <w:rsid w:val="00386542"/>
    <w:rsid w:val="00387816"/>
    <w:rsid w:val="0039287A"/>
    <w:rsid w:val="00397FC2"/>
    <w:rsid w:val="003A1535"/>
    <w:rsid w:val="003A2C33"/>
    <w:rsid w:val="003A6EE4"/>
    <w:rsid w:val="003B2C01"/>
    <w:rsid w:val="003B4BFB"/>
    <w:rsid w:val="003B729A"/>
    <w:rsid w:val="003B778A"/>
    <w:rsid w:val="003C066E"/>
    <w:rsid w:val="003C686A"/>
    <w:rsid w:val="003D278C"/>
    <w:rsid w:val="003D347E"/>
    <w:rsid w:val="003E1FF1"/>
    <w:rsid w:val="003E2226"/>
    <w:rsid w:val="003E28E6"/>
    <w:rsid w:val="003E450F"/>
    <w:rsid w:val="003F1038"/>
    <w:rsid w:val="003F18DA"/>
    <w:rsid w:val="003F4FAC"/>
    <w:rsid w:val="003F5745"/>
    <w:rsid w:val="003F5C7B"/>
    <w:rsid w:val="00400CB0"/>
    <w:rsid w:val="00401E07"/>
    <w:rsid w:val="00405B5B"/>
    <w:rsid w:val="00410BD2"/>
    <w:rsid w:val="00414A58"/>
    <w:rsid w:val="004206A1"/>
    <w:rsid w:val="00425472"/>
    <w:rsid w:val="00431079"/>
    <w:rsid w:val="00436166"/>
    <w:rsid w:val="00436E0B"/>
    <w:rsid w:val="00452029"/>
    <w:rsid w:val="0045365B"/>
    <w:rsid w:val="00456CA7"/>
    <w:rsid w:val="004667EF"/>
    <w:rsid w:val="0046764A"/>
    <w:rsid w:val="00471453"/>
    <w:rsid w:val="00472365"/>
    <w:rsid w:val="00472A45"/>
    <w:rsid w:val="00472A79"/>
    <w:rsid w:val="00475231"/>
    <w:rsid w:val="00475830"/>
    <w:rsid w:val="00476611"/>
    <w:rsid w:val="004857F2"/>
    <w:rsid w:val="00486BA8"/>
    <w:rsid w:val="00490620"/>
    <w:rsid w:val="00493006"/>
    <w:rsid w:val="00494E44"/>
    <w:rsid w:val="004A02FE"/>
    <w:rsid w:val="004A0461"/>
    <w:rsid w:val="004A361C"/>
    <w:rsid w:val="004A4FCE"/>
    <w:rsid w:val="004B79F3"/>
    <w:rsid w:val="004C5997"/>
    <w:rsid w:val="004D4ED1"/>
    <w:rsid w:val="004E14DA"/>
    <w:rsid w:val="004E2937"/>
    <w:rsid w:val="004E5AE1"/>
    <w:rsid w:val="004E7BF0"/>
    <w:rsid w:val="004F3D11"/>
    <w:rsid w:val="004F44EB"/>
    <w:rsid w:val="00500030"/>
    <w:rsid w:val="0050564C"/>
    <w:rsid w:val="0050701C"/>
    <w:rsid w:val="00510729"/>
    <w:rsid w:val="00510FCF"/>
    <w:rsid w:val="00513A23"/>
    <w:rsid w:val="00514D7B"/>
    <w:rsid w:val="00524CD7"/>
    <w:rsid w:val="00525A90"/>
    <w:rsid w:val="00533CDB"/>
    <w:rsid w:val="00534C2C"/>
    <w:rsid w:val="00535A29"/>
    <w:rsid w:val="00540D04"/>
    <w:rsid w:val="0054571A"/>
    <w:rsid w:val="00547CF9"/>
    <w:rsid w:val="0055158A"/>
    <w:rsid w:val="005519C8"/>
    <w:rsid w:val="005565B2"/>
    <w:rsid w:val="00556D0A"/>
    <w:rsid w:val="00557E98"/>
    <w:rsid w:val="00560C71"/>
    <w:rsid w:val="00561EE6"/>
    <w:rsid w:val="00566D2D"/>
    <w:rsid w:val="00574783"/>
    <w:rsid w:val="005755D6"/>
    <w:rsid w:val="005761C3"/>
    <w:rsid w:val="00577909"/>
    <w:rsid w:val="005944C3"/>
    <w:rsid w:val="00594C8D"/>
    <w:rsid w:val="005A0EA1"/>
    <w:rsid w:val="005A41F6"/>
    <w:rsid w:val="005A7608"/>
    <w:rsid w:val="005B0F9C"/>
    <w:rsid w:val="005D15D1"/>
    <w:rsid w:val="005D2C18"/>
    <w:rsid w:val="005D725E"/>
    <w:rsid w:val="005D7F83"/>
    <w:rsid w:val="005E1CB4"/>
    <w:rsid w:val="005E2E6E"/>
    <w:rsid w:val="005E4121"/>
    <w:rsid w:val="005E4533"/>
    <w:rsid w:val="005E669E"/>
    <w:rsid w:val="005F3D9D"/>
    <w:rsid w:val="00600BC9"/>
    <w:rsid w:val="006032C5"/>
    <w:rsid w:val="00604D3C"/>
    <w:rsid w:val="00606A95"/>
    <w:rsid w:val="00607015"/>
    <w:rsid w:val="00611C10"/>
    <w:rsid w:val="00611C5F"/>
    <w:rsid w:val="00615496"/>
    <w:rsid w:val="00615BD6"/>
    <w:rsid w:val="00620D0C"/>
    <w:rsid w:val="006222AA"/>
    <w:rsid w:val="00622AE5"/>
    <w:rsid w:val="00626373"/>
    <w:rsid w:val="00630D8A"/>
    <w:rsid w:val="00634673"/>
    <w:rsid w:val="00643B2D"/>
    <w:rsid w:val="00652842"/>
    <w:rsid w:val="0065350D"/>
    <w:rsid w:val="00655C8F"/>
    <w:rsid w:val="006564E6"/>
    <w:rsid w:val="00656CE8"/>
    <w:rsid w:val="006576A0"/>
    <w:rsid w:val="006579B0"/>
    <w:rsid w:val="00663352"/>
    <w:rsid w:val="00670D20"/>
    <w:rsid w:val="0067548E"/>
    <w:rsid w:val="00675582"/>
    <w:rsid w:val="006761A3"/>
    <w:rsid w:val="00676EFE"/>
    <w:rsid w:val="006771ED"/>
    <w:rsid w:val="006865B0"/>
    <w:rsid w:val="00690FF1"/>
    <w:rsid w:val="00691AE4"/>
    <w:rsid w:val="006A09EA"/>
    <w:rsid w:val="006A1555"/>
    <w:rsid w:val="006B056D"/>
    <w:rsid w:val="006B15F1"/>
    <w:rsid w:val="006B198A"/>
    <w:rsid w:val="006B5B82"/>
    <w:rsid w:val="006B6A88"/>
    <w:rsid w:val="006B7441"/>
    <w:rsid w:val="006C06DA"/>
    <w:rsid w:val="006C5D5F"/>
    <w:rsid w:val="006C63CF"/>
    <w:rsid w:val="006D05AD"/>
    <w:rsid w:val="006D1283"/>
    <w:rsid w:val="006D3997"/>
    <w:rsid w:val="006E3ACC"/>
    <w:rsid w:val="006E3F80"/>
    <w:rsid w:val="006F4C6D"/>
    <w:rsid w:val="006F6E91"/>
    <w:rsid w:val="007007D9"/>
    <w:rsid w:val="007017D6"/>
    <w:rsid w:val="007036E3"/>
    <w:rsid w:val="00703C9C"/>
    <w:rsid w:val="00704835"/>
    <w:rsid w:val="00704BAC"/>
    <w:rsid w:val="007056EA"/>
    <w:rsid w:val="007115E6"/>
    <w:rsid w:val="007123FF"/>
    <w:rsid w:val="0071376A"/>
    <w:rsid w:val="00715C69"/>
    <w:rsid w:val="00720D81"/>
    <w:rsid w:val="00725B97"/>
    <w:rsid w:val="0072727E"/>
    <w:rsid w:val="007322C8"/>
    <w:rsid w:val="00733C7F"/>
    <w:rsid w:val="00745947"/>
    <w:rsid w:val="00755DA2"/>
    <w:rsid w:val="0075716D"/>
    <w:rsid w:val="00773094"/>
    <w:rsid w:val="00780A33"/>
    <w:rsid w:val="00780D87"/>
    <w:rsid w:val="00781E3A"/>
    <w:rsid w:val="0078679A"/>
    <w:rsid w:val="007920F8"/>
    <w:rsid w:val="007A17A0"/>
    <w:rsid w:val="007A4604"/>
    <w:rsid w:val="007A47A0"/>
    <w:rsid w:val="007A4A9B"/>
    <w:rsid w:val="007A7E06"/>
    <w:rsid w:val="007B0E17"/>
    <w:rsid w:val="007B32F3"/>
    <w:rsid w:val="007C5522"/>
    <w:rsid w:val="007C5ADC"/>
    <w:rsid w:val="007C65AF"/>
    <w:rsid w:val="007C6DFB"/>
    <w:rsid w:val="007C71EE"/>
    <w:rsid w:val="007C74E6"/>
    <w:rsid w:val="007D5B30"/>
    <w:rsid w:val="007E0751"/>
    <w:rsid w:val="007E6544"/>
    <w:rsid w:val="007F1B74"/>
    <w:rsid w:val="007F39A4"/>
    <w:rsid w:val="0080382D"/>
    <w:rsid w:val="00804F18"/>
    <w:rsid w:val="008122B1"/>
    <w:rsid w:val="00812745"/>
    <w:rsid w:val="0081339E"/>
    <w:rsid w:val="0081362B"/>
    <w:rsid w:val="0081583A"/>
    <w:rsid w:val="00821D43"/>
    <w:rsid w:val="00822562"/>
    <w:rsid w:val="0082313F"/>
    <w:rsid w:val="00826516"/>
    <w:rsid w:val="00830B40"/>
    <w:rsid w:val="00844A95"/>
    <w:rsid w:val="00854CDF"/>
    <w:rsid w:val="00857116"/>
    <w:rsid w:val="008636B6"/>
    <w:rsid w:val="008653EE"/>
    <w:rsid w:val="00867753"/>
    <w:rsid w:val="0087090D"/>
    <w:rsid w:val="00870964"/>
    <w:rsid w:val="00871018"/>
    <w:rsid w:val="0087418B"/>
    <w:rsid w:val="008809E7"/>
    <w:rsid w:val="00882366"/>
    <w:rsid w:val="00883C2A"/>
    <w:rsid w:val="00892F0B"/>
    <w:rsid w:val="008B4895"/>
    <w:rsid w:val="008B58C2"/>
    <w:rsid w:val="008B660F"/>
    <w:rsid w:val="008B7DBF"/>
    <w:rsid w:val="008E38B4"/>
    <w:rsid w:val="008E44CA"/>
    <w:rsid w:val="008E6BEC"/>
    <w:rsid w:val="008E6E7A"/>
    <w:rsid w:val="008F0E72"/>
    <w:rsid w:val="008F55CA"/>
    <w:rsid w:val="0090151D"/>
    <w:rsid w:val="0091158D"/>
    <w:rsid w:val="00914CC9"/>
    <w:rsid w:val="00917268"/>
    <w:rsid w:val="0092547E"/>
    <w:rsid w:val="009264AA"/>
    <w:rsid w:val="009279C2"/>
    <w:rsid w:val="00932B30"/>
    <w:rsid w:val="009371D7"/>
    <w:rsid w:val="0094407F"/>
    <w:rsid w:val="009529B4"/>
    <w:rsid w:val="00954628"/>
    <w:rsid w:val="00974849"/>
    <w:rsid w:val="009750E0"/>
    <w:rsid w:val="00976124"/>
    <w:rsid w:val="00977B45"/>
    <w:rsid w:val="009808D0"/>
    <w:rsid w:val="00982327"/>
    <w:rsid w:val="00991636"/>
    <w:rsid w:val="009A37A7"/>
    <w:rsid w:val="009B2088"/>
    <w:rsid w:val="009B3218"/>
    <w:rsid w:val="009B3CFC"/>
    <w:rsid w:val="009B3F2A"/>
    <w:rsid w:val="009C23A7"/>
    <w:rsid w:val="009C420F"/>
    <w:rsid w:val="009C441F"/>
    <w:rsid w:val="009C53A3"/>
    <w:rsid w:val="009C722F"/>
    <w:rsid w:val="009D7458"/>
    <w:rsid w:val="009E0FDB"/>
    <w:rsid w:val="009F41A3"/>
    <w:rsid w:val="00A0515B"/>
    <w:rsid w:val="00A10F14"/>
    <w:rsid w:val="00A14ED4"/>
    <w:rsid w:val="00A15198"/>
    <w:rsid w:val="00A21B40"/>
    <w:rsid w:val="00A23D16"/>
    <w:rsid w:val="00A3796D"/>
    <w:rsid w:val="00A400C2"/>
    <w:rsid w:val="00A51563"/>
    <w:rsid w:val="00A52CBB"/>
    <w:rsid w:val="00A57890"/>
    <w:rsid w:val="00A6161F"/>
    <w:rsid w:val="00A65C7E"/>
    <w:rsid w:val="00A668FF"/>
    <w:rsid w:val="00A67D94"/>
    <w:rsid w:val="00A723B1"/>
    <w:rsid w:val="00A75E56"/>
    <w:rsid w:val="00A77321"/>
    <w:rsid w:val="00A848B1"/>
    <w:rsid w:val="00A86001"/>
    <w:rsid w:val="00A86089"/>
    <w:rsid w:val="00A8722D"/>
    <w:rsid w:val="00A95CE9"/>
    <w:rsid w:val="00AB03D9"/>
    <w:rsid w:val="00AB4ECC"/>
    <w:rsid w:val="00AB715C"/>
    <w:rsid w:val="00AB763A"/>
    <w:rsid w:val="00AC74D3"/>
    <w:rsid w:val="00AD5875"/>
    <w:rsid w:val="00AE5F0A"/>
    <w:rsid w:val="00AE6EF5"/>
    <w:rsid w:val="00AF4B62"/>
    <w:rsid w:val="00B012FC"/>
    <w:rsid w:val="00B07CF2"/>
    <w:rsid w:val="00B10CBA"/>
    <w:rsid w:val="00B1239C"/>
    <w:rsid w:val="00B1289E"/>
    <w:rsid w:val="00B130ED"/>
    <w:rsid w:val="00B20B34"/>
    <w:rsid w:val="00B234BF"/>
    <w:rsid w:val="00B23CD7"/>
    <w:rsid w:val="00B272FD"/>
    <w:rsid w:val="00B30209"/>
    <w:rsid w:val="00B30928"/>
    <w:rsid w:val="00B41296"/>
    <w:rsid w:val="00B41743"/>
    <w:rsid w:val="00B4360D"/>
    <w:rsid w:val="00B44AF0"/>
    <w:rsid w:val="00B52F57"/>
    <w:rsid w:val="00B53EA8"/>
    <w:rsid w:val="00B56F8B"/>
    <w:rsid w:val="00B614BC"/>
    <w:rsid w:val="00B65552"/>
    <w:rsid w:val="00B66D95"/>
    <w:rsid w:val="00B75139"/>
    <w:rsid w:val="00B76D25"/>
    <w:rsid w:val="00B77336"/>
    <w:rsid w:val="00B91C84"/>
    <w:rsid w:val="00B92904"/>
    <w:rsid w:val="00BA388C"/>
    <w:rsid w:val="00BA5D73"/>
    <w:rsid w:val="00BB09A0"/>
    <w:rsid w:val="00BB7D0E"/>
    <w:rsid w:val="00BC0ADE"/>
    <w:rsid w:val="00BC5018"/>
    <w:rsid w:val="00BD226D"/>
    <w:rsid w:val="00BD60F1"/>
    <w:rsid w:val="00BE6950"/>
    <w:rsid w:val="00BE6ABE"/>
    <w:rsid w:val="00BF02B1"/>
    <w:rsid w:val="00BF28DD"/>
    <w:rsid w:val="00BF3745"/>
    <w:rsid w:val="00BF4EEE"/>
    <w:rsid w:val="00BF7F26"/>
    <w:rsid w:val="00C00086"/>
    <w:rsid w:val="00C000E5"/>
    <w:rsid w:val="00C164C6"/>
    <w:rsid w:val="00C221C4"/>
    <w:rsid w:val="00C24C9B"/>
    <w:rsid w:val="00C30CC6"/>
    <w:rsid w:val="00C3411F"/>
    <w:rsid w:val="00C35E57"/>
    <w:rsid w:val="00C35F84"/>
    <w:rsid w:val="00C37ED3"/>
    <w:rsid w:val="00C408EF"/>
    <w:rsid w:val="00C40F45"/>
    <w:rsid w:val="00C424A7"/>
    <w:rsid w:val="00C43516"/>
    <w:rsid w:val="00C45C23"/>
    <w:rsid w:val="00C47CA4"/>
    <w:rsid w:val="00C47DFB"/>
    <w:rsid w:val="00C508E6"/>
    <w:rsid w:val="00C5105C"/>
    <w:rsid w:val="00C51843"/>
    <w:rsid w:val="00C5184B"/>
    <w:rsid w:val="00C53565"/>
    <w:rsid w:val="00C55185"/>
    <w:rsid w:val="00C579F8"/>
    <w:rsid w:val="00C6353D"/>
    <w:rsid w:val="00C65D11"/>
    <w:rsid w:val="00C66DF0"/>
    <w:rsid w:val="00C66DFA"/>
    <w:rsid w:val="00C72D97"/>
    <w:rsid w:val="00C93704"/>
    <w:rsid w:val="00C9489C"/>
    <w:rsid w:val="00C95485"/>
    <w:rsid w:val="00C95CE0"/>
    <w:rsid w:val="00CA27AC"/>
    <w:rsid w:val="00CA787C"/>
    <w:rsid w:val="00CB26AD"/>
    <w:rsid w:val="00CB4196"/>
    <w:rsid w:val="00CC12BC"/>
    <w:rsid w:val="00CC4DD8"/>
    <w:rsid w:val="00CC6DA2"/>
    <w:rsid w:val="00CD1BA9"/>
    <w:rsid w:val="00CD3A73"/>
    <w:rsid w:val="00CD3D5A"/>
    <w:rsid w:val="00CD797D"/>
    <w:rsid w:val="00CE1921"/>
    <w:rsid w:val="00CE79BB"/>
    <w:rsid w:val="00CF5454"/>
    <w:rsid w:val="00CF6C5F"/>
    <w:rsid w:val="00D029EF"/>
    <w:rsid w:val="00D03ACB"/>
    <w:rsid w:val="00D123C4"/>
    <w:rsid w:val="00D221DD"/>
    <w:rsid w:val="00D255E3"/>
    <w:rsid w:val="00D26192"/>
    <w:rsid w:val="00D3355A"/>
    <w:rsid w:val="00D33F4D"/>
    <w:rsid w:val="00D347FC"/>
    <w:rsid w:val="00D34C5C"/>
    <w:rsid w:val="00D4131C"/>
    <w:rsid w:val="00D41D63"/>
    <w:rsid w:val="00D672F8"/>
    <w:rsid w:val="00D72D8F"/>
    <w:rsid w:val="00D733D2"/>
    <w:rsid w:val="00D745CE"/>
    <w:rsid w:val="00D74945"/>
    <w:rsid w:val="00D77102"/>
    <w:rsid w:val="00D851BD"/>
    <w:rsid w:val="00D91A5B"/>
    <w:rsid w:val="00D92917"/>
    <w:rsid w:val="00D9330E"/>
    <w:rsid w:val="00D9412B"/>
    <w:rsid w:val="00DA0835"/>
    <w:rsid w:val="00DA13FB"/>
    <w:rsid w:val="00DA65AA"/>
    <w:rsid w:val="00DA72D1"/>
    <w:rsid w:val="00DA7511"/>
    <w:rsid w:val="00DB0A03"/>
    <w:rsid w:val="00DB347D"/>
    <w:rsid w:val="00DC036D"/>
    <w:rsid w:val="00DC3F2C"/>
    <w:rsid w:val="00DC5FFC"/>
    <w:rsid w:val="00DD79BE"/>
    <w:rsid w:val="00DE3810"/>
    <w:rsid w:val="00DE4E79"/>
    <w:rsid w:val="00DE505F"/>
    <w:rsid w:val="00DF5FD9"/>
    <w:rsid w:val="00DF643E"/>
    <w:rsid w:val="00E00CE9"/>
    <w:rsid w:val="00E02FE8"/>
    <w:rsid w:val="00E076DE"/>
    <w:rsid w:val="00E07D63"/>
    <w:rsid w:val="00E11FDA"/>
    <w:rsid w:val="00E16904"/>
    <w:rsid w:val="00E16949"/>
    <w:rsid w:val="00E25DA1"/>
    <w:rsid w:val="00E342A2"/>
    <w:rsid w:val="00E355C8"/>
    <w:rsid w:val="00E50031"/>
    <w:rsid w:val="00E51E1D"/>
    <w:rsid w:val="00E530EF"/>
    <w:rsid w:val="00E6512B"/>
    <w:rsid w:val="00E66534"/>
    <w:rsid w:val="00E702B9"/>
    <w:rsid w:val="00E7577C"/>
    <w:rsid w:val="00E7687A"/>
    <w:rsid w:val="00E77DD0"/>
    <w:rsid w:val="00E84233"/>
    <w:rsid w:val="00E923F4"/>
    <w:rsid w:val="00EA3232"/>
    <w:rsid w:val="00EA4651"/>
    <w:rsid w:val="00EC1FD5"/>
    <w:rsid w:val="00EC4AA7"/>
    <w:rsid w:val="00EC52C8"/>
    <w:rsid w:val="00ED2BFC"/>
    <w:rsid w:val="00ED5697"/>
    <w:rsid w:val="00EE1127"/>
    <w:rsid w:val="00EE6F03"/>
    <w:rsid w:val="00EE7950"/>
    <w:rsid w:val="00EF2F04"/>
    <w:rsid w:val="00EF5AA4"/>
    <w:rsid w:val="00F0019B"/>
    <w:rsid w:val="00F006C1"/>
    <w:rsid w:val="00F00DF9"/>
    <w:rsid w:val="00F05745"/>
    <w:rsid w:val="00F13279"/>
    <w:rsid w:val="00F162AF"/>
    <w:rsid w:val="00F20FC3"/>
    <w:rsid w:val="00F25B8A"/>
    <w:rsid w:val="00F312B9"/>
    <w:rsid w:val="00F368E9"/>
    <w:rsid w:val="00F373F2"/>
    <w:rsid w:val="00F41600"/>
    <w:rsid w:val="00F42314"/>
    <w:rsid w:val="00F46C4E"/>
    <w:rsid w:val="00F5305E"/>
    <w:rsid w:val="00F55465"/>
    <w:rsid w:val="00F62A68"/>
    <w:rsid w:val="00F62D49"/>
    <w:rsid w:val="00F63578"/>
    <w:rsid w:val="00F6440B"/>
    <w:rsid w:val="00F65272"/>
    <w:rsid w:val="00F76949"/>
    <w:rsid w:val="00F82DEA"/>
    <w:rsid w:val="00F83FB3"/>
    <w:rsid w:val="00F94126"/>
    <w:rsid w:val="00F9741E"/>
    <w:rsid w:val="00FB181C"/>
    <w:rsid w:val="00FB363D"/>
    <w:rsid w:val="00FB5252"/>
    <w:rsid w:val="00FC0F0B"/>
    <w:rsid w:val="00FC21F1"/>
    <w:rsid w:val="00FC6E04"/>
    <w:rsid w:val="00FC7B17"/>
    <w:rsid w:val="00FD7C27"/>
    <w:rsid w:val="00FE05AC"/>
    <w:rsid w:val="00FE32FC"/>
    <w:rsid w:val="00FE4210"/>
    <w:rsid w:val="00FE52EC"/>
    <w:rsid w:val="00FE7839"/>
    <w:rsid w:val="00FF012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104FF67"/>
  <w15:chartTrackingRefBased/>
  <w15:docId w15:val="{27E9C724-928F-4902-8F91-F9EAF9351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footnote text" w:uiPriority="99"/>
    <w:lsdException w:name="header" w:uiPriority="99"/>
    <w:lsdException w:name="caption" w:semiHidden="1" w:unhideWhenUsed="1" w:qFormat="1"/>
    <w:lsdException w:name="footnote reference" w:uiPriority="99"/>
    <w:lsdException w:name="Title" w:uiPriority="10"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ES" w:eastAsia="es-ES"/>
    </w:rPr>
  </w:style>
  <w:style w:type="paragraph" w:styleId="Ttulo1">
    <w:name w:val="heading 1"/>
    <w:basedOn w:val="Normal"/>
    <w:next w:val="Normal"/>
    <w:uiPriority w:val="9"/>
    <w:qFormat/>
    <w:pPr>
      <w:keepNext/>
      <w:widowControl w:val="0"/>
      <w:jc w:val="center"/>
      <w:outlineLvl w:val="0"/>
    </w:pPr>
    <w:rPr>
      <w:b/>
      <w:sz w:val="18"/>
    </w:rPr>
  </w:style>
  <w:style w:type="paragraph" w:styleId="Ttulo2">
    <w:name w:val="heading 2"/>
    <w:basedOn w:val="Normal"/>
    <w:next w:val="Normal"/>
    <w:qFormat/>
    <w:rsid w:val="0014258C"/>
    <w:pPr>
      <w:numPr>
        <w:ilvl w:val="1"/>
        <w:numId w:val="1"/>
      </w:numPr>
      <w:ind w:left="426" w:hanging="426"/>
      <w:jc w:val="both"/>
      <w:outlineLvl w:val="1"/>
    </w:pPr>
    <w:rPr>
      <w:rFonts w:ascii="Arial Narrow" w:hAnsi="Arial Narrow" w:cs="Arial"/>
      <w:b/>
      <w:sz w:val="24"/>
      <w:szCs w:val="24"/>
      <w:lang w:val="es-CO"/>
    </w:rPr>
  </w:style>
  <w:style w:type="paragraph" w:styleId="Ttulo3">
    <w:name w:val="heading 3"/>
    <w:basedOn w:val="Normal"/>
    <w:next w:val="Normal"/>
    <w:qFormat/>
    <w:rsid w:val="00BC5018"/>
    <w:pPr>
      <w:keepNext/>
      <w:widowControl w:val="0"/>
      <w:numPr>
        <w:ilvl w:val="2"/>
        <w:numId w:val="1"/>
      </w:numPr>
      <w:outlineLvl w:val="2"/>
    </w:pPr>
    <w:rPr>
      <w:rFonts w:ascii="Arial Narrow" w:hAnsi="Arial Narrow"/>
      <w:b/>
      <w:sz w:val="24"/>
      <w:szCs w:val="24"/>
      <w:u w:val="single"/>
    </w:rPr>
  </w:style>
  <w:style w:type="paragraph" w:styleId="Ttulo4">
    <w:name w:val="heading 4"/>
    <w:basedOn w:val="Normal"/>
    <w:next w:val="Normal"/>
    <w:qFormat/>
    <w:rsid w:val="006D1283"/>
    <w:pPr>
      <w:ind w:left="1080" w:hanging="1080"/>
      <w:jc w:val="both"/>
      <w:outlineLvl w:val="3"/>
    </w:pPr>
    <w:rPr>
      <w:rFonts w:ascii="Arial Narrow" w:hAnsi="Arial Narrow" w:cs="Arial"/>
      <w:b/>
      <w:sz w:val="24"/>
    </w:rPr>
  </w:style>
  <w:style w:type="paragraph" w:styleId="Ttulo5">
    <w:name w:val="heading 5"/>
    <w:basedOn w:val="Normal"/>
    <w:next w:val="Normal"/>
    <w:qFormat/>
    <w:rsid w:val="00954628"/>
    <w:pPr>
      <w:numPr>
        <w:ilvl w:val="4"/>
        <w:numId w:val="1"/>
      </w:numPr>
      <w:outlineLvl w:val="4"/>
    </w:pPr>
    <w:rPr>
      <w:rFonts w:ascii="Arial Narrow" w:hAnsi="Arial Narrow" w:cs="Arial"/>
      <w:b/>
      <w:sz w:val="24"/>
    </w:rPr>
  </w:style>
  <w:style w:type="paragraph" w:styleId="Ttulo6">
    <w:name w:val="heading 6"/>
    <w:basedOn w:val="Normal"/>
    <w:next w:val="Normal"/>
    <w:qFormat/>
    <w:pPr>
      <w:keepNext/>
      <w:jc w:val="center"/>
      <w:outlineLvl w:val="5"/>
    </w:pPr>
    <w:rPr>
      <w:rFonts w:ascii="Arial" w:hAnsi="Arial"/>
      <w:b/>
    </w:rPr>
  </w:style>
  <w:style w:type="paragraph" w:styleId="Ttulo7">
    <w:name w:val="heading 7"/>
    <w:basedOn w:val="Normal"/>
    <w:next w:val="Normal"/>
    <w:qFormat/>
    <w:rsid w:val="00475830"/>
    <w:pPr>
      <w:numPr>
        <w:ilvl w:val="3"/>
        <w:numId w:val="1"/>
      </w:numPr>
      <w:jc w:val="both"/>
      <w:outlineLvl w:val="6"/>
    </w:pPr>
    <w:rPr>
      <w:rFonts w:ascii="Arial Narrow" w:hAnsi="Arial Narrow" w:cs="Arial"/>
      <w:b/>
      <w:sz w:val="24"/>
    </w:rPr>
  </w:style>
  <w:style w:type="paragraph" w:styleId="Ttulo8">
    <w:name w:val="heading 8"/>
    <w:basedOn w:val="Normal"/>
    <w:next w:val="Normal"/>
    <w:qFormat/>
    <w:pPr>
      <w:keepNext/>
      <w:widowControl w:val="0"/>
      <w:jc w:val="both"/>
      <w:outlineLvl w:val="7"/>
    </w:pPr>
    <w:rPr>
      <w:sz w:val="24"/>
    </w:rPr>
  </w:style>
  <w:style w:type="paragraph" w:styleId="Ttulo9">
    <w:name w:val="heading 9"/>
    <w:basedOn w:val="Normal"/>
    <w:next w:val="Normal"/>
    <w:qFormat/>
    <w:pPr>
      <w:keepNext/>
      <w:widowControl w:val="0"/>
      <w:ind w:left="2835" w:hanging="2835"/>
      <w:jc w:val="both"/>
      <w:outlineLvl w:val="8"/>
    </w:pPr>
    <w:rPr>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3">
    <w:name w:val="Body Text 3"/>
    <w:basedOn w:val="Normal"/>
    <w:pPr>
      <w:jc w:val="both"/>
    </w:pPr>
  </w:style>
  <w:style w:type="paragraph" w:styleId="Encabezado">
    <w:name w:val="header"/>
    <w:basedOn w:val="Normal"/>
    <w:link w:val="EncabezadoCar"/>
    <w:uiPriority w:val="99"/>
    <w:pPr>
      <w:widowControl w:val="0"/>
      <w:tabs>
        <w:tab w:val="center" w:pos="4252"/>
        <w:tab w:val="right" w:pos="8504"/>
      </w:tabs>
    </w:pPr>
  </w:style>
  <w:style w:type="character" w:styleId="Nmerodepgina">
    <w:name w:val="page number"/>
    <w:rPr>
      <w:sz w:val="20"/>
    </w:rPr>
  </w:style>
  <w:style w:type="paragraph" w:customStyle="1" w:styleId="Sangra2detindependiente1">
    <w:name w:val="Sangría 2 de t. independiente1"/>
    <w:basedOn w:val="Normal"/>
    <w:pPr>
      <w:widowControl w:val="0"/>
      <w:ind w:left="2124" w:hanging="2124"/>
      <w:jc w:val="both"/>
    </w:pPr>
    <w:rPr>
      <w:sz w:val="24"/>
    </w:rPr>
  </w:style>
  <w:style w:type="paragraph" w:styleId="Piedepgina">
    <w:name w:val="footer"/>
    <w:basedOn w:val="Normal"/>
    <w:link w:val="PiedepginaCar"/>
    <w:pPr>
      <w:widowControl w:val="0"/>
      <w:tabs>
        <w:tab w:val="center" w:pos="4252"/>
        <w:tab w:val="right" w:pos="8504"/>
      </w:tabs>
    </w:pPr>
  </w:style>
  <w:style w:type="paragraph" w:styleId="Textoindependiente">
    <w:name w:val="Body Text"/>
    <w:basedOn w:val="Normal"/>
    <w:pPr>
      <w:widowControl w:val="0"/>
      <w:jc w:val="both"/>
    </w:pPr>
    <w:rPr>
      <w:sz w:val="24"/>
    </w:rPr>
  </w:style>
  <w:style w:type="paragraph" w:customStyle="1" w:styleId="Sangra3detindependiente1">
    <w:name w:val="Sangría 3 de t. independiente1"/>
    <w:basedOn w:val="Normal"/>
    <w:pPr>
      <w:widowControl w:val="0"/>
      <w:ind w:left="2127" w:hanging="2127"/>
      <w:jc w:val="both"/>
    </w:pPr>
    <w:rPr>
      <w:sz w:val="24"/>
    </w:rPr>
  </w:style>
  <w:style w:type="paragraph" w:styleId="Textoindependiente2">
    <w:name w:val="Body Text 2"/>
    <w:basedOn w:val="Normal"/>
    <w:rPr>
      <w:sz w:val="16"/>
    </w:rPr>
  </w:style>
  <w:style w:type="paragraph" w:styleId="Sangra3detindependiente">
    <w:name w:val="Body Text Indent 3"/>
    <w:basedOn w:val="Normal"/>
    <w:pPr>
      <w:widowControl w:val="0"/>
      <w:ind w:left="-284"/>
    </w:pPr>
    <w:rPr>
      <w:rFonts w:ascii="Arial" w:hAnsi="Arial"/>
      <w:sz w:val="22"/>
    </w:rPr>
  </w:style>
  <w:style w:type="paragraph" w:customStyle="1" w:styleId="Textoindependiente21">
    <w:name w:val="Texto independiente 21"/>
    <w:basedOn w:val="Normal"/>
    <w:pPr>
      <w:widowControl w:val="0"/>
      <w:jc w:val="both"/>
    </w:pPr>
    <w:rPr>
      <w:sz w:val="26"/>
    </w:rPr>
  </w:style>
  <w:style w:type="paragraph" w:customStyle="1" w:styleId="Textoindependiente31">
    <w:name w:val="Texto independiente 31"/>
    <w:basedOn w:val="Normal"/>
    <w:pPr>
      <w:widowControl w:val="0"/>
    </w:pPr>
    <w:rPr>
      <w:sz w:val="24"/>
    </w:rPr>
  </w:style>
  <w:style w:type="character" w:styleId="Hipervnculo">
    <w:name w:val="Hyperlink"/>
    <w:uiPriority w:val="99"/>
    <w:rPr>
      <w:color w:val="0000FF"/>
      <w:u w:val="single"/>
    </w:rPr>
  </w:style>
  <w:style w:type="paragraph" w:styleId="TDC1">
    <w:name w:val="toc 1"/>
    <w:basedOn w:val="Normal"/>
    <w:next w:val="Normal"/>
    <w:autoRedefine/>
    <w:uiPriority w:val="39"/>
    <w:rsid w:val="0039287A"/>
    <w:pPr>
      <w:tabs>
        <w:tab w:val="left" w:pos="440"/>
        <w:tab w:val="right" w:leader="dot" w:pos="8830"/>
      </w:tabs>
    </w:pPr>
    <w:rPr>
      <w:rFonts w:ascii="Arial Narrow" w:hAnsi="Arial Narrow" w:cs="Arial"/>
      <w:b/>
      <w:noProof/>
      <w:sz w:val="24"/>
      <w:lang w:val="es-MX" w:eastAsia="en-US"/>
    </w:rPr>
  </w:style>
  <w:style w:type="paragraph" w:customStyle="1" w:styleId="bodytext">
    <w:name w:val="bodytext"/>
    <w:basedOn w:val="Normal"/>
    <w:rsid w:val="000B16C1"/>
    <w:pPr>
      <w:spacing w:before="100" w:beforeAutospacing="1" w:after="100" w:afterAutospacing="1"/>
      <w:ind w:left="144"/>
    </w:pPr>
    <w:rPr>
      <w:rFonts w:ascii="Arial" w:hAnsi="Arial" w:cs="Arial"/>
      <w:color w:val="000000"/>
      <w:sz w:val="24"/>
      <w:szCs w:val="24"/>
    </w:rPr>
  </w:style>
  <w:style w:type="paragraph" w:customStyle="1" w:styleId="pagetitle">
    <w:name w:val="pagetitle"/>
    <w:basedOn w:val="Normal"/>
    <w:rsid w:val="000B16C1"/>
    <w:pPr>
      <w:spacing w:before="100" w:beforeAutospacing="1" w:after="100" w:afterAutospacing="1"/>
      <w:jc w:val="center"/>
    </w:pPr>
    <w:rPr>
      <w:rFonts w:ascii="Arial" w:hAnsi="Arial" w:cs="Arial"/>
      <w:color w:val="336699"/>
      <w:sz w:val="36"/>
      <w:szCs w:val="36"/>
    </w:rPr>
  </w:style>
  <w:style w:type="paragraph" w:customStyle="1" w:styleId="note1">
    <w:name w:val="note1"/>
    <w:basedOn w:val="Normal"/>
    <w:rsid w:val="00DF643E"/>
    <w:pPr>
      <w:spacing w:before="100" w:beforeAutospacing="1" w:after="100" w:afterAutospacing="1"/>
      <w:ind w:left="864"/>
    </w:pPr>
    <w:rPr>
      <w:rFonts w:ascii="Arial" w:hAnsi="Arial" w:cs="Arial"/>
      <w:color w:val="000000"/>
      <w:sz w:val="24"/>
      <w:szCs w:val="24"/>
    </w:rPr>
  </w:style>
  <w:style w:type="paragraph" w:customStyle="1" w:styleId="task10">
    <w:name w:val="task10"/>
    <w:basedOn w:val="Normal"/>
    <w:rsid w:val="00DF643E"/>
    <w:pPr>
      <w:spacing w:before="100" w:beforeAutospacing="1" w:after="100" w:afterAutospacing="1"/>
      <w:ind w:left="144"/>
    </w:pPr>
    <w:rPr>
      <w:rFonts w:ascii="Arial" w:hAnsi="Arial" w:cs="Arial"/>
      <w:color w:val="000000"/>
      <w:sz w:val="24"/>
      <w:szCs w:val="24"/>
    </w:rPr>
  </w:style>
  <w:style w:type="paragraph" w:styleId="Textodeglobo">
    <w:name w:val="Balloon Text"/>
    <w:basedOn w:val="Normal"/>
    <w:semiHidden/>
    <w:rsid w:val="00566D2D"/>
    <w:rPr>
      <w:rFonts w:ascii="Tahoma" w:hAnsi="Tahoma" w:cs="Tahoma"/>
      <w:sz w:val="16"/>
      <w:szCs w:val="16"/>
    </w:rPr>
  </w:style>
  <w:style w:type="character" w:styleId="Refdecomentario">
    <w:name w:val="annotation reference"/>
    <w:semiHidden/>
    <w:rsid w:val="00FE4210"/>
    <w:rPr>
      <w:sz w:val="16"/>
      <w:szCs w:val="16"/>
    </w:rPr>
  </w:style>
  <w:style w:type="paragraph" w:styleId="Textocomentario">
    <w:name w:val="annotation text"/>
    <w:basedOn w:val="Normal"/>
    <w:semiHidden/>
    <w:rsid w:val="00FE4210"/>
  </w:style>
  <w:style w:type="paragraph" w:styleId="Asuntodelcomentario">
    <w:name w:val="annotation subject"/>
    <w:basedOn w:val="Textocomentario"/>
    <w:next w:val="Textocomentario"/>
    <w:semiHidden/>
    <w:rsid w:val="00FE4210"/>
    <w:rPr>
      <w:b/>
      <w:bCs/>
    </w:rPr>
  </w:style>
  <w:style w:type="paragraph" w:customStyle="1" w:styleId="Normal1">
    <w:name w:val="Normal1"/>
    <w:basedOn w:val="Normal"/>
    <w:rsid w:val="00A86089"/>
    <w:pPr>
      <w:spacing w:before="100" w:beforeAutospacing="1" w:after="100" w:afterAutospacing="1"/>
    </w:pPr>
    <w:rPr>
      <w:sz w:val="24"/>
      <w:szCs w:val="24"/>
    </w:rPr>
  </w:style>
  <w:style w:type="character" w:styleId="Textoennegrita">
    <w:name w:val="Strong"/>
    <w:uiPriority w:val="22"/>
    <w:qFormat/>
    <w:rsid w:val="00655C8F"/>
    <w:rPr>
      <w:b/>
      <w:bCs/>
    </w:rPr>
  </w:style>
  <w:style w:type="character" w:customStyle="1" w:styleId="EncabezadoCar">
    <w:name w:val="Encabezado Car"/>
    <w:link w:val="Encabezado"/>
    <w:uiPriority w:val="99"/>
    <w:rsid w:val="00E51E1D"/>
    <w:rPr>
      <w:lang w:val="es-ES" w:eastAsia="es-ES"/>
    </w:rPr>
  </w:style>
  <w:style w:type="paragraph" w:customStyle="1" w:styleId="task1">
    <w:name w:val="task1"/>
    <w:basedOn w:val="Normal"/>
    <w:rsid w:val="00D41D63"/>
    <w:pPr>
      <w:spacing w:before="100" w:beforeAutospacing="1" w:after="100" w:afterAutospacing="1"/>
      <w:ind w:left="144"/>
    </w:pPr>
    <w:rPr>
      <w:rFonts w:ascii="Arial" w:hAnsi="Arial" w:cs="Arial"/>
      <w:color w:val="000000"/>
      <w:sz w:val="24"/>
      <w:szCs w:val="24"/>
    </w:rPr>
  </w:style>
  <w:style w:type="character" w:customStyle="1" w:styleId="PiedepginaCar">
    <w:name w:val="Pie de página Car"/>
    <w:link w:val="Piedepgina"/>
    <w:rsid w:val="004A0461"/>
    <w:rPr>
      <w:lang w:val="es-ES" w:eastAsia="es-ES"/>
    </w:rPr>
  </w:style>
  <w:style w:type="paragraph" w:styleId="Textonotapie">
    <w:name w:val="footnote text"/>
    <w:aliases w:val="ft,ft Car Car Car,ft Car,Texto nota pie2,ft1,ft Car Car Car1,Texto nota pie Car2,ft Car Car2,Footnote Text Char Car,Footnote Text Char Char,bibliografía"/>
    <w:basedOn w:val="Normal"/>
    <w:link w:val="TextonotapieCar"/>
    <w:uiPriority w:val="99"/>
    <w:unhideWhenUsed/>
    <w:rsid w:val="00472365"/>
    <w:rPr>
      <w:rFonts w:ascii="Calibri" w:hAnsi="Calibri"/>
      <w:lang w:val="es-CO" w:eastAsia="es-CO"/>
    </w:rPr>
  </w:style>
  <w:style w:type="character" w:customStyle="1" w:styleId="TextonotapieCar">
    <w:name w:val="Texto nota pie Car"/>
    <w:aliases w:val="ft Car1,ft Car Car Car Car,ft Car Car,Texto nota pie2 Car,ft1 Car,ft Car Car Car1 Car,Texto nota pie Car2 Car,ft Car Car2 Car,Footnote Text Char Car Car,Footnote Text Char Char Car,bibliografía Car"/>
    <w:link w:val="Textonotapie"/>
    <w:uiPriority w:val="99"/>
    <w:rsid w:val="00472365"/>
    <w:rPr>
      <w:rFonts w:ascii="Calibri" w:hAnsi="Calibri"/>
    </w:rPr>
  </w:style>
  <w:style w:type="character" w:styleId="Refdenotaalpie">
    <w:name w:val="footnote reference"/>
    <w:aliases w:val="Ref,de nota al pie,Texto de nota al pie,Ref. de nota al pie2"/>
    <w:uiPriority w:val="99"/>
    <w:unhideWhenUsed/>
    <w:rsid w:val="00472365"/>
    <w:rPr>
      <w:vertAlign w:val="superscript"/>
    </w:rPr>
  </w:style>
  <w:style w:type="paragraph" w:styleId="Prrafodelista">
    <w:name w:val="List Paragraph"/>
    <w:basedOn w:val="Normal"/>
    <w:uiPriority w:val="99"/>
    <w:qFormat/>
    <w:rsid w:val="004A361C"/>
    <w:pPr>
      <w:ind w:left="708"/>
    </w:pPr>
  </w:style>
  <w:style w:type="paragraph" w:styleId="NormalWeb">
    <w:name w:val="Normal (Web)"/>
    <w:basedOn w:val="Normal"/>
    <w:uiPriority w:val="99"/>
    <w:unhideWhenUsed/>
    <w:rsid w:val="00CB26AD"/>
    <w:pPr>
      <w:spacing w:before="100" w:beforeAutospacing="1" w:after="100" w:afterAutospacing="1"/>
    </w:pPr>
    <w:rPr>
      <w:sz w:val="24"/>
      <w:szCs w:val="24"/>
      <w:lang w:val="en-US" w:eastAsia="en-US"/>
    </w:rPr>
  </w:style>
  <w:style w:type="paragraph" w:customStyle="1" w:styleId="TtuloTDC1">
    <w:name w:val="Título TDC1"/>
    <w:basedOn w:val="Ttulo1"/>
    <w:next w:val="Normal"/>
    <w:uiPriority w:val="39"/>
    <w:unhideWhenUsed/>
    <w:qFormat/>
    <w:rsid w:val="0094407F"/>
    <w:pPr>
      <w:keepLines/>
      <w:widowControl/>
      <w:spacing w:before="240" w:line="259" w:lineRule="auto"/>
      <w:jc w:val="left"/>
      <w:outlineLvl w:val="9"/>
    </w:pPr>
    <w:rPr>
      <w:rFonts w:ascii="Calibri Light" w:hAnsi="Calibri Light"/>
      <w:b w:val="0"/>
      <w:color w:val="2E74B5"/>
      <w:sz w:val="32"/>
      <w:szCs w:val="32"/>
      <w:lang w:val="en-US" w:eastAsia="en-US"/>
    </w:rPr>
  </w:style>
  <w:style w:type="paragraph" w:styleId="TDC2">
    <w:name w:val="toc 2"/>
    <w:basedOn w:val="Normal"/>
    <w:next w:val="Normal"/>
    <w:autoRedefine/>
    <w:uiPriority w:val="39"/>
    <w:rsid w:val="0094407F"/>
    <w:pPr>
      <w:tabs>
        <w:tab w:val="left" w:pos="709"/>
        <w:tab w:val="right" w:leader="dot" w:pos="8830"/>
      </w:tabs>
    </w:pPr>
  </w:style>
  <w:style w:type="paragraph" w:styleId="TDC3">
    <w:name w:val="toc 3"/>
    <w:basedOn w:val="Normal"/>
    <w:next w:val="Normal"/>
    <w:autoRedefine/>
    <w:uiPriority w:val="39"/>
    <w:rsid w:val="0094407F"/>
    <w:pPr>
      <w:ind w:left="400"/>
    </w:pPr>
  </w:style>
  <w:style w:type="paragraph" w:customStyle="1" w:styleId="Default">
    <w:name w:val="Default"/>
    <w:rsid w:val="0014258C"/>
    <w:pPr>
      <w:autoSpaceDE w:val="0"/>
      <w:autoSpaceDN w:val="0"/>
      <w:adjustRightInd w:val="0"/>
    </w:pPr>
    <w:rPr>
      <w:rFonts w:ascii="Arial" w:hAnsi="Arial" w:cs="Arial"/>
      <w:color w:val="000000"/>
      <w:sz w:val="24"/>
      <w:szCs w:val="24"/>
      <w:lang w:eastAsia="en-US"/>
    </w:rPr>
  </w:style>
  <w:style w:type="paragraph" w:styleId="Ttulo">
    <w:name w:val="Title"/>
    <w:basedOn w:val="Normal"/>
    <w:link w:val="TtuloCar"/>
    <w:uiPriority w:val="10"/>
    <w:qFormat/>
    <w:rsid w:val="009B3CFC"/>
    <w:pPr>
      <w:jc w:val="center"/>
    </w:pPr>
    <w:rPr>
      <w:rFonts w:ascii="Arial" w:hAnsi="Arial" w:cs="Arial"/>
      <w:sz w:val="24"/>
      <w:lang w:val="es-MX"/>
    </w:rPr>
  </w:style>
  <w:style w:type="character" w:customStyle="1" w:styleId="TtuloCar">
    <w:name w:val="Título Car"/>
    <w:basedOn w:val="Fuentedeprrafopredeter"/>
    <w:link w:val="Ttulo"/>
    <w:uiPriority w:val="10"/>
    <w:rsid w:val="009B3CFC"/>
    <w:rPr>
      <w:rFonts w:ascii="Arial" w:hAnsi="Arial" w:cs="Arial"/>
      <w:sz w:val="24"/>
      <w:lang w:val="es-MX" w:eastAsia="es-ES"/>
    </w:rPr>
  </w:style>
  <w:style w:type="paragraph" w:styleId="TDC4">
    <w:name w:val="toc 4"/>
    <w:basedOn w:val="Normal"/>
    <w:next w:val="Normal"/>
    <w:autoRedefine/>
    <w:uiPriority w:val="39"/>
    <w:rsid w:val="00954628"/>
    <w:pPr>
      <w:spacing w:after="100"/>
      <w:ind w:left="600"/>
    </w:pPr>
  </w:style>
  <w:style w:type="paragraph" w:styleId="TDC5">
    <w:name w:val="toc 5"/>
    <w:basedOn w:val="Normal"/>
    <w:next w:val="Normal"/>
    <w:autoRedefine/>
    <w:uiPriority w:val="39"/>
    <w:rsid w:val="00954628"/>
    <w:pPr>
      <w:spacing w:after="100"/>
      <w:ind w:left="8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273558">
      <w:bodyDiv w:val="1"/>
      <w:marLeft w:val="0"/>
      <w:marRight w:val="0"/>
      <w:marTop w:val="0"/>
      <w:marBottom w:val="0"/>
      <w:divBdr>
        <w:top w:val="none" w:sz="0" w:space="0" w:color="auto"/>
        <w:left w:val="none" w:sz="0" w:space="0" w:color="auto"/>
        <w:bottom w:val="none" w:sz="0" w:space="0" w:color="auto"/>
        <w:right w:val="none" w:sz="0" w:space="0" w:color="auto"/>
      </w:divBdr>
    </w:div>
    <w:div w:id="483425494">
      <w:bodyDiv w:val="1"/>
      <w:marLeft w:val="0"/>
      <w:marRight w:val="0"/>
      <w:marTop w:val="0"/>
      <w:marBottom w:val="0"/>
      <w:divBdr>
        <w:top w:val="none" w:sz="0" w:space="0" w:color="auto"/>
        <w:left w:val="none" w:sz="0" w:space="0" w:color="auto"/>
        <w:bottom w:val="none" w:sz="0" w:space="0" w:color="auto"/>
        <w:right w:val="none" w:sz="0" w:space="0" w:color="auto"/>
      </w:divBdr>
    </w:div>
    <w:div w:id="621152205">
      <w:bodyDiv w:val="1"/>
      <w:marLeft w:val="0"/>
      <w:marRight w:val="0"/>
      <w:marTop w:val="0"/>
      <w:marBottom w:val="0"/>
      <w:divBdr>
        <w:top w:val="none" w:sz="0" w:space="0" w:color="auto"/>
        <w:left w:val="none" w:sz="0" w:space="0" w:color="auto"/>
        <w:bottom w:val="none" w:sz="0" w:space="0" w:color="auto"/>
        <w:right w:val="none" w:sz="0" w:space="0" w:color="auto"/>
      </w:divBdr>
    </w:div>
    <w:div w:id="983004325">
      <w:bodyDiv w:val="1"/>
      <w:marLeft w:val="0"/>
      <w:marRight w:val="0"/>
      <w:marTop w:val="0"/>
      <w:marBottom w:val="0"/>
      <w:divBdr>
        <w:top w:val="none" w:sz="0" w:space="0" w:color="auto"/>
        <w:left w:val="none" w:sz="0" w:space="0" w:color="auto"/>
        <w:bottom w:val="none" w:sz="0" w:space="0" w:color="auto"/>
        <w:right w:val="none" w:sz="0" w:space="0" w:color="auto"/>
      </w:divBdr>
    </w:div>
    <w:div w:id="1029645884">
      <w:bodyDiv w:val="1"/>
      <w:marLeft w:val="0"/>
      <w:marRight w:val="0"/>
      <w:marTop w:val="0"/>
      <w:marBottom w:val="0"/>
      <w:divBdr>
        <w:top w:val="none" w:sz="0" w:space="0" w:color="auto"/>
        <w:left w:val="none" w:sz="0" w:space="0" w:color="auto"/>
        <w:bottom w:val="none" w:sz="0" w:space="0" w:color="auto"/>
        <w:right w:val="none" w:sz="0" w:space="0" w:color="auto"/>
      </w:divBdr>
    </w:div>
    <w:div w:id="1036083813">
      <w:bodyDiv w:val="1"/>
      <w:marLeft w:val="0"/>
      <w:marRight w:val="0"/>
      <w:marTop w:val="0"/>
      <w:marBottom w:val="0"/>
      <w:divBdr>
        <w:top w:val="none" w:sz="0" w:space="0" w:color="auto"/>
        <w:left w:val="none" w:sz="0" w:space="0" w:color="auto"/>
        <w:bottom w:val="none" w:sz="0" w:space="0" w:color="auto"/>
        <w:right w:val="none" w:sz="0" w:space="0" w:color="auto"/>
      </w:divBdr>
    </w:div>
    <w:div w:id="1271543866">
      <w:bodyDiv w:val="1"/>
      <w:marLeft w:val="0"/>
      <w:marRight w:val="0"/>
      <w:marTop w:val="0"/>
      <w:marBottom w:val="0"/>
      <w:divBdr>
        <w:top w:val="none" w:sz="0" w:space="0" w:color="auto"/>
        <w:left w:val="none" w:sz="0" w:space="0" w:color="auto"/>
        <w:bottom w:val="none" w:sz="0" w:space="0" w:color="auto"/>
        <w:right w:val="none" w:sz="0" w:space="0" w:color="auto"/>
      </w:divBdr>
    </w:div>
    <w:div w:id="1369380948">
      <w:bodyDiv w:val="1"/>
      <w:marLeft w:val="0"/>
      <w:marRight w:val="0"/>
      <w:marTop w:val="0"/>
      <w:marBottom w:val="0"/>
      <w:divBdr>
        <w:top w:val="none" w:sz="0" w:space="0" w:color="auto"/>
        <w:left w:val="none" w:sz="0" w:space="0" w:color="auto"/>
        <w:bottom w:val="none" w:sz="0" w:space="0" w:color="auto"/>
        <w:right w:val="none" w:sz="0" w:space="0" w:color="auto"/>
      </w:divBdr>
    </w:div>
    <w:div w:id="1602715446">
      <w:bodyDiv w:val="1"/>
      <w:marLeft w:val="0"/>
      <w:marRight w:val="0"/>
      <w:marTop w:val="0"/>
      <w:marBottom w:val="0"/>
      <w:divBdr>
        <w:top w:val="none" w:sz="0" w:space="0" w:color="auto"/>
        <w:left w:val="none" w:sz="0" w:space="0" w:color="auto"/>
        <w:bottom w:val="none" w:sz="0" w:space="0" w:color="auto"/>
        <w:right w:val="none" w:sz="0" w:space="0" w:color="auto"/>
      </w:divBdr>
    </w:div>
    <w:div w:id="1663658580">
      <w:bodyDiv w:val="1"/>
      <w:marLeft w:val="0"/>
      <w:marRight w:val="0"/>
      <w:marTop w:val="0"/>
      <w:marBottom w:val="0"/>
      <w:divBdr>
        <w:top w:val="none" w:sz="0" w:space="0" w:color="auto"/>
        <w:left w:val="none" w:sz="0" w:space="0" w:color="auto"/>
        <w:bottom w:val="none" w:sz="0" w:space="0" w:color="auto"/>
        <w:right w:val="none" w:sz="0" w:space="0" w:color="auto"/>
      </w:divBdr>
    </w:div>
    <w:div w:id="1707442034">
      <w:bodyDiv w:val="1"/>
      <w:marLeft w:val="0"/>
      <w:marRight w:val="0"/>
      <w:marTop w:val="0"/>
      <w:marBottom w:val="0"/>
      <w:divBdr>
        <w:top w:val="none" w:sz="0" w:space="0" w:color="auto"/>
        <w:left w:val="none" w:sz="0" w:space="0" w:color="auto"/>
        <w:bottom w:val="none" w:sz="0" w:space="0" w:color="auto"/>
        <w:right w:val="none" w:sz="0" w:space="0" w:color="auto"/>
      </w:divBdr>
    </w:div>
    <w:div w:id="1725717059">
      <w:bodyDiv w:val="1"/>
      <w:marLeft w:val="0"/>
      <w:marRight w:val="0"/>
      <w:marTop w:val="0"/>
      <w:marBottom w:val="0"/>
      <w:divBdr>
        <w:top w:val="none" w:sz="0" w:space="0" w:color="auto"/>
        <w:left w:val="none" w:sz="0" w:space="0" w:color="auto"/>
        <w:bottom w:val="none" w:sz="0" w:space="0" w:color="auto"/>
        <w:right w:val="none" w:sz="0" w:space="0" w:color="auto"/>
      </w:divBdr>
    </w:div>
    <w:div w:id="1779906112">
      <w:bodyDiv w:val="1"/>
      <w:marLeft w:val="0"/>
      <w:marRight w:val="0"/>
      <w:marTop w:val="0"/>
      <w:marBottom w:val="0"/>
      <w:divBdr>
        <w:top w:val="none" w:sz="0" w:space="0" w:color="auto"/>
        <w:left w:val="none" w:sz="0" w:space="0" w:color="auto"/>
        <w:bottom w:val="none" w:sz="0" w:space="0" w:color="auto"/>
        <w:right w:val="none" w:sz="0" w:space="0" w:color="auto"/>
      </w:divBdr>
    </w:div>
    <w:div w:id="1806967824">
      <w:bodyDiv w:val="1"/>
      <w:marLeft w:val="0"/>
      <w:marRight w:val="0"/>
      <w:marTop w:val="0"/>
      <w:marBottom w:val="0"/>
      <w:divBdr>
        <w:top w:val="none" w:sz="0" w:space="0" w:color="auto"/>
        <w:left w:val="none" w:sz="0" w:space="0" w:color="auto"/>
        <w:bottom w:val="none" w:sz="0" w:space="0" w:color="auto"/>
        <w:right w:val="none" w:sz="0" w:space="0" w:color="auto"/>
      </w:divBdr>
    </w:div>
    <w:div w:id="1886526048">
      <w:bodyDiv w:val="1"/>
      <w:marLeft w:val="0"/>
      <w:marRight w:val="0"/>
      <w:marTop w:val="0"/>
      <w:marBottom w:val="0"/>
      <w:divBdr>
        <w:top w:val="none" w:sz="0" w:space="0" w:color="auto"/>
        <w:left w:val="none" w:sz="0" w:space="0" w:color="auto"/>
        <w:bottom w:val="none" w:sz="0" w:space="0" w:color="auto"/>
        <w:right w:val="none" w:sz="0" w:space="0" w:color="auto"/>
      </w:divBdr>
    </w:div>
    <w:div w:id="1910459708">
      <w:bodyDiv w:val="1"/>
      <w:marLeft w:val="0"/>
      <w:marRight w:val="0"/>
      <w:marTop w:val="0"/>
      <w:marBottom w:val="0"/>
      <w:divBdr>
        <w:top w:val="none" w:sz="0" w:space="0" w:color="auto"/>
        <w:left w:val="none" w:sz="0" w:space="0" w:color="auto"/>
        <w:bottom w:val="none" w:sz="0" w:space="0" w:color="auto"/>
        <w:right w:val="none" w:sz="0" w:space="0" w:color="auto"/>
      </w:divBdr>
    </w:div>
    <w:div w:id="1967618564">
      <w:bodyDiv w:val="1"/>
      <w:marLeft w:val="0"/>
      <w:marRight w:val="0"/>
      <w:marTop w:val="0"/>
      <w:marBottom w:val="0"/>
      <w:divBdr>
        <w:top w:val="none" w:sz="0" w:space="0" w:color="auto"/>
        <w:left w:val="none" w:sz="0" w:space="0" w:color="auto"/>
        <w:bottom w:val="none" w:sz="0" w:space="0" w:color="auto"/>
        <w:right w:val="none" w:sz="0" w:space="0" w:color="auto"/>
      </w:divBdr>
    </w:div>
    <w:div w:id="2103605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Procesos" ma:contentTypeID="0x010100573F15B938A7B6429AEA0C0F1940861C0045BFD1C53663AD49BBF44BA50A824273" ma:contentTypeVersion="12" ma:contentTypeDescription="Crear nuevo documento." ma:contentTypeScope="" ma:versionID="c2ac60471bac0c5a8e5ea017ba9b2431">
  <xsd:schema xmlns:xsd="http://www.w3.org/2001/XMLSchema" xmlns:xs="http://www.w3.org/2001/XMLSchema" xmlns:p="http://schemas.microsoft.com/office/2006/metadata/properties" xmlns:ns2="1d121436-e6f9-4fa4-bb3f-81f41704d615" xmlns:ns3="82ecf687-28d5-485b-a37e-d2c94b36a158" xmlns:ns4="aac6e9ca-a293-4c82-8e9f-9055b12d24a8" targetNamespace="http://schemas.microsoft.com/office/2006/metadata/properties" ma:root="true" ma:fieldsID="b07367b0fa94af7ad7845e0e17936045" ns2:_="" ns3:_="" ns4:_="">
    <xsd:import namespace="1d121436-e6f9-4fa4-bb3f-81f41704d615"/>
    <xsd:import namespace="82ecf687-28d5-485b-a37e-d2c94b36a158"/>
    <xsd:import namespace="aac6e9ca-a293-4c82-8e9f-9055b12d24a8"/>
    <xsd:element name="properties">
      <xsd:complexType>
        <xsd:sequence>
          <xsd:element name="documentManagement">
            <xsd:complexType>
              <xsd:all>
                <xsd:element ref="ns2:Año" minOccurs="0"/>
                <xsd:element ref="ns3:Autores" minOccurs="0"/>
                <xsd:element ref="ns3:Dependencia" minOccurs="0"/>
                <xsd:element ref="ns3:Fecha_x0020_del_x0020_Documento" minOccurs="0"/>
                <xsd:element ref="ns3:Formato_x0020_Documento" minOccurs="0"/>
                <xsd:element ref="ns3:Idioma_x0020_Documento" minOccurs="0"/>
                <xsd:element ref="ns3:Palabras_x0020_Claves" minOccurs="0"/>
                <xsd:element ref="ns3:Resumen_x0020_del_x0020_Documento" minOccurs="0"/>
                <xsd:element ref="ns2:Versión_x0020_Documento" minOccurs="0"/>
                <xsd:element ref="ns2:Macroproceso" minOccurs="0"/>
                <xsd:element ref="ns2:Proceso" minOccurs="0"/>
                <xsd:element ref="ns2:Nivel" minOccurs="0"/>
                <xsd:element ref="ns2:Nivel_x0020_Macroproceso" minOccurs="0"/>
                <xsd:element ref="ns4: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121436-e6f9-4fa4-bb3f-81f41704d615" elementFormDefault="qualified">
    <xsd:import namespace="http://schemas.microsoft.com/office/2006/documentManagement/types"/>
    <xsd:import namespace="http://schemas.microsoft.com/office/infopath/2007/PartnerControls"/>
    <xsd:element name="Año" ma:index="2" nillable="true" ma:displayName="Año" ma:default="2010" ma:format="Dropdown" ma:internalName="A_x00f1_o" ma:readOnly="false">
      <xsd:simpleType>
        <xsd:restriction base="dms:Choice">
          <xsd:enumeration value="2000"/>
          <xsd:enumeration value="2001"/>
          <xsd:enumeration value="2002"/>
          <xsd:enumeration value="2003"/>
          <xsd:enumeration value="2004"/>
          <xsd:enumeration value="2005"/>
          <xsd:enumeration value="2006"/>
          <xsd:enumeration value="2007"/>
          <xsd:enumeration value="2008"/>
          <xsd:enumeration value="2009"/>
          <xsd:enumeration value="2010"/>
        </xsd:restriction>
      </xsd:simpleType>
    </xsd:element>
    <xsd:element name="Versión_x0020_Documento" ma:index="10" nillable="true" ma:displayName="Versión Documento" ma:format="Dropdown" ma:internalName="Versi_x00f3_n_x0020_Documento" ma:readOnly="false">
      <xsd:simpleType>
        <xsd:restriction base="dms:Choice">
          <xsd:enumeration value="Definitiva"/>
          <xsd:enumeration value="En Estudio"/>
          <xsd:enumeration value="Preliminar"/>
        </xsd:restriction>
      </xsd:simpleType>
    </xsd:element>
    <xsd:element name="Macroproceso" ma:index="11" nillable="true" ma:displayName="Macroproceso" ma:default="Direccionamiento Estratégico" ma:format="Dropdown" ma:internalName="Macroproceso" ma:readOnly="false">
      <xsd:simpleType>
        <xsd:restriction base="dms:Choice">
          <xsd:enumeration value="Direccionamiento Estratégico"/>
          <xsd:enumeration value="Coordinación de la Política Macroeconómica y Definición de la Política Fiscal"/>
          <xsd:enumeration value="Gestión Presupuestal de los Recursos de la Nación"/>
          <xsd:enumeration value="Administración de Recursos Económicos"/>
          <xsd:enumeration value="Intervención Económica"/>
          <xsd:enumeration value="Gestión Tecnológica"/>
          <xsd:enumeration value="Gestión Humana"/>
          <xsd:enumeration value="Gestión Financiera"/>
          <xsd:enumeration value="Gestión de Bienes y Servicios"/>
          <xsd:enumeration value="Gestión Jurídica"/>
          <xsd:enumeration value="Evaluación"/>
          <xsd:enumeration value="Gestión de Cliente"/>
          <xsd:enumeration value="Comunicación Estratégica"/>
          <xsd:enumeration value="Gestión Normativa"/>
          <xsd:enumeration value="Atención al Ciudadano y Derechos de Petición"/>
          <xsd:enumeration value="Gestión TIC y de la Información"/>
        </xsd:restriction>
      </xsd:simpleType>
    </xsd:element>
    <xsd:element name="Proceso" ma:index="12" nillable="true" ma:displayName="Proceso" ma:default="Est. 1.3 Gestión de Comunicaciones" ma:format="Dropdown" ma:internalName="Proceso" ma:readOnly="false">
      <xsd:simpleType>
        <xsd:restriction base="dms:Choice">
          <xsd:enumeration value="Est. 1.1 Formulación y Seguimiento a Planes institucionales y sectoriales"/>
          <xsd:enumeration value="Est. 1.1 Planeación estratégica sectorial e institucional"/>
          <xsd:enumeration value="Est. 1.2 Gestión de Relaciones con Inversionistas"/>
          <xsd:enumeration value="Est. 1.3 Gestión de Comunicaciones"/>
          <xsd:enumeration value="Est. 1.4 Administración del Sistema Único de Gestión"/>
          <xsd:enumeration value="Est. 1.4 Administración, mejoramiento e innovación del SUG"/>
          <xsd:enumeration value="Mis. 1.1 Coordinación y Seguimiento de la Política Macroeconómica y Fiscal"/>
          <xsd:enumeration value="Mis. 2.1 Programación Presupuestal de los recursos de la Nación"/>
          <xsd:enumeration value="Mis. 2.2 Administración y seguimiento a la ejecución presupuestal"/>
          <xsd:enumeration value="Mis. 3.1 Financiamiento Interno"/>
          <xsd:enumeration value="Mis. 3.2 Financiamiento a Entidades"/>
          <xsd:enumeration value="Mis. 3.3 Financiamiento con Organismos Multilaterales y Gobiernos"/>
          <xsd:enumeration value="Mis. 3.4 Gestión de Liquidez"/>
          <xsd:enumeration value="Mis. 3.5 Gestión de Ingresos, Pagos y Presentación de Estados Financieros"/>
          <xsd:enumeration value="Mis. 3.6 Administración de la Sobretasa de la Gasolina y ACPM"/>
          <xsd:enumeration value="Mis. 3.7 Gestión de exposición patrimonial de la Nación"/>
          <xsd:enumeration value="Mis. 3.7 Gestión de Particiones Estatales y Sistemas Cofinanciados de Transporte Masivo"/>
          <xsd:enumeration value="Mis. 3.8 Apoyo a la Estructuración de Proyectos para la Vinculación de Capital Privado en Sectores de Responsabilidad del Estado"/>
          <xsd:enumeration value="Mis. 3.9 Gestión de Bonos Pensionales"/>
          <xsd:enumeration value="Mis. 3.10 Gestión de Riesgo Fiscal"/>
          <xsd:enumeration value="Mis. 3.11 Apoyo, seguimiento y control del cubrimiento del pasivo pensional de las Entidades Territoriales"/>
          <xsd:enumeration value="Mis. 3.12 Financiamiento Externo"/>
          <xsd:enumeration value="Mis. 3.13 Administración del Sistema Integrado de Información Financiera (SIIF Nación)"/>
          <xsd:enumeration value="Mis. 3.14 Financiamiento Externo de la Nación y relaciones con Inversionistas"/>
          <xsd:enumeration value="Mis. 4.1 Asesoría Tributaria y Financiera a Entidades Territoriales"/>
          <xsd:enumeration value="Mis. 4.2 Monitoreo y Apoyo al Saneamiento Fiscal de Entidades Territoriales"/>
          <xsd:enumeration value="Mis. 4.3 Seguimiento al comportamiento financiero y fiscal del Sistema de Seguridad Social Integral"/>
          <xsd:enumeration value="Mis. 4.4 Expedición Normativa y Emisión de Conceptos"/>
          <xsd:enumeration value="Mis. 4.5 Coordinación de la Ejecución de la estrategia de Monitoreo, seguimiento y control al uso de recursos del Sistema General de Participaciones – SGP"/>
          <xsd:enumeration value="Mis. 4.6 Apoyo al Saneamiento Financiero Pensional de Entidades Estatales"/>
          <xsd:enumeration value="Mis. 4.7 Coordinación  y Seguimiento a los Asuntos Legislativos"/>
          <xsd:enumeration value="Mis.4.8 Viabilidad, monitoreo, seguimiento y evaluación de los Programas de Saneamiento Fiscal y Financiero de las Empresas Sociales del Estado"/>
          <xsd:enumeration value="Mis. 4.8 Viabilidad, monitoreo, seguimiento y evaluación de los Programas de Saneamiento Fiscal y Financiero de las Empresas Sociales del Estado"/>
          <xsd:enumeration value="Mis. 4.8 Viabilidad, modificación, monitoreo, seguimiento y evaluación de los Programas de Saneamiento Fiscal y Financiero de las Empresas Sociales del Estado"/>
          <xsd:enumeration value="Mis. 4.9 Participación en los Órganos Colegiados de Administración y Decisión del Sistema General de Regalías"/>
          <xsd:enumeration value="Apo. 1.1 Gestión de soluciones de software"/>
          <xsd:enumeration value="Apo. 1.2 Gestión y soporte  de la infraestructura tecnológica  y servicios tecnológicos"/>
          <xsd:enumeration value="Apo. 2.1 Administración de Planta de Personal"/>
          <xsd:enumeration value="Apo. 2.1 Administración de Personal"/>
          <xsd:enumeration value="Apo. 2.2 Desarrollo de Personal"/>
          <xsd:enumeration value="Apo. 2.3 Gestión de Comisión Interior o Exterior"/>
          <xsd:enumeration value="Apo. 2.4 Generación de la Nómina"/>
          <xsd:enumeration value="Apo. 2.5 Control Disciplinario Interno"/>
          <xsd:enumeration value="Apo. 3.1 Gestión Presupuestal del MHCP y del Marco de Gasto de Mediano Plazo del Sector Hacienda"/>
          <xsd:enumeration value="Apo. 3.2 Registro presupuestal y contable y pago de las obligaciones del MHCP"/>
          <xsd:enumeration value="Apo. 3.3 Preparación y presentación de los Estados Financieros del Ministerio de Hacienda y Crédito"/>
          <xsd:enumeration value="Apo. 4.1 Adquisición de Bienes y Servicios"/>
          <xsd:enumeration value="Apo. 4.2 Administración de Bienes y Servicios"/>
          <xsd:enumeration value="Apo. 4.3 Gestión de Información"/>
          <xsd:enumeration value="Apo. 4.4 Planeación y Gestión de Proyectos con Fondos de Organismos Multilaterales de Crédito"/>
          <xsd:enumeration value="Apo. 4.5 Gestión Ambiental"/>
          <xsd:enumeration value="Apo. 5.1 Defensa Judicial, pago de sentencias y conciliaciones"/>
          <xsd:enumeration value="Apo. 5.2 Atención a Derechos de Petición y Emisión de Conceptos Jurídicos"/>
          <xsd:enumeration value="Apo. 5.3 Cartera"/>
          <xsd:enumeration value="Eva. 1.1 Evaluación Independiente"/>
          <xsd:enumeration value="Esp. 1.1 Gestión de Servicio al Cliente"/>
          <xsd:enumeration value="Esp. 1.1 Atención al ciudadano e instituciones"/>
          <xsd:enumeration value="Mis.5.1 Expedición Normativa y Emisión de Conceptos"/>
          <xsd:enumeration value="Mis.5.2 Coordinación  y Seguimiento a los Asuntos Legislativos"/>
          <xsd:enumeration value="Apo.6.1 Atención al ciudadano e instituciones"/>
          <xsd:enumeration value="Apo.6.2 Atención a Derechos de Petición y Emisión de Conceptos Jurídicos"/>
          <xsd:enumeration value="Eva.1.2 Control Disciplinario Interno"/>
          <xsd:enumeration value="Apo.1.4 Gestión de Información"/>
          <xsd:enumeration value="Est.2.1 Gestión de Comunicaciones"/>
        </xsd:restriction>
      </xsd:simpleType>
    </xsd:element>
    <xsd:element name="Nivel" ma:index="13" nillable="true" ma:displayName="Nivel" ma:decimals="0" ma:internalName="Nivel" ma:readOnly="false" ma:percentage="FALSE">
      <xsd:simpleType>
        <xsd:restriction base="dms:Number"/>
      </xsd:simpleType>
    </xsd:element>
    <xsd:element name="Nivel_x0020_Macroproceso" ma:index="14" nillable="true" ma:displayName="Nivel Macroproceso" ma:decimals="0" ma:description="Para odenar la publicación de los macroprocesos:&#10;0 = Direccionamiento Estratégico&#10;1 = Coordinación y seg. de la política Macroeconómica y fiscal.&#10;2 = Gestión presupuestal de las entidades públicas.&#10;3 = Administración de recursos económicos&#10;4 = Intervención económica&#10;5 = Gestión Tecnológica&#10;6 = Gestión Humana&#10;7 = Gestión Financiera&#10;8 = Gestión de Bienes y Servicios&#10;9 = Gestión Jurídica&#10;10 = Evaluación&#10;11 = Gestión del Cliente" ma:internalName="Nivel_x0020_Macroproceso" ma:readOnly="false" ma:percentage="FALSE">
      <xsd:simpleType>
        <xsd:restriction base="dms:Number">
          <xsd:maxInclusive value="11"/>
          <xsd:minInclusive value="0"/>
        </xsd:restriction>
      </xsd:simpleType>
    </xsd:element>
  </xsd:schema>
  <xsd:schema xmlns:xsd="http://www.w3.org/2001/XMLSchema" xmlns:xs="http://www.w3.org/2001/XMLSchema" xmlns:dms="http://schemas.microsoft.com/office/2006/documentManagement/types" xmlns:pc="http://schemas.microsoft.com/office/infopath/2007/PartnerControls" targetNamespace="82ecf687-28d5-485b-a37e-d2c94b36a158" elementFormDefault="qualified">
    <xsd:import namespace="http://schemas.microsoft.com/office/2006/documentManagement/types"/>
    <xsd:import namespace="http://schemas.microsoft.com/office/infopath/2007/PartnerControls"/>
    <xsd:element name="Autores" ma:index="3" nillable="true" ma:displayName="Autores" ma:list="UserInfo" ma:SharePointGroup="0" ma:internalName="Autores"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pendencia" ma:index="4" nillable="true" ma:displayName="Dependencia" ma:format="Dropdown" ma:internalName="Dependencia" ma:readOnly="false">
      <xsd:simpleType>
        <xsd:restriction base="dms:Choice">
          <xsd:enumeration value="Despacho del Ministro de Hacienda y Cr. Pbco"/>
          <xsd:enumeration value="Dirección Administrativa"/>
          <xsd:enumeration value="Dirección de Tecnología"/>
          <xsd:enumeration value="Dirección General de Apoyo Fiscal"/>
          <xsd:enumeration value="Dirección General de Cr. Pbco. y del Tesoro Nal."/>
          <xsd:enumeration value="Dirección General de Política Macroeconómica"/>
          <xsd:enumeration value="Dirección General de Reg. Eco. de la Seguridad Social"/>
          <xsd:enumeration value="Dirección General de Regulación Financiera"/>
          <xsd:enumeration value="Dirección General de Presupuesto público Nacional"/>
          <xsd:enumeration value="Oficina de Control Disciplinario Interno"/>
          <xsd:enumeration value="Secretaría General"/>
          <xsd:enumeration value="Viceministerio General"/>
          <xsd:enumeration value="Viceministerio Técnico"/>
        </xsd:restriction>
      </xsd:simpleType>
    </xsd:element>
    <xsd:element name="Fecha_x0020_del_x0020_Documento" ma:index="5" nillable="true" ma:displayName="Fecha del Documento" ma:format="DateOnly" ma:internalName="Fecha_x0020_del_x0020_Documento" ma:readOnly="false">
      <xsd:simpleType>
        <xsd:restriction base="dms:DateTime"/>
      </xsd:simpleType>
    </xsd:element>
    <xsd:element name="Formato_x0020_Documento" ma:index="6" nillable="true" ma:displayName="Formato Documento" ma:format="Dropdown" ma:internalName="Formato_x0020_Documento" ma:readOnly="false">
      <xsd:simpleType>
        <xsd:restriction base="dms:Choice">
          <xsd:enumeration value="DOC"/>
          <xsd:enumeration value="PPT"/>
          <xsd:enumeration value="XLS"/>
          <xsd:enumeration value="PDF"/>
          <xsd:enumeration value="Outlook"/>
        </xsd:restriction>
      </xsd:simpleType>
    </xsd:element>
    <xsd:element name="Idioma_x0020_Documento" ma:index="7" nillable="true" ma:displayName="Idioma Documento" ma:default="Español" ma:format="Dropdown" ma:internalName="Idioma_x0020_Documento" ma:readOnly="false">
      <xsd:simpleType>
        <xsd:restriction base="dms:Choice">
          <xsd:enumeration value="Español"/>
          <xsd:enumeration value="Inglés"/>
          <xsd:enumeration value="Francés"/>
          <xsd:enumeration value="Alemán"/>
          <xsd:enumeration value="Japonés"/>
        </xsd:restriction>
      </xsd:simpleType>
    </xsd:element>
    <xsd:element name="Palabras_x0020_Claves" ma:index="8" nillable="true" ma:displayName="Palabras Claves" ma:internalName="Palabras_x0020_Claves" ma:readOnly="false">
      <xsd:simpleType>
        <xsd:restriction base="dms:Note">
          <xsd:maxLength value="255"/>
        </xsd:restriction>
      </xsd:simpleType>
    </xsd:element>
    <xsd:element name="Resumen_x0020_del_x0020_Documento" ma:index="9" nillable="true" ma:displayName="Resumen del Documento" ma:internalName="Resumen_x0020_del_x0020_Documento"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ac6e9ca-a293-4c82-8e9f-9055b12d24a8" elementFormDefault="qualified">
    <xsd:import namespace="http://schemas.microsoft.com/office/2006/documentManagement/types"/>
    <xsd:import namespace="http://schemas.microsoft.com/office/infopath/2007/PartnerControls"/>
    <xsd:element name="SharedWithUsers" ma:index="21" nillable="true" ma:displayName="Compartid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Tipo de contenido"/>
        <xsd:element ref="dc:title" minOccurs="0" maxOccurs="1" ma:index="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Dependencia xmlns="82ecf687-28d5-485b-a37e-d2c94b36a158" xsi:nil="true"/>
    <Nivel xmlns="1d121436-e6f9-4fa4-bb3f-81f41704d615">93</Nivel>
    <Idioma_x0020_Documento xmlns="82ecf687-28d5-485b-a37e-d2c94b36a158">Español</Idioma_x0020_Documento>
    <Proceso xmlns="1d121436-e6f9-4fa4-bb3f-81f41704d615">Est. 1.4 Administración, mejoramiento e innovación del SUG</Proceso>
    <Resumen_x0020_del_x0020_Documento xmlns="82ecf687-28d5-485b-a37e-d2c94b36a158" xsi:nil="true"/>
    <Macroproceso xmlns="1d121436-e6f9-4fa4-bb3f-81f41704d615">Direccionamiento Estratégico</Macroproceso>
    <Palabras_x0020_Claves xmlns="82ecf687-28d5-485b-a37e-d2c94b36a158" xsi:nil="true"/>
    <Versión_x0020_Documento xmlns="1d121436-e6f9-4fa4-bb3f-81f41704d615" xsi:nil="true"/>
    <Nivel_x0020_Macroproceso xmlns="1d121436-e6f9-4fa4-bb3f-81f41704d615" xsi:nil="true"/>
    <Fecha_x0020_del_x0020_Documento xmlns="82ecf687-28d5-485b-a37e-d2c94b36a158" xsi:nil="true"/>
    <Autores xmlns="82ecf687-28d5-485b-a37e-d2c94b36a158">
      <UserInfo>
        <DisplayName/>
        <AccountId xsi:nil="true"/>
        <AccountType/>
      </UserInfo>
    </Autores>
    <Formato_x0020_Documento xmlns="82ecf687-28d5-485b-a37e-d2c94b36a158" xsi:nil="true"/>
    <Año xmlns="1d121436-e6f9-4fa4-bb3f-81f41704d615">2010</Año>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3BDC17-4DF7-4F98-A8FE-2117B1754B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121436-e6f9-4fa4-bb3f-81f41704d615"/>
    <ds:schemaRef ds:uri="82ecf687-28d5-485b-a37e-d2c94b36a158"/>
    <ds:schemaRef ds:uri="aac6e9ca-a293-4c82-8e9f-9055b12d24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92BF17-E593-40F3-8E17-D96112613041}">
  <ds:schemaRefs>
    <ds:schemaRef ds:uri="http://schemas.microsoft.com/office/2006/metadata/longProperties"/>
  </ds:schemaRefs>
</ds:datastoreItem>
</file>

<file path=customXml/itemProps3.xml><?xml version="1.0" encoding="utf-8"?>
<ds:datastoreItem xmlns:ds="http://schemas.openxmlformats.org/officeDocument/2006/customXml" ds:itemID="{E02A510A-0FF3-4EA4-9000-C95B97DBFF88}">
  <ds:schemaRefs>
    <ds:schemaRef ds:uri="aac6e9ca-a293-4c82-8e9f-9055b12d24a8"/>
    <ds:schemaRef ds:uri="http://schemas.microsoft.com/office/2006/documentManagement/types"/>
    <ds:schemaRef ds:uri="http://purl.org/dc/dcmitype/"/>
    <ds:schemaRef ds:uri="82ecf687-28d5-485b-a37e-d2c94b36a158"/>
    <ds:schemaRef ds:uri="http://schemas.microsoft.com/office/2006/metadata/properties"/>
    <ds:schemaRef ds:uri="http://purl.org/dc/terms/"/>
    <ds:schemaRef ds:uri="http://www.w3.org/XML/1998/namespace"/>
    <ds:schemaRef ds:uri="http://schemas.openxmlformats.org/package/2006/metadata/core-properties"/>
    <ds:schemaRef ds:uri="http://schemas.microsoft.com/office/infopath/2007/PartnerControls"/>
    <ds:schemaRef ds:uri="1d121436-e6f9-4fa4-bb3f-81f41704d615"/>
    <ds:schemaRef ds:uri="http://purl.org/dc/elements/1.1/"/>
  </ds:schemaRefs>
</ds:datastoreItem>
</file>

<file path=customXml/itemProps4.xml><?xml version="1.0" encoding="utf-8"?>
<ds:datastoreItem xmlns:ds="http://schemas.openxmlformats.org/officeDocument/2006/customXml" ds:itemID="{40339487-5823-485B-843F-98A62B0E334E}">
  <ds:schemaRefs>
    <ds:schemaRef ds:uri="http://schemas.microsoft.com/sharepoint/v3/contenttype/forms"/>
  </ds:schemaRefs>
</ds:datastoreItem>
</file>

<file path=customXml/itemProps5.xml><?xml version="1.0" encoding="utf-8"?>
<ds:datastoreItem xmlns:ds="http://schemas.openxmlformats.org/officeDocument/2006/customXml" ds:itemID="{415AFA70-3F55-4783-92D4-36FA642BC7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10112</Words>
  <Characters>58775</Characters>
  <Application>Microsoft Office Word</Application>
  <DocSecurity>0</DocSecurity>
  <Lines>489</Lines>
  <Paragraphs>137</Paragraphs>
  <ScaleCrop>false</ScaleCrop>
  <HeadingPairs>
    <vt:vector size="2" baseType="variant">
      <vt:variant>
        <vt:lpstr>Título</vt:lpstr>
      </vt:variant>
      <vt:variant>
        <vt:i4>1</vt:i4>
      </vt:variant>
    </vt:vector>
  </HeadingPairs>
  <TitlesOfParts>
    <vt:vector size="1" baseType="lpstr">
      <vt:lpstr>1</vt:lpstr>
    </vt:vector>
  </TitlesOfParts>
  <Company>Hewlett-Packard</Company>
  <LinksUpToDate>false</LinksUpToDate>
  <CharactersWithSpaces>68750</CharactersWithSpaces>
  <SharedDoc>false</SharedDoc>
  <HLinks>
    <vt:vector size="174" baseType="variant">
      <vt:variant>
        <vt:i4>1114163</vt:i4>
      </vt:variant>
      <vt:variant>
        <vt:i4>170</vt:i4>
      </vt:variant>
      <vt:variant>
        <vt:i4>0</vt:i4>
      </vt:variant>
      <vt:variant>
        <vt:i4>5</vt:i4>
      </vt:variant>
      <vt:variant>
        <vt:lpwstr/>
      </vt:variant>
      <vt:variant>
        <vt:lpwstr>_Toc528661831</vt:lpwstr>
      </vt:variant>
      <vt:variant>
        <vt:i4>1114163</vt:i4>
      </vt:variant>
      <vt:variant>
        <vt:i4>164</vt:i4>
      </vt:variant>
      <vt:variant>
        <vt:i4>0</vt:i4>
      </vt:variant>
      <vt:variant>
        <vt:i4>5</vt:i4>
      </vt:variant>
      <vt:variant>
        <vt:lpwstr/>
      </vt:variant>
      <vt:variant>
        <vt:lpwstr>_Toc528661830</vt:lpwstr>
      </vt:variant>
      <vt:variant>
        <vt:i4>1048627</vt:i4>
      </vt:variant>
      <vt:variant>
        <vt:i4>158</vt:i4>
      </vt:variant>
      <vt:variant>
        <vt:i4>0</vt:i4>
      </vt:variant>
      <vt:variant>
        <vt:i4>5</vt:i4>
      </vt:variant>
      <vt:variant>
        <vt:lpwstr/>
      </vt:variant>
      <vt:variant>
        <vt:lpwstr>_Toc528661829</vt:lpwstr>
      </vt:variant>
      <vt:variant>
        <vt:i4>1048627</vt:i4>
      </vt:variant>
      <vt:variant>
        <vt:i4>152</vt:i4>
      </vt:variant>
      <vt:variant>
        <vt:i4>0</vt:i4>
      </vt:variant>
      <vt:variant>
        <vt:i4>5</vt:i4>
      </vt:variant>
      <vt:variant>
        <vt:lpwstr/>
      </vt:variant>
      <vt:variant>
        <vt:lpwstr>_Toc528661828</vt:lpwstr>
      </vt:variant>
      <vt:variant>
        <vt:i4>1048627</vt:i4>
      </vt:variant>
      <vt:variant>
        <vt:i4>146</vt:i4>
      </vt:variant>
      <vt:variant>
        <vt:i4>0</vt:i4>
      </vt:variant>
      <vt:variant>
        <vt:i4>5</vt:i4>
      </vt:variant>
      <vt:variant>
        <vt:lpwstr/>
      </vt:variant>
      <vt:variant>
        <vt:lpwstr>_Toc528661827</vt:lpwstr>
      </vt:variant>
      <vt:variant>
        <vt:i4>1048627</vt:i4>
      </vt:variant>
      <vt:variant>
        <vt:i4>140</vt:i4>
      </vt:variant>
      <vt:variant>
        <vt:i4>0</vt:i4>
      </vt:variant>
      <vt:variant>
        <vt:i4>5</vt:i4>
      </vt:variant>
      <vt:variant>
        <vt:lpwstr/>
      </vt:variant>
      <vt:variant>
        <vt:lpwstr>_Toc528661826</vt:lpwstr>
      </vt:variant>
      <vt:variant>
        <vt:i4>1048627</vt:i4>
      </vt:variant>
      <vt:variant>
        <vt:i4>134</vt:i4>
      </vt:variant>
      <vt:variant>
        <vt:i4>0</vt:i4>
      </vt:variant>
      <vt:variant>
        <vt:i4>5</vt:i4>
      </vt:variant>
      <vt:variant>
        <vt:lpwstr/>
      </vt:variant>
      <vt:variant>
        <vt:lpwstr>_Toc528661825</vt:lpwstr>
      </vt:variant>
      <vt:variant>
        <vt:i4>1048627</vt:i4>
      </vt:variant>
      <vt:variant>
        <vt:i4>128</vt:i4>
      </vt:variant>
      <vt:variant>
        <vt:i4>0</vt:i4>
      </vt:variant>
      <vt:variant>
        <vt:i4>5</vt:i4>
      </vt:variant>
      <vt:variant>
        <vt:lpwstr/>
      </vt:variant>
      <vt:variant>
        <vt:lpwstr>_Toc528661824</vt:lpwstr>
      </vt:variant>
      <vt:variant>
        <vt:i4>1048627</vt:i4>
      </vt:variant>
      <vt:variant>
        <vt:i4>122</vt:i4>
      </vt:variant>
      <vt:variant>
        <vt:i4>0</vt:i4>
      </vt:variant>
      <vt:variant>
        <vt:i4>5</vt:i4>
      </vt:variant>
      <vt:variant>
        <vt:lpwstr/>
      </vt:variant>
      <vt:variant>
        <vt:lpwstr>_Toc528661823</vt:lpwstr>
      </vt:variant>
      <vt:variant>
        <vt:i4>1048627</vt:i4>
      </vt:variant>
      <vt:variant>
        <vt:i4>116</vt:i4>
      </vt:variant>
      <vt:variant>
        <vt:i4>0</vt:i4>
      </vt:variant>
      <vt:variant>
        <vt:i4>5</vt:i4>
      </vt:variant>
      <vt:variant>
        <vt:lpwstr/>
      </vt:variant>
      <vt:variant>
        <vt:lpwstr>_Toc528661822</vt:lpwstr>
      </vt:variant>
      <vt:variant>
        <vt:i4>1048627</vt:i4>
      </vt:variant>
      <vt:variant>
        <vt:i4>110</vt:i4>
      </vt:variant>
      <vt:variant>
        <vt:i4>0</vt:i4>
      </vt:variant>
      <vt:variant>
        <vt:i4>5</vt:i4>
      </vt:variant>
      <vt:variant>
        <vt:lpwstr/>
      </vt:variant>
      <vt:variant>
        <vt:lpwstr>_Toc528661821</vt:lpwstr>
      </vt:variant>
      <vt:variant>
        <vt:i4>1048627</vt:i4>
      </vt:variant>
      <vt:variant>
        <vt:i4>104</vt:i4>
      </vt:variant>
      <vt:variant>
        <vt:i4>0</vt:i4>
      </vt:variant>
      <vt:variant>
        <vt:i4>5</vt:i4>
      </vt:variant>
      <vt:variant>
        <vt:lpwstr/>
      </vt:variant>
      <vt:variant>
        <vt:lpwstr>_Toc528661820</vt:lpwstr>
      </vt:variant>
      <vt:variant>
        <vt:i4>1245235</vt:i4>
      </vt:variant>
      <vt:variant>
        <vt:i4>98</vt:i4>
      </vt:variant>
      <vt:variant>
        <vt:i4>0</vt:i4>
      </vt:variant>
      <vt:variant>
        <vt:i4>5</vt:i4>
      </vt:variant>
      <vt:variant>
        <vt:lpwstr/>
      </vt:variant>
      <vt:variant>
        <vt:lpwstr>_Toc528661819</vt:lpwstr>
      </vt:variant>
      <vt:variant>
        <vt:i4>1245235</vt:i4>
      </vt:variant>
      <vt:variant>
        <vt:i4>92</vt:i4>
      </vt:variant>
      <vt:variant>
        <vt:i4>0</vt:i4>
      </vt:variant>
      <vt:variant>
        <vt:i4>5</vt:i4>
      </vt:variant>
      <vt:variant>
        <vt:lpwstr/>
      </vt:variant>
      <vt:variant>
        <vt:lpwstr>_Toc528661818</vt:lpwstr>
      </vt:variant>
      <vt:variant>
        <vt:i4>1245235</vt:i4>
      </vt:variant>
      <vt:variant>
        <vt:i4>86</vt:i4>
      </vt:variant>
      <vt:variant>
        <vt:i4>0</vt:i4>
      </vt:variant>
      <vt:variant>
        <vt:i4>5</vt:i4>
      </vt:variant>
      <vt:variant>
        <vt:lpwstr/>
      </vt:variant>
      <vt:variant>
        <vt:lpwstr>_Toc528661817</vt:lpwstr>
      </vt:variant>
      <vt:variant>
        <vt:i4>1245235</vt:i4>
      </vt:variant>
      <vt:variant>
        <vt:i4>80</vt:i4>
      </vt:variant>
      <vt:variant>
        <vt:i4>0</vt:i4>
      </vt:variant>
      <vt:variant>
        <vt:i4>5</vt:i4>
      </vt:variant>
      <vt:variant>
        <vt:lpwstr/>
      </vt:variant>
      <vt:variant>
        <vt:lpwstr>_Toc528661816</vt:lpwstr>
      </vt:variant>
      <vt:variant>
        <vt:i4>1245235</vt:i4>
      </vt:variant>
      <vt:variant>
        <vt:i4>74</vt:i4>
      </vt:variant>
      <vt:variant>
        <vt:i4>0</vt:i4>
      </vt:variant>
      <vt:variant>
        <vt:i4>5</vt:i4>
      </vt:variant>
      <vt:variant>
        <vt:lpwstr/>
      </vt:variant>
      <vt:variant>
        <vt:lpwstr>_Toc528661815</vt:lpwstr>
      </vt:variant>
      <vt:variant>
        <vt:i4>1245235</vt:i4>
      </vt:variant>
      <vt:variant>
        <vt:i4>68</vt:i4>
      </vt:variant>
      <vt:variant>
        <vt:i4>0</vt:i4>
      </vt:variant>
      <vt:variant>
        <vt:i4>5</vt:i4>
      </vt:variant>
      <vt:variant>
        <vt:lpwstr/>
      </vt:variant>
      <vt:variant>
        <vt:lpwstr>_Toc528661814</vt:lpwstr>
      </vt:variant>
      <vt:variant>
        <vt:i4>1245235</vt:i4>
      </vt:variant>
      <vt:variant>
        <vt:i4>62</vt:i4>
      </vt:variant>
      <vt:variant>
        <vt:i4>0</vt:i4>
      </vt:variant>
      <vt:variant>
        <vt:i4>5</vt:i4>
      </vt:variant>
      <vt:variant>
        <vt:lpwstr/>
      </vt:variant>
      <vt:variant>
        <vt:lpwstr>_Toc528661813</vt:lpwstr>
      </vt:variant>
      <vt:variant>
        <vt:i4>1245235</vt:i4>
      </vt:variant>
      <vt:variant>
        <vt:i4>56</vt:i4>
      </vt:variant>
      <vt:variant>
        <vt:i4>0</vt:i4>
      </vt:variant>
      <vt:variant>
        <vt:i4>5</vt:i4>
      </vt:variant>
      <vt:variant>
        <vt:lpwstr/>
      </vt:variant>
      <vt:variant>
        <vt:lpwstr>_Toc528661812</vt:lpwstr>
      </vt:variant>
      <vt:variant>
        <vt:i4>1245235</vt:i4>
      </vt:variant>
      <vt:variant>
        <vt:i4>50</vt:i4>
      </vt:variant>
      <vt:variant>
        <vt:i4>0</vt:i4>
      </vt:variant>
      <vt:variant>
        <vt:i4>5</vt:i4>
      </vt:variant>
      <vt:variant>
        <vt:lpwstr/>
      </vt:variant>
      <vt:variant>
        <vt:lpwstr>_Toc528661811</vt:lpwstr>
      </vt:variant>
      <vt:variant>
        <vt:i4>1245235</vt:i4>
      </vt:variant>
      <vt:variant>
        <vt:i4>44</vt:i4>
      </vt:variant>
      <vt:variant>
        <vt:i4>0</vt:i4>
      </vt:variant>
      <vt:variant>
        <vt:i4>5</vt:i4>
      </vt:variant>
      <vt:variant>
        <vt:lpwstr/>
      </vt:variant>
      <vt:variant>
        <vt:lpwstr>_Toc528661810</vt:lpwstr>
      </vt:variant>
      <vt:variant>
        <vt:i4>1179699</vt:i4>
      </vt:variant>
      <vt:variant>
        <vt:i4>38</vt:i4>
      </vt:variant>
      <vt:variant>
        <vt:i4>0</vt:i4>
      </vt:variant>
      <vt:variant>
        <vt:i4>5</vt:i4>
      </vt:variant>
      <vt:variant>
        <vt:lpwstr/>
      </vt:variant>
      <vt:variant>
        <vt:lpwstr>_Toc528661809</vt:lpwstr>
      </vt:variant>
      <vt:variant>
        <vt:i4>1179699</vt:i4>
      </vt:variant>
      <vt:variant>
        <vt:i4>32</vt:i4>
      </vt:variant>
      <vt:variant>
        <vt:i4>0</vt:i4>
      </vt:variant>
      <vt:variant>
        <vt:i4>5</vt:i4>
      </vt:variant>
      <vt:variant>
        <vt:lpwstr/>
      </vt:variant>
      <vt:variant>
        <vt:lpwstr>_Toc528661808</vt:lpwstr>
      </vt:variant>
      <vt:variant>
        <vt:i4>1179699</vt:i4>
      </vt:variant>
      <vt:variant>
        <vt:i4>26</vt:i4>
      </vt:variant>
      <vt:variant>
        <vt:i4>0</vt:i4>
      </vt:variant>
      <vt:variant>
        <vt:i4>5</vt:i4>
      </vt:variant>
      <vt:variant>
        <vt:lpwstr/>
      </vt:variant>
      <vt:variant>
        <vt:lpwstr>_Toc528661807</vt:lpwstr>
      </vt:variant>
      <vt:variant>
        <vt:i4>1179699</vt:i4>
      </vt:variant>
      <vt:variant>
        <vt:i4>20</vt:i4>
      </vt:variant>
      <vt:variant>
        <vt:i4>0</vt:i4>
      </vt:variant>
      <vt:variant>
        <vt:i4>5</vt:i4>
      </vt:variant>
      <vt:variant>
        <vt:lpwstr/>
      </vt:variant>
      <vt:variant>
        <vt:lpwstr>_Toc528661806</vt:lpwstr>
      </vt:variant>
      <vt:variant>
        <vt:i4>1179699</vt:i4>
      </vt:variant>
      <vt:variant>
        <vt:i4>14</vt:i4>
      </vt:variant>
      <vt:variant>
        <vt:i4>0</vt:i4>
      </vt:variant>
      <vt:variant>
        <vt:i4>5</vt:i4>
      </vt:variant>
      <vt:variant>
        <vt:lpwstr/>
      </vt:variant>
      <vt:variant>
        <vt:lpwstr>_Toc528661805</vt:lpwstr>
      </vt:variant>
      <vt:variant>
        <vt:i4>1179699</vt:i4>
      </vt:variant>
      <vt:variant>
        <vt:i4>8</vt:i4>
      </vt:variant>
      <vt:variant>
        <vt:i4>0</vt:i4>
      </vt:variant>
      <vt:variant>
        <vt:i4>5</vt:i4>
      </vt:variant>
      <vt:variant>
        <vt:lpwstr/>
      </vt:variant>
      <vt:variant>
        <vt:lpwstr>_Toc528661804</vt:lpwstr>
      </vt:variant>
      <vt:variant>
        <vt:i4>1179699</vt:i4>
      </vt:variant>
      <vt:variant>
        <vt:i4>2</vt:i4>
      </vt:variant>
      <vt:variant>
        <vt:i4>0</vt:i4>
      </vt:variant>
      <vt:variant>
        <vt:i4>5</vt:i4>
      </vt:variant>
      <vt:variant>
        <vt:lpwstr/>
      </vt:variant>
      <vt:variant>
        <vt:lpwstr>_Toc528661803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vane</dc:creator>
  <cp:keywords/>
  <cp:lastModifiedBy>Daissy Tatiana Santos Yate</cp:lastModifiedBy>
  <cp:revision>2</cp:revision>
  <cp:lastPrinted>2018-12-21T13:37:00Z</cp:lastPrinted>
  <dcterms:created xsi:type="dcterms:W3CDTF">2019-04-15T21:17:00Z</dcterms:created>
  <dcterms:modified xsi:type="dcterms:W3CDTF">2019-04-15T21:17:00Z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KR33XJ2DTYQK-62-3225</vt:lpwstr>
  </property>
  <property fmtid="{D5CDD505-2E9C-101B-9397-08002B2CF9AE}" pid="3" name="_dlc_DocIdItemGuid">
    <vt:lpwstr>ca3fe030-b5a6-4570-a78a-257849e6c4e9</vt:lpwstr>
  </property>
  <property fmtid="{D5CDD505-2E9C-101B-9397-08002B2CF9AE}" pid="4" name="_dlc_DocIdUrl">
    <vt:lpwstr>http://mintranet/sug/_layouts/DocIdRedir.aspx?ID=KR33XJ2DTYQK-62-3225, KR33XJ2DTYQK-62-3225</vt:lpwstr>
  </property>
</Properties>
</file>